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charts/chart1.xml" ContentType="application/vnd.openxmlformats-officedocument.drawingml.chart+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9.xml" ContentType="application/vnd.openxmlformats-officedocument.wordprocessingml.header+xml"/>
  <Override PartName="/word/footer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2.xml" ContentType="application/vnd.openxmlformats-officedocument.wordprocessingml.header+xml"/>
  <Override PartName="/word/footer1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5.xml" ContentType="application/vnd.openxmlformats-officedocument.wordprocessingml.header+xml"/>
  <Override PartName="/word/footer15.xml" ContentType="application/vnd.openxmlformats-officedocument.wordprocessingml.footer+xml"/>
  <Override PartName="/word/header66.xml" ContentType="application/vnd.openxmlformats-officedocument.wordprocessingml.header+xml"/>
  <Override PartName="/word/footer16.xml" ContentType="application/vnd.openxmlformats-officedocument.wordprocessingml.footer+xml"/>
  <Override PartName="/word/header67.xml" ContentType="application/vnd.openxmlformats-officedocument.wordprocessingml.header+xml"/>
  <Override PartName="/word/footer1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923C5" w14:textId="3D11C75A" w:rsidR="00783FA3" w:rsidRDefault="00B7373C" w:rsidP="00BB6987">
      <w:pPr>
        <w:pStyle w:val="Verdana14ptlightgrey"/>
        <w:spacing w:before="120" w:after="0"/>
        <w:rPr>
          <w:rFonts w:ascii="Segoe UI" w:hAnsi="Segoe UI" w:cs="Segoe UI"/>
          <w:color w:val="37424A"/>
          <w:lang w:val="en-AU"/>
        </w:rPr>
      </w:pPr>
      <w:r>
        <w:rPr>
          <w:rFonts w:ascii="Segoe UI" w:hAnsi="Segoe UI" w:cs="Segoe UI"/>
          <w:color w:val="37424A"/>
          <w:lang w:val="en-AU"/>
        </w:rPr>
        <w:t xml:space="preserve"> </w:t>
      </w:r>
    </w:p>
    <w:p w14:paraId="2A4E076C" w14:textId="77777777" w:rsidR="004E133F" w:rsidRPr="00117C96" w:rsidRDefault="00336870" w:rsidP="00BB6987">
      <w:pPr>
        <w:pStyle w:val="Verdana14ptlightgrey"/>
        <w:spacing w:before="120" w:after="0"/>
        <w:rPr>
          <w:rFonts w:ascii="Segoe UI" w:hAnsi="Segoe UI" w:cs="Segoe UI"/>
          <w:color w:val="37424A"/>
          <w:lang w:val="en-AU"/>
        </w:rPr>
      </w:pPr>
      <w:r w:rsidRPr="00BB6987">
        <w:rPr>
          <w:rFonts w:ascii="Segoe UI" w:hAnsi="Segoe UI" w:cs="Segoe UI"/>
          <w:noProof/>
          <w:color w:val="37424A"/>
          <w:lang w:val="en-GB" w:eastAsia="en-GB"/>
        </w:rPr>
        <mc:AlternateContent>
          <mc:Choice Requires="wps">
            <w:drawing>
              <wp:anchor distT="45720" distB="45720" distL="114300" distR="114300" simplePos="0" relativeHeight="251653120" behindDoc="0" locked="0" layoutInCell="1" allowOverlap="1" wp14:anchorId="364BA96C" wp14:editId="0FAF63BD">
                <wp:simplePos x="0" y="0"/>
                <wp:positionH relativeFrom="column">
                  <wp:posOffset>-288290</wp:posOffset>
                </wp:positionH>
                <wp:positionV relativeFrom="paragraph">
                  <wp:posOffset>393065</wp:posOffset>
                </wp:positionV>
                <wp:extent cx="6285865" cy="1707515"/>
                <wp:effectExtent l="0" t="0" r="0" b="698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170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22A6" w14:textId="77777777" w:rsidR="003C7C88" w:rsidRPr="00336870" w:rsidRDefault="003C7C88" w:rsidP="00C33F75">
                            <w:pPr>
                              <w:pStyle w:val="Verdana25ptlightgreen"/>
                              <w:spacing w:before="120" w:after="0"/>
                              <w:rPr>
                                <w:rFonts w:ascii="Segoe UI" w:hAnsi="Segoe UI" w:cs="Segoe UI"/>
                                <w:color w:val="auto"/>
                                <w:lang w:val="en-AU"/>
                              </w:rPr>
                            </w:pPr>
                            <w:r w:rsidRPr="00336870">
                              <w:rPr>
                                <w:rFonts w:ascii="Segoe UI" w:hAnsi="Segoe UI" w:cs="Segoe UI"/>
                                <w:color w:val="auto"/>
                                <w:sz w:val="48"/>
                                <w:lang w:val="en-AU"/>
                              </w:rPr>
                              <w:t>Proposed Road Safety (Drivers) Regulations 2019</w:t>
                            </w:r>
                          </w:p>
                          <w:p w14:paraId="1E0516D8" w14:textId="77777777" w:rsidR="003C7C88" w:rsidRPr="00336870" w:rsidRDefault="003C7C88" w:rsidP="005A714F">
                            <w:pPr>
                              <w:pStyle w:val="TextPara"/>
                              <w:rPr>
                                <w:rFonts w:cs="Segoe UI"/>
                              </w:rPr>
                            </w:pPr>
                          </w:p>
                          <w:p w14:paraId="444A1C75" w14:textId="77777777" w:rsidR="003C7C88" w:rsidRPr="00336870" w:rsidRDefault="003C7C88" w:rsidP="00C33F75">
                            <w:pPr>
                              <w:pStyle w:val="Verdana25ptlightgreen"/>
                              <w:spacing w:before="120" w:after="0"/>
                              <w:rPr>
                                <w:rFonts w:ascii="Segoe UI" w:hAnsi="Segoe UI" w:cs="Segoe UI"/>
                                <w:b w:val="0"/>
                                <w:color w:val="auto"/>
                                <w:sz w:val="40"/>
                                <w:lang w:val="en-AU"/>
                              </w:rPr>
                            </w:pPr>
                            <w:r w:rsidRPr="00336870">
                              <w:rPr>
                                <w:rFonts w:ascii="Segoe UI" w:hAnsi="Segoe UI" w:cs="Segoe UI"/>
                                <w:b w:val="0"/>
                                <w:color w:val="auto"/>
                                <w:sz w:val="40"/>
                                <w:lang w:val="en-AU"/>
                              </w:rPr>
                              <w:t>Regulatory Impact Statement</w:t>
                            </w:r>
                          </w:p>
                          <w:p w14:paraId="6A3292FC" w14:textId="77777777" w:rsidR="003C7C88" w:rsidRPr="00336870" w:rsidRDefault="003C7C88">
                            <w:pPr>
                              <w:rPr>
                                <w:rFonts w:ascii="Segoe UI" w:hAnsi="Segoe UI" w:cs="Segoe UI"/>
                              </w:rPr>
                            </w:pPr>
                          </w:p>
                          <w:p w14:paraId="313DCFA0" w14:textId="77777777" w:rsidR="003C7C88" w:rsidRPr="00336870" w:rsidRDefault="003C7C88">
                            <w:pPr>
                              <w:rPr>
                                <w:rFonts w:ascii="Segoe UI" w:hAnsi="Segoe UI" w:cs="Segoe U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4BA96C" id="_x0000_t202" coordsize="21600,21600" o:spt="202" path="m,l,21600r21600,l21600,xe">
                <v:stroke joinstyle="miter"/>
                <v:path gradientshapeok="t" o:connecttype="rect"/>
              </v:shapetype>
              <v:shape id="Text Box 2" o:spid="_x0000_s1026" type="#_x0000_t202" style="position:absolute;margin-left:-22.7pt;margin-top:30.95pt;width:494.95pt;height:134.4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atw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" filled="f" stroked="f">
                <v:textbox>
                  <w:txbxContent>
                    <w:p w14:paraId="2A7322A6" w14:textId="77777777" w:rsidR="003C7C88" w:rsidRPr="00336870" w:rsidRDefault="003C7C88" w:rsidP="00C33F75">
                      <w:pPr>
                        <w:pStyle w:val="Verdana25ptlightgreen"/>
                        <w:spacing w:before="120" w:after="0"/>
                        <w:rPr>
                          <w:rFonts w:ascii="Segoe UI" w:hAnsi="Segoe UI" w:cs="Segoe UI"/>
                          <w:color w:val="auto"/>
                          <w:lang w:val="en-AU"/>
                        </w:rPr>
                      </w:pPr>
                      <w:r w:rsidRPr="00336870">
                        <w:rPr>
                          <w:rFonts w:ascii="Segoe UI" w:hAnsi="Segoe UI" w:cs="Segoe UI"/>
                          <w:color w:val="auto"/>
                          <w:sz w:val="48"/>
                          <w:lang w:val="en-AU"/>
                        </w:rPr>
                        <w:t>Proposed Road Safety (Drivers) Regulations 2019</w:t>
                      </w:r>
                    </w:p>
                    <w:p w14:paraId="1E0516D8" w14:textId="77777777" w:rsidR="003C7C88" w:rsidRPr="00336870" w:rsidRDefault="003C7C88" w:rsidP="005A714F">
                      <w:pPr>
                        <w:pStyle w:val="TextPara"/>
                        <w:rPr>
                          <w:rFonts w:cs="Segoe UI"/>
                        </w:rPr>
                      </w:pPr>
                    </w:p>
                    <w:p w14:paraId="444A1C75" w14:textId="77777777" w:rsidR="003C7C88" w:rsidRPr="00336870" w:rsidRDefault="003C7C88" w:rsidP="00C33F75">
                      <w:pPr>
                        <w:pStyle w:val="Verdana25ptlightgreen"/>
                        <w:spacing w:before="120" w:after="0"/>
                        <w:rPr>
                          <w:rFonts w:ascii="Segoe UI" w:hAnsi="Segoe UI" w:cs="Segoe UI"/>
                          <w:b w:val="0"/>
                          <w:color w:val="auto"/>
                          <w:sz w:val="40"/>
                          <w:lang w:val="en-AU"/>
                        </w:rPr>
                      </w:pPr>
                      <w:r w:rsidRPr="00336870">
                        <w:rPr>
                          <w:rFonts w:ascii="Segoe UI" w:hAnsi="Segoe UI" w:cs="Segoe UI"/>
                          <w:b w:val="0"/>
                          <w:color w:val="auto"/>
                          <w:sz w:val="40"/>
                          <w:lang w:val="en-AU"/>
                        </w:rPr>
                        <w:t>Regulatory Impact Statement</w:t>
                      </w:r>
                    </w:p>
                    <w:p w14:paraId="6A3292FC" w14:textId="77777777" w:rsidR="003C7C88" w:rsidRPr="00336870" w:rsidRDefault="003C7C88">
                      <w:pPr>
                        <w:rPr>
                          <w:rFonts w:ascii="Segoe UI" w:hAnsi="Segoe UI" w:cs="Segoe UI"/>
                        </w:rPr>
                      </w:pPr>
                    </w:p>
                    <w:p w14:paraId="313DCFA0" w14:textId="77777777" w:rsidR="003C7C88" w:rsidRPr="00336870" w:rsidRDefault="003C7C88">
                      <w:pPr>
                        <w:rPr>
                          <w:rFonts w:ascii="Segoe UI" w:hAnsi="Segoe UI" w:cs="Segoe UI"/>
                        </w:rPr>
                      </w:pPr>
                    </w:p>
                  </w:txbxContent>
                </v:textbox>
                <w10:wrap type="square"/>
              </v:shape>
            </w:pict>
          </mc:Fallback>
        </mc:AlternateContent>
      </w:r>
    </w:p>
    <w:p w14:paraId="0E7F7F52" w14:textId="77777777" w:rsidR="004E133F" w:rsidRDefault="004E133F" w:rsidP="00BB6987">
      <w:pPr>
        <w:pStyle w:val="Verdana14ptlightgrey"/>
        <w:spacing w:before="120" w:after="0"/>
        <w:rPr>
          <w:rFonts w:ascii="Segoe UI" w:hAnsi="Segoe UI" w:cs="Segoe UI"/>
          <w:color w:val="37424A"/>
          <w:lang w:val="en-AU"/>
        </w:rPr>
      </w:pPr>
    </w:p>
    <w:p w14:paraId="4C443266" w14:textId="77777777" w:rsidR="00441FB6" w:rsidRPr="00117C96" w:rsidRDefault="00441FB6" w:rsidP="00BB6987">
      <w:pPr>
        <w:pStyle w:val="Verdana14ptlightgrey"/>
        <w:spacing w:before="120" w:after="0"/>
        <w:rPr>
          <w:rFonts w:ascii="Segoe UI" w:hAnsi="Segoe UI" w:cs="Segoe UI"/>
          <w:color w:val="37424A"/>
          <w:lang w:val="en-AU"/>
        </w:rPr>
      </w:pPr>
    </w:p>
    <w:p w14:paraId="6F4E4313" w14:textId="77777777" w:rsidR="00AF215E" w:rsidRPr="00117C96" w:rsidRDefault="00AF215E" w:rsidP="00BB6987">
      <w:pPr>
        <w:pStyle w:val="Verdana14ptlightgrey"/>
        <w:spacing w:before="120" w:after="0"/>
        <w:rPr>
          <w:rFonts w:ascii="Segoe UI" w:hAnsi="Segoe UI" w:cs="Segoe UI"/>
          <w:color w:val="37424A"/>
          <w:lang w:val="en-AU"/>
        </w:rPr>
      </w:pPr>
    </w:p>
    <w:p w14:paraId="28702FCF" w14:textId="77777777" w:rsidR="00AF215E" w:rsidRPr="00117C96" w:rsidRDefault="00AF215E" w:rsidP="00BB6987">
      <w:pPr>
        <w:pStyle w:val="Verdana14ptlightgrey"/>
        <w:spacing w:before="120" w:after="0"/>
        <w:rPr>
          <w:rFonts w:ascii="Segoe UI" w:hAnsi="Segoe UI" w:cs="Segoe UI"/>
          <w:color w:val="37424A"/>
          <w:lang w:val="en-AU"/>
        </w:rPr>
      </w:pPr>
    </w:p>
    <w:p w14:paraId="72E6CE12" w14:textId="77777777" w:rsidR="005E68E2" w:rsidRPr="00117C96" w:rsidRDefault="005E68E2" w:rsidP="00171FE3">
      <w:pPr>
        <w:pStyle w:val="Verdana14ptlightgrey"/>
        <w:spacing w:before="120" w:after="0"/>
        <w:rPr>
          <w:rFonts w:ascii="Segoe UI" w:hAnsi="Segoe UI" w:cs="Segoe UI"/>
          <w:color w:val="37424A"/>
          <w:lang w:val="en-AU"/>
        </w:rPr>
      </w:pPr>
    </w:p>
    <w:p w14:paraId="1B7C7962" w14:textId="77777777" w:rsidR="00D84169" w:rsidRPr="00117C96" w:rsidRDefault="00D84169" w:rsidP="00171FE3">
      <w:pPr>
        <w:pStyle w:val="Verdana14ptlightgrey"/>
        <w:spacing w:before="120" w:after="0"/>
        <w:rPr>
          <w:rFonts w:ascii="Segoe UI" w:hAnsi="Segoe UI" w:cs="Segoe UI"/>
          <w:color w:val="37424A"/>
          <w:lang w:val="en-AU"/>
        </w:rPr>
      </w:pPr>
    </w:p>
    <w:p w14:paraId="11496D5C" w14:textId="77777777" w:rsidR="00D84169" w:rsidRPr="00117C96" w:rsidRDefault="00D84169" w:rsidP="00171FE3">
      <w:pPr>
        <w:pStyle w:val="Verdana14ptlightgrey"/>
        <w:spacing w:before="120" w:after="0"/>
        <w:rPr>
          <w:rFonts w:ascii="Segoe UI" w:hAnsi="Segoe UI" w:cs="Segoe UI"/>
          <w:color w:val="37424A"/>
          <w:lang w:val="en-AU"/>
        </w:rPr>
      </w:pPr>
    </w:p>
    <w:p w14:paraId="48F52435" w14:textId="77777777" w:rsidR="00D84169" w:rsidRPr="00117C96" w:rsidRDefault="00D84169" w:rsidP="00171FE3">
      <w:pPr>
        <w:pStyle w:val="Verdana14ptlightgrey"/>
        <w:spacing w:before="120" w:after="0"/>
        <w:rPr>
          <w:rFonts w:ascii="Segoe UI" w:hAnsi="Segoe UI" w:cs="Segoe UI"/>
          <w:color w:val="37424A"/>
          <w:lang w:val="en-AU"/>
        </w:rPr>
      </w:pPr>
    </w:p>
    <w:p w14:paraId="7F7AF186" w14:textId="77777777" w:rsidR="00D84169" w:rsidRPr="00117C96" w:rsidRDefault="00D84169" w:rsidP="00171FE3">
      <w:pPr>
        <w:pStyle w:val="Verdana14ptlightgrey"/>
        <w:spacing w:before="120" w:after="0"/>
        <w:rPr>
          <w:rFonts w:ascii="Segoe UI" w:hAnsi="Segoe UI" w:cs="Segoe UI"/>
          <w:color w:val="37424A"/>
          <w:lang w:val="en-AU"/>
        </w:rPr>
      </w:pPr>
    </w:p>
    <w:p w14:paraId="2A908D94" w14:textId="77777777" w:rsidR="00D84169" w:rsidRDefault="00D84169" w:rsidP="00171FE3">
      <w:pPr>
        <w:pStyle w:val="Verdana14ptlightgrey"/>
        <w:spacing w:before="120" w:after="0"/>
        <w:rPr>
          <w:rFonts w:ascii="Segoe UI" w:hAnsi="Segoe UI" w:cs="Segoe UI"/>
          <w:color w:val="37424A"/>
          <w:lang w:val="en-AU"/>
        </w:rPr>
      </w:pPr>
    </w:p>
    <w:p w14:paraId="06942FD3" w14:textId="77777777" w:rsidR="00D22BBD" w:rsidRPr="00117C96" w:rsidRDefault="00D22BBD" w:rsidP="00171FE3">
      <w:pPr>
        <w:pStyle w:val="Verdana14ptlightgrey"/>
        <w:spacing w:before="120" w:after="0"/>
        <w:rPr>
          <w:rFonts w:ascii="Segoe UI" w:hAnsi="Segoe UI" w:cs="Segoe UI"/>
          <w:color w:val="37424A"/>
          <w:lang w:val="en-AU"/>
        </w:rPr>
      </w:pPr>
    </w:p>
    <w:p w14:paraId="7DFB68F2" w14:textId="77777777" w:rsidR="005E68E2" w:rsidRPr="00117C96" w:rsidRDefault="00BB6987" w:rsidP="002B7850">
      <w:pPr>
        <w:pStyle w:val="Verdana14ptlightgrey"/>
        <w:spacing w:before="120" w:after="0"/>
        <w:rPr>
          <w:rFonts w:ascii="Segoe UI" w:hAnsi="Segoe UI" w:cs="Segoe UI"/>
          <w:color w:val="37424A"/>
          <w:lang w:val="en-AU"/>
        </w:rPr>
      </w:pPr>
      <w:r>
        <w:rPr>
          <w:rFonts w:ascii="Segoe UI" w:hAnsi="Segoe UI" w:cs="Segoe UI"/>
          <w:noProof/>
          <w:lang w:val="en-GB" w:eastAsia="en-GB"/>
        </w:rPr>
        <mc:AlternateContent>
          <mc:Choice Requires="wps">
            <w:drawing>
              <wp:anchor distT="45720" distB="45720" distL="114300" distR="114300" simplePos="0" relativeHeight="251707904" behindDoc="0" locked="0" layoutInCell="1" allowOverlap="1" wp14:anchorId="5691F26C" wp14:editId="380DEBE2">
                <wp:simplePos x="0" y="0"/>
                <wp:positionH relativeFrom="column">
                  <wp:posOffset>-228600</wp:posOffset>
                </wp:positionH>
                <wp:positionV relativeFrom="paragraph">
                  <wp:posOffset>118110</wp:posOffset>
                </wp:positionV>
                <wp:extent cx="3286664" cy="1602029"/>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664" cy="160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22FE4" w14:textId="378DE3F9" w:rsidR="003C7C88" w:rsidRPr="00336870" w:rsidRDefault="003C7C88" w:rsidP="00441FB6">
                            <w:pPr>
                              <w:pStyle w:val="TextPara"/>
                              <w:tabs>
                                <w:tab w:val="left" w:pos="993"/>
                              </w:tabs>
                              <w:rPr>
                                <w:rFonts w:cs="Segoe UI"/>
                                <w:b/>
                              </w:rPr>
                            </w:pPr>
                            <w:r>
                              <w:rPr>
                                <w:rFonts w:cs="Segoe UI"/>
                                <w:b/>
                              </w:rPr>
                              <w:t>6 June 2019</w:t>
                            </w:r>
                          </w:p>
                          <w:p w14:paraId="7CD4156A" w14:textId="77777777" w:rsidR="003C7C88" w:rsidRDefault="003C7C88" w:rsidP="00EA3691">
                            <w:pPr>
                              <w:rPr>
                                <w:rFonts w:ascii="Segoe UI" w:hAnsi="Segoe UI" w:cs="Segoe UI"/>
                                <w:sz w:val="18"/>
                              </w:rPr>
                            </w:pPr>
                          </w:p>
                          <w:p w14:paraId="6F4690AC" w14:textId="77777777" w:rsidR="003C7C88" w:rsidRPr="003332F1" w:rsidRDefault="003C7C88" w:rsidP="00EA3691">
                            <w:pPr>
                              <w:rPr>
                                <w:rFonts w:ascii="Segoe UI" w:hAnsi="Segoe UI" w:cs="Segoe UI"/>
                                <w:sz w:val="18"/>
                              </w:rPr>
                            </w:pPr>
                            <w:r w:rsidRPr="003332F1">
                              <w:rPr>
                                <w:rFonts w:ascii="Segoe UI" w:hAnsi="Segoe UI" w:cs="Segoe UI"/>
                                <w:sz w:val="18"/>
                              </w:rPr>
                              <w:t>This Regulatory Impact Statement (RIS) has been prepared</w:t>
                            </w:r>
                            <w:r>
                              <w:rPr>
                                <w:rFonts w:ascii="Segoe UI" w:hAnsi="Segoe UI" w:cs="Segoe UI"/>
                                <w:sz w:val="18"/>
                              </w:rPr>
                              <w:t xml:space="preserve"> </w:t>
                            </w:r>
                            <w:r w:rsidRPr="003332F1">
                              <w:rPr>
                                <w:rFonts w:ascii="Segoe UI" w:hAnsi="Segoe UI" w:cs="Segoe UI"/>
                                <w:sz w:val="18"/>
                              </w:rPr>
                              <w:t xml:space="preserve">in accordance with the </w:t>
                            </w:r>
                            <w:r w:rsidRPr="0043089A">
                              <w:rPr>
                                <w:rFonts w:ascii="Segoe UI" w:hAnsi="Segoe UI" w:cs="Segoe UI"/>
                                <w:i/>
                                <w:sz w:val="18"/>
                              </w:rPr>
                              <w:t>Subordinate Legislation Act 1994</w:t>
                            </w:r>
                            <w:r w:rsidRPr="003332F1">
                              <w:rPr>
                                <w:rFonts w:ascii="Segoe UI" w:hAnsi="Segoe UI" w:cs="Segoe UI"/>
                                <w:sz w:val="18"/>
                              </w:rPr>
                              <w:t xml:space="preserve"> and to facilitate public consultation on the proposed Road S</w:t>
                            </w:r>
                            <w:r>
                              <w:rPr>
                                <w:rFonts w:ascii="Segoe UI" w:hAnsi="Segoe UI" w:cs="Segoe UI"/>
                                <w:sz w:val="18"/>
                              </w:rPr>
                              <w:t>afety (Drivers) Regulations 2019</w:t>
                            </w:r>
                            <w:r w:rsidRPr="003332F1">
                              <w:rPr>
                                <w:rFonts w:ascii="Segoe UI" w:hAnsi="Segoe UI" w:cs="Segoe UI"/>
                                <w:sz w:val="18"/>
                              </w:rPr>
                              <w:t>. A copy of the proposed Regulations is provided as an attachment to this 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1F26C" id="_x0000_s1027" type="#_x0000_t202" style="position:absolute;margin-left:-18pt;margin-top:9.3pt;width:258.8pt;height:126.1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jT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" filled="f" stroked="f">
                <v:textbox>
                  <w:txbxContent>
                    <w:p w14:paraId="27622FE4" w14:textId="378DE3F9" w:rsidR="003C7C88" w:rsidRPr="00336870" w:rsidRDefault="003C7C88" w:rsidP="00441FB6">
                      <w:pPr>
                        <w:pStyle w:val="TextPara"/>
                        <w:tabs>
                          <w:tab w:val="left" w:pos="993"/>
                        </w:tabs>
                        <w:rPr>
                          <w:rFonts w:cs="Segoe UI"/>
                          <w:b/>
                        </w:rPr>
                      </w:pPr>
                      <w:r>
                        <w:rPr>
                          <w:rFonts w:cs="Segoe UI"/>
                          <w:b/>
                        </w:rPr>
                        <w:t>6 June 2019</w:t>
                      </w:r>
                    </w:p>
                    <w:p w14:paraId="7CD4156A" w14:textId="77777777" w:rsidR="003C7C88" w:rsidRDefault="003C7C88" w:rsidP="00EA3691">
                      <w:pPr>
                        <w:rPr>
                          <w:rFonts w:ascii="Segoe UI" w:hAnsi="Segoe UI" w:cs="Segoe UI"/>
                          <w:sz w:val="18"/>
                        </w:rPr>
                      </w:pPr>
                    </w:p>
                    <w:p w14:paraId="6F4690AC" w14:textId="77777777" w:rsidR="003C7C88" w:rsidRPr="003332F1" w:rsidRDefault="003C7C88" w:rsidP="00EA3691">
                      <w:pPr>
                        <w:rPr>
                          <w:rFonts w:ascii="Segoe UI" w:hAnsi="Segoe UI" w:cs="Segoe UI"/>
                          <w:sz w:val="18"/>
                        </w:rPr>
                      </w:pPr>
                      <w:r w:rsidRPr="003332F1">
                        <w:rPr>
                          <w:rFonts w:ascii="Segoe UI" w:hAnsi="Segoe UI" w:cs="Segoe UI"/>
                          <w:sz w:val="18"/>
                        </w:rPr>
                        <w:t>This Regulatory Impact Statement (RIS) has been prepared</w:t>
                      </w:r>
                      <w:r>
                        <w:rPr>
                          <w:rFonts w:ascii="Segoe UI" w:hAnsi="Segoe UI" w:cs="Segoe UI"/>
                          <w:sz w:val="18"/>
                        </w:rPr>
                        <w:t xml:space="preserve"> </w:t>
                      </w:r>
                      <w:r w:rsidRPr="003332F1">
                        <w:rPr>
                          <w:rFonts w:ascii="Segoe UI" w:hAnsi="Segoe UI" w:cs="Segoe UI"/>
                          <w:sz w:val="18"/>
                        </w:rPr>
                        <w:t xml:space="preserve">in accordance with the </w:t>
                      </w:r>
                      <w:r w:rsidRPr="0043089A">
                        <w:rPr>
                          <w:rFonts w:ascii="Segoe UI" w:hAnsi="Segoe UI" w:cs="Segoe UI"/>
                          <w:i/>
                          <w:sz w:val="18"/>
                        </w:rPr>
                        <w:t>Subordinate Legislation Act 1994</w:t>
                      </w:r>
                      <w:r w:rsidRPr="003332F1">
                        <w:rPr>
                          <w:rFonts w:ascii="Segoe UI" w:hAnsi="Segoe UI" w:cs="Segoe UI"/>
                          <w:sz w:val="18"/>
                        </w:rPr>
                        <w:t xml:space="preserve"> and to facilitate public consultation on the proposed Road S</w:t>
                      </w:r>
                      <w:r>
                        <w:rPr>
                          <w:rFonts w:ascii="Segoe UI" w:hAnsi="Segoe UI" w:cs="Segoe UI"/>
                          <w:sz w:val="18"/>
                        </w:rPr>
                        <w:t>afety (Drivers) Regulations 2019</w:t>
                      </w:r>
                      <w:r w:rsidRPr="003332F1">
                        <w:rPr>
                          <w:rFonts w:ascii="Segoe UI" w:hAnsi="Segoe UI" w:cs="Segoe UI"/>
                          <w:sz w:val="18"/>
                        </w:rPr>
                        <w:t>. A copy of the proposed Regulations is provided as an attachment to this RIS.</w:t>
                      </w:r>
                    </w:p>
                  </w:txbxContent>
                </v:textbox>
              </v:shape>
            </w:pict>
          </mc:Fallback>
        </mc:AlternateContent>
      </w:r>
    </w:p>
    <w:p w14:paraId="30F60E11" w14:textId="77777777" w:rsidR="005E68E2" w:rsidRPr="00117C96" w:rsidRDefault="005E68E2" w:rsidP="00171FE3">
      <w:pPr>
        <w:spacing w:before="120" w:after="0"/>
        <w:rPr>
          <w:rFonts w:ascii="Segoe UI" w:hAnsi="Segoe UI" w:cs="Segoe UI"/>
        </w:rPr>
        <w:sectPr w:rsidR="005E68E2" w:rsidRPr="00117C96" w:rsidSect="00447FA5">
          <w:headerReference w:type="even" r:id="rId9"/>
          <w:footerReference w:type="even" r:id="rId10"/>
          <w:footerReference w:type="default" r:id="rId11"/>
          <w:headerReference w:type="first" r:id="rId12"/>
          <w:footerReference w:type="first" r:id="rId13"/>
          <w:endnotePr>
            <w:numFmt w:val="decimal"/>
          </w:endnotePr>
          <w:pgSz w:w="11906" w:h="16838" w:code="9"/>
          <w:pgMar w:top="1418" w:right="1418" w:bottom="1418" w:left="1418" w:header="720" w:footer="720" w:gutter="0"/>
          <w:cols w:space="720"/>
          <w:titlePg/>
          <w:docGrid w:linePitch="272"/>
        </w:sectPr>
      </w:pPr>
    </w:p>
    <w:p w14:paraId="6A866948" w14:textId="77777777" w:rsidR="008B77F9" w:rsidRDefault="00336870">
      <w:pPr>
        <w:spacing w:after="200"/>
        <w:rPr>
          <w:rFonts w:ascii="Segoe UI" w:eastAsia="Times New Roman" w:hAnsi="Segoe UI" w:cs="Segoe UI"/>
          <w:b/>
          <w:bCs/>
          <w:color w:val="37424A"/>
          <w:sz w:val="24"/>
          <w:szCs w:val="20"/>
        </w:rPr>
      </w:pPr>
      <w:r>
        <w:rPr>
          <w:noProof/>
          <w:lang w:val="en-GB" w:eastAsia="en-GB"/>
        </w:rPr>
        <w:drawing>
          <wp:anchor distT="0" distB="0" distL="114300" distR="114300" simplePos="0" relativeHeight="251716096" behindDoc="0" locked="0" layoutInCell="1" allowOverlap="1" wp14:anchorId="091EFDFE" wp14:editId="0502B84B">
            <wp:simplePos x="0" y="0"/>
            <wp:positionH relativeFrom="column">
              <wp:posOffset>-32385</wp:posOffset>
            </wp:positionH>
            <wp:positionV relativeFrom="paragraph">
              <wp:posOffset>2732405</wp:posOffset>
            </wp:positionV>
            <wp:extent cx="1434065" cy="327456"/>
            <wp:effectExtent l="0" t="0" r="0" b="0"/>
            <wp:wrapNone/>
            <wp:docPr id="62" name="Picture 27" descr="VicRoads_Logo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Roads_Logo_CMYK_HR"/>
                    <pic:cNvPicPr>
                      <a:picLocks noChangeAspect="1" noChangeArrowheads="1"/>
                    </pic:cNvPicPr>
                  </pic:nvPicPr>
                  <pic:blipFill>
                    <a:blip r:embed="rId14"/>
                    <a:srcRect/>
                    <a:stretch>
                      <a:fillRect/>
                    </a:stretch>
                  </pic:blipFill>
                  <pic:spPr bwMode="auto">
                    <a:xfrm>
                      <a:off x="0" y="0"/>
                      <a:ext cx="1434065" cy="327456"/>
                    </a:xfrm>
                    <a:prstGeom prst="rect">
                      <a:avLst/>
                    </a:prstGeom>
                    <a:noFill/>
                  </pic:spPr>
                </pic:pic>
              </a:graphicData>
            </a:graphic>
            <wp14:sizeRelH relativeFrom="margin">
              <wp14:pctWidth>0</wp14:pctWidth>
            </wp14:sizeRelH>
            <wp14:sizeRelV relativeFrom="margin">
              <wp14:pctHeight>0</wp14:pctHeight>
            </wp14:sizeRelV>
          </wp:anchor>
        </w:drawing>
      </w:r>
      <w:r w:rsidR="008B77F9">
        <w:rPr>
          <w:rFonts w:ascii="Segoe UI" w:hAnsi="Segoe UI" w:cs="Segoe UI"/>
          <w:color w:val="37424A"/>
        </w:rPr>
        <w:br w:type="page"/>
      </w:r>
    </w:p>
    <w:p w14:paraId="4181D775" w14:textId="77777777" w:rsidR="007B31B4" w:rsidRDefault="007B31B4" w:rsidP="007B31B4">
      <w:pPr>
        <w:pStyle w:val="TextPara"/>
      </w:pPr>
    </w:p>
    <w:p w14:paraId="2D33775A" w14:textId="77777777" w:rsidR="00990C18" w:rsidRDefault="00990C18" w:rsidP="000A4B82">
      <w:pPr>
        <w:pStyle w:val="NoSpacing"/>
        <w:spacing w:after="240"/>
      </w:pPr>
      <w:r w:rsidRPr="007B31B4">
        <w:t>Public comment</w:t>
      </w:r>
      <w:r w:rsidR="00055FB1">
        <w:t>s</w:t>
      </w:r>
      <w:r w:rsidRPr="007B31B4">
        <w:t xml:space="preserve"> </w:t>
      </w:r>
      <w:r>
        <w:t>and</w:t>
      </w:r>
      <w:r w:rsidRPr="007B31B4">
        <w:t xml:space="preserve"> submissions</w:t>
      </w:r>
    </w:p>
    <w:p w14:paraId="2A7674FD" w14:textId="77777777" w:rsidR="007B31B4" w:rsidRPr="007B31B4" w:rsidRDefault="007B31B4" w:rsidP="00A52A7B">
      <w:pPr>
        <w:pStyle w:val="TextPara"/>
      </w:pPr>
      <w:r w:rsidRPr="007B31B4">
        <w:t xml:space="preserve">This Regulatory Impact Statement </w:t>
      </w:r>
      <w:r w:rsidR="00A52A7B">
        <w:t>(</w:t>
      </w:r>
      <w:r w:rsidR="00A52A7B" w:rsidRPr="00FD3671">
        <w:rPr>
          <w:b/>
        </w:rPr>
        <w:t>RIS</w:t>
      </w:r>
      <w:r w:rsidR="00A52A7B">
        <w:t xml:space="preserve">) </w:t>
      </w:r>
      <w:r w:rsidRPr="007B31B4">
        <w:t xml:space="preserve">has been prepared </w:t>
      </w:r>
      <w:r w:rsidR="00C92C5C">
        <w:t>to fulfil</w:t>
      </w:r>
      <w:r w:rsidRPr="007B31B4">
        <w:t xml:space="preserve"> the requirements of the </w:t>
      </w:r>
      <w:r w:rsidRPr="007B31B4">
        <w:rPr>
          <w:i/>
        </w:rPr>
        <w:t>Subordinate Legislation Act 1994</w:t>
      </w:r>
      <w:r w:rsidRPr="007B31B4">
        <w:t xml:space="preserve"> and the </w:t>
      </w:r>
      <w:r w:rsidRPr="00A52A7B">
        <w:rPr>
          <w:i/>
        </w:rPr>
        <w:t>Victorian Guide to Regulation</w:t>
      </w:r>
      <w:r w:rsidR="00C92C5C">
        <w:rPr>
          <w:i/>
        </w:rPr>
        <w:t xml:space="preserve">, </w:t>
      </w:r>
      <w:r w:rsidR="00C92C5C" w:rsidRPr="00C92C5C">
        <w:t>and</w:t>
      </w:r>
      <w:r w:rsidR="00C92C5C">
        <w:rPr>
          <w:i/>
        </w:rPr>
        <w:t xml:space="preserve"> </w:t>
      </w:r>
      <w:r w:rsidR="00C92C5C">
        <w:t xml:space="preserve">to </w:t>
      </w:r>
      <w:r w:rsidR="00C92C5C" w:rsidRPr="007B31B4">
        <w:t>facilitate public consultation</w:t>
      </w:r>
      <w:r w:rsidR="00FD3671" w:rsidRPr="00FD3671">
        <w:t xml:space="preserve"> </w:t>
      </w:r>
      <w:r w:rsidR="00FD3671">
        <w:t>on the proposed Road Safety</w:t>
      </w:r>
      <w:r w:rsidR="00FD3671" w:rsidRPr="007B31B4">
        <w:t xml:space="preserve"> (</w:t>
      </w:r>
      <w:r w:rsidR="00FD3671">
        <w:t>Drivers) Regulations 2019 (</w:t>
      </w:r>
      <w:r w:rsidR="00A13B84" w:rsidRPr="00A13B84">
        <w:rPr>
          <w:b/>
        </w:rPr>
        <w:t>the</w:t>
      </w:r>
      <w:r w:rsidR="00A13B84">
        <w:t xml:space="preserve"> </w:t>
      </w:r>
      <w:r w:rsidR="00FD3671" w:rsidRPr="00FD3671">
        <w:rPr>
          <w:b/>
        </w:rPr>
        <w:t xml:space="preserve">proposed </w:t>
      </w:r>
      <w:r w:rsidR="00F042DE" w:rsidRPr="00FD3671">
        <w:rPr>
          <w:b/>
        </w:rPr>
        <w:t>Regulations</w:t>
      </w:r>
      <w:r w:rsidR="00FD3671" w:rsidRPr="007B31B4">
        <w:t>)</w:t>
      </w:r>
      <w:r w:rsidRPr="007B31B4">
        <w:t>.</w:t>
      </w:r>
      <w:r w:rsidR="00FD3671" w:rsidRPr="00FD3671">
        <w:t xml:space="preserve"> </w:t>
      </w:r>
      <w:r w:rsidR="00FD3671">
        <w:t>A copy of the proposed regulations is provided as an attachment to this RIS.</w:t>
      </w:r>
    </w:p>
    <w:p w14:paraId="1D72D7B8" w14:textId="77777777" w:rsidR="007B31B4" w:rsidRPr="007B31B4" w:rsidRDefault="007B31B4" w:rsidP="00A52A7B">
      <w:pPr>
        <w:pStyle w:val="TextPara"/>
      </w:pPr>
      <w:r w:rsidRPr="007B31B4">
        <w:t xml:space="preserve">In accordance with the </w:t>
      </w:r>
      <w:r w:rsidRPr="00A52A7B">
        <w:rPr>
          <w:i/>
        </w:rPr>
        <w:t>Victorian Guide to Regulation</w:t>
      </w:r>
      <w:r w:rsidRPr="007B31B4">
        <w:t>, the Victorian government seeks to ensure that regulations are well targeted, effective and appropriate, and that they impose the lowest possible burden on Victorian businesses and the community.</w:t>
      </w:r>
    </w:p>
    <w:p w14:paraId="59CA5E19" w14:textId="77777777" w:rsidR="00111AF1" w:rsidRDefault="00017D40" w:rsidP="00111AF1">
      <w:pPr>
        <w:pStyle w:val="TextPara"/>
      </w:pPr>
      <w:r w:rsidRPr="007B31B4">
        <w:t>The RIS process involves an assessment of regulatory proposals</w:t>
      </w:r>
      <w:r>
        <w:t>.</w:t>
      </w:r>
      <w:r w:rsidRPr="007B31B4">
        <w:t xml:space="preserve"> </w:t>
      </w:r>
      <w:r w:rsidR="00111AF1">
        <w:t>A key function of th</w:t>
      </w:r>
      <w:r>
        <w:t>is</w:t>
      </w:r>
      <w:r w:rsidR="00111AF1">
        <w:t xml:space="preserve"> process is </w:t>
      </w:r>
      <w:r w:rsidR="00FD3671">
        <w:t>to</w:t>
      </w:r>
      <w:r w:rsidR="00B7108B">
        <w:t xml:space="preserve"> provide</w:t>
      </w:r>
      <w:r w:rsidR="00111AF1">
        <w:t xml:space="preserve"> members of the public with </w:t>
      </w:r>
      <w:r w:rsidR="00B7108B">
        <w:t>an</w:t>
      </w:r>
      <w:r w:rsidR="00111AF1">
        <w:t xml:space="preserve"> opportunity to comment on proposed </w:t>
      </w:r>
      <w:r w:rsidR="00B7108B">
        <w:t xml:space="preserve">Regulations </w:t>
      </w:r>
      <w:r w:rsidR="00111AF1">
        <w:t xml:space="preserve">before they are finalised. Such public input can provide valuable information and perspectives, and thus improve the overall quality of the regulations. </w:t>
      </w:r>
    </w:p>
    <w:p w14:paraId="4388BE06" w14:textId="77777777" w:rsidR="00AE3D94" w:rsidRPr="00572EE5" w:rsidRDefault="007B31B4" w:rsidP="00AE3D94">
      <w:pPr>
        <w:pStyle w:val="TextPara"/>
      </w:pPr>
      <w:r w:rsidRPr="007B31B4">
        <w:t>Public comment</w:t>
      </w:r>
      <w:r w:rsidR="00055FB1">
        <w:t>s</w:t>
      </w:r>
      <w:r w:rsidRPr="007B31B4">
        <w:t xml:space="preserve"> </w:t>
      </w:r>
      <w:r w:rsidR="00990C18">
        <w:t>and</w:t>
      </w:r>
      <w:r w:rsidRPr="007B31B4">
        <w:t xml:space="preserve"> submissions are invited on the proposed Regulations</w:t>
      </w:r>
      <w:r w:rsidR="00FD3671">
        <w:t xml:space="preserve"> in response to the information provided in this RIS.</w:t>
      </w:r>
      <w:r w:rsidRPr="007B31B4">
        <w:t xml:space="preserve"> </w:t>
      </w:r>
      <w:r w:rsidR="002533CD">
        <w:t xml:space="preserve">In the interests of ensuring transparency and accountability, all submissions will be </w:t>
      </w:r>
      <w:r w:rsidR="00017D40" w:rsidRPr="007B31B4">
        <w:t xml:space="preserve">treated </w:t>
      </w:r>
      <w:r w:rsidR="00017D40">
        <w:t xml:space="preserve">and </w:t>
      </w:r>
      <w:r w:rsidR="002533CD">
        <w:t>managed as public documents</w:t>
      </w:r>
      <w:r w:rsidR="00747DEB">
        <w:t xml:space="preserve"> and</w:t>
      </w:r>
      <w:r w:rsidR="00747DEB" w:rsidRPr="00747DEB">
        <w:t xml:space="preserve"> </w:t>
      </w:r>
      <w:r w:rsidR="00747DEB" w:rsidRPr="007B31B4">
        <w:t xml:space="preserve">published on </w:t>
      </w:r>
      <w:r w:rsidR="00747DEB">
        <w:t>the relevant Government</w:t>
      </w:r>
      <w:r w:rsidR="00747DEB" w:rsidRPr="007B31B4">
        <w:t xml:space="preserve"> website</w:t>
      </w:r>
      <w:r w:rsidR="00747DEB">
        <w:t>(s)</w:t>
      </w:r>
      <w:r w:rsidR="00017D40">
        <w:t>,</w:t>
      </w:r>
      <w:r w:rsidR="00017D40" w:rsidRPr="00017D40">
        <w:t xml:space="preserve"> </w:t>
      </w:r>
      <w:r w:rsidR="00017D40">
        <w:t>except</w:t>
      </w:r>
      <w:r w:rsidR="00D1426F">
        <w:t xml:space="preserve"> </w:t>
      </w:r>
      <w:r w:rsidR="00747DEB">
        <w:t xml:space="preserve">for </w:t>
      </w:r>
      <w:r w:rsidR="00D1426F">
        <w:t>those</w:t>
      </w:r>
      <w:r w:rsidRPr="007B31B4">
        <w:t xml:space="preserve"> </w:t>
      </w:r>
      <w:r w:rsidR="00747DEB">
        <w:t xml:space="preserve">submissions </w:t>
      </w:r>
      <w:r w:rsidR="00D1426F" w:rsidRPr="007B31B4">
        <w:t xml:space="preserve">clearly </w:t>
      </w:r>
      <w:r w:rsidR="00D1426F">
        <w:t>marked as ‘private and confidential’</w:t>
      </w:r>
      <w:r w:rsidR="00F042DE">
        <w:t>.</w:t>
      </w:r>
      <w:r w:rsidR="00AE3D94">
        <w:t xml:space="preserve"> </w:t>
      </w:r>
      <w:r w:rsidR="00AE3D94" w:rsidRPr="00572EE5">
        <w:t xml:space="preserve">You can also choose to make an anonymous submission by not providing your name. </w:t>
      </w:r>
    </w:p>
    <w:p w14:paraId="6FEEB6F5" w14:textId="7695F281" w:rsidR="007B31B4" w:rsidRPr="007B31B4" w:rsidRDefault="007B31B4" w:rsidP="00A52A7B">
      <w:pPr>
        <w:pStyle w:val="TextPara"/>
      </w:pPr>
      <w:r w:rsidRPr="007B31B4">
        <w:t xml:space="preserve">Please submit comments or submissions by no later than 5pm </w:t>
      </w:r>
      <w:r w:rsidRPr="00AB6F81">
        <w:t xml:space="preserve">on </w:t>
      </w:r>
      <w:r w:rsidR="00042FD7">
        <w:rPr>
          <w:rFonts w:cs="Segoe UI"/>
          <w:lang w:eastAsia="en-AU"/>
        </w:rPr>
        <w:t>8 July 2019</w:t>
      </w:r>
      <w:r w:rsidR="0026454D">
        <w:rPr>
          <w:rFonts w:cs="Segoe UI"/>
          <w:lang w:eastAsia="en-AU"/>
        </w:rPr>
        <w:t>:</w:t>
      </w:r>
    </w:p>
    <w:p w14:paraId="7E5D86C4" w14:textId="77777777" w:rsidR="00E72FD9" w:rsidRDefault="00E72FD9" w:rsidP="00E72FD9">
      <w:pPr>
        <w:pStyle w:val="Bullet1-Black"/>
      </w:pPr>
      <w:r>
        <w:t xml:space="preserve">by post </w:t>
      </w:r>
      <w:r w:rsidRPr="007B31B4">
        <w:t>to:</w:t>
      </w:r>
    </w:p>
    <w:p w14:paraId="6507FBB8" w14:textId="77777777" w:rsidR="00E72FD9" w:rsidRDefault="00E72FD9" w:rsidP="00E72FD9">
      <w:pPr>
        <w:pStyle w:val="Bullet1-Black"/>
        <w:numPr>
          <w:ilvl w:val="0"/>
          <w:numId w:val="0"/>
        </w:numPr>
        <w:ind w:left="387"/>
      </w:pPr>
      <w:r w:rsidRPr="00E72FD9">
        <w:t>Proposed Road Safety (Drivers) Regulations 2019</w:t>
      </w:r>
      <w:r>
        <w:t xml:space="preserve"> consultation</w:t>
      </w:r>
    </w:p>
    <w:p w14:paraId="7E50BF0C" w14:textId="77777777" w:rsidR="00E72FD9" w:rsidRDefault="00E72FD9" w:rsidP="00E72FD9">
      <w:pPr>
        <w:pStyle w:val="Bullet1-Black"/>
        <w:numPr>
          <w:ilvl w:val="0"/>
          <w:numId w:val="0"/>
        </w:numPr>
        <w:ind w:left="387"/>
      </w:pPr>
      <w:r>
        <w:t>Department of Transport</w:t>
      </w:r>
    </w:p>
    <w:p w14:paraId="7ABE1D33" w14:textId="77777777" w:rsidR="00E72FD9" w:rsidRDefault="00E72FD9" w:rsidP="00E72FD9">
      <w:pPr>
        <w:pStyle w:val="Bullet1-Black"/>
        <w:numPr>
          <w:ilvl w:val="0"/>
          <w:numId w:val="0"/>
        </w:numPr>
        <w:ind w:left="387"/>
      </w:pPr>
      <w:r w:rsidRPr="00E72FD9">
        <w:t>GPO BOX 2392</w:t>
      </w:r>
    </w:p>
    <w:p w14:paraId="6A7338D1" w14:textId="77777777" w:rsidR="00E72FD9" w:rsidRDefault="00E72FD9" w:rsidP="00E72FD9">
      <w:pPr>
        <w:pStyle w:val="Bullet1-Black"/>
        <w:numPr>
          <w:ilvl w:val="0"/>
          <w:numId w:val="0"/>
        </w:numPr>
        <w:ind w:left="387"/>
      </w:pPr>
      <w:r>
        <w:t>Level 10, 1 Spring Street</w:t>
      </w:r>
    </w:p>
    <w:p w14:paraId="61579D8A" w14:textId="77777777" w:rsidR="00E72FD9" w:rsidRDefault="00E72FD9" w:rsidP="00E72FD9">
      <w:pPr>
        <w:pStyle w:val="Bullet1-Black"/>
        <w:numPr>
          <w:ilvl w:val="0"/>
          <w:numId w:val="0"/>
        </w:numPr>
        <w:ind w:left="387"/>
      </w:pPr>
      <w:r>
        <w:t>Melbourne Victoria 3001</w:t>
      </w:r>
    </w:p>
    <w:p w14:paraId="35AF7B18" w14:textId="77777777" w:rsidR="00E72FD9" w:rsidRDefault="00E72FD9" w:rsidP="00E72FD9">
      <w:pPr>
        <w:pStyle w:val="Bullet1-Black"/>
        <w:numPr>
          <w:ilvl w:val="0"/>
          <w:numId w:val="0"/>
        </w:numPr>
        <w:ind w:left="387"/>
      </w:pPr>
    </w:p>
    <w:p w14:paraId="090D4C82" w14:textId="683352D9" w:rsidR="00AE3D94" w:rsidRPr="00AE3D94" w:rsidRDefault="00CE30A2" w:rsidP="00E1464C">
      <w:pPr>
        <w:pStyle w:val="Bullet1-Black"/>
      </w:pPr>
      <w:r>
        <w:t xml:space="preserve">or </w:t>
      </w:r>
      <w:r w:rsidR="005C2F8C">
        <w:t>r</w:t>
      </w:r>
      <w:r w:rsidR="00AE3D94" w:rsidRPr="00AE3D94">
        <w:t xml:space="preserve">esponses can be submitted online through the </w:t>
      </w:r>
      <w:r w:rsidR="0026454D">
        <w:t>Department of Transport’s Get Involved</w:t>
      </w:r>
      <w:r w:rsidR="00AE3D94" w:rsidRPr="00AE3D94">
        <w:t xml:space="preserve"> website: </w:t>
      </w:r>
      <w:r w:rsidR="0026454D" w:rsidRPr="0026454D">
        <w:rPr>
          <w:rStyle w:val="Hyperlink"/>
        </w:rPr>
        <w:t>https://getinvolved.transport.vic.gov.au/</w:t>
      </w:r>
    </w:p>
    <w:p w14:paraId="5E3CBBB7" w14:textId="42E4B021" w:rsidR="00A52A7B" w:rsidRDefault="00055FB1" w:rsidP="00055FB1">
      <w:pPr>
        <w:pStyle w:val="TextPara"/>
      </w:pPr>
      <w:r>
        <w:t>Please clearly identify that your comme</w:t>
      </w:r>
      <w:r w:rsidR="00AE3D94">
        <w:t>nts or submission relates to this</w:t>
      </w:r>
      <w:r>
        <w:t xml:space="preserve"> RIS by placing ‘</w:t>
      </w:r>
      <w:r w:rsidR="00A454C8">
        <w:t>Submission on p</w:t>
      </w:r>
      <w:r w:rsidR="00CA1127">
        <w:t xml:space="preserve">roposed </w:t>
      </w:r>
      <w:r>
        <w:t>Road Safety (Drivers) Regulations 2019’ in the document heading if submitted by post. All comments and submissions will be considered prior to the Regulations being made.</w:t>
      </w:r>
    </w:p>
    <w:p w14:paraId="5AFA46ED" w14:textId="140D9E6D" w:rsidR="008A5B68" w:rsidRDefault="008A5B68" w:rsidP="00A52A7B">
      <w:pPr>
        <w:pStyle w:val="TextPara"/>
      </w:pPr>
    </w:p>
    <w:p w14:paraId="69836A80" w14:textId="7199A576" w:rsidR="0026454D" w:rsidRDefault="0026454D" w:rsidP="00A52A7B">
      <w:pPr>
        <w:pStyle w:val="TextPara"/>
      </w:pPr>
    </w:p>
    <w:p w14:paraId="45DF50B3" w14:textId="77777777" w:rsidR="0026454D" w:rsidRDefault="0026454D" w:rsidP="00A52A7B">
      <w:pPr>
        <w:pStyle w:val="TextPara"/>
      </w:pPr>
    </w:p>
    <w:p w14:paraId="4E7FDE12" w14:textId="77777777" w:rsidR="008A5B68" w:rsidRDefault="007B31B4" w:rsidP="009E63DE">
      <w:pPr>
        <w:pStyle w:val="TableParagraph"/>
      </w:pPr>
      <w:r w:rsidRPr="007B31B4">
        <w:t xml:space="preserve">© </w:t>
      </w:r>
      <w:r w:rsidR="00BE5D63">
        <w:t xml:space="preserve">Copyright </w:t>
      </w:r>
      <w:r w:rsidR="00CC4EB9">
        <w:t xml:space="preserve">2019 </w:t>
      </w:r>
      <w:r w:rsidR="00A52A7B">
        <w:t>Government of Victoria</w:t>
      </w:r>
      <w:r w:rsidR="00CC4EB9">
        <w:t>, Department of Transport</w:t>
      </w:r>
      <w:r w:rsidRPr="007B31B4">
        <w:t xml:space="preserve">. </w:t>
      </w:r>
    </w:p>
    <w:p w14:paraId="1A772891" w14:textId="77777777" w:rsidR="007B31B4" w:rsidRPr="007B31B4" w:rsidRDefault="007B31B4" w:rsidP="009E63DE">
      <w:pPr>
        <w:pStyle w:val="TableParagraph"/>
      </w:pPr>
      <w:r w:rsidRPr="007B31B4">
        <w:t xml:space="preserve">This publication is copyright. No part may be reproduced by any process except in accordance with the provisions of the </w:t>
      </w:r>
      <w:r w:rsidRPr="00A52A7B">
        <w:rPr>
          <w:i/>
        </w:rPr>
        <w:t>Copyright Act 1986</w:t>
      </w:r>
      <w:r w:rsidRPr="007B31B4">
        <w:t>.</w:t>
      </w:r>
    </w:p>
    <w:p w14:paraId="685BF5DA" w14:textId="77777777" w:rsidR="009E63DE" w:rsidRDefault="009E63DE" w:rsidP="009E63DE">
      <w:pPr>
        <w:pStyle w:val="TableParagraph"/>
      </w:pPr>
    </w:p>
    <w:p w14:paraId="2AF3885C" w14:textId="77777777" w:rsidR="007B31B4" w:rsidRDefault="007B31B4" w:rsidP="009E63DE">
      <w:pPr>
        <w:pStyle w:val="TableParagraph"/>
        <w:rPr>
          <w:rFonts w:eastAsia="Times New Roman"/>
          <w:b/>
          <w:sz w:val="24"/>
        </w:rPr>
      </w:pPr>
      <w:r w:rsidRPr="002979E5">
        <w:rPr>
          <w:b/>
        </w:rPr>
        <w:t>Disclaimer</w:t>
      </w:r>
      <w:r w:rsidRPr="007B31B4">
        <w:t>: This publication may be of assistance to you, but the State of Victoria and its employees do not guarantee that the publication is without flaw or is wholly appropriate for your particular purposes and therefore disclaims all liability for an error, loss or other consequence that may arise from you relying on any information in this publication.</w:t>
      </w:r>
      <w:r>
        <w:br w:type="page"/>
      </w:r>
    </w:p>
    <w:p w14:paraId="24E32C7D" w14:textId="77777777" w:rsidR="000316B1" w:rsidRPr="00117C96" w:rsidRDefault="00C35F90" w:rsidP="00D57D8E">
      <w:pPr>
        <w:keepNext/>
        <w:rPr>
          <w:rFonts w:ascii="Segoe UI" w:hAnsi="Segoe UI" w:cs="Segoe UI"/>
          <w:b/>
          <w:color w:val="39B54A" w:themeColor="accent1"/>
          <w:sz w:val="36"/>
        </w:rPr>
      </w:pPr>
      <w:r w:rsidRPr="00933C3A">
        <w:rPr>
          <w:rFonts w:ascii="Segoe UI" w:hAnsi="Segoe UI" w:cs="Segoe UI"/>
          <w:b/>
          <w:color w:val="0C81BC"/>
          <w:sz w:val="36"/>
        </w:rPr>
        <w:lastRenderedPageBreak/>
        <w:t>Content</w:t>
      </w:r>
    </w:p>
    <w:p w14:paraId="7D9D5A2D" w14:textId="379E7B6A" w:rsidR="00EB4B02" w:rsidRDefault="00A732D9">
      <w:pPr>
        <w:pStyle w:val="TOC1"/>
        <w:rPr>
          <w:rFonts w:asciiTheme="minorHAnsi" w:eastAsiaTheme="minorEastAsia" w:hAnsiTheme="minorHAnsi" w:cstheme="minorBidi"/>
          <w:b w:val="0"/>
          <w:bCs w:val="0"/>
          <w:szCs w:val="22"/>
          <w:lang w:eastAsia="en-AU"/>
        </w:rPr>
      </w:pPr>
      <w:r w:rsidRPr="00117C96">
        <w:fldChar w:fldCharType="begin"/>
      </w:r>
      <w:r w:rsidR="0059570E" w:rsidRPr="00117C96">
        <w:instrText xml:space="preserve"> TOC \o "2-3" \h \z \t "Heading 1,1,Heading 1 (Numbered),1,AppendixHeading1,1,Heading1-NoNum,1,Appendix1,1,Appendix2,2,Appendix3,3,HeadingNoNum,1,HeadingSubNoNum,2,PartHeading,1" </w:instrText>
      </w:r>
      <w:r w:rsidRPr="00117C96">
        <w:fldChar w:fldCharType="separate"/>
      </w:r>
      <w:hyperlink w:anchor="_Toc10703390" w:history="1">
        <w:r w:rsidR="00EB4B02" w:rsidRPr="00A43E67">
          <w:rPr>
            <w:rStyle w:val="Hyperlink"/>
          </w:rPr>
          <w:t>Executive Summary</w:t>
        </w:r>
        <w:r w:rsidR="00EB4B02">
          <w:rPr>
            <w:webHidden/>
          </w:rPr>
          <w:tab/>
        </w:r>
        <w:r w:rsidR="00EB4B02">
          <w:rPr>
            <w:webHidden/>
          </w:rPr>
          <w:fldChar w:fldCharType="begin"/>
        </w:r>
        <w:r w:rsidR="00EB4B02">
          <w:rPr>
            <w:webHidden/>
          </w:rPr>
          <w:instrText xml:space="preserve"> PAGEREF _Toc10703390 \h </w:instrText>
        </w:r>
        <w:r w:rsidR="00EB4B02">
          <w:rPr>
            <w:webHidden/>
          </w:rPr>
        </w:r>
        <w:r w:rsidR="00EB4B02">
          <w:rPr>
            <w:webHidden/>
          </w:rPr>
          <w:fldChar w:fldCharType="separate"/>
        </w:r>
        <w:r w:rsidR="00EB4B02">
          <w:rPr>
            <w:webHidden/>
          </w:rPr>
          <w:t>10</w:t>
        </w:r>
        <w:r w:rsidR="00EB4B02">
          <w:rPr>
            <w:webHidden/>
          </w:rPr>
          <w:fldChar w:fldCharType="end"/>
        </w:r>
      </w:hyperlink>
    </w:p>
    <w:p w14:paraId="18996337" w14:textId="588E84C8" w:rsidR="00EB4B02" w:rsidRDefault="003C7C88">
      <w:pPr>
        <w:pStyle w:val="TOC1"/>
        <w:rPr>
          <w:rFonts w:asciiTheme="minorHAnsi" w:eastAsiaTheme="minorEastAsia" w:hAnsiTheme="minorHAnsi" w:cstheme="minorBidi"/>
          <w:b w:val="0"/>
          <w:bCs w:val="0"/>
          <w:szCs w:val="22"/>
          <w:lang w:eastAsia="en-AU"/>
        </w:rPr>
      </w:pPr>
      <w:hyperlink w:anchor="_Toc10703391" w:history="1">
        <w:r w:rsidR="00EB4B02" w:rsidRPr="00A43E67">
          <w:rPr>
            <w:rStyle w:val="Hyperlink"/>
          </w:rPr>
          <w:t>PART 1 –</w:t>
        </w:r>
        <w:r w:rsidR="00EB4B02">
          <w:rPr>
            <w:rFonts w:asciiTheme="minorHAnsi" w:eastAsiaTheme="minorEastAsia" w:hAnsiTheme="minorHAnsi" w:cstheme="minorBidi"/>
            <w:b w:val="0"/>
            <w:bCs w:val="0"/>
            <w:szCs w:val="22"/>
            <w:lang w:eastAsia="en-AU"/>
          </w:rPr>
          <w:tab/>
        </w:r>
        <w:r w:rsidR="00EB4B02" w:rsidRPr="00A43E67">
          <w:rPr>
            <w:rStyle w:val="Hyperlink"/>
          </w:rPr>
          <w:t>INTRODUCTION</w:t>
        </w:r>
        <w:r w:rsidR="00EB4B02">
          <w:rPr>
            <w:webHidden/>
          </w:rPr>
          <w:tab/>
        </w:r>
        <w:r w:rsidR="00EB4B02">
          <w:rPr>
            <w:webHidden/>
          </w:rPr>
          <w:fldChar w:fldCharType="begin"/>
        </w:r>
        <w:r w:rsidR="00EB4B02">
          <w:rPr>
            <w:webHidden/>
          </w:rPr>
          <w:instrText xml:space="preserve"> PAGEREF _Toc10703391 \h </w:instrText>
        </w:r>
        <w:r w:rsidR="00EB4B02">
          <w:rPr>
            <w:webHidden/>
          </w:rPr>
        </w:r>
        <w:r w:rsidR="00EB4B02">
          <w:rPr>
            <w:webHidden/>
          </w:rPr>
          <w:fldChar w:fldCharType="separate"/>
        </w:r>
        <w:r w:rsidR="00EB4B02">
          <w:rPr>
            <w:webHidden/>
          </w:rPr>
          <w:t>17</w:t>
        </w:r>
        <w:r w:rsidR="00EB4B02">
          <w:rPr>
            <w:webHidden/>
          </w:rPr>
          <w:fldChar w:fldCharType="end"/>
        </w:r>
      </w:hyperlink>
    </w:p>
    <w:p w14:paraId="4F7FF9FD" w14:textId="5440732C" w:rsidR="00EB4B02" w:rsidRDefault="003C7C88">
      <w:pPr>
        <w:pStyle w:val="TOC1"/>
        <w:rPr>
          <w:rFonts w:asciiTheme="minorHAnsi" w:eastAsiaTheme="minorEastAsia" w:hAnsiTheme="minorHAnsi" w:cstheme="minorBidi"/>
          <w:b w:val="0"/>
          <w:bCs w:val="0"/>
          <w:szCs w:val="22"/>
          <w:lang w:eastAsia="en-AU"/>
        </w:rPr>
      </w:pPr>
      <w:hyperlink w:anchor="_Toc10703392" w:history="1">
        <w:r w:rsidR="00EB4B02" w:rsidRPr="00A43E67">
          <w:rPr>
            <w:rStyle w:val="Hyperlink"/>
          </w:rPr>
          <w:t>1</w:t>
        </w:r>
        <w:r w:rsidR="00EB4B02">
          <w:rPr>
            <w:rFonts w:asciiTheme="minorHAnsi" w:eastAsiaTheme="minorEastAsia" w:hAnsiTheme="minorHAnsi" w:cstheme="minorBidi"/>
            <w:b w:val="0"/>
            <w:bCs w:val="0"/>
            <w:szCs w:val="22"/>
            <w:lang w:eastAsia="en-AU"/>
          </w:rPr>
          <w:tab/>
        </w:r>
        <w:r w:rsidR="00EB4B02" w:rsidRPr="00A43E67">
          <w:rPr>
            <w:rStyle w:val="Hyperlink"/>
          </w:rPr>
          <w:t>Legislative and policy framework</w:t>
        </w:r>
        <w:r w:rsidR="00EB4B02">
          <w:rPr>
            <w:webHidden/>
          </w:rPr>
          <w:tab/>
        </w:r>
        <w:r w:rsidR="00EB4B02">
          <w:rPr>
            <w:webHidden/>
          </w:rPr>
          <w:fldChar w:fldCharType="begin"/>
        </w:r>
        <w:r w:rsidR="00EB4B02">
          <w:rPr>
            <w:webHidden/>
          </w:rPr>
          <w:instrText xml:space="preserve"> PAGEREF _Toc10703392 \h </w:instrText>
        </w:r>
        <w:r w:rsidR="00EB4B02">
          <w:rPr>
            <w:webHidden/>
          </w:rPr>
        </w:r>
        <w:r w:rsidR="00EB4B02">
          <w:rPr>
            <w:webHidden/>
          </w:rPr>
          <w:fldChar w:fldCharType="separate"/>
        </w:r>
        <w:r w:rsidR="00EB4B02">
          <w:rPr>
            <w:webHidden/>
          </w:rPr>
          <w:t>17</w:t>
        </w:r>
        <w:r w:rsidR="00EB4B02">
          <w:rPr>
            <w:webHidden/>
          </w:rPr>
          <w:fldChar w:fldCharType="end"/>
        </w:r>
      </w:hyperlink>
    </w:p>
    <w:p w14:paraId="7BA643E9" w14:textId="4927E8F9" w:rsidR="00EB4B02" w:rsidRDefault="003C7C88">
      <w:pPr>
        <w:pStyle w:val="TOC2"/>
        <w:rPr>
          <w:rFonts w:asciiTheme="minorHAnsi" w:eastAsiaTheme="minorEastAsia" w:hAnsiTheme="minorHAnsi" w:cstheme="minorBidi"/>
          <w:bCs w:val="0"/>
          <w:sz w:val="22"/>
          <w:szCs w:val="22"/>
          <w:lang w:eastAsia="en-AU"/>
        </w:rPr>
      </w:pPr>
      <w:hyperlink w:anchor="_Toc10703393" w:history="1">
        <w:r w:rsidR="00EB4B02" w:rsidRPr="00A43E67">
          <w:rPr>
            <w:rStyle w:val="Hyperlink"/>
          </w:rPr>
          <w:t>1.1</w:t>
        </w:r>
        <w:r w:rsidR="00EB4B02">
          <w:rPr>
            <w:rFonts w:asciiTheme="minorHAnsi" w:eastAsiaTheme="minorEastAsia" w:hAnsiTheme="minorHAnsi" w:cstheme="minorBidi"/>
            <w:bCs w:val="0"/>
            <w:sz w:val="22"/>
            <w:szCs w:val="22"/>
            <w:lang w:eastAsia="en-AU"/>
          </w:rPr>
          <w:tab/>
        </w:r>
        <w:r w:rsidR="00EB4B02" w:rsidRPr="00A43E67">
          <w:rPr>
            <w:rStyle w:val="Hyperlink"/>
          </w:rPr>
          <w:t>Introduction</w:t>
        </w:r>
        <w:r w:rsidR="00EB4B02">
          <w:rPr>
            <w:webHidden/>
          </w:rPr>
          <w:tab/>
        </w:r>
        <w:r w:rsidR="00EB4B02">
          <w:rPr>
            <w:webHidden/>
          </w:rPr>
          <w:fldChar w:fldCharType="begin"/>
        </w:r>
        <w:r w:rsidR="00EB4B02">
          <w:rPr>
            <w:webHidden/>
          </w:rPr>
          <w:instrText xml:space="preserve"> PAGEREF _Toc10703393 \h </w:instrText>
        </w:r>
        <w:r w:rsidR="00EB4B02">
          <w:rPr>
            <w:webHidden/>
          </w:rPr>
        </w:r>
        <w:r w:rsidR="00EB4B02">
          <w:rPr>
            <w:webHidden/>
          </w:rPr>
          <w:fldChar w:fldCharType="separate"/>
        </w:r>
        <w:r w:rsidR="00EB4B02">
          <w:rPr>
            <w:webHidden/>
          </w:rPr>
          <w:t>17</w:t>
        </w:r>
        <w:r w:rsidR="00EB4B02">
          <w:rPr>
            <w:webHidden/>
          </w:rPr>
          <w:fldChar w:fldCharType="end"/>
        </w:r>
      </w:hyperlink>
    </w:p>
    <w:p w14:paraId="34883C27" w14:textId="184F50AD" w:rsidR="00EB4B02" w:rsidRDefault="003C7C88">
      <w:pPr>
        <w:pStyle w:val="TOC2"/>
        <w:rPr>
          <w:rFonts w:asciiTheme="minorHAnsi" w:eastAsiaTheme="minorEastAsia" w:hAnsiTheme="minorHAnsi" w:cstheme="minorBidi"/>
          <w:bCs w:val="0"/>
          <w:sz w:val="22"/>
          <w:szCs w:val="22"/>
          <w:lang w:eastAsia="en-AU"/>
        </w:rPr>
      </w:pPr>
      <w:hyperlink w:anchor="_Toc10703394" w:history="1">
        <w:r w:rsidR="00EB4B02" w:rsidRPr="00A43E67">
          <w:rPr>
            <w:rStyle w:val="Hyperlink"/>
          </w:rPr>
          <w:t>1.2</w:t>
        </w:r>
        <w:r w:rsidR="00EB4B02">
          <w:rPr>
            <w:rFonts w:asciiTheme="minorHAnsi" w:eastAsiaTheme="minorEastAsia" w:hAnsiTheme="minorHAnsi" w:cstheme="minorBidi"/>
            <w:bCs w:val="0"/>
            <w:sz w:val="22"/>
            <w:szCs w:val="22"/>
            <w:lang w:eastAsia="en-AU"/>
          </w:rPr>
          <w:tab/>
        </w:r>
        <w:r w:rsidR="00EB4B02" w:rsidRPr="00A43E67">
          <w:rPr>
            <w:rStyle w:val="Hyperlink"/>
          </w:rPr>
          <w:t>The broader road safety policy environment</w:t>
        </w:r>
        <w:r w:rsidR="00EB4B02">
          <w:rPr>
            <w:webHidden/>
          </w:rPr>
          <w:tab/>
        </w:r>
        <w:r w:rsidR="00EB4B02">
          <w:rPr>
            <w:webHidden/>
          </w:rPr>
          <w:fldChar w:fldCharType="begin"/>
        </w:r>
        <w:r w:rsidR="00EB4B02">
          <w:rPr>
            <w:webHidden/>
          </w:rPr>
          <w:instrText xml:space="preserve"> PAGEREF _Toc10703394 \h </w:instrText>
        </w:r>
        <w:r w:rsidR="00EB4B02">
          <w:rPr>
            <w:webHidden/>
          </w:rPr>
        </w:r>
        <w:r w:rsidR="00EB4B02">
          <w:rPr>
            <w:webHidden/>
          </w:rPr>
          <w:fldChar w:fldCharType="separate"/>
        </w:r>
        <w:r w:rsidR="00EB4B02">
          <w:rPr>
            <w:webHidden/>
          </w:rPr>
          <w:t>17</w:t>
        </w:r>
        <w:r w:rsidR="00EB4B02">
          <w:rPr>
            <w:webHidden/>
          </w:rPr>
          <w:fldChar w:fldCharType="end"/>
        </w:r>
      </w:hyperlink>
    </w:p>
    <w:p w14:paraId="69787D68" w14:textId="52C84228" w:rsidR="00EB4B02" w:rsidRDefault="003C7C88">
      <w:pPr>
        <w:pStyle w:val="TOC2"/>
        <w:rPr>
          <w:rFonts w:asciiTheme="minorHAnsi" w:eastAsiaTheme="minorEastAsia" w:hAnsiTheme="minorHAnsi" w:cstheme="minorBidi"/>
          <w:bCs w:val="0"/>
          <w:sz w:val="22"/>
          <w:szCs w:val="22"/>
          <w:lang w:eastAsia="en-AU"/>
        </w:rPr>
      </w:pPr>
      <w:hyperlink w:anchor="_Toc10703395" w:history="1">
        <w:r w:rsidR="00EB4B02" w:rsidRPr="00A43E67">
          <w:rPr>
            <w:rStyle w:val="Hyperlink"/>
          </w:rPr>
          <w:t>1.3</w:t>
        </w:r>
        <w:r w:rsidR="00EB4B02">
          <w:rPr>
            <w:rFonts w:asciiTheme="minorHAnsi" w:eastAsiaTheme="minorEastAsia" w:hAnsiTheme="minorHAnsi" w:cstheme="minorBidi"/>
            <w:bCs w:val="0"/>
            <w:sz w:val="22"/>
            <w:szCs w:val="22"/>
            <w:lang w:eastAsia="en-AU"/>
          </w:rPr>
          <w:tab/>
        </w:r>
        <w:r w:rsidR="00EB4B02" w:rsidRPr="00A43E67">
          <w:rPr>
            <w:rStyle w:val="Hyperlink"/>
          </w:rPr>
          <w:t>Other relevant legislation, regulations and agreements</w:t>
        </w:r>
        <w:r w:rsidR="00EB4B02">
          <w:rPr>
            <w:webHidden/>
          </w:rPr>
          <w:tab/>
        </w:r>
        <w:r w:rsidR="00EB4B02">
          <w:rPr>
            <w:webHidden/>
          </w:rPr>
          <w:fldChar w:fldCharType="begin"/>
        </w:r>
        <w:r w:rsidR="00EB4B02">
          <w:rPr>
            <w:webHidden/>
          </w:rPr>
          <w:instrText xml:space="preserve"> PAGEREF _Toc10703395 \h </w:instrText>
        </w:r>
        <w:r w:rsidR="00EB4B02">
          <w:rPr>
            <w:webHidden/>
          </w:rPr>
        </w:r>
        <w:r w:rsidR="00EB4B02">
          <w:rPr>
            <w:webHidden/>
          </w:rPr>
          <w:fldChar w:fldCharType="separate"/>
        </w:r>
        <w:r w:rsidR="00EB4B02">
          <w:rPr>
            <w:webHidden/>
          </w:rPr>
          <w:t>18</w:t>
        </w:r>
        <w:r w:rsidR="00EB4B02">
          <w:rPr>
            <w:webHidden/>
          </w:rPr>
          <w:fldChar w:fldCharType="end"/>
        </w:r>
      </w:hyperlink>
    </w:p>
    <w:p w14:paraId="4E6FE56F" w14:textId="11726342" w:rsidR="00EB4B02" w:rsidRDefault="003C7C88">
      <w:pPr>
        <w:pStyle w:val="TOC3"/>
        <w:rPr>
          <w:rFonts w:asciiTheme="minorHAnsi" w:eastAsiaTheme="minorEastAsia" w:hAnsiTheme="minorHAnsi" w:cstheme="minorBidi"/>
          <w:sz w:val="22"/>
          <w:szCs w:val="22"/>
          <w:lang w:eastAsia="en-AU"/>
        </w:rPr>
      </w:pPr>
      <w:hyperlink w:anchor="_Toc10703396" w:history="1">
        <w:r w:rsidR="00EB4B02" w:rsidRPr="00A43E67">
          <w:rPr>
            <w:rStyle w:val="Hyperlink"/>
            <w14:scene3d>
              <w14:camera w14:prst="orthographicFront"/>
              <w14:lightRig w14:rig="threePt" w14:dir="t">
                <w14:rot w14:lat="0" w14:lon="0" w14:rev="0"/>
              </w14:lightRig>
            </w14:scene3d>
          </w:rPr>
          <w:t>1.3.1</w:t>
        </w:r>
        <w:r w:rsidR="00EB4B02">
          <w:rPr>
            <w:rFonts w:asciiTheme="minorHAnsi" w:eastAsiaTheme="minorEastAsia" w:hAnsiTheme="minorHAnsi" w:cstheme="minorBidi"/>
            <w:sz w:val="22"/>
            <w:szCs w:val="22"/>
            <w:lang w:eastAsia="en-AU"/>
          </w:rPr>
          <w:tab/>
        </w:r>
        <w:r w:rsidR="00EB4B02" w:rsidRPr="00A43E67">
          <w:rPr>
            <w:rStyle w:val="Hyperlink"/>
          </w:rPr>
          <w:t>National standards and policy frameworks</w:t>
        </w:r>
        <w:r w:rsidR="00EB4B02">
          <w:rPr>
            <w:webHidden/>
          </w:rPr>
          <w:tab/>
        </w:r>
        <w:r w:rsidR="00EB4B02">
          <w:rPr>
            <w:webHidden/>
          </w:rPr>
          <w:fldChar w:fldCharType="begin"/>
        </w:r>
        <w:r w:rsidR="00EB4B02">
          <w:rPr>
            <w:webHidden/>
          </w:rPr>
          <w:instrText xml:space="preserve"> PAGEREF _Toc10703396 \h </w:instrText>
        </w:r>
        <w:r w:rsidR="00EB4B02">
          <w:rPr>
            <w:webHidden/>
          </w:rPr>
        </w:r>
        <w:r w:rsidR="00EB4B02">
          <w:rPr>
            <w:webHidden/>
          </w:rPr>
          <w:fldChar w:fldCharType="separate"/>
        </w:r>
        <w:r w:rsidR="00EB4B02">
          <w:rPr>
            <w:webHidden/>
          </w:rPr>
          <w:t>18</w:t>
        </w:r>
        <w:r w:rsidR="00EB4B02">
          <w:rPr>
            <w:webHidden/>
          </w:rPr>
          <w:fldChar w:fldCharType="end"/>
        </w:r>
      </w:hyperlink>
    </w:p>
    <w:p w14:paraId="35C1A752" w14:textId="2163E6A2" w:rsidR="00EB4B02" w:rsidRDefault="003C7C88">
      <w:pPr>
        <w:pStyle w:val="TOC3"/>
        <w:rPr>
          <w:rFonts w:asciiTheme="minorHAnsi" w:eastAsiaTheme="minorEastAsia" w:hAnsiTheme="minorHAnsi" w:cstheme="minorBidi"/>
          <w:sz w:val="22"/>
          <w:szCs w:val="22"/>
          <w:lang w:eastAsia="en-AU"/>
        </w:rPr>
      </w:pPr>
      <w:hyperlink w:anchor="_Toc10703397" w:history="1">
        <w:r w:rsidR="00EB4B02" w:rsidRPr="00A43E67">
          <w:rPr>
            <w:rStyle w:val="Hyperlink"/>
            <w14:scene3d>
              <w14:camera w14:prst="orthographicFront"/>
              <w14:lightRig w14:rig="threePt" w14:dir="t">
                <w14:rot w14:lat="0" w14:lon="0" w14:rev="0"/>
              </w14:lightRig>
            </w14:scene3d>
          </w:rPr>
          <w:t>1.3.2</w:t>
        </w:r>
        <w:r w:rsidR="00EB4B02">
          <w:rPr>
            <w:rFonts w:asciiTheme="minorHAnsi" w:eastAsiaTheme="minorEastAsia" w:hAnsiTheme="minorHAnsi" w:cstheme="minorBidi"/>
            <w:sz w:val="22"/>
            <w:szCs w:val="22"/>
            <w:lang w:eastAsia="en-AU"/>
          </w:rPr>
          <w:tab/>
        </w:r>
        <w:r w:rsidR="00EB4B02" w:rsidRPr="00A43E67">
          <w:rPr>
            <w:rStyle w:val="Hyperlink"/>
          </w:rPr>
          <w:t>Victorian legislation</w:t>
        </w:r>
        <w:r w:rsidR="00EB4B02">
          <w:rPr>
            <w:webHidden/>
          </w:rPr>
          <w:tab/>
        </w:r>
        <w:r w:rsidR="00EB4B02">
          <w:rPr>
            <w:webHidden/>
          </w:rPr>
          <w:fldChar w:fldCharType="begin"/>
        </w:r>
        <w:r w:rsidR="00EB4B02">
          <w:rPr>
            <w:webHidden/>
          </w:rPr>
          <w:instrText xml:space="preserve"> PAGEREF _Toc10703397 \h </w:instrText>
        </w:r>
        <w:r w:rsidR="00EB4B02">
          <w:rPr>
            <w:webHidden/>
          </w:rPr>
        </w:r>
        <w:r w:rsidR="00EB4B02">
          <w:rPr>
            <w:webHidden/>
          </w:rPr>
          <w:fldChar w:fldCharType="separate"/>
        </w:r>
        <w:r w:rsidR="00EB4B02">
          <w:rPr>
            <w:webHidden/>
          </w:rPr>
          <w:t>26</w:t>
        </w:r>
        <w:r w:rsidR="00EB4B02">
          <w:rPr>
            <w:webHidden/>
          </w:rPr>
          <w:fldChar w:fldCharType="end"/>
        </w:r>
      </w:hyperlink>
    </w:p>
    <w:p w14:paraId="613CC004" w14:textId="677C1297" w:rsidR="00EB4B02" w:rsidRDefault="003C7C88">
      <w:pPr>
        <w:pStyle w:val="TOC1"/>
        <w:rPr>
          <w:rFonts w:asciiTheme="minorHAnsi" w:eastAsiaTheme="minorEastAsia" w:hAnsiTheme="minorHAnsi" w:cstheme="minorBidi"/>
          <w:b w:val="0"/>
          <w:bCs w:val="0"/>
          <w:szCs w:val="22"/>
          <w:lang w:eastAsia="en-AU"/>
        </w:rPr>
      </w:pPr>
      <w:hyperlink w:anchor="_Toc10703398" w:history="1">
        <w:r w:rsidR="00EB4B02" w:rsidRPr="00A43E67">
          <w:rPr>
            <w:rStyle w:val="Hyperlink"/>
          </w:rPr>
          <w:t>2</w:t>
        </w:r>
        <w:r w:rsidR="00EB4B02">
          <w:rPr>
            <w:rFonts w:asciiTheme="minorHAnsi" w:eastAsiaTheme="minorEastAsia" w:hAnsiTheme="minorHAnsi" w:cstheme="minorBidi"/>
            <w:b w:val="0"/>
            <w:bCs w:val="0"/>
            <w:szCs w:val="22"/>
            <w:lang w:eastAsia="en-AU"/>
          </w:rPr>
          <w:tab/>
        </w:r>
        <w:r w:rsidR="00EB4B02" w:rsidRPr="00A43E67">
          <w:rPr>
            <w:rStyle w:val="Hyperlink"/>
          </w:rPr>
          <w:t>Regulatory Impact Statement Approach</w:t>
        </w:r>
        <w:r w:rsidR="00EB4B02">
          <w:rPr>
            <w:webHidden/>
          </w:rPr>
          <w:tab/>
        </w:r>
        <w:r w:rsidR="00EB4B02">
          <w:rPr>
            <w:webHidden/>
          </w:rPr>
          <w:fldChar w:fldCharType="begin"/>
        </w:r>
        <w:r w:rsidR="00EB4B02">
          <w:rPr>
            <w:webHidden/>
          </w:rPr>
          <w:instrText xml:space="preserve"> PAGEREF _Toc10703398 \h </w:instrText>
        </w:r>
        <w:r w:rsidR="00EB4B02">
          <w:rPr>
            <w:webHidden/>
          </w:rPr>
        </w:r>
        <w:r w:rsidR="00EB4B02">
          <w:rPr>
            <w:webHidden/>
          </w:rPr>
          <w:fldChar w:fldCharType="separate"/>
        </w:r>
        <w:r w:rsidR="00EB4B02">
          <w:rPr>
            <w:webHidden/>
          </w:rPr>
          <w:t>30</w:t>
        </w:r>
        <w:r w:rsidR="00EB4B02">
          <w:rPr>
            <w:webHidden/>
          </w:rPr>
          <w:fldChar w:fldCharType="end"/>
        </w:r>
      </w:hyperlink>
    </w:p>
    <w:p w14:paraId="729F4160" w14:textId="0D527290" w:rsidR="00EB4B02" w:rsidRDefault="003C7C88">
      <w:pPr>
        <w:pStyle w:val="TOC2"/>
        <w:rPr>
          <w:rFonts w:asciiTheme="minorHAnsi" w:eastAsiaTheme="minorEastAsia" w:hAnsiTheme="minorHAnsi" w:cstheme="minorBidi"/>
          <w:bCs w:val="0"/>
          <w:sz w:val="22"/>
          <w:szCs w:val="22"/>
          <w:lang w:eastAsia="en-AU"/>
        </w:rPr>
      </w:pPr>
      <w:hyperlink w:anchor="_Toc10703399" w:history="1">
        <w:r w:rsidR="00EB4B02" w:rsidRPr="00A43E67">
          <w:rPr>
            <w:rStyle w:val="Hyperlink"/>
          </w:rPr>
          <w:t>2.1</w:t>
        </w:r>
        <w:r w:rsidR="00EB4B02">
          <w:rPr>
            <w:rFonts w:asciiTheme="minorHAnsi" w:eastAsiaTheme="minorEastAsia" w:hAnsiTheme="minorHAnsi" w:cstheme="minorBidi"/>
            <w:bCs w:val="0"/>
            <w:sz w:val="22"/>
            <w:szCs w:val="22"/>
            <w:lang w:eastAsia="en-AU"/>
          </w:rPr>
          <w:tab/>
        </w:r>
        <w:r w:rsidR="00EB4B02" w:rsidRPr="00A43E67">
          <w:rPr>
            <w:rStyle w:val="Hyperlink"/>
          </w:rPr>
          <w:t>Review approach</w:t>
        </w:r>
        <w:r w:rsidR="00EB4B02">
          <w:rPr>
            <w:webHidden/>
          </w:rPr>
          <w:tab/>
        </w:r>
        <w:r w:rsidR="00EB4B02">
          <w:rPr>
            <w:webHidden/>
          </w:rPr>
          <w:fldChar w:fldCharType="begin"/>
        </w:r>
        <w:r w:rsidR="00EB4B02">
          <w:rPr>
            <w:webHidden/>
          </w:rPr>
          <w:instrText xml:space="preserve"> PAGEREF _Toc10703399 \h </w:instrText>
        </w:r>
        <w:r w:rsidR="00EB4B02">
          <w:rPr>
            <w:webHidden/>
          </w:rPr>
        </w:r>
        <w:r w:rsidR="00EB4B02">
          <w:rPr>
            <w:webHidden/>
          </w:rPr>
          <w:fldChar w:fldCharType="separate"/>
        </w:r>
        <w:r w:rsidR="00EB4B02">
          <w:rPr>
            <w:webHidden/>
          </w:rPr>
          <w:t>30</w:t>
        </w:r>
        <w:r w:rsidR="00EB4B02">
          <w:rPr>
            <w:webHidden/>
          </w:rPr>
          <w:fldChar w:fldCharType="end"/>
        </w:r>
      </w:hyperlink>
    </w:p>
    <w:p w14:paraId="629BFD9A" w14:textId="2FCF2058" w:rsidR="00EB4B02" w:rsidRDefault="003C7C88">
      <w:pPr>
        <w:pStyle w:val="TOC2"/>
        <w:rPr>
          <w:rFonts w:asciiTheme="minorHAnsi" w:eastAsiaTheme="minorEastAsia" w:hAnsiTheme="minorHAnsi" w:cstheme="minorBidi"/>
          <w:bCs w:val="0"/>
          <w:sz w:val="22"/>
          <w:szCs w:val="22"/>
          <w:lang w:eastAsia="en-AU"/>
        </w:rPr>
      </w:pPr>
      <w:hyperlink w:anchor="_Toc10703400" w:history="1">
        <w:r w:rsidR="00EB4B02" w:rsidRPr="00A43E67">
          <w:rPr>
            <w:rStyle w:val="Hyperlink"/>
          </w:rPr>
          <w:t>2.2</w:t>
        </w:r>
        <w:r w:rsidR="00EB4B02">
          <w:rPr>
            <w:rFonts w:asciiTheme="minorHAnsi" w:eastAsiaTheme="minorEastAsia" w:hAnsiTheme="minorHAnsi" w:cstheme="minorBidi"/>
            <w:bCs w:val="0"/>
            <w:sz w:val="22"/>
            <w:szCs w:val="22"/>
            <w:lang w:eastAsia="en-AU"/>
          </w:rPr>
          <w:tab/>
        </w:r>
        <w:r w:rsidR="00EB4B02" w:rsidRPr="00A43E67">
          <w:rPr>
            <w:rStyle w:val="Hyperlink"/>
          </w:rPr>
          <w:t>RIS structure</w:t>
        </w:r>
        <w:r w:rsidR="00EB4B02">
          <w:rPr>
            <w:webHidden/>
          </w:rPr>
          <w:tab/>
        </w:r>
        <w:r w:rsidR="00EB4B02">
          <w:rPr>
            <w:webHidden/>
          </w:rPr>
          <w:fldChar w:fldCharType="begin"/>
        </w:r>
        <w:r w:rsidR="00EB4B02">
          <w:rPr>
            <w:webHidden/>
          </w:rPr>
          <w:instrText xml:space="preserve"> PAGEREF _Toc10703400 \h </w:instrText>
        </w:r>
        <w:r w:rsidR="00EB4B02">
          <w:rPr>
            <w:webHidden/>
          </w:rPr>
        </w:r>
        <w:r w:rsidR="00EB4B02">
          <w:rPr>
            <w:webHidden/>
          </w:rPr>
          <w:fldChar w:fldCharType="separate"/>
        </w:r>
        <w:r w:rsidR="00EB4B02">
          <w:rPr>
            <w:webHidden/>
          </w:rPr>
          <w:t>31</w:t>
        </w:r>
        <w:r w:rsidR="00EB4B02">
          <w:rPr>
            <w:webHidden/>
          </w:rPr>
          <w:fldChar w:fldCharType="end"/>
        </w:r>
      </w:hyperlink>
    </w:p>
    <w:p w14:paraId="155CF55C" w14:textId="2C40E7F1" w:rsidR="00EB4B02" w:rsidRDefault="003C7C88">
      <w:pPr>
        <w:pStyle w:val="TOC2"/>
        <w:rPr>
          <w:rFonts w:asciiTheme="minorHAnsi" w:eastAsiaTheme="minorEastAsia" w:hAnsiTheme="minorHAnsi" w:cstheme="minorBidi"/>
          <w:bCs w:val="0"/>
          <w:sz w:val="22"/>
          <w:szCs w:val="22"/>
          <w:lang w:eastAsia="en-AU"/>
        </w:rPr>
      </w:pPr>
      <w:hyperlink w:anchor="_Toc10703401" w:history="1">
        <w:r w:rsidR="00EB4B02" w:rsidRPr="00A43E67">
          <w:rPr>
            <w:rStyle w:val="Hyperlink"/>
          </w:rPr>
          <w:t>2.3</w:t>
        </w:r>
        <w:r w:rsidR="00EB4B02">
          <w:rPr>
            <w:rFonts w:asciiTheme="minorHAnsi" w:eastAsiaTheme="minorEastAsia" w:hAnsiTheme="minorHAnsi" w:cstheme="minorBidi"/>
            <w:bCs w:val="0"/>
            <w:sz w:val="22"/>
            <w:szCs w:val="22"/>
            <w:lang w:eastAsia="en-AU"/>
          </w:rPr>
          <w:tab/>
        </w:r>
        <w:r w:rsidR="00EB4B02" w:rsidRPr="00A43E67">
          <w:rPr>
            <w:rStyle w:val="Hyperlink"/>
          </w:rPr>
          <w:t>RIS Scope</w:t>
        </w:r>
        <w:r w:rsidR="00EB4B02">
          <w:rPr>
            <w:webHidden/>
          </w:rPr>
          <w:tab/>
        </w:r>
        <w:r w:rsidR="00EB4B02">
          <w:rPr>
            <w:webHidden/>
          </w:rPr>
          <w:fldChar w:fldCharType="begin"/>
        </w:r>
        <w:r w:rsidR="00EB4B02">
          <w:rPr>
            <w:webHidden/>
          </w:rPr>
          <w:instrText xml:space="preserve"> PAGEREF _Toc10703401 \h </w:instrText>
        </w:r>
        <w:r w:rsidR="00EB4B02">
          <w:rPr>
            <w:webHidden/>
          </w:rPr>
        </w:r>
        <w:r w:rsidR="00EB4B02">
          <w:rPr>
            <w:webHidden/>
          </w:rPr>
          <w:fldChar w:fldCharType="separate"/>
        </w:r>
        <w:r w:rsidR="00EB4B02">
          <w:rPr>
            <w:webHidden/>
          </w:rPr>
          <w:t>32</w:t>
        </w:r>
        <w:r w:rsidR="00EB4B02">
          <w:rPr>
            <w:webHidden/>
          </w:rPr>
          <w:fldChar w:fldCharType="end"/>
        </w:r>
      </w:hyperlink>
    </w:p>
    <w:p w14:paraId="2A3D79EE" w14:textId="16AA1BCD" w:rsidR="00EB4B02" w:rsidRDefault="003C7C88">
      <w:pPr>
        <w:pStyle w:val="TOC2"/>
        <w:rPr>
          <w:rFonts w:asciiTheme="minorHAnsi" w:eastAsiaTheme="minorEastAsia" w:hAnsiTheme="minorHAnsi" w:cstheme="minorBidi"/>
          <w:bCs w:val="0"/>
          <w:sz w:val="22"/>
          <w:szCs w:val="22"/>
          <w:lang w:eastAsia="en-AU"/>
        </w:rPr>
      </w:pPr>
      <w:hyperlink w:anchor="_Toc10703402" w:history="1">
        <w:r w:rsidR="00EB4B02" w:rsidRPr="00A43E67">
          <w:rPr>
            <w:rStyle w:val="Hyperlink"/>
          </w:rPr>
          <w:t>2.4</w:t>
        </w:r>
        <w:r w:rsidR="00EB4B02">
          <w:rPr>
            <w:rFonts w:asciiTheme="minorHAnsi" w:eastAsiaTheme="minorEastAsia" w:hAnsiTheme="minorHAnsi" w:cstheme="minorBidi"/>
            <w:bCs w:val="0"/>
            <w:sz w:val="22"/>
            <w:szCs w:val="22"/>
            <w:lang w:eastAsia="en-AU"/>
          </w:rPr>
          <w:tab/>
        </w:r>
        <w:r w:rsidR="00EB4B02" w:rsidRPr="00A43E67">
          <w:rPr>
            <w:rStyle w:val="Hyperlink"/>
          </w:rPr>
          <w:t>Options identification</w:t>
        </w:r>
        <w:r w:rsidR="00EB4B02">
          <w:rPr>
            <w:webHidden/>
          </w:rPr>
          <w:tab/>
        </w:r>
        <w:r w:rsidR="00EB4B02">
          <w:rPr>
            <w:webHidden/>
          </w:rPr>
          <w:fldChar w:fldCharType="begin"/>
        </w:r>
        <w:r w:rsidR="00EB4B02">
          <w:rPr>
            <w:webHidden/>
          </w:rPr>
          <w:instrText xml:space="preserve"> PAGEREF _Toc10703402 \h </w:instrText>
        </w:r>
        <w:r w:rsidR="00EB4B02">
          <w:rPr>
            <w:webHidden/>
          </w:rPr>
        </w:r>
        <w:r w:rsidR="00EB4B02">
          <w:rPr>
            <w:webHidden/>
          </w:rPr>
          <w:fldChar w:fldCharType="separate"/>
        </w:r>
        <w:r w:rsidR="00EB4B02">
          <w:rPr>
            <w:webHidden/>
          </w:rPr>
          <w:t>32</w:t>
        </w:r>
        <w:r w:rsidR="00EB4B02">
          <w:rPr>
            <w:webHidden/>
          </w:rPr>
          <w:fldChar w:fldCharType="end"/>
        </w:r>
      </w:hyperlink>
    </w:p>
    <w:p w14:paraId="137B5915" w14:textId="651F6A70" w:rsidR="00EB4B02" w:rsidRDefault="003C7C88">
      <w:pPr>
        <w:pStyle w:val="TOC2"/>
        <w:rPr>
          <w:rFonts w:asciiTheme="minorHAnsi" w:eastAsiaTheme="minorEastAsia" w:hAnsiTheme="minorHAnsi" w:cstheme="minorBidi"/>
          <w:bCs w:val="0"/>
          <w:sz w:val="22"/>
          <w:szCs w:val="22"/>
          <w:lang w:eastAsia="en-AU"/>
        </w:rPr>
      </w:pPr>
      <w:hyperlink w:anchor="_Toc10703403" w:history="1">
        <w:r w:rsidR="00EB4B02" w:rsidRPr="00A43E67">
          <w:rPr>
            <w:rStyle w:val="Hyperlink"/>
          </w:rPr>
          <w:t>2.5</w:t>
        </w:r>
        <w:r w:rsidR="00EB4B02">
          <w:rPr>
            <w:rFonts w:asciiTheme="minorHAnsi" w:eastAsiaTheme="minorEastAsia" w:hAnsiTheme="minorHAnsi" w:cstheme="minorBidi"/>
            <w:bCs w:val="0"/>
            <w:sz w:val="22"/>
            <w:szCs w:val="22"/>
            <w:lang w:eastAsia="en-AU"/>
          </w:rPr>
          <w:tab/>
        </w:r>
        <w:r w:rsidR="00EB4B02" w:rsidRPr="00A43E67">
          <w:rPr>
            <w:rStyle w:val="Hyperlink"/>
          </w:rPr>
          <w:t>Options evaluation</w:t>
        </w:r>
        <w:r w:rsidR="00EB4B02">
          <w:rPr>
            <w:webHidden/>
          </w:rPr>
          <w:tab/>
        </w:r>
        <w:r w:rsidR="00EB4B02">
          <w:rPr>
            <w:webHidden/>
          </w:rPr>
          <w:fldChar w:fldCharType="begin"/>
        </w:r>
        <w:r w:rsidR="00EB4B02">
          <w:rPr>
            <w:webHidden/>
          </w:rPr>
          <w:instrText xml:space="preserve"> PAGEREF _Toc10703403 \h </w:instrText>
        </w:r>
        <w:r w:rsidR="00EB4B02">
          <w:rPr>
            <w:webHidden/>
          </w:rPr>
        </w:r>
        <w:r w:rsidR="00EB4B02">
          <w:rPr>
            <w:webHidden/>
          </w:rPr>
          <w:fldChar w:fldCharType="separate"/>
        </w:r>
        <w:r w:rsidR="00EB4B02">
          <w:rPr>
            <w:webHidden/>
          </w:rPr>
          <w:t>32</w:t>
        </w:r>
        <w:r w:rsidR="00EB4B02">
          <w:rPr>
            <w:webHidden/>
          </w:rPr>
          <w:fldChar w:fldCharType="end"/>
        </w:r>
      </w:hyperlink>
    </w:p>
    <w:p w14:paraId="7E154840" w14:textId="65BC355D" w:rsidR="00EB4B02" w:rsidRDefault="003C7C88">
      <w:pPr>
        <w:pStyle w:val="TOC3"/>
        <w:rPr>
          <w:rFonts w:asciiTheme="minorHAnsi" w:eastAsiaTheme="minorEastAsia" w:hAnsiTheme="minorHAnsi" w:cstheme="minorBidi"/>
          <w:sz w:val="22"/>
          <w:szCs w:val="22"/>
          <w:lang w:eastAsia="en-AU"/>
        </w:rPr>
      </w:pPr>
      <w:hyperlink w:anchor="_Toc10703404" w:history="1">
        <w:r w:rsidR="00EB4B02" w:rsidRPr="00A43E67">
          <w:rPr>
            <w:rStyle w:val="Hyperlink"/>
            <w14:scene3d>
              <w14:camera w14:prst="orthographicFront"/>
              <w14:lightRig w14:rig="threePt" w14:dir="t">
                <w14:rot w14:lat="0" w14:lon="0" w14:rev="0"/>
              </w14:lightRig>
            </w14:scene3d>
          </w:rPr>
          <w:t>2.5.1</w:t>
        </w:r>
        <w:r w:rsidR="00EB4B02">
          <w:rPr>
            <w:rFonts w:asciiTheme="minorHAnsi" w:eastAsiaTheme="minorEastAsia" w:hAnsiTheme="minorHAnsi" w:cstheme="minorBidi"/>
            <w:sz w:val="22"/>
            <w:szCs w:val="22"/>
            <w:lang w:eastAsia="en-AU"/>
          </w:rPr>
          <w:tab/>
        </w:r>
        <w:r w:rsidR="00EB4B02" w:rsidRPr="00A43E67">
          <w:rPr>
            <w:rStyle w:val="Hyperlink"/>
          </w:rPr>
          <w:t>Methodology</w:t>
        </w:r>
        <w:r w:rsidR="00EB4B02">
          <w:rPr>
            <w:webHidden/>
          </w:rPr>
          <w:tab/>
        </w:r>
        <w:r w:rsidR="00EB4B02">
          <w:rPr>
            <w:webHidden/>
          </w:rPr>
          <w:fldChar w:fldCharType="begin"/>
        </w:r>
        <w:r w:rsidR="00EB4B02">
          <w:rPr>
            <w:webHidden/>
          </w:rPr>
          <w:instrText xml:space="preserve"> PAGEREF _Toc10703404 \h </w:instrText>
        </w:r>
        <w:r w:rsidR="00EB4B02">
          <w:rPr>
            <w:webHidden/>
          </w:rPr>
        </w:r>
        <w:r w:rsidR="00EB4B02">
          <w:rPr>
            <w:webHidden/>
          </w:rPr>
          <w:fldChar w:fldCharType="separate"/>
        </w:r>
        <w:r w:rsidR="00EB4B02">
          <w:rPr>
            <w:webHidden/>
          </w:rPr>
          <w:t>32</w:t>
        </w:r>
        <w:r w:rsidR="00EB4B02">
          <w:rPr>
            <w:webHidden/>
          </w:rPr>
          <w:fldChar w:fldCharType="end"/>
        </w:r>
      </w:hyperlink>
    </w:p>
    <w:p w14:paraId="1181C659" w14:textId="65924F33" w:rsidR="00EB4B02" w:rsidRDefault="003C7C88">
      <w:pPr>
        <w:pStyle w:val="TOC3"/>
        <w:rPr>
          <w:rFonts w:asciiTheme="minorHAnsi" w:eastAsiaTheme="minorEastAsia" w:hAnsiTheme="minorHAnsi" w:cstheme="minorBidi"/>
          <w:sz w:val="22"/>
          <w:szCs w:val="22"/>
          <w:lang w:eastAsia="en-AU"/>
        </w:rPr>
      </w:pPr>
      <w:hyperlink w:anchor="_Toc10703405" w:history="1">
        <w:r w:rsidR="00EB4B02" w:rsidRPr="00A43E67">
          <w:rPr>
            <w:rStyle w:val="Hyperlink"/>
            <w14:scene3d>
              <w14:camera w14:prst="orthographicFront"/>
              <w14:lightRig w14:rig="threePt" w14:dir="t">
                <w14:rot w14:lat="0" w14:lon="0" w14:rev="0"/>
              </w14:lightRig>
            </w14:scene3d>
          </w:rPr>
          <w:t>2.5.2</w:t>
        </w:r>
        <w:r w:rsidR="00EB4B02">
          <w:rPr>
            <w:rFonts w:asciiTheme="minorHAnsi" w:eastAsiaTheme="minorEastAsia" w:hAnsiTheme="minorHAnsi" w:cstheme="minorBidi"/>
            <w:sz w:val="22"/>
            <w:szCs w:val="22"/>
            <w:lang w:eastAsia="en-AU"/>
          </w:rPr>
          <w:tab/>
        </w:r>
        <w:r w:rsidR="00EB4B02" w:rsidRPr="00A43E67">
          <w:rPr>
            <w:rStyle w:val="Hyperlink"/>
          </w:rPr>
          <w:t>Base case</w:t>
        </w:r>
        <w:r w:rsidR="00EB4B02">
          <w:rPr>
            <w:webHidden/>
          </w:rPr>
          <w:tab/>
        </w:r>
        <w:r w:rsidR="00EB4B02">
          <w:rPr>
            <w:webHidden/>
          </w:rPr>
          <w:fldChar w:fldCharType="begin"/>
        </w:r>
        <w:r w:rsidR="00EB4B02">
          <w:rPr>
            <w:webHidden/>
          </w:rPr>
          <w:instrText xml:space="preserve"> PAGEREF _Toc10703405 \h </w:instrText>
        </w:r>
        <w:r w:rsidR="00EB4B02">
          <w:rPr>
            <w:webHidden/>
          </w:rPr>
        </w:r>
        <w:r w:rsidR="00EB4B02">
          <w:rPr>
            <w:webHidden/>
          </w:rPr>
          <w:fldChar w:fldCharType="separate"/>
        </w:r>
        <w:r w:rsidR="00EB4B02">
          <w:rPr>
            <w:webHidden/>
          </w:rPr>
          <w:t>33</w:t>
        </w:r>
        <w:r w:rsidR="00EB4B02">
          <w:rPr>
            <w:webHidden/>
          </w:rPr>
          <w:fldChar w:fldCharType="end"/>
        </w:r>
      </w:hyperlink>
    </w:p>
    <w:p w14:paraId="3AA30AFD" w14:textId="79301135" w:rsidR="00EB4B02" w:rsidRDefault="003C7C88">
      <w:pPr>
        <w:pStyle w:val="TOC3"/>
        <w:rPr>
          <w:rFonts w:asciiTheme="minorHAnsi" w:eastAsiaTheme="minorEastAsia" w:hAnsiTheme="minorHAnsi" w:cstheme="minorBidi"/>
          <w:sz w:val="22"/>
          <w:szCs w:val="22"/>
          <w:lang w:eastAsia="en-AU"/>
        </w:rPr>
      </w:pPr>
      <w:hyperlink w:anchor="_Toc10703406" w:history="1">
        <w:r w:rsidR="00EB4B02" w:rsidRPr="00A43E67">
          <w:rPr>
            <w:rStyle w:val="Hyperlink"/>
            <w14:scene3d>
              <w14:camera w14:prst="orthographicFront"/>
              <w14:lightRig w14:rig="threePt" w14:dir="t">
                <w14:rot w14:lat="0" w14:lon="0" w14:rev="0"/>
              </w14:lightRig>
            </w14:scene3d>
          </w:rPr>
          <w:t>2.5.3</w:t>
        </w:r>
        <w:r w:rsidR="00EB4B02">
          <w:rPr>
            <w:rFonts w:asciiTheme="minorHAnsi" w:eastAsiaTheme="minorEastAsia" w:hAnsiTheme="minorHAnsi" w:cstheme="minorBidi"/>
            <w:sz w:val="22"/>
            <w:szCs w:val="22"/>
            <w:lang w:eastAsia="en-AU"/>
          </w:rPr>
          <w:tab/>
        </w:r>
        <w:r w:rsidR="00EB4B02" w:rsidRPr="00A43E67">
          <w:rPr>
            <w:rStyle w:val="Hyperlink"/>
          </w:rPr>
          <w:t>Options assessment criteria and scoring</w:t>
        </w:r>
        <w:r w:rsidR="00EB4B02">
          <w:rPr>
            <w:webHidden/>
          </w:rPr>
          <w:tab/>
        </w:r>
        <w:r w:rsidR="00EB4B02">
          <w:rPr>
            <w:webHidden/>
          </w:rPr>
          <w:fldChar w:fldCharType="begin"/>
        </w:r>
        <w:r w:rsidR="00EB4B02">
          <w:rPr>
            <w:webHidden/>
          </w:rPr>
          <w:instrText xml:space="preserve"> PAGEREF _Toc10703406 \h </w:instrText>
        </w:r>
        <w:r w:rsidR="00EB4B02">
          <w:rPr>
            <w:webHidden/>
          </w:rPr>
        </w:r>
        <w:r w:rsidR="00EB4B02">
          <w:rPr>
            <w:webHidden/>
          </w:rPr>
          <w:fldChar w:fldCharType="separate"/>
        </w:r>
        <w:r w:rsidR="00EB4B02">
          <w:rPr>
            <w:webHidden/>
          </w:rPr>
          <w:t>33</w:t>
        </w:r>
        <w:r w:rsidR="00EB4B02">
          <w:rPr>
            <w:webHidden/>
          </w:rPr>
          <w:fldChar w:fldCharType="end"/>
        </w:r>
      </w:hyperlink>
    </w:p>
    <w:p w14:paraId="1BE970C4" w14:textId="6DA5AFD3" w:rsidR="00EB4B02" w:rsidRDefault="003C7C88">
      <w:pPr>
        <w:pStyle w:val="TOC1"/>
        <w:rPr>
          <w:rFonts w:asciiTheme="minorHAnsi" w:eastAsiaTheme="minorEastAsia" w:hAnsiTheme="minorHAnsi" w:cstheme="minorBidi"/>
          <w:b w:val="0"/>
          <w:bCs w:val="0"/>
          <w:szCs w:val="22"/>
          <w:lang w:eastAsia="en-AU"/>
        </w:rPr>
      </w:pPr>
      <w:hyperlink w:anchor="_Toc10703407" w:history="1">
        <w:r w:rsidR="00EB4B02" w:rsidRPr="00A43E67">
          <w:rPr>
            <w:rStyle w:val="Hyperlink"/>
          </w:rPr>
          <w:t>3</w:t>
        </w:r>
        <w:r w:rsidR="00EB4B02">
          <w:rPr>
            <w:rFonts w:asciiTheme="minorHAnsi" w:eastAsiaTheme="minorEastAsia" w:hAnsiTheme="minorHAnsi" w:cstheme="minorBidi"/>
            <w:b w:val="0"/>
            <w:bCs w:val="0"/>
            <w:szCs w:val="22"/>
            <w:lang w:eastAsia="en-AU"/>
          </w:rPr>
          <w:tab/>
        </w:r>
        <w:r w:rsidR="00EB4B02" w:rsidRPr="00A43E67">
          <w:rPr>
            <w:rStyle w:val="Hyperlink"/>
          </w:rPr>
          <w:t>Nature and extent of problem</w:t>
        </w:r>
        <w:r w:rsidR="00EB4B02">
          <w:rPr>
            <w:webHidden/>
          </w:rPr>
          <w:tab/>
        </w:r>
        <w:r w:rsidR="00EB4B02">
          <w:rPr>
            <w:webHidden/>
          </w:rPr>
          <w:fldChar w:fldCharType="begin"/>
        </w:r>
        <w:r w:rsidR="00EB4B02">
          <w:rPr>
            <w:webHidden/>
          </w:rPr>
          <w:instrText xml:space="preserve"> PAGEREF _Toc10703407 \h </w:instrText>
        </w:r>
        <w:r w:rsidR="00EB4B02">
          <w:rPr>
            <w:webHidden/>
          </w:rPr>
        </w:r>
        <w:r w:rsidR="00EB4B02">
          <w:rPr>
            <w:webHidden/>
          </w:rPr>
          <w:fldChar w:fldCharType="separate"/>
        </w:r>
        <w:r w:rsidR="00EB4B02">
          <w:rPr>
            <w:webHidden/>
          </w:rPr>
          <w:t>36</w:t>
        </w:r>
        <w:r w:rsidR="00EB4B02">
          <w:rPr>
            <w:webHidden/>
          </w:rPr>
          <w:fldChar w:fldCharType="end"/>
        </w:r>
      </w:hyperlink>
    </w:p>
    <w:p w14:paraId="6597D569" w14:textId="3FAD1D72" w:rsidR="00EB4B02" w:rsidRDefault="003C7C88">
      <w:pPr>
        <w:pStyle w:val="TOC2"/>
        <w:rPr>
          <w:rFonts w:asciiTheme="minorHAnsi" w:eastAsiaTheme="minorEastAsia" w:hAnsiTheme="minorHAnsi" w:cstheme="minorBidi"/>
          <w:bCs w:val="0"/>
          <w:sz w:val="22"/>
          <w:szCs w:val="22"/>
          <w:lang w:eastAsia="en-AU"/>
        </w:rPr>
      </w:pPr>
      <w:hyperlink w:anchor="_Toc10703408" w:history="1">
        <w:r w:rsidR="00EB4B02" w:rsidRPr="00A43E67">
          <w:rPr>
            <w:rStyle w:val="Hyperlink"/>
          </w:rPr>
          <w:t>3.1</w:t>
        </w:r>
        <w:r w:rsidR="00EB4B02">
          <w:rPr>
            <w:rFonts w:asciiTheme="minorHAnsi" w:eastAsiaTheme="minorEastAsia" w:hAnsiTheme="minorHAnsi" w:cstheme="minorBidi"/>
            <w:bCs w:val="0"/>
            <w:sz w:val="22"/>
            <w:szCs w:val="22"/>
            <w:lang w:eastAsia="en-AU"/>
          </w:rPr>
          <w:tab/>
        </w:r>
        <w:r w:rsidR="00EB4B02" w:rsidRPr="00A43E67">
          <w:rPr>
            <w:rStyle w:val="Hyperlink"/>
          </w:rPr>
          <w:t>Nature of the problem</w:t>
        </w:r>
        <w:r w:rsidR="00EB4B02">
          <w:rPr>
            <w:webHidden/>
          </w:rPr>
          <w:tab/>
        </w:r>
        <w:r w:rsidR="00EB4B02">
          <w:rPr>
            <w:webHidden/>
          </w:rPr>
          <w:fldChar w:fldCharType="begin"/>
        </w:r>
        <w:r w:rsidR="00EB4B02">
          <w:rPr>
            <w:webHidden/>
          </w:rPr>
          <w:instrText xml:space="preserve"> PAGEREF _Toc10703408 \h </w:instrText>
        </w:r>
        <w:r w:rsidR="00EB4B02">
          <w:rPr>
            <w:webHidden/>
          </w:rPr>
        </w:r>
        <w:r w:rsidR="00EB4B02">
          <w:rPr>
            <w:webHidden/>
          </w:rPr>
          <w:fldChar w:fldCharType="separate"/>
        </w:r>
        <w:r w:rsidR="00EB4B02">
          <w:rPr>
            <w:webHidden/>
          </w:rPr>
          <w:t>36</w:t>
        </w:r>
        <w:r w:rsidR="00EB4B02">
          <w:rPr>
            <w:webHidden/>
          </w:rPr>
          <w:fldChar w:fldCharType="end"/>
        </w:r>
      </w:hyperlink>
    </w:p>
    <w:p w14:paraId="0CE2FE8E" w14:textId="65ABEB8D" w:rsidR="00EB4B02" w:rsidRDefault="003C7C88">
      <w:pPr>
        <w:pStyle w:val="TOC3"/>
        <w:rPr>
          <w:rFonts w:asciiTheme="minorHAnsi" w:eastAsiaTheme="minorEastAsia" w:hAnsiTheme="minorHAnsi" w:cstheme="minorBidi"/>
          <w:sz w:val="22"/>
          <w:szCs w:val="22"/>
          <w:lang w:eastAsia="en-AU"/>
        </w:rPr>
      </w:pPr>
      <w:hyperlink w:anchor="_Toc10703409" w:history="1">
        <w:r w:rsidR="00EB4B02" w:rsidRPr="00A43E67">
          <w:rPr>
            <w:rStyle w:val="Hyperlink"/>
            <w14:scene3d>
              <w14:camera w14:prst="orthographicFront"/>
              <w14:lightRig w14:rig="threePt" w14:dir="t">
                <w14:rot w14:lat="0" w14:lon="0" w14:rev="0"/>
              </w14:lightRig>
            </w14:scene3d>
          </w:rPr>
          <w:t>3.1.1</w:t>
        </w:r>
        <w:r w:rsidR="00EB4B02">
          <w:rPr>
            <w:rFonts w:asciiTheme="minorHAnsi" w:eastAsiaTheme="minorEastAsia" w:hAnsiTheme="minorHAnsi" w:cstheme="minorBidi"/>
            <w:sz w:val="22"/>
            <w:szCs w:val="22"/>
            <w:lang w:eastAsia="en-AU"/>
          </w:rPr>
          <w:tab/>
        </w:r>
        <w:r w:rsidR="00EB4B02" w:rsidRPr="00A43E67">
          <w:rPr>
            <w:rStyle w:val="Hyperlink"/>
          </w:rPr>
          <w:t>Risk factors affecting all drivers and motorcyclists</w:t>
        </w:r>
        <w:r w:rsidR="00EB4B02">
          <w:rPr>
            <w:webHidden/>
          </w:rPr>
          <w:tab/>
        </w:r>
        <w:r w:rsidR="00EB4B02">
          <w:rPr>
            <w:webHidden/>
          </w:rPr>
          <w:fldChar w:fldCharType="begin"/>
        </w:r>
        <w:r w:rsidR="00EB4B02">
          <w:rPr>
            <w:webHidden/>
          </w:rPr>
          <w:instrText xml:space="preserve"> PAGEREF _Toc10703409 \h </w:instrText>
        </w:r>
        <w:r w:rsidR="00EB4B02">
          <w:rPr>
            <w:webHidden/>
          </w:rPr>
        </w:r>
        <w:r w:rsidR="00EB4B02">
          <w:rPr>
            <w:webHidden/>
          </w:rPr>
          <w:fldChar w:fldCharType="separate"/>
        </w:r>
        <w:r w:rsidR="00EB4B02">
          <w:rPr>
            <w:webHidden/>
          </w:rPr>
          <w:t>36</w:t>
        </w:r>
        <w:r w:rsidR="00EB4B02">
          <w:rPr>
            <w:webHidden/>
          </w:rPr>
          <w:fldChar w:fldCharType="end"/>
        </w:r>
      </w:hyperlink>
    </w:p>
    <w:p w14:paraId="7B4C4627" w14:textId="7097C1A0" w:rsidR="00EB4B02" w:rsidRDefault="003C7C88">
      <w:pPr>
        <w:pStyle w:val="TOC3"/>
        <w:rPr>
          <w:rFonts w:asciiTheme="minorHAnsi" w:eastAsiaTheme="minorEastAsia" w:hAnsiTheme="minorHAnsi" w:cstheme="minorBidi"/>
          <w:sz w:val="22"/>
          <w:szCs w:val="22"/>
          <w:lang w:eastAsia="en-AU"/>
        </w:rPr>
      </w:pPr>
      <w:hyperlink w:anchor="_Toc10703410" w:history="1">
        <w:r w:rsidR="00EB4B02" w:rsidRPr="00A43E67">
          <w:rPr>
            <w:rStyle w:val="Hyperlink"/>
            <w14:scene3d>
              <w14:camera w14:prst="orthographicFront"/>
              <w14:lightRig w14:rig="threePt" w14:dir="t">
                <w14:rot w14:lat="0" w14:lon="0" w14:rev="0"/>
              </w14:lightRig>
            </w14:scene3d>
          </w:rPr>
          <w:t>3.1.2</w:t>
        </w:r>
        <w:r w:rsidR="00EB4B02">
          <w:rPr>
            <w:rFonts w:asciiTheme="minorHAnsi" w:eastAsiaTheme="minorEastAsia" w:hAnsiTheme="minorHAnsi" w:cstheme="minorBidi"/>
            <w:sz w:val="22"/>
            <w:szCs w:val="22"/>
            <w:lang w:eastAsia="en-AU"/>
          </w:rPr>
          <w:tab/>
        </w:r>
        <w:r w:rsidR="00EB4B02" w:rsidRPr="00A43E67">
          <w:rPr>
            <w:rStyle w:val="Hyperlink"/>
          </w:rPr>
          <w:t>Risk factors affecting young and novice drivers and motorcyclists</w:t>
        </w:r>
        <w:r w:rsidR="00EB4B02">
          <w:rPr>
            <w:webHidden/>
          </w:rPr>
          <w:tab/>
        </w:r>
        <w:r w:rsidR="00EB4B02">
          <w:rPr>
            <w:webHidden/>
          </w:rPr>
          <w:fldChar w:fldCharType="begin"/>
        </w:r>
        <w:r w:rsidR="00EB4B02">
          <w:rPr>
            <w:webHidden/>
          </w:rPr>
          <w:instrText xml:space="preserve"> PAGEREF _Toc10703410 \h </w:instrText>
        </w:r>
        <w:r w:rsidR="00EB4B02">
          <w:rPr>
            <w:webHidden/>
          </w:rPr>
        </w:r>
        <w:r w:rsidR="00EB4B02">
          <w:rPr>
            <w:webHidden/>
          </w:rPr>
          <w:fldChar w:fldCharType="separate"/>
        </w:r>
        <w:r w:rsidR="00EB4B02">
          <w:rPr>
            <w:webHidden/>
          </w:rPr>
          <w:t>42</w:t>
        </w:r>
        <w:r w:rsidR="00EB4B02">
          <w:rPr>
            <w:webHidden/>
          </w:rPr>
          <w:fldChar w:fldCharType="end"/>
        </w:r>
      </w:hyperlink>
    </w:p>
    <w:p w14:paraId="382C4BB1" w14:textId="5C7F48DF" w:rsidR="00EB4B02" w:rsidRDefault="003C7C88">
      <w:pPr>
        <w:pStyle w:val="TOC3"/>
        <w:rPr>
          <w:rFonts w:asciiTheme="minorHAnsi" w:eastAsiaTheme="minorEastAsia" w:hAnsiTheme="minorHAnsi" w:cstheme="minorBidi"/>
          <w:sz w:val="22"/>
          <w:szCs w:val="22"/>
          <w:lang w:eastAsia="en-AU"/>
        </w:rPr>
      </w:pPr>
      <w:hyperlink w:anchor="_Toc10703411" w:history="1">
        <w:r w:rsidR="00EB4B02" w:rsidRPr="00A43E67">
          <w:rPr>
            <w:rStyle w:val="Hyperlink"/>
            <w14:scene3d>
              <w14:camera w14:prst="orthographicFront"/>
              <w14:lightRig w14:rig="threePt" w14:dir="t">
                <w14:rot w14:lat="0" w14:lon="0" w14:rev="0"/>
              </w14:lightRig>
            </w14:scene3d>
          </w:rPr>
          <w:t>3.1.3</w:t>
        </w:r>
        <w:r w:rsidR="00EB4B02">
          <w:rPr>
            <w:rFonts w:asciiTheme="minorHAnsi" w:eastAsiaTheme="minorEastAsia" w:hAnsiTheme="minorHAnsi" w:cstheme="minorBidi"/>
            <w:sz w:val="22"/>
            <w:szCs w:val="22"/>
            <w:lang w:eastAsia="en-AU"/>
          </w:rPr>
          <w:tab/>
        </w:r>
        <w:r w:rsidR="00EB4B02" w:rsidRPr="00A43E67">
          <w:rPr>
            <w:rStyle w:val="Hyperlink"/>
          </w:rPr>
          <w:t>Risk factors affecting motorcyclists specifically</w:t>
        </w:r>
        <w:r w:rsidR="00EB4B02">
          <w:rPr>
            <w:webHidden/>
          </w:rPr>
          <w:tab/>
        </w:r>
        <w:r w:rsidR="00EB4B02">
          <w:rPr>
            <w:webHidden/>
          </w:rPr>
          <w:fldChar w:fldCharType="begin"/>
        </w:r>
        <w:r w:rsidR="00EB4B02">
          <w:rPr>
            <w:webHidden/>
          </w:rPr>
          <w:instrText xml:space="preserve"> PAGEREF _Toc10703411 \h </w:instrText>
        </w:r>
        <w:r w:rsidR="00EB4B02">
          <w:rPr>
            <w:webHidden/>
          </w:rPr>
        </w:r>
        <w:r w:rsidR="00EB4B02">
          <w:rPr>
            <w:webHidden/>
          </w:rPr>
          <w:fldChar w:fldCharType="separate"/>
        </w:r>
        <w:r w:rsidR="00EB4B02">
          <w:rPr>
            <w:webHidden/>
          </w:rPr>
          <w:t>50</w:t>
        </w:r>
        <w:r w:rsidR="00EB4B02">
          <w:rPr>
            <w:webHidden/>
          </w:rPr>
          <w:fldChar w:fldCharType="end"/>
        </w:r>
      </w:hyperlink>
    </w:p>
    <w:p w14:paraId="16609327" w14:textId="04073033" w:rsidR="00EB4B02" w:rsidRDefault="003C7C88">
      <w:pPr>
        <w:pStyle w:val="TOC2"/>
        <w:rPr>
          <w:rFonts w:asciiTheme="minorHAnsi" w:eastAsiaTheme="minorEastAsia" w:hAnsiTheme="minorHAnsi" w:cstheme="minorBidi"/>
          <w:bCs w:val="0"/>
          <w:sz w:val="22"/>
          <w:szCs w:val="22"/>
          <w:lang w:eastAsia="en-AU"/>
        </w:rPr>
      </w:pPr>
      <w:hyperlink w:anchor="_Toc10703412" w:history="1">
        <w:r w:rsidR="00EB4B02" w:rsidRPr="00A43E67">
          <w:rPr>
            <w:rStyle w:val="Hyperlink"/>
          </w:rPr>
          <w:t>3.2</w:t>
        </w:r>
        <w:r w:rsidR="00EB4B02">
          <w:rPr>
            <w:rFonts w:asciiTheme="minorHAnsi" w:eastAsiaTheme="minorEastAsia" w:hAnsiTheme="minorHAnsi" w:cstheme="minorBidi"/>
            <w:bCs w:val="0"/>
            <w:sz w:val="22"/>
            <w:szCs w:val="22"/>
            <w:lang w:eastAsia="en-AU"/>
          </w:rPr>
          <w:tab/>
        </w:r>
        <w:r w:rsidR="00EB4B02" w:rsidRPr="00A43E67">
          <w:rPr>
            <w:rStyle w:val="Hyperlink"/>
          </w:rPr>
          <w:t>Extent of the problem</w:t>
        </w:r>
        <w:r w:rsidR="00EB4B02">
          <w:rPr>
            <w:webHidden/>
          </w:rPr>
          <w:tab/>
        </w:r>
        <w:r w:rsidR="00EB4B02">
          <w:rPr>
            <w:webHidden/>
          </w:rPr>
          <w:fldChar w:fldCharType="begin"/>
        </w:r>
        <w:r w:rsidR="00EB4B02">
          <w:rPr>
            <w:webHidden/>
          </w:rPr>
          <w:instrText xml:space="preserve"> PAGEREF _Toc10703412 \h </w:instrText>
        </w:r>
        <w:r w:rsidR="00EB4B02">
          <w:rPr>
            <w:webHidden/>
          </w:rPr>
        </w:r>
        <w:r w:rsidR="00EB4B02">
          <w:rPr>
            <w:webHidden/>
          </w:rPr>
          <w:fldChar w:fldCharType="separate"/>
        </w:r>
        <w:r w:rsidR="00EB4B02">
          <w:rPr>
            <w:webHidden/>
          </w:rPr>
          <w:t>51</w:t>
        </w:r>
        <w:r w:rsidR="00EB4B02">
          <w:rPr>
            <w:webHidden/>
          </w:rPr>
          <w:fldChar w:fldCharType="end"/>
        </w:r>
      </w:hyperlink>
    </w:p>
    <w:p w14:paraId="11FA0E72" w14:textId="45B1D127" w:rsidR="00EB4B02" w:rsidRDefault="003C7C88">
      <w:pPr>
        <w:pStyle w:val="TOC2"/>
        <w:rPr>
          <w:rFonts w:asciiTheme="minorHAnsi" w:eastAsiaTheme="minorEastAsia" w:hAnsiTheme="minorHAnsi" w:cstheme="minorBidi"/>
          <w:bCs w:val="0"/>
          <w:sz w:val="22"/>
          <w:szCs w:val="22"/>
          <w:lang w:eastAsia="en-AU"/>
        </w:rPr>
      </w:pPr>
      <w:hyperlink w:anchor="_Toc10703413" w:history="1">
        <w:r w:rsidR="00EB4B02" w:rsidRPr="00A43E67">
          <w:rPr>
            <w:rStyle w:val="Hyperlink"/>
          </w:rPr>
          <w:t>3.3</w:t>
        </w:r>
        <w:r w:rsidR="00EB4B02">
          <w:rPr>
            <w:rFonts w:asciiTheme="minorHAnsi" w:eastAsiaTheme="minorEastAsia" w:hAnsiTheme="minorHAnsi" w:cstheme="minorBidi"/>
            <w:bCs w:val="0"/>
            <w:sz w:val="22"/>
            <w:szCs w:val="22"/>
            <w:lang w:eastAsia="en-AU"/>
          </w:rPr>
          <w:tab/>
        </w:r>
        <w:r w:rsidR="00EB4B02" w:rsidRPr="00A43E67">
          <w:rPr>
            <w:rStyle w:val="Hyperlink"/>
          </w:rPr>
          <w:t>Case for government intervention</w:t>
        </w:r>
        <w:r w:rsidR="00EB4B02">
          <w:rPr>
            <w:webHidden/>
          </w:rPr>
          <w:tab/>
        </w:r>
        <w:r w:rsidR="00EB4B02">
          <w:rPr>
            <w:webHidden/>
          </w:rPr>
          <w:fldChar w:fldCharType="begin"/>
        </w:r>
        <w:r w:rsidR="00EB4B02">
          <w:rPr>
            <w:webHidden/>
          </w:rPr>
          <w:instrText xml:space="preserve"> PAGEREF _Toc10703413 \h </w:instrText>
        </w:r>
        <w:r w:rsidR="00EB4B02">
          <w:rPr>
            <w:webHidden/>
          </w:rPr>
        </w:r>
        <w:r w:rsidR="00EB4B02">
          <w:rPr>
            <w:webHidden/>
          </w:rPr>
          <w:fldChar w:fldCharType="separate"/>
        </w:r>
        <w:r w:rsidR="00EB4B02">
          <w:rPr>
            <w:webHidden/>
          </w:rPr>
          <w:t>57</w:t>
        </w:r>
        <w:r w:rsidR="00EB4B02">
          <w:rPr>
            <w:webHidden/>
          </w:rPr>
          <w:fldChar w:fldCharType="end"/>
        </w:r>
      </w:hyperlink>
    </w:p>
    <w:p w14:paraId="4108E5A2" w14:textId="4A8198D2" w:rsidR="00EB4B02" w:rsidRDefault="003C7C88">
      <w:pPr>
        <w:pStyle w:val="TOC3"/>
        <w:rPr>
          <w:rFonts w:asciiTheme="minorHAnsi" w:eastAsiaTheme="minorEastAsia" w:hAnsiTheme="minorHAnsi" w:cstheme="minorBidi"/>
          <w:sz w:val="22"/>
          <w:szCs w:val="22"/>
          <w:lang w:eastAsia="en-AU"/>
        </w:rPr>
      </w:pPr>
      <w:hyperlink w:anchor="_Toc10703414" w:history="1">
        <w:r w:rsidR="00EB4B02" w:rsidRPr="00A43E67">
          <w:rPr>
            <w:rStyle w:val="Hyperlink"/>
            <w14:scene3d>
              <w14:camera w14:prst="orthographicFront"/>
              <w14:lightRig w14:rig="threePt" w14:dir="t">
                <w14:rot w14:lat="0" w14:lon="0" w14:rev="0"/>
              </w14:lightRig>
            </w14:scene3d>
          </w:rPr>
          <w:t>3.3.1</w:t>
        </w:r>
        <w:r w:rsidR="00EB4B02">
          <w:rPr>
            <w:rFonts w:asciiTheme="minorHAnsi" w:eastAsiaTheme="minorEastAsia" w:hAnsiTheme="minorHAnsi" w:cstheme="minorBidi"/>
            <w:sz w:val="22"/>
            <w:szCs w:val="22"/>
            <w:lang w:eastAsia="en-AU"/>
          </w:rPr>
          <w:tab/>
        </w:r>
        <w:r w:rsidR="00EB4B02" w:rsidRPr="00A43E67">
          <w:rPr>
            <w:rStyle w:val="Hyperlink"/>
          </w:rPr>
          <w:t>Rationale for government intervention</w:t>
        </w:r>
        <w:r w:rsidR="00EB4B02">
          <w:rPr>
            <w:webHidden/>
          </w:rPr>
          <w:tab/>
        </w:r>
        <w:r w:rsidR="00EB4B02">
          <w:rPr>
            <w:webHidden/>
          </w:rPr>
          <w:fldChar w:fldCharType="begin"/>
        </w:r>
        <w:r w:rsidR="00EB4B02">
          <w:rPr>
            <w:webHidden/>
          </w:rPr>
          <w:instrText xml:space="preserve"> PAGEREF _Toc10703414 \h </w:instrText>
        </w:r>
        <w:r w:rsidR="00EB4B02">
          <w:rPr>
            <w:webHidden/>
          </w:rPr>
        </w:r>
        <w:r w:rsidR="00EB4B02">
          <w:rPr>
            <w:webHidden/>
          </w:rPr>
          <w:fldChar w:fldCharType="separate"/>
        </w:r>
        <w:r w:rsidR="00EB4B02">
          <w:rPr>
            <w:webHidden/>
          </w:rPr>
          <w:t>57</w:t>
        </w:r>
        <w:r w:rsidR="00EB4B02">
          <w:rPr>
            <w:webHidden/>
          </w:rPr>
          <w:fldChar w:fldCharType="end"/>
        </w:r>
      </w:hyperlink>
    </w:p>
    <w:p w14:paraId="0D5E56DD" w14:textId="7B25E47C" w:rsidR="00EB4B02" w:rsidRDefault="003C7C88">
      <w:pPr>
        <w:pStyle w:val="TOC3"/>
        <w:rPr>
          <w:rFonts w:asciiTheme="minorHAnsi" w:eastAsiaTheme="minorEastAsia" w:hAnsiTheme="minorHAnsi" w:cstheme="minorBidi"/>
          <w:sz w:val="22"/>
          <w:szCs w:val="22"/>
          <w:lang w:eastAsia="en-AU"/>
        </w:rPr>
      </w:pPr>
      <w:hyperlink w:anchor="_Toc10703415" w:history="1">
        <w:r w:rsidR="00EB4B02" w:rsidRPr="00A43E67">
          <w:rPr>
            <w:rStyle w:val="Hyperlink"/>
            <w14:scene3d>
              <w14:camera w14:prst="orthographicFront"/>
              <w14:lightRig w14:rig="threePt" w14:dir="t">
                <w14:rot w14:lat="0" w14:lon="0" w14:rev="0"/>
              </w14:lightRig>
            </w14:scene3d>
          </w:rPr>
          <w:t>3.3.2</w:t>
        </w:r>
        <w:r w:rsidR="00EB4B02">
          <w:rPr>
            <w:rFonts w:asciiTheme="minorHAnsi" w:eastAsiaTheme="minorEastAsia" w:hAnsiTheme="minorHAnsi" w:cstheme="minorBidi"/>
            <w:sz w:val="22"/>
            <w:szCs w:val="22"/>
            <w:lang w:eastAsia="en-AU"/>
          </w:rPr>
          <w:tab/>
        </w:r>
        <w:r w:rsidR="00EB4B02" w:rsidRPr="00A43E67">
          <w:rPr>
            <w:rStyle w:val="Hyperlink"/>
          </w:rPr>
          <w:t>Value of a statistical life</w:t>
        </w:r>
        <w:r w:rsidR="00EB4B02">
          <w:rPr>
            <w:webHidden/>
          </w:rPr>
          <w:tab/>
        </w:r>
        <w:r w:rsidR="00EB4B02">
          <w:rPr>
            <w:webHidden/>
          </w:rPr>
          <w:fldChar w:fldCharType="begin"/>
        </w:r>
        <w:r w:rsidR="00EB4B02">
          <w:rPr>
            <w:webHidden/>
          </w:rPr>
          <w:instrText xml:space="preserve"> PAGEREF _Toc10703415 \h </w:instrText>
        </w:r>
        <w:r w:rsidR="00EB4B02">
          <w:rPr>
            <w:webHidden/>
          </w:rPr>
        </w:r>
        <w:r w:rsidR="00EB4B02">
          <w:rPr>
            <w:webHidden/>
          </w:rPr>
          <w:fldChar w:fldCharType="separate"/>
        </w:r>
        <w:r w:rsidR="00EB4B02">
          <w:rPr>
            <w:webHidden/>
          </w:rPr>
          <w:t>58</w:t>
        </w:r>
        <w:r w:rsidR="00EB4B02">
          <w:rPr>
            <w:webHidden/>
          </w:rPr>
          <w:fldChar w:fldCharType="end"/>
        </w:r>
      </w:hyperlink>
    </w:p>
    <w:p w14:paraId="77371C0C" w14:textId="6FE1DF45" w:rsidR="00EB4B02" w:rsidRDefault="003C7C88">
      <w:pPr>
        <w:pStyle w:val="TOC3"/>
        <w:rPr>
          <w:rFonts w:asciiTheme="minorHAnsi" w:eastAsiaTheme="minorEastAsia" w:hAnsiTheme="minorHAnsi" w:cstheme="minorBidi"/>
          <w:sz w:val="22"/>
          <w:szCs w:val="22"/>
          <w:lang w:eastAsia="en-AU"/>
        </w:rPr>
      </w:pPr>
      <w:hyperlink w:anchor="_Toc10703416" w:history="1">
        <w:r w:rsidR="00EB4B02" w:rsidRPr="00A43E67">
          <w:rPr>
            <w:rStyle w:val="Hyperlink"/>
            <w14:scene3d>
              <w14:camera w14:prst="orthographicFront"/>
              <w14:lightRig w14:rig="threePt" w14:dir="t">
                <w14:rot w14:lat="0" w14:lon="0" w14:rev="0"/>
              </w14:lightRig>
            </w14:scene3d>
          </w:rPr>
          <w:t>3.3.3</w:t>
        </w:r>
        <w:r w:rsidR="00EB4B02">
          <w:rPr>
            <w:rFonts w:asciiTheme="minorHAnsi" w:eastAsiaTheme="minorEastAsia" w:hAnsiTheme="minorHAnsi" w:cstheme="minorBidi"/>
            <w:sz w:val="22"/>
            <w:szCs w:val="22"/>
            <w:lang w:eastAsia="en-AU"/>
          </w:rPr>
          <w:tab/>
        </w:r>
        <w:r w:rsidR="00EB4B02" w:rsidRPr="00A43E67">
          <w:rPr>
            <w:rStyle w:val="Hyperlink"/>
          </w:rPr>
          <w:t>Estimated cost of road trauma</w:t>
        </w:r>
        <w:r w:rsidR="00EB4B02">
          <w:rPr>
            <w:webHidden/>
          </w:rPr>
          <w:tab/>
        </w:r>
        <w:r w:rsidR="00EB4B02">
          <w:rPr>
            <w:webHidden/>
          </w:rPr>
          <w:fldChar w:fldCharType="begin"/>
        </w:r>
        <w:r w:rsidR="00EB4B02">
          <w:rPr>
            <w:webHidden/>
          </w:rPr>
          <w:instrText xml:space="preserve"> PAGEREF _Toc10703416 \h </w:instrText>
        </w:r>
        <w:r w:rsidR="00EB4B02">
          <w:rPr>
            <w:webHidden/>
          </w:rPr>
        </w:r>
        <w:r w:rsidR="00EB4B02">
          <w:rPr>
            <w:webHidden/>
          </w:rPr>
          <w:fldChar w:fldCharType="separate"/>
        </w:r>
        <w:r w:rsidR="00EB4B02">
          <w:rPr>
            <w:webHidden/>
          </w:rPr>
          <w:t>59</w:t>
        </w:r>
        <w:r w:rsidR="00EB4B02">
          <w:rPr>
            <w:webHidden/>
          </w:rPr>
          <w:fldChar w:fldCharType="end"/>
        </w:r>
      </w:hyperlink>
    </w:p>
    <w:p w14:paraId="183BE84E" w14:textId="5947B03A" w:rsidR="00EB4B02" w:rsidRDefault="003C7C88">
      <w:pPr>
        <w:pStyle w:val="TOC1"/>
        <w:rPr>
          <w:rFonts w:asciiTheme="minorHAnsi" w:eastAsiaTheme="minorEastAsia" w:hAnsiTheme="minorHAnsi" w:cstheme="minorBidi"/>
          <w:b w:val="0"/>
          <w:bCs w:val="0"/>
          <w:szCs w:val="22"/>
          <w:lang w:eastAsia="en-AU"/>
        </w:rPr>
      </w:pPr>
      <w:hyperlink w:anchor="_Toc10703417" w:history="1">
        <w:r w:rsidR="00EB4B02" w:rsidRPr="00A43E67">
          <w:rPr>
            <w:rStyle w:val="Hyperlink"/>
          </w:rPr>
          <w:t>PART 2 –</w:t>
        </w:r>
        <w:r w:rsidR="00EB4B02">
          <w:rPr>
            <w:rFonts w:asciiTheme="minorHAnsi" w:eastAsiaTheme="minorEastAsia" w:hAnsiTheme="minorHAnsi" w:cstheme="minorBidi"/>
            <w:b w:val="0"/>
            <w:bCs w:val="0"/>
            <w:szCs w:val="22"/>
            <w:lang w:eastAsia="en-AU"/>
          </w:rPr>
          <w:tab/>
        </w:r>
        <w:r w:rsidR="00EB4B02" w:rsidRPr="00A43E67">
          <w:rPr>
            <w:rStyle w:val="Hyperlink"/>
          </w:rPr>
          <w:t>PROPOSED MEASURES</w:t>
        </w:r>
        <w:r w:rsidR="00EB4B02">
          <w:rPr>
            <w:webHidden/>
          </w:rPr>
          <w:tab/>
        </w:r>
        <w:r w:rsidR="00EB4B02">
          <w:rPr>
            <w:webHidden/>
          </w:rPr>
          <w:fldChar w:fldCharType="begin"/>
        </w:r>
        <w:r w:rsidR="00EB4B02">
          <w:rPr>
            <w:webHidden/>
          </w:rPr>
          <w:instrText xml:space="preserve"> PAGEREF _Toc10703417 \h </w:instrText>
        </w:r>
        <w:r w:rsidR="00EB4B02">
          <w:rPr>
            <w:webHidden/>
          </w:rPr>
        </w:r>
        <w:r w:rsidR="00EB4B02">
          <w:rPr>
            <w:webHidden/>
          </w:rPr>
          <w:fldChar w:fldCharType="separate"/>
        </w:r>
        <w:r w:rsidR="00EB4B02">
          <w:rPr>
            <w:webHidden/>
          </w:rPr>
          <w:t>60</w:t>
        </w:r>
        <w:r w:rsidR="00EB4B02">
          <w:rPr>
            <w:webHidden/>
          </w:rPr>
          <w:fldChar w:fldCharType="end"/>
        </w:r>
      </w:hyperlink>
    </w:p>
    <w:p w14:paraId="4D4BBA33" w14:textId="2726B436" w:rsidR="00EB4B02" w:rsidRDefault="003C7C88">
      <w:pPr>
        <w:pStyle w:val="TOC1"/>
        <w:rPr>
          <w:rFonts w:asciiTheme="minorHAnsi" w:eastAsiaTheme="minorEastAsia" w:hAnsiTheme="minorHAnsi" w:cstheme="minorBidi"/>
          <w:b w:val="0"/>
          <w:bCs w:val="0"/>
          <w:szCs w:val="22"/>
          <w:lang w:eastAsia="en-AU"/>
        </w:rPr>
      </w:pPr>
      <w:hyperlink w:anchor="_Toc10703418" w:history="1">
        <w:r w:rsidR="00EB4B02" w:rsidRPr="00A43E67">
          <w:rPr>
            <w:rStyle w:val="Hyperlink"/>
          </w:rPr>
          <w:t>4</w:t>
        </w:r>
        <w:r w:rsidR="00EB4B02">
          <w:rPr>
            <w:rFonts w:asciiTheme="minorHAnsi" w:eastAsiaTheme="minorEastAsia" w:hAnsiTheme="minorHAnsi" w:cstheme="minorBidi"/>
            <w:b w:val="0"/>
            <w:bCs w:val="0"/>
            <w:szCs w:val="22"/>
            <w:lang w:eastAsia="en-AU"/>
          </w:rPr>
          <w:tab/>
        </w:r>
        <w:r w:rsidR="00EB4B02" w:rsidRPr="00A43E67">
          <w:rPr>
            <w:rStyle w:val="Hyperlink"/>
          </w:rPr>
          <w:t>Graduated Licensing System</w:t>
        </w:r>
        <w:r w:rsidR="00EB4B02">
          <w:rPr>
            <w:webHidden/>
          </w:rPr>
          <w:tab/>
        </w:r>
        <w:r w:rsidR="00EB4B02">
          <w:rPr>
            <w:webHidden/>
          </w:rPr>
          <w:fldChar w:fldCharType="begin"/>
        </w:r>
        <w:r w:rsidR="00EB4B02">
          <w:rPr>
            <w:webHidden/>
          </w:rPr>
          <w:instrText xml:space="preserve"> PAGEREF _Toc10703418 \h </w:instrText>
        </w:r>
        <w:r w:rsidR="00EB4B02">
          <w:rPr>
            <w:webHidden/>
          </w:rPr>
        </w:r>
        <w:r w:rsidR="00EB4B02">
          <w:rPr>
            <w:webHidden/>
          </w:rPr>
          <w:fldChar w:fldCharType="separate"/>
        </w:r>
        <w:r w:rsidR="00EB4B02">
          <w:rPr>
            <w:webHidden/>
          </w:rPr>
          <w:t>60</w:t>
        </w:r>
        <w:r w:rsidR="00EB4B02">
          <w:rPr>
            <w:webHidden/>
          </w:rPr>
          <w:fldChar w:fldCharType="end"/>
        </w:r>
      </w:hyperlink>
    </w:p>
    <w:p w14:paraId="6D330367" w14:textId="15F8362D" w:rsidR="00EB4B02" w:rsidRDefault="003C7C88">
      <w:pPr>
        <w:pStyle w:val="TOC2"/>
        <w:rPr>
          <w:rFonts w:asciiTheme="minorHAnsi" w:eastAsiaTheme="minorEastAsia" w:hAnsiTheme="minorHAnsi" w:cstheme="minorBidi"/>
          <w:bCs w:val="0"/>
          <w:sz w:val="22"/>
          <w:szCs w:val="22"/>
          <w:lang w:eastAsia="en-AU"/>
        </w:rPr>
      </w:pPr>
      <w:hyperlink w:anchor="_Toc10703419" w:history="1">
        <w:r w:rsidR="00EB4B02" w:rsidRPr="00A43E67">
          <w:rPr>
            <w:rStyle w:val="Hyperlink"/>
          </w:rPr>
          <w:t>4.1</w:t>
        </w:r>
        <w:r w:rsidR="00EB4B02">
          <w:rPr>
            <w:rFonts w:asciiTheme="minorHAnsi" w:eastAsiaTheme="minorEastAsia" w:hAnsiTheme="minorHAnsi" w:cstheme="minorBidi"/>
            <w:bCs w:val="0"/>
            <w:sz w:val="22"/>
            <w:szCs w:val="22"/>
            <w:lang w:eastAsia="en-AU"/>
          </w:rPr>
          <w:tab/>
        </w:r>
        <w:r w:rsidR="00EB4B02" w:rsidRPr="00A43E67">
          <w:rPr>
            <w:rStyle w:val="Hyperlink"/>
          </w:rPr>
          <w:t>Driver licensing systems</w:t>
        </w:r>
        <w:r w:rsidR="00EB4B02">
          <w:rPr>
            <w:webHidden/>
          </w:rPr>
          <w:tab/>
        </w:r>
        <w:r w:rsidR="00EB4B02">
          <w:rPr>
            <w:webHidden/>
          </w:rPr>
          <w:fldChar w:fldCharType="begin"/>
        </w:r>
        <w:r w:rsidR="00EB4B02">
          <w:rPr>
            <w:webHidden/>
          </w:rPr>
          <w:instrText xml:space="preserve"> PAGEREF _Toc10703419 \h </w:instrText>
        </w:r>
        <w:r w:rsidR="00EB4B02">
          <w:rPr>
            <w:webHidden/>
          </w:rPr>
        </w:r>
        <w:r w:rsidR="00EB4B02">
          <w:rPr>
            <w:webHidden/>
          </w:rPr>
          <w:fldChar w:fldCharType="separate"/>
        </w:r>
        <w:r w:rsidR="00EB4B02">
          <w:rPr>
            <w:webHidden/>
          </w:rPr>
          <w:t>60</w:t>
        </w:r>
        <w:r w:rsidR="00EB4B02">
          <w:rPr>
            <w:webHidden/>
          </w:rPr>
          <w:fldChar w:fldCharType="end"/>
        </w:r>
      </w:hyperlink>
    </w:p>
    <w:p w14:paraId="59166E31" w14:textId="503E3C90" w:rsidR="00EB4B02" w:rsidRDefault="003C7C88">
      <w:pPr>
        <w:pStyle w:val="TOC2"/>
        <w:rPr>
          <w:rFonts w:asciiTheme="minorHAnsi" w:eastAsiaTheme="minorEastAsia" w:hAnsiTheme="minorHAnsi" w:cstheme="minorBidi"/>
          <w:bCs w:val="0"/>
          <w:sz w:val="22"/>
          <w:szCs w:val="22"/>
          <w:lang w:eastAsia="en-AU"/>
        </w:rPr>
      </w:pPr>
      <w:hyperlink w:anchor="_Toc10703420" w:history="1">
        <w:r w:rsidR="00EB4B02" w:rsidRPr="00A43E67">
          <w:rPr>
            <w:rStyle w:val="Hyperlink"/>
          </w:rPr>
          <w:t>4.2</w:t>
        </w:r>
        <w:r w:rsidR="00EB4B02">
          <w:rPr>
            <w:rFonts w:asciiTheme="minorHAnsi" w:eastAsiaTheme="minorEastAsia" w:hAnsiTheme="minorHAnsi" w:cstheme="minorBidi"/>
            <w:bCs w:val="0"/>
            <w:sz w:val="22"/>
            <w:szCs w:val="22"/>
            <w:lang w:eastAsia="en-AU"/>
          </w:rPr>
          <w:tab/>
        </w:r>
        <w:r w:rsidR="00EB4B02" w:rsidRPr="00A43E67">
          <w:rPr>
            <w:rStyle w:val="Hyperlink"/>
          </w:rPr>
          <w:t>Current Driver GLS</w:t>
        </w:r>
        <w:r w:rsidR="00EB4B02">
          <w:rPr>
            <w:webHidden/>
          </w:rPr>
          <w:tab/>
        </w:r>
        <w:r w:rsidR="00EB4B02">
          <w:rPr>
            <w:webHidden/>
          </w:rPr>
          <w:fldChar w:fldCharType="begin"/>
        </w:r>
        <w:r w:rsidR="00EB4B02">
          <w:rPr>
            <w:webHidden/>
          </w:rPr>
          <w:instrText xml:space="preserve"> PAGEREF _Toc10703420 \h </w:instrText>
        </w:r>
        <w:r w:rsidR="00EB4B02">
          <w:rPr>
            <w:webHidden/>
          </w:rPr>
        </w:r>
        <w:r w:rsidR="00EB4B02">
          <w:rPr>
            <w:webHidden/>
          </w:rPr>
          <w:fldChar w:fldCharType="separate"/>
        </w:r>
        <w:r w:rsidR="00EB4B02">
          <w:rPr>
            <w:webHidden/>
          </w:rPr>
          <w:t>61</w:t>
        </w:r>
        <w:r w:rsidR="00EB4B02">
          <w:rPr>
            <w:webHidden/>
          </w:rPr>
          <w:fldChar w:fldCharType="end"/>
        </w:r>
      </w:hyperlink>
    </w:p>
    <w:p w14:paraId="4C8E3DAB" w14:textId="01AE213E" w:rsidR="00EB4B02" w:rsidRDefault="003C7C88">
      <w:pPr>
        <w:pStyle w:val="TOC3"/>
        <w:rPr>
          <w:rFonts w:asciiTheme="minorHAnsi" w:eastAsiaTheme="minorEastAsia" w:hAnsiTheme="minorHAnsi" w:cstheme="minorBidi"/>
          <w:sz w:val="22"/>
          <w:szCs w:val="22"/>
          <w:lang w:eastAsia="en-AU"/>
        </w:rPr>
      </w:pPr>
      <w:hyperlink w:anchor="_Toc10703421" w:history="1">
        <w:r w:rsidR="00EB4B02" w:rsidRPr="00A43E67">
          <w:rPr>
            <w:rStyle w:val="Hyperlink"/>
            <w14:scene3d>
              <w14:camera w14:prst="orthographicFront"/>
              <w14:lightRig w14:rig="threePt" w14:dir="t">
                <w14:rot w14:lat="0" w14:lon="0" w14:rev="0"/>
              </w14:lightRig>
            </w14:scene3d>
          </w:rPr>
          <w:t>4.2.1</w:t>
        </w:r>
        <w:r w:rsidR="00EB4B02">
          <w:rPr>
            <w:rFonts w:asciiTheme="minorHAnsi" w:eastAsiaTheme="minorEastAsia" w:hAnsiTheme="minorHAnsi" w:cstheme="minorBidi"/>
            <w:sz w:val="22"/>
            <w:szCs w:val="22"/>
            <w:lang w:eastAsia="en-AU"/>
          </w:rPr>
          <w:tab/>
        </w:r>
        <w:r w:rsidR="00EB4B02" w:rsidRPr="00A43E67">
          <w:rPr>
            <w:rStyle w:val="Hyperlink"/>
          </w:rPr>
          <w:t>Implementation</w:t>
        </w:r>
        <w:r w:rsidR="00EB4B02">
          <w:rPr>
            <w:webHidden/>
          </w:rPr>
          <w:tab/>
        </w:r>
        <w:r w:rsidR="00EB4B02">
          <w:rPr>
            <w:webHidden/>
          </w:rPr>
          <w:fldChar w:fldCharType="begin"/>
        </w:r>
        <w:r w:rsidR="00EB4B02">
          <w:rPr>
            <w:webHidden/>
          </w:rPr>
          <w:instrText xml:space="preserve"> PAGEREF _Toc10703421 \h </w:instrText>
        </w:r>
        <w:r w:rsidR="00EB4B02">
          <w:rPr>
            <w:webHidden/>
          </w:rPr>
        </w:r>
        <w:r w:rsidR="00EB4B02">
          <w:rPr>
            <w:webHidden/>
          </w:rPr>
          <w:fldChar w:fldCharType="separate"/>
        </w:r>
        <w:r w:rsidR="00EB4B02">
          <w:rPr>
            <w:webHidden/>
          </w:rPr>
          <w:t>61</w:t>
        </w:r>
        <w:r w:rsidR="00EB4B02">
          <w:rPr>
            <w:webHidden/>
          </w:rPr>
          <w:fldChar w:fldCharType="end"/>
        </w:r>
      </w:hyperlink>
    </w:p>
    <w:p w14:paraId="07E0AA3B" w14:textId="3A457731" w:rsidR="00EB4B02" w:rsidRDefault="003C7C88">
      <w:pPr>
        <w:pStyle w:val="TOC3"/>
        <w:rPr>
          <w:rFonts w:asciiTheme="minorHAnsi" w:eastAsiaTheme="minorEastAsia" w:hAnsiTheme="minorHAnsi" w:cstheme="minorBidi"/>
          <w:sz w:val="22"/>
          <w:szCs w:val="22"/>
          <w:lang w:eastAsia="en-AU"/>
        </w:rPr>
      </w:pPr>
      <w:hyperlink w:anchor="_Toc10703422" w:history="1">
        <w:r w:rsidR="00EB4B02" w:rsidRPr="00A43E67">
          <w:rPr>
            <w:rStyle w:val="Hyperlink"/>
            <w14:scene3d>
              <w14:camera w14:prst="orthographicFront"/>
              <w14:lightRig w14:rig="threePt" w14:dir="t">
                <w14:rot w14:lat="0" w14:lon="0" w14:rev="0"/>
              </w14:lightRig>
            </w14:scene3d>
          </w:rPr>
          <w:t>4.2.2</w:t>
        </w:r>
        <w:r w:rsidR="00EB4B02">
          <w:rPr>
            <w:rFonts w:asciiTheme="minorHAnsi" w:eastAsiaTheme="minorEastAsia" w:hAnsiTheme="minorHAnsi" w:cstheme="minorBidi"/>
            <w:sz w:val="22"/>
            <w:szCs w:val="22"/>
            <w:lang w:eastAsia="en-AU"/>
          </w:rPr>
          <w:tab/>
        </w:r>
        <w:r w:rsidR="00EB4B02" w:rsidRPr="00A43E67">
          <w:rPr>
            <w:rStyle w:val="Hyperlink"/>
          </w:rPr>
          <w:t>Effectiveness</w:t>
        </w:r>
        <w:r w:rsidR="00EB4B02">
          <w:rPr>
            <w:webHidden/>
          </w:rPr>
          <w:tab/>
        </w:r>
        <w:r w:rsidR="00EB4B02">
          <w:rPr>
            <w:webHidden/>
          </w:rPr>
          <w:fldChar w:fldCharType="begin"/>
        </w:r>
        <w:r w:rsidR="00EB4B02">
          <w:rPr>
            <w:webHidden/>
          </w:rPr>
          <w:instrText xml:space="preserve"> PAGEREF _Toc10703422 \h </w:instrText>
        </w:r>
        <w:r w:rsidR="00EB4B02">
          <w:rPr>
            <w:webHidden/>
          </w:rPr>
        </w:r>
        <w:r w:rsidR="00EB4B02">
          <w:rPr>
            <w:webHidden/>
          </w:rPr>
          <w:fldChar w:fldCharType="separate"/>
        </w:r>
        <w:r w:rsidR="00EB4B02">
          <w:rPr>
            <w:webHidden/>
          </w:rPr>
          <w:t>63</w:t>
        </w:r>
        <w:r w:rsidR="00EB4B02">
          <w:rPr>
            <w:webHidden/>
          </w:rPr>
          <w:fldChar w:fldCharType="end"/>
        </w:r>
      </w:hyperlink>
    </w:p>
    <w:p w14:paraId="50EF5C7E" w14:textId="00A80C4D" w:rsidR="00EB4B02" w:rsidRDefault="003C7C88">
      <w:pPr>
        <w:pStyle w:val="TOC2"/>
        <w:rPr>
          <w:rFonts w:asciiTheme="minorHAnsi" w:eastAsiaTheme="minorEastAsia" w:hAnsiTheme="minorHAnsi" w:cstheme="minorBidi"/>
          <w:bCs w:val="0"/>
          <w:sz w:val="22"/>
          <w:szCs w:val="22"/>
          <w:lang w:eastAsia="en-AU"/>
        </w:rPr>
      </w:pPr>
      <w:hyperlink w:anchor="_Toc10703423" w:history="1">
        <w:r w:rsidR="00EB4B02" w:rsidRPr="00A43E67">
          <w:rPr>
            <w:rStyle w:val="Hyperlink"/>
          </w:rPr>
          <w:t>4.3</w:t>
        </w:r>
        <w:r w:rsidR="00EB4B02">
          <w:rPr>
            <w:rFonts w:asciiTheme="minorHAnsi" w:eastAsiaTheme="minorEastAsia" w:hAnsiTheme="minorHAnsi" w:cstheme="minorBidi"/>
            <w:bCs w:val="0"/>
            <w:sz w:val="22"/>
            <w:szCs w:val="22"/>
            <w:lang w:eastAsia="en-AU"/>
          </w:rPr>
          <w:tab/>
        </w:r>
        <w:r w:rsidR="00EB4B02" w:rsidRPr="00A43E67">
          <w:rPr>
            <w:rStyle w:val="Hyperlink"/>
          </w:rPr>
          <w:t>Current Motorcycle GLS (M-GLS)</w:t>
        </w:r>
        <w:r w:rsidR="00EB4B02">
          <w:rPr>
            <w:webHidden/>
          </w:rPr>
          <w:tab/>
        </w:r>
        <w:r w:rsidR="00EB4B02">
          <w:rPr>
            <w:webHidden/>
          </w:rPr>
          <w:fldChar w:fldCharType="begin"/>
        </w:r>
        <w:r w:rsidR="00EB4B02">
          <w:rPr>
            <w:webHidden/>
          </w:rPr>
          <w:instrText xml:space="preserve"> PAGEREF _Toc10703423 \h </w:instrText>
        </w:r>
        <w:r w:rsidR="00EB4B02">
          <w:rPr>
            <w:webHidden/>
          </w:rPr>
        </w:r>
        <w:r w:rsidR="00EB4B02">
          <w:rPr>
            <w:webHidden/>
          </w:rPr>
          <w:fldChar w:fldCharType="separate"/>
        </w:r>
        <w:r w:rsidR="00EB4B02">
          <w:rPr>
            <w:webHidden/>
          </w:rPr>
          <w:t>65</w:t>
        </w:r>
        <w:r w:rsidR="00EB4B02">
          <w:rPr>
            <w:webHidden/>
          </w:rPr>
          <w:fldChar w:fldCharType="end"/>
        </w:r>
      </w:hyperlink>
    </w:p>
    <w:p w14:paraId="09BC3D6C" w14:textId="33B003F2" w:rsidR="00EB4B02" w:rsidRDefault="003C7C88">
      <w:pPr>
        <w:pStyle w:val="TOC3"/>
        <w:rPr>
          <w:rFonts w:asciiTheme="minorHAnsi" w:eastAsiaTheme="minorEastAsia" w:hAnsiTheme="minorHAnsi" w:cstheme="minorBidi"/>
          <w:sz w:val="22"/>
          <w:szCs w:val="22"/>
          <w:lang w:eastAsia="en-AU"/>
        </w:rPr>
      </w:pPr>
      <w:hyperlink w:anchor="_Toc10703424" w:history="1">
        <w:r w:rsidR="00EB4B02" w:rsidRPr="00A43E67">
          <w:rPr>
            <w:rStyle w:val="Hyperlink"/>
            <w14:scene3d>
              <w14:camera w14:prst="orthographicFront"/>
              <w14:lightRig w14:rig="threePt" w14:dir="t">
                <w14:rot w14:lat="0" w14:lon="0" w14:rev="0"/>
              </w14:lightRig>
            </w14:scene3d>
          </w:rPr>
          <w:t>4.3.1</w:t>
        </w:r>
        <w:r w:rsidR="00EB4B02">
          <w:rPr>
            <w:rFonts w:asciiTheme="minorHAnsi" w:eastAsiaTheme="minorEastAsia" w:hAnsiTheme="minorHAnsi" w:cstheme="minorBidi"/>
            <w:sz w:val="22"/>
            <w:szCs w:val="22"/>
            <w:lang w:eastAsia="en-AU"/>
          </w:rPr>
          <w:tab/>
        </w:r>
        <w:r w:rsidR="00EB4B02" w:rsidRPr="00A43E67">
          <w:rPr>
            <w:rStyle w:val="Hyperlink"/>
          </w:rPr>
          <w:t>Implementation</w:t>
        </w:r>
        <w:r w:rsidR="00EB4B02">
          <w:rPr>
            <w:webHidden/>
          </w:rPr>
          <w:tab/>
        </w:r>
        <w:r w:rsidR="00EB4B02">
          <w:rPr>
            <w:webHidden/>
          </w:rPr>
          <w:fldChar w:fldCharType="begin"/>
        </w:r>
        <w:r w:rsidR="00EB4B02">
          <w:rPr>
            <w:webHidden/>
          </w:rPr>
          <w:instrText xml:space="preserve"> PAGEREF _Toc10703424 \h </w:instrText>
        </w:r>
        <w:r w:rsidR="00EB4B02">
          <w:rPr>
            <w:webHidden/>
          </w:rPr>
        </w:r>
        <w:r w:rsidR="00EB4B02">
          <w:rPr>
            <w:webHidden/>
          </w:rPr>
          <w:fldChar w:fldCharType="separate"/>
        </w:r>
        <w:r w:rsidR="00EB4B02">
          <w:rPr>
            <w:webHidden/>
          </w:rPr>
          <w:t>65</w:t>
        </w:r>
        <w:r w:rsidR="00EB4B02">
          <w:rPr>
            <w:webHidden/>
          </w:rPr>
          <w:fldChar w:fldCharType="end"/>
        </w:r>
      </w:hyperlink>
    </w:p>
    <w:p w14:paraId="158CFE13" w14:textId="3544679D" w:rsidR="00EB4B02" w:rsidRDefault="003C7C88">
      <w:pPr>
        <w:pStyle w:val="TOC3"/>
        <w:rPr>
          <w:rFonts w:asciiTheme="minorHAnsi" w:eastAsiaTheme="minorEastAsia" w:hAnsiTheme="minorHAnsi" w:cstheme="minorBidi"/>
          <w:sz w:val="22"/>
          <w:szCs w:val="22"/>
          <w:lang w:eastAsia="en-AU"/>
        </w:rPr>
      </w:pPr>
      <w:hyperlink w:anchor="_Toc10703425" w:history="1">
        <w:r w:rsidR="00EB4B02" w:rsidRPr="00A43E67">
          <w:rPr>
            <w:rStyle w:val="Hyperlink"/>
            <w14:scene3d>
              <w14:camera w14:prst="orthographicFront"/>
              <w14:lightRig w14:rig="threePt" w14:dir="t">
                <w14:rot w14:lat="0" w14:lon="0" w14:rev="0"/>
              </w14:lightRig>
            </w14:scene3d>
          </w:rPr>
          <w:t>4.3.2</w:t>
        </w:r>
        <w:r w:rsidR="00EB4B02">
          <w:rPr>
            <w:rFonts w:asciiTheme="minorHAnsi" w:eastAsiaTheme="minorEastAsia" w:hAnsiTheme="minorHAnsi" w:cstheme="minorBidi"/>
            <w:sz w:val="22"/>
            <w:szCs w:val="22"/>
            <w:lang w:eastAsia="en-AU"/>
          </w:rPr>
          <w:tab/>
        </w:r>
        <w:r w:rsidR="00EB4B02" w:rsidRPr="00A43E67">
          <w:rPr>
            <w:rStyle w:val="Hyperlink"/>
          </w:rPr>
          <w:t>Effectiveness</w:t>
        </w:r>
        <w:r w:rsidR="00EB4B02">
          <w:rPr>
            <w:webHidden/>
          </w:rPr>
          <w:tab/>
        </w:r>
        <w:r w:rsidR="00EB4B02">
          <w:rPr>
            <w:webHidden/>
          </w:rPr>
          <w:fldChar w:fldCharType="begin"/>
        </w:r>
        <w:r w:rsidR="00EB4B02">
          <w:rPr>
            <w:webHidden/>
          </w:rPr>
          <w:instrText xml:space="preserve"> PAGEREF _Toc10703425 \h </w:instrText>
        </w:r>
        <w:r w:rsidR="00EB4B02">
          <w:rPr>
            <w:webHidden/>
          </w:rPr>
        </w:r>
        <w:r w:rsidR="00EB4B02">
          <w:rPr>
            <w:webHidden/>
          </w:rPr>
          <w:fldChar w:fldCharType="separate"/>
        </w:r>
        <w:r w:rsidR="00EB4B02">
          <w:rPr>
            <w:webHidden/>
          </w:rPr>
          <w:t>68</w:t>
        </w:r>
        <w:r w:rsidR="00EB4B02">
          <w:rPr>
            <w:webHidden/>
          </w:rPr>
          <w:fldChar w:fldCharType="end"/>
        </w:r>
      </w:hyperlink>
    </w:p>
    <w:p w14:paraId="5CFBEE53" w14:textId="21F781C5" w:rsidR="00EB4B02" w:rsidRDefault="003C7C88">
      <w:pPr>
        <w:pStyle w:val="TOC2"/>
        <w:rPr>
          <w:rFonts w:asciiTheme="minorHAnsi" w:eastAsiaTheme="minorEastAsia" w:hAnsiTheme="minorHAnsi" w:cstheme="minorBidi"/>
          <w:bCs w:val="0"/>
          <w:sz w:val="22"/>
          <w:szCs w:val="22"/>
          <w:lang w:eastAsia="en-AU"/>
        </w:rPr>
      </w:pPr>
      <w:hyperlink w:anchor="_Toc10703426" w:history="1">
        <w:r w:rsidR="00EB4B02" w:rsidRPr="00A43E67">
          <w:rPr>
            <w:rStyle w:val="Hyperlink"/>
          </w:rPr>
          <w:t>4.4</w:t>
        </w:r>
        <w:r w:rsidR="00EB4B02">
          <w:rPr>
            <w:rFonts w:asciiTheme="minorHAnsi" w:eastAsiaTheme="minorEastAsia" w:hAnsiTheme="minorHAnsi" w:cstheme="minorBidi"/>
            <w:bCs w:val="0"/>
            <w:sz w:val="22"/>
            <w:szCs w:val="22"/>
            <w:lang w:eastAsia="en-AU"/>
          </w:rPr>
          <w:tab/>
        </w:r>
        <w:r w:rsidR="00EB4B02" w:rsidRPr="00A43E67">
          <w:rPr>
            <w:rStyle w:val="Hyperlink"/>
          </w:rPr>
          <w:t>GLS options</w:t>
        </w:r>
        <w:r w:rsidR="00EB4B02">
          <w:rPr>
            <w:webHidden/>
          </w:rPr>
          <w:tab/>
        </w:r>
        <w:r w:rsidR="00EB4B02">
          <w:rPr>
            <w:webHidden/>
          </w:rPr>
          <w:fldChar w:fldCharType="begin"/>
        </w:r>
        <w:r w:rsidR="00EB4B02">
          <w:rPr>
            <w:webHidden/>
          </w:rPr>
          <w:instrText xml:space="preserve"> PAGEREF _Toc10703426 \h </w:instrText>
        </w:r>
        <w:r w:rsidR="00EB4B02">
          <w:rPr>
            <w:webHidden/>
          </w:rPr>
        </w:r>
        <w:r w:rsidR="00EB4B02">
          <w:rPr>
            <w:webHidden/>
          </w:rPr>
          <w:fldChar w:fldCharType="separate"/>
        </w:r>
        <w:r w:rsidR="00EB4B02">
          <w:rPr>
            <w:webHidden/>
          </w:rPr>
          <w:t>68</w:t>
        </w:r>
        <w:r w:rsidR="00EB4B02">
          <w:rPr>
            <w:webHidden/>
          </w:rPr>
          <w:fldChar w:fldCharType="end"/>
        </w:r>
      </w:hyperlink>
    </w:p>
    <w:p w14:paraId="47F2D4AC" w14:textId="37AB4942" w:rsidR="00EB4B02" w:rsidRDefault="003C7C88">
      <w:pPr>
        <w:pStyle w:val="TOC3"/>
        <w:rPr>
          <w:rFonts w:asciiTheme="minorHAnsi" w:eastAsiaTheme="minorEastAsia" w:hAnsiTheme="minorHAnsi" w:cstheme="minorBidi"/>
          <w:sz w:val="22"/>
          <w:szCs w:val="22"/>
          <w:lang w:eastAsia="en-AU"/>
        </w:rPr>
      </w:pPr>
      <w:hyperlink w:anchor="_Toc10703427" w:history="1">
        <w:r w:rsidR="00EB4B02" w:rsidRPr="00A43E67">
          <w:rPr>
            <w:rStyle w:val="Hyperlink"/>
            <w14:scene3d>
              <w14:camera w14:prst="orthographicFront"/>
              <w14:lightRig w14:rig="threePt" w14:dir="t">
                <w14:rot w14:lat="0" w14:lon="0" w14:rev="0"/>
              </w14:lightRig>
            </w14:scene3d>
          </w:rPr>
          <w:t>4.4.1</w:t>
        </w:r>
        <w:r w:rsidR="00EB4B02">
          <w:rPr>
            <w:rFonts w:asciiTheme="minorHAnsi" w:eastAsiaTheme="minorEastAsia" w:hAnsiTheme="minorHAnsi" w:cstheme="minorBidi"/>
            <w:sz w:val="22"/>
            <w:szCs w:val="22"/>
            <w:lang w:eastAsia="en-AU"/>
          </w:rPr>
          <w:tab/>
        </w:r>
        <w:r w:rsidR="00EB4B02" w:rsidRPr="00A43E67">
          <w:rPr>
            <w:rStyle w:val="Hyperlink"/>
          </w:rPr>
          <w:t>Options considered</w:t>
        </w:r>
        <w:r w:rsidR="00EB4B02">
          <w:rPr>
            <w:webHidden/>
          </w:rPr>
          <w:tab/>
        </w:r>
        <w:r w:rsidR="00EB4B02">
          <w:rPr>
            <w:webHidden/>
          </w:rPr>
          <w:fldChar w:fldCharType="begin"/>
        </w:r>
        <w:r w:rsidR="00EB4B02">
          <w:rPr>
            <w:webHidden/>
          </w:rPr>
          <w:instrText xml:space="preserve"> PAGEREF _Toc10703427 \h </w:instrText>
        </w:r>
        <w:r w:rsidR="00EB4B02">
          <w:rPr>
            <w:webHidden/>
          </w:rPr>
        </w:r>
        <w:r w:rsidR="00EB4B02">
          <w:rPr>
            <w:webHidden/>
          </w:rPr>
          <w:fldChar w:fldCharType="separate"/>
        </w:r>
        <w:r w:rsidR="00EB4B02">
          <w:rPr>
            <w:webHidden/>
          </w:rPr>
          <w:t>68</w:t>
        </w:r>
        <w:r w:rsidR="00EB4B02">
          <w:rPr>
            <w:webHidden/>
          </w:rPr>
          <w:fldChar w:fldCharType="end"/>
        </w:r>
      </w:hyperlink>
    </w:p>
    <w:p w14:paraId="49D5A140" w14:textId="74B0DDFD" w:rsidR="00EB4B02" w:rsidRDefault="003C7C88">
      <w:pPr>
        <w:pStyle w:val="TOC3"/>
        <w:rPr>
          <w:rFonts w:asciiTheme="minorHAnsi" w:eastAsiaTheme="minorEastAsia" w:hAnsiTheme="minorHAnsi" w:cstheme="minorBidi"/>
          <w:sz w:val="22"/>
          <w:szCs w:val="22"/>
          <w:lang w:eastAsia="en-AU"/>
        </w:rPr>
      </w:pPr>
      <w:hyperlink w:anchor="_Toc10703428" w:history="1">
        <w:r w:rsidR="00EB4B02" w:rsidRPr="00A43E67">
          <w:rPr>
            <w:rStyle w:val="Hyperlink"/>
            <w14:scene3d>
              <w14:camera w14:prst="orthographicFront"/>
              <w14:lightRig w14:rig="threePt" w14:dir="t">
                <w14:rot w14:lat="0" w14:lon="0" w14:rev="0"/>
              </w14:lightRig>
            </w14:scene3d>
          </w:rPr>
          <w:t>4.4.2</w:t>
        </w:r>
        <w:r w:rsidR="00EB4B02">
          <w:rPr>
            <w:rFonts w:asciiTheme="minorHAnsi" w:eastAsiaTheme="minorEastAsia" w:hAnsiTheme="minorHAnsi" w:cstheme="minorBidi"/>
            <w:sz w:val="22"/>
            <w:szCs w:val="22"/>
            <w:lang w:eastAsia="en-AU"/>
          </w:rPr>
          <w:tab/>
        </w:r>
        <w:r w:rsidR="00EB4B02" w:rsidRPr="00A43E67">
          <w:rPr>
            <w:rStyle w:val="Hyperlink"/>
          </w:rPr>
          <w:t>Options analysis</w:t>
        </w:r>
        <w:r w:rsidR="00EB4B02">
          <w:rPr>
            <w:webHidden/>
          </w:rPr>
          <w:tab/>
        </w:r>
        <w:r w:rsidR="00EB4B02">
          <w:rPr>
            <w:webHidden/>
          </w:rPr>
          <w:fldChar w:fldCharType="begin"/>
        </w:r>
        <w:r w:rsidR="00EB4B02">
          <w:rPr>
            <w:webHidden/>
          </w:rPr>
          <w:instrText xml:space="preserve"> PAGEREF _Toc10703428 \h </w:instrText>
        </w:r>
        <w:r w:rsidR="00EB4B02">
          <w:rPr>
            <w:webHidden/>
          </w:rPr>
        </w:r>
        <w:r w:rsidR="00EB4B02">
          <w:rPr>
            <w:webHidden/>
          </w:rPr>
          <w:fldChar w:fldCharType="separate"/>
        </w:r>
        <w:r w:rsidR="00EB4B02">
          <w:rPr>
            <w:webHidden/>
          </w:rPr>
          <w:t>69</w:t>
        </w:r>
        <w:r w:rsidR="00EB4B02">
          <w:rPr>
            <w:webHidden/>
          </w:rPr>
          <w:fldChar w:fldCharType="end"/>
        </w:r>
      </w:hyperlink>
    </w:p>
    <w:p w14:paraId="2397FB21" w14:textId="2EA736BD" w:rsidR="00EB4B02" w:rsidRDefault="003C7C88">
      <w:pPr>
        <w:pStyle w:val="TOC3"/>
        <w:rPr>
          <w:rFonts w:asciiTheme="minorHAnsi" w:eastAsiaTheme="minorEastAsia" w:hAnsiTheme="minorHAnsi" w:cstheme="minorBidi"/>
          <w:sz w:val="22"/>
          <w:szCs w:val="22"/>
          <w:lang w:eastAsia="en-AU"/>
        </w:rPr>
      </w:pPr>
      <w:hyperlink w:anchor="_Toc10703429" w:history="1">
        <w:r w:rsidR="00EB4B02" w:rsidRPr="00A43E67">
          <w:rPr>
            <w:rStyle w:val="Hyperlink"/>
            <w14:scene3d>
              <w14:camera w14:prst="orthographicFront"/>
              <w14:lightRig w14:rig="threePt" w14:dir="t">
                <w14:rot w14:lat="0" w14:lon="0" w14:rev="0"/>
              </w14:lightRig>
            </w14:scene3d>
          </w:rPr>
          <w:t>4.4.3</w:t>
        </w:r>
        <w:r w:rsidR="00EB4B02">
          <w:rPr>
            <w:rFonts w:asciiTheme="minorHAnsi" w:eastAsiaTheme="minorEastAsia" w:hAnsiTheme="minorHAnsi" w:cstheme="minorBidi"/>
            <w:sz w:val="22"/>
            <w:szCs w:val="22"/>
            <w:lang w:eastAsia="en-AU"/>
          </w:rPr>
          <w:tab/>
        </w:r>
        <w:r w:rsidR="00EB4B02" w:rsidRPr="00A43E67">
          <w:rPr>
            <w:rStyle w:val="Hyperlink"/>
          </w:rPr>
          <w:t>Preferred GLS model</w:t>
        </w:r>
        <w:r w:rsidR="00EB4B02">
          <w:rPr>
            <w:webHidden/>
          </w:rPr>
          <w:tab/>
        </w:r>
        <w:r w:rsidR="00EB4B02">
          <w:rPr>
            <w:webHidden/>
          </w:rPr>
          <w:fldChar w:fldCharType="begin"/>
        </w:r>
        <w:r w:rsidR="00EB4B02">
          <w:rPr>
            <w:webHidden/>
          </w:rPr>
          <w:instrText xml:space="preserve"> PAGEREF _Toc10703429 \h </w:instrText>
        </w:r>
        <w:r w:rsidR="00EB4B02">
          <w:rPr>
            <w:webHidden/>
          </w:rPr>
        </w:r>
        <w:r w:rsidR="00EB4B02">
          <w:rPr>
            <w:webHidden/>
          </w:rPr>
          <w:fldChar w:fldCharType="separate"/>
        </w:r>
        <w:r w:rsidR="00EB4B02">
          <w:rPr>
            <w:webHidden/>
          </w:rPr>
          <w:t>84</w:t>
        </w:r>
        <w:r w:rsidR="00EB4B02">
          <w:rPr>
            <w:webHidden/>
          </w:rPr>
          <w:fldChar w:fldCharType="end"/>
        </w:r>
      </w:hyperlink>
    </w:p>
    <w:p w14:paraId="1889E387" w14:textId="294A461E" w:rsidR="00EB4B02" w:rsidRDefault="003C7C88">
      <w:pPr>
        <w:pStyle w:val="TOC1"/>
        <w:rPr>
          <w:rFonts w:asciiTheme="minorHAnsi" w:eastAsiaTheme="minorEastAsia" w:hAnsiTheme="minorHAnsi" w:cstheme="minorBidi"/>
          <w:b w:val="0"/>
          <w:bCs w:val="0"/>
          <w:szCs w:val="22"/>
          <w:lang w:eastAsia="en-AU"/>
        </w:rPr>
      </w:pPr>
      <w:hyperlink w:anchor="_Toc10703430" w:history="1">
        <w:r w:rsidR="00EB4B02" w:rsidRPr="00A43E67">
          <w:rPr>
            <w:rStyle w:val="Hyperlink"/>
          </w:rPr>
          <w:t>5</w:t>
        </w:r>
        <w:r w:rsidR="00EB4B02">
          <w:rPr>
            <w:rFonts w:asciiTheme="minorHAnsi" w:eastAsiaTheme="minorEastAsia" w:hAnsiTheme="minorHAnsi" w:cstheme="minorBidi"/>
            <w:b w:val="0"/>
            <w:bCs w:val="0"/>
            <w:szCs w:val="22"/>
            <w:lang w:eastAsia="en-AU"/>
          </w:rPr>
          <w:tab/>
        </w:r>
        <w:r w:rsidR="00EB4B02" w:rsidRPr="00A43E67">
          <w:rPr>
            <w:rStyle w:val="Hyperlink"/>
          </w:rPr>
          <w:t>Recognition of other jurisdictions’ driver licences and experience</w:t>
        </w:r>
        <w:r w:rsidR="00EB4B02">
          <w:rPr>
            <w:webHidden/>
          </w:rPr>
          <w:tab/>
        </w:r>
        <w:r w:rsidR="00EB4B02">
          <w:rPr>
            <w:webHidden/>
          </w:rPr>
          <w:fldChar w:fldCharType="begin"/>
        </w:r>
        <w:r w:rsidR="00EB4B02">
          <w:rPr>
            <w:webHidden/>
          </w:rPr>
          <w:instrText xml:space="preserve"> PAGEREF _Toc10703430 \h </w:instrText>
        </w:r>
        <w:r w:rsidR="00EB4B02">
          <w:rPr>
            <w:webHidden/>
          </w:rPr>
        </w:r>
        <w:r w:rsidR="00EB4B02">
          <w:rPr>
            <w:webHidden/>
          </w:rPr>
          <w:fldChar w:fldCharType="separate"/>
        </w:r>
        <w:r w:rsidR="00EB4B02">
          <w:rPr>
            <w:webHidden/>
          </w:rPr>
          <w:t>86</w:t>
        </w:r>
        <w:r w:rsidR="00EB4B02">
          <w:rPr>
            <w:webHidden/>
          </w:rPr>
          <w:fldChar w:fldCharType="end"/>
        </w:r>
      </w:hyperlink>
    </w:p>
    <w:p w14:paraId="7CEA70E8" w14:textId="74357165" w:rsidR="00EB4B02" w:rsidRDefault="003C7C88">
      <w:pPr>
        <w:pStyle w:val="TOC2"/>
        <w:rPr>
          <w:rFonts w:asciiTheme="minorHAnsi" w:eastAsiaTheme="minorEastAsia" w:hAnsiTheme="minorHAnsi" w:cstheme="minorBidi"/>
          <w:bCs w:val="0"/>
          <w:sz w:val="22"/>
          <w:szCs w:val="22"/>
          <w:lang w:eastAsia="en-AU"/>
        </w:rPr>
      </w:pPr>
      <w:hyperlink w:anchor="_Toc10703431" w:history="1">
        <w:r w:rsidR="00EB4B02" w:rsidRPr="00A43E67">
          <w:rPr>
            <w:rStyle w:val="Hyperlink"/>
          </w:rPr>
          <w:t>5.1</w:t>
        </w:r>
        <w:r w:rsidR="00EB4B02">
          <w:rPr>
            <w:rFonts w:asciiTheme="minorHAnsi" w:eastAsiaTheme="minorEastAsia" w:hAnsiTheme="minorHAnsi" w:cstheme="minorBidi"/>
            <w:bCs w:val="0"/>
            <w:sz w:val="22"/>
            <w:szCs w:val="22"/>
            <w:lang w:eastAsia="en-AU"/>
          </w:rPr>
          <w:tab/>
        </w:r>
        <w:r w:rsidR="00EB4B02" w:rsidRPr="00A43E67">
          <w:rPr>
            <w:rStyle w:val="Hyperlink"/>
          </w:rPr>
          <w:t>Problem</w:t>
        </w:r>
        <w:r w:rsidR="00EB4B02">
          <w:rPr>
            <w:webHidden/>
          </w:rPr>
          <w:tab/>
        </w:r>
        <w:r w:rsidR="00EB4B02">
          <w:rPr>
            <w:webHidden/>
          </w:rPr>
          <w:fldChar w:fldCharType="begin"/>
        </w:r>
        <w:r w:rsidR="00EB4B02">
          <w:rPr>
            <w:webHidden/>
          </w:rPr>
          <w:instrText xml:space="preserve"> PAGEREF _Toc10703431 \h </w:instrText>
        </w:r>
        <w:r w:rsidR="00EB4B02">
          <w:rPr>
            <w:webHidden/>
          </w:rPr>
        </w:r>
        <w:r w:rsidR="00EB4B02">
          <w:rPr>
            <w:webHidden/>
          </w:rPr>
          <w:fldChar w:fldCharType="separate"/>
        </w:r>
        <w:r w:rsidR="00EB4B02">
          <w:rPr>
            <w:webHidden/>
          </w:rPr>
          <w:t>86</w:t>
        </w:r>
        <w:r w:rsidR="00EB4B02">
          <w:rPr>
            <w:webHidden/>
          </w:rPr>
          <w:fldChar w:fldCharType="end"/>
        </w:r>
      </w:hyperlink>
    </w:p>
    <w:p w14:paraId="48FA5D55" w14:textId="4FE15D7B" w:rsidR="00EB4B02" w:rsidRDefault="003C7C88">
      <w:pPr>
        <w:pStyle w:val="TOC3"/>
        <w:rPr>
          <w:rFonts w:asciiTheme="minorHAnsi" w:eastAsiaTheme="minorEastAsia" w:hAnsiTheme="minorHAnsi" w:cstheme="minorBidi"/>
          <w:sz w:val="22"/>
          <w:szCs w:val="22"/>
          <w:lang w:eastAsia="en-AU"/>
        </w:rPr>
      </w:pPr>
      <w:hyperlink w:anchor="_Toc10703432" w:history="1">
        <w:r w:rsidR="00EB4B02" w:rsidRPr="00A43E67">
          <w:rPr>
            <w:rStyle w:val="Hyperlink"/>
            <w14:scene3d>
              <w14:camera w14:prst="orthographicFront"/>
              <w14:lightRig w14:rig="threePt" w14:dir="t">
                <w14:rot w14:lat="0" w14:lon="0" w14:rev="0"/>
              </w14:lightRig>
            </w14:scene3d>
          </w:rPr>
          <w:t>5.1.1</w:t>
        </w:r>
        <w:r w:rsidR="00EB4B02">
          <w:rPr>
            <w:rFonts w:asciiTheme="minorHAnsi" w:eastAsiaTheme="minorEastAsia" w:hAnsiTheme="minorHAnsi" w:cstheme="minorBidi"/>
            <w:sz w:val="22"/>
            <w:szCs w:val="22"/>
            <w:lang w:eastAsia="en-AU"/>
          </w:rPr>
          <w:tab/>
        </w:r>
        <w:r w:rsidR="00EB4B02" w:rsidRPr="00A43E67">
          <w:rPr>
            <w:rStyle w:val="Hyperlink"/>
          </w:rPr>
          <w:t>Road safety issues</w:t>
        </w:r>
        <w:r w:rsidR="00EB4B02">
          <w:rPr>
            <w:webHidden/>
          </w:rPr>
          <w:tab/>
        </w:r>
        <w:r w:rsidR="00EB4B02">
          <w:rPr>
            <w:webHidden/>
          </w:rPr>
          <w:fldChar w:fldCharType="begin"/>
        </w:r>
        <w:r w:rsidR="00EB4B02">
          <w:rPr>
            <w:webHidden/>
          </w:rPr>
          <w:instrText xml:space="preserve"> PAGEREF _Toc10703432 \h </w:instrText>
        </w:r>
        <w:r w:rsidR="00EB4B02">
          <w:rPr>
            <w:webHidden/>
          </w:rPr>
        </w:r>
        <w:r w:rsidR="00EB4B02">
          <w:rPr>
            <w:webHidden/>
          </w:rPr>
          <w:fldChar w:fldCharType="separate"/>
        </w:r>
        <w:r w:rsidR="00EB4B02">
          <w:rPr>
            <w:webHidden/>
          </w:rPr>
          <w:t>86</w:t>
        </w:r>
        <w:r w:rsidR="00EB4B02">
          <w:rPr>
            <w:webHidden/>
          </w:rPr>
          <w:fldChar w:fldCharType="end"/>
        </w:r>
      </w:hyperlink>
    </w:p>
    <w:p w14:paraId="47DB52D5" w14:textId="4B6A83D9" w:rsidR="00EB4B02" w:rsidRDefault="003C7C88">
      <w:pPr>
        <w:pStyle w:val="TOC3"/>
        <w:rPr>
          <w:rFonts w:asciiTheme="minorHAnsi" w:eastAsiaTheme="minorEastAsia" w:hAnsiTheme="minorHAnsi" w:cstheme="minorBidi"/>
          <w:sz w:val="22"/>
          <w:szCs w:val="22"/>
          <w:lang w:eastAsia="en-AU"/>
        </w:rPr>
      </w:pPr>
      <w:hyperlink w:anchor="_Toc10703433" w:history="1">
        <w:r w:rsidR="00EB4B02" w:rsidRPr="00A43E67">
          <w:rPr>
            <w:rStyle w:val="Hyperlink"/>
            <w14:scene3d>
              <w14:camera w14:prst="orthographicFront"/>
              <w14:lightRig w14:rig="threePt" w14:dir="t">
                <w14:rot w14:lat="0" w14:lon="0" w14:rev="0"/>
              </w14:lightRig>
            </w14:scene3d>
          </w:rPr>
          <w:t>5.1.2</w:t>
        </w:r>
        <w:r w:rsidR="00EB4B02">
          <w:rPr>
            <w:rFonts w:asciiTheme="minorHAnsi" w:eastAsiaTheme="minorEastAsia" w:hAnsiTheme="minorHAnsi" w:cstheme="minorBidi"/>
            <w:sz w:val="22"/>
            <w:szCs w:val="22"/>
            <w:lang w:eastAsia="en-AU"/>
          </w:rPr>
          <w:tab/>
        </w:r>
        <w:r w:rsidR="00EB4B02" w:rsidRPr="00A43E67">
          <w:rPr>
            <w:rStyle w:val="Hyperlink"/>
          </w:rPr>
          <w:t>Enforcement issues</w:t>
        </w:r>
        <w:r w:rsidR="00EB4B02">
          <w:rPr>
            <w:webHidden/>
          </w:rPr>
          <w:tab/>
        </w:r>
        <w:r w:rsidR="00EB4B02">
          <w:rPr>
            <w:webHidden/>
          </w:rPr>
          <w:fldChar w:fldCharType="begin"/>
        </w:r>
        <w:r w:rsidR="00EB4B02">
          <w:rPr>
            <w:webHidden/>
          </w:rPr>
          <w:instrText xml:space="preserve"> PAGEREF _Toc10703433 \h </w:instrText>
        </w:r>
        <w:r w:rsidR="00EB4B02">
          <w:rPr>
            <w:webHidden/>
          </w:rPr>
        </w:r>
        <w:r w:rsidR="00EB4B02">
          <w:rPr>
            <w:webHidden/>
          </w:rPr>
          <w:fldChar w:fldCharType="separate"/>
        </w:r>
        <w:r w:rsidR="00EB4B02">
          <w:rPr>
            <w:webHidden/>
          </w:rPr>
          <w:t>87</w:t>
        </w:r>
        <w:r w:rsidR="00EB4B02">
          <w:rPr>
            <w:webHidden/>
          </w:rPr>
          <w:fldChar w:fldCharType="end"/>
        </w:r>
      </w:hyperlink>
    </w:p>
    <w:p w14:paraId="44057DC2" w14:textId="610295FD" w:rsidR="00EB4B02" w:rsidRDefault="003C7C88">
      <w:pPr>
        <w:pStyle w:val="TOC3"/>
        <w:rPr>
          <w:rFonts w:asciiTheme="minorHAnsi" w:eastAsiaTheme="minorEastAsia" w:hAnsiTheme="minorHAnsi" w:cstheme="minorBidi"/>
          <w:sz w:val="22"/>
          <w:szCs w:val="22"/>
          <w:lang w:eastAsia="en-AU"/>
        </w:rPr>
      </w:pPr>
      <w:hyperlink w:anchor="_Toc10703434" w:history="1">
        <w:r w:rsidR="00EB4B02" w:rsidRPr="00A43E67">
          <w:rPr>
            <w:rStyle w:val="Hyperlink"/>
            <w14:scene3d>
              <w14:camera w14:prst="orthographicFront"/>
              <w14:lightRig w14:rig="threePt" w14:dir="t">
                <w14:rot w14:lat="0" w14:lon="0" w14:rev="0"/>
              </w14:lightRig>
            </w14:scene3d>
          </w:rPr>
          <w:t>5.1.3</w:t>
        </w:r>
        <w:r w:rsidR="00EB4B02">
          <w:rPr>
            <w:rFonts w:asciiTheme="minorHAnsi" w:eastAsiaTheme="minorEastAsia" w:hAnsiTheme="minorHAnsi" w:cstheme="minorBidi"/>
            <w:sz w:val="22"/>
            <w:szCs w:val="22"/>
            <w:lang w:eastAsia="en-AU"/>
          </w:rPr>
          <w:tab/>
        </w:r>
        <w:r w:rsidR="00EB4B02" w:rsidRPr="00A43E67">
          <w:rPr>
            <w:rStyle w:val="Hyperlink"/>
          </w:rPr>
          <w:t>Other issues</w:t>
        </w:r>
        <w:r w:rsidR="00EB4B02">
          <w:rPr>
            <w:webHidden/>
          </w:rPr>
          <w:tab/>
        </w:r>
        <w:r w:rsidR="00EB4B02">
          <w:rPr>
            <w:webHidden/>
          </w:rPr>
          <w:fldChar w:fldCharType="begin"/>
        </w:r>
        <w:r w:rsidR="00EB4B02">
          <w:rPr>
            <w:webHidden/>
          </w:rPr>
          <w:instrText xml:space="preserve"> PAGEREF _Toc10703434 \h </w:instrText>
        </w:r>
        <w:r w:rsidR="00EB4B02">
          <w:rPr>
            <w:webHidden/>
          </w:rPr>
        </w:r>
        <w:r w:rsidR="00EB4B02">
          <w:rPr>
            <w:webHidden/>
          </w:rPr>
          <w:fldChar w:fldCharType="separate"/>
        </w:r>
        <w:r w:rsidR="00EB4B02">
          <w:rPr>
            <w:webHidden/>
          </w:rPr>
          <w:t>87</w:t>
        </w:r>
        <w:r w:rsidR="00EB4B02">
          <w:rPr>
            <w:webHidden/>
          </w:rPr>
          <w:fldChar w:fldCharType="end"/>
        </w:r>
      </w:hyperlink>
    </w:p>
    <w:p w14:paraId="21B66727" w14:textId="54B4AA2B" w:rsidR="00EB4B02" w:rsidRDefault="003C7C88">
      <w:pPr>
        <w:pStyle w:val="TOC3"/>
        <w:rPr>
          <w:rFonts w:asciiTheme="minorHAnsi" w:eastAsiaTheme="minorEastAsia" w:hAnsiTheme="minorHAnsi" w:cstheme="minorBidi"/>
          <w:sz w:val="22"/>
          <w:szCs w:val="22"/>
          <w:lang w:eastAsia="en-AU"/>
        </w:rPr>
      </w:pPr>
      <w:hyperlink w:anchor="_Toc10703435" w:history="1">
        <w:r w:rsidR="00EB4B02" w:rsidRPr="00A43E67">
          <w:rPr>
            <w:rStyle w:val="Hyperlink"/>
            <w14:scene3d>
              <w14:camera w14:prst="orthographicFront"/>
              <w14:lightRig w14:rig="threePt" w14:dir="t">
                <w14:rot w14:lat="0" w14:lon="0" w14:rev="0"/>
              </w14:lightRig>
            </w14:scene3d>
          </w:rPr>
          <w:t>5.1.4</w:t>
        </w:r>
        <w:r w:rsidR="00EB4B02">
          <w:rPr>
            <w:rFonts w:asciiTheme="minorHAnsi" w:eastAsiaTheme="minorEastAsia" w:hAnsiTheme="minorHAnsi" w:cstheme="minorBidi"/>
            <w:sz w:val="22"/>
            <w:szCs w:val="22"/>
            <w:lang w:eastAsia="en-AU"/>
          </w:rPr>
          <w:tab/>
        </w:r>
        <w:r w:rsidR="00EB4B02" w:rsidRPr="00A43E67">
          <w:rPr>
            <w:rStyle w:val="Hyperlink"/>
          </w:rPr>
          <w:t>Problem dimensions</w:t>
        </w:r>
        <w:r w:rsidR="00EB4B02">
          <w:rPr>
            <w:webHidden/>
          </w:rPr>
          <w:tab/>
        </w:r>
        <w:r w:rsidR="00EB4B02">
          <w:rPr>
            <w:webHidden/>
          </w:rPr>
          <w:fldChar w:fldCharType="begin"/>
        </w:r>
        <w:r w:rsidR="00EB4B02">
          <w:rPr>
            <w:webHidden/>
          </w:rPr>
          <w:instrText xml:space="preserve"> PAGEREF _Toc10703435 \h </w:instrText>
        </w:r>
        <w:r w:rsidR="00EB4B02">
          <w:rPr>
            <w:webHidden/>
          </w:rPr>
        </w:r>
        <w:r w:rsidR="00EB4B02">
          <w:rPr>
            <w:webHidden/>
          </w:rPr>
          <w:fldChar w:fldCharType="separate"/>
        </w:r>
        <w:r w:rsidR="00EB4B02">
          <w:rPr>
            <w:webHidden/>
          </w:rPr>
          <w:t>88</w:t>
        </w:r>
        <w:r w:rsidR="00EB4B02">
          <w:rPr>
            <w:webHidden/>
          </w:rPr>
          <w:fldChar w:fldCharType="end"/>
        </w:r>
      </w:hyperlink>
    </w:p>
    <w:p w14:paraId="6D9FF751" w14:textId="2113FF31" w:rsidR="00EB4B02" w:rsidRDefault="003C7C88">
      <w:pPr>
        <w:pStyle w:val="TOC2"/>
        <w:rPr>
          <w:rFonts w:asciiTheme="minorHAnsi" w:eastAsiaTheme="minorEastAsia" w:hAnsiTheme="minorHAnsi" w:cstheme="minorBidi"/>
          <w:bCs w:val="0"/>
          <w:sz w:val="22"/>
          <w:szCs w:val="22"/>
          <w:lang w:eastAsia="en-AU"/>
        </w:rPr>
      </w:pPr>
      <w:hyperlink w:anchor="_Toc10703436" w:history="1">
        <w:r w:rsidR="00EB4B02" w:rsidRPr="00A43E67">
          <w:rPr>
            <w:rStyle w:val="Hyperlink"/>
          </w:rPr>
          <w:t>5.2</w:t>
        </w:r>
        <w:r w:rsidR="00EB4B02">
          <w:rPr>
            <w:rFonts w:asciiTheme="minorHAnsi" w:eastAsiaTheme="minorEastAsia" w:hAnsiTheme="minorHAnsi" w:cstheme="minorBidi"/>
            <w:bCs w:val="0"/>
            <w:sz w:val="22"/>
            <w:szCs w:val="22"/>
            <w:lang w:eastAsia="en-AU"/>
          </w:rPr>
          <w:tab/>
        </w:r>
        <w:r w:rsidR="00EB4B02" w:rsidRPr="00A43E67">
          <w:rPr>
            <w:rStyle w:val="Hyperlink"/>
          </w:rPr>
          <w:t>Objective</w:t>
        </w:r>
        <w:r w:rsidR="00EB4B02">
          <w:rPr>
            <w:webHidden/>
          </w:rPr>
          <w:tab/>
        </w:r>
        <w:r w:rsidR="00EB4B02">
          <w:rPr>
            <w:webHidden/>
          </w:rPr>
          <w:fldChar w:fldCharType="begin"/>
        </w:r>
        <w:r w:rsidR="00EB4B02">
          <w:rPr>
            <w:webHidden/>
          </w:rPr>
          <w:instrText xml:space="preserve"> PAGEREF _Toc10703436 \h </w:instrText>
        </w:r>
        <w:r w:rsidR="00EB4B02">
          <w:rPr>
            <w:webHidden/>
          </w:rPr>
        </w:r>
        <w:r w:rsidR="00EB4B02">
          <w:rPr>
            <w:webHidden/>
          </w:rPr>
          <w:fldChar w:fldCharType="separate"/>
        </w:r>
        <w:r w:rsidR="00EB4B02">
          <w:rPr>
            <w:webHidden/>
          </w:rPr>
          <w:t>88</w:t>
        </w:r>
        <w:r w:rsidR="00EB4B02">
          <w:rPr>
            <w:webHidden/>
          </w:rPr>
          <w:fldChar w:fldCharType="end"/>
        </w:r>
      </w:hyperlink>
    </w:p>
    <w:p w14:paraId="2CDFC873" w14:textId="48E01D3C" w:rsidR="00EB4B02" w:rsidRDefault="003C7C88">
      <w:pPr>
        <w:pStyle w:val="TOC2"/>
        <w:rPr>
          <w:rFonts w:asciiTheme="minorHAnsi" w:eastAsiaTheme="minorEastAsia" w:hAnsiTheme="minorHAnsi" w:cstheme="minorBidi"/>
          <w:bCs w:val="0"/>
          <w:sz w:val="22"/>
          <w:szCs w:val="22"/>
          <w:lang w:eastAsia="en-AU"/>
        </w:rPr>
      </w:pPr>
      <w:hyperlink w:anchor="_Toc10703437" w:history="1">
        <w:r w:rsidR="00EB4B02" w:rsidRPr="00A43E67">
          <w:rPr>
            <w:rStyle w:val="Hyperlink"/>
          </w:rPr>
          <w:t>5.3</w:t>
        </w:r>
        <w:r w:rsidR="00EB4B02">
          <w:rPr>
            <w:rFonts w:asciiTheme="minorHAnsi" w:eastAsiaTheme="minorEastAsia" w:hAnsiTheme="minorHAnsi" w:cstheme="minorBidi"/>
            <w:bCs w:val="0"/>
            <w:sz w:val="22"/>
            <w:szCs w:val="22"/>
            <w:lang w:eastAsia="en-AU"/>
          </w:rPr>
          <w:tab/>
        </w:r>
        <w:r w:rsidR="00EB4B02" w:rsidRPr="00A43E67">
          <w:rPr>
            <w:rStyle w:val="Hyperlink"/>
          </w:rPr>
          <w:t>Current situation</w:t>
        </w:r>
        <w:r w:rsidR="00EB4B02">
          <w:rPr>
            <w:webHidden/>
          </w:rPr>
          <w:tab/>
        </w:r>
        <w:r w:rsidR="00EB4B02">
          <w:rPr>
            <w:webHidden/>
          </w:rPr>
          <w:fldChar w:fldCharType="begin"/>
        </w:r>
        <w:r w:rsidR="00EB4B02">
          <w:rPr>
            <w:webHidden/>
          </w:rPr>
          <w:instrText xml:space="preserve"> PAGEREF _Toc10703437 \h </w:instrText>
        </w:r>
        <w:r w:rsidR="00EB4B02">
          <w:rPr>
            <w:webHidden/>
          </w:rPr>
        </w:r>
        <w:r w:rsidR="00EB4B02">
          <w:rPr>
            <w:webHidden/>
          </w:rPr>
          <w:fldChar w:fldCharType="separate"/>
        </w:r>
        <w:r w:rsidR="00EB4B02">
          <w:rPr>
            <w:webHidden/>
          </w:rPr>
          <w:t>88</w:t>
        </w:r>
        <w:r w:rsidR="00EB4B02">
          <w:rPr>
            <w:webHidden/>
          </w:rPr>
          <w:fldChar w:fldCharType="end"/>
        </w:r>
      </w:hyperlink>
    </w:p>
    <w:p w14:paraId="2019BE85" w14:textId="77F972D4" w:rsidR="00EB4B02" w:rsidRDefault="003C7C88">
      <w:pPr>
        <w:pStyle w:val="TOC2"/>
        <w:rPr>
          <w:rFonts w:asciiTheme="minorHAnsi" w:eastAsiaTheme="minorEastAsia" w:hAnsiTheme="minorHAnsi" w:cstheme="minorBidi"/>
          <w:bCs w:val="0"/>
          <w:sz w:val="22"/>
          <w:szCs w:val="22"/>
          <w:lang w:eastAsia="en-AU"/>
        </w:rPr>
      </w:pPr>
      <w:hyperlink w:anchor="_Toc10703438" w:history="1">
        <w:r w:rsidR="00EB4B02" w:rsidRPr="00A43E67">
          <w:rPr>
            <w:rStyle w:val="Hyperlink"/>
          </w:rPr>
          <w:t>5.4</w:t>
        </w:r>
        <w:r w:rsidR="00EB4B02">
          <w:rPr>
            <w:rFonts w:asciiTheme="minorHAnsi" w:eastAsiaTheme="minorEastAsia" w:hAnsiTheme="minorHAnsi" w:cstheme="minorBidi"/>
            <w:bCs w:val="0"/>
            <w:sz w:val="22"/>
            <w:szCs w:val="22"/>
            <w:lang w:eastAsia="en-AU"/>
          </w:rPr>
          <w:tab/>
        </w:r>
        <w:r w:rsidR="00EB4B02" w:rsidRPr="00A43E67">
          <w:rPr>
            <w:rStyle w:val="Hyperlink"/>
          </w:rPr>
          <w:t>Driving licence conversion options</w:t>
        </w:r>
        <w:r w:rsidR="00EB4B02">
          <w:rPr>
            <w:webHidden/>
          </w:rPr>
          <w:tab/>
        </w:r>
        <w:r w:rsidR="00EB4B02">
          <w:rPr>
            <w:webHidden/>
          </w:rPr>
          <w:fldChar w:fldCharType="begin"/>
        </w:r>
        <w:r w:rsidR="00EB4B02">
          <w:rPr>
            <w:webHidden/>
          </w:rPr>
          <w:instrText xml:space="preserve"> PAGEREF _Toc10703438 \h </w:instrText>
        </w:r>
        <w:r w:rsidR="00EB4B02">
          <w:rPr>
            <w:webHidden/>
          </w:rPr>
        </w:r>
        <w:r w:rsidR="00EB4B02">
          <w:rPr>
            <w:webHidden/>
          </w:rPr>
          <w:fldChar w:fldCharType="separate"/>
        </w:r>
        <w:r w:rsidR="00EB4B02">
          <w:rPr>
            <w:webHidden/>
          </w:rPr>
          <w:t>90</w:t>
        </w:r>
        <w:r w:rsidR="00EB4B02">
          <w:rPr>
            <w:webHidden/>
          </w:rPr>
          <w:fldChar w:fldCharType="end"/>
        </w:r>
      </w:hyperlink>
    </w:p>
    <w:p w14:paraId="16AEA685" w14:textId="35BB0315" w:rsidR="00EB4B02" w:rsidRDefault="003C7C88">
      <w:pPr>
        <w:pStyle w:val="TOC3"/>
        <w:rPr>
          <w:rFonts w:asciiTheme="minorHAnsi" w:eastAsiaTheme="minorEastAsia" w:hAnsiTheme="minorHAnsi" w:cstheme="minorBidi"/>
          <w:sz w:val="22"/>
          <w:szCs w:val="22"/>
          <w:lang w:eastAsia="en-AU"/>
        </w:rPr>
      </w:pPr>
      <w:hyperlink w:anchor="_Toc10703439" w:history="1">
        <w:r w:rsidR="00EB4B02" w:rsidRPr="00A43E67">
          <w:rPr>
            <w:rStyle w:val="Hyperlink"/>
            <w14:scene3d>
              <w14:camera w14:prst="orthographicFront"/>
              <w14:lightRig w14:rig="threePt" w14:dir="t">
                <w14:rot w14:lat="0" w14:lon="0" w14:rev="0"/>
              </w14:lightRig>
            </w14:scene3d>
          </w:rPr>
          <w:t>5.4.1</w:t>
        </w:r>
        <w:r w:rsidR="00EB4B02">
          <w:rPr>
            <w:rFonts w:asciiTheme="minorHAnsi" w:eastAsiaTheme="minorEastAsia" w:hAnsiTheme="minorHAnsi" w:cstheme="minorBidi"/>
            <w:sz w:val="22"/>
            <w:szCs w:val="22"/>
            <w:lang w:eastAsia="en-AU"/>
          </w:rPr>
          <w:tab/>
        </w:r>
        <w:r w:rsidR="00EB4B02" w:rsidRPr="00A43E67">
          <w:rPr>
            <w:rStyle w:val="Hyperlink"/>
          </w:rPr>
          <w:t>Options considered</w:t>
        </w:r>
        <w:r w:rsidR="00EB4B02">
          <w:rPr>
            <w:webHidden/>
          </w:rPr>
          <w:tab/>
        </w:r>
        <w:r w:rsidR="00EB4B02">
          <w:rPr>
            <w:webHidden/>
          </w:rPr>
          <w:fldChar w:fldCharType="begin"/>
        </w:r>
        <w:r w:rsidR="00EB4B02">
          <w:rPr>
            <w:webHidden/>
          </w:rPr>
          <w:instrText xml:space="preserve"> PAGEREF _Toc10703439 \h </w:instrText>
        </w:r>
        <w:r w:rsidR="00EB4B02">
          <w:rPr>
            <w:webHidden/>
          </w:rPr>
        </w:r>
        <w:r w:rsidR="00EB4B02">
          <w:rPr>
            <w:webHidden/>
          </w:rPr>
          <w:fldChar w:fldCharType="separate"/>
        </w:r>
        <w:r w:rsidR="00EB4B02">
          <w:rPr>
            <w:webHidden/>
          </w:rPr>
          <w:t>90</w:t>
        </w:r>
        <w:r w:rsidR="00EB4B02">
          <w:rPr>
            <w:webHidden/>
          </w:rPr>
          <w:fldChar w:fldCharType="end"/>
        </w:r>
      </w:hyperlink>
    </w:p>
    <w:p w14:paraId="45370A9E" w14:textId="3BF9A703" w:rsidR="00EB4B02" w:rsidRDefault="003C7C88">
      <w:pPr>
        <w:pStyle w:val="TOC3"/>
        <w:rPr>
          <w:rFonts w:asciiTheme="minorHAnsi" w:eastAsiaTheme="minorEastAsia" w:hAnsiTheme="minorHAnsi" w:cstheme="minorBidi"/>
          <w:sz w:val="22"/>
          <w:szCs w:val="22"/>
          <w:lang w:eastAsia="en-AU"/>
        </w:rPr>
      </w:pPr>
      <w:hyperlink w:anchor="_Toc10703440" w:history="1">
        <w:r w:rsidR="00EB4B02" w:rsidRPr="00A43E67">
          <w:rPr>
            <w:rStyle w:val="Hyperlink"/>
            <w14:scene3d>
              <w14:camera w14:prst="orthographicFront"/>
              <w14:lightRig w14:rig="threePt" w14:dir="t">
                <w14:rot w14:lat="0" w14:lon="0" w14:rev="0"/>
              </w14:lightRig>
            </w14:scene3d>
          </w:rPr>
          <w:t>5.4.2</w:t>
        </w:r>
        <w:r w:rsidR="00EB4B02">
          <w:rPr>
            <w:rFonts w:asciiTheme="minorHAnsi" w:eastAsiaTheme="minorEastAsia" w:hAnsiTheme="minorHAnsi" w:cstheme="minorBidi"/>
            <w:sz w:val="22"/>
            <w:szCs w:val="22"/>
            <w:lang w:eastAsia="en-AU"/>
          </w:rPr>
          <w:tab/>
        </w:r>
        <w:r w:rsidR="00EB4B02" w:rsidRPr="00A43E67">
          <w:rPr>
            <w:rStyle w:val="Hyperlink"/>
          </w:rPr>
          <w:t>Options assessment</w:t>
        </w:r>
        <w:r w:rsidR="00EB4B02">
          <w:rPr>
            <w:webHidden/>
          </w:rPr>
          <w:tab/>
        </w:r>
        <w:r w:rsidR="00EB4B02">
          <w:rPr>
            <w:webHidden/>
          </w:rPr>
          <w:fldChar w:fldCharType="begin"/>
        </w:r>
        <w:r w:rsidR="00EB4B02">
          <w:rPr>
            <w:webHidden/>
          </w:rPr>
          <w:instrText xml:space="preserve"> PAGEREF _Toc10703440 \h </w:instrText>
        </w:r>
        <w:r w:rsidR="00EB4B02">
          <w:rPr>
            <w:webHidden/>
          </w:rPr>
        </w:r>
        <w:r w:rsidR="00EB4B02">
          <w:rPr>
            <w:webHidden/>
          </w:rPr>
          <w:fldChar w:fldCharType="separate"/>
        </w:r>
        <w:r w:rsidR="00EB4B02">
          <w:rPr>
            <w:webHidden/>
          </w:rPr>
          <w:t>92</w:t>
        </w:r>
        <w:r w:rsidR="00EB4B02">
          <w:rPr>
            <w:webHidden/>
          </w:rPr>
          <w:fldChar w:fldCharType="end"/>
        </w:r>
      </w:hyperlink>
    </w:p>
    <w:p w14:paraId="6B9F221E" w14:textId="7FFD59BE" w:rsidR="00EB4B02" w:rsidRDefault="003C7C88">
      <w:pPr>
        <w:pStyle w:val="TOC3"/>
        <w:rPr>
          <w:rFonts w:asciiTheme="minorHAnsi" w:eastAsiaTheme="minorEastAsia" w:hAnsiTheme="minorHAnsi" w:cstheme="minorBidi"/>
          <w:sz w:val="22"/>
          <w:szCs w:val="22"/>
          <w:lang w:eastAsia="en-AU"/>
        </w:rPr>
      </w:pPr>
      <w:hyperlink w:anchor="_Toc10703441" w:history="1">
        <w:r w:rsidR="00EB4B02" w:rsidRPr="00A43E67">
          <w:rPr>
            <w:rStyle w:val="Hyperlink"/>
            <w14:scene3d>
              <w14:camera w14:prst="orthographicFront"/>
              <w14:lightRig w14:rig="threePt" w14:dir="t">
                <w14:rot w14:lat="0" w14:lon="0" w14:rev="0"/>
              </w14:lightRig>
            </w14:scene3d>
          </w:rPr>
          <w:t>5.4.3</w:t>
        </w:r>
        <w:r w:rsidR="00EB4B02">
          <w:rPr>
            <w:rFonts w:asciiTheme="minorHAnsi" w:eastAsiaTheme="minorEastAsia" w:hAnsiTheme="minorHAnsi" w:cstheme="minorBidi"/>
            <w:sz w:val="22"/>
            <w:szCs w:val="22"/>
            <w:lang w:eastAsia="en-AU"/>
          </w:rPr>
          <w:tab/>
        </w:r>
        <w:r w:rsidR="00EB4B02" w:rsidRPr="00A43E67">
          <w:rPr>
            <w:rStyle w:val="Hyperlink"/>
          </w:rPr>
          <w:t>Preferred option</w:t>
        </w:r>
        <w:r w:rsidR="00EB4B02">
          <w:rPr>
            <w:webHidden/>
          </w:rPr>
          <w:tab/>
        </w:r>
        <w:r w:rsidR="00EB4B02">
          <w:rPr>
            <w:webHidden/>
          </w:rPr>
          <w:fldChar w:fldCharType="begin"/>
        </w:r>
        <w:r w:rsidR="00EB4B02">
          <w:rPr>
            <w:webHidden/>
          </w:rPr>
          <w:instrText xml:space="preserve"> PAGEREF _Toc10703441 \h </w:instrText>
        </w:r>
        <w:r w:rsidR="00EB4B02">
          <w:rPr>
            <w:webHidden/>
          </w:rPr>
        </w:r>
        <w:r w:rsidR="00EB4B02">
          <w:rPr>
            <w:webHidden/>
          </w:rPr>
          <w:fldChar w:fldCharType="separate"/>
        </w:r>
        <w:r w:rsidR="00EB4B02">
          <w:rPr>
            <w:webHidden/>
          </w:rPr>
          <w:t>96</w:t>
        </w:r>
        <w:r w:rsidR="00EB4B02">
          <w:rPr>
            <w:webHidden/>
          </w:rPr>
          <w:fldChar w:fldCharType="end"/>
        </w:r>
      </w:hyperlink>
    </w:p>
    <w:p w14:paraId="52ECC71E" w14:textId="41FB25A2" w:rsidR="00EB4B02" w:rsidRDefault="003C7C88">
      <w:pPr>
        <w:pStyle w:val="TOC2"/>
        <w:rPr>
          <w:rFonts w:asciiTheme="minorHAnsi" w:eastAsiaTheme="minorEastAsia" w:hAnsiTheme="minorHAnsi" w:cstheme="minorBidi"/>
          <w:bCs w:val="0"/>
          <w:sz w:val="22"/>
          <w:szCs w:val="22"/>
          <w:lang w:eastAsia="en-AU"/>
        </w:rPr>
      </w:pPr>
      <w:hyperlink w:anchor="_Toc10703442" w:history="1">
        <w:r w:rsidR="00EB4B02" w:rsidRPr="00A43E67">
          <w:rPr>
            <w:rStyle w:val="Hyperlink"/>
          </w:rPr>
          <w:t>5.5</w:t>
        </w:r>
        <w:r w:rsidR="00EB4B02">
          <w:rPr>
            <w:rFonts w:asciiTheme="minorHAnsi" w:eastAsiaTheme="minorEastAsia" w:hAnsiTheme="minorHAnsi" w:cstheme="minorBidi"/>
            <w:bCs w:val="0"/>
            <w:sz w:val="22"/>
            <w:szCs w:val="22"/>
            <w:lang w:eastAsia="en-AU"/>
          </w:rPr>
          <w:tab/>
        </w:r>
        <w:r w:rsidR="00EB4B02" w:rsidRPr="00A43E67">
          <w:rPr>
            <w:rStyle w:val="Hyperlink"/>
          </w:rPr>
          <w:t>Proposed measures</w:t>
        </w:r>
        <w:r w:rsidR="00EB4B02">
          <w:rPr>
            <w:webHidden/>
          </w:rPr>
          <w:tab/>
        </w:r>
        <w:r w:rsidR="00EB4B02">
          <w:rPr>
            <w:webHidden/>
          </w:rPr>
          <w:fldChar w:fldCharType="begin"/>
        </w:r>
        <w:r w:rsidR="00EB4B02">
          <w:rPr>
            <w:webHidden/>
          </w:rPr>
          <w:instrText xml:space="preserve"> PAGEREF _Toc10703442 \h </w:instrText>
        </w:r>
        <w:r w:rsidR="00EB4B02">
          <w:rPr>
            <w:webHidden/>
          </w:rPr>
        </w:r>
        <w:r w:rsidR="00EB4B02">
          <w:rPr>
            <w:webHidden/>
          </w:rPr>
          <w:fldChar w:fldCharType="separate"/>
        </w:r>
        <w:r w:rsidR="00EB4B02">
          <w:rPr>
            <w:webHidden/>
          </w:rPr>
          <w:t>96</w:t>
        </w:r>
        <w:r w:rsidR="00EB4B02">
          <w:rPr>
            <w:webHidden/>
          </w:rPr>
          <w:fldChar w:fldCharType="end"/>
        </w:r>
      </w:hyperlink>
    </w:p>
    <w:p w14:paraId="609FAB3B" w14:textId="5444564D" w:rsidR="00EB4B02" w:rsidRDefault="003C7C88">
      <w:pPr>
        <w:pStyle w:val="TOC2"/>
        <w:rPr>
          <w:rFonts w:asciiTheme="minorHAnsi" w:eastAsiaTheme="minorEastAsia" w:hAnsiTheme="minorHAnsi" w:cstheme="minorBidi"/>
          <w:bCs w:val="0"/>
          <w:sz w:val="22"/>
          <w:szCs w:val="22"/>
          <w:lang w:eastAsia="en-AU"/>
        </w:rPr>
      </w:pPr>
      <w:hyperlink w:anchor="_Toc10703443" w:history="1">
        <w:r w:rsidR="00EB4B02" w:rsidRPr="00A43E67">
          <w:rPr>
            <w:rStyle w:val="Hyperlink"/>
          </w:rPr>
          <w:t>5.6</w:t>
        </w:r>
        <w:r w:rsidR="00EB4B02">
          <w:rPr>
            <w:rFonts w:asciiTheme="minorHAnsi" w:eastAsiaTheme="minorEastAsia" w:hAnsiTheme="minorHAnsi" w:cstheme="minorBidi"/>
            <w:bCs w:val="0"/>
            <w:sz w:val="22"/>
            <w:szCs w:val="22"/>
            <w:lang w:eastAsia="en-AU"/>
          </w:rPr>
          <w:tab/>
        </w:r>
        <w:r w:rsidR="00EB4B02" w:rsidRPr="00A43E67">
          <w:rPr>
            <w:rStyle w:val="Hyperlink"/>
          </w:rPr>
          <w:t>Consultation</w:t>
        </w:r>
        <w:r w:rsidR="00EB4B02">
          <w:rPr>
            <w:webHidden/>
          </w:rPr>
          <w:tab/>
        </w:r>
        <w:r w:rsidR="00EB4B02">
          <w:rPr>
            <w:webHidden/>
          </w:rPr>
          <w:fldChar w:fldCharType="begin"/>
        </w:r>
        <w:r w:rsidR="00EB4B02">
          <w:rPr>
            <w:webHidden/>
          </w:rPr>
          <w:instrText xml:space="preserve"> PAGEREF _Toc10703443 \h </w:instrText>
        </w:r>
        <w:r w:rsidR="00EB4B02">
          <w:rPr>
            <w:webHidden/>
          </w:rPr>
        </w:r>
        <w:r w:rsidR="00EB4B02">
          <w:rPr>
            <w:webHidden/>
          </w:rPr>
          <w:fldChar w:fldCharType="separate"/>
        </w:r>
        <w:r w:rsidR="00EB4B02">
          <w:rPr>
            <w:webHidden/>
          </w:rPr>
          <w:t>97</w:t>
        </w:r>
        <w:r w:rsidR="00EB4B02">
          <w:rPr>
            <w:webHidden/>
          </w:rPr>
          <w:fldChar w:fldCharType="end"/>
        </w:r>
      </w:hyperlink>
    </w:p>
    <w:p w14:paraId="6878CE66" w14:textId="3A48B090" w:rsidR="00EB4B02" w:rsidRDefault="003C7C88">
      <w:pPr>
        <w:pStyle w:val="TOC1"/>
        <w:rPr>
          <w:rFonts w:asciiTheme="minorHAnsi" w:eastAsiaTheme="minorEastAsia" w:hAnsiTheme="minorHAnsi" w:cstheme="minorBidi"/>
          <w:b w:val="0"/>
          <w:bCs w:val="0"/>
          <w:szCs w:val="22"/>
          <w:lang w:eastAsia="en-AU"/>
        </w:rPr>
      </w:pPr>
      <w:hyperlink w:anchor="_Toc10703444" w:history="1">
        <w:r w:rsidR="00EB4B02" w:rsidRPr="00A43E67">
          <w:rPr>
            <w:rStyle w:val="Hyperlink"/>
          </w:rPr>
          <w:t>6</w:t>
        </w:r>
        <w:r w:rsidR="00EB4B02">
          <w:rPr>
            <w:rFonts w:asciiTheme="minorHAnsi" w:eastAsiaTheme="minorEastAsia" w:hAnsiTheme="minorHAnsi" w:cstheme="minorBidi"/>
            <w:b w:val="0"/>
            <w:bCs w:val="0"/>
            <w:szCs w:val="22"/>
            <w:lang w:eastAsia="en-AU"/>
          </w:rPr>
          <w:tab/>
        </w:r>
        <w:r w:rsidR="00EB4B02" w:rsidRPr="00A43E67">
          <w:rPr>
            <w:rStyle w:val="Hyperlink"/>
          </w:rPr>
          <w:t>Assessing medical fitness to drive</w:t>
        </w:r>
        <w:r w:rsidR="00EB4B02">
          <w:rPr>
            <w:webHidden/>
          </w:rPr>
          <w:tab/>
        </w:r>
        <w:r w:rsidR="00EB4B02">
          <w:rPr>
            <w:webHidden/>
          </w:rPr>
          <w:fldChar w:fldCharType="begin"/>
        </w:r>
        <w:r w:rsidR="00EB4B02">
          <w:rPr>
            <w:webHidden/>
          </w:rPr>
          <w:instrText xml:space="preserve"> PAGEREF _Toc10703444 \h </w:instrText>
        </w:r>
        <w:r w:rsidR="00EB4B02">
          <w:rPr>
            <w:webHidden/>
          </w:rPr>
        </w:r>
        <w:r w:rsidR="00EB4B02">
          <w:rPr>
            <w:webHidden/>
          </w:rPr>
          <w:fldChar w:fldCharType="separate"/>
        </w:r>
        <w:r w:rsidR="00EB4B02">
          <w:rPr>
            <w:webHidden/>
          </w:rPr>
          <w:t>98</w:t>
        </w:r>
        <w:r w:rsidR="00EB4B02">
          <w:rPr>
            <w:webHidden/>
          </w:rPr>
          <w:fldChar w:fldCharType="end"/>
        </w:r>
      </w:hyperlink>
    </w:p>
    <w:p w14:paraId="7D930255" w14:textId="6A93D056" w:rsidR="00EB4B02" w:rsidRDefault="003C7C88">
      <w:pPr>
        <w:pStyle w:val="TOC2"/>
        <w:rPr>
          <w:rFonts w:asciiTheme="minorHAnsi" w:eastAsiaTheme="minorEastAsia" w:hAnsiTheme="minorHAnsi" w:cstheme="minorBidi"/>
          <w:bCs w:val="0"/>
          <w:sz w:val="22"/>
          <w:szCs w:val="22"/>
          <w:lang w:eastAsia="en-AU"/>
        </w:rPr>
      </w:pPr>
      <w:hyperlink w:anchor="_Toc10703445" w:history="1">
        <w:r w:rsidR="00EB4B02" w:rsidRPr="00A43E67">
          <w:rPr>
            <w:rStyle w:val="Hyperlink"/>
          </w:rPr>
          <w:t>6.1</w:t>
        </w:r>
        <w:r w:rsidR="00EB4B02">
          <w:rPr>
            <w:rFonts w:asciiTheme="minorHAnsi" w:eastAsiaTheme="minorEastAsia" w:hAnsiTheme="minorHAnsi" w:cstheme="minorBidi"/>
            <w:bCs w:val="0"/>
            <w:sz w:val="22"/>
            <w:szCs w:val="22"/>
            <w:lang w:eastAsia="en-AU"/>
          </w:rPr>
          <w:tab/>
        </w:r>
        <w:r w:rsidR="00EB4B02" w:rsidRPr="00A43E67">
          <w:rPr>
            <w:rStyle w:val="Hyperlink"/>
          </w:rPr>
          <w:t>Background</w:t>
        </w:r>
        <w:r w:rsidR="00EB4B02">
          <w:rPr>
            <w:webHidden/>
          </w:rPr>
          <w:tab/>
        </w:r>
        <w:r w:rsidR="00EB4B02">
          <w:rPr>
            <w:webHidden/>
          </w:rPr>
          <w:fldChar w:fldCharType="begin"/>
        </w:r>
        <w:r w:rsidR="00EB4B02">
          <w:rPr>
            <w:webHidden/>
          </w:rPr>
          <w:instrText xml:space="preserve"> PAGEREF _Toc10703445 \h </w:instrText>
        </w:r>
        <w:r w:rsidR="00EB4B02">
          <w:rPr>
            <w:webHidden/>
          </w:rPr>
        </w:r>
        <w:r w:rsidR="00EB4B02">
          <w:rPr>
            <w:webHidden/>
          </w:rPr>
          <w:fldChar w:fldCharType="separate"/>
        </w:r>
        <w:r w:rsidR="00EB4B02">
          <w:rPr>
            <w:webHidden/>
          </w:rPr>
          <w:t>98</w:t>
        </w:r>
        <w:r w:rsidR="00EB4B02">
          <w:rPr>
            <w:webHidden/>
          </w:rPr>
          <w:fldChar w:fldCharType="end"/>
        </w:r>
      </w:hyperlink>
    </w:p>
    <w:p w14:paraId="0BCD6A92" w14:textId="2A9E6311" w:rsidR="00EB4B02" w:rsidRDefault="003C7C88">
      <w:pPr>
        <w:pStyle w:val="TOC2"/>
        <w:rPr>
          <w:rFonts w:asciiTheme="minorHAnsi" w:eastAsiaTheme="minorEastAsia" w:hAnsiTheme="minorHAnsi" w:cstheme="minorBidi"/>
          <w:bCs w:val="0"/>
          <w:sz w:val="22"/>
          <w:szCs w:val="22"/>
          <w:lang w:eastAsia="en-AU"/>
        </w:rPr>
      </w:pPr>
      <w:hyperlink w:anchor="_Toc10703446" w:history="1">
        <w:r w:rsidR="00EB4B02" w:rsidRPr="00A43E67">
          <w:rPr>
            <w:rStyle w:val="Hyperlink"/>
          </w:rPr>
          <w:t>6.2</w:t>
        </w:r>
        <w:r w:rsidR="00EB4B02">
          <w:rPr>
            <w:rFonts w:asciiTheme="minorHAnsi" w:eastAsiaTheme="minorEastAsia" w:hAnsiTheme="minorHAnsi" w:cstheme="minorBidi"/>
            <w:bCs w:val="0"/>
            <w:sz w:val="22"/>
            <w:szCs w:val="22"/>
            <w:lang w:eastAsia="en-AU"/>
          </w:rPr>
          <w:tab/>
        </w:r>
        <w:r w:rsidR="00EB4B02" w:rsidRPr="00A43E67">
          <w:rPr>
            <w:rStyle w:val="Hyperlink"/>
          </w:rPr>
          <w:t>Multi Criteria Assessment of Different Options</w:t>
        </w:r>
        <w:r w:rsidR="00EB4B02">
          <w:rPr>
            <w:webHidden/>
          </w:rPr>
          <w:tab/>
        </w:r>
        <w:r w:rsidR="00EB4B02">
          <w:rPr>
            <w:webHidden/>
          </w:rPr>
          <w:fldChar w:fldCharType="begin"/>
        </w:r>
        <w:r w:rsidR="00EB4B02">
          <w:rPr>
            <w:webHidden/>
          </w:rPr>
          <w:instrText xml:space="preserve"> PAGEREF _Toc10703446 \h </w:instrText>
        </w:r>
        <w:r w:rsidR="00EB4B02">
          <w:rPr>
            <w:webHidden/>
          </w:rPr>
        </w:r>
        <w:r w:rsidR="00EB4B02">
          <w:rPr>
            <w:webHidden/>
          </w:rPr>
          <w:fldChar w:fldCharType="separate"/>
        </w:r>
        <w:r w:rsidR="00EB4B02">
          <w:rPr>
            <w:webHidden/>
          </w:rPr>
          <w:t>99</w:t>
        </w:r>
        <w:r w:rsidR="00EB4B02">
          <w:rPr>
            <w:webHidden/>
          </w:rPr>
          <w:fldChar w:fldCharType="end"/>
        </w:r>
      </w:hyperlink>
    </w:p>
    <w:p w14:paraId="627E27E5" w14:textId="18445FB3" w:rsidR="00EB4B02" w:rsidRDefault="003C7C88">
      <w:pPr>
        <w:pStyle w:val="TOC1"/>
        <w:rPr>
          <w:rFonts w:asciiTheme="minorHAnsi" w:eastAsiaTheme="minorEastAsia" w:hAnsiTheme="minorHAnsi" w:cstheme="minorBidi"/>
          <w:b w:val="0"/>
          <w:bCs w:val="0"/>
          <w:szCs w:val="22"/>
          <w:lang w:eastAsia="en-AU"/>
        </w:rPr>
      </w:pPr>
      <w:hyperlink w:anchor="_Toc10703447" w:history="1">
        <w:r w:rsidR="00EB4B02" w:rsidRPr="00A43E67">
          <w:rPr>
            <w:rStyle w:val="Hyperlink"/>
          </w:rPr>
          <w:t>7</w:t>
        </w:r>
        <w:r w:rsidR="00EB4B02">
          <w:rPr>
            <w:rFonts w:asciiTheme="minorHAnsi" w:eastAsiaTheme="minorEastAsia" w:hAnsiTheme="minorHAnsi" w:cstheme="minorBidi"/>
            <w:b w:val="0"/>
            <w:bCs w:val="0"/>
            <w:szCs w:val="22"/>
            <w:lang w:eastAsia="en-AU"/>
          </w:rPr>
          <w:tab/>
        </w:r>
        <w:r w:rsidR="00EB4B02" w:rsidRPr="00A43E67">
          <w:rPr>
            <w:rStyle w:val="Hyperlink"/>
          </w:rPr>
          <w:t>Proposed regulations</w:t>
        </w:r>
        <w:r w:rsidR="00EB4B02">
          <w:rPr>
            <w:webHidden/>
          </w:rPr>
          <w:tab/>
        </w:r>
        <w:r w:rsidR="00EB4B02">
          <w:rPr>
            <w:webHidden/>
          </w:rPr>
          <w:fldChar w:fldCharType="begin"/>
        </w:r>
        <w:r w:rsidR="00EB4B02">
          <w:rPr>
            <w:webHidden/>
          </w:rPr>
          <w:instrText xml:space="preserve"> PAGEREF _Toc10703447 \h </w:instrText>
        </w:r>
        <w:r w:rsidR="00EB4B02">
          <w:rPr>
            <w:webHidden/>
          </w:rPr>
        </w:r>
        <w:r w:rsidR="00EB4B02">
          <w:rPr>
            <w:webHidden/>
          </w:rPr>
          <w:fldChar w:fldCharType="separate"/>
        </w:r>
        <w:r w:rsidR="00EB4B02">
          <w:rPr>
            <w:webHidden/>
          </w:rPr>
          <w:t>108</w:t>
        </w:r>
        <w:r w:rsidR="00EB4B02">
          <w:rPr>
            <w:webHidden/>
          </w:rPr>
          <w:fldChar w:fldCharType="end"/>
        </w:r>
      </w:hyperlink>
    </w:p>
    <w:p w14:paraId="1CCD79A0" w14:textId="3269861A" w:rsidR="00EB4B02" w:rsidRDefault="003C7C88">
      <w:pPr>
        <w:pStyle w:val="TOC2"/>
        <w:rPr>
          <w:rFonts w:asciiTheme="minorHAnsi" w:eastAsiaTheme="minorEastAsia" w:hAnsiTheme="minorHAnsi" w:cstheme="minorBidi"/>
          <w:bCs w:val="0"/>
          <w:sz w:val="22"/>
          <w:szCs w:val="22"/>
          <w:lang w:eastAsia="en-AU"/>
        </w:rPr>
      </w:pPr>
      <w:hyperlink w:anchor="_Toc10703448" w:history="1">
        <w:r w:rsidR="00EB4B02" w:rsidRPr="00A43E67">
          <w:rPr>
            <w:rStyle w:val="Hyperlink"/>
          </w:rPr>
          <w:t>7.1</w:t>
        </w:r>
        <w:r w:rsidR="00EB4B02">
          <w:rPr>
            <w:rFonts w:asciiTheme="minorHAnsi" w:eastAsiaTheme="minorEastAsia" w:hAnsiTheme="minorHAnsi" w:cstheme="minorBidi"/>
            <w:bCs w:val="0"/>
            <w:sz w:val="22"/>
            <w:szCs w:val="22"/>
            <w:lang w:eastAsia="en-AU"/>
          </w:rPr>
          <w:tab/>
        </w:r>
        <w:r w:rsidR="00EB4B02" w:rsidRPr="00A43E67">
          <w:rPr>
            <w:rStyle w:val="Hyperlink"/>
          </w:rPr>
          <w:t>Objectives of proposed Regulations</w:t>
        </w:r>
        <w:r w:rsidR="00EB4B02">
          <w:rPr>
            <w:webHidden/>
          </w:rPr>
          <w:tab/>
        </w:r>
        <w:r w:rsidR="00EB4B02">
          <w:rPr>
            <w:webHidden/>
          </w:rPr>
          <w:fldChar w:fldCharType="begin"/>
        </w:r>
        <w:r w:rsidR="00EB4B02">
          <w:rPr>
            <w:webHidden/>
          </w:rPr>
          <w:instrText xml:space="preserve"> PAGEREF _Toc10703448 \h </w:instrText>
        </w:r>
        <w:r w:rsidR="00EB4B02">
          <w:rPr>
            <w:webHidden/>
          </w:rPr>
        </w:r>
        <w:r w:rsidR="00EB4B02">
          <w:rPr>
            <w:webHidden/>
          </w:rPr>
          <w:fldChar w:fldCharType="separate"/>
        </w:r>
        <w:r w:rsidR="00EB4B02">
          <w:rPr>
            <w:webHidden/>
          </w:rPr>
          <w:t>108</w:t>
        </w:r>
        <w:r w:rsidR="00EB4B02">
          <w:rPr>
            <w:webHidden/>
          </w:rPr>
          <w:fldChar w:fldCharType="end"/>
        </w:r>
      </w:hyperlink>
    </w:p>
    <w:p w14:paraId="11BFA527" w14:textId="24BD9C07" w:rsidR="00EB4B02" w:rsidRDefault="003C7C88">
      <w:pPr>
        <w:pStyle w:val="TOC2"/>
        <w:rPr>
          <w:rFonts w:asciiTheme="minorHAnsi" w:eastAsiaTheme="minorEastAsia" w:hAnsiTheme="minorHAnsi" w:cstheme="minorBidi"/>
          <w:bCs w:val="0"/>
          <w:sz w:val="22"/>
          <w:szCs w:val="22"/>
          <w:lang w:eastAsia="en-AU"/>
        </w:rPr>
      </w:pPr>
      <w:hyperlink w:anchor="_Toc10703449" w:history="1">
        <w:r w:rsidR="00EB4B02" w:rsidRPr="00A43E67">
          <w:rPr>
            <w:rStyle w:val="Hyperlink"/>
          </w:rPr>
          <w:t>7.2</w:t>
        </w:r>
        <w:r w:rsidR="00EB4B02">
          <w:rPr>
            <w:rFonts w:asciiTheme="minorHAnsi" w:eastAsiaTheme="minorEastAsia" w:hAnsiTheme="minorHAnsi" w:cstheme="minorBidi"/>
            <w:bCs w:val="0"/>
            <w:sz w:val="22"/>
            <w:szCs w:val="22"/>
            <w:lang w:eastAsia="en-AU"/>
          </w:rPr>
          <w:tab/>
        </w:r>
        <w:r w:rsidR="00EB4B02" w:rsidRPr="00A43E67">
          <w:rPr>
            <w:rStyle w:val="Hyperlink"/>
          </w:rPr>
          <w:t>Proposed Regulations structure</w:t>
        </w:r>
        <w:r w:rsidR="00EB4B02">
          <w:rPr>
            <w:webHidden/>
          </w:rPr>
          <w:tab/>
        </w:r>
        <w:r w:rsidR="00EB4B02">
          <w:rPr>
            <w:webHidden/>
          </w:rPr>
          <w:fldChar w:fldCharType="begin"/>
        </w:r>
        <w:r w:rsidR="00EB4B02">
          <w:rPr>
            <w:webHidden/>
          </w:rPr>
          <w:instrText xml:space="preserve"> PAGEREF _Toc10703449 \h </w:instrText>
        </w:r>
        <w:r w:rsidR="00EB4B02">
          <w:rPr>
            <w:webHidden/>
          </w:rPr>
        </w:r>
        <w:r w:rsidR="00EB4B02">
          <w:rPr>
            <w:webHidden/>
          </w:rPr>
          <w:fldChar w:fldCharType="separate"/>
        </w:r>
        <w:r w:rsidR="00EB4B02">
          <w:rPr>
            <w:webHidden/>
          </w:rPr>
          <w:t>108</w:t>
        </w:r>
        <w:r w:rsidR="00EB4B02">
          <w:rPr>
            <w:webHidden/>
          </w:rPr>
          <w:fldChar w:fldCharType="end"/>
        </w:r>
      </w:hyperlink>
    </w:p>
    <w:p w14:paraId="002F7B39" w14:textId="56F6007A" w:rsidR="00EB4B02" w:rsidRDefault="003C7C88">
      <w:pPr>
        <w:pStyle w:val="TOC2"/>
        <w:rPr>
          <w:rFonts w:asciiTheme="minorHAnsi" w:eastAsiaTheme="minorEastAsia" w:hAnsiTheme="minorHAnsi" w:cstheme="minorBidi"/>
          <w:bCs w:val="0"/>
          <w:sz w:val="22"/>
          <w:szCs w:val="22"/>
          <w:lang w:eastAsia="en-AU"/>
        </w:rPr>
      </w:pPr>
      <w:hyperlink w:anchor="_Toc10703450" w:history="1">
        <w:r w:rsidR="00EB4B02" w:rsidRPr="00A43E67">
          <w:rPr>
            <w:rStyle w:val="Hyperlink"/>
          </w:rPr>
          <w:t>7.3</w:t>
        </w:r>
        <w:r w:rsidR="00EB4B02">
          <w:rPr>
            <w:rFonts w:asciiTheme="minorHAnsi" w:eastAsiaTheme="minorEastAsia" w:hAnsiTheme="minorHAnsi" w:cstheme="minorBidi"/>
            <w:bCs w:val="0"/>
            <w:sz w:val="22"/>
            <w:szCs w:val="22"/>
            <w:lang w:eastAsia="en-AU"/>
          </w:rPr>
          <w:tab/>
        </w:r>
        <w:r w:rsidR="00EB4B02" w:rsidRPr="00A43E67">
          <w:rPr>
            <w:rStyle w:val="Hyperlink"/>
          </w:rPr>
          <w:t>Learner Permit</w:t>
        </w:r>
        <w:r w:rsidR="00EB4B02">
          <w:rPr>
            <w:webHidden/>
          </w:rPr>
          <w:tab/>
        </w:r>
        <w:r w:rsidR="00EB4B02">
          <w:rPr>
            <w:webHidden/>
          </w:rPr>
          <w:fldChar w:fldCharType="begin"/>
        </w:r>
        <w:r w:rsidR="00EB4B02">
          <w:rPr>
            <w:webHidden/>
          </w:rPr>
          <w:instrText xml:space="preserve"> PAGEREF _Toc10703450 \h </w:instrText>
        </w:r>
        <w:r w:rsidR="00EB4B02">
          <w:rPr>
            <w:webHidden/>
          </w:rPr>
        </w:r>
        <w:r w:rsidR="00EB4B02">
          <w:rPr>
            <w:webHidden/>
          </w:rPr>
          <w:fldChar w:fldCharType="separate"/>
        </w:r>
        <w:r w:rsidR="00EB4B02">
          <w:rPr>
            <w:webHidden/>
          </w:rPr>
          <w:t>109</w:t>
        </w:r>
        <w:r w:rsidR="00EB4B02">
          <w:rPr>
            <w:webHidden/>
          </w:rPr>
          <w:fldChar w:fldCharType="end"/>
        </w:r>
      </w:hyperlink>
    </w:p>
    <w:p w14:paraId="3896FA12" w14:textId="4870B17E" w:rsidR="00EB4B02" w:rsidRDefault="003C7C88">
      <w:pPr>
        <w:pStyle w:val="TOC3"/>
        <w:rPr>
          <w:rFonts w:asciiTheme="minorHAnsi" w:eastAsiaTheme="minorEastAsia" w:hAnsiTheme="minorHAnsi" w:cstheme="minorBidi"/>
          <w:sz w:val="22"/>
          <w:szCs w:val="22"/>
          <w:lang w:eastAsia="en-AU"/>
        </w:rPr>
      </w:pPr>
      <w:hyperlink w:anchor="_Toc10703451" w:history="1">
        <w:r w:rsidR="00EB4B02" w:rsidRPr="00A43E67">
          <w:rPr>
            <w:rStyle w:val="Hyperlink"/>
            <w14:scene3d>
              <w14:camera w14:prst="orthographicFront"/>
              <w14:lightRig w14:rig="threePt" w14:dir="t">
                <w14:rot w14:lat="0" w14:lon="0" w14:rev="0"/>
              </w14:lightRig>
            </w14:scene3d>
          </w:rPr>
          <w:t>7.3.1</w:t>
        </w:r>
        <w:r w:rsidR="00EB4B02">
          <w:rPr>
            <w:rFonts w:asciiTheme="minorHAnsi" w:eastAsiaTheme="minorEastAsia" w:hAnsiTheme="minorHAnsi" w:cstheme="minorBidi"/>
            <w:sz w:val="22"/>
            <w:szCs w:val="22"/>
            <w:lang w:eastAsia="en-AU"/>
          </w:rPr>
          <w:tab/>
        </w:r>
        <w:r w:rsidR="00EB4B02" w:rsidRPr="00A43E67">
          <w:rPr>
            <w:rStyle w:val="Hyperlink"/>
          </w:rPr>
          <w:t>Background: How it works</w:t>
        </w:r>
        <w:r w:rsidR="00EB4B02">
          <w:rPr>
            <w:webHidden/>
          </w:rPr>
          <w:tab/>
        </w:r>
        <w:r w:rsidR="00EB4B02">
          <w:rPr>
            <w:webHidden/>
          </w:rPr>
          <w:fldChar w:fldCharType="begin"/>
        </w:r>
        <w:r w:rsidR="00EB4B02">
          <w:rPr>
            <w:webHidden/>
          </w:rPr>
          <w:instrText xml:space="preserve"> PAGEREF _Toc10703451 \h </w:instrText>
        </w:r>
        <w:r w:rsidR="00EB4B02">
          <w:rPr>
            <w:webHidden/>
          </w:rPr>
        </w:r>
        <w:r w:rsidR="00EB4B02">
          <w:rPr>
            <w:webHidden/>
          </w:rPr>
          <w:fldChar w:fldCharType="separate"/>
        </w:r>
        <w:r w:rsidR="00EB4B02">
          <w:rPr>
            <w:webHidden/>
          </w:rPr>
          <w:t>109</w:t>
        </w:r>
        <w:r w:rsidR="00EB4B02">
          <w:rPr>
            <w:webHidden/>
          </w:rPr>
          <w:fldChar w:fldCharType="end"/>
        </w:r>
      </w:hyperlink>
    </w:p>
    <w:p w14:paraId="13045F82" w14:textId="6880EF8D" w:rsidR="00EB4B02" w:rsidRDefault="003C7C88">
      <w:pPr>
        <w:pStyle w:val="TOC3"/>
        <w:rPr>
          <w:rFonts w:asciiTheme="minorHAnsi" w:eastAsiaTheme="minorEastAsia" w:hAnsiTheme="minorHAnsi" w:cstheme="minorBidi"/>
          <w:sz w:val="22"/>
          <w:szCs w:val="22"/>
          <w:lang w:eastAsia="en-AU"/>
        </w:rPr>
      </w:pPr>
      <w:hyperlink w:anchor="_Toc10703452" w:history="1">
        <w:r w:rsidR="00EB4B02" w:rsidRPr="00A43E67">
          <w:rPr>
            <w:rStyle w:val="Hyperlink"/>
            <w14:scene3d>
              <w14:camera w14:prst="orthographicFront"/>
              <w14:lightRig w14:rig="threePt" w14:dir="t">
                <w14:rot w14:lat="0" w14:lon="0" w14:rev="0"/>
              </w14:lightRig>
            </w14:scene3d>
          </w:rPr>
          <w:t>7.3.2</w:t>
        </w:r>
        <w:r w:rsidR="00EB4B02">
          <w:rPr>
            <w:rFonts w:asciiTheme="minorHAnsi" w:eastAsiaTheme="minorEastAsia" w:hAnsiTheme="minorHAnsi" w:cstheme="minorBidi"/>
            <w:sz w:val="22"/>
            <w:szCs w:val="22"/>
            <w:lang w:eastAsia="en-AU"/>
          </w:rPr>
          <w:tab/>
        </w:r>
        <w:r w:rsidR="00EB4B02" w:rsidRPr="00A43E67">
          <w:rPr>
            <w:rStyle w:val="Hyperlink"/>
          </w:rPr>
          <w:t>Summary of proposed regulations relevant to learner drivers</w:t>
        </w:r>
        <w:r w:rsidR="00EB4B02">
          <w:rPr>
            <w:webHidden/>
          </w:rPr>
          <w:tab/>
        </w:r>
        <w:r w:rsidR="00EB4B02">
          <w:rPr>
            <w:webHidden/>
          </w:rPr>
          <w:fldChar w:fldCharType="begin"/>
        </w:r>
        <w:r w:rsidR="00EB4B02">
          <w:rPr>
            <w:webHidden/>
          </w:rPr>
          <w:instrText xml:space="preserve"> PAGEREF _Toc10703452 \h </w:instrText>
        </w:r>
        <w:r w:rsidR="00EB4B02">
          <w:rPr>
            <w:webHidden/>
          </w:rPr>
        </w:r>
        <w:r w:rsidR="00EB4B02">
          <w:rPr>
            <w:webHidden/>
          </w:rPr>
          <w:fldChar w:fldCharType="separate"/>
        </w:r>
        <w:r w:rsidR="00EB4B02">
          <w:rPr>
            <w:webHidden/>
          </w:rPr>
          <w:t>109</w:t>
        </w:r>
        <w:r w:rsidR="00EB4B02">
          <w:rPr>
            <w:webHidden/>
          </w:rPr>
          <w:fldChar w:fldCharType="end"/>
        </w:r>
      </w:hyperlink>
    </w:p>
    <w:p w14:paraId="29D0AD5C" w14:textId="02029110" w:rsidR="00EB4B02" w:rsidRDefault="003C7C88">
      <w:pPr>
        <w:pStyle w:val="TOC3"/>
        <w:rPr>
          <w:rFonts w:asciiTheme="minorHAnsi" w:eastAsiaTheme="minorEastAsia" w:hAnsiTheme="minorHAnsi" w:cstheme="minorBidi"/>
          <w:sz w:val="22"/>
          <w:szCs w:val="22"/>
          <w:lang w:eastAsia="en-AU"/>
        </w:rPr>
      </w:pPr>
      <w:hyperlink w:anchor="_Toc10703453" w:history="1">
        <w:r w:rsidR="00EB4B02" w:rsidRPr="00A43E67">
          <w:rPr>
            <w:rStyle w:val="Hyperlink"/>
            <w14:scene3d>
              <w14:camera w14:prst="orthographicFront"/>
              <w14:lightRig w14:rig="threePt" w14:dir="t">
                <w14:rot w14:lat="0" w14:lon="0" w14:rev="0"/>
              </w14:lightRig>
            </w14:scene3d>
          </w:rPr>
          <w:t>7.3.3</w:t>
        </w:r>
        <w:r w:rsidR="00EB4B02">
          <w:rPr>
            <w:rFonts w:asciiTheme="minorHAnsi" w:eastAsiaTheme="minorEastAsia" w:hAnsiTheme="minorHAnsi" w:cstheme="minorBidi"/>
            <w:sz w:val="22"/>
            <w:szCs w:val="22"/>
            <w:lang w:eastAsia="en-AU"/>
          </w:rPr>
          <w:tab/>
        </w:r>
        <w:r w:rsidR="00EB4B02" w:rsidRPr="00A43E67">
          <w:rPr>
            <w:rStyle w:val="Hyperlink"/>
          </w:rPr>
          <w:t>Legislative and regulatory sources of learner permit restrictions</w:t>
        </w:r>
        <w:r w:rsidR="00EB4B02">
          <w:rPr>
            <w:webHidden/>
          </w:rPr>
          <w:tab/>
        </w:r>
        <w:r w:rsidR="00EB4B02">
          <w:rPr>
            <w:webHidden/>
          </w:rPr>
          <w:fldChar w:fldCharType="begin"/>
        </w:r>
        <w:r w:rsidR="00EB4B02">
          <w:rPr>
            <w:webHidden/>
          </w:rPr>
          <w:instrText xml:space="preserve"> PAGEREF _Toc10703453 \h </w:instrText>
        </w:r>
        <w:r w:rsidR="00EB4B02">
          <w:rPr>
            <w:webHidden/>
          </w:rPr>
        </w:r>
        <w:r w:rsidR="00EB4B02">
          <w:rPr>
            <w:webHidden/>
          </w:rPr>
          <w:fldChar w:fldCharType="separate"/>
        </w:r>
        <w:r w:rsidR="00EB4B02">
          <w:rPr>
            <w:webHidden/>
          </w:rPr>
          <w:t>110</w:t>
        </w:r>
        <w:r w:rsidR="00EB4B02">
          <w:rPr>
            <w:webHidden/>
          </w:rPr>
          <w:fldChar w:fldCharType="end"/>
        </w:r>
      </w:hyperlink>
    </w:p>
    <w:p w14:paraId="45975F90" w14:textId="0C6EB9FA" w:rsidR="00EB4B02" w:rsidRDefault="003C7C88">
      <w:pPr>
        <w:pStyle w:val="TOC3"/>
        <w:rPr>
          <w:rFonts w:asciiTheme="minorHAnsi" w:eastAsiaTheme="minorEastAsia" w:hAnsiTheme="minorHAnsi" w:cstheme="minorBidi"/>
          <w:sz w:val="22"/>
          <w:szCs w:val="22"/>
          <w:lang w:eastAsia="en-AU"/>
        </w:rPr>
      </w:pPr>
      <w:hyperlink w:anchor="_Toc10703454" w:history="1">
        <w:r w:rsidR="00EB4B02" w:rsidRPr="00A43E67">
          <w:rPr>
            <w:rStyle w:val="Hyperlink"/>
            <w14:scene3d>
              <w14:camera w14:prst="orthographicFront"/>
              <w14:lightRig w14:rig="threePt" w14:dir="t">
                <w14:rot w14:lat="0" w14:lon="0" w14:rev="0"/>
              </w14:lightRig>
            </w14:scene3d>
          </w:rPr>
          <w:t>7.3.4</w:t>
        </w:r>
        <w:r w:rsidR="00EB4B02">
          <w:rPr>
            <w:rFonts w:asciiTheme="minorHAnsi" w:eastAsiaTheme="minorEastAsia" w:hAnsiTheme="minorHAnsi" w:cstheme="minorBidi"/>
            <w:sz w:val="22"/>
            <w:szCs w:val="22"/>
            <w:lang w:eastAsia="en-AU"/>
          </w:rPr>
          <w:tab/>
        </w:r>
        <w:r w:rsidR="00EB4B02" w:rsidRPr="00A43E67">
          <w:rPr>
            <w:rStyle w:val="Hyperlink"/>
          </w:rPr>
          <w:t>Exemption from requirements</w:t>
        </w:r>
        <w:r w:rsidR="00EB4B02">
          <w:rPr>
            <w:webHidden/>
          </w:rPr>
          <w:tab/>
        </w:r>
        <w:r w:rsidR="00EB4B02">
          <w:rPr>
            <w:webHidden/>
          </w:rPr>
          <w:fldChar w:fldCharType="begin"/>
        </w:r>
        <w:r w:rsidR="00EB4B02">
          <w:rPr>
            <w:webHidden/>
          </w:rPr>
          <w:instrText xml:space="preserve"> PAGEREF _Toc10703454 \h </w:instrText>
        </w:r>
        <w:r w:rsidR="00EB4B02">
          <w:rPr>
            <w:webHidden/>
          </w:rPr>
        </w:r>
        <w:r w:rsidR="00EB4B02">
          <w:rPr>
            <w:webHidden/>
          </w:rPr>
          <w:fldChar w:fldCharType="separate"/>
        </w:r>
        <w:r w:rsidR="00EB4B02">
          <w:rPr>
            <w:webHidden/>
          </w:rPr>
          <w:t>111</w:t>
        </w:r>
        <w:r w:rsidR="00EB4B02">
          <w:rPr>
            <w:webHidden/>
          </w:rPr>
          <w:fldChar w:fldCharType="end"/>
        </w:r>
      </w:hyperlink>
    </w:p>
    <w:p w14:paraId="5B39F98B" w14:textId="3E6BAF01" w:rsidR="00EB4B02" w:rsidRDefault="003C7C88">
      <w:pPr>
        <w:pStyle w:val="TOC2"/>
        <w:rPr>
          <w:rFonts w:asciiTheme="minorHAnsi" w:eastAsiaTheme="minorEastAsia" w:hAnsiTheme="minorHAnsi" w:cstheme="minorBidi"/>
          <w:bCs w:val="0"/>
          <w:sz w:val="22"/>
          <w:szCs w:val="22"/>
          <w:lang w:eastAsia="en-AU"/>
        </w:rPr>
      </w:pPr>
      <w:hyperlink w:anchor="_Toc10703455" w:history="1">
        <w:r w:rsidR="00EB4B02" w:rsidRPr="00A43E67">
          <w:rPr>
            <w:rStyle w:val="Hyperlink"/>
          </w:rPr>
          <w:t>7.4</w:t>
        </w:r>
        <w:r w:rsidR="00EB4B02">
          <w:rPr>
            <w:rFonts w:asciiTheme="minorHAnsi" w:eastAsiaTheme="minorEastAsia" w:hAnsiTheme="minorHAnsi" w:cstheme="minorBidi"/>
            <w:bCs w:val="0"/>
            <w:sz w:val="22"/>
            <w:szCs w:val="22"/>
            <w:lang w:eastAsia="en-AU"/>
          </w:rPr>
          <w:tab/>
        </w:r>
        <w:r w:rsidR="00EB4B02" w:rsidRPr="00A43E67">
          <w:rPr>
            <w:rStyle w:val="Hyperlink"/>
          </w:rPr>
          <w:t>Probationary Licence (P1 and P2)</w:t>
        </w:r>
        <w:r w:rsidR="00EB4B02">
          <w:rPr>
            <w:webHidden/>
          </w:rPr>
          <w:tab/>
        </w:r>
        <w:r w:rsidR="00EB4B02">
          <w:rPr>
            <w:webHidden/>
          </w:rPr>
          <w:fldChar w:fldCharType="begin"/>
        </w:r>
        <w:r w:rsidR="00EB4B02">
          <w:rPr>
            <w:webHidden/>
          </w:rPr>
          <w:instrText xml:space="preserve"> PAGEREF _Toc10703455 \h </w:instrText>
        </w:r>
        <w:r w:rsidR="00EB4B02">
          <w:rPr>
            <w:webHidden/>
          </w:rPr>
        </w:r>
        <w:r w:rsidR="00EB4B02">
          <w:rPr>
            <w:webHidden/>
          </w:rPr>
          <w:fldChar w:fldCharType="separate"/>
        </w:r>
        <w:r w:rsidR="00EB4B02">
          <w:rPr>
            <w:webHidden/>
          </w:rPr>
          <w:t>112</w:t>
        </w:r>
        <w:r w:rsidR="00EB4B02">
          <w:rPr>
            <w:webHidden/>
          </w:rPr>
          <w:fldChar w:fldCharType="end"/>
        </w:r>
      </w:hyperlink>
    </w:p>
    <w:p w14:paraId="5A27285B" w14:textId="46BFE6CE" w:rsidR="00EB4B02" w:rsidRDefault="003C7C88">
      <w:pPr>
        <w:pStyle w:val="TOC3"/>
        <w:rPr>
          <w:rFonts w:asciiTheme="minorHAnsi" w:eastAsiaTheme="minorEastAsia" w:hAnsiTheme="minorHAnsi" w:cstheme="minorBidi"/>
          <w:sz w:val="22"/>
          <w:szCs w:val="22"/>
          <w:lang w:eastAsia="en-AU"/>
        </w:rPr>
      </w:pPr>
      <w:hyperlink w:anchor="_Toc10703456" w:history="1">
        <w:r w:rsidR="00EB4B02" w:rsidRPr="00A43E67">
          <w:rPr>
            <w:rStyle w:val="Hyperlink"/>
            <w14:scene3d>
              <w14:camera w14:prst="orthographicFront"/>
              <w14:lightRig w14:rig="threePt" w14:dir="t">
                <w14:rot w14:lat="0" w14:lon="0" w14:rev="0"/>
              </w14:lightRig>
            </w14:scene3d>
          </w:rPr>
          <w:t>7.4.1</w:t>
        </w:r>
        <w:r w:rsidR="00EB4B02">
          <w:rPr>
            <w:rFonts w:asciiTheme="minorHAnsi" w:eastAsiaTheme="minorEastAsia" w:hAnsiTheme="minorHAnsi" w:cstheme="minorBidi"/>
            <w:sz w:val="22"/>
            <w:szCs w:val="22"/>
            <w:lang w:eastAsia="en-AU"/>
          </w:rPr>
          <w:tab/>
        </w:r>
        <w:r w:rsidR="00EB4B02" w:rsidRPr="00A43E67">
          <w:rPr>
            <w:rStyle w:val="Hyperlink"/>
          </w:rPr>
          <w:t>Background: How it works</w:t>
        </w:r>
        <w:r w:rsidR="00EB4B02">
          <w:rPr>
            <w:webHidden/>
          </w:rPr>
          <w:tab/>
        </w:r>
        <w:r w:rsidR="00EB4B02">
          <w:rPr>
            <w:webHidden/>
          </w:rPr>
          <w:fldChar w:fldCharType="begin"/>
        </w:r>
        <w:r w:rsidR="00EB4B02">
          <w:rPr>
            <w:webHidden/>
          </w:rPr>
          <w:instrText xml:space="preserve"> PAGEREF _Toc10703456 \h </w:instrText>
        </w:r>
        <w:r w:rsidR="00EB4B02">
          <w:rPr>
            <w:webHidden/>
          </w:rPr>
        </w:r>
        <w:r w:rsidR="00EB4B02">
          <w:rPr>
            <w:webHidden/>
          </w:rPr>
          <w:fldChar w:fldCharType="separate"/>
        </w:r>
        <w:r w:rsidR="00EB4B02">
          <w:rPr>
            <w:webHidden/>
          </w:rPr>
          <w:t>112</w:t>
        </w:r>
        <w:r w:rsidR="00EB4B02">
          <w:rPr>
            <w:webHidden/>
          </w:rPr>
          <w:fldChar w:fldCharType="end"/>
        </w:r>
      </w:hyperlink>
    </w:p>
    <w:p w14:paraId="2B440340" w14:textId="7A27224D" w:rsidR="00EB4B02" w:rsidRDefault="003C7C88">
      <w:pPr>
        <w:pStyle w:val="TOC3"/>
        <w:rPr>
          <w:rFonts w:asciiTheme="minorHAnsi" w:eastAsiaTheme="minorEastAsia" w:hAnsiTheme="minorHAnsi" w:cstheme="minorBidi"/>
          <w:sz w:val="22"/>
          <w:szCs w:val="22"/>
          <w:lang w:eastAsia="en-AU"/>
        </w:rPr>
      </w:pPr>
      <w:hyperlink w:anchor="_Toc10703457" w:history="1">
        <w:r w:rsidR="00EB4B02" w:rsidRPr="00A43E67">
          <w:rPr>
            <w:rStyle w:val="Hyperlink"/>
            <w14:scene3d>
              <w14:camera w14:prst="orthographicFront"/>
              <w14:lightRig w14:rig="threePt" w14:dir="t">
                <w14:rot w14:lat="0" w14:lon="0" w14:rev="0"/>
              </w14:lightRig>
            </w14:scene3d>
          </w:rPr>
          <w:t>7.4.2</w:t>
        </w:r>
        <w:r w:rsidR="00EB4B02">
          <w:rPr>
            <w:rFonts w:asciiTheme="minorHAnsi" w:eastAsiaTheme="minorEastAsia" w:hAnsiTheme="minorHAnsi" w:cstheme="minorBidi"/>
            <w:sz w:val="22"/>
            <w:szCs w:val="22"/>
            <w:lang w:eastAsia="en-AU"/>
          </w:rPr>
          <w:tab/>
        </w:r>
        <w:r w:rsidR="00EB4B02" w:rsidRPr="00A43E67">
          <w:rPr>
            <w:rStyle w:val="Hyperlink"/>
          </w:rPr>
          <w:t>Summary of proposed regulations relevant to probationary licences</w:t>
        </w:r>
        <w:r w:rsidR="00EB4B02">
          <w:rPr>
            <w:webHidden/>
          </w:rPr>
          <w:tab/>
        </w:r>
        <w:r w:rsidR="00EB4B02">
          <w:rPr>
            <w:webHidden/>
          </w:rPr>
          <w:fldChar w:fldCharType="begin"/>
        </w:r>
        <w:r w:rsidR="00EB4B02">
          <w:rPr>
            <w:webHidden/>
          </w:rPr>
          <w:instrText xml:space="preserve"> PAGEREF _Toc10703457 \h </w:instrText>
        </w:r>
        <w:r w:rsidR="00EB4B02">
          <w:rPr>
            <w:webHidden/>
          </w:rPr>
        </w:r>
        <w:r w:rsidR="00EB4B02">
          <w:rPr>
            <w:webHidden/>
          </w:rPr>
          <w:fldChar w:fldCharType="separate"/>
        </w:r>
        <w:r w:rsidR="00EB4B02">
          <w:rPr>
            <w:webHidden/>
          </w:rPr>
          <w:t>112</w:t>
        </w:r>
        <w:r w:rsidR="00EB4B02">
          <w:rPr>
            <w:webHidden/>
          </w:rPr>
          <w:fldChar w:fldCharType="end"/>
        </w:r>
      </w:hyperlink>
    </w:p>
    <w:p w14:paraId="6B3D8012" w14:textId="0CA1FECD" w:rsidR="00EB4B02" w:rsidRDefault="003C7C88">
      <w:pPr>
        <w:pStyle w:val="TOC3"/>
        <w:rPr>
          <w:rFonts w:asciiTheme="minorHAnsi" w:eastAsiaTheme="minorEastAsia" w:hAnsiTheme="minorHAnsi" w:cstheme="minorBidi"/>
          <w:sz w:val="22"/>
          <w:szCs w:val="22"/>
          <w:lang w:eastAsia="en-AU"/>
        </w:rPr>
      </w:pPr>
      <w:hyperlink w:anchor="_Toc10703458" w:history="1">
        <w:r w:rsidR="00EB4B02" w:rsidRPr="00A43E67">
          <w:rPr>
            <w:rStyle w:val="Hyperlink"/>
            <w14:scene3d>
              <w14:camera w14:prst="orthographicFront"/>
              <w14:lightRig w14:rig="threePt" w14:dir="t">
                <w14:rot w14:lat="0" w14:lon="0" w14:rev="0"/>
              </w14:lightRig>
            </w14:scene3d>
          </w:rPr>
          <w:t>7.4.3</w:t>
        </w:r>
        <w:r w:rsidR="00EB4B02">
          <w:rPr>
            <w:rFonts w:asciiTheme="minorHAnsi" w:eastAsiaTheme="minorEastAsia" w:hAnsiTheme="minorHAnsi" w:cstheme="minorBidi"/>
            <w:sz w:val="22"/>
            <w:szCs w:val="22"/>
            <w:lang w:eastAsia="en-AU"/>
          </w:rPr>
          <w:tab/>
        </w:r>
        <w:r w:rsidR="00EB4B02" w:rsidRPr="00A43E67">
          <w:rPr>
            <w:rStyle w:val="Hyperlink"/>
          </w:rPr>
          <w:t>Legislative and regulatory sources of probationary licence restrictions</w:t>
        </w:r>
        <w:r w:rsidR="00EB4B02">
          <w:rPr>
            <w:webHidden/>
          </w:rPr>
          <w:tab/>
        </w:r>
        <w:r w:rsidR="00EB4B02">
          <w:rPr>
            <w:webHidden/>
          </w:rPr>
          <w:fldChar w:fldCharType="begin"/>
        </w:r>
        <w:r w:rsidR="00EB4B02">
          <w:rPr>
            <w:webHidden/>
          </w:rPr>
          <w:instrText xml:space="preserve"> PAGEREF _Toc10703458 \h </w:instrText>
        </w:r>
        <w:r w:rsidR="00EB4B02">
          <w:rPr>
            <w:webHidden/>
          </w:rPr>
        </w:r>
        <w:r w:rsidR="00EB4B02">
          <w:rPr>
            <w:webHidden/>
          </w:rPr>
          <w:fldChar w:fldCharType="separate"/>
        </w:r>
        <w:r w:rsidR="00EB4B02">
          <w:rPr>
            <w:webHidden/>
          </w:rPr>
          <w:t>114</w:t>
        </w:r>
        <w:r w:rsidR="00EB4B02">
          <w:rPr>
            <w:webHidden/>
          </w:rPr>
          <w:fldChar w:fldCharType="end"/>
        </w:r>
      </w:hyperlink>
    </w:p>
    <w:p w14:paraId="316719DE" w14:textId="5ECDC593" w:rsidR="00EB4B02" w:rsidRDefault="003C7C88">
      <w:pPr>
        <w:pStyle w:val="TOC3"/>
        <w:rPr>
          <w:rFonts w:asciiTheme="minorHAnsi" w:eastAsiaTheme="minorEastAsia" w:hAnsiTheme="minorHAnsi" w:cstheme="minorBidi"/>
          <w:sz w:val="22"/>
          <w:szCs w:val="22"/>
          <w:lang w:eastAsia="en-AU"/>
        </w:rPr>
      </w:pPr>
      <w:hyperlink w:anchor="_Toc10703459" w:history="1">
        <w:r w:rsidR="00EB4B02" w:rsidRPr="00A43E67">
          <w:rPr>
            <w:rStyle w:val="Hyperlink"/>
            <w14:scene3d>
              <w14:camera w14:prst="orthographicFront"/>
              <w14:lightRig w14:rig="threePt" w14:dir="t">
                <w14:rot w14:lat="0" w14:lon="0" w14:rev="0"/>
              </w14:lightRig>
            </w14:scene3d>
          </w:rPr>
          <w:t>7.4.4</w:t>
        </w:r>
        <w:r w:rsidR="00EB4B02">
          <w:rPr>
            <w:rFonts w:asciiTheme="minorHAnsi" w:eastAsiaTheme="minorEastAsia" w:hAnsiTheme="minorHAnsi" w:cstheme="minorBidi"/>
            <w:sz w:val="22"/>
            <w:szCs w:val="22"/>
            <w:lang w:eastAsia="en-AU"/>
          </w:rPr>
          <w:tab/>
        </w:r>
        <w:r w:rsidR="00EB4B02" w:rsidRPr="00A43E67">
          <w:rPr>
            <w:rStyle w:val="Hyperlink"/>
          </w:rPr>
          <w:t>Progressing to P2 and full licence</w:t>
        </w:r>
        <w:r w:rsidR="00EB4B02">
          <w:rPr>
            <w:webHidden/>
          </w:rPr>
          <w:tab/>
        </w:r>
        <w:r w:rsidR="00EB4B02">
          <w:rPr>
            <w:webHidden/>
          </w:rPr>
          <w:fldChar w:fldCharType="begin"/>
        </w:r>
        <w:r w:rsidR="00EB4B02">
          <w:rPr>
            <w:webHidden/>
          </w:rPr>
          <w:instrText xml:space="preserve"> PAGEREF _Toc10703459 \h </w:instrText>
        </w:r>
        <w:r w:rsidR="00EB4B02">
          <w:rPr>
            <w:webHidden/>
          </w:rPr>
        </w:r>
        <w:r w:rsidR="00EB4B02">
          <w:rPr>
            <w:webHidden/>
          </w:rPr>
          <w:fldChar w:fldCharType="separate"/>
        </w:r>
        <w:r w:rsidR="00EB4B02">
          <w:rPr>
            <w:webHidden/>
          </w:rPr>
          <w:t>116</w:t>
        </w:r>
        <w:r w:rsidR="00EB4B02">
          <w:rPr>
            <w:webHidden/>
          </w:rPr>
          <w:fldChar w:fldCharType="end"/>
        </w:r>
      </w:hyperlink>
    </w:p>
    <w:p w14:paraId="5B581FB4" w14:textId="18DAA67F" w:rsidR="00EB4B02" w:rsidRDefault="003C7C88">
      <w:pPr>
        <w:pStyle w:val="TOC3"/>
        <w:rPr>
          <w:rFonts w:asciiTheme="minorHAnsi" w:eastAsiaTheme="minorEastAsia" w:hAnsiTheme="minorHAnsi" w:cstheme="minorBidi"/>
          <w:sz w:val="22"/>
          <w:szCs w:val="22"/>
          <w:lang w:eastAsia="en-AU"/>
        </w:rPr>
      </w:pPr>
      <w:hyperlink w:anchor="_Toc10703460" w:history="1">
        <w:r w:rsidR="00EB4B02" w:rsidRPr="00A43E67">
          <w:rPr>
            <w:rStyle w:val="Hyperlink"/>
            <w14:scene3d>
              <w14:camera w14:prst="orthographicFront"/>
              <w14:lightRig w14:rig="threePt" w14:dir="t">
                <w14:rot w14:lat="0" w14:lon="0" w14:rev="0"/>
              </w14:lightRig>
            </w14:scene3d>
          </w:rPr>
          <w:t>7.4.5</w:t>
        </w:r>
        <w:r w:rsidR="00EB4B02">
          <w:rPr>
            <w:rFonts w:asciiTheme="minorHAnsi" w:eastAsiaTheme="minorEastAsia" w:hAnsiTheme="minorHAnsi" w:cstheme="minorBidi"/>
            <w:sz w:val="22"/>
            <w:szCs w:val="22"/>
            <w:lang w:eastAsia="en-AU"/>
          </w:rPr>
          <w:tab/>
        </w:r>
        <w:r w:rsidR="00EB4B02" w:rsidRPr="00A43E67">
          <w:rPr>
            <w:rStyle w:val="Hyperlink"/>
          </w:rPr>
          <w:t>Free Licence Scheme</w:t>
        </w:r>
        <w:r w:rsidR="00EB4B02">
          <w:rPr>
            <w:webHidden/>
          </w:rPr>
          <w:tab/>
        </w:r>
        <w:r w:rsidR="00EB4B02">
          <w:rPr>
            <w:webHidden/>
          </w:rPr>
          <w:fldChar w:fldCharType="begin"/>
        </w:r>
        <w:r w:rsidR="00EB4B02">
          <w:rPr>
            <w:webHidden/>
          </w:rPr>
          <w:instrText xml:space="preserve"> PAGEREF _Toc10703460 \h </w:instrText>
        </w:r>
        <w:r w:rsidR="00EB4B02">
          <w:rPr>
            <w:webHidden/>
          </w:rPr>
        </w:r>
        <w:r w:rsidR="00EB4B02">
          <w:rPr>
            <w:webHidden/>
          </w:rPr>
          <w:fldChar w:fldCharType="separate"/>
        </w:r>
        <w:r w:rsidR="00EB4B02">
          <w:rPr>
            <w:webHidden/>
          </w:rPr>
          <w:t>116</w:t>
        </w:r>
        <w:r w:rsidR="00EB4B02">
          <w:rPr>
            <w:webHidden/>
          </w:rPr>
          <w:fldChar w:fldCharType="end"/>
        </w:r>
      </w:hyperlink>
    </w:p>
    <w:p w14:paraId="5EC53639" w14:textId="0C95C5CF" w:rsidR="00EB4B02" w:rsidRDefault="003C7C88">
      <w:pPr>
        <w:pStyle w:val="TOC2"/>
        <w:rPr>
          <w:rFonts w:asciiTheme="minorHAnsi" w:eastAsiaTheme="minorEastAsia" w:hAnsiTheme="minorHAnsi" w:cstheme="minorBidi"/>
          <w:bCs w:val="0"/>
          <w:sz w:val="22"/>
          <w:szCs w:val="22"/>
          <w:lang w:eastAsia="en-AU"/>
        </w:rPr>
      </w:pPr>
      <w:hyperlink w:anchor="_Toc10703461" w:history="1">
        <w:r w:rsidR="00EB4B02" w:rsidRPr="00A43E67">
          <w:rPr>
            <w:rStyle w:val="Hyperlink"/>
          </w:rPr>
          <w:t>7.5</w:t>
        </w:r>
        <w:r w:rsidR="00EB4B02">
          <w:rPr>
            <w:rFonts w:asciiTheme="minorHAnsi" w:eastAsiaTheme="minorEastAsia" w:hAnsiTheme="minorHAnsi" w:cstheme="minorBidi"/>
            <w:bCs w:val="0"/>
            <w:sz w:val="22"/>
            <w:szCs w:val="22"/>
            <w:lang w:eastAsia="en-AU"/>
          </w:rPr>
          <w:tab/>
        </w:r>
        <w:r w:rsidR="00EB4B02" w:rsidRPr="00A43E67">
          <w:rPr>
            <w:rStyle w:val="Hyperlink"/>
          </w:rPr>
          <w:t>Full Licence</w:t>
        </w:r>
        <w:r w:rsidR="00EB4B02">
          <w:rPr>
            <w:webHidden/>
          </w:rPr>
          <w:tab/>
        </w:r>
        <w:r w:rsidR="00EB4B02">
          <w:rPr>
            <w:webHidden/>
          </w:rPr>
          <w:fldChar w:fldCharType="begin"/>
        </w:r>
        <w:r w:rsidR="00EB4B02">
          <w:rPr>
            <w:webHidden/>
          </w:rPr>
          <w:instrText xml:space="preserve"> PAGEREF _Toc10703461 \h </w:instrText>
        </w:r>
        <w:r w:rsidR="00EB4B02">
          <w:rPr>
            <w:webHidden/>
          </w:rPr>
        </w:r>
        <w:r w:rsidR="00EB4B02">
          <w:rPr>
            <w:webHidden/>
          </w:rPr>
          <w:fldChar w:fldCharType="separate"/>
        </w:r>
        <w:r w:rsidR="00EB4B02">
          <w:rPr>
            <w:webHidden/>
          </w:rPr>
          <w:t>117</w:t>
        </w:r>
        <w:r w:rsidR="00EB4B02">
          <w:rPr>
            <w:webHidden/>
          </w:rPr>
          <w:fldChar w:fldCharType="end"/>
        </w:r>
      </w:hyperlink>
    </w:p>
    <w:p w14:paraId="4EBE0FE2" w14:textId="02D624A0" w:rsidR="00EB4B02" w:rsidRDefault="003C7C88">
      <w:pPr>
        <w:pStyle w:val="TOC3"/>
        <w:rPr>
          <w:rFonts w:asciiTheme="minorHAnsi" w:eastAsiaTheme="minorEastAsia" w:hAnsiTheme="minorHAnsi" w:cstheme="minorBidi"/>
          <w:sz w:val="22"/>
          <w:szCs w:val="22"/>
          <w:lang w:eastAsia="en-AU"/>
        </w:rPr>
      </w:pPr>
      <w:hyperlink w:anchor="_Toc10703462" w:history="1">
        <w:r w:rsidR="00EB4B02" w:rsidRPr="00A43E67">
          <w:rPr>
            <w:rStyle w:val="Hyperlink"/>
            <w14:scene3d>
              <w14:camera w14:prst="orthographicFront"/>
              <w14:lightRig w14:rig="threePt" w14:dir="t">
                <w14:rot w14:lat="0" w14:lon="0" w14:rev="0"/>
              </w14:lightRig>
            </w14:scene3d>
          </w:rPr>
          <w:t>7.5.1</w:t>
        </w:r>
        <w:r w:rsidR="00EB4B02">
          <w:rPr>
            <w:rFonts w:asciiTheme="minorHAnsi" w:eastAsiaTheme="minorEastAsia" w:hAnsiTheme="minorHAnsi" w:cstheme="minorBidi"/>
            <w:sz w:val="22"/>
            <w:szCs w:val="22"/>
            <w:lang w:eastAsia="en-AU"/>
          </w:rPr>
          <w:tab/>
        </w:r>
        <w:r w:rsidR="00EB4B02" w:rsidRPr="00A43E67">
          <w:rPr>
            <w:rStyle w:val="Hyperlink"/>
          </w:rPr>
          <w:t>Background: How it works</w:t>
        </w:r>
        <w:r w:rsidR="00EB4B02">
          <w:rPr>
            <w:webHidden/>
          </w:rPr>
          <w:tab/>
        </w:r>
        <w:r w:rsidR="00EB4B02">
          <w:rPr>
            <w:webHidden/>
          </w:rPr>
          <w:fldChar w:fldCharType="begin"/>
        </w:r>
        <w:r w:rsidR="00EB4B02">
          <w:rPr>
            <w:webHidden/>
          </w:rPr>
          <w:instrText xml:space="preserve"> PAGEREF _Toc10703462 \h </w:instrText>
        </w:r>
        <w:r w:rsidR="00EB4B02">
          <w:rPr>
            <w:webHidden/>
          </w:rPr>
        </w:r>
        <w:r w:rsidR="00EB4B02">
          <w:rPr>
            <w:webHidden/>
          </w:rPr>
          <w:fldChar w:fldCharType="separate"/>
        </w:r>
        <w:r w:rsidR="00EB4B02">
          <w:rPr>
            <w:webHidden/>
          </w:rPr>
          <w:t>117</w:t>
        </w:r>
        <w:r w:rsidR="00EB4B02">
          <w:rPr>
            <w:webHidden/>
          </w:rPr>
          <w:fldChar w:fldCharType="end"/>
        </w:r>
      </w:hyperlink>
    </w:p>
    <w:p w14:paraId="6C742F82" w14:textId="12E01746" w:rsidR="00EB4B02" w:rsidRDefault="003C7C88">
      <w:pPr>
        <w:pStyle w:val="TOC3"/>
        <w:rPr>
          <w:rFonts w:asciiTheme="minorHAnsi" w:eastAsiaTheme="minorEastAsia" w:hAnsiTheme="minorHAnsi" w:cstheme="minorBidi"/>
          <w:sz w:val="22"/>
          <w:szCs w:val="22"/>
          <w:lang w:eastAsia="en-AU"/>
        </w:rPr>
      </w:pPr>
      <w:hyperlink w:anchor="_Toc10703463" w:history="1">
        <w:r w:rsidR="00EB4B02" w:rsidRPr="00A43E67">
          <w:rPr>
            <w:rStyle w:val="Hyperlink"/>
            <w14:scene3d>
              <w14:camera w14:prst="orthographicFront"/>
              <w14:lightRig w14:rig="threePt" w14:dir="t">
                <w14:rot w14:lat="0" w14:lon="0" w14:rev="0"/>
              </w14:lightRig>
            </w14:scene3d>
          </w:rPr>
          <w:t>7.5.2</w:t>
        </w:r>
        <w:r w:rsidR="00EB4B02">
          <w:rPr>
            <w:rFonts w:asciiTheme="minorHAnsi" w:eastAsiaTheme="minorEastAsia" w:hAnsiTheme="minorHAnsi" w:cstheme="minorBidi"/>
            <w:sz w:val="22"/>
            <w:szCs w:val="22"/>
            <w:lang w:eastAsia="en-AU"/>
          </w:rPr>
          <w:tab/>
        </w:r>
        <w:r w:rsidR="00EB4B02" w:rsidRPr="00A43E67">
          <w:rPr>
            <w:rStyle w:val="Hyperlink"/>
          </w:rPr>
          <w:t>Summary of proposed regulations relevant to full licence</w:t>
        </w:r>
        <w:r w:rsidR="00EB4B02">
          <w:rPr>
            <w:webHidden/>
          </w:rPr>
          <w:tab/>
        </w:r>
        <w:r w:rsidR="00EB4B02">
          <w:rPr>
            <w:webHidden/>
          </w:rPr>
          <w:fldChar w:fldCharType="begin"/>
        </w:r>
        <w:r w:rsidR="00EB4B02">
          <w:rPr>
            <w:webHidden/>
          </w:rPr>
          <w:instrText xml:space="preserve"> PAGEREF _Toc10703463 \h </w:instrText>
        </w:r>
        <w:r w:rsidR="00EB4B02">
          <w:rPr>
            <w:webHidden/>
          </w:rPr>
        </w:r>
        <w:r w:rsidR="00EB4B02">
          <w:rPr>
            <w:webHidden/>
          </w:rPr>
          <w:fldChar w:fldCharType="separate"/>
        </w:r>
        <w:r w:rsidR="00EB4B02">
          <w:rPr>
            <w:webHidden/>
          </w:rPr>
          <w:t>117</w:t>
        </w:r>
        <w:r w:rsidR="00EB4B02">
          <w:rPr>
            <w:webHidden/>
          </w:rPr>
          <w:fldChar w:fldCharType="end"/>
        </w:r>
      </w:hyperlink>
    </w:p>
    <w:p w14:paraId="404F8956" w14:textId="44222CDF" w:rsidR="00EB4B02" w:rsidRDefault="003C7C88">
      <w:pPr>
        <w:pStyle w:val="TOC3"/>
        <w:rPr>
          <w:rFonts w:asciiTheme="minorHAnsi" w:eastAsiaTheme="minorEastAsia" w:hAnsiTheme="minorHAnsi" w:cstheme="minorBidi"/>
          <w:sz w:val="22"/>
          <w:szCs w:val="22"/>
          <w:lang w:eastAsia="en-AU"/>
        </w:rPr>
      </w:pPr>
      <w:hyperlink w:anchor="_Toc10703464" w:history="1">
        <w:r w:rsidR="00EB4B02" w:rsidRPr="00A43E67">
          <w:rPr>
            <w:rStyle w:val="Hyperlink"/>
            <w14:scene3d>
              <w14:camera w14:prst="orthographicFront"/>
              <w14:lightRig w14:rig="threePt" w14:dir="t">
                <w14:rot w14:lat="0" w14:lon="0" w14:rev="0"/>
              </w14:lightRig>
            </w14:scene3d>
          </w:rPr>
          <w:t>7.5.3</w:t>
        </w:r>
        <w:r w:rsidR="00EB4B02">
          <w:rPr>
            <w:rFonts w:asciiTheme="minorHAnsi" w:eastAsiaTheme="minorEastAsia" w:hAnsiTheme="minorHAnsi" w:cstheme="minorBidi"/>
            <w:sz w:val="22"/>
            <w:szCs w:val="22"/>
            <w:lang w:eastAsia="en-AU"/>
          </w:rPr>
          <w:tab/>
        </w:r>
        <w:r w:rsidR="00EB4B02" w:rsidRPr="00A43E67">
          <w:rPr>
            <w:rStyle w:val="Hyperlink"/>
          </w:rPr>
          <w:t>Legislative and regulatory sources relating to full licence requirements</w:t>
        </w:r>
        <w:r w:rsidR="00EB4B02">
          <w:rPr>
            <w:webHidden/>
          </w:rPr>
          <w:tab/>
        </w:r>
        <w:r w:rsidR="00EB4B02">
          <w:rPr>
            <w:webHidden/>
          </w:rPr>
          <w:fldChar w:fldCharType="begin"/>
        </w:r>
        <w:r w:rsidR="00EB4B02">
          <w:rPr>
            <w:webHidden/>
          </w:rPr>
          <w:instrText xml:space="preserve"> PAGEREF _Toc10703464 \h </w:instrText>
        </w:r>
        <w:r w:rsidR="00EB4B02">
          <w:rPr>
            <w:webHidden/>
          </w:rPr>
        </w:r>
        <w:r w:rsidR="00EB4B02">
          <w:rPr>
            <w:webHidden/>
          </w:rPr>
          <w:fldChar w:fldCharType="separate"/>
        </w:r>
        <w:r w:rsidR="00EB4B02">
          <w:rPr>
            <w:webHidden/>
          </w:rPr>
          <w:t>119</w:t>
        </w:r>
        <w:r w:rsidR="00EB4B02">
          <w:rPr>
            <w:webHidden/>
          </w:rPr>
          <w:fldChar w:fldCharType="end"/>
        </w:r>
      </w:hyperlink>
    </w:p>
    <w:p w14:paraId="46546C80" w14:textId="2AC71F76" w:rsidR="00EB4B02" w:rsidRDefault="003C7C88">
      <w:pPr>
        <w:pStyle w:val="TOC3"/>
        <w:rPr>
          <w:rFonts w:asciiTheme="minorHAnsi" w:eastAsiaTheme="minorEastAsia" w:hAnsiTheme="minorHAnsi" w:cstheme="minorBidi"/>
          <w:sz w:val="22"/>
          <w:szCs w:val="22"/>
          <w:lang w:eastAsia="en-AU"/>
        </w:rPr>
      </w:pPr>
      <w:hyperlink w:anchor="_Toc10703465" w:history="1">
        <w:r w:rsidR="00EB4B02" w:rsidRPr="00A43E67">
          <w:rPr>
            <w:rStyle w:val="Hyperlink"/>
            <w14:scene3d>
              <w14:camera w14:prst="orthographicFront"/>
              <w14:lightRig w14:rig="threePt" w14:dir="t">
                <w14:rot w14:lat="0" w14:lon="0" w14:rev="0"/>
              </w14:lightRig>
            </w14:scene3d>
          </w:rPr>
          <w:t>7.5.4</w:t>
        </w:r>
        <w:r w:rsidR="00EB4B02">
          <w:rPr>
            <w:rFonts w:asciiTheme="minorHAnsi" w:eastAsiaTheme="minorEastAsia" w:hAnsiTheme="minorHAnsi" w:cstheme="minorBidi"/>
            <w:sz w:val="22"/>
            <w:szCs w:val="22"/>
            <w:lang w:eastAsia="en-AU"/>
          </w:rPr>
          <w:tab/>
        </w:r>
        <w:r w:rsidR="00EB4B02" w:rsidRPr="00A43E67">
          <w:rPr>
            <w:rStyle w:val="Hyperlink"/>
          </w:rPr>
          <w:t>Assessing medical fitness to drive</w:t>
        </w:r>
        <w:r w:rsidR="00EB4B02">
          <w:rPr>
            <w:webHidden/>
          </w:rPr>
          <w:tab/>
        </w:r>
        <w:r w:rsidR="00EB4B02">
          <w:rPr>
            <w:webHidden/>
          </w:rPr>
          <w:fldChar w:fldCharType="begin"/>
        </w:r>
        <w:r w:rsidR="00EB4B02">
          <w:rPr>
            <w:webHidden/>
          </w:rPr>
          <w:instrText xml:space="preserve"> PAGEREF _Toc10703465 \h </w:instrText>
        </w:r>
        <w:r w:rsidR="00EB4B02">
          <w:rPr>
            <w:webHidden/>
          </w:rPr>
        </w:r>
        <w:r w:rsidR="00EB4B02">
          <w:rPr>
            <w:webHidden/>
          </w:rPr>
          <w:fldChar w:fldCharType="separate"/>
        </w:r>
        <w:r w:rsidR="00EB4B02">
          <w:rPr>
            <w:webHidden/>
          </w:rPr>
          <w:t>119</w:t>
        </w:r>
        <w:r w:rsidR="00EB4B02">
          <w:rPr>
            <w:webHidden/>
          </w:rPr>
          <w:fldChar w:fldCharType="end"/>
        </w:r>
      </w:hyperlink>
    </w:p>
    <w:p w14:paraId="2FD3568C" w14:textId="633DB108" w:rsidR="00EB4B02" w:rsidRDefault="003C7C88">
      <w:pPr>
        <w:pStyle w:val="TOC3"/>
        <w:rPr>
          <w:rFonts w:asciiTheme="minorHAnsi" w:eastAsiaTheme="minorEastAsia" w:hAnsiTheme="minorHAnsi" w:cstheme="minorBidi"/>
          <w:sz w:val="22"/>
          <w:szCs w:val="22"/>
          <w:lang w:eastAsia="en-AU"/>
        </w:rPr>
      </w:pPr>
      <w:hyperlink w:anchor="_Toc10703466" w:history="1">
        <w:r w:rsidR="00EB4B02" w:rsidRPr="00A43E67">
          <w:rPr>
            <w:rStyle w:val="Hyperlink"/>
            <w14:scene3d>
              <w14:camera w14:prst="orthographicFront"/>
              <w14:lightRig w14:rig="threePt" w14:dir="t">
                <w14:rot w14:lat="0" w14:lon="0" w14:rev="0"/>
              </w14:lightRig>
            </w14:scene3d>
          </w:rPr>
          <w:t>7.5.5</w:t>
        </w:r>
        <w:r w:rsidR="00EB4B02">
          <w:rPr>
            <w:rFonts w:asciiTheme="minorHAnsi" w:eastAsiaTheme="minorEastAsia" w:hAnsiTheme="minorHAnsi" w:cstheme="minorBidi"/>
            <w:sz w:val="22"/>
            <w:szCs w:val="22"/>
            <w:lang w:eastAsia="en-AU"/>
          </w:rPr>
          <w:tab/>
        </w:r>
        <w:r w:rsidR="00EB4B02" w:rsidRPr="00A43E67">
          <w:rPr>
            <w:rStyle w:val="Hyperlink"/>
          </w:rPr>
          <w:t>Proposed regulations relating to fitness-to-drive assessments</w:t>
        </w:r>
        <w:r w:rsidR="00EB4B02">
          <w:rPr>
            <w:webHidden/>
          </w:rPr>
          <w:tab/>
        </w:r>
        <w:r w:rsidR="00EB4B02">
          <w:rPr>
            <w:webHidden/>
          </w:rPr>
          <w:fldChar w:fldCharType="begin"/>
        </w:r>
        <w:r w:rsidR="00EB4B02">
          <w:rPr>
            <w:webHidden/>
          </w:rPr>
          <w:instrText xml:space="preserve"> PAGEREF _Toc10703466 \h </w:instrText>
        </w:r>
        <w:r w:rsidR="00EB4B02">
          <w:rPr>
            <w:webHidden/>
          </w:rPr>
        </w:r>
        <w:r w:rsidR="00EB4B02">
          <w:rPr>
            <w:webHidden/>
          </w:rPr>
          <w:fldChar w:fldCharType="separate"/>
        </w:r>
        <w:r w:rsidR="00EB4B02">
          <w:rPr>
            <w:webHidden/>
          </w:rPr>
          <w:t>119</w:t>
        </w:r>
        <w:r w:rsidR="00EB4B02">
          <w:rPr>
            <w:webHidden/>
          </w:rPr>
          <w:fldChar w:fldCharType="end"/>
        </w:r>
      </w:hyperlink>
    </w:p>
    <w:p w14:paraId="59AC0FDA" w14:textId="1C156963" w:rsidR="00EB4B02" w:rsidRDefault="003C7C88">
      <w:pPr>
        <w:pStyle w:val="TOC2"/>
        <w:rPr>
          <w:rFonts w:asciiTheme="minorHAnsi" w:eastAsiaTheme="minorEastAsia" w:hAnsiTheme="minorHAnsi" w:cstheme="minorBidi"/>
          <w:bCs w:val="0"/>
          <w:sz w:val="22"/>
          <w:szCs w:val="22"/>
          <w:lang w:eastAsia="en-AU"/>
        </w:rPr>
      </w:pPr>
      <w:hyperlink w:anchor="_Toc10703467" w:history="1">
        <w:r w:rsidR="00EB4B02" w:rsidRPr="00A43E67">
          <w:rPr>
            <w:rStyle w:val="Hyperlink"/>
          </w:rPr>
          <w:t>7.6</w:t>
        </w:r>
        <w:r w:rsidR="00EB4B02">
          <w:rPr>
            <w:rFonts w:asciiTheme="minorHAnsi" w:eastAsiaTheme="minorEastAsia" w:hAnsiTheme="minorHAnsi" w:cstheme="minorBidi"/>
            <w:bCs w:val="0"/>
            <w:sz w:val="22"/>
            <w:szCs w:val="22"/>
            <w:lang w:eastAsia="en-AU"/>
          </w:rPr>
          <w:tab/>
        </w:r>
        <w:r w:rsidR="00EB4B02" w:rsidRPr="00A43E67">
          <w:rPr>
            <w:rStyle w:val="Hyperlink"/>
          </w:rPr>
          <w:t>Motorcycle learner permit and licences</w:t>
        </w:r>
        <w:r w:rsidR="00EB4B02">
          <w:rPr>
            <w:webHidden/>
          </w:rPr>
          <w:tab/>
        </w:r>
        <w:r w:rsidR="00EB4B02">
          <w:rPr>
            <w:webHidden/>
          </w:rPr>
          <w:fldChar w:fldCharType="begin"/>
        </w:r>
        <w:r w:rsidR="00EB4B02">
          <w:rPr>
            <w:webHidden/>
          </w:rPr>
          <w:instrText xml:space="preserve"> PAGEREF _Toc10703467 \h </w:instrText>
        </w:r>
        <w:r w:rsidR="00EB4B02">
          <w:rPr>
            <w:webHidden/>
          </w:rPr>
        </w:r>
        <w:r w:rsidR="00EB4B02">
          <w:rPr>
            <w:webHidden/>
          </w:rPr>
          <w:fldChar w:fldCharType="separate"/>
        </w:r>
        <w:r w:rsidR="00EB4B02">
          <w:rPr>
            <w:webHidden/>
          </w:rPr>
          <w:t>120</w:t>
        </w:r>
        <w:r w:rsidR="00EB4B02">
          <w:rPr>
            <w:webHidden/>
          </w:rPr>
          <w:fldChar w:fldCharType="end"/>
        </w:r>
      </w:hyperlink>
    </w:p>
    <w:p w14:paraId="38E8F39D" w14:textId="3F155CF9" w:rsidR="00EB4B02" w:rsidRDefault="003C7C88">
      <w:pPr>
        <w:pStyle w:val="TOC3"/>
        <w:rPr>
          <w:rFonts w:asciiTheme="minorHAnsi" w:eastAsiaTheme="minorEastAsia" w:hAnsiTheme="minorHAnsi" w:cstheme="minorBidi"/>
          <w:sz w:val="22"/>
          <w:szCs w:val="22"/>
          <w:lang w:eastAsia="en-AU"/>
        </w:rPr>
      </w:pPr>
      <w:hyperlink w:anchor="_Toc10703468" w:history="1">
        <w:r w:rsidR="00EB4B02" w:rsidRPr="00A43E67">
          <w:rPr>
            <w:rStyle w:val="Hyperlink"/>
            <w14:scene3d>
              <w14:camera w14:prst="orthographicFront"/>
              <w14:lightRig w14:rig="threePt" w14:dir="t">
                <w14:rot w14:lat="0" w14:lon="0" w14:rev="0"/>
              </w14:lightRig>
            </w14:scene3d>
          </w:rPr>
          <w:t>7.6.1</w:t>
        </w:r>
        <w:r w:rsidR="00EB4B02">
          <w:rPr>
            <w:rFonts w:asciiTheme="minorHAnsi" w:eastAsiaTheme="minorEastAsia" w:hAnsiTheme="minorHAnsi" w:cstheme="minorBidi"/>
            <w:sz w:val="22"/>
            <w:szCs w:val="22"/>
            <w:lang w:eastAsia="en-AU"/>
          </w:rPr>
          <w:tab/>
        </w:r>
        <w:r w:rsidR="00EB4B02" w:rsidRPr="00A43E67">
          <w:rPr>
            <w:rStyle w:val="Hyperlink"/>
          </w:rPr>
          <w:t>Background: How they work</w:t>
        </w:r>
        <w:r w:rsidR="00EB4B02">
          <w:rPr>
            <w:webHidden/>
          </w:rPr>
          <w:tab/>
        </w:r>
        <w:r w:rsidR="00EB4B02">
          <w:rPr>
            <w:webHidden/>
          </w:rPr>
          <w:fldChar w:fldCharType="begin"/>
        </w:r>
        <w:r w:rsidR="00EB4B02">
          <w:rPr>
            <w:webHidden/>
          </w:rPr>
          <w:instrText xml:space="preserve"> PAGEREF _Toc10703468 \h </w:instrText>
        </w:r>
        <w:r w:rsidR="00EB4B02">
          <w:rPr>
            <w:webHidden/>
          </w:rPr>
        </w:r>
        <w:r w:rsidR="00EB4B02">
          <w:rPr>
            <w:webHidden/>
          </w:rPr>
          <w:fldChar w:fldCharType="separate"/>
        </w:r>
        <w:r w:rsidR="00EB4B02">
          <w:rPr>
            <w:webHidden/>
          </w:rPr>
          <w:t>120</w:t>
        </w:r>
        <w:r w:rsidR="00EB4B02">
          <w:rPr>
            <w:webHidden/>
          </w:rPr>
          <w:fldChar w:fldCharType="end"/>
        </w:r>
      </w:hyperlink>
    </w:p>
    <w:p w14:paraId="5BD6AA92" w14:textId="150100C2" w:rsidR="00EB4B02" w:rsidRDefault="003C7C88">
      <w:pPr>
        <w:pStyle w:val="TOC3"/>
        <w:rPr>
          <w:rFonts w:asciiTheme="minorHAnsi" w:eastAsiaTheme="minorEastAsia" w:hAnsiTheme="minorHAnsi" w:cstheme="minorBidi"/>
          <w:sz w:val="22"/>
          <w:szCs w:val="22"/>
          <w:lang w:eastAsia="en-AU"/>
        </w:rPr>
      </w:pPr>
      <w:hyperlink w:anchor="_Toc10703469" w:history="1">
        <w:r w:rsidR="00EB4B02" w:rsidRPr="00A43E67">
          <w:rPr>
            <w:rStyle w:val="Hyperlink"/>
            <w14:scene3d>
              <w14:camera w14:prst="orthographicFront"/>
              <w14:lightRig w14:rig="threePt" w14:dir="t">
                <w14:rot w14:lat="0" w14:lon="0" w14:rev="0"/>
              </w14:lightRig>
            </w14:scene3d>
          </w:rPr>
          <w:t>7.6.2</w:t>
        </w:r>
        <w:r w:rsidR="00EB4B02">
          <w:rPr>
            <w:rFonts w:asciiTheme="minorHAnsi" w:eastAsiaTheme="minorEastAsia" w:hAnsiTheme="minorHAnsi" w:cstheme="minorBidi"/>
            <w:sz w:val="22"/>
            <w:szCs w:val="22"/>
            <w:lang w:eastAsia="en-AU"/>
          </w:rPr>
          <w:tab/>
        </w:r>
        <w:r w:rsidR="00EB4B02" w:rsidRPr="00A43E67">
          <w:rPr>
            <w:rStyle w:val="Hyperlink"/>
          </w:rPr>
          <w:t>Summary of proposed regulations relevant to motorcycle learner permit and licences</w:t>
        </w:r>
        <w:r w:rsidR="00EB4B02">
          <w:rPr>
            <w:webHidden/>
          </w:rPr>
          <w:tab/>
        </w:r>
        <w:r w:rsidR="00EB4B02">
          <w:rPr>
            <w:webHidden/>
          </w:rPr>
          <w:fldChar w:fldCharType="begin"/>
        </w:r>
        <w:r w:rsidR="00EB4B02">
          <w:rPr>
            <w:webHidden/>
          </w:rPr>
          <w:instrText xml:space="preserve"> PAGEREF _Toc10703469 \h </w:instrText>
        </w:r>
        <w:r w:rsidR="00EB4B02">
          <w:rPr>
            <w:webHidden/>
          </w:rPr>
        </w:r>
        <w:r w:rsidR="00EB4B02">
          <w:rPr>
            <w:webHidden/>
          </w:rPr>
          <w:fldChar w:fldCharType="separate"/>
        </w:r>
        <w:r w:rsidR="00EB4B02">
          <w:rPr>
            <w:webHidden/>
          </w:rPr>
          <w:t>122</w:t>
        </w:r>
        <w:r w:rsidR="00EB4B02">
          <w:rPr>
            <w:webHidden/>
          </w:rPr>
          <w:fldChar w:fldCharType="end"/>
        </w:r>
      </w:hyperlink>
    </w:p>
    <w:p w14:paraId="555A8964" w14:textId="7D2E2936" w:rsidR="00EB4B02" w:rsidRDefault="003C7C88">
      <w:pPr>
        <w:pStyle w:val="TOC3"/>
        <w:rPr>
          <w:rFonts w:asciiTheme="minorHAnsi" w:eastAsiaTheme="minorEastAsia" w:hAnsiTheme="minorHAnsi" w:cstheme="minorBidi"/>
          <w:sz w:val="22"/>
          <w:szCs w:val="22"/>
          <w:lang w:eastAsia="en-AU"/>
        </w:rPr>
      </w:pPr>
      <w:hyperlink w:anchor="_Toc10703470" w:history="1">
        <w:r w:rsidR="00EB4B02" w:rsidRPr="00A43E67">
          <w:rPr>
            <w:rStyle w:val="Hyperlink"/>
            <w14:scene3d>
              <w14:camera w14:prst="orthographicFront"/>
              <w14:lightRig w14:rig="threePt" w14:dir="t">
                <w14:rot w14:lat="0" w14:lon="0" w14:rev="0"/>
              </w14:lightRig>
            </w14:scene3d>
          </w:rPr>
          <w:t>7.6.3</w:t>
        </w:r>
        <w:r w:rsidR="00EB4B02">
          <w:rPr>
            <w:rFonts w:asciiTheme="minorHAnsi" w:eastAsiaTheme="minorEastAsia" w:hAnsiTheme="minorHAnsi" w:cstheme="minorBidi"/>
            <w:sz w:val="22"/>
            <w:szCs w:val="22"/>
            <w:lang w:eastAsia="en-AU"/>
          </w:rPr>
          <w:tab/>
        </w:r>
        <w:r w:rsidR="00EB4B02" w:rsidRPr="00A43E67">
          <w:rPr>
            <w:rStyle w:val="Hyperlink"/>
          </w:rPr>
          <w:t>Legislative and regulatory sources of motorcycle learner permit and licence requirements</w:t>
        </w:r>
        <w:r w:rsidR="00EB4B02">
          <w:rPr>
            <w:webHidden/>
          </w:rPr>
          <w:tab/>
        </w:r>
        <w:r w:rsidR="00EB4B02">
          <w:rPr>
            <w:webHidden/>
          </w:rPr>
          <w:fldChar w:fldCharType="begin"/>
        </w:r>
        <w:r w:rsidR="00EB4B02">
          <w:rPr>
            <w:webHidden/>
          </w:rPr>
          <w:instrText xml:space="preserve"> PAGEREF _Toc10703470 \h </w:instrText>
        </w:r>
        <w:r w:rsidR="00EB4B02">
          <w:rPr>
            <w:webHidden/>
          </w:rPr>
        </w:r>
        <w:r w:rsidR="00EB4B02">
          <w:rPr>
            <w:webHidden/>
          </w:rPr>
          <w:fldChar w:fldCharType="separate"/>
        </w:r>
        <w:r w:rsidR="00EB4B02">
          <w:rPr>
            <w:webHidden/>
          </w:rPr>
          <w:t>124</w:t>
        </w:r>
        <w:r w:rsidR="00EB4B02">
          <w:rPr>
            <w:webHidden/>
          </w:rPr>
          <w:fldChar w:fldCharType="end"/>
        </w:r>
      </w:hyperlink>
    </w:p>
    <w:p w14:paraId="0D559FD1" w14:textId="271DAB48" w:rsidR="00EB4B02" w:rsidRDefault="003C7C88">
      <w:pPr>
        <w:pStyle w:val="TOC1"/>
        <w:rPr>
          <w:rFonts w:asciiTheme="minorHAnsi" w:eastAsiaTheme="minorEastAsia" w:hAnsiTheme="minorHAnsi" w:cstheme="minorBidi"/>
          <w:b w:val="0"/>
          <w:bCs w:val="0"/>
          <w:szCs w:val="22"/>
          <w:lang w:eastAsia="en-AU"/>
        </w:rPr>
      </w:pPr>
      <w:hyperlink w:anchor="_Toc10703471" w:history="1">
        <w:r w:rsidR="00EB4B02" w:rsidRPr="00A43E67">
          <w:rPr>
            <w:rStyle w:val="Hyperlink"/>
          </w:rPr>
          <w:t>8</w:t>
        </w:r>
        <w:r w:rsidR="00EB4B02">
          <w:rPr>
            <w:rFonts w:asciiTheme="minorHAnsi" w:eastAsiaTheme="minorEastAsia" w:hAnsiTheme="minorHAnsi" w:cstheme="minorBidi"/>
            <w:b w:val="0"/>
            <w:bCs w:val="0"/>
            <w:szCs w:val="22"/>
            <w:lang w:eastAsia="en-AU"/>
          </w:rPr>
          <w:tab/>
        </w:r>
        <w:r w:rsidR="00EB4B02" w:rsidRPr="00A43E67">
          <w:rPr>
            <w:rStyle w:val="Hyperlink"/>
          </w:rPr>
          <w:t>Compliance</w:t>
        </w:r>
        <w:r w:rsidR="00EB4B02">
          <w:rPr>
            <w:webHidden/>
          </w:rPr>
          <w:tab/>
        </w:r>
        <w:r w:rsidR="00EB4B02">
          <w:rPr>
            <w:webHidden/>
          </w:rPr>
          <w:fldChar w:fldCharType="begin"/>
        </w:r>
        <w:r w:rsidR="00EB4B02">
          <w:rPr>
            <w:webHidden/>
          </w:rPr>
          <w:instrText xml:space="preserve"> PAGEREF _Toc10703471 \h </w:instrText>
        </w:r>
        <w:r w:rsidR="00EB4B02">
          <w:rPr>
            <w:webHidden/>
          </w:rPr>
        </w:r>
        <w:r w:rsidR="00EB4B02">
          <w:rPr>
            <w:webHidden/>
          </w:rPr>
          <w:fldChar w:fldCharType="separate"/>
        </w:r>
        <w:r w:rsidR="00EB4B02">
          <w:rPr>
            <w:webHidden/>
          </w:rPr>
          <w:t>127</w:t>
        </w:r>
        <w:r w:rsidR="00EB4B02">
          <w:rPr>
            <w:webHidden/>
          </w:rPr>
          <w:fldChar w:fldCharType="end"/>
        </w:r>
      </w:hyperlink>
    </w:p>
    <w:p w14:paraId="28E0CA47" w14:textId="116DFD78" w:rsidR="00EB4B02" w:rsidRDefault="003C7C88">
      <w:pPr>
        <w:pStyle w:val="TOC2"/>
        <w:rPr>
          <w:rFonts w:asciiTheme="minorHAnsi" w:eastAsiaTheme="minorEastAsia" w:hAnsiTheme="minorHAnsi" w:cstheme="minorBidi"/>
          <w:bCs w:val="0"/>
          <w:sz w:val="22"/>
          <w:szCs w:val="22"/>
          <w:lang w:eastAsia="en-AU"/>
        </w:rPr>
      </w:pPr>
      <w:hyperlink w:anchor="_Toc10703472" w:history="1">
        <w:r w:rsidR="00EB4B02" w:rsidRPr="00A43E67">
          <w:rPr>
            <w:rStyle w:val="Hyperlink"/>
          </w:rPr>
          <w:t>8.1</w:t>
        </w:r>
        <w:r w:rsidR="00EB4B02">
          <w:rPr>
            <w:rFonts w:asciiTheme="minorHAnsi" w:eastAsiaTheme="minorEastAsia" w:hAnsiTheme="minorHAnsi" w:cstheme="minorBidi"/>
            <w:bCs w:val="0"/>
            <w:sz w:val="22"/>
            <w:szCs w:val="22"/>
            <w:lang w:eastAsia="en-AU"/>
          </w:rPr>
          <w:tab/>
        </w:r>
        <w:r w:rsidR="00EB4B02" w:rsidRPr="00A43E67">
          <w:rPr>
            <w:rStyle w:val="Hyperlink"/>
          </w:rPr>
          <w:t>Background</w:t>
        </w:r>
        <w:r w:rsidR="00EB4B02">
          <w:rPr>
            <w:webHidden/>
          </w:rPr>
          <w:tab/>
        </w:r>
        <w:r w:rsidR="00EB4B02">
          <w:rPr>
            <w:webHidden/>
          </w:rPr>
          <w:fldChar w:fldCharType="begin"/>
        </w:r>
        <w:r w:rsidR="00EB4B02">
          <w:rPr>
            <w:webHidden/>
          </w:rPr>
          <w:instrText xml:space="preserve"> PAGEREF _Toc10703472 \h </w:instrText>
        </w:r>
        <w:r w:rsidR="00EB4B02">
          <w:rPr>
            <w:webHidden/>
          </w:rPr>
        </w:r>
        <w:r w:rsidR="00EB4B02">
          <w:rPr>
            <w:webHidden/>
          </w:rPr>
          <w:fldChar w:fldCharType="separate"/>
        </w:r>
        <w:r w:rsidR="00EB4B02">
          <w:rPr>
            <w:webHidden/>
          </w:rPr>
          <w:t>127</w:t>
        </w:r>
        <w:r w:rsidR="00EB4B02">
          <w:rPr>
            <w:webHidden/>
          </w:rPr>
          <w:fldChar w:fldCharType="end"/>
        </w:r>
      </w:hyperlink>
    </w:p>
    <w:p w14:paraId="52BCC5DB" w14:textId="7BBC8A83" w:rsidR="00EB4B02" w:rsidRDefault="003C7C88">
      <w:pPr>
        <w:pStyle w:val="TOC2"/>
        <w:rPr>
          <w:rFonts w:asciiTheme="minorHAnsi" w:eastAsiaTheme="minorEastAsia" w:hAnsiTheme="minorHAnsi" w:cstheme="minorBidi"/>
          <w:bCs w:val="0"/>
          <w:sz w:val="22"/>
          <w:szCs w:val="22"/>
          <w:lang w:eastAsia="en-AU"/>
        </w:rPr>
      </w:pPr>
      <w:hyperlink w:anchor="_Toc10703473" w:history="1">
        <w:r w:rsidR="00EB4B02" w:rsidRPr="00A43E67">
          <w:rPr>
            <w:rStyle w:val="Hyperlink"/>
          </w:rPr>
          <w:t>8.2</w:t>
        </w:r>
        <w:r w:rsidR="00EB4B02">
          <w:rPr>
            <w:rFonts w:asciiTheme="minorHAnsi" w:eastAsiaTheme="minorEastAsia" w:hAnsiTheme="minorHAnsi" w:cstheme="minorBidi"/>
            <w:bCs w:val="0"/>
            <w:sz w:val="22"/>
            <w:szCs w:val="22"/>
            <w:lang w:eastAsia="en-AU"/>
          </w:rPr>
          <w:tab/>
        </w:r>
        <w:r w:rsidR="00EB4B02" w:rsidRPr="00A43E67">
          <w:rPr>
            <w:rStyle w:val="Hyperlink"/>
          </w:rPr>
          <w:t>Penalties</w:t>
        </w:r>
        <w:r w:rsidR="00EB4B02">
          <w:rPr>
            <w:webHidden/>
          </w:rPr>
          <w:tab/>
        </w:r>
        <w:r w:rsidR="00EB4B02">
          <w:rPr>
            <w:webHidden/>
          </w:rPr>
          <w:fldChar w:fldCharType="begin"/>
        </w:r>
        <w:r w:rsidR="00EB4B02">
          <w:rPr>
            <w:webHidden/>
          </w:rPr>
          <w:instrText xml:space="preserve"> PAGEREF _Toc10703473 \h </w:instrText>
        </w:r>
        <w:r w:rsidR="00EB4B02">
          <w:rPr>
            <w:webHidden/>
          </w:rPr>
        </w:r>
        <w:r w:rsidR="00EB4B02">
          <w:rPr>
            <w:webHidden/>
          </w:rPr>
          <w:fldChar w:fldCharType="separate"/>
        </w:r>
        <w:r w:rsidR="00EB4B02">
          <w:rPr>
            <w:webHidden/>
          </w:rPr>
          <w:t>127</w:t>
        </w:r>
        <w:r w:rsidR="00EB4B02">
          <w:rPr>
            <w:webHidden/>
          </w:rPr>
          <w:fldChar w:fldCharType="end"/>
        </w:r>
      </w:hyperlink>
    </w:p>
    <w:p w14:paraId="2EFF4803" w14:textId="0F5ABFFE" w:rsidR="00EB4B02" w:rsidRDefault="003C7C88">
      <w:pPr>
        <w:pStyle w:val="TOC2"/>
        <w:rPr>
          <w:rFonts w:asciiTheme="minorHAnsi" w:eastAsiaTheme="minorEastAsia" w:hAnsiTheme="minorHAnsi" w:cstheme="minorBidi"/>
          <w:bCs w:val="0"/>
          <w:sz w:val="22"/>
          <w:szCs w:val="22"/>
          <w:lang w:eastAsia="en-AU"/>
        </w:rPr>
      </w:pPr>
      <w:hyperlink w:anchor="_Toc10703474" w:history="1">
        <w:r w:rsidR="00EB4B02" w:rsidRPr="00A43E67">
          <w:rPr>
            <w:rStyle w:val="Hyperlink"/>
          </w:rPr>
          <w:t>8.3</w:t>
        </w:r>
        <w:r w:rsidR="00EB4B02">
          <w:rPr>
            <w:rFonts w:asciiTheme="minorHAnsi" w:eastAsiaTheme="minorEastAsia" w:hAnsiTheme="minorHAnsi" w:cstheme="minorBidi"/>
            <w:bCs w:val="0"/>
            <w:sz w:val="22"/>
            <w:szCs w:val="22"/>
            <w:lang w:eastAsia="en-AU"/>
          </w:rPr>
          <w:tab/>
        </w:r>
        <w:r w:rsidR="00EB4B02" w:rsidRPr="00A43E67">
          <w:rPr>
            <w:rStyle w:val="Hyperlink"/>
          </w:rPr>
          <w:t>Demerit points system: How it works</w:t>
        </w:r>
        <w:r w:rsidR="00EB4B02">
          <w:rPr>
            <w:webHidden/>
          </w:rPr>
          <w:tab/>
        </w:r>
        <w:r w:rsidR="00EB4B02">
          <w:rPr>
            <w:webHidden/>
          </w:rPr>
          <w:fldChar w:fldCharType="begin"/>
        </w:r>
        <w:r w:rsidR="00EB4B02">
          <w:rPr>
            <w:webHidden/>
          </w:rPr>
          <w:instrText xml:space="preserve"> PAGEREF _Toc10703474 \h </w:instrText>
        </w:r>
        <w:r w:rsidR="00EB4B02">
          <w:rPr>
            <w:webHidden/>
          </w:rPr>
        </w:r>
        <w:r w:rsidR="00EB4B02">
          <w:rPr>
            <w:webHidden/>
          </w:rPr>
          <w:fldChar w:fldCharType="separate"/>
        </w:r>
        <w:r w:rsidR="00EB4B02">
          <w:rPr>
            <w:webHidden/>
          </w:rPr>
          <w:t>128</w:t>
        </w:r>
        <w:r w:rsidR="00EB4B02">
          <w:rPr>
            <w:webHidden/>
          </w:rPr>
          <w:fldChar w:fldCharType="end"/>
        </w:r>
      </w:hyperlink>
    </w:p>
    <w:p w14:paraId="127A72AF" w14:textId="188D42E3" w:rsidR="00EB4B02" w:rsidRDefault="003C7C88">
      <w:pPr>
        <w:pStyle w:val="TOC3"/>
        <w:rPr>
          <w:rFonts w:asciiTheme="minorHAnsi" w:eastAsiaTheme="minorEastAsia" w:hAnsiTheme="minorHAnsi" w:cstheme="minorBidi"/>
          <w:sz w:val="22"/>
          <w:szCs w:val="22"/>
          <w:lang w:eastAsia="en-AU"/>
        </w:rPr>
      </w:pPr>
      <w:hyperlink w:anchor="_Toc10703475" w:history="1">
        <w:r w:rsidR="00EB4B02" w:rsidRPr="00A43E67">
          <w:rPr>
            <w:rStyle w:val="Hyperlink"/>
            <w14:scene3d>
              <w14:camera w14:prst="orthographicFront"/>
              <w14:lightRig w14:rig="threePt" w14:dir="t">
                <w14:rot w14:lat="0" w14:lon="0" w14:rev="0"/>
              </w14:lightRig>
            </w14:scene3d>
          </w:rPr>
          <w:t>8.3.1</w:t>
        </w:r>
        <w:r w:rsidR="00EB4B02">
          <w:rPr>
            <w:rFonts w:asciiTheme="minorHAnsi" w:eastAsiaTheme="minorEastAsia" w:hAnsiTheme="minorHAnsi" w:cstheme="minorBidi"/>
            <w:sz w:val="22"/>
            <w:szCs w:val="22"/>
            <w:lang w:eastAsia="en-AU"/>
          </w:rPr>
          <w:tab/>
        </w:r>
        <w:r w:rsidR="00EB4B02" w:rsidRPr="00A43E67">
          <w:rPr>
            <w:rStyle w:val="Hyperlink"/>
          </w:rPr>
          <w:t>Extended Demerit Point Period</w:t>
        </w:r>
        <w:r w:rsidR="00EB4B02">
          <w:rPr>
            <w:webHidden/>
          </w:rPr>
          <w:tab/>
        </w:r>
        <w:r w:rsidR="00EB4B02">
          <w:rPr>
            <w:webHidden/>
          </w:rPr>
          <w:fldChar w:fldCharType="begin"/>
        </w:r>
        <w:r w:rsidR="00EB4B02">
          <w:rPr>
            <w:webHidden/>
          </w:rPr>
          <w:instrText xml:space="preserve"> PAGEREF _Toc10703475 \h </w:instrText>
        </w:r>
        <w:r w:rsidR="00EB4B02">
          <w:rPr>
            <w:webHidden/>
          </w:rPr>
        </w:r>
        <w:r w:rsidR="00EB4B02">
          <w:rPr>
            <w:webHidden/>
          </w:rPr>
          <w:fldChar w:fldCharType="separate"/>
        </w:r>
        <w:r w:rsidR="00EB4B02">
          <w:rPr>
            <w:webHidden/>
          </w:rPr>
          <w:t>129</w:t>
        </w:r>
        <w:r w:rsidR="00EB4B02">
          <w:rPr>
            <w:webHidden/>
          </w:rPr>
          <w:fldChar w:fldCharType="end"/>
        </w:r>
      </w:hyperlink>
    </w:p>
    <w:p w14:paraId="7E8E6402" w14:textId="2678E1E4" w:rsidR="00EB4B02" w:rsidRDefault="003C7C88">
      <w:pPr>
        <w:pStyle w:val="TOC3"/>
        <w:rPr>
          <w:rFonts w:asciiTheme="minorHAnsi" w:eastAsiaTheme="minorEastAsia" w:hAnsiTheme="minorHAnsi" w:cstheme="minorBidi"/>
          <w:sz w:val="22"/>
          <w:szCs w:val="22"/>
          <w:lang w:eastAsia="en-AU"/>
        </w:rPr>
      </w:pPr>
      <w:hyperlink w:anchor="_Toc10703476" w:history="1">
        <w:r w:rsidR="00EB4B02" w:rsidRPr="00A43E67">
          <w:rPr>
            <w:rStyle w:val="Hyperlink"/>
            <w14:scene3d>
              <w14:camera w14:prst="orthographicFront"/>
              <w14:lightRig w14:rig="threePt" w14:dir="t">
                <w14:rot w14:lat="0" w14:lon="0" w14:rev="0"/>
              </w14:lightRig>
            </w14:scene3d>
          </w:rPr>
          <w:t>8.3.2</w:t>
        </w:r>
        <w:r w:rsidR="00EB4B02">
          <w:rPr>
            <w:rFonts w:asciiTheme="minorHAnsi" w:eastAsiaTheme="minorEastAsia" w:hAnsiTheme="minorHAnsi" w:cstheme="minorBidi"/>
            <w:sz w:val="22"/>
            <w:szCs w:val="22"/>
            <w:lang w:eastAsia="en-AU"/>
          </w:rPr>
          <w:tab/>
        </w:r>
        <w:r w:rsidR="00EB4B02" w:rsidRPr="00A43E67">
          <w:rPr>
            <w:rStyle w:val="Hyperlink"/>
          </w:rPr>
          <w:t>Demerit points thresholds</w:t>
        </w:r>
        <w:r w:rsidR="00EB4B02">
          <w:rPr>
            <w:webHidden/>
          </w:rPr>
          <w:tab/>
        </w:r>
        <w:r w:rsidR="00EB4B02">
          <w:rPr>
            <w:webHidden/>
          </w:rPr>
          <w:fldChar w:fldCharType="begin"/>
        </w:r>
        <w:r w:rsidR="00EB4B02">
          <w:rPr>
            <w:webHidden/>
          </w:rPr>
          <w:instrText xml:space="preserve"> PAGEREF _Toc10703476 \h </w:instrText>
        </w:r>
        <w:r w:rsidR="00EB4B02">
          <w:rPr>
            <w:webHidden/>
          </w:rPr>
        </w:r>
        <w:r w:rsidR="00EB4B02">
          <w:rPr>
            <w:webHidden/>
          </w:rPr>
          <w:fldChar w:fldCharType="separate"/>
        </w:r>
        <w:r w:rsidR="00EB4B02">
          <w:rPr>
            <w:webHidden/>
          </w:rPr>
          <w:t>130</w:t>
        </w:r>
        <w:r w:rsidR="00EB4B02">
          <w:rPr>
            <w:webHidden/>
          </w:rPr>
          <w:fldChar w:fldCharType="end"/>
        </w:r>
      </w:hyperlink>
    </w:p>
    <w:p w14:paraId="379FA906" w14:textId="4DA58157" w:rsidR="00EB4B02" w:rsidRDefault="003C7C88">
      <w:pPr>
        <w:pStyle w:val="TOC2"/>
        <w:rPr>
          <w:rFonts w:asciiTheme="minorHAnsi" w:eastAsiaTheme="minorEastAsia" w:hAnsiTheme="minorHAnsi" w:cstheme="minorBidi"/>
          <w:bCs w:val="0"/>
          <w:sz w:val="22"/>
          <w:szCs w:val="22"/>
          <w:lang w:eastAsia="en-AU"/>
        </w:rPr>
      </w:pPr>
      <w:hyperlink w:anchor="_Toc10703477" w:history="1">
        <w:r w:rsidR="00EB4B02" w:rsidRPr="00A43E67">
          <w:rPr>
            <w:rStyle w:val="Hyperlink"/>
          </w:rPr>
          <w:t>8.4</w:t>
        </w:r>
        <w:r w:rsidR="00EB4B02">
          <w:rPr>
            <w:rFonts w:asciiTheme="minorHAnsi" w:eastAsiaTheme="minorEastAsia" w:hAnsiTheme="minorHAnsi" w:cstheme="minorBidi"/>
            <w:bCs w:val="0"/>
            <w:sz w:val="22"/>
            <w:szCs w:val="22"/>
            <w:lang w:eastAsia="en-AU"/>
          </w:rPr>
          <w:tab/>
        </w:r>
        <w:r w:rsidR="00EB4B02" w:rsidRPr="00A43E67">
          <w:rPr>
            <w:rStyle w:val="Hyperlink"/>
          </w:rPr>
          <w:t>Demerit points schedules in the proposed Regulations</w:t>
        </w:r>
        <w:r w:rsidR="00EB4B02">
          <w:rPr>
            <w:webHidden/>
          </w:rPr>
          <w:tab/>
        </w:r>
        <w:r w:rsidR="00EB4B02">
          <w:rPr>
            <w:webHidden/>
          </w:rPr>
          <w:fldChar w:fldCharType="begin"/>
        </w:r>
        <w:r w:rsidR="00EB4B02">
          <w:rPr>
            <w:webHidden/>
          </w:rPr>
          <w:instrText xml:space="preserve"> PAGEREF _Toc10703477 \h </w:instrText>
        </w:r>
        <w:r w:rsidR="00EB4B02">
          <w:rPr>
            <w:webHidden/>
          </w:rPr>
        </w:r>
        <w:r w:rsidR="00EB4B02">
          <w:rPr>
            <w:webHidden/>
          </w:rPr>
          <w:fldChar w:fldCharType="separate"/>
        </w:r>
        <w:r w:rsidR="00EB4B02">
          <w:rPr>
            <w:webHidden/>
          </w:rPr>
          <w:t>130</w:t>
        </w:r>
        <w:r w:rsidR="00EB4B02">
          <w:rPr>
            <w:webHidden/>
          </w:rPr>
          <w:fldChar w:fldCharType="end"/>
        </w:r>
      </w:hyperlink>
    </w:p>
    <w:p w14:paraId="03240E3F" w14:textId="7A6ADC55" w:rsidR="00EB4B02" w:rsidRDefault="003C7C88">
      <w:pPr>
        <w:pStyle w:val="TOC1"/>
        <w:rPr>
          <w:rFonts w:asciiTheme="minorHAnsi" w:eastAsiaTheme="minorEastAsia" w:hAnsiTheme="minorHAnsi" w:cstheme="minorBidi"/>
          <w:b w:val="0"/>
          <w:bCs w:val="0"/>
          <w:szCs w:val="22"/>
          <w:lang w:eastAsia="en-AU"/>
        </w:rPr>
      </w:pPr>
      <w:hyperlink w:anchor="_Toc10703478" w:history="1">
        <w:r w:rsidR="00EB4B02" w:rsidRPr="00A43E67">
          <w:rPr>
            <w:rStyle w:val="Hyperlink"/>
          </w:rPr>
          <w:t>PART 3 –</w:t>
        </w:r>
        <w:r w:rsidR="00EB4B02">
          <w:rPr>
            <w:rFonts w:asciiTheme="minorHAnsi" w:eastAsiaTheme="minorEastAsia" w:hAnsiTheme="minorHAnsi" w:cstheme="minorBidi"/>
            <w:b w:val="0"/>
            <w:bCs w:val="0"/>
            <w:szCs w:val="22"/>
            <w:lang w:eastAsia="en-AU"/>
          </w:rPr>
          <w:tab/>
        </w:r>
        <w:r w:rsidR="00EB4B02" w:rsidRPr="00A43E67">
          <w:rPr>
            <w:rStyle w:val="Hyperlink"/>
          </w:rPr>
          <w:t>SIMPLIFICATION, EFFICIENCY AND EQUITABLE DISTRIBUTION OF COST</w:t>
        </w:r>
        <w:r w:rsidR="00EB4B02">
          <w:rPr>
            <w:webHidden/>
          </w:rPr>
          <w:tab/>
        </w:r>
        <w:r w:rsidR="00EB4B02">
          <w:rPr>
            <w:webHidden/>
          </w:rPr>
          <w:fldChar w:fldCharType="begin"/>
        </w:r>
        <w:r w:rsidR="00EB4B02">
          <w:rPr>
            <w:webHidden/>
          </w:rPr>
          <w:instrText xml:space="preserve"> PAGEREF _Toc10703478 \h </w:instrText>
        </w:r>
        <w:r w:rsidR="00EB4B02">
          <w:rPr>
            <w:webHidden/>
          </w:rPr>
        </w:r>
        <w:r w:rsidR="00EB4B02">
          <w:rPr>
            <w:webHidden/>
          </w:rPr>
          <w:fldChar w:fldCharType="separate"/>
        </w:r>
        <w:r w:rsidR="00EB4B02">
          <w:rPr>
            <w:webHidden/>
          </w:rPr>
          <w:t>132</w:t>
        </w:r>
        <w:r w:rsidR="00EB4B02">
          <w:rPr>
            <w:webHidden/>
          </w:rPr>
          <w:fldChar w:fldCharType="end"/>
        </w:r>
      </w:hyperlink>
    </w:p>
    <w:p w14:paraId="194329CE" w14:textId="1E90EFE8" w:rsidR="00EB4B02" w:rsidRDefault="003C7C88">
      <w:pPr>
        <w:pStyle w:val="TOC1"/>
        <w:rPr>
          <w:rFonts w:asciiTheme="minorHAnsi" w:eastAsiaTheme="minorEastAsia" w:hAnsiTheme="minorHAnsi" w:cstheme="minorBidi"/>
          <w:b w:val="0"/>
          <w:bCs w:val="0"/>
          <w:szCs w:val="22"/>
          <w:lang w:eastAsia="en-AU"/>
        </w:rPr>
      </w:pPr>
      <w:hyperlink w:anchor="_Toc10703479" w:history="1">
        <w:r w:rsidR="00EB4B02" w:rsidRPr="00A43E67">
          <w:rPr>
            <w:rStyle w:val="Hyperlink"/>
          </w:rPr>
          <w:t>9</w:t>
        </w:r>
        <w:r w:rsidR="00EB4B02">
          <w:rPr>
            <w:rFonts w:asciiTheme="minorHAnsi" w:eastAsiaTheme="minorEastAsia" w:hAnsiTheme="minorHAnsi" w:cstheme="minorBidi"/>
            <w:b w:val="0"/>
            <w:bCs w:val="0"/>
            <w:szCs w:val="22"/>
            <w:lang w:eastAsia="en-AU"/>
          </w:rPr>
          <w:tab/>
        </w:r>
        <w:r w:rsidR="00EB4B02" w:rsidRPr="00A43E67">
          <w:rPr>
            <w:rStyle w:val="Hyperlink"/>
          </w:rPr>
          <w:t>Authority to Charge Fees</w:t>
        </w:r>
        <w:r w:rsidR="00EB4B02">
          <w:rPr>
            <w:webHidden/>
          </w:rPr>
          <w:tab/>
        </w:r>
        <w:r w:rsidR="00EB4B02">
          <w:rPr>
            <w:webHidden/>
          </w:rPr>
          <w:fldChar w:fldCharType="begin"/>
        </w:r>
        <w:r w:rsidR="00EB4B02">
          <w:rPr>
            <w:webHidden/>
          </w:rPr>
          <w:instrText xml:space="preserve"> PAGEREF _Toc10703479 \h </w:instrText>
        </w:r>
        <w:r w:rsidR="00EB4B02">
          <w:rPr>
            <w:webHidden/>
          </w:rPr>
        </w:r>
        <w:r w:rsidR="00EB4B02">
          <w:rPr>
            <w:webHidden/>
          </w:rPr>
          <w:fldChar w:fldCharType="separate"/>
        </w:r>
        <w:r w:rsidR="00EB4B02">
          <w:rPr>
            <w:webHidden/>
          </w:rPr>
          <w:t>132</w:t>
        </w:r>
        <w:r w:rsidR="00EB4B02">
          <w:rPr>
            <w:webHidden/>
          </w:rPr>
          <w:fldChar w:fldCharType="end"/>
        </w:r>
      </w:hyperlink>
    </w:p>
    <w:p w14:paraId="40A7900A" w14:textId="414995F0" w:rsidR="00EB4B02" w:rsidRDefault="003C7C88">
      <w:pPr>
        <w:pStyle w:val="TOC1"/>
        <w:rPr>
          <w:rFonts w:asciiTheme="minorHAnsi" w:eastAsiaTheme="minorEastAsia" w:hAnsiTheme="minorHAnsi" w:cstheme="minorBidi"/>
          <w:b w:val="0"/>
          <w:bCs w:val="0"/>
          <w:szCs w:val="22"/>
          <w:lang w:eastAsia="en-AU"/>
        </w:rPr>
      </w:pPr>
      <w:hyperlink w:anchor="_Toc10703480" w:history="1">
        <w:r w:rsidR="00EB4B02" w:rsidRPr="00A43E67">
          <w:rPr>
            <w:rStyle w:val="Hyperlink"/>
          </w:rPr>
          <w:t>10</w:t>
        </w:r>
        <w:r w:rsidR="00EB4B02">
          <w:rPr>
            <w:rFonts w:asciiTheme="minorHAnsi" w:eastAsiaTheme="minorEastAsia" w:hAnsiTheme="minorHAnsi" w:cstheme="minorBidi"/>
            <w:b w:val="0"/>
            <w:bCs w:val="0"/>
            <w:szCs w:val="22"/>
            <w:lang w:eastAsia="en-AU"/>
          </w:rPr>
          <w:tab/>
        </w:r>
        <w:r w:rsidR="00EB4B02" w:rsidRPr="00A43E67">
          <w:rPr>
            <w:rStyle w:val="Hyperlink"/>
          </w:rPr>
          <w:t>Cost Recovery</w:t>
        </w:r>
        <w:r w:rsidR="00EB4B02">
          <w:rPr>
            <w:webHidden/>
          </w:rPr>
          <w:tab/>
        </w:r>
        <w:r w:rsidR="00EB4B02">
          <w:rPr>
            <w:webHidden/>
          </w:rPr>
          <w:fldChar w:fldCharType="begin"/>
        </w:r>
        <w:r w:rsidR="00EB4B02">
          <w:rPr>
            <w:webHidden/>
          </w:rPr>
          <w:instrText xml:space="preserve"> PAGEREF _Toc10703480 \h </w:instrText>
        </w:r>
        <w:r w:rsidR="00EB4B02">
          <w:rPr>
            <w:webHidden/>
          </w:rPr>
        </w:r>
        <w:r w:rsidR="00EB4B02">
          <w:rPr>
            <w:webHidden/>
          </w:rPr>
          <w:fldChar w:fldCharType="separate"/>
        </w:r>
        <w:r w:rsidR="00EB4B02">
          <w:rPr>
            <w:webHidden/>
          </w:rPr>
          <w:t>134</w:t>
        </w:r>
        <w:r w:rsidR="00EB4B02">
          <w:rPr>
            <w:webHidden/>
          </w:rPr>
          <w:fldChar w:fldCharType="end"/>
        </w:r>
      </w:hyperlink>
    </w:p>
    <w:p w14:paraId="774DB60F" w14:textId="2D2730D0" w:rsidR="00EB4B02" w:rsidRDefault="003C7C88">
      <w:pPr>
        <w:pStyle w:val="TOC2"/>
        <w:rPr>
          <w:rFonts w:asciiTheme="minorHAnsi" w:eastAsiaTheme="minorEastAsia" w:hAnsiTheme="minorHAnsi" w:cstheme="minorBidi"/>
          <w:bCs w:val="0"/>
          <w:sz w:val="22"/>
          <w:szCs w:val="22"/>
          <w:lang w:eastAsia="en-AU"/>
        </w:rPr>
      </w:pPr>
      <w:hyperlink w:anchor="_Toc10703481" w:history="1">
        <w:r w:rsidR="00EB4B02" w:rsidRPr="00A43E67">
          <w:rPr>
            <w:rStyle w:val="Hyperlink"/>
          </w:rPr>
          <w:t>10.1</w:t>
        </w:r>
        <w:r w:rsidR="00EB4B02">
          <w:rPr>
            <w:rFonts w:asciiTheme="minorHAnsi" w:eastAsiaTheme="minorEastAsia" w:hAnsiTheme="minorHAnsi" w:cstheme="minorBidi"/>
            <w:bCs w:val="0"/>
            <w:sz w:val="22"/>
            <w:szCs w:val="22"/>
            <w:lang w:eastAsia="en-AU"/>
          </w:rPr>
          <w:tab/>
        </w:r>
        <w:r w:rsidR="00EB4B02" w:rsidRPr="00A43E67">
          <w:rPr>
            <w:rStyle w:val="Hyperlink"/>
          </w:rPr>
          <w:t>Cost Recovery Principles</w:t>
        </w:r>
        <w:r w:rsidR="00EB4B02">
          <w:rPr>
            <w:webHidden/>
          </w:rPr>
          <w:tab/>
        </w:r>
        <w:r w:rsidR="00EB4B02">
          <w:rPr>
            <w:webHidden/>
          </w:rPr>
          <w:fldChar w:fldCharType="begin"/>
        </w:r>
        <w:r w:rsidR="00EB4B02">
          <w:rPr>
            <w:webHidden/>
          </w:rPr>
          <w:instrText xml:space="preserve"> PAGEREF _Toc10703481 \h </w:instrText>
        </w:r>
        <w:r w:rsidR="00EB4B02">
          <w:rPr>
            <w:webHidden/>
          </w:rPr>
        </w:r>
        <w:r w:rsidR="00EB4B02">
          <w:rPr>
            <w:webHidden/>
          </w:rPr>
          <w:fldChar w:fldCharType="separate"/>
        </w:r>
        <w:r w:rsidR="00EB4B02">
          <w:rPr>
            <w:webHidden/>
          </w:rPr>
          <w:t>134</w:t>
        </w:r>
        <w:r w:rsidR="00EB4B02">
          <w:rPr>
            <w:webHidden/>
          </w:rPr>
          <w:fldChar w:fldCharType="end"/>
        </w:r>
      </w:hyperlink>
    </w:p>
    <w:p w14:paraId="7B4E42E6" w14:textId="53BA4F81" w:rsidR="00EB4B02" w:rsidRDefault="003C7C88">
      <w:pPr>
        <w:pStyle w:val="TOC2"/>
        <w:rPr>
          <w:rFonts w:asciiTheme="minorHAnsi" w:eastAsiaTheme="minorEastAsia" w:hAnsiTheme="minorHAnsi" w:cstheme="minorBidi"/>
          <w:bCs w:val="0"/>
          <w:sz w:val="22"/>
          <w:szCs w:val="22"/>
          <w:lang w:eastAsia="en-AU"/>
        </w:rPr>
      </w:pPr>
      <w:hyperlink w:anchor="_Toc10703482" w:history="1">
        <w:r w:rsidR="00EB4B02" w:rsidRPr="00A43E67">
          <w:rPr>
            <w:rStyle w:val="Hyperlink"/>
          </w:rPr>
          <w:t>10.2</w:t>
        </w:r>
        <w:r w:rsidR="00EB4B02">
          <w:rPr>
            <w:rFonts w:asciiTheme="minorHAnsi" w:eastAsiaTheme="minorEastAsia" w:hAnsiTheme="minorHAnsi" w:cstheme="minorBidi"/>
            <w:bCs w:val="0"/>
            <w:sz w:val="22"/>
            <w:szCs w:val="22"/>
            <w:lang w:eastAsia="en-AU"/>
          </w:rPr>
          <w:tab/>
        </w:r>
        <w:r w:rsidR="00EB4B02" w:rsidRPr="00A43E67">
          <w:rPr>
            <w:rStyle w:val="Hyperlink"/>
          </w:rPr>
          <w:t>Cost Recovery Options</w:t>
        </w:r>
        <w:r w:rsidR="00EB4B02">
          <w:rPr>
            <w:webHidden/>
          </w:rPr>
          <w:tab/>
        </w:r>
        <w:r w:rsidR="00EB4B02">
          <w:rPr>
            <w:webHidden/>
          </w:rPr>
          <w:fldChar w:fldCharType="begin"/>
        </w:r>
        <w:r w:rsidR="00EB4B02">
          <w:rPr>
            <w:webHidden/>
          </w:rPr>
          <w:instrText xml:space="preserve"> PAGEREF _Toc10703482 \h </w:instrText>
        </w:r>
        <w:r w:rsidR="00EB4B02">
          <w:rPr>
            <w:webHidden/>
          </w:rPr>
        </w:r>
        <w:r w:rsidR="00EB4B02">
          <w:rPr>
            <w:webHidden/>
          </w:rPr>
          <w:fldChar w:fldCharType="separate"/>
        </w:r>
        <w:r w:rsidR="00EB4B02">
          <w:rPr>
            <w:webHidden/>
          </w:rPr>
          <w:t>135</w:t>
        </w:r>
        <w:r w:rsidR="00EB4B02">
          <w:rPr>
            <w:webHidden/>
          </w:rPr>
          <w:fldChar w:fldCharType="end"/>
        </w:r>
      </w:hyperlink>
    </w:p>
    <w:p w14:paraId="04696FAA" w14:textId="7A390EED" w:rsidR="00EB4B02" w:rsidRDefault="003C7C88">
      <w:pPr>
        <w:pStyle w:val="TOC2"/>
        <w:rPr>
          <w:rFonts w:asciiTheme="minorHAnsi" w:eastAsiaTheme="minorEastAsia" w:hAnsiTheme="minorHAnsi" w:cstheme="minorBidi"/>
          <w:bCs w:val="0"/>
          <w:sz w:val="22"/>
          <w:szCs w:val="22"/>
          <w:lang w:eastAsia="en-AU"/>
        </w:rPr>
      </w:pPr>
      <w:hyperlink w:anchor="_Toc10703483" w:history="1">
        <w:r w:rsidR="00EB4B02" w:rsidRPr="00A43E67">
          <w:rPr>
            <w:rStyle w:val="Hyperlink"/>
          </w:rPr>
          <w:t>10.3</w:t>
        </w:r>
        <w:r w:rsidR="00EB4B02">
          <w:rPr>
            <w:rFonts w:asciiTheme="minorHAnsi" w:eastAsiaTheme="minorEastAsia" w:hAnsiTheme="minorHAnsi" w:cstheme="minorBidi"/>
            <w:bCs w:val="0"/>
            <w:sz w:val="22"/>
            <w:szCs w:val="22"/>
            <w:lang w:eastAsia="en-AU"/>
          </w:rPr>
          <w:tab/>
        </w:r>
        <w:r w:rsidR="00EB4B02" w:rsidRPr="00A43E67">
          <w:rPr>
            <w:rStyle w:val="Hyperlink"/>
          </w:rPr>
          <w:t>Fee Structure Options</w:t>
        </w:r>
        <w:r w:rsidR="00EB4B02">
          <w:rPr>
            <w:webHidden/>
          </w:rPr>
          <w:tab/>
        </w:r>
        <w:r w:rsidR="00EB4B02">
          <w:rPr>
            <w:webHidden/>
          </w:rPr>
          <w:fldChar w:fldCharType="begin"/>
        </w:r>
        <w:r w:rsidR="00EB4B02">
          <w:rPr>
            <w:webHidden/>
          </w:rPr>
          <w:instrText xml:space="preserve"> PAGEREF _Toc10703483 \h </w:instrText>
        </w:r>
        <w:r w:rsidR="00EB4B02">
          <w:rPr>
            <w:webHidden/>
          </w:rPr>
        </w:r>
        <w:r w:rsidR="00EB4B02">
          <w:rPr>
            <w:webHidden/>
          </w:rPr>
          <w:fldChar w:fldCharType="separate"/>
        </w:r>
        <w:r w:rsidR="00EB4B02">
          <w:rPr>
            <w:webHidden/>
          </w:rPr>
          <w:t>136</w:t>
        </w:r>
        <w:r w:rsidR="00EB4B02">
          <w:rPr>
            <w:webHidden/>
          </w:rPr>
          <w:fldChar w:fldCharType="end"/>
        </w:r>
      </w:hyperlink>
    </w:p>
    <w:p w14:paraId="5BED74D8" w14:textId="2C23DBC2" w:rsidR="00EB4B02" w:rsidRDefault="003C7C88">
      <w:pPr>
        <w:pStyle w:val="TOC1"/>
        <w:rPr>
          <w:rFonts w:asciiTheme="minorHAnsi" w:eastAsiaTheme="minorEastAsia" w:hAnsiTheme="minorHAnsi" w:cstheme="minorBidi"/>
          <w:b w:val="0"/>
          <w:bCs w:val="0"/>
          <w:szCs w:val="22"/>
          <w:lang w:eastAsia="en-AU"/>
        </w:rPr>
      </w:pPr>
      <w:hyperlink w:anchor="_Toc10703484" w:history="1">
        <w:r w:rsidR="00EB4B02" w:rsidRPr="00A43E67">
          <w:rPr>
            <w:rStyle w:val="Hyperlink"/>
          </w:rPr>
          <w:t>11</w:t>
        </w:r>
        <w:r w:rsidR="00EB4B02">
          <w:rPr>
            <w:rFonts w:asciiTheme="minorHAnsi" w:eastAsiaTheme="minorEastAsia" w:hAnsiTheme="minorHAnsi" w:cstheme="minorBidi"/>
            <w:b w:val="0"/>
            <w:bCs w:val="0"/>
            <w:szCs w:val="22"/>
            <w:lang w:eastAsia="en-AU"/>
          </w:rPr>
          <w:tab/>
        </w:r>
        <w:r w:rsidR="00EB4B02" w:rsidRPr="00A43E67">
          <w:rPr>
            <w:rStyle w:val="Hyperlink"/>
          </w:rPr>
          <w:t>Efficient Delivery of Services</w:t>
        </w:r>
        <w:r w:rsidR="00EB4B02">
          <w:rPr>
            <w:webHidden/>
          </w:rPr>
          <w:tab/>
        </w:r>
        <w:r w:rsidR="00EB4B02">
          <w:rPr>
            <w:webHidden/>
          </w:rPr>
          <w:fldChar w:fldCharType="begin"/>
        </w:r>
        <w:r w:rsidR="00EB4B02">
          <w:rPr>
            <w:webHidden/>
          </w:rPr>
          <w:instrText xml:space="preserve"> PAGEREF _Toc10703484 \h </w:instrText>
        </w:r>
        <w:r w:rsidR="00EB4B02">
          <w:rPr>
            <w:webHidden/>
          </w:rPr>
        </w:r>
        <w:r w:rsidR="00EB4B02">
          <w:rPr>
            <w:webHidden/>
          </w:rPr>
          <w:fldChar w:fldCharType="separate"/>
        </w:r>
        <w:r w:rsidR="00EB4B02">
          <w:rPr>
            <w:webHidden/>
          </w:rPr>
          <w:t>139</w:t>
        </w:r>
        <w:r w:rsidR="00EB4B02">
          <w:rPr>
            <w:webHidden/>
          </w:rPr>
          <w:fldChar w:fldCharType="end"/>
        </w:r>
      </w:hyperlink>
    </w:p>
    <w:p w14:paraId="3FA86320" w14:textId="3AF38158" w:rsidR="00EB4B02" w:rsidRDefault="003C7C88">
      <w:pPr>
        <w:pStyle w:val="TOC2"/>
        <w:rPr>
          <w:rFonts w:asciiTheme="minorHAnsi" w:eastAsiaTheme="minorEastAsia" w:hAnsiTheme="minorHAnsi" w:cstheme="minorBidi"/>
          <w:bCs w:val="0"/>
          <w:sz w:val="22"/>
          <w:szCs w:val="22"/>
          <w:lang w:eastAsia="en-AU"/>
        </w:rPr>
      </w:pPr>
      <w:hyperlink w:anchor="_Toc10703485" w:history="1">
        <w:r w:rsidR="00EB4B02" w:rsidRPr="00A43E67">
          <w:rPr>
            <w:rStyle w:val="Hyperlink"/>
          </w:rPr>
          <w:t>11.1</w:t>
        </w:r>
        <w:r w:rsidR="00EB4B02">
          <w:rPr>
            <w:rFonts w:asciiTheme="minorHAnsi" w:eastAsiaTheme="minorEastAsia" w:hAnsiTheme="minorHAnsi" w:cstheme="minorBidi"/>
            <w:bCs w:val="0"/>
            <w:sz w:val="22"/>
            <w:szCs w:val="22"/>
            <w:lang w:eastAsia="en-AU"/>
          </w:rPr>
          <w:tab/>
        </w:r>
        <w:r w:rsidR="00EB4B02" w:rsidRPr="00A43E67">
          <w:rPr>
            <w:rStyle w:val="Hyperlink"/>
          </w:rPr>
          <w:t>Governance</w:t>
        </w:r>
        <w:r w:rsidR="00EB4B02">
          <w:rPr>
            <w:webHidden/>
          </w:rPr>
          <w:tab/>
        </w:r>
        <w:r w:rsidR="00EB4B02">
          <w:rPr>
            <w:webHidden/>
          </w:rPr>
          <w:fldChar w:fldCharType="begin"/>
        </w:r>
        <w:r w:rsidR="00EB4B02">
          <w:rPr>
            <w:webHidden/>
          </w:rPr>
          <w:instrText xml:space="preserve"> PAGEREF _Toc10703485 \h </w:instrText>
        </w:r>
        <w:r w:rsidR="00EB4B02">
          <w:rPr>
            <w:webHidden/>
          </w:rPr>
        </w:r>
        <w:r w:rsidR="00EB4B02">
          <w:rPr>
            <w:webHidden/>
          </w:rPr>
          <w:fldChar w:fldCharType="separate"/>
        </w:r>
        <w:r w:rsidR="00EB4B02">
          <w:rPr>
            <w:webHidden/>
          </w:rPr>
          <w:t>139</w:t>
        </w:r>
        <w:r w:rsidR="00EB4B02">
          <w:rPr>
            <w:webHidden/>
          </w:rPr>
          <w:fldChar w:fldCharType="end"/>
        </w:r>
      </w:hyperlink>
    </w:p>
    <w:p w14:paraId="39EFA89A" w14:textId="32CEC9DF" w:rsidR="00EB4B02" w:rsidRDefault="003C7C88">
      <w:pPr>
        <w:pStyle w:val="TOC2"/>
        <w:rPr>
          <w:rFonts w:asciiTheme="minorHAnsi" w:eastAsiaTheme="minorEastAsia" w:hAnsiTheme="minorHAnsi" w:cstheme="minorBidi"/>
          <w:bCs w:val="0"/>
          <w:sz w:val="22"/>
          <w:szCs w:val="22"/>
          <w:lang w:eastAsia="en-AU"/>
        </w:rPr>
      </w:pPr>
      <w:hyperlink w:anchor="_Toc10703486" w:history="1">
        <w:r w:rsidR="00EB4B02" w:rsidRPr="00A43E67">
          <w:rPr>
            <w:rStyle w:val="Hyperlink"/>
          </w:rPr>
          <w:t>11.2</w:t>
        </w:r>
        <w:r w:rsidR="00EB4B02">
          <w:rPr>
            <w:rFonts w:asciiTheme="minorHAnsi" w:eastAsiaTheme="minorEastAsia" w:hAnsiTheme="minorHAnsi" w:cstheme="minorBidi"/>
            <w:bCs w:val="0"/>
            <w:sz w:val="22"/>
            <w:szCs w:val="22"/>
            <w:lang w:eastAsia="en-AU"/>
          </w:rPr>
          <w:tab/>
        </w:r>
        <w:r w:rsidR="00EB4B02" w:rsidRPr="00A43E67">
          <w:rPr>
            <w:rStyle w:val="Hyperlink"/>
          </w:rPr>
          <w:t>Efficient Service Delivery</w:t>
        </w:r>
        <w:r w:rsidR="00EB4B02">
          <w:rPr>
            <w:webHidden/>
          </w:rPr>
          <w:tab/>
        </w:r>
        <w:r w:rsidR="00EB4B02">
          <w:rPr>
            <w:webHidden/>
          </w:rPr>
          <w:fldChar w:fldCharType="begin"/>
        </w:r>
        <w:r w:rsidR="00EB4B02">
          <w:rPr>
            <w:webHidden/>
          </w:rPr>
          <w:instrText xml:space="preserve"> PAGEREF _Toc10703486 \h </w:instrText>
        </w:r>
        <w:r w:rsidR="00EB4B02">
          <w:rPr>
            <w:webHidden/>
          </w:rPr>
        </w:r>
        <w:r w:rsidR="00EB4B02">
          <w:rPr>
            <w:webHidden/>
          </w:rPr>
          <w:fldChar w:fldCharType="separate"/>
        </w:r>
        <w:r w:rsidR="00EB4B02">
          <w:rPr>
            <w:webHidden/>
          </w:rPr>
          <w:t>140</w:t>
        </w:r>
        <w:r w:rsidR="00EB4B02">
          <w:rPr>
            <w:webHidden/>
          </w:rPr>
          <w:fldChar w:fldCharType="end"/>
        </w:r>
      </w:hyperlink>
    </w:p>
    <w:p w14:paraId="3A23FDF4" w14:textId="46754B70" w:rsidR="00EB4B02" w:rsidRDefault="003C7C88">
      <w:pPr>
        <w:pStyle w:val="TOC3"/>
        <w:rPr>
          <w:rFonts w:asciiTheme="minorHAnsi" w:eastAsiaTheme="minorEastAsia" w:hAnsiTheme="minorHAnsi" w:cstheme="minorBidi"/>
          <w:sz w:val="22"/>
          <w:szCs w:val="22"/>
          <w:lang w:eastAsia="en-AU"/>
        </w:rPr>
      </w:pPr>
      <w:hyperlink w:anchor="_Toc10703487" w:history="1">
        <w:r w:rsidR="00EB4B02" w:rsidRPr="00A43E67">
          <w:rPr>
            <w:rStyle w:val="Hyperlink"/>
            <w14:scene3d>
              <w14:camera w14:prst="orthographicFront"/>
              <w14:lightRig w14:rig="threePt" w14:dir="t">
                <w14:rot w14:lat="0" w14:lon="0" w14:rev="0"/>
              </w14:lightRig>
            </w14:scene3d>
          </w:rPr>
          <w:t>11.2.1</w:t>
        </w:r>
        <w:r w:rsidR="00EB4B02">
          <w:rPr>
            <w:rFonts w:asciiTheme="minorHAnsi" w:eastAsiaTheme="minorEastAsia" w:hAnsiTheme="minorHAnsi" w:cstheme="minorBidi"/>
            <w:sz w:val="22"/>
            <w:szCs w:val="22"/>
            <w:lang w:eastAsia="en-AU"/>
          </w:rPr>
          <w:tab/>
        </w:r>
        <w:r w:rsidR="00EB4B02" w:rsidRPr="00A43E67">
          <w:rPr>
            <w:rStyle w:val="Hyperlink"/>
          </w:rPr>
          <w:t>Efficiency Metrics</w:t>
        </w:r>
        <w:r w:rsidR="00EB4B02">
          <w:rPr>
            <w:webHidden/>
          </w:rPr>
          <w:tab/>
        </w:r>
        <w:r w:rsidR="00EB4B02">
          <w:rPr>
            <w:webHidden/>
          </w:rPr>
          <w:fldChar w:fldCharType="begin"/>
        </w:r>
        <w:r w:rsidR="00EB4B02">
          <w:rPr>
            <w:webHidden/>
          </w:rPr>
          <w:instrText xml:space="preserve"> PAGEREF _Toc10703487 \h </w:instrText>
        </w:r>
        <w:r w:rsidR="00EB4B02">
          <w:rPr>
            <w:webHidden/>
          </w:rPr>
        </w:r>
        <w:r w:rsidR="00EB4B02">
          <w:rPr>
            <w:webHidden/>
          </w:rPr>
          <w:fldChar w:fldCharType="separate"/>
        </w:r>
        <w:r w:rsidR="00EB4B02">
          <w:rPr>
            <w:webHidden/>
          </w:rPr>
          <w:t>141</w:t>
        </w:r>
        <w:r w:rsidR="00EB4B02">
          <w:rPr>
            <w:webHidden/>
          </w:rPr>
          <w:fldChar w:fldCharType="end"/>
        </w:r>
      </w:hyperlink>
    </w:p>
    <w:p w14:paraId="11D24399" w14:textId="5D49AF34" w:rsidR="00EB4B02" w:rsidRDefault="003C7C88">
      <w:pPr>
        <w:pStyle w:val="TOC3"/>
        <w:rPr>
          <w:rFonts w:asciiTheme="minorHAnsi" w:eastAsiaTheme="minorEastAsia" w:hAnsiTheme="minorHAnsi" w:cstheme="minorBidi"/>
          <w:sz w:val="22"/>
          <w:szCs w:val="22"/>
          <w:lang w:eastAsia="en-AU"/>
        </w:rPr>
      </w:pPr>
      <w:hyperlink w:anchor="_Toc10703488" w:history="1">
        <w:r w:rsidR="00EB4B02" w:rsidRPr="00A43E67">
          <w:rPr>
            <w:rStyle w:val="Hyperlink"/>
            <w14:scene3d>
              <w14:camera w14:prst="orthographicFront"/>
              <w14:lightRig w14:rig="threePt" w14:dir="t">
                <w14:rot w14:lat="0" w14:lon="0" w14:rev="0"/>
              </w14:lightRig>
            </w14:scene3d>
          </w:rPr>
          <w:t>11.2.2</w:t>
        </w:r>
        <w:r w:rsidR="00EB4B02">
          <w:rPr>
            <w:rFonts w:asciiTheme="minorHAnsi" w:eastAsiaTheme="minorEastAsia" w:hAnsiTheme="minorHAnsi" w:cstheme="minorBidi"/>
            <w:sz w:val="22"/>
            <w:szCs w:val="22"/>
            <w:lang w:eastAsia="en-AU"/>
          </w:rPr>
          <w:tab/>
        </w:r>
        <w:r w:rsidR="00EB4B02" w:rsidRPr="00A43E67">
          <w:rPr>
            <w:rStyle w:val="Hyperlink"/>
          </w:rPr>
          <w:t>Service Levels</w:t>
        </w:r>
        <w:r w:rsidR="00EB4B02">
          <w:rPr>
            <w:webHidden/>
          </w:rPr>
          <w:tab/>
        </w:r>
        <w:r w:rsidR="00EB4B02">
          <w:rPr>
            <w:webHidden/>
          </w:rPr>
          <w:fldChar w:fldCharType="begin"/>
        </w:r>
        <w:r w:rsidR="00EB4B02">
          <w:rPr>
            <w:webHidden/>
          </w:rPr>
          <w:instrText xml:space="preserve"> PAGEREF _Toc10703488 \h </w:instrText>
        </w:r>
        <w:r w:rsidR="00EB4B02">
          <w:rPr>
            <w:webHidden/>
          </w:rPr>
        </w:r>
        <w:r w:rsidR="00EB4B02">
          <w:rPr>
            <w:webHidden/>
          </w:rPr>
          <w:fldChar w:fldCharType="separate"/>
        </w:r>
        <w:r w:rsidR="00EB4B02">
          <w:rPr>
            <w:webHidden/>
          </w:rPr>
          <w:t>143</w:t>
        </w:r>
        <w:r w:rsidR="00EB4B02">
          <w:rPr>
            <w:webHidden/>
          </w:rPr>
          <w:fldChar w:fldCharType="end"/>
        </w:r>
      </w:hyperlink>
    </w:p>
    <w:p w14:paraId="4A7802C6" w14:textId="30C8A1AD" w:rsidR="00EB4B02" w:rsidRDefault="003C7C88">
      <w:pPr>
        <w:pStyle w:val="TOC3"/>
        <w:rPr>
          <w:rFonts w:asciiTheme="minorHAnsi" w:eastAsiaTheme="minorEastAsia" w:hAnsiTheme="minorHAnsi" w:cstheme="minorBidi"/>
          <w:sz w:val="22"/>
          <w:szCs w:val="22"/>
          <w:lang w:eastAsia="en-AU"/>
        </w:rPr>
      </w:pPr>
      <w:hyperlink w:anchor="_Toc10703489" w:history="1">
        <w:r w:rsidR="00EB4B02" w:rsidRPr="00A43E67">
          <w:rPr>
            <w:rStyle w:val="Hyperlink"/>
            <w14:scene3d>
              <w14:camera w14:prst="orthographicFront"/>
              <w14:lightRig w14:rig="threePt" w14:dir="t">
                <w14:rot w14:lat="0" w14:lon="0" w14:rev="0"/>
              </w14:lightRig>
            </w14:scene3d>
          </w:rPr>
          <w:t>11.2.3</w:t>
        </w:r>
        <w:r w:rsidR="00EB4B02">
          <w:rPr>
            <w:rFonts w:asciiTheme="minorHAnsi" w:eastAsiaTheme="minorEastAsia" w:hAnsiTheme="minorHAnsi" w:cstheme="minorBidi"/>
            <w:sz w:val="22"/>
            <w:szCs w:val="22"/>
            <w:lang w:eastAsia="en-AU"/>
          </w:rPr>
          <w:tab/>
        </w:r>
        <w:r w:rsidR="00EB4B02" w:rsidRPr="00A43E67">
          <w:rPr>
            <w:rStyle w:val="Hyperlink"/>
          </w:rPr>
          <w:t>Customer Satisfaction Ratings</w:t>
        </w:r>
        <w:r w:rsidR="00EB4B02">
          <w:rPr>
            <w:webHidden/>
          </w:rPr>
          <w:tab/>
        </w:r>
        <w:r w:rsidR="00EB4B02">
          <w:rPr>
            <w:webHidden/>
          </w:rPr>
          <w:fldChar w:fldCharType="begin"/>
        </w:r>
        <w:r w:rsidR="00EB4B02">
          <w:rPr>
            <w:webHidden/>
          </w:rPr>
          <w:instrText xml:space="preserve"> PAGEREF _Toc10703489 \h </w:instrText>
        </w:r>
        <w:r w:rsidR="00EB4B02">
          <w:rPr>
            <w:webHidden/>
          </w:rPr>
        </w:r>
        <w:r w:rsidR="00EB4B02">
          <w:rPr>
            <w:webHidden/>
          </w:rPr>
          <w:fldChar w:fldCharType="separate"/>
        </w:r>
        <w:r w:rsidR="00EB4B02">
          <w:rPr>
            <w:webHidden/>
          </w:rPr>
          <w:t>144</w:t>
        </w:r>
        <w:r w:rsidR="00EB4B02">
          <w:rPr>
            <w:webHidden/>
          </w:rPr>
          <w:fldChar w:fldCharType="end"/>
        </w:r>
      </w:hyperlink>
    </w:p>
    <w:p w14:paraId="790F36A0" w14:textId="220A963C" w:rsidR="00EB4B02" w:rsidRDefault="003C7C88">
      <w:pPr>
        <w:pStyle w:val="TOC2"/>
        <w:rPr>
          <w:rFonts w:asciiTheme="minorHAnsi" w:eastAsiaTheme="minorEastAsia" w:hAnsiTheme="minorHAnsi" w:cstheme="minorBidi"/>
          <w:bCs w:val="0"/>
          <w:sz w:val="22"/>
          <w:szCs w:val="22"/>
          <w:lang w:eastAsia="en-AU"/>
        </w:rPr>
      </w:pPr>
      <w:hyperlink w:anchor="_Toc10703490" w:history="1">
        <w:r w:rsidR="00EB4B02" w:rsidRPr="00A43E67">
          <w:rPr>
            <w:rStyle w:val="Hyperlink"/>
          </w:rPr>
          <w:t>11.3</w:t>
        </w:r>
        <w:r w:rsidR="00EB4B02">
          <w:rPr>
            <w:rFonts w:asciiTheme="minorHAnsi" w:eastAsiaTheme="minorEastAsia" w:hAnsiTheme="minorHAnsi" w:cstheme="minorBidi"/>
            <w:bCs w:val="0"/>
            <w:sz w:val="22"/>
            <w:szCs w:val="22"/>
            <w:lang w:eastAsia="en-AU"/>
          </w:rPr>
          <w:tab/>
        </w:r>
        <w:r w:rsidR="00EB4B02" w:rsidRPr="00A43E67">
          <w:rPr>
            <w:rStyle w:val="Hyperlink"/>
          </w:rPr>
          <w:t>Continuous Improvement</w:t>
        </w:r>
        <w:r w:rsidR="00EB4B02">
          <w:rPr>
            <w:webHidden/>
          </w:rPr>
          <w:tab/>
        </w:r>
        <w:r w:rsidR="00EB4B02">
          <w:rPr>
            <w:webHidden/>
          </w:rPr>
          <w:fldChar w:fldCharType="begin"/>
        </w:r>
        <w:r w:rsidR="00EB4B02">
          <w:rPr>
            <w:webHidden/>
          </w:rPr>
          <w:instrText xml:space="preserve"> PAGEREF _Toc10703490 \h </w:instrText>
        </w:r>
        <w:r w:rsidR="00EB4B02">
          <w:rPr>
            <w:webHidden/>
          </w:rPr>
        </w:r>
        <w:r w:rsidR="00EB4B02">
          <w:rPr>
            <w:webHidden/>
          </w:rPr>
          <w:fldChar w:fldCharType="separate"/>
        </w:r>
        <w:r w:rsidR="00EB4B02">
          <w:rPr>
            <w:webHidden/>
          </w:rPr>
          <w:t>144</w:t>
        </w:r>
        <w:r w:rsidR="00EB4B02">
          <w:rPr>
            <w:webHidden/>
          </w:rPr>
          <w:fldChar w:fldCharType="end"/>
        </w:r>
      </w:hyperlink>
    </w:p>
    <w:p w14:paraId="57AF8A04" w14:textId="681E9772" w:rsidR="00EB4B02" w:rsidRDefault="003C7C88">
      <w:pPr>
        <w:pStyle w:val="TOC2"/>
        <w:rPr>
          <w:rFonts w:asciiTheme="minorHAnsi" w:eastAsiaTheme="minorEastAsia" w:hAnsiTheme="minorHAnsi" w:cstheme="minorBidi"/>
          <w:bCs w:val="0"/>
          <w:sz w:val="22"/>
          <w:szCs w:val="22"/>
          <w:lang w:eastAsia="en-AU"/>
        </w:rPr>
      </w:pPr>
      <w:hyperlink w:anchor="_Toc10703491" w:history="1">
        <w:r w:rsidR="00EB4B02" w:rsidRPr="00A43E67">
          <w:rPr>
            <w:rStyle w:val="Hyperlink"/>
          </w:rPr>
          <w:t>11.4</w:t>
        </w:r>
        <w:r w:rsidR="00EB4B02">
          <w:rPr>
            <w:rFonts w:asciiTheme="minorHAnsi" w:eastAsiaTheme="minorEastAsia" w:hAnsiTheme="minorHAnsi" w:cstheme="minorBidi"/>
            <w:bCs w:val="0"/>
            <w:sz w:val="22"/>
            <w:szCs w:val="22"/>
            <w:lang w:eastAsia="en-AU"/>
          </w:rPr>
          <w:tab/>
        </w:r>
        <w:r w:rsidR="00EB4B02" w:rsidRPr="00A43E67">
          <w:rPr>
            <w:rStyle w:val="Hyperlink"/>
          </w:rPr>
          <w:t>Efficient Delivery of Services Summary</w:t>
        </w:r>
        <w:r w:rsidR="00EB4B02">
          <w:rPr>
            <w:webHidden/>
          </w:rPr>
          <w:tab/>
        </w:r>
        <w:r w:rsidR="00EB4B02">
          <w:rPr>
            <w:webHidden/>
          </w:rPr>
          <w:fldChar w:fldCharType="begin"/>
        </w:r>
        <w:r w:rsidR="00EB4B02">
          <w:rPr>
            <w:webHidden/>
          </w:rPr>
          <w:instrText xml:space="preserve"> PAGEREF _Toc10703491 \h </w:instrText>
        </w:r>
        <w:r w:rsidR="00EB4B02">
          <w:rPr>
            <w:webHidden/>
          </w:rPr>
        </w:r>
        <w:r w:rsidR="00EB4B02">
          <w:rPr>
            <w:webHidden/>
          </w:rPr>
          <w:fldChar w:fldCharType="separate"/>
        </w:r>
        <w:r w:rsidR="00EB4B02">
          <w:rPr>
            <w:webHidden/>
          </w:rPr>
          <w:t>146</w:t>
        </w:r>
        <w:r w:rsidR="00EB4B02">
          <w:rPr>
            <w:webHidden/>
          </w:rPr>
          <w:fldChar w:fldCharType="end"/>
        </w:r>
      </w:hyperlink>
    </w:p>
    <w:p w14:paraId="044E98E5" w14:textId="7281D71D" w:rsidR="00EB4B02" w:rsidRDefault="003C7C88">
      <w:pPr>
        <w:pStyle w:val="TOC1"/>
        <w:rPr>
          <w:rFonts w:asciiTheme="minorHAnsi" w:eastAsiaTheme="minorEastAsia" w:hAnsiTheme="minorHAnsi" w:cstheme="minorBidi"/>
          <w:b w:val="0"/>
          <w:bCs w:val="0"/>
          <w:szCs w:val="22"/>
          <w:lang w:eastAsia="en-AU"/>
        </w:rPr>
      </w:pPr>
      <w:hyperlink w:anchor="_Toc10703492" w:history="1">
        <w:r w:rsidR="00EB4B02" w:rsidRPr="00A43E67">
          <w:rPr>
            <w:rStyle w:val="Hyperlink"/>
          </w:rPr>
          <w:t>12</w:t>
        </w:r>
        <w:r w:rsidR="00EB4B02">
          <w:rPr>
            <w:rFonts w:asciiTheme="minorHAnsi" w:eastAsiaTheme="minorEastAsia" w:hAnsiTheme="minorHAnsi" w:cstheme="minorBidi"/>
            <w:b w:val="0"/>
            <w:bCs w:val="0"/>
            <w:szCs w:val="22"/>
            <w:lang w:eastAsia="en-AU"/>
          </w:rPr>
          <w:tab/>
        </w:r>
        <w:r w:rsidR="00EB4B02" w:rsidRPr="00A43E67">
          <w:rPr>
            <w:rStyle w:val="Hyperlink"/>
          </w:rPr>
          <w:t>Service Delivery Cost</w:t>
        </w:r>
        <w:r w:rsidR="00EB4B02">
          <w:rPr>
            <w:webHidden/>
          </w:rPr>
          <w:tab/>
        </w:r>
        <w:r w:rsidR="00EB4B02">
          <w:rPr>
            <w:webHidden/>
          </w:rPr>
          <w:fldChar w:fldCharType="begin"/>
        </w:r>
        <w:r w:rsidR="00EB4B02">
          <w:rPr>
            <w:webHidden/>
          </w:rPr>
          <w:instrText xml:space="preserve"> PAGEREF _Toc10703492 \h </w:instrText>
        </w:r>
        <w:r w:rsidR="00EB4B02">
          <w:rPr>
            <w:webHidden/>
          </w:rPr>
        </w:r>
        <w:r w:rsidR="00EB4B02">
          <w:rPr>
            <w:webHidden/>
          </w:rPr>
          <w:fldChar w:fldCharType="separate"/>
        </w:r>
        <w:r w:rsidR="00EB4B02">
          <w:rPr>
            <w:webHidden/>
          </w:rPr>
          <w:t>147</w:t>
        </w:r>
        <w:r w:rsidR="00EB4B02">
          <w:rPr>
            <w:webHidden/>
          </w:rPr>
          <w:fldChar w:fldCharType="end"/>
        </w:r>
      </w:hyperlink>
    </w:p>
    <w:p w14:paraId="564C29B6" w14:textId="10DCFCC4" w:rsidR="00EB4B02" w:rsidRDefault="003C7C88">
      <w:pPr>
        <w:pStyle w:val="TOC2"/>
        <w:rPr>
          <w:rFonts w:asciiTheme="minorHAnsi" w:eastAsiaTheme="minorEastAsia" w:hAnsiTheme="minorHAnsi" w:cstheme="minorBidi"/>
          <w:bCs w:val="0"/>
          <w:sz w:val="22"/>
          <w:szCs w:val="22"/>
          <w:lang w:eastAsia="en-AU"/>
        </w:rPr>
      </w:pPr>
      <w:hyperlink w:anchor="_Toc10703493" w:history="1">
        <w:r w:rsidR="00EB4B02" w:rsidRPr="00A43E67">
          <w:rPr>
            <w:rStyle w:val="Hyperlink"/>
          </w:rPr>
          <w:t>12.1</w:t>
        </w:r>
        <w:r w:rsidR="00EB4B02">
          <w:rPr>
            <w:rFonts w:asciiTheme="minorHAnsi" w:eastAsiaTheme="minorEastAsia" w:hAnsiTheme="minorHAnsi" w:cstheme="minorBidi"/>
            <w:bCs w:val="0"/>
            <w:sz w:val="22"/>
            <w:szCs w:val="22"/>
            <w:lang w:eastAsia="en-AU"/>
          </w:rPr>
          <w:tab/>
        </w:r>
        <w:r w:rsidR="00EB4B02" w:rsidRPr="00A43E67">
          <w:rPr>
            <w:rStyle w:val="Hyperlink"/>
          </w:rPr>
          <w:t>Total Cost of Services for FY16/17</w:t>
        </w:r>
        <w:r w:rsidR="00EB4B02">
          <w:rPr>
            <w:webHidden/>
          </w:rPr>
          <w:tab/>
        </w:r>
        <w:r w:rsidR="00EB4B02">
          <w:rPr>
            <w:webHidden/>
          </w:rPr>
          <w:fldChar w:fldCharType="begin"/>
        </w:r>
        <w:r w:rsidR="00EB4B02">
          <w:rPr>
            <w:webHidden/>
          </w:rPr>
          <w:instrText xml:space="preserve"> PAGEREF _Toc10703493 \h </w:instrText>
        </w:r>
        <w:r w:rsidR="00EB4B02">
          <w:rPr>
            <w:webHidden/>
          </w:rPr>
        </w:r>
        <w:r w:rsidR="00EB4B02">
          <w:rPr>
            <w:webHidden/>
          </w:rPr>
          <w:fldChar w:fldCharType="separate"/>
        </w:r>
        <w:r w:rsidR="00EB4B02">
          <w:rPr>
            <w:webHidden/>
          </w:rPr>
          <w:t>147</w:t>
        </w:r>
        <w:r w:rsidR="00EB4B02">
          <w:rPr>
            <w:webHidden/>
          </w:rPr>
          <w:fldChar w:fldCharType="end"/>
        </w:r>
      </w:hyperlink>
    </w:p>
    <w:p w14:paraId="42E8FE83" w14:textId="3699FBC9" w:rsidR="00EB4B02" w:rsidRDefault="003C7C88">
      <w:pPr>
        <w:pStyle w:val="TOC3"/>
        <w:rPr>
          <w:rFonts w:asciiTheme="minorHAnsi" w:eastAsiaTheme="minorEastAsia" w:hAnsiTheme="minorHAnsi" w:cstheme="minorBidi"/>
          <w:sz w:val="22"/>
          <w:szCs w:val="22"/>
          <w:lang w:eastAsia="en-AU"/>
        </w:rPr>
      </w:pPr>
      <w:hyperlink w:anchor="_Toc10703494" w:history="1">
        <w:r w:rsidR="00EB4B02" w:rsidRPr="00A43E67">
          <w:rPr>
            <w:rStyle w:val="Hyperlink"/>
            <w14:scene3d>
              <w14:camera w14:prst="orthographicFront"/>
              <w14:lightRig w14:rig="threePt" w14:dir="t">
                <w14:rot w14:lat="0" w14:lon="0" w14:rev="0"/>
              </w14:lightRig>
            </w14:scene3d>
          </w:rPr>
          <w:t>12.1.1</w:t>
        </w:r>
        <w:r w:rsidR="00EB4B02">
          <w:rPr>
            <w:rFonts w:asciiTheme="minorHAnsi" w:eastAsiaTheme="minorEastAsia" w:hAnsiTheme="minorHAnsi" w:cstheme="minorBidi"/>
            <w:sz w:val="22"/>
            <w:szCs w:val="22"/>
            <w:lang w:eastAsia="en-AU"/>
          </w:rPr>
          <w:tab/>
        </w:r>
        <w:r w:rsidR="00EB4B02" w:rsidRPr="00A43E67">
          <w:rPr>
            <w:rStyle w:val="Hyperlink"/>
          </w:rPr>
          <w:t>Direct Cost details</w:t>
        </w:r>
        <w:r w:rsidR="00EB4B02">
          <w:rPr>
            <w:webHidden/>
          </w:rPr>
          <w:tab/>
        </w:r>
        <w:r w:rsidR="00EB4B02">
          <w:rPr>
            <w:webHidden/>
          </w:rPr>
          <w:fldChar w:fldCharType="begin"/>
        </w:r>
        <w:r w:rsidR="00EB4B02">
          <w:rPr>
            <w:webHidden/>
          </w:rPr>
          <w:instrText xml:space="preserve"> PAGEREF _Toc10703494 \h </w:instrText>
        </w:r>
        <w:r w:rsidR="00EB4B02">
          <w:rPr>
            <w:webHidden/>
          </w:rPr>
        </w:r>
        <w:r w:rsidR="00EB4B02">
          <w:rPr>
            <w:webHidden/>
          </w:rPr>
          <w:fldChar w:fldCharType="separate"/>
        </w:r>
        <w:r w:rsidR="00EB4B02">
          <w:rPr>
            <w:webHidden/>
          </w:rPr>
          <w:t>147</w:t>
        </w:r>
        <w:r w:rsidR="00EB4B02">
          <w:rPr>
            <w:webHidden/>
          </w:rPr>
          <w:fldChar w:fldCharType="end"/>
        </w:r>
      </w:hyperlink>
    </w:p>
    <w:p w14:paraId="7F78C7CB" w14:textId="1E805D8E" w:rsidR="00EB4B02" w:rsidRDefault="003C7C88">
      <w:pPr>
        <w:pStyle w:val="TOC3"/>
        <w:rPr>
          <w:rFonts w:asciiTheme="minorHAnsi" w:eastAsiaTheme="minorEastAsia" w:hAnsiTheme="minorHAnsi" w:cstheme="minorBidi"/>
          <w:sz w:val="22"/>
          <w:szCs w:val="22"/>
          <w:lang w:eastAsia="en-AU"/>
        </w:rPr>
      </w:pPr>
      <w:hyperlink w:anchor="_Toc10703495" w:history="1">
        <w:r w:rsidR="00EB4B02" w:rsidRPr="00A43E67">
          <w:rPr>
            <w:rStyle w:val="Hyperlink"/>
            <w14:scene3d>
              <w14:camera w14:prst="orthographicFront"/>
              <w14:lightRig w14:rig="threePt" w14:dir="t">
                <w14:rot w14:lat="0" w14:lon="0" w14:rev="0"/>
              </w14:lightRig>
            </w14:scene3d>
          </w:rPr>
          <w:t>12.1.2</w:t>
        </w:r>
        <w:r w:rsidR="00EB4B02">
          <w:rPr>
            <w:rFonts w:asciiTheme="minorHAnsi" w:eastAsiaTheme="minorEastAsia" w:hAnsiTheme="minorHAnsi" w:cstheme="minorBidi"/>
            <w:sz w:val="22"/>
            <w:szCs w:val="22"/>
            <w:lang w:eastAsia="en-AU"/>
          </w:rPr>
          <w:tab/>
        </w:r>
        <w:r w:rsidR="00EB4B02" w:rsidRPr="00A43E67">
          <w:rPr>
            <w:rStyle w:val="Hyperlink"/>
          </w:rPr>
          <w:t>Indirect Cost details</w:t>
        </w:r>
        <w:r w:rsidR="00EB4B02">
          <w:rPr>
            <w:webHidden/>
          </w:rPr>
          <w:tab/>
        </w:r>
        <w:r w:rsidR="00EB4B02">
          <w:rPr>
            <w:webHidden/>
          </w:rPr>
          <w:fldChar w:fldCharType="begin"/>
        </w:r>
        <w:r w:rsidR="00EB4B02">
          <w:rPr>
            <w:webHidden/>
          </w:rPr>
          <w:instrText xml:space="preserve"> PAGEREF _Toc10703495 \h </w:instrText>
        </w:r>
        <w:r w:rsidR="00EB4B02">
          <w:rPr>
            <w:webHidden/>
          </w:rPr>
        </w:r>
        <w:r w:rsidR="00EB4B02">
          <w:rPr>
            <w:webHidden/>
          </w:rPr>
          <w:fldChar w:fldCharType="separate"/>
        </w:r>
        <w:r w:rsidR="00EB4B02">
          <w:rPr>
            <w:webHidden/>
          </w:rPr>
          <w:t>148</w:t>
        </w:r>
        <w:r w:rsidR="00EB4B02">
          <w:rPr>
            <w:webHidden/>
          </w:rPr>
          <w:fldChar w:fldCharType="end"/>
        </w:r>
      </w:hyperlink>
    </w:p>
    <w:p w14:paraId="5795BFA4" w14:textId="31D0BD33" w:rsidR="00EB4B02" w:rsidRDefault="003C7C88">
      <w:pPr>
        <w:pStyle w:val="TOC2"/>
        <w:rPr>
          <w:rFonts w:asciiTheme="minorHAnsi" w:eastAsiaTheme="minorEastAsia" w:hAnsiTheme="minorHAnsi" w:cstheme="minorBidi"/>
          <w:bCs w:val="0"/>
          <w:sz w:val="22"/>
          <w:szCs w:val="22"/>
          <w:lang w:eastAsia="en-AU"/>
        </w:rPr>
      </w:pPr>
      <w:hyperlink w:anchor="_Toc10703496" w:history="1">
        <w:r w:rsidR="00EB4B02" w:rsidRPr="00A43E67">
          <w:rPr>
            <w:rStyle w:val="Hyperlink"/>
          </w:rPr>
          <w:t>12.2</w:t>
        </w:r>
        <w:r w:rsidR="00EB4B02">
          <w:rPr>
            <w:rFonts w:asciiTheme="minorHAnsi" w:eastAsiaTheme="minorEastAsia" w:hAnsiTheme="minorHAnsi" w:cstheme="minorBidi"/>
            <w:bCs w:val="0"/>
            <w:sz w:val="22"/>
            <w:szCs w:val="22"/>
            <w:lang w:eastAsia="en-AU"/>
          </w:rPr>
          <w:tab/>
        </w:r>
        <w:r w:rsidR="00EB4B02" w:rsidRPr="00A43E67">
          <w:rPr>
            <w:rStyle w:val="Hyperlink"/>
          </w:rPr>
          <w:t>Projected Cost to Deliver Services</w:t>
        </w:r>
        <w:r w:rsidR="00EB4B02">
          <w:rPr>
            <w:webHidden/>
          </w:rPr>
          <w:tab/>
        </w:r>
        <w:r w:rsidR="00EB4B02">
          <w:rPr>
            <w:webHidden/>
          </w:rPr>
          <w:fldChar w:fldCharType="begin"/>
        </w:r>
        <w:r w:rsidR="00EB4B02">
          <w:rPr>
            <w:webHidden/>
          </w:rPr>
          <w:instrText xml:space="preserve"> PAGEREF _Toc10703496 \h </w:instrText>
        </w:r>
        <w:r w:rsidR="00EB4B02">
          <w:rPr>
            <w:webHidden/>
          </w:rPr>
        </w:r>
        <w:r w:rsidR="00EB4B02">
          <w:rPr>
            <w:webHidden/>
          </w:rPr>
          <w:fldChar w:fldCharType="separate"/>
        </w:r>
        <w:r w:rsidR="00EB4B02">
          <w:rPr>
            <w:webHidden/>
          </w:rPr>
          <w:t>150</w:t>
        </w:r>
        <w:r w:rsidR="00EB4B02">
          <w:rPr>
            <w:webHidden/>
          </w:rPr>
          <w:fldChar w:fldCharType="end"/>
        </w:r>
      </w:hyperlink>
    </w:p>
    <w:p w14:paraId="26E5CB06" w14:textId="52369138" w:rsidR="00EB4B02" w:rsidRDefault="003C7C88">
      <w:pPr>
        <w:pStyle w:val="TOC3"/>
        <w:rPr>
          <w:rFonts w:asciiTheme="minorHAnsi" w:eastAsiaTheme="minorEastAsia" w:hAnsiTheme="minorHAnsi" w:cstheme="minorBidi"/>
          <w:sz w:val="22"/>
          <w:szCs w:val="22"/>
          <w:lang w:eastAsia="en-AU"/>
        </w:rPr>
      </w:pPr>
      <w:hyperlink w:anchor="_Toc10703497" w:history="1">
        <w:r w:rsidR="00EB4B02" w:rsidRPr="00A43E67">
          <w:rPr>
            <w:rStyle w:val="Hyperlink"/>
            <w14:scene3d>
              <w14:camera w14:prst="orthographicFront"/>
              <w14:lightRig w14:rig="threePt" w14:dir="t">
                <w14:rot w14:lat="0" w14:lon="0" w14:rev="0"/>
              </w14:lightRig>
            </w14:scene3d>
          </w:rPr>
          <w:t>12.2.1</w:t>
        </w:r>
        <w:r w:rsidR="00EB4B02">
          <w:rPr>
            <w:rFonts w:asciiTheme="minorHAnsi" w:eastAsiaTheme="minorEastAsia" w:hAnsiTheme="minorHAnsi" w:cstheme="minorBidi"/>
            <w:sz w:val="22"/>
            <w:szCs w:val="22"/>
            <w:lang w:eastAsia="en-AU"/>
          </w:rPr>
          <w:tab/>
        </w:r>
        <w:r w:rsidR="00EB4B02" w:rsidRPr="00A43E67">
          <w:rPr>
            <w:rStyle w:val="Hyperlink"/>
          </w:rPr>
          <w:t>Key Forecast Assumptions</w:t>
        </w:r>
        <w:r w:rsidR="00EB4B02">
          <w:rPr>
            <w:webHidden/>
          </w:rPr>
          <w:tab/>
        </w:r>
        <w:r w:rsidR="00EB4B02">
          <w:rPr>
            <w:webHidden/>
          </w:rPr>
          <w:fldChar w:fldCharType="begin"/>
        </w:r>
        <w:r w:rsidR="00EB4B02">
          <w:rPr>
            <w:webHidden/>
          </w:rPr>
          <w:instrText xml:space="preserve"> PAGEREF _Toc10703497 \h </w:instrText>
        </w:r>
        <w:r w:rsidR="00EB4B02">
          <w:rPr>
            <w:webHidden/>
          </w:rPr>
        </w:r>
        <w:r w:rsidR="00EB4B02">
          <w:rPr>
            <w:webHidden/>
          </w:rPr>
          <w:fldChar w:fldCharType="separate"/>
        </w:r>
        <w:r w:rsidR="00EB4B02">
          <w:rPr>
            <w:webHidden/>
          </w:rPr>
          <w:t>151</w:t>
        </w:r>
        <w:r w:rsidR="00EB4B02">
          <w:rPr>
            <w:webHidden/>
          </w:rPr>
          <w:fldChar w:fldCharType="end"/>
        </w:r>
      </w:hyperlink>
    </w:p>
    <w:p w14:paraId="58AA73DA" w14:textId="3A204DC1" w:rsidR="00EB4B02" w:rsidRDefault="003C7C88">
      <w:pPr>
        <w:pStyle w:val="TOC3"/>
        <w:rPr>
          <w:rFonts w:asciiTheme="minorHAnsi" w:eastAsiaTheme="minorEastAsia" w:hAnsiTheme="minorHAnsi" w:cstheme="minorBidi"/>
          <w:sz w:val="22"/>
          <w:szCs w:val="22"/>
          <w:lang w:eastAsia="en-AU"/>
        </w:rPr>
      </w:pPr>
      <w:hyperlink w:anchor="_Toc10703498" w:history="1">
        <w:r w:rsidR="00EB4B02" w:rsidRPr="00A43E67">
          <w:rPr>
            <w:rStyle w:val="Hyperlink"/>
            <w14:scene3d>
              <w14:camera w14:prst="orthographicFront"/>
              <w14:lightRig w14:rig="threePt" w14:dir="t">
                <w14:rot w14:lat="0" w14:lon="0" w14:rev="0"/>
              </w14:lightRig>
            </w14:scene3d>
          </w:rPr>
          <w:t>12.2.2</w:t>
        </w:r>
        <w:r w:rsidR="00EB4B02">
          <w:rPr>
            <w:rFonts w:asciiTheme="minorHAnsi" w:eastAsiaTheme="minorEastAsia" w:hAnsiTheme="minorHAnsi" w:cstheme="minorBidi"/>
            <w:sz w:val="22"/>
            <w:szCs w:val="22"/>
            <w:lang w:eastAsia="en-AU"/>
          </w:rPr>
          <w:tab/>
        </w:r>
        <w:r w:rsidR="00EB4B02" w:rsidRPr="00A43E67">
          <w:rPr>
            <w:rStyle w:val="Hyperlink"/>
          </w:rPr>
          <w:t>Forecast Period Applicable</w:t>
        </w:r>
        <w:r w:rsidR="00EB4B02">
          <w:rPr>
            <w:webHidden/>
          </w:rPr>
          <w:tab/>
        </w:r>
        <w:r w:rsidR="00EB4B02">
          <w:rPr>
            <w:webHidden/>
          </w:rPr>
          <w:fldChar w:fldCharType="begin"/>
        </w:r>
        <w:r w:rsidR="00EB4B02">
          <w:rPr>
            <w:webHidden/>
          </w:rPr>
          <w:instrText xml:space="preserve"> PAGEREF _Toc10703498 \h </w:instrText>
        </w:r>
        <w:r w:rsidR="00EB4B02">
          <w:rPr>
            <w:webHidden/>
          </w:rPr>
        </w:r>
        <w:r w:rsidR="00EB4B02">
          <w:rPr>
            <w:webHidden/>
          </w:rPr>
          <w:fldChar w:fldCharType="separate"/>
        </w:r>
        <w:r w:rsidR="00EB4B02">
          <w:rPr>
            <w:webHidden/>
          </w:rPr>
          <w:t>152</w:t>
        </w:r>
        <w:r w:rsidR="00EB4B02">
          <w:rPr>
            <w:webHidden/>
          </w:rPr>
          <w:fldChar w:fldCharType="end"/>
        </w:r>
      </w:hyperlink>
    </w:p>
    <w:p w14:paraId="1E2B67C3" w14:textId="11682764" w:rsidR="00EB4B02" w:rsidRDefault="003C7C88">
      <w:pPr>
        <w:pStyle w:val="TOC2"/>
        <w:rPr>
          <w:rFonts w:asciiTheme="minorHAnsi" w:eastAsiaTheme="minorEastAsia" w:hAnsiTheme="minorHAnsi" w:cstheme="minorBidi"/>
          <w:bCs w:val="0"/>
          <w:sz w:val="22"/>
          <w:szCs w:val="22"/>
          <w:lang w:eastAsia="en-AU"/>
        </w:rPr>
      </w:pPr>
      <w:hyperlink w:anchor="_Toc10703499" w:history="1">
        <w:r w:rsidR="00EB4B02" w:rsidRPr="00A43E67">
          <w:rPr>
            <w:rStyle w:val="Hyperlink"/>
          </w:rPr>
          <w:t>12.3</w:t>
        </w:r>
        <w:r w:rsidR="00EB4B02">
          <w:rPr>
            <w:rFonts w:asciiTheme="minorHAnsi" w:eastAsiaTheme="minorEastAsia" w:hAnsiTheme="minorHAnsi" w:cstheme="minorBidi"/>
            <w:bCs w:val="0"/>
            <w:sz w:val="22"/>
            <w:szCs w:val="22"/>
            <w:lang w:eastAsia="en-AU"/>
          </w:rPr>
          <w:tab/>
        </w:r>
        <w:r w:rsidR="00EB4B02" w:rsidRPr="00A43E67">
          <w:rPr>
            <w:rStyle w:val="Hyperlink"/>
          </w:rPr>
          <w:t>Allocation of costs to services</w:t>
        </w:r>
        <w:r w:rsidR="00EB4B02">
          <w:rPr>
            <w:webHidden/>
          </w:rPr>
          <w:tab/>
        </w:r>
        <w:r w:rsidR="00EB4B02">
          <w:rPr>
            <w:webHidden/>
          </w:rPr>
          <w:fldChar w:fldCharType="begin"/>
        </w:r>
        <w:r w:rsidR="00EB4B02">
          <w:rPr>
            <w:webHidden/>
          </w:rPr>
          <w:instrText xml:space="preserve"> PAGEREF _Toc10703499 \h </w:instrText>
        </w:r>
        <w:r w:rsidR="00EB4B02">
          <w:rPr>
            <w:webHidden/>
          </w:rPr>
        </w:r>
        <w:r w:rsidR="00EB4B02">
          <w:rPr>
            <w:webHidden/>
          </w:rPr>
          <w:fldChar w:fldCharType="separate"/>
        </w:r>
        <w:r w:rsidR="00EB4B02">
          <w:rPr>
            <w:webHidden/>
          </w:rPr>
          <w:t>152</w:t>
        </w:r>
        <w:r w:rsidR="00EB4B02">
          <w:rPr>
            <w:webHidden/>
          </w:rPr>
          <w:fldChar w:fldCharType="end"/>
        </w:r>
      </w:hyperlink>
    </w:p>
    <w:p w14:paraId="02385718" w14:textId="55623554" w:rsidR="00EB4B02" w:rsidRDefault="003C7C88">
      <w:pPr>
        <w:pStyle w:val="TOC3"/>
        <w:rPr>
          <w:rFonts w:asciiTheme="minorHAnsi" w:eastAsiaTheme="minorEastAsia" w:hAnsiTheme="minorHAnsi" w:cstheme="minorBidi"/>
          <w:sz w:val="22"/>
          <w:szCs w:val="22"/>
          <w:lang w:eastAsia="en-AU"/>
        </w:rPr>
      </w:pPr>
      <w:hyperlink w:anchor="_Toc10703500" w:history="1">
        <w:r w:rsidR="00EB4B02" w:rsidRPr="00A43E67">
          <w:rPr>
            <w:rStyle w:val="Hyperlink"/>
            <w14:scene3d>
              <w14:camera w14:prst="orthographicFront"/>
              <w14:lightRig w14:rig="threePt" w14:dir="t">
                <w14:rot w14:lat="0" w14:lon="0" w14:rev="0"/>
              </w14:lightRig>
            </w14:scene3d>
          </w:rPr>
          <w:t>12.3.1</w:t>
        </w:r>
        <w:r w:rsidR="00EB4B02">
          <w:rPr>
            <w:rFonts w:asciiTheme="minorHAnsi" w:eastAsiaTheme="minorEastAsia" w:hAnsiTheme="minorHAnsi" w:cstheme="minorBidi"/>
            <w:sz w:val="22"/>
            <w:szCs w:val="22"/>
            <w:lang w:eastAsia="en-AU"/>
          </w:rPr>
          <w:tab/>
        </w:r>
        <w:r w:rsidR="00EB4B02" w:rsidRPr="00A43E67">
          <w:rPr>
            <w:rStyle w:val="Hyperlink"/>
          </w:rPr>
          <w:t>Primary Allocation</w:t>
        </w:r>
        <w:r w:rsidR="00EB4B02">
          <w:rPr>
            <w:webHidden/>
          </w:rPr>
          <w:tab/>
        </w:r>
        <w:r w:rsidR="00EB4B02">
          <w:rPr>
            <w:webHidden/>
          </w:rPr>
          <w:fldChar w:fldCharType="begin"/>
        </w:r>
        <w:r w:rsidR="00EB4B02">
          <w:rPr>
            <w:webHidden/>
          </w:rPr>
          <w:instrText xml:space="preserve"> PAGEREF _Toc10703500 \h </w:instrText>
        </w:r>
        <w:r w:rsidR="00EB4B02">
          <w:rPr>
            <w:webHidden/>
          </w:rPr>
        </w:r>
        <w:r w:rsidR="00EB4B02">
          <w:rPr>
            <w:webHidden/>
          </w:rPr>
          <w:fldChar w:fldCharType="separate"/>
        </w:r>
        <w:r w:rsidR="00EB4B02">
          <w:rPr>
            <w:webHidden/>
          </w:rPr>
          <w:t>152</w:t>
        </w:r>
        <w:r w:rsidR="00EB4B02">
          <w:rPr>
            <w:webHidden/>
          </w:rPr>
          <w:fldChar w:fldCharType="end"/>
        </w:r>
      </w:hyperlink>
    </w:p>
    <w:p w14:paraId="4671F07C" w14:textId="7C98C7EE" w:rsidR="00EB4B02" w:rsidRDefault="003C7C88">
      <w:pPr>
        <w:pStyle w:val="TOC3"/>
        <w:rPr>
          <w:rFonts w:asciiTheme="minorHAnsi" w:eastAsiaTheme="minorEastAsia" w:hAnsiTheme="minorHAnsi" w:cstheme="minorBidi"/>
          <w:sz w:val="22"/>
          <w:szCs w:val="22"/>
          <w:lang w:eastAsia="en-AU"/>
        </w:rPr>
      </w:pPr>
      <w:hyperlink w:anchor="_Toc10703501" w:history="1">
        <w:r w:rsidR="00EB4B02" w:rsidRPr="00A43E67">
          <w:rPr>
            <w:rStyle w:val="Hyperlink"/>
            <w14:scene3d>
              <w14:camera w14:prst="orthographicFront"/>
              <w14:lightRig w14:rig="threePt" w14:dir="t">
                <w14:rot w14:lat="0" w14:lon="0" w14:rev="0"/>
              </w14:lightRig>
            </w14:scene3d>
          </w:rPr>
          <w:t>12.3.2</w:t>
        </w:r>
        <w:r w:rsidR="00EB4B02">
          <w:rPr>
            <w:rFonts w:asciiTheme="minorHAnsi" w:eastAsiaTheme="minorEastAsia" w:hAnsiTheme="minorHAnsi" w:cstheme="minorBidi"/>
            <w:sz w:val="22"/>
            <w:szCs w:val="22"/>
            <w:lang w:eastAsia="en-AU"/>
          </w:rPr>
          <w:tab/>
        </w:r>
        <w:r w:rsidR="00EB4B02" w:rsidRPr="00A43E67">
          <w:rPr>
            <w:rStyle w:val="Hyperlink"/>
          </w:rPr>
          <w:t>Secondary allocation</w:t>
        </w:r>
        <w:r w:rsidR="00EB4B02">
          <w:rPr>
            <w:webHidden/>
          </w:rPr>
          <w:tab/>
        </w:r>
        <w:r w:rsidR="00EB4B02">
          <w:rPr>
            <w:webHidden/>
          </w:rPr>
          <w:fldChar w:fldCharType="begin"/>
        </w:r>
        <w:r w:rsidR="00EB4B02">
          <w:rPr>
            <w:webHidden/>
          </w:rPr>
          <w:instrText xml:space="preserve"> PAGEREF _Toc10703501 \h </w:instrText>
        </w:r>
        <w:r w:rsidR="00EB4B02">
          <w:rPr>
            <w:webHidden/>
          </w:rPr>
        </w:r>
        <w:r w:rsidR="00EB4B02">
          <w:rPr>
            <w:webHidden/>
          </w:rPr>
          <w:fldChar w:fldCharType="separate"/>
        </w:r>
        <w:r w:rsidR="00EB4B02">
          <w:rPr>
            <w:webHidden/>
          </w:rPr>
          <w:t>153</w:t>
        </w:r>
        <w:r w:rsidR="00EB4B02">
          <w:rPr>
            <w:webHidden/>
          </w:rPr>
          <w:fldChar w:fldCharType="end"/>
        </w:r>
      </w:hyperlink>
    </w:p>
    <w:p w14:paraId="1C23AACE" w14:textId="42B52A30" w:rsidR="00EB4B02" w:rsidRDefault="003C7C88">
      <w:pPr>
        <w:pStyle w:val="TOC1"/>
        <w:rPr>
          <w:rFonts w:asciiTheme="minorHAnsi" w:eastAsiaTheme="minorEastAsia" w:hAnsiTheme="minorHAnsi" w:cstheme="minorBidi"/>
          <w:b w:val="0"/>
          <w:bCs w:val="0"/>
          <w:szCs w:val="22"/>
          <w:lang w:eastAsia="en-AU"/>
        </w:rPr>
      </w:pPr>
      <w:hyperlink w:anchor="_Toc10703502" w:history="1">
        <w:r w:rsidR="00EB4B02" w:rsidRPr="00A43E67">
          <w:rPr>
            <w:rStyle w:val="Hyperlink"/>
          </w:rPr>
          <w:t>13</w:t>
        </w:r>
        <w:r w:rsidR="00EB4B02">
          <w:rPr>
            <w:rFonts w:asciiTheme="minorHAnsi" w:eastAsiaTheme="minorEastAsia" w:hAnsiTheme="minorHAnsi" w:cstheme="minorBidi"/>
            <w:b w:val="0"/>
            <w:bCs w:val="0"/>
            <w:szCs w:val="22"/>
            <w:lang w:eastAsia="en-AU"/>
          </w:rPr>
          <w:tab/>
        </w:r>
        <w:r w:rsidR="00EB4B02" w:rsidRPr="00A43E67">
          <w:rPr>
            <w:rStyle w:val="Hyperlink"/>
          </w:rPr>
          <w:t>Regulated Fee Activities and Other Activities</w:t>
        </w:r>
        <w:r w:rsidR="00EB4B02">
          <w:rPr>
            <w:webHidden/>
          </w:rPr>
          <w:tab/>
        </w:r>
        <w:r w:rsidR="00EB4B02">
          <w:rPr>
            <w:webHidden/>
          </w:rPr>
          <w:fldChar w:fldCharType="begin"/>
        </w:r>
        <w:r w:rsidR="00EB4B02">
          <w:rPr>
            <w:webHidden/>
          </w:rPr>
          <w:instrText xml:space="preserve"> PAGEREF _Toc10703502 \h </w:instrText>
        </w:r>
        <w:r w:rsidR="00EB4B02">
          <w:rPr>
            <w:webHidden/>
          </w:rPr>
        </w:r>
        <w:r w:rsidR="00EB4B02">
          <w:rPr>
            <w:webHidden/>
          </w:rPr>
          <w:fldChar w:fldCharType="separate"/>
        </w:r>
        <w:r w:rsidR="00EB4B02">
          <w:rPr>
            <w:webHidden/>
          </w:rPr>
          <w:t>155</w:t>
        </w:r>
        <w:r w:rsidR="00EB4B02">
          <w:rPr>
            <w:webHidden/>
          </w:rPr>
          <w:fldChar w:fldCharType="end"/>
        </w:r>
      </w:hyperlink>
    </w:p>
    <w:p w14:paraId="1F5C5E94" w14:textId="3585F26E" w:rsidR="00EB4B02" w:rsidRDefault="003C7C88">
      <w:pPr>
        <w:pStyle w:val="TOC2"/>
        <w:rPr>
          <w:rFonts w:asciiTheme="minorHAnsi" w:eastAsiaTheme="minorEastAsia" w:hAnsiTheme="minorHAnsi" w:cstheme="minorBidi"/>
          <w:bCs w:val="0"/>
          <w:sz w:val="22"/>
          <w:szCs w:val="22"/>
          <w:lang w:eastAsia="en-AU"/>
        </w:rPr>
      </w:pPr>
      <w:hyperlink w:anchor="_Toc10703503" w:history="1">
        <w:r w:rsidR="00EB4B02" w:rsidRPr="00A43E67">
          <w:rPr>
            <w:rStyle w:val="Hyperlink"/>
          </w:rPr>
          <w:t>13.1</w:t>
        </w:r>
        <w:r w:rsidR="00EB4B02">
          <w:rPr>
            <w:rFonts w:asciiTheme="minorHAnsi" w:eastAsiaTheme="minorEastAsia" w:hAnsiTheme="minorHAnsi" w:cstheme="minorBidi"/>
            <w:bCs w:val="0"/>
            <w:sz w:val="22"/>
            <w:szCs w:val="22"/>
            <w:lang w:eastAsia="en-AU"/>
          </w:rPr>
          <w:tab/>
        </w:r>
        <w:r w:rsidR="00EB4B02" w:rsidRPr="00A43E67">
          <w:rPr>
            <w:rStyle w:val="Hyperlink"/>
          </w:rPr>
          <w:t>Categories of Activities</w:t>
        </w:r>
        <w:r w:rsidR="00EB4B02">
          <w:rPr>
            <w:webHidden/>
          </w:rPr>
          <w:tab/>
        </w:r>
        <w:r w:rsidR="00EB4B02">
          <w:rPr>
            <w:webHidden/>
          </w:rPr>
          <w:fldChar w:fldCharType="begin"/>
        </w:r>
        <w:r w:rsidR="00EB4B02">
          <w:rPr>
            <w:webHidden/>
          </w:rPr>
          <w:instrText xml:space="preserve"> PAGEREF _Toc10703503 \h </w:instrText>
        </w:r>
        <w:r w:rsidR="00EB4B02">
          <w:rPr>
            <w:webHidden/>
          </w:rPr>
        </w:r>
        <w:r w:rsidR="00EB4B02">
          <w:rPr>
            <w:webHidden/>
          </w:rPr>
          <w:fldChar w:fldCharType="separate"/>
        </w:r>
        <w:r w:rsidR="00EB4B02">
          <w:rPr>
            <w:webHidden/>
          </w:rPr>
          <w:t>155</w:t>
        </w:r>
        <w:r w:rsidR="00EB4B02">
          <w:rPr>
            <w:webHidden/>
          </w:rPr>
          <w:fldChar w:fldCharType="end"/>
        </w:r>
      </w:hyperlink>
    </w:p>
    <w:p w14:paraId="35A52105" w14:textId="15927D52" w:rsidR="00EB4B02" w:rsidRDefault="003C7C88">
      <w:pPr>
        <w:pStyle w:val="TOC2"/>
        <w:rPr>
          <w:rFonts w:asciiTheme="minorHAnsi" w:eastAsiaTheme="minorEastAsia" w:hAnsiTheme="minorHAnsi" w:cstheme="minorBidi"/>
          <w:bCs w:val="0"/>
          <w:sz w:val="22"/>
          <w:szCs w:val="22"/>
          <w:lang w:eastAsia="en-AU"/>
        </w:rPr>
      </w:pPr>
      <w:hyperlink w:anchor="_Toc10703504" w:history="1">
        <w:r w:rsidR="00EB4B02" w:rsidRPr="00A43E67">
          <w:rPr>
            <w:rStyle w:val="Hyperlink"/>
          </w:rPr>
          <w:t>13.2</w:t>
        </w:r>
        <w:r w:rsidR="00EB4B02">
          <w:rPr>
            <w:rFonts w:asciiTheme="minorHAnsi" w:eastAsiaTheme="minorEastAsia" w:hAnsiTheme="minorHAnsi" w:cstheme="minorBidi"/>
            <w:bCs w:val="0"/>
            <w:sz w:val="22"/>
            <w:szCs w:val="22"/>
            <w:lang w:eastAsia="en-AU"/>
          </w:rPr>
          <w:tab/>
        </w:r>
        <w:r w:rsidR="00EB4B02" w:rsidRPr="00A43E67">
          <w:rPr>
            <w:rStyle w:val="Hyperlink"/>
          </w:rPr>
          <w:t>Drivers Regulations</w:t>
        </w:r>
        <w:r w:rsidR="00EB4B02">
          <w:rPr>
            <w:webHidden/>
          </w:rPr>
          <w:tab/>
        </w:r>
        <w:r w:rsidR="00EB4B02">
          <w:rPr>
            <w:webHidden/>
          </w:rPr>
          <w:fldChar w:fldCharType="begin"/>
        </w:r>
        <w:r w:rsidR="00EB4B02">
          <w:rPr>
            <w:webHidden/>
          </w:rPr>
          <w:instrText xml:space="preserve"> PAGEREF _Toc10703504 \h </w:instrText>
        </w:r>
        <w:r w:rsidR="00EB4B02">
          <w:rPr>
            <w:webHidden/>
          </w:rPr>
        </w:r>
        <w:r w:rsidR="00EB4B02">
          <w:rPr>
            <w:webHidden/>
          </w:rPr>
          <w:fldChar w:fldCharType="separate"/>
        </w:r>
        <w:r w:rsidR="00EB4B02">
          <w:rPr>
            <w:webHidden/>
          </w:rPr>
          <w:t>156</w:t>
        </w:r>
        <w:r w:rsidR="00EB4B02">
          <w:rPr>
            <w:webHidden/>
          </w:rPr>
          <w:fldChar w:fldCharType="end"/>
        </w:r>
      </w:hyperlink>
    </w:p>
    <w:p w14:paraId="1AF07AB6" w14:textId="59670A5F" w:rsidR="00EB4B02" w:rsidRDefault="003C7C88">
      <w:pPr>
        <w:pStyle w:val="TOC3"/>
        <w:rPr>
          <w:rFonts w:asciiTheme="minorHAnsi" w:eastAsiaTheme="minorEastAsia" w:hAnsiTheme="minorHAnsi" w:cstheme="minorBidi"/>
          <w:sz w:val="22"/>
          <w:szCs w:val="22"/>
          <w:lang w:eastAsia="en-AU"/>
        </w:rPr>
      </w:pPr>
      <w:hyperlink w:anchor="_Toc10703505" w:history="1">
        <w:r w:rsidR="00EB4B02" w:rsidRPr="00A43E67">
          <w:rPr>
            <w:rStyle w:val="Hyperlink"/>
            <w14:scene3d>
              <w14:camera w14:prst="orthographicFront"/>
              <w14:lightRig w14:rig="threePt" w14:dir="t">
                <w14:rot w14:lat="0" w14:lon="0" w14:rev="0"/>
              </w14:lightRig>
            </w14:scene3d>
          </w:rPr>
          <w:t>13.2.1</w:t>
        </w:r>
        <w:r w:rsidR="00EB4B02">
          <w:rPr>
            <w:rFonts w:asciiTheme="minorHAnsi" w:eastAsiaTheme="minorEastAsia" w:hAnsiTheme="minorHAnsi" w:cstheme="minorBidi"/>
            <w:sz w:val="22"/>
            <w:szCs w:val="22"/>
            <w:lang w:eastAsia="en-AU"/>
          </w:rPr>
          <w:tab/>
        </w:r>
        <w:r w:rsidR="00EB4B02" w:rsidRPr="00A43E67">
          <w:rPr>
            <w:rStyle w:val="Hyperlink"/>
          </w:rPr>
          <w:t>Services Groups</w:t>
        </w:r>
        <w:r w:rsidR="00EB4B02">
          <w:rPr>
            <w:webHidden/>
          </w:rPr>
          <w:tab/>
        </w:r>
        <w:r w:rsidR="00EB4B02">
          <w:rPr>
            <w:webHidden/>
          </w:rPr>
          <w:fldChar w:fldCharType="begin"/>
        </w:r>
        <w:r w:rsidR="00EB4B02">
          <w:rPr>
            <w:webHidden/>
          </w:rPr>
          <w:instrText xml:space="preserve"> PAGEREF _Toc10703505 \h </w:instrText>
        </w:r>
        <w:r w:rsidR="00EB4B02">
          <w:rPr>
            <w:webHidden/>
          </w:rPr>
        </w:r>
        <w:r w:rsidR="00EB4B02">
          <w:rPr>
            <w:webHidden/>
          </w:rPr>
          <w:fldChar w:fldCharType="separate"/>
        </w:r>
        <w:r w:rsidR="00EB4B02">
          <w:rPr>
            <w:webHidden/>
          </w:rPr>
          <w:t>156</w:t>
        </w:r>
        <w:r w:rsidR="00EB4B02">
          <w:rPr>
            <w:webHidden/>
          </w:rPr>
          <w:fldChar w:fldCharType="end"/>
        </w:r>
      </w:hyperlink>
    </w:p>
    <w:p w14:paraId="16A04CF2" w14:textId="7C52B925" w:rsidR="00EB4B02" w:rsidRDefault="003C7C88">
      <w:pPr>
        <w:pStyle w:val="TOC3"/>
        <w:rPr>
          <w:rFonts w:asciiTheme="minorHAnsi" w:eastAsiaTheme="minorEastAsia" w:hAnsiTheme="minorHAnsi" w:cstheme="minorBidi"/>
          <w:sz w:val="22"/>
          <w:szCs w:val="22"/>
          <w:lang w:eastAsia="en-AU"/>
        </w:rPr>
      </w:pPr>
      <w:hyperlink w:anchor="_Toc10703506" w:history="1">
        <w:r w:rsidR="00EB4B02" w:rsidRPr="00A43E67">
          <w:rPr>
            <w:rStyle w:val="Hyperlink"/>
            <w14:scene3d>
              <w14:camera w14:prst="orthographicFront"/>
              <w14:lightRig w14:rig="threePt" w14:dir="t">
                <w14:rot w14:lat="0" w14:lon="0" w14:rev="0"/>
              </w14:lightRig>
            </w14:scene3d>
          </w:rPr>
          <w:t>13.2.2</w:t>
        </w:r>
        <w:r w:rsidR="00EB4B02">
          <w:rPr>
            <w:rFonts w:asciiTheme="minorHAnsi" w:eastAsiaTheme="minorEastAsia" w:hAnsiTheme="minorHAnsi" w:cstheme="minorBidi"/>
            <w:sz w:val="22"/>
            <w:szCs w:val="22"/>
            <w:lang w:eastAsia="en-AU"/>
          </w:rPr>
          <w:tab/>
        </w:r>
        <w:r w:rsidR="00EB4B02" w:rsidRPr="00A43E67">
          <w:rPr>
            <w:rStyle w:val="Hyperlink"/>
          </w:rPr>
          <w:t>Permissions Groups</w:t>
        </w:r>
        <w:r w:rsidR="00EB4B02">
          <w:rPr>
            <w:webHidden/>
          </w:rPr>
          <w:tab/>
        </w:r>
        <w:r w:rsidR="00EB4B02">
          <w:rPr>
            <w:webHidden/>
          </w:rPr>
          <w:fldChar w:fldCharType="begin"/>
        </w:r>
        <w:r w:rsidR="00EB4B02">
          <w:rPr>
            <w:webHidden/>
          </w:rPr>
          <w:instrText xml:space="preserve"> PAGEREF _Toc10703506 \h </w:instrText>
        </w:r>
        <w:r w:rsidR="00EB4B02">
          <w:rPr>
            <w:webHidden/>
          </w:rPr>
        </w:r>
        <w:r w:rsidR="00EB4B02">
          <w:rPr>
            <w:webHidden/>
          </w:rPr>
          <w:fldChar w:fldCharType="separate"/>
        </w:r>
        <w:r w:rsidR="00EB4B02">
          <w:rPr>
            <w:webHidden/>
          </w:rPr>
          <w:t>157</w:t>
        </w:r>
        <w:r w:rsidR="00EB4B02">
          <w:rPr>
            <w:webHidden/>
          </w:rPr>
          <w:fldChar w:fldCharType="end"/>
        </w:r>
      </w:hyperlink>
    </w:p>
    <w:p w14:paraId="1EB49591" w14:textId="2828AE10" w:rsidR="00EB4B02" w:rsidRDefault="003C7C88">
      <w:pPr>
        <w:pStyle w:val="TOC2"/>
        <w:rPr>
          <w:rFonts w:asciiTheme="minorHAnsi" w:eastAsiaTheme="minorEastAsia" w:hAnsiTheme="minorHAnsi" w:cstheme="minorBidi"/>
          <w:bCs w:val="0"/>
          <w:sz w:val="22"/>
          <w:szCs w:val="22"/>
          <w:lang w:eastAsia="en-AU"/>
        </w:rPr>
      </w:pPr>
      <w:hyperlink w:anchor="_Toc10703507" w:history="1">
        <w:r w:rsidR="00EB4B02" w:rsidRPr="00A43E67">
          <w:rPr>
            <w:rStyle w:val="Hyperlink"/>
          </w:rPr>
          <w:t>13.3</w:t>
        </w:r>
        <w:r w:rsidR="00EB4B02">
          <w:rPr>
            <w:rFonts w:asciiTheme="minorHAnsi" w:eastAsiaTheme="minorEastAsia" w:hAnsiTheme="minorHAnsi" w:cstheme="minorBidi"/>
            <w:bCs w:val="0"/>
            <w:sz w:val="22"/>
            <w:szCs w:val="22"/>
            <w:lang w:eastAsia="en-AU"/>
          </w:rPr>
          <w:tab/>
        </w:r>
        <w:r w:rsidR="00EB4B02" w:rsidRPr="00A43E67">
          <w:rPr>
            <w:rStyle w:val="Hyperlink"/>
          </w:rPr>
          <w:t>Other Activities</w:t>
        </w:r>
        <w:r w:rsidR="00EB4B02">
          <w:rPr>
            <w:webHidden/>
          </w:rPr>
          <w:tab/>
        </w:r>
        <w:r w:rsidR="00EB4B02">
          <w:rPr>
            <w:webHidden/>
          </w:rPr>
          <w:fldChar w:fldCharType="begin"/>
        </w:r>
        <w:r w:rsidR="00EB4B02">
          <w:rPr>
            <w:webHidden/>
          </w:rPr>
          <w:instrText xml:space="preserve"> PAGEREF _Toc10703507 \h </w:instrText>
        </w:r>
        <w:r w:rsidR="00EB4B02">
          <w:rPr>
            <w:webHidden/>
          </w:rPr>
        </w:r>
        <w:r w:rsidR="00EB4B02">
          <w:rPr>
            <w:webHidden/>
          </w:rPr>
          <w:fldChar w:fldCharType="separate"/>
        </w:r>
        <w:r w:rsidR="00EB4B02">
          <w:rPr>
            <w:webHidden/>
          </w:rPr>
          <w:t>157</w:t>
        </w:r>
        <w:r w:rsidR="00EB4B02">
          <w:rPr>
            <w:webHidden/>
          </w:rPr>
          <w:fldChar w:fldCharType="end"/>
        </w:r>
      </w:hyperlink>
    </w:p>
    <w:p w14:paraId="10DA9141" w14:textId="12A21AE1" w:rsidR="00EB4B02" w:rsidRDefault="003C7C88">
      <w:pPr>
        <w:pStyle w:val="TOC1"/>
        <w:rPr>
          <w:rFonts w:asciiTheme="minorHAnsi" w:eastAsiaTheme="minorEastAsia" w:hAnsiTheme="minorHAnsi" w:cstheme="minorBidi"/>
          <w:b w:val="0"/>
          <w:bCs w:val="0"/>
          <w:szCs w:val="22"/>
          <w:lang w:eastAsia="en-AU"/>
        </w:rPr>
      </w:pPr>
      <w:hyperlink w:anchor="_Toc10703508" w:history="1">
        <w:r w:rsidR="00EB4B02" w:rsidRPr="00A43E67">
          <w:rPr>
            <w:rStyle w:val="Hyperlink"/>
          </w:rPr>
          <w:t>14</w:t>
        </w:r>
        <w:r w:rsidR="00EB4B02">
          <w:rPr>
            <w:rFonts w:asciiTheme="minorHAnsi" w:eastAsiaTheme="minorEastAsia" w:hAnsiTheme="minorHAnsi" w:cstheme="minorBidi"/>
            <w:b w:val="0"/>
            <w:bCs w:val="0"/>
            <w:szCs w:val="22"/>
            <w:lang w:eastAsia="en-AU"/>
          </w:rPr>
          <w:tab/>
        </w:r>
        <w:r w:rsidR="00EB4B02" w:rsidRPr="00A43E67">
          <w:rPr>
            <w:rStyle w:val="Hyperlink"/>
          </w:rPr>
          <w:t>Cost Recovery Assessment Approach</w:t>
        </w:r>
        <w:r w:rsidR="00EB4B02">
          <w:rPr>
            <w:webHidden/>
          </w:rPr>
          <w:tab/>
        </w:r>
        <w:r w:rsidR="00EB4B02">
          <w:rPr>
            <w:webHidden/>
          </w:rPr>
          <w:fldChar w:fldCharType="begin"/>
        </w:r>
        <w:r w:rsidR="00EB4B02">
          <w:rPr>
            <w:webHidden/>
          </w:rPr>
          <w:instrText xml:space="preserve"> PAGEREF _Toc10703508 \h </w:instrText>
        </w:r>
        <w:r w:rsidR="00EB4B02">
          <w:rPr>
            <w:webHidden/>
          </w:rPr>
        </w:r>
        <w:r w:rsidR="00EB4B02">
          <w:rPr>
            <w:webHidden/>
          </w:rPr>
          <w:fldChar w:fldCharType="separate"/>
        </w:r>
        <w:r w:rsidR="00EB4B02">
          <w:rPr>
            <w:webHidden/>
          </w:rPr>
          <w:t>160</w:t>
        </w:r>
        <w:r w:rsidR="00EB4B02">
          <w:rPr>
            <w:webHidden/>
          </w:rPr>
          <w:fldChar w:fldCharType="end"/>
        </w:r>
      </w:hyperlink>
    </w:p>
    <w:p w14:paraId="2C031938" w14:textId="34C41285" w:rsidR="00EB4B02" w:rsidRDefault="003C7C88">
      <w:pPr>
        <w:pStyle w:val="TOC2"/>
        <w:rPr>
          <w:rFonts w:asciiTheme="minorHAnsi" w:eastAsiaTheme="minorEastAsia" w:hAnsiTheme="minorHAnsi" w:cstheme="minorBidi"/>
          <w:bCs w:val="0"/>
          <w:sz w:val="22"/>
          <w:szCs w:val="22"/>
          <w:lang w:eastAsia="en-AU"/>
        </w:rPr>
      </w:pPr>
      <w:hyperlink w:anchor="_Toc10703509" w:history="1">
        <w:r w:rsidR="00EB4B02" w:rsidRPr="00A43E67">
          <w:rPr>
            <w:rStyle w:val="Hyperlink"/>
          </w:rPr>
          <w:t>14.1</w:t>
        </w:r>
        <w:r w:rsidR="00EB4B02">
          <w:rPr>
            <w:rFonts w:asciiTheme="minorHAnsi" w:eastAsiaTheme="minorEastAsia" w:hAnsiTheme="minorHAnsi" w:cstheme="minorBidi"/>
            <w:bCs w:val="0"/>
            <w:sz w:val="22"/>
            <w:szCs w:val="22"/>
            <w:lang w:eastAsia="en-AU"/>
          </w:rPr>
          <w:tab/>
        </w:r>
        <w:r w:rsidR="00EB4B02" w:rsidRPr="00A43E67">
          <w:rPr>
            <w:rStyle w:val="Hyperlink"/>
          </w:rPr>
          <w:t>Services Groups</w:t>
        </w:r>
        <w:r w:rsidR="00EB4B02">
          <w:rPr>
            <w:webHidden/>
          </w:rPr>
          <w:tab/>
        </w:r>
        <w:r w:rsidR="00EB4B02">
          <w:rPr>
            <w:webHidden/>
          </w:rPr>
          <w:fldChar w:fldCharType="begin"/>
        </w:r>
        <w:r w:rsidR="00EB4B02">
          <w:rPr>
            <w:webHidden/>
          </w:rPr>
          <w:instrText xml:space="preserve"> PAGEREF _Toc10703509 \h </w:instrText>
        </w:r>
        <w:r w:rsidR="00EB4B02">
          <w:rPr>
            <w:webHidden/>
          </w:rPr>
        </w:r>
        <w:r w:rsidR="00EB4B02">
          <w:rPr>
            <w:webHidden/>
          </w:rPr>
          <w:fldChar w:fldCharType="separate"/>
        </w:r>
        <w:r w:rsidR="00EB4B02">
          <w:rPr>
            <w:webHidden/>
          </w:rPr>
          <w:t>160</w:t>
        </w:r>
        <w:r w:rsidR="00EB4B02">
          <w:rPr>
            <w:webHidden/>
          </w:rPr>
          <w:fldChar w:fldCharType="end"/>
        </w:r>
      </w:hyperlink>
    </w:p>
    <w:p w14:paraId="0DEB5270" w14:textId="455E0C4E" w:rsidR="00EB4B02" w:rsidRDefault="003C7C88">
      <w:pPr>
        <w:pStyle w:val="TOC2"/>
        <w:rPr>
          <w:rFonts w:asciiTheme="minorHAnsi" w:eastAsiaTheme="minorEastAsia" w:hAnsiTheme="minorHAnsi" w:cstheme="minorBidi"/>
          <w:bCs w:val="0"/>
          <w:sz w:val="22"/>
          <w:szCs w:val="22"/>
          <w:lang w:eastAsia="en-AU"/>
        </w:rPr>
      </w:pPr>
      <w:hyperlink w:anchor="_Toc10703510" w:history="1">
        <w:r w:rsidR="00EB4B02" w:rsidRPr="00A43E67">
          <w:rPr>
            <w:rStyle w:val="Hyperlink"/>
          </w:rPr>
          <w:t>14.2</w:t>
        </w:r>
        <w:r w:rsidR="00EB4B02">
          <w:rPr>
            <w:rFonts w:asciiTheme="minorHAnsi" w:eastAsiaTheme="minorEastAsia" w:hAnsiTheme="minorHAnsi" w:cstheme="minorBidi"/>
            <w:bCs w:val="0"/>
            <w:sz w:val="22"/>
            <w:szCs w:val="22"/>
            <w:lang w:eastAsia="en-AU"/>
          </w:rPr>
          <w:tab/>
        </w:r>
        <w:r w:rsidR="00EB4B02" w:rsidRPr="00A43E67">
          <w:rPr>
            <w:rStyle w:val="Hyperlink"/>
          </w:rPr>
          <w:t>Permissions Groups and Servicing Agreements Groups</w:t>
        </w:r>
        <w:r w:rsidR="00EB4B02">
          <w:rPr>
            <w:webHidden/>
          </w:rPr>
          <w:tab/>
        </w:r>
        <w:r w:rsidR="00EB4B02">
          <w:rPr>
            <w:webHidden/>
          </w:rPr>
          <w:fldChar w:fldCharType="begin"/>
        </w:r>
        <w:r w:rsidR="00EB4B02">
          <w:rPr>
            <w:webHidden/>
          </w:rPr>
          <w:instrText xml:space="preserve"> PAGEREF _Toc10703510 \h </w:instrText>
        </w:r>
        <w:r w:rsidR="00EB4B02">
          <w:rPr>
            <w:webHidden/>
          </w:rPr>
        </w:r>
        <w:r w:rsidR="00EB4B02">
          <w:rPr>
            <w:webHidden/>
          </w:rPr>
          <w:fldChar w:fldCharType="separate"/>
        </w:r>
        <w:r w:rsidR="00EB4B02">
          <w:rPr>
            <w:webHidden/>
          </w:rPr>
          <w:t>160</w:t>
        </w:r>
        <w:r w:rsidR="00EB4B02">
          <w:rPr>
            <w:webHidden/>
          </w:rPr>
          <w:fldChar w:fldCharType="end"/>
        </w:r>
      </w:hyperlink>
    </w:p>
    <w:p w14:paraId="17C6450B" w14:textId="3479544C" w:rsidR="00EB4B02" w:rsidRDefault="003C7C88">
      <w:pPr>
        <w:pStyle w:val="TOC1"/>
        <w:rPr>
          <w:rFonts w:asciiTheme="minorHAnsi" w:eastAsiaTheme="minorEastAsia" w:hAnsiTheme="minorHAnsi" w:cstheme="minorBidi"/>
          <w:b w:val="0"/>
          <w:bCs w:val="0"/>
          <w:szCs w:val="22"/>
          <w:lang w:eastAsia="en-AU"/>
        </w:rPr>
      </w:pPr>
      <w:hyperlink w:anchor="_Toc10703511" w:history="1">
        <w:r w:rsidR="00EB4B02" w:rsidRPr="00A43E67">
          <w:rPr>
            <w:rStyle w:val="Hyperlink"/>
          </w:rPr>
          <w:t>15</w:t>
        </w:r>
        <w:r w:rsidR="00EB4B02">
          <w:rPr>
            <w:rFonts w:asciiTheme="minorHAnsi" w:eastAsiaTheme="minorEastAsia" w:hAnsiTheme="minorHAnsi" w:cstheme="minorBidi"/>
            <w:b w:val="0"/>
            <w:bCs w:val="0"/>
            <w:szCs w:val="22"/>
            <w:lang w:eastAsia="en-AU"/>
          </w:rPr>
          <w:tab/>
        </w:r>
        <w:r w:rsidR="00EB4B02" w:rsidRPr="00A43E67">
          <w:rPr>
            <w:rStyle w:val="Hyperlink"/>
          </w:rPr>
          <w:t>Services Groups Cost Recovery Appraisal</w:t>
        </w:r>
        <w:r w:rsidR="00EB4B02">
          <w:rPr>
            <w:webHidden/>
          </w:rPr>
          <w:tab/>
        </w:r>
        <w:r w:rsidR="00EB4B02">
          <w:rPr>
            <w:webHidden/>
          </w:rPr>
          <w:fldChar w:fldCharType="begin"/>
        </w:r>
        <w:r w:rsidR="00EB4B02">
          <w:rPr>
            <w:webHidden/>
          </w:rPr>
          <w:instrText xml:space="preserve"> PAGEREF _Toc10703511 \h </w:instrText>
        </w:r>
        <w:r w:rsidR="00EB4B02">
          <w:rPr>
            <w:webHidden/>
          </w:rPr>
        </w:r>
        <w:r w:rsidR="00EB4B02">
          <w:rPr>
            <w:webHidden/>
          </w:rPr>
          <w:fldChar w:fldCharType="separate"/>
        </w:r>
        <w:r w:rsidR="00EB4B02">
          <w:rPr>
            <w:webHidden/>
          </w:rPr>
          <w:t>162</w:t>
        </w:r>
        <w:r w:rsidR="00EB4B02">
          <w:rPr>
            <w:webHidden/>
          </w:rPr>
          <w:fldChar w:fldCharType="end"/>
        </w:r>
      </w:hyperlink>
    </w:p>
    <w:p w14:paraId="2C536CDF" w14:textId="63C9CB30" w:rsidR="00EB4B02" w:rsidRDefault="003C7C88">
      <w:pPr>
        <w:pStyle w:val="TOC2"/>
        <w:rPr>
          <w:rFonts w:asciiTheme="minorHAnsi" w:eastAsiaTheme="minorEastAsia" w:hAnsiTheme="minorHAnsi" w:cstheme="minorBidi"/>
          <w:bCs w:val="0"/>
          <w:sz w:val="22"/>
          <w:szCs w:val="22"/>
          <w:lang w:eastAsia="en-AU"/>
        </w:rPr>
      </w:pPr>
      <w:hyperlink w:anchor="_Toc10703512" w:history="1">
        <w:r w:rsidR="00EB4B02" w:rsidRPr="00A43E67">
          <w:rPr>
            <w:rStyle w:val="Hyperlink"/>
          </w:rPr>
          <w:t>15.1</w:t>
        </w:r>
        <w:r w:rsidR="00EB4B02">
          <w:rPr>
            <w:rFonts w:asciiTheme="minorHAnsi" w:eastAsiaTheme="minorEastAsia" w:hAnsiTheme="minorHAnsi" w:cstheme="minorBidi"/>
            <w:bCs w:val="0"/>
            <w:sz w:val="22"/>
            <w:szCs w:val="22"/>
            <w:lang w:eastAsia="en-AU"/>
          </w:rPr>
          <w:tab/>
        </w:r>
        <w:r w:rsidR="00EB4B02" w:rsidRPr="00A43E67">
          <w:rPr>
            <w:rStyle w:val="Hyperlink"/>
          </w:rPr>
          <w:t>Projected Cost Recovery</w:t>
        </w:r>
        <w:r w:rsidR="00EB4B02">
          <w:rPr>
            <w:webHidden/>
          </w:rPr>
          <w:tab/>
        </w:r>
        <w:r w:rsidR="00EB4B02">
          <w:rPr>
            <w:webHidden/>
          </w:rPr>
          <w:fldChar w:fldCharType="begin"/>
        </w:r>
        <w:r w:rsidR="00EB4B02">
          <w:rPr>
            <w:webHidden/>
          </w:rPr>
          <w:instrText xml:space="preserve"> PAGEREF _Toc10703512 \h </w:instrText>
        </w:r>
        <w:r w:rsidR="00EB4B02">
          <w:rPr>
            <w:webHidden/>
          </w:rPr>
        </w:r>
        <w:r w:rsidR="00EB4B02">
          <w:rPr>
            <w:webHidden/>
          </w:rPr>
          <w:fldChar w:fldCharType="separate"/>
        </w:r>
        <w:r w:rsidR="00EB4B02">
          <w:rPr>
            <w:webHidden/>
          </w:rPr>
          <w:t>162</w:t>
        </w:r>
        <w:r w:rsidR="00EB4B02">
          <w:rPr>
            <w:webHidden/>
          </w:rPr>
          <w:fldChar w:fldCharType="end"/>
        </w:r>
      </w:hyperlink>
    </w:p>
    <w:p w14:paraId="1784717E" w14:textId="4C1930C7" w:rsidR="00EB4B02" w:rsidRDefault="003C7C88">
      <w:pPr>
        <w:pStyle w:val="TOC2"/>
        <w:rPr>
          <w:rFonts w:asciiTheme="minorHAnsi" w:eastAsiaTheme="minorEastAsia" w:hAnsiTheme="minorHAnsi" w:cstheme="minorBidi"/>
          <w:bCs w:val="0"/>
          <w:sz w:val="22"/>
          <w:szCs w:val="22"/>
          <w:lang w:eastAsia="en-AU"/>
        </w:rPr>
      </w:pPr>
      <w:hyperlink w:anchor="_Toc10703513" w:history="1">
        <w:r w:rsidR="00EB4B02" w:rsidRPr="00A43E67">
          <w:rPr>
            <w:rStyle w:val="Hyperlink"/>
          </w:rPr>
          <w:t>15.2</w:t>
        </w:r>
        <w:r w:rsidR="00EB4B02">
          <w:rPr>
            <w:rFonts w:asciiTheme="minorHAnsi" w:eastAsiaTheme="minorEastAsia" w:hAnsiTheme="minorHAnsi" w:cstheme="minorBidi"/>
            <w:bCs w:val="0"/>
            <w:sz w:val="22"/>
            <w:szCs w:val="22"/>
            <w:lang w:eastAsia="en-AU"/>
          </w:rPr>
          <w:tab/>
        </w:r>
        <w:r w:rsidR="00EB4B02" w:rsidRPr="00A43E67">
          <w:rPr>
            <w:rStyle w:val="Hyperlink"/>
          </w:rPr>
          <w:t>Licence and Learner Permit Administration</w:t>
        </w:r>
        <w:r w:rsidR="00EB4B02">
          <w:rPr>
            <w:webHidden/>
          </w:rPr>
          <w:tab/>
        </w:r>
        <w:r w:rsidR="00EB4B02">
          <w:rPr>
            <w:webHidden/>
          </w:rPr>
          <w:fldChar w:fldCharType="begin"/>
        </w:r>
        <w:r w:rsidR="00EB4B02">
          <w:rPr>
            <w:webHidden/>
          </w:rPr>
          <w:instrText xml:space="preserve"> PAGEREF _Toc10703513 \h </w:instrText>
        </w:r>
        <w:r w:rsidR="00EB4B02">
          <w:rPr>
            <w:webHidden/>
          </w:rPr>
        </w:r>
        <w:r w:rsidR="00EB4B02">
          <w:rPr>
            <w:webHidden/>
          </w:rPr>
          <w:fldChar w:fldCharType="separate"/>
        </w:r>
        <w:r w:rsidR="00EB4B02">
          <w:rPr>
            <w:webHidden/>
          </w:rPr>
          <w:t>163</w:t>
        </w:r>
        <w:r w:rsidR="00EB4B02">
          <w:rPr>
            <w:webHidden/>
          </w:rPr>
          <w:fldChar w:fldCharType="end"/>
        </w:r>
      </w:hyperlink>
    </w:p>
    <w:p w14:paraId="4F02B761" w14:textId="56A83593" w:rsidR="00EB4B02" w:rsidRDefault="003C7C88">
      <w:pPr>
        <w:pStyle w:val="TOC3"/>
        <w:rPr>
          <w:rFonts w:asciiTheme="minorHAnsi" w:eastAsiaTheme="minorEastAsia" w:hAnsiTheme="minorHAnsi" w:cstheme="minorBidi"/>
          <w:sz w:val="22"/>
          <w:szCs w:val="22"/>
          <w:lang w:eastAsia="en-AU"/>
        </w:rPr>
      </w:pPr>
      <w:hyperlink w:anchor="_Toc10703514" w:history="1">
        <w:r w:rsidR="00EB4B02" w:rsidRPr="00A43E67">
          <w:rPr>
            <w:rStyle w:val="Hyperlink"/>
            <w14:scene3d>
              <w14:camera w14:prst="orthographicFront"/>
              <w14:lightRig w14:rig="threePt" w14:dir="t">
                <w14:rot w14:lat="0" w14:lon="0" w14:rev="0"/>
              </w14:lightRig>
            </w14:scene3d>
          </w:rPr>
          <w:t>15.2.1</w:t>
        </w:r>
        <w:r w:rsidR="00EB4B02">
          <w:rPr>
            <w:rFonts w:asciiTheme="minorHAnsi" w:eastAsiaTheme="minorEastAsia" w:hAnsiTheme="minorHAnsi" w:cstheme="minorBidi"/>
            <w:sz w:val="22"/>
            <w:szCs w:val="22"/>
            <w:lang w:eastAsia="en-AU"/>
          </w:rPr>
          <w:tab/>
        </w:r>
        <w:r w:rsidR="00EB4B02" w:rsidRPr="00A43E67">
          <w:rPr>
            <w:rStyle w:val="Hyperlink"/>
          </w:rPr>
          <w:t>Service Overview</w:t>
        </w:r>
        <w:r w:rsidR="00EB4B02">
          <w:rPr>
            <w:webHidden/>
          </w:rPr>
          <w:tab/>
        </w:r>
        <w:r w:rsidR="00EB4B02">
          <w:rPr>
            <w:webHidden/>
          </w:rPr>
          <w:fldChar w:fldCharType="begin"/>
        </w:r>
        <w:r w:rsidR="00EB4B02">
          <w:rPr>
            <w:webHidden/>
          </w:rPr>
          <w:instrText xml:space="preserve"> PAGEREF _Toc10703514 \h </w:instrText>
        </w:r>
        <w:r w:rsidR="00EB4B02">
          <w:rPr>
            <w:webHidden/>
          </w:rPr>
        </w:r>
        <w:r w:rsidR="00EB4B02">
          <w:rPr>
            <w:webHidden/>
          </w:rPr>
          <w:fldChar w:fldCharType="separate"/>
        </w:r>
        <w:r w:rsidR="00EB4B02">
          <w:rPr>
            <w:webHidden/>
          </w:rPr>
          <w:t>163</w:t>
        </w:r>
        <w:r w:rsidR="00EB4B02">
          <w:rPr>
            <w:webHidden/>
          </w:rPr>
          <w:fldChar w:fldCharType="end"/>
        </w:r>
      </w:hyperlink>
    </w:p>
    <w:p w14:paraId="3641DE74" w14:textId="66892CD7" w:rsidR="00EB4B02" w:rsidRDefault="003C7C88">
      <w:pPr>
        <w:pStyle w:val="TOC3"/>
        <w:rPr>
          <w:rFonts w:asciiTheme="minorHAnsi" w:eastAsiaTheme="minorEastAsia" w:hAnsiTheme="minorHAnsi" w:cstheme="minorBidi"/>
          <w:sz w:val="22"/>
          <w:szCs w:val="22"/>
          <w:lang w:eastAsia="en-AU"/>
        </w:rPr>
      </w:pPr>
      <w:hyperlink w:anchor="_Toc10703515" w:history="1">
        <w:r w:rsidR="00EB4B02" w:rsidRPr="00A43E67">
          <w:rPr>
            <w:rStyle w:val="Hyperlink"/>
            <w14:scene3d>
              <w14:camera w14:prst="orthographicFront"/>
              <w14:lightRig w14:rig="threePt" w14:dir="t">
                <w14:rot w14:lat="0" w14:lon="0" w14:rev="0"/>
              </w14:lightRig>
            </w14:scene3d>
          </w:rPr>
          <w:t>15.2.2</w:t>
        </w:r>
        <w:r w:rsidR="00EB4B02">
          <w:rPr>
            <w:rFonts w:asciiTheme="minorHAnsi" w:eastAsiaTheme="minorEastAsia" w:hAnsiTheme="minorHAnsi" w:cstheme="minorBidi"/>
            <w:sz w:val="22"/>
            <w:szCs w:val="22"/>
            <w:lang w:eastAsia="en-AU"/>
          </w:rPr>
          <w:tab/>
        </w:r>
        <w:r w:rsidR="00EB4B02" w:rsidRPr="00A43E67">
          <w:rPr>
            <w:rStyle w:val="Hyperlink"/>
          </w:rPr>
          <w:t>Cost Recovery Assessment</w:t>
        </w:r>
        <w:r w:rsidR="00EB4B02">
          <w:rPr>
            <w:webHidden/>
          </w:rPr>
          <w:tab/>
        </w:r>
        <w:r w:rsidR="00EB4B02">
          <w:rPr>
            <w:webHidden/>
          </w:rPr>
          <w:fldChar w:fldCharType="begin"/>
        </w:r>
        <w:r w:rsidR="00EB4B02">
          <w:rPr>
            <w:webHidden/>
          </w:rPr>
          <w:instrText xml:space="preserve"> PAGEREF _Toc10703515 \h </w:instrText>
        </w:r>
        <w:r w:rsidR="00EB4B02">
          <w:rPr>
            <w:webHidden/>
          </w:rPr>
        </w:r>
        <w:r w:rsidR="00EB4B02">
          <w:rPr>
            <w:webHidden/>
          </w:rPr>
          <w:fldChar w:fldCharType="separate"/>
        </w:r>
        <w:r w:rsidR="00EB4B02">
          <w:rPr>
            <w:webHidden/>
          </w:rPr>
          <w:t>166</w:t>
        </w:r>
        <w:r w:rsidR="00EB4B02">
          <w:rPr>
            <w:webHidden/>
          </w:rPr>
          <w:fldChar w:fldCharType="end"/>
        </w:r>
      </w:hyperlink>
    </w:p>
    <w:p w14:paraId="17FFD64B" w14:textId="67CB9330" w:rsidR="00EB4B02" w:rsidRDefault="003C7C88">
      <w:pPr>
        <w:pStyle w:val="TOC3"/>
        <w:rPr>
          <w:rFonts w:asciiTheme="minorHAnsi" w:eastAsiaTheme="minorEastAsia" w:hAnsiTheme="minorHAnsi" w:cstheme="minorBidi"/>
          <w:sz w:val="22"/>
          <w:szCs w:val="22"/>
          <w:lang w:eastAsia="en-AU"/>
        </w:rPr>
      </w:pPr>
      <w:hyperlink w:anchor="_Toc10703516" w:history="1">
        <w:r w:rsidR="00EB4B02" w:rsidRPr="00A43E67">
          <w:rPr>
            <w:rStyle w:val="Hyperlink"/>
            <w14:scene3d>
              <w14:camera w14:prst="orthographicFront"/>
              <w14:lightRig w14:rig="threePt" w14:dir="t">
                <w14:rot w14:lat="0" w14:lon="0" w14:rev="0"/>
              </w14:lightRig>
            </w14:scene3d>
          </w:rPr>
          <w:t>15.2.3</w:t>
        </w:r>
        <w:r w:rsidR="00EB4B02">
          <w:rPr>
            <w:rFonts w:asciiTheme="minorHAnsi" w:eastAsiaTheme="minorEastAsia" w:hAnsiTheme="minorHAnsi" w:cstheme="minorBidi"/>
            <w:sz w:val="22"/>
            <w:szCs w:val="22"/>
            <w:lang w:eastAsia="en-AU"/>
          </w:rPr>
          <w:tab/>
        </w:r>
        <w:r w:rsidR="00EB4B02" w:rsidRPr="00A43E67">
          <w:rPr>
            <w:rStyle w:val="Hyperlink"/>
          </w:rPr>
          <w:t>Proposal</w:t>
        </w:r>
        <w:r w:rsidR="00EB4B02">
          <w:rPr>
            <w:webHidden/>
          </w:rPr>
          <w:tab/>
        </w:r>
        <w:r w:rsidR="00EB4B02">
          <w:rPr>
            <w:webHidden/>
          </w:rPr>
          <w:fldChar w:fldCharType="begin"/>
        </w:r>
        <w:r w:rsidR="00EB4B02">
          <w:rPr>
            <w:webHidden/>
          </w:rPr>
          <w:instrText xml:space="preserve"> PAGEREF _Toc10703516 \h </w:instrText>
        </w:r>
        <w:r w:rsidR="00EB4B02">
          <w:rPr>
            <w:webHidden/>
          </w:rPr>
        </w:r>
        <w:r w:rsidR="00EB4B02">
          <w:rPr>
            <w:webHidden/>
          </w:rPr>
          <w:fldChar w:fldCharType="separate"/>
        </w:r>
        <w:r w:rsidR="00EB4B02">
          <w:rPr>
            <w:webHidden/>
          </w:rPr>
          <w:t>167</w:t>
        </w:r>
        <w:r w:rsidR="00EB4B02">
          <w:rPr>
            <w:webHidden/>
          </w:rPr>
          <w:fldChar w:fldCharType="end"/>
        </w:r>
      </w:hyperlink>
    </w:p>
    <w:p w14:paraId="4CCCC008" w14:textId="58A1E6DD" w:rsidR="00EB4B02" w:rsidRDefault="003C7C88">
      <w:pPr>
        <w:pStyle w:val="TOC2"/>
        <w:rPr>
          <w:rFonts w:asciiTheme="minorHAnsi" w:eastAsiaTheme="minorEastAsia" w:hAnsiTheme="minorHAnsi" w:cstheme="minorBidi"/>
          <w:bCs w:val="0"/>
          <w:sz w:val="22"/>
          <w:szCs w:val="22"/>
          <w:lang w:eastAsia="en-AU"/>
        </w:rPr>
      </w:pPr>
      <w:hyperlink w:anchor="_Toc10703517" w:history="1">
        <w:r w:rsidR="00EB4B02" w:rsidRPr="00A43E67">
          <w:rPr>
            <w:rStyle w:val="Hyperlink"/>
          </w:rPr>
          <w:t>15.3</w:t>
        </w:r>
        <w:r w:rsidR="00EB4B02">
          <w:rPr>
            <w:rFonts w:asciiTheme="minorHAnsi" w:eastAsiaTheme="minorEastAsia" w:hAnsiTheme="minorHAnsi" w:cstheme="minorBidi"/>
            <w:bCs w:val="0"/>
            <w:sz w:val="22"/>
            <w:szCs w:val="22"/>
            <w:lang w:eastAsia="en-AU"/>
          </w:rPr>
          <w:tab/>
        </w:r>
        <w:r w:rsidR="00EB4B02" w:rsidRPr="00A43E67">
          <w:rPr>
            <w:rStyle w:val="Hyperlink"/>
          </w:rPr>
          <w:t>Medical fitness-to-drive review</w:t>
        </w:r>
        <w:r w:rsidR="00EB4B02">
          <w:rPr>
            <w:webHidden/>
          </w:rPr>
          <w:tab/>
        </w:r>
        <w:r w:rsidR="00EB4B02">
          <w:rPr>
            <w:webHidden/>
          </w:rPr>
          <w:fldChar w:fldCharType="begin"/>
        </w:r>
        <w:r w:rsidR="00EB4B02">
          <w:rPr>
            <w:webHidden/>
          </w:rPr>
          <w:instrText xml:space="preserve"> PAGEREF _Toc10703517 \h </w:instrText>
        </w:r>
        <w:r w:rsidR="00EB4B02">
          <w:rPr>
            <w:webHidden/>
          </w:rPr>
        </w:r>
        <w:r w:rsidR="00EB4B02">
          <w:rPr>
            <w:webHidden/>
          </w:rPr>
          <w:fldChar w:fldCharType="separate"/>
        </w:r>
        <w:r w:rsidR="00EB4B02">
          <w:rPr>
            <w:webHidden/>
          </w:rPr>
          <w:t>168</w:t>
        </w:r>
        <w:r w:rsidR="00EB4B02">
          <w:rPr>
            <w:webHidden/>
          </w:rPr>
          <w:fldChar w:fldCharType="end"/>
        </w:r>
      </w:hyperlink>
    </w:p>
    <w:p w14:paraId="65EFC301" w14:textId="09C74575" w:rsidR="00EB4B02" w:rsidRDefault="003C7C88">
      <w:pPr>
        <w:pStyle w:val="TOC3"/>
        <w:rPr>
          <w:rFonts w:asciiTheme="minorHAnsi" w:eastAsiaTheme="minorEastAsia" w:hAnsiTheme="minorHAnsi" w:cstheme="minorBidi"/>
          <w:sz w:val="22"/>
          <w:szCs w:val="22"/>
          <w:lang w:eastAsia="en-AU"/>
        </w:rPr>
      </w:pPr>
      <w:hyperlink w:anchor="_Toc10703518" w:history="1">
        <w:r w:rsidR="00EB4B02" w:rsidRPr="00A43E67">
          <w:rPr>
            <w:rStyle w:val="Hyperlink"/>
            <w14:scene3d>
              <w14:camera w14:prst="orthographicFront"/>
              <w14:lightRig w14:rig="threePt" w14:dir="t">
                <w14:rot w14:lat="0" w14:lon="0" w14:rev="0"/>
              </w14:lightRig>
            </w14:scene3d>
          </w:rPr>
          <w:t>15.3.1</w:t>
        </w:r>
        <w:r w:rsidR="00EB4B02">
          <w:rPr>
            <w:rFonts w:asciiTheme="minorHAnsi" w:eastAsiaTheme="minorEastAsia" w:hAnsiTheme="minorHAnsi" w:cstheme="minorBidi"/>
            <w:sz w:val="22"/>
            <w:szCs w:val="22"/>
            <w:lang w:eastAsia="en-AU"/>
          </w:rPr>
          <w:tab/>
        </w:r>
        <w:r w:rsidR="00EB4B02" w:rsidRPr="00A43E67">
          <w:rPr>
            <w:rStyle w:val="Hyperlink"/>
          </w:rPr>
          <w:t>Service Overview</w:t>
        </w:r>
        <w:r w:rsidR="00EB4B02">
          <w:rPr>
            <w:webHidden/>
          </w:rPr>
          <w:tab/>
        </w:r>
        <w:r w:rsidR="00EB4B02">
          <w:rPr>
            <w:webHidden/>
          </w:rPr>
          <w:fldChar w:fldCharType="begin"/>
        </w:r>
        <w:r w:rsidR="00EB4B02">
          <w:rPr>
            <w:webHidden/>
          </w:rPr>
          <w:instrText xml:space="preserve"> PAGEREF _Toc10703518 \h </w:instrText>
        </w:r>
        <w:r w:rsidR="00EB4B02">
          <w:rPr>
            <w:webHidden/>
          </w:rPr>
        </w:r>
        <w:r w:rsidR="00EB4B02">
          <w:rPr>
            <w:webHidden/>
          </w:rPr>
          <w:fldChar w:fldCharType="separate"/>
        </w:r>
        <w:r w:rsidR="00EB4B02">
          <w:rPr>
            <w:webHidden/>
          </w:rPr>
          <w:t>168</w:t>
        </w:r>
        <w:r w:rsidR="00EB4B02">
          <w:rPr>
            <w:webHidden/>
          </w:rPr>
          <w:fldChar w:fldCharType="end"/>
        </w:r>
      </w:hyperlink>
    </w:p>
    <w:p w14:paraId="3A18DDDF" w14:textId="6CE46A67" w:rsidR="00EB4B02" w:rsidRDefault="003C7C88">
      <w:pPr>
        <w:pStyle w:val="TOC3"/>
        <w:rPr>
          <w:rFonts w:asciiTheme="minorHAnsi" w:eastAsiaTheme="minorEastAsia" w:hAnsiTheme="minorHAnsi" w:cstheme="minorBidi"/>
          <w:sz w:val="22"/>
          <w:szCs w:val="22"/>
          <w:lang w:eastAsia="en-AU"/>
        </w:rPr>
      </w:pPr>
      <w:hyperlink w:anchor="_Toc10703519" w:history="1">
        <w:r w:rsidR="00EB4B02" w:rsidRPr="00A43E67">
          <w:rPr>
            <w:rStyle w:val="Hyperlink"/>
            <w14:scene3d>
              <w14:camera w14:prst="orthographicFront"/>
              <w14:lightRig w14:rig="threePt" w14:dir="t">
                <w14:rot w14:lat="0" w14:lon="0" w14:rev="0"/>
              </w14:lightRig>
            </w14:scene3d>
          </w:rPr>
          <w:t>15.3.2</w:t>
        </w:r>
        <w:r w:rsidR="00EB4B02">
          <w:rPr>
            <w:rFonts w:asciiTheme="minorHAnsi" w:eastAsiaTheme="minorEastAsia" w:hAnsiTheme="minorHAnsi" w:cstheme="minorBidi"/>
            <w:sz w:val="22"/>
            <w:szCs w:val="22"/>
            <w:lang w:eastAsia="en-AU"/>
          </w:rPr>
          <w:tab/>
        </w:r>
        <w:r w:rsidR="00EB4B02" w:rsidRPr="00A43E67">
          <w:rPr>
            <w:rStyle w:val="Hyperlink"/>
          </w:rPr>
          <w:t>Cost Recovery Assessment</w:t>
        </w:r>
        <w:r w:rsidR="00EB4B02">
          <w:rPr>
            <w:webHidden/>
          </w:rPr>
          <w:tab/>
        </w:r>
        <w:r w:rsidR="00EB4B02">
          <w:rPr>
            <w:webHidden/>
          </w:rPr>
          <w:fldChar w:fldCharType="begin"/>
        </w:r>
        <w:r w:rsidR="00EB4B02">
          <w:rPr>
            <w:webHidden/>
          </w:rPr>
          <w:instrText xml:space="preserve"> PAGEREF _Toc10703519 \h </w:instrText>
        </w:r>
        <w:r w:rsidR="00EB4B02">
          <w:rPr>
            <w:webHidden/>
          </w:rPr>
        </w:r>
        <w:r w:rsidR="00EB4B02">
          <w:rPr>
            <w:webHidden/>
          </w:rPr>
          <w:fldChar w:fldCharType="separate"/>
        </w:r>
        <w:r w:rsidR="00EB4B02">
          <w:rPr>
            <w:webHidden/>
          </w:rPr>
          <w:t>169</w:t>
        </w:r>
        <w:r w:rsidR="00EB4B02">
          <w:rPr>
            <w:webHidden/>
          </w:rPr>
          <w:fldChar w:fldCharType="end"/>
        </w:r>
      </w:hyperlink>
    </w:p>
    <w:p w14:paraId="67048C0D" w14:textId="5175D590" w:rsidR="00EB4B02" w:rsidRDefault="003C7C88">
      <w:pPr>
        <w:pStyle w:val="TOC3"/>
        <w:rPr>
          <w:rFonts w:asciiTheme="minorHAnsi" w:eastAsiaTheme="minorEastAsia" w:hAnsiTheme="minorHAnsi" w:cstheme="minorBidi"/>
          <w:sz w:val="22"/>
          <w:szCs w:val="22"/>
          <w:lang w:eastAsia="en-AU"/>
        </w:rPr>
      </w:pPr>
      <w:hyperlink w:anchor="_Toc10703520" w:history="1">
        <w:r w:rsidR="00EB4B02" w:rsidRPr="00A43E67">
          <w:rPr>
            <w:rStyle w:val="Hyperlink"/>
            <w14:scene3d>
              <w14:camera w14:prst="orthographicFront"/>
              <w14:lightRig w14:rig="threePt" w14:dir="t">
                <w14:rot w14:lat="0" w14:lon="0" w14:rev="0"/>
              </w14:lightRig>
            </w14:scene3d>
          </w:rPr>
          <w:t>15.3.3</w:t>
        </w:r>
        <w:r w:rsidR="00EB4B02">
          <w:rPr>
            <w:rFonts w:asciiTheme="minorHAnsi" w:eastAsiaTheme="minorEastAsia" w:hAnsiTheme="minorHAnsi" w:cstheme="minorBidi"/>
            <w:sz w:val="22"/>
            <w:szCs w:val="22"/>
            <w:lang w:eastAsia="en-AU"/>
          </w:rPr>
          <w:tab/>
        </w:r>
        <w:r w:rsidR="00EB4B02" w:rsidRPr="00A43E67">
          <w:rPr>
            <w:rStyle w:val="Hyperlink"/>
          </w:rPr>
          <w:t>Proposal</w:t>
        </w:r>
        <w:r w:rsidR="00EB4B02">
          <w:rPr>
            <w:webHidden/>
          </w:rPr>
          <w:tab/>
        </w:r>
        <w:r w:rsidR="00EB4B02">
          <w:rPr>
            <w:webHidden/>
          </w:rPr>
          <w:fldChar w:fldCharType="begin"/>
        </w:r>
        <w:r w:rsidR="00EB4B02">
          <w:rPr>
            <w:webHidden/>
          </w:rPr>
          <w:instrText xml:space="preserve"> PAGEREF _Toc10703520 \h </w:instrText>
        </w:r>
        <w:r w:rsidR="00EB4B02">
          <w:rPr>
            <w:webHidden/>
          </w:rPr>
        </w:r>
        <w:r w:rsidR="00EB4B02">
          <w:rPr>
            <w:webHidden/>
          </w:rPr>
          <w:fldChar w:fldCharType="separate"/>
        </w:r>
        <w:r w:rsidR="00EB4B02">
          <w:rPr>
            <w:webHidden/>
          </w:rPr>
          <w:t>169</w:t>
        </w:r>
        <w:r w:rsidR="00EB4B02">
          <w:rPr>
            <w:webHidden/>
          </w:rPr>
          <w:fldChar w:fldCharType="end"/>
        </w:r>
      </w:hyperlink>
    </w:p>
    <w:p w14:paraId="347DB8F9" w14:textId="0C4E330A" w:rsidR="00EB4B02" w:rsidRDefault="003C7C88">
      <w:pPr>
        <w:pStyle w:val="TOC2"/>
        <w:rPr>
          <w:rFonts w:asciiTheme="minorHAnsi" w:eastAsiaTheme="minorEastAsia" w:hAnsiTheme="minorHAnsi" w:cstheme="minorBidi"/>
          <w:bCs w:val="0"/>
          <w:sz w:val="22"/>
          <w:szCs w:val="22"/>
          <w:lang w:eastAsia="en-AU"/>
        </w:rPr>
      </w:pPr>
      <w:hyperlink w:anchor="_Toc10703521" w:history="1">
        <w:r w:rsidR="00EB4B02" w:rsidRPr="00A43E67">
          <w:rPr>
            <w:rStyle w:val="Hyperlink"/>
          </w:rPr>
          <w:t>15.4</w:t>
        </w:r>
        <w:r w:rsidR="00EB4B02">
          <w:rPr>
            <w:rFonts w:asciiTheme="minorHAnsi" w:eastAsiaTheme="minorEastAsia" w:hAnsiTheme="minorHAnsi" w:cstheme="minorBidi"/>
            <w:bCs w:val="0"/>
            <w:sz w:val="22"/>
            <w:szCs w:val="22"/>
            <w:lang w:eastAsia="en-AU"/>
          </w:rPr>
          <w:tab/>
        </w:r>
        <w:r w:rsidR="00EB4B02" w:rsidRPr="00A43E67">
          <w:rPr>
            <w:rStyle w:val="Hyperlink"/>
          </w:rPr>
          <w:t>Learner Permit and Licence Testing</w:t>
        </w:r>
        <w:r w:rsidR="00EB4B02">
          <w:rPr>
            <w:webHidden/>
          </w:rPr>
          <w:tab/>
        </w:r>
        <w:r w:rsidR="00EB4B02">
          <w:rPr>
            <w:webHidden/>
          </w:rPr>
          <w:fldChar w:fldCharType="begin"/>
        </w:r>
        <w:r w:rsidR="00EB4B02">
          <w:rPr>
            <w:webHidden/>
          </w:rPr>
          <w:instrText xml:space="preserve"> PAGEREF _Toc10703521 \h </w:instrText>
        </w:r>
        <w:r w:rsidR="00EB4B02">
          <w:rPr>
            <w:webHidden/>
          </w:rPr>
        </w:r>
        <w:r w:rsidR="00EB4B02">
          <w:rPr>
            <w:webHidden/>
          </w:rPr>
          <w:fldChar w:fldCharType="separate"/>
        </w:r>
        <w:r w:rsidR="00EB4B02">
          <w:rPr>
            <w:webHidden/>
          </w:rPr>
          <w:t>170</w:t>
        </w:r>
        <w:r w:rsidR="00EB4B02">
          <w:rPr>
            <w:webHidden/>
          </w:rPr>
          <w:fldChar w:fldCharType="end"/>
        </w:r>
      </w:hyperlink>
    </w:p>
    <w:p w14:paraId="562DF1A9" w14:textId="00BB9904" w:rsidR="00EB4B02" w:rsidRDefault="003C7C88">
      <w:pPr>
        <w:pStyle w:val="TOC3"/>
        <w:rPr>
          <w:rFonts w:asciiTheme="minorHAnsi" w:eastAsiaTheme="minorEastAsia" w:hAnsiTheme="minorHAnsi" w:cstheme="minorBidi"/>
          <w:sz w:val="22"/>
          <w:szCs w:val="22"/>
          <w:lang w:eastAsia="en-AU"/>
        </w:rPr>
      </w:pPr>
      <w:hyperlink w:anchor="_Toc10703522" w:history="1">
        <w:r w:rsidR="00EB4B02" w:rsidRPr="00A43E67">
          <w:rPr>
            <w:rStyle w:val="Hyperlink"/>
            <w14:scene3d>
              <w14:camera w14:prst="orthographicFront"/>
              <w14:lightRig w14:rig="threePt" w14:dir="t">
                <w14:rot w14:lat="0" w14:lon="0" w14:rev="0"/>
              </w14:lightRig>
            </w14:scene3d>
          </w:rPr>
          <w:t>15.4.1</w:t>
        </w:r>
        <w:r w:rsidR="00EB4B02">
          <w:rPr>
            <w:rFonts w:asciiTheme="minorHAnsi" w:eastAsiaTheme="minorEastAsia" w:hAnsiTheme="minorHAnsi" w:cstheme="minorBidi"/>
            <w:sz w:val="22"/>
            <w:szCs w:val="22"/>
            <w:lang w:eastAsia="en-AU"/>
          </w:rPr>
          <w:tab/>
        </w:r>
        <w:r w:rsidR="00EB4B02" w:rsidRPr="00A43E67">
          <w:rPr>
            <w:rStyle w:val="Hyperlink"/>
          </w:rPr>
          <w:t>Service Overview</w:t>
        </w:r>
        <w:r w:rsidR="00EB4B02">
          <w:rPr>
            <w:webHidden/>
          </w:rPr>
          <w:tab/>
        </w:r>
        <w:r w:rsidR="00EB4B02">
          <w:rPr>
            <w:webHidden/>
          </w:rPr>
          <w:fldChar w:fldCharType="begin"/>
        </w:r>
        <w:r w:rsidR="00EB4B02">
          <w:rPr>
            <w:webHidden/>
          </w:rPr>
          <w:instrText xml:space="preserve"> PAGEREF _Toc10703522 \h </w:instrText>
        </w:r>
        <w:r w:rsidR="00EB4B02">
          <w:rPr>
            <w:webHidden/>
          </w:rPr>
        </w:r>
        <w:r w:rsidR="00EB4B02">
          <w:rPr>
            <w:webHidden/>
          </w:rPr>
          <w:fldChar w:fldCharType="separate"/>
        </w:r>
        <w:r w:rsidR="00EB4B02">
          <w:rPr>
            <w:webHidden/>
          </w:rPr>
          <w:t>170</w:t>
        </w:r>
        <w:r w:rsidR="00EB4B02">
          <w:rPr>
            <w:webHidden/>
          </w:rPr>
          <w:fldChar w:fldCharType="end"/>
        </w:r>
      </w:hyperlink>
    </w:p>
    <w:p w14:paraId="3B9CCBFE" w14:textId="33D0D201" w:rsidR="00EB4B02" w:rsidRDefault="003C7C88">
      <w:pPr>
        <w:pStyle w:val="TOC3"/>
        <w:rPr>
          <w:rFonts w:asciiTheme="minorHAnsi" w:eastAsiaTheme="minorEastAsia" w:hAnsiTheme="minorHAnsi" w:cstheme="minorBidi"/>
          <w:sz w:val="22"/>
          <w:szCs w:val="22"/>
          <w:lang w:eastAsia="en-AU"/>
        </w:rPr>
      </w:pPr>
      <w:hyperlink w:anchor="_Toc10703523" w:history="1">
        <w:r w:rsidR="00EB4B02" w:rsidRPr="00A43E67">
          <w:rPr>
            <w:rStyle w:val="Hyperlink"/>
            <w14:scene3d>
              <w14:camera w14:prst="orthographicFront"/>
              <w14:lightRig w14:rig="threePt" w14:dir="t">
                <w14:rot w14:lat="0" w14:lon="0" w14:rev="0"/>
              </w14:lightRig>
            </w14:scene3d>
          </w:rPr>
          <w:t>15.4.3</w:t>
        </w:r>
        <w:r w:rsidR="00EB4B02">
          <w:rPr>
            <w:rFonts w:asciiTheme="minorHAnsi" w:eastAsiaTheme="minorEastAsia" w:hAnsiTheme="minorHAnsi" w:cstheme="minorBidi"/>
            <w:sz w:val="22"/>
            <w:szCs w:val="22"/>
            <w:lang w:eastAsia="en-AU"/>
          </w:rPr>
          <w:tab/>
        </w:r>
        <w:r w:rsidR="00EB4B02" w:rsidRPr="00A43E67">
          <w:rPr>
            <w:rStyle w:val="Hyperlink"/>
          </w:rPr>
          <w:t>Proposal</w:t>
        </w:r>
        <w:r w:rsidR="00EB4B02">
          <w:rPr>
            <w:webHidden/>
          </w:rPr>
          <w:tab/>
        </w:r>
        <w:r w:rsidR="00EB4B02">
          <w:rPr>
            <w:webHidden/>
          </w:rPr>
          <w:fldChar w:fldCharType="begin"/>
        </w:r>
        <w:r w:rsidR="00EB4B02">
          <w:rPr>
            <w:webHidden/>
          </w:rPr>
          <w:instrText xml:space="preserve"> PAGEREF _Toc10703523 \h </w:instrText>
        </w:r>
        <w:r w:rsidR="00EB4B02">
          <w:rPr>
            <w:webHidden/>
          </w:rPr>
        </w:r>
        <w:r w:rsidR="00EB4B02">
          <w:rPr>
            <w:webHidden/>
          </w:rPr>
          <w:fldChar w:fldCharType="separate"/>
        </w:r>
        <w:r w:rsidR="00EB4B02">
          <w:rPr>
            <w:webHidden/>
          </w:rPr>
          <w:t>174</w:t>
        </w:r>
        <w:r w:rsidR="00EB4B02">
          <w:rPr>
            <w:webHidden/>
          </w:rPr>
          <w:fldChar w:fldCharType="end"/>
        </w:r>
      </w:hyperlink>
    </w:p>
    <w:p w14:paraId="094AA2D2" w14:textId="2B8517F1" w:rsidR="00EB4B02" w:rsidRDefault="003C7C88">
      <w:pPr>
        <w:pStyle w:val="TOC2"/>
        <w:rPr>
          <w:rFonts w:asciiTheme="minorHAnsi" w:eastAsiaTheme="minorEastAsia" w:hAnsiTheme="minorHAnsi" w:cstheme="minorBidi"/>
          <w:bCs w:val="0"/>
          <w:sz w:val="22"/>
          <w:szCs w:val="22"/>
          <w:lang w:eastAsia="en-AU"/>
        </w:rPr>
      </w:pPr>
      <w:hyperlink w:anchor="_Toc10703524" w:history="1">
        <w:r w:rsidR="00EB4B02" w:rsidRPr="00A43E67">
          <w:rPr>
            <w:rStyle w:val="Hyperlink"/>
          </w:rPr>
          <w:t>15.5</w:t>
        </w:r>
        <w:r w:rsidR="00EB4B02">
          <w:rPr>
            <w:rFonts w:asciiTheme="minorHAnsi" w:eastAsiaTheme="minorEastAsia" w:hAnsiTheme="minorHAnsi" w:cstheme="minorBidi"/>
            <w:bCs w:val="0"/>
            <w:sz w:val="22"/>
            <w:szCs w:val="22"/>
            <w:lang w:eastAsia="en-AU"/>
          </w:rPr>
          <w:tab/>
        </w:r>
        <w:r w:rsidR="00EB4B02" w:rsidRPr="00A43E67">
          <w:rPr>
            <w:rStyle w:val="Hyperlink"/>
          </w:rPr>
          <w:t>Driver Behaviour Management – Sanctions</w:t>
        </w:r>
        <w:r w:rsidR="00EB4B02">
          <w:rPr>
            <w:webHidden/>
          </w:rPr>
          <w:tab/>
        </w:r>
        <w:r w:rsidR="00EB4B02">
          <w:rPr>
            <w:webHidden/>
          </w:rPr>
          <w:fldChar w:fldCharType="begin"/>
        </w:r>
        <w:r w:rsidR="00EB4B02">
          <w:rPr>
            <w:webHidden/>
          </w:rPr>
          <w:instrText xml:space="preserve"> PAGEREF _Toc10703524 \h </w:instrText>
        </w:r>
        <w:r w:rsidR="00EB4B02">
          <w:rPr>
            <w:webHidden/>
          </w:rPr>
        </w:r>
        <w:r w:rsidR="00EB4B02">
          <w:rPr>
            <w:webHidden/>
          </w:rPr>
          <w:fldChar w:fldCharType="separate"/>
        </w:r>
        <w:r w:rsidR="00EB4B02">
          <w:rPr>
            <w:webHidden/>
          </w:rPr>
          <w:t>175</w:t>
        </w:r>
        <w:r w:rsidR="00EB4B02">
          <w:rPr>
            <w:webHidden/>
          </w:rPr>
          <w:fldChar w:fldCharType="end"/>
        </w:r>
      </w:hyperlink>
    </w:p>
    <w:p w14:paraId="0F551A13" w14:textId="65888D47" w:rsidR="00EB4B02" w:rsidRDefault="003C7C88">
      <w:pPr>
        <w:pStyle w:val="TOC3"/>
        <w:rPr>
          <w:rFonts w:asciiTheme="minorHAnsi" w:eastAsiaTheme="minorEastAsia" w:hAnsiTheme="minorHAnsi" w:cstheme="minorBidi"/>
          <w:sz w:val="22"/>
          <w:szCs w:val="22"/>
          <w:lang w:eastAsia="en-AU"/>
        </w:rPr>
      </w:pPr>
      <w:hyperlink w:anchor="_Toc10703525" w:history="1">
        <w:r w:rsidR="00EB4B02" w:rsidRPr="00A43E67">
          <w:rPr>
            <w:rStyle w:val="Hyperlink"/>
            <w14:scene3d>
              <w14:camera w14:prst="orthographicFront"/>
              <w14:lightRig w14:rig="threePt" w14:dir="t">
                <w14:rot w14:lat="0" w14:lon="0" w14:rev="0"/>
              </w14:lightRig>
            </w14:scene3d>
          </w:rPr>
          <w:t>15.5.1</w:t>
        </w:r>
        <w:r w:rsidR="00EB4B02">
          <w:rPr>
            <w:rFonts w:asciiTheme="minorHAnsi" w:eastAsiaTheme="minorEastAsia" w:hAnsiTheme="minorHAnsi" w:cstheme="minorBidi"/>
            <w:sz w:val="22"/>
            <w:szCs w:val="22"/>
            <w:lang w:eastAsia="en-AU"/>
          </w:rPr>
          <w:tab/>
        </w:r>
        <w:r w:rsidR="00EB4B02" w:rsidRPr="00A43E67">
          <w:rPr>
            <w:rStyle w:val="Hyperlink"/>
          </w:rPr>
          <w:t>Service Overview</w:t>
        </w:r>
        <w:r w:rsidR="00EB4B02">
          <w:rPr>
            <w:webHidden/>
          </w:rPr>
          <w:tab/>
        </w:r>
        <w:r w:rsidR="00EB4B02">
          <w:rPr>
            <w:webHidden/>
          </w:rPr>
          <w:fldChar w:fldCharType="begin"/>
        </w:r>
        <w:r w:rsidR="00EB4B02">
          <w:rPr>
            <w:webHidden/>
          </w:rPr>
          <w:instrText xml:space="preserve"> PAGEREF _Toc10703525 \h </w:instrText>
        </w:r>
        <w:r w:rsidR="00EB4B02">
          <w:rPr>
            <w:webHidden/>
          </w:rPr>
        </w:r>
        <w:r w:rsidR="00EB4B02">
          <w:rPr>
            <w:webHidden/>
          </w:rPr>
          <w:fldChar w:fldCharType="separate"/>
        </w:r>
        <w:r w:rsidR="00EB4B02">
          <w:rPr>
            <w:webHidden/>
          </w:rPr>
          <w:t>175</w:t>
        </w:r>
        <w:r w:rsidR="00EB4B02">
          <w:rPr>
            <w:webHidden/>
          </w:rPr>
          <w:fldChar w:fldCharType="end"/>
        </w:r>
      </w:hyperlink>
    </w:p>
    <w:p w14:paraId="4ED5FED4" w14:textId="44302646" w:rsidR="00EB4B02" w:rsidRDefault="003C7C88">
      <w:pPr>
        <w:pStyle w:val="TOC3"/>
        <w:rPr>
          <w:rFonts w:asciiTheme="minorHAnsi" w:eastAsiaTheme="minorEastAsia" w:hAnsiTheme="minorHAnsi" w:cstheme="minorBidi"/>
          <w:sz w:val="22"/>
          <w:szCs w:val="22"/>
          <w:lang w:eastAsia="en-AU"/>
        </w:rPr>
      </w:pPr>
      <w:hyperlink w:anchor="_Toc10703526" w:history="1">
        <w:r w:rsidR="00EB4B02" w:rsidRPr="00A43E67">
          <w:rPr>
            <w:rStyle w:val="Hyperlink"/>
            <w14:scene3d>
              <w14:camera w14:prst="orthographicFront"/>
              <w14:lightRig w14:rig="threePt" w14:dir="t">
                <w14:rot w14:lat="0" w14:lon="0" w14:rev="0"/>
              </w14:lightRig>
            </w14:scene3d>
          </w:rPr>
          <w:t>15.5.2</w:t>
        </w:r>
        <w:r w:rsidR="00EB4B02">
          <w:rPr>
            <w:rFonts w:asciiTheme="minorHAnsi" w:eastAsiaTheme="minorEastAsia" w:hAnsiTheme="minorHAnsi" w:cstheme="minorBidi"/>
            <w:sz w:val="22"/>
            <w:szCs w:val="22"/>
            <w:lang w:eastAsia="en-AU"/>
          </w:rPr>
          <w:tab/>
        </w:r>
        <w:r w:rsidR="00EB4B02" w:rsidRPr="00A43E67">
          <w:rPr>
            <w:rStyle w:val="Hyperlink"/>
          </w:rPr>
          <w:t>Cost Recovery Assessment</w:t>
        </w:r>
        <w:r w:rsidR="00EB4B02">
          <w:rPr>
            <w:webHidden/>
          </w:rPr>
          <w:tab/>
        </w:r>
        <w:r w:rsidR="00EB4B02">
          <w:rPr>
            <w:webHidden/>
          </w:rPr>
          <w:fldChar w:fldCharType="begin"/>
        </w:r>
        <w:r w:rsidR="00EB4B02">
          <w:rPr>
            <w:webHidden/>
          </w:rPr>
          <w:instrText xml:space="preserve"> PAGEREF _Toc10703526 \h </w:instrText>
        </w:r>
        <w:r w:rsidR="00EB4B02">
          <w:rPr>
            <w:webHidden/>
          </w:rPr>
        </w:r>
        <w:r w:rsidR="00EB4B02">
          <w:rPr>
            <w:webHidden/>
          </w:rPr>
          <w:fldChar w:fldCharType="separate"/>
        </w:r>
        <w:r w:rsidR="00EB4B02">
          <w:rPr>
            <w:webHidden/>
          </w:rPr>
          <w:t>176</w:t>
        </w:r>
        <w:r w:rsidR="00EB4B02">
          <w:rPr>
            <w:webHidden/>
          </w:rPr>
          <w:fldChar w:fldCharType="end"/>
        </w:r>
      </w:hyperlink>
    </w:p>
    <w:p w14:paraId="029DE023" w14:textId="46862E43" w:rsidR="00EB4B02" w:rsidRDefault="003C7C88">
      <w:pPr>
        <w:pStyle w:val="TOC3"/>
        <w:rPr>
          <w:rFonts w:asciiTheme="minorHAnsi" w:eastAsiaTheme="minorEastAsia" w:hAnsiTheme="minorHAnsi" w:cstheme="minorBidi"/>
          <w:sz w:val="22"/>
          <w:szCs w:val="22"/>
          <w:lang w:eastAsia="en-AU"/>
        </w:rPr>
      </w:pPr>
      <w:hyperlink w:anchor="_Toc10703527" w:history="1">
        <w:r w:rsidR="00EB4B02" w:rsidRPr="00A43E67">
          <w:rPr>
            <w:rStyle w:val="Hyperlink"/>
            <w14:scene3d>
              <w14:camera w14:prst="orthographicFront"/>
              <w14:lightRig w14:rig="threePt" w14:dir="t">
                <w14:rot w14:lat="0" w14:lon="0" w14:rev="0"/>
              </w14:lightRig>
            </w14:scene3d>
          </w:rPr>
          <w:t>15.5.3</w:t>
        </w:r>
        <w:r w:rsidR="00EB4B02">
          <w:rPr>
            <w:rFonts w:asciiTheme="minorHAnsi" w:eastAsiaTheme="minorEastAsia" w:hAnsiTheme="minorHAnsi" w:cstheme="minorBidi"/>
            <w:sz w:val="22"/>
            <w:szCs w:val="22"/>
            <w:lang w:eastAsia="en-AU"/>
          </w:rPr>
          <w:tab/>
        </w:r>
        <w:r w:rsidR="00EB4B02" w:rsidRPr="00A43E67">
          <w:rPr>
            <w:rStyle w:val="Hyperlink"/>
          </w:rPr>
          <w:t>Proposal</w:t>
        </w:r>
        <w:r w:rsidR="00EB4B02">
          <w:rPr>
            <w:webHidden/>
          </w:rPr>
          <w:tab/>
        </w:r>
        <w:r w:rsidR="00EB4B02">
          <w:rPr>
            <w:webHidden/>
          </w:rPr>
          <w:fldChar w:fldCharType="begin"/>
        </w:r>
        <w:r w:rsidR="00EB4B02">
          <w:rPr>
            <w:webHidden/>
          </w:rPr>
          <w:instrText xml:space="preserve"> PAGEREF _Toc10703527 \h </w:instrText>
        </w:r>
        <w:r w:rsidR="00EB4B02">
          <w:rPr>
            <w:webHidden/>
          </w:rPr>
        </w:r>
        <w:r w:rsidR="00EB4B02">
          <w:rPr>
            <w:webHidden/>
          </w:rPr>
          <w:fldChar w:fldCharType="separate"/>
        </w:r>
        <w:r w:rsidR="00EB4B02">
          <w:rPr>
            <w:webHidden/>
          </w:rPr>
          <w:t>177</w:t>
        </w:r>
        <w:r w:rsidR="00EB4B02">
          <w:rPr>
            <w:webHidden/>
          </w:rPr>
          <w:fldChar w:fldCharType="end"/>
        </w:r>
      </w:hyperlink>
    </w:p>
    <w:p w14:paraId="7DAC5F60" w14:textId="7EC3BC37" w:rsidR="00EB4B02" w:rsidRDefault="003C7C88">
      <w:pPr>
        <w:pStyle w:val="TOC2"/>
        <w:rPr>
          <w:rFonts w:asciiTheme="minorHAnsi" w:eastAsiaTheme="minorEastAsia" w:hAnsiTheme="minorHAnsi" w:cstheme="minorBidi"/>
          <w:bCs w:val="0"/>
          <w:sz w:val="22"/>
          <w:szCs w:val="22"/>
          <w:lang w:eastAsia="en-AU"/>
        </w:rPr>
      </w:pPr>
      <w:hyperlink w:anchor="_Toc10703528" w:history="1">
        <w:r w:rsidR="00EB4B02" w:rsidRPr="00A43E67">
          <w:rPr>
            <w:rStyle w:val="Hyperlink"/>
          </w:rPr>
          <w:t>15.6</w:t>
        </w:r>
        <w:r w:rsidR="00EB4B02">
          <w:rPr>
            <w:rFonts w:asciiTheme="minorHAnsi" w:eastAsiaTheme="minorEastAsia" w:hAnsiTheme="minorHAnsi" w:cstheme="minorBidi"/>
            <w:bCs w:val="0"/>
            <w:sz w:val="22"/>
            <w:szCs w:val="22"/>
            <w:lang w:eastAsia="en-AU"/>
          </w:rPr>
          <w:tab/>
        </w:r>
        <w:r w:rsidR="00EB4B02" w:rsidRPr="00A43E67">
          <w:rPr>
            <w:rStyle w:val="Hyperlink"/>
          </w:rPr>
          <w:t>Driver Behaviour Management – Alcohol Interlocks</w:t>
        </w:r>
        <w:r w:rsidR="00EB4B02">
          <w:rPr>
            <w:webHidden/>
          </w:rPr>
          <w:tab/>
        </w:r>
        <w:r w:rsidR="00EB4B02">
          <w:rPr>
            <w:webHidden/>
          </w:rPr>
          <w:fldChar w:fldCharType="begin"/>
        </w:r>
        <w:r w:rsidR="00EB4B02">
          <w:rPr>
            <w:webHidden/>
          </w:rPr>
          <w:instrText xml:space="preserve"> PAGEREF _Toc10703528 \h </w:instrText>
        </w:r>
        <w:r w:rsidR="00EB4B02">
          <w:rPr>
            <w:webHidden/>
          </w:rPr>
        </w:r>
        <w:r w:rsidR="00EB4B02">
          <w:rPr>
            <w:webHidden/>
          </w:rPr>
          <w:fldChar w:fldCharType="separate"/>
        </w:r>
        <w:r w:rsidR="00EB4B02">
          <w:rPr>
            <w:webHidden/>
          </w:rPr>
          <w:t>177</w:t>
        </w:r>
        <w:r w:rsidR="00EB4B02">
          <w:rPr>
            <w:webHidden/>
          </w:rPr>
          <w:fldChar w:fldCharType="end"/>
        </w:r>
      </w:hyperlink>
    </w:p>
    <w:p w14:paraId="58D3DCB6" w14:textId="504FB651" w:rsidR="00EB4B02" w:rsidRDefault="003C7C88">
      <w:pPr>
        <w:pStyle w:val="TOC3"/>
        <w:rPr>
          <w:rFonts w:asciiTheme="minorHAnsi" w:eastAsiaTheme="minorEastAsia" w:hAnsiTheme="minorHAnsi" w:cstheme="minorBidi"/>
          <w:sz w:val="22"/>
          <w:szCs w:val="22"/>
          <w:lang w:eastAsia="en-AU"/>
        </w:rPr>
      </w:pPr>
      <w:hyperlink w:anchor="_Toc10703529" w:history="1">
        <w:r w:rsidR="00EB4B02" w:rsidRPr="00A43E67">
          <w:rPr>
            <w:rStyle w:val="Hyperlink"/>
            <w14:scene3d>
              <w14:camera w14:prst="orthographicFront"/>
              <w14:lightRig w14:rig="threePt" w14:dir="t">
                <w14:rot w14:lat="0" w14:lon="0" w14:rev="0"/>
              </w14:lightRig>
            </w14:scene3d>
          </w:rPr>
          <w:t>15.6.1</w:t>
        </w:r>
        <w:r w:rsidR="00EB4B02">
          <w:rPr>
            <w:rFonts w:asciiTheme="minorHAnsi" w:eastAsiaTheme="minorEastAsia" w:hAnsiTheme="minorHAnsi" w:cstheme="minorBidi"/>
            <w:sz w:val="22"/>
            <w:szCs w:val="22"/>
            <w:lang w:eastAsia="en-AU"/>
          </w:rPr>
          <w:tab/>
        </w:r>
        <w:r w:rsidR="00EB4B02" w:rsidRPr="00A43E67">
          <w:rPr>
            <w:rStyle w:val="Hyperlink"/>
          </w:rPr>
          <w:t>Service Overview</w:t>
        </w:r>
        <w:r w:rsidR="00EB4B02">
          <w:rPr>
            <w:webHidden/>
          </w:rPr>
          <w:tab/>
        </w:r>
        <w:r w:rsidR="00EB4B02">
          <w:rPr>
            <w:webHidden/>
          </w:rPr>
          <w:fldChar w:fldCharType="begin"/>
        </w:r>
        <w:r w:rsidR="00EB4B02">
          <w:rPr>
            <w:webHidden/>
          </w:rPr>
          <w:instrText xml:space="preserve"> PAGEREF _Toc10703529 \h </w:instrText>
        </w:r>
        <w:r w:rsidR="00EB4B02">
          <w:rPr>
            <w:webHidden/>
          </w:rPr>
        </w:r>
        <w:r w:rsidR="00EB4B02">
          <w:rPr>
            <w:webHidden/>
          </w:rPr>
          <w:fldChar w:fldCharType="separate"/>
        </w:r>
        <w:r w:rsidR="00EB4B02">
          <w:rPr>
            <w:webHidden/>
          </w:rPr>
          <w:t>177</w:t>
        </w:r>
        <w:r w:rsidR="00EB4B02">
          <w:rPr>
            <w:webHidden/>
          </w:rPr>
          <w:fldChar w:fldCharType="end"/>
        </w:r>
      </w:hyperlink>
    </w:p>
    <w:p w14:paraId="52C7262E" w14:textId="4ACBB422" w:rsidR="00EB4B02" w:rsidRDefault="003C7C88">
      <w:pPr>
        <w:pStyle w:val="TOC3"/>
        <w:rPr>
          <w:rFonts w:asciiTheme="minorHAnsi" w:eastAsiaTheme="minorEastAsia" w:hAnsiTheme="minorHAnsi" w:cstheme="minorBidi"/>
          <w:sz w:val="22"/>
          <w:szCs w:val="22"/>
          <w:lang w:eastAsia="en-AU"/>
        </w:rPr>
      </w:pPr>
      <w:hyperlink w:anchor="_Toc10703530" w:history="1">
        <w:r w:rsidR="00EB4B02" w:rsidRPr="00A43E67">
          <w:rPr>
            <w:rStyle w:val="Hyperlink"/>
            <w14:scene3d>
              <w14:camera w14:prst="orthographicFront"/>
              <w14:lightRig w14:rig="threePt" w14:dir="t">
                <w14:rot w14:lat="0" w14:lon="0" w14:rev="0"/>
              </w14:lightRig>
            </w14:scene3d>
          </w:rPr>
          <w:t>15.6.2</w:t>
        </w:r>
        <w:r w:rsidR="00EB4B02">
          <w:rPr>
            <w:rFonts w:asciiTheme="minorHAnsi" w:eastAsiaTheme="minorEastAsia" w:hAnsiTheme="minorHAnsi" w:cstheme="minorBidi"/>
            <w:sz w:val="22"/>
            <w:szCs w:val="22"/>
            <w:lang w:eastAsia="en-AU"/>
          </w:rPr>
          <w:tab/>
        </w:r>
        <w:r w:rsidR="00EB4B02" w:rsidRPr="00A43E67">
          <w:rPr>
            <w:rStyle w:val="Hyperlink"/>
          </w:rPr>
          <w:t>Cost Recovery Assessment</w:t>
        </w:r>
        <w:r w:rsidR="00EB4B02">
          <w:rPr>
            <w:webHidden/>
          </w:rPr>
          <w:tab/>
        </w:r>
        <w:r w:rsidR="00EB4B02">
          <w:rPr>
            <w:webHidden/>
          </w:rPr>
          <w:fldChar w:fldCharType="begin"/>
        </w:r>
        <w:r w:rsidR="00EB4B02">
          <w:rPr>
            <w:webHidden/>
          </w:rPr>
          <w:instrText xml:space="preserve"> PAGEREF _Toc10703530 \h </w:instrText>
        </w:r>
        <w:r w:rsidR="00EB4B02">
          <w:rPr>
            <w:webHidden/>
          </w:rPr>
        </w:r>
        <w:r w:rsidR="00EB4B02">
          <w:rPr>
            <w:webHidden/>
          </w:rPr>
          <w:fldChar w:fldCharType="separate"/>
        </w:r>
        <w:r w:rsidR="00EB4B02">
          <w:rPr>
            <w:webHidden/>
          </w:rPr>
          <w:t>178</w:t>
        </w:r>
        <w:r w:rsidR="00EB4B02">
          <w:rPr>
            <w:webHidden/>
          </w:rPr>
          <w:fldChar w:fldCharType="end"/>
        </w:r>
      </w:hyperlink>
    </w:p>
    <w:p w14:paraId="3D109A6A" w14:textId="05FFE1BD" w:rsidR="00EB4B02" w:rsidRDefault="003C7C88">
      <w:pPr>
        <w:pStyle w:val="TOC2"/>
        <w:rPr>
          <w:rFonts w:asciiTheme="minorHAnsi" w:eastAsiaTheme="minorEastAsia" w:hAnsiTheme="minorHAnsi" w:cstheme="minorBidi"/>
          <w:bCs w:val="0"/>
          <w:sz w:val="22"/>
          <w:szCs w:val="22"/>
          <w:lang w:eastAsia="en-AU"/>
        </w:rPr>
      </w:pPr>
      <w:hyperlink w:anchor="_Toc10703531" w:history="1">
        <w:r w:rsidR="00EB4B02" w:rsidRPr="00A43E67">
          <w:rPr>
            <w:rStyle w:val="Hyperlink"/>
          </w:rPr>
          <w:t>15.7</w:t>
        </w:r>
        <w:r w:rsidR="00EB4B02">
          <w:rPr>
            <w:rFonts w:asciiTheme="minorHAnsi" w:eastAsiaTheme="minorEastAsia" w:hAnsiTheme="minorHAnsi" w:cstheme="minorBidi"/>
            <w:bCs w:val="0"/>
            <w:sz w:val="22"/>
            <w:szCs w:val="22"/>
            <w:lang w:eastAsia="en-AU"/>
          </w:rPr>
          <w:tab/>
        </w:r>
        <w:r w:rsidR="00EB4B02" w:rsidRPr="00A43E67">
          <w:rPr>
            <w:rStyle w:val="Hyperlink"/>
          </w:rPr>
          <w:t>Information Extracts and Reports</w:t>
        </w:r>
        <w:r w:rsidR="00EB4B02">
          <w:rPr>
            <w:webHidden/>
          </w:rPr>
          <w:tab/>
        </w:r>
        <w:r w:rsidR="00EB4B02">
          <w:rPr>
            <w:webHidden/>
          </w:rPr>
          <w:fldChar w:fldCharType="begin"/>
        </w:r>
        <w:r w:rsidR="00EB4B02">
          <w:rPr>
            <w:webHidden/>
          </w:rPr>
          <w:instrText xml:space="preserve"> PAGEREF _Toc10703531 \h </w:instrText>
        </w:r>
        <w:r w:rsidR="00EB4B02">
          <w:rPr>
            <w:webHidden/>
          </w:rPr>
        </w:r>
        <w:r w:rsidR="00EB4B02">
          <w:rPr>
            <w:webHidden/>
          </w:rPr>
          <w:fldChar w:fldCharType="separate"/>
        </w:r>
        <w:r w:rsidR="00EB4B02">
          <w:rPr>
            <w:webHidden/>
          </w:rPr>
          <w:t>180</w:t>
        </w:r>
        <w:r w:rsidR="00EB4B02">
          <w:rPr>
            <w:webHidden/>
          </w:rPr>
          <w:fldChar w:fldCharType="end"/>
        </w:r>
      </w:hyperlink>
    </w:p>
    <w:p w14:paraId="410096F8" w14:textId="68DB75F4" w:rsidR="00EB4B02" w:rsidRDefault="003C7C88">
      <w:pPr>
        <w:pStyle w:val="TOC3"/>
        <w:rPr>
          <w:rFonts w:asciiTheme="minorHAnsi" w:eastAsiaTheme="minorEastAsia" w:hAnsiTheme="minorHAnsi" w:cstheme="minorBidi"/>
          <w:sz w:val="22"/>
          <w:szCs w:val="22"/>
          <w:lang w:eastAsia="en-AU"/>
        </w:rPr>
      </w:pPr>
      <w:hyperlink w:anchor="_Toc10703532" w:history="1">
        <w:r w:rsidR="00EB4B02" w:rsidRPr="00A43E67">
          <w:rPr>
            <w:rStyle w:val="Hyperlink"/>
            <w14:scene3d>
              <w14:camera w14:prst="orthographicFront"/>
              <w14:lightRig w14:rig="threePt" w14:dir="t">
                <w14:rot w14:lat="0" w14:lon="0" w14:rev="0"/>
              </w14:lightRig>
            </w14:scene3d>
          </w:rPr>
          <w:t>15.7.1</w:t>
        </w:r>
        <w:r w:rsidR="00EB4B02">
          <w:rPr>
            <w:rFonts w:asciiTheme="minorHAnsi" w:eastAsiaTheme="minorEastAsia" w:hAnsiTheme="minorHAnsi" w:cstheme="minorBidi"/>
            <w:sz w:val="22"/>
            <w:szCs w:val="22"/>
            <w:lang w:eastAsia="en-AU"/>
          </w:rPr>
          <w:tab/>
        </w:r>
        <w:r w:rsidR="00EB4B02" w:rsidRPr="00A43E67">
          <w:rPr>
            <w:rStyle w:val="Hyperlink"/>
          </w:rPr>
          <w:t>Service Overview</w:t>
        </w:r>
        <w:r w:rsidR="00EB4B02">
          <w:rPr>
            <w:webHidden/>
          </w:rPr>
          <w:tab/>
        </w:r>
        <w:r w:rsidR="00EB4B02">
          <w:rPr>
            <w:webHidden/>
          </w:rPr>
          <w:fldChar w:fldCharType="begin"/>
        </w:r>
        <w:r w:rsidR="00EB4B02">
          <w:rPr>
            <w:webHidden/>
          </w:rPr>
          <w:instrText xml:space="preserve"> PAGEREF _Toc10703532 \h </w:instrText>
        </w:r>
        <w:r w:rsidR="00EB4B02">
          <w:rPr>
            <w:webHidden/>
          </w:rPr>
        </w:r>
        <w:r w:rsidR="00EB4B02">
          <w:rPr>
            <w:webHidden/>
          </w:rPr>
          <w:fldChar w:fldCharType="separate"/>
        </w:r>
        <w:r w:rsidR="00EB4B02">
          <w:rPr>
            <w:webHidden/>
          </w:rPr>
          <w:t>181</w:t>
        </w:r>
        <w:r w:rsidR="00EB4B02">
          <w:rPr>
            <w:webHidden/>
          </w:rPr>
          <w:fldChar w:fldCharType="end"/>
        </w:r>
      </w:hyperlink>
    </w:p>
    <w:p w14:paraId="4EAC865A" w14:textId="5F3BFC6C" w:rsidR="00EB4B02" w:rsidRDefault="003C7C88">
      <w:pPr>
        <w:pStyle w:val="TOC3"/>
        <w:rPr>
          <w:rFonts w:asciiTheme="minorHAnsi" w:eastAsiaTheme="minorEastAsia" w:hAnsiTheme="minorHAnsi" w:cstheme="minorBidi"/>
          <w:sz w:val="22"/>
          <w:szCs w:val="22"/>
          <w:lang w:eastAsia="en-AU"/>
        </w:rPr>
      </w:pPr>
      <w:hyperlink w:anchor="_Toc10703533" w:history="1">
        <w:r w:rsidR="00EB4B02" w:rsidRPr="00A43E67">
          <w:rPr>
            <w:rStyle w:val="Hyperlink"/>
            <w14:scene3d>
              <w14:camera w14:prst="orthographicFront"/>
              <w14:lightRig w14:rig="threePt" w14:dir="t">
                <w14:rot w14:lat="0" w14:lon="0" w14:rev="0"/>
              </w14:lightRig>
            </w14:scene3d>
          </w:rPr>
          <w:t>15.7.2</w:t>
        </w:r>
        <w:r w:rsidR="00EB4B02">
          <w:rPr>
            <w:rFonts w:asciiTheme="minorHAnsi" w:eastAsiaTheme="minorEastAsia" w:hAnsiTheme="minorHAnsi" w:cstheme="minorBidi"/>
            <w:sz w:val="22"/>
            <w:szCs w:val="22"/>
            <w:lang w:eastAsia="en-AU"/>
          </w:rPr>
          <w:tab/>
        </w:r>
        <w:r w:rsidR="00EB4B02" w:rsidRPr="00A43E67">
          <w:rPr>
            <w:rStyle w:val="Hyperlink"/>
          </w:rPr>
          <w:t>Cost Recovery Assessment</w:t>
        </w:r>
        <w:r w:rsidR="00EB4B02">
          <w:rPr>
            <w:webHidden/>
          </w:rPr>
          <w:tab/>
        </w:r>
        <w:r w:rsidR="00EB4B02">
          <w:rPr>
            <w:webHidden/>
          </w:rPr>
          <w:fldChar w:fldCharType="begin"/>
        </w:r>
        <w:r w:rsidR="00EB4B02">
          <w:rPr>
            <w:webHidden/>
          </w:rPr>
          <w:instrText xml:space="preserve"> PAGEREF _Toc10703533 \h </w:instrText>
        </w:r>
        <w:r w:rsidR="00EB4B02">
          <w:rPr>
            <w:webHidden/>
          </w:rPr>
        </w:r>
        <w:r w:rsidR="00EB4B02">
          <w:rPr>
            <w:webHidden/>
          </w:rPr>
          <w:fldChar w:fldCharType="separate"/>
        </w:r>
        <w:r w:rsidR="00EB4B02">
          <w:rPr>
            <w:webHidden/>
          </w:rPr>
          <w:t>181</w:t>
        </w:r>
        <w:r w:rsidR="00EB4B02">
          <w:rPr>
            <w:webHidden/>
          </w:rPr>
          <w:fldChar w:fldCharType="end"/>
        </w:r>
      </w:hyperlink>
    </w:p>
    <w:p w14:paraId="4BAB17DE" w14:textId="3EB4FE34" w:rsidR="00EB4B02" w:rsidRDefault="003C7C88">
      <w:pPr>
        <w:pStyle w:val="TOC3"/>
        <w:rPr>
          <w:rFonts w:asciiTheme="minorHAnsi" w:eastAsiaTheme="minorEastAsia" w:hAnsiTheme="minorHAnsi" w:cstheme="minorBidi"/>
          <w:sz w:val="22"/>
          <w:szCs w:val="22"/>
          <w:lang w:eastAsia="en-AU"/>
        </w:rPr>
      </w:pPr>
      <w:hyperlink w:anchor="_Toc10703534" w:history="1">
        <w:r w:rsidR="00EB4B02" w:rsidRPr="00A43E67">
          <w:rPr>
            <w:rStyle w:val="Hyperlink"/>
            <w14:scene3d>
              <w14:camera w14:prst="orthographicFront"/>
              <w14:lightRig w14:rig="threePt" w14:dir="t">
                <w14:rot w14:lat="0" w14:lon="0" w14:rev="0"/>
              </w14:lightRig>
            </w14:scene3d>
          </w:rPr>
          <w:t>15.7.3</w:t>
        </w:r>
        <w:r w:rsidR="00EB4B02">
          <w:rPr>
            <w:rFonts w:asciiTheme="minorHAnsi" w:eastAsiaTheme="minorEastAsia" w:hAnsiTheme="minorHAnsi" w:cstheme="minorBidi"/>
            <w:sz w:val="22"/>
            <w:szCs w:val="22"/>
            <w:lang w:eastAsia="en-AU"/>
          </w:rPr>
          <w:tab/>
        </w:r>
        <w:r w:rsidR="00EB4B02" w:rsidRPr="00A43E67">
          <w:rPr>
            <w:rStyle w:val="Hyperlink"/>
          </w:rPr>
          <w:t>Proposal</w:t>
        </w:r>
        <w:r w:rsidR="00EB4B02">
          <w:rPr>
            <w:webHidden/>
          </w:rPr>
          <w:tab/>
        </w:r>
        <w:r w:rsidR="00EB4B02">
          <w:rPr>
            <w:webHidden/>
          </w:rPr>
          <w:fldChar w:fldCharType="begin"/>
        </w:r>
        <w:r w:rsidR="00EB4B02">
          <w:rPr>
            <w:webHidden/>
          </w:rPr>
          <w:instrText xml:space="preserve"> PAGEREF _Toc10703534 \h </w:instrText>
        </w:r>
        <w:r w:rsidR="00EB4B02">
          <w:rPr>
            <w:webHidden/>
          </w:rPr>
        </w:r>
        <w:r w:rsidR="00EB4B02">
          <w:rPr>
            <w:webHidden/>
          </w:rPr>
          <w:fldChar w:fldCharType="separate"/>
        </w:r>
        <w:r w:rsidR="00EB4B02">
          <w:rPr>
            <w:webHidden/>
          </w:rPr>
          <w:t>182</w:t>
        </w:r>
        <w:r w:rsidR="00EB4B02">
          <w:rPr>
            <w:webHidden/>
          </w:rPr>
          <w:fldChar w:fldCharType="end"/>
        </w:r>
      </w:hyperlink>
    </w:p>
    <w:p w14:paraId="7DBF6C12" w14:textId="446D6E31" w:rsidR="00EB4B02" w:rsidRDefault="003C7C88">
      <w:pPr>
        <w:pStyle w:val="TOC1"/>
        <w:rPr>
          <w:rFonts w:asciiTheme="minorHAnsi" w:eastAsiaTheme="minorEastAsia" w:hAnsiTheme="minorHAnsi" w:cstheme="minorBidi"/>
          <w:b w:val="0"/>
          <w:bCs w:val="0"/>
          <w:szCs w:val="22"/>
          <w:lang w:eastAsia="en-AU"/>
        </w:rPr>
      </w:pPr>
      <w:hyperlink w:anchor="_Toc10703535" w:history="1">
        <w:r w:rsidR="00EB4B02" w:rsidRPr="00A43E67">
          <w:rPr>
            <w:rStyle w:val="Hyperlink"/>
          </w:rPr>
          <w:t>16</w:t>
        </w:r>
        <w:r w:rsidR="00EB4B02">
          <w:rPr>
            <w:rFonts w:asciiTheme="minorHAnsi" w:eastAsiaTheme="minorEastAsia" w:hAnsiTheme="minorHAnsi" w:cstheme="minorBidi"/>
            <w:b w:val="0"/>
            <w:bCs w:val="0"/>
            <w:szCs w:val="22"/>
            <w:lang w:eastAsia="en-AU"/>
          </w:rPr>
          <w:tab/>
        </w:r>
        <w:r w:rsidR="00EB4B02" w:rsidRPr="00A43E67">
          <w:rPr>
            <w:rStyle w:val="Hyperlink"/>
          </w:rPr>
          <w:t>Permissions Groups Assessment</w:t>
        </w:r>
        <w:r w:rsidR="00EB4B02">
          <w:rPr>
            <w:webHidden/>
          </w:rPr>
          <w:tab/>
        </w:r>
        <w:r w:rsidR="00EB4B02">
          <w:rPr>
            <w:webHidden/>
          </w:rPr>
          <w:fldChar w:fldCharType="begin"/>
        </w:r>
        <w:r w:rsidR="00EB4B02">
          <w:rPr>
            <w:webHidden/>
          </w:rPr>
          <w:instrText xml:space="preserve"> PAGEREF _Toc10703535 \h </w:instrText>
        </w:r>
        <w:r w:rsidR="00EB4B02">
          <w:rPr>
            <w:webHidden/>
          </w:rPr>
        </w:r>
        <w:r w:rsidR="00EB4B02">
          <w:rPr>
            <w:webHidden/>
          </w:rPr>
          <w:fldChar w:fldCharType="separate"/>
        </w:r>
        <w:r w:rsidR="00EB4B02">
          <w:rPr>
            <w:webHidden/>
          </w:rPr>
          <w:t>183</w:t>
        </w:r>
        <w:r w:rsidR="00EB4B02">
          <w:rPr>
            <w:webHidden/>
          </w:rPr>
          <w:fldChar w:fldCharType="end"/>
        </w:r>
      </w:hyperlink>
    </w:p>
    <w:p w14:paraId="33A1F93B" w14:textId="2C9E2976" w:rsidR="00EB4B02" w:rsidRDefault="003C7C88">
      <w:pPr>
        <w:pStyle w:val="TOC2"/>
        <w:rPr>
          <w:rFonts w:asciiTheme="minorHAnsi" w:eastAsiaTheme="minorEastAsia" w:hAnsiTheme="minorHAnsi" w:cstheme="minorBidi"/>
          <w:bCs w:val="0"/>
          <w:sz w:val="22"/>
          <w:szCs w:val="22"/>
          <w:lang w:eastAsia="en-AU"/>
        </w:rPr>
      </w:pPr>
      <w:hyperlink w:anchor="_Toc10703536" w:history="1">
        <w:r w:rsidR="00EB4B02" w:rsidRPr="00A43E67">
          <w:rPr>
            <w:rStyle w:val="Hyperlink"/>
          </w:rPr>
          <w:t>16.1</w:t>
        </w:r>
        <w:r w:rsidR="00EB4B02">
          <w:rPr>
            <w:rFonts w:asciiTheme="minorHAnsi" w:eastAsiaTheme="minorEastAsia" w:hAnsiTheme="minorHAnsi" w:cstheme="minorBidi"/>
            <w:bCs w:val="0"/>
            <w:sz w:val="22"/>
            <w:szCs w:val="22"/>
            <w:lang w:eastAsia="en-AU"/>
          </w:rPr>
          <w:tab/>
        </w:r>
        <w:r w:rsidR="00EB4B02" w:rsidRPr="00A43E67">
          <w:rPr>
            <w:rStyle w:val="Hyperlink"/>
          </w:rPr>
          <w:t>Learner Permit Permission</w:t>
        </w:r>
        <w:r w:rsidR="00EB4B02">
          <w:rPr>
            <w:webHidden/>
          </w:rPr>
          <w:tab/>
        </w:r>
        <w:r w:rsidR="00EB4B02">
          <w:rPr>
            <w:webHidden/>
          </w:rPr>
          <w:fldChar w:fldCharType="begin"/>
        </w:r>
        <w:r w:rsidR="00EB4B02">
          <w:rPr>
            <w:webHidden/>
          </w:rPr>
          <w:instrText xml:space="preserve"> PAGEREF _Toc10703536 \h </w:instrText>
        </w:r>
        <w:r w:rsidR="00EB4B02">
          <w:rPr>
            <w:webHidden/>
          </w:rPr>
        </w:r>
        <w:r w:rsidR="00EB4B02">
          <w:rPr>
            <w:webHidden/>
          </w:rPr>
          <w:fldChar w:fldCharType="separate"/>
        </w:r>
        <w:r w:rsidR="00EB4B02">
          <w:rPr>
            <w:webHidden/>
          </w:rPr>
          <w:t>183</w:t>
        </w:r>
        <w:r w:rsidR="00EB4B02">
          <w:rPr>
            <w:webHidden/>
          </w:rPr>
          <w:fldChar w:fldCharType="end"/>
        </w:r>
      </w:hyperlink>
    </w:p>
    <w:p w14:paraId="67E32EAA" w14:textId="47985069" w:rsidR="00EB4B02" w:rsidRDefault="003C7C88">
      <w:pPr>
        <w:pStyle w:val="TOC3"/>
        <w:rPr>
          <w:rFonts w:asciiTheme="minorHAnsi" w:eastAsiaTheme="minorEastAsia" w:hAnsiTheme="minorHAnsi" w:cstheme="minorBidi"/>
          <w:sz w:val="22"/>
          <w:szCs w:val="22"/>
          <w:lang w:eastAsia="en-AU"/>
        </w:rPr>
      </w:pPr>
      <w:hyperlink w:anchor="_Toc10703537" w:history="1">
        <w:r w:rsidR="00EB4B02" w:rsidRPr="00A43E67">
          <w:rPr>
            <w:rStyle w:val="Hyperlink"/>
            <w14:scene3d>
              <w14:camera w14:prst="orthographicFront"/>
              <w14:lightRig w14:rig="threePt" w14:dir="t">
                <w14:rot w14:lat="0" w14:lon="0" w14:rev="0"/>
              </w14:lightRig>
            </w14:scene3d>
          </w:rPr>
          <w:t>16.1.1</w:t>
        </w:r>
        <w:r w:rsidR="00EB4B02">
          <w:rPr>
            <w:rFonts w:asciiTheme="minorHAnsi" w:eastAsiaTheme="minorEastAsia" w:hAnsiTheme="minorHAnsi" w:cstheme="minorBidi"/>
            <w:sz w:val="22"/>
            <w:szCs w:val="22"/>
            <w:lang w:eastAsia="en-AU"/>
          </w:rPr>
          <w:tab/>
        </w:r>
        <w:r w:rsidR="00EB4B02" w:rsidRPr="00A43E67">
          <w:rPr>
            <w:rStyle w:val="Hyperlink"/>
          </w:rPr>
          <w:t>Permission Overview</w:t>
        </w:r>
        <w:r w:rsidR="00EB4B02">
          <w:rPr>
            <w:webHidden/>
          </w:rPr>
          <w:tab/>
        </w:r>
        <w:r w:rsidR="00EB4B02">
          <w:rPr>
            <w:webHidden/>
          </w:rPr>
          <w:fldChar w:fldCharType="begin"/>
        </w:r>
        <w:r w:rsidR="00EB4B02">
          <w:rPr>
            <w:webHidden/>
          </w:rPr>
          <w:instrText xml:space="preserve"> PAGEREF _Toc10703537 \h </w:instrText>
        </w:r>
        <w:r w:rsidR="00EB4B02">
          <w:rPr>
            <w:webHidden/>
          </w:rPr>
        </w:r>
        <w:r w:rsidR="00EB4B02">
          <w:rPr>
            <w:webHidden/>
          </w:rPr>
          <w:fldChar w:fldCharType="separate"/>
        </w:r>
        <w:r w:rsidR="00EB4B02">
          <w:rPr>
            <w:webHidden/>
          </w:rPr>
          <w:t>183</w:t>
        </w:r>
        <w:r w:rsidR="00EB4B02">
          <w:rPr>
            <w:webHidden/>
          </w:rPr>
          <w:fldChar w:fldCharType="end"/>
        </w:r>
      </w:hyperlink>
    </w:p>
    <w:p w14:paraId="11820E9F" w14:textId="38EAE926" w:rsidR="00EB4B02" w:rsidRDefault="003C7C88">
      <w:pPr>
        <w:pStyle w:val="TOC3"/>
        <w:rPr>
          <w:rFonts w:asciiTheme="minorHAnsi" w:eastAsiaTheme="minorEastAsia" w:hAnsiTheme="minorHAnsi" w:cstheme="minorBidi"/>
          <w:sz w:val="22"/>
          <w:szCs w:val="22"/>
          <w:lang w:eastAsia="en-AU"/>
        </w:rPr>
      </w:pPr>
      <w:hyperlink w:anchor="_Toc10703538" w:history="1">
        <w:r w:rsidR="00EB4B02" w:rsidRPr="00A43E67">
          <w:rPr>
            <w:rStyle w:val="Hyperlink"/>
            <w14:scene3d>
              <w14:camera w14:prst="orthographicFront"/>
              <w14:lightRig w14:rig="threePt" w14:dir="t">
                <w14:rot w14:lat="0" w14:lon="0" w14:rev="0"/>
              </w14:lightRig>
            </w14:scene3d>
          </w:rPr>
          <w:t>16.1.2</w:t>
        </w:r>
        <w:r w:rsidR="00EB4B02">
          <w:rPr>
            <w:rFonts w:asciiTheme="minorHAnsi" w:eastAsiaTheme="minorEastAsia" w:hAnsiTheme="minorHAnsi" w:cstheme="minorBidi"/>
            <w:sz w:val="22"/>
            <w:szCs w:val="22"/>
            <w:lang w:eastAsia="en-AU"/>
          </w:rPr>
          <w:tab/>
        </w:r>
        <w:r w:rsidR="00EB4B02" w:rsidRPr="00A43E67">
          <w:rPr>
            <w:rStyle w:val="Hyperlink"/>
          </w:rPr>
          <w:t>Proposal</w:t>
        </w:r>
        <w:r w:rsidR="00EB4B02">
          <w:rPr>
            <w:webHidden/>
          </w:rPr>
          <w:tab/>
        </w:r>
        <w:r w:rsidR="00EB4B02">
          <w:rPr>
            <w:webHidden/>
          </w:rPr>
          <w:fldChar w:fldCharType="begin"/>
        </w:r>
        <w:r w:rsidR="00EB4B02">
          <w:rPr>
            <w:webHidden/>
          </w:rPr>
          <w:instrText xml:space="preserve"> PAGEREF _Toc10703538 \h </w:instrText>
        </w:r>
        <w:r w:rsidR="00EB4B02">
          <w:rPr>
            <w:webHidden/>
          </w:rPr>
        </w:r>
        <w:r w:rsidR="00EB4B02">
          <w:rPr>
            <w:webHidden/>
          </w:rPr>
          <w:fldChar w:fldCharType="separate"/>
        </w:r>
        <w:r w:rsidR="00EB4B02">
          <w:rPr>
            <w:webHidden/>
          </w:rPr>
          <w:t>184</w:t>
        </w:r>
        <w:r w:rsidR="00EB4B02">
          <w:rPr>
            <w:webHidden/>
          </w:rPr>
          <w:fldChar w:fldCharType="end"/>
        </w:r>
      </w:hyperlink>
    </w:p>
    <w:p w14:paraId="45779B97" w14:textId="4B22B472" w:rsidR="00EB4B02" w:rsidRDefault="003C7C88">
      <w:pPr>
        <w:pStyle w:val="TOC1"/>
        <w:rPr>
          <w:rFonts w:asciiTheme="minorHAnsi" w:eastAsiaTheme="minorEastAsia" w:hAnsiTheme="minorHAnsi" w:cstheme="minorBidi"/>
          <w:b w:val="0"/>
          <w:bCs w:val="0"/>
          <w:szCs w:val="22"/>
          <w:lang w:eastAsia="en-AU"/>
        </w:rPr>
      </w:pPr>
      <w:hyperlink w:anchor="_Toc10703539" w:history="1">
        <w:r w:rsidR="00EB4B02" w:rsidRPr="00A43E67">
          <w:rPr>
            <w:rStyle w:val="Hyperlink"/>
          </w:rPr>
          <w:t>17</w:t>
        </w:r>
        <w:r w:rsidR="00EB4B02">
          <w:rPr>
            <w:rFonts w:asciiTheme="minorHAnsi" w:eastAsiaTheme="minorEastAsia" w:hAnsiTheme="minorHAnsi" w:cstheme="minorBidi"/>
            <w:b w:val="0"/>
            <w:bCs w:val="0"/>
            <w:szCs w:val="22"/>
            <w:lang w:eastAsia="en-AU"/>
          </w:rPr>
          <w:tab/>
        </w:r>
        <w:r w:rsidR="00EB4B02" w:rsidRPr="00A43E67">
          <w:rPr>
            <w:rStyle w:val="Hyperlink"/>
          </w:rPr>
          <w:t>Annual Cost Recovery</w:t>
        </w:r>
        <w:r w:rsidR="00EB4B02">
          <w:rPr>
            <w:webHidden/>
          </w:rPr>
          <w:tab/>
        </w:r>
        <w:r w:rsidR="00EB4B02">
          <w:rPr>
            <w:webHidden/>
          </w:rPr>
          <w:fldChar w:fldCharType="begin"/>
        </w:r>
        <w:r w:rsidR="00EB4B02">
          <w:rPr>
            <w:webHidden/>
          </w:rPr>
          <w:instrText xml:space="preserve"> PAGEREF _Toc10703539 \h </w:instrText>
        </w:r>
        <w:r w:rsidR="00EB4B02">
          <w:rPr>
            <w:webHidden/>
          </w:rPr>
        </w:r>
        <w:r w:rsidR="00EB4B02">
          <w:rPr>
            <w:webHidden/>
          </w:rPr>
          <w:fldChar w:fldCharType="separate"/>
        </w:r>
        <w:r w:rsidR="00EB4B02">
          <w:rPr>
            <w:webHidden/>
          </w:rPr>
          <w:t>186</w:t>
        </w:r>
        <w:r w:rsidR="00EB4B02">
          <w:rPr>
            <w:webHidden/>
          </w:rPr>
          <w:fldChar w:fldCharType="end"/>
        </w:r>
      </w:hyperlink>
    </w:p>
    <w:p w14:paraId="1898C1AE" w14:textId="52F86DC3" w:rsidR="00EB4B02" w:rsidRDefault="003C7C88">
      <w:pPr>
        <w:pStyle w:val="TOC1"/>
        <w:rPr>
          <w:rFonts w:asciiTheme="minorHAnsi" w:eastAsiaTheme="minorEastAsia" w:hAnsiTheme="minorHAnsi" w:cstheme="minorBidi"/>
          <w:b w:val="0"/>
          <w:bCs w:val="0"/>
          <w:szCs w:val="22"/>
          <w:lang w:eastAsia="en-AU"/>
        </w:rPr>
      </w:pPr>
      <w:hyperlink w:anchor="_Toc10703540" w:history="1">
        <w:r w:rsidR="00EB4B02" w:rsidRPr="00A43E67">
          <w:rPr>
            <w:rStyle w:val="Hyperlink"/>
          </w:rPr>
          <w:t>PART 4 –</w:t>
        </w:r>
        <w:r w:rsidR="00EB4B02">
          <w:rPr>
            <w:rFonts w:asciiTheme="minorHAnsi" w:eastAsiaTheme="minorEastAsia" w:hAnsiTheme="minorHAnsi" w:cstheme="minorBidi"/>
            <w:b w:val="0"/>
            <w:bCs w:val="0"/>
            <w:szCs w:val="22"/>
            <w:lang w:eastAsia="en-AU"/>
          </w:rPr>
          <w:tab/>
        </w:r>
        <w:r w:rsidR="00EB4B02" w:rsidRPr="00A43E67">
          <w:rPr>
            <w:rStyle w:val="Hyperlink"/>
          </w:rPr>
          <w:t>IMPLEMENTATION, EVALUATION AND CONSULTATION</w:t>
        </w:r>
        <w:r w:rsidR="00EB4B02">
          <w:rPr>
            <w:webHidden/>
          </w:rPr>
          <w:tab/>
        </w:r>
        <w:r w:rsidR="00EB4B02">
          <w:rPr>
            <w:webHidden/>
          </w:rPr>
          <w:fldChar w:fldCharType="begin"/>
        </w:r>
        <w:r w:rsidR="00EB4B02">
          <w:rPr>
            <w:webHidden/>
          </w:rPr>
          <w:instrText xml:space="preserve"> PAGEREF _Toc10703540 \h </w:instrText>
        </w:r>
        <w:r w:rsidR="00EB4B02">
          <w:rPr>
            <w:webHidden/>
          </w:rPr>
        </w:r>
        <w:r w:rsidR="00EB4B02">
          <w:rPr>
            <w:webHidden/>
          </w:rPr>
          <w:fldChar w:fldCharType="separate"/>
        </w:r>
        <w:r w:rsidR="00EB4B02">
          <w:rPr>
            <w:webHidden/>
          </w:rPr>
          <w:t>188</w:t>
        </w:r>
        <w:r w:rsidR="00EB4B02">
          <w:rPr>
            <w:webHidden/>
          </w:rPr>
          <w:fldChar w:fldCharType="end"/>
        </w:r>
      </w:hyperlink>
    </w:p>
    <w:p w14:paraId="374AF12D" w14:textId="056D937E" w:rsidR="00EB4B02" w:rsidRDefault="003C7C88">
      <w:pPr>
        <w:pStyle w:val="TOC1"/>
        <w:rPr>
          <w:rFonts w:asciiTheme="minorHAnsi" w:eastAsiaTheme="minorEastAsia" w:hAnsiTheme="minorHAnsi" w:cstheme="minorBidi"/>
          <w:b w:val="0"/>
          <w:bCs w:val="0"/>
          <w:szCs w:val="22"/>
          <w:lang w:eastAsia="en-AU"/>
        </w:rPr>
      </w:pPr>
      <w:hyperlink w:anchor="_Toc10703541" w:history="1">
        <w:r w:rsidR="00EB4B02" w:rsidRPr="00A43E67">
          <w:rPr>
            <w:rStyle w:val="Hyperlink"/>
          </w:rPr>
          <w:t>18</w:t>
        </w:r>
        <w:r w:rsidR="00EB4B02">
          <w:rPr>
            <w:rFonts w:asciiTheme="minorHAnsi" w:eastAsiaTheme="minorEastAsia" w:hAnsiTheme="minorHAnsi" w:cstheme="minorBidi"/>
            <w:b w:val="0"/>
            <w:bCs w:val="0"/>
            <w:szCs w:val="22"/>
            <w:lang w:eastAsia="en-AU"/>
          </w:rPr>
          <w:tab/>
        </w:r>
        <w:r w:rsidR="00EB4B02" w:rsidRPr="00A43E67">
          <w:rPr>
            <w:rStyle w:val="Hyperlink"/>
          </w:rPr>
          <w:t>Implementation</w:t>
        </w:r>
        <w:r w:rsidR="00EB4B02">
          <w:rPr>
            <w:webHidden/>
          </w:rPr>
          <w:tab/>
        </w:r>
        <w:r w:rsidR="00EB4B02">
          <w:rPr>
            <w:webHidden/>
          </w:rPr>
          <w:fldChar w:fldCharType="begin"/>
        </w:r>
        <w:r w:rsidR="00EB4B02">
          <w:rPr>
            <w:webHidden/>
          </w:rPr>
          <w:instrText xml:space="preserve"> PAGEREF _Toc10703541 \h </w:instrText>
        </w:r>
        <w:r w:rsidR="00EB4B02">
          <w:rPr>
            <w:webHidden/>
          </w:rPr>
        </w:r>
        <w:r w:rsidR="00EB4B02">
          <w:rPr>
            <w:webHidden/>
          </w:rPr>
          <w:fldChar w:fldCharType="separate"/>
        </w:r>
        <w:r w:rsidR="00EB4B02">
          <w:rPr>
            <w:webHidden/>
          </w:rPr>
          <w:t>188</w:t>
        </w:r>
        <w:r w:rsidR="00EB4B02">
          <w:rPr>
            <w:webHidden/>
          </w:rPr>
          <w:fldChar w:fldCharType="end"/>
        </w:r>
      </w:hyperlink>
    </w:p>
    <w:p w14:paraId="51131154" w14:textId="203EEB01" w:rsidR="00EB4B02" w:rsidRDefault="003C7C88">
      <w:pPr>
        <w:pStyle w:val="TOC2"/>
        <w:rPr>
          <w:rFonts w:asciiTheme="minorHAnsi" w:eastAsiaTheme="minorEastAsia" w:hAnsiTheme="minorHAnsi" w:cstheme="minorBidi"/>
          <w:bCs w:val="0"/>
          <w:sz w:val="22"/>
          <w:szCs w:val="22"/>
          <w:lang w:eastAsia="en-AU"/>
        </w:rPr>
      </w:pPr>
      <w:hyperlink w:anchor="_Toc10703542" w:history="1">
        <w:r w:rsidR="00EB4B02" w:rsidRPr="00A43E67">
          <w:rPr>
            <w:rStyle w:val="Hyperlink"/>
          </w:rPr>
          <w:t>18.1</w:t>
        </w:r>
        <w:r w:rsidR="00EB4B02">
          <w:rPr>
            <w:rFonts w:asciiTheme="minorHAnsi" w:eastAsiaTheme="minorEastAsia" w:hAnsiTheme="minorHAnsi" w:cstheme="minorBidi"/>
            <w:bCs w:val="0"/>
            <w:sz w:val="22"/>
            <w:szCs w:val="22"/>
            <w:lang w:eastAsia="en-AU"/>
          </w:rPr>
          <w:tab/>
        </w:r>
        <w:r w:rsidR="00EB4B02" w:rsidRPr="00A43E67">
          <w:rPr>
            <w:rStyle w:val="Hyperlink"/>
          </w:rPr>
          <w:t>Implementing proposed Regulations</w:t>
        </w:r>
        <w:r w:rsidR="00EB4B02">
          <w:rPr>
            <w:webHidden/>
          </w:rPr>
          <w:tab/>
        </w:r>
        <w:r w:rsidR="00EB4B02">
          <w:rPr>
            <w:webHidden/>
          </w:rPr>
          <w:fldChar w:fldCharType="begin"/>
        </w:r>
        <w:r w:rsidR="00EB4B02">
          <w:rPr>
            <w:webHidden/>
          </w:rPr>
          <w:instrText xml:space="preserve"> PAGEREF _Toc10703542 \h </w:instrText>
        </w:r>
        <w:r w:rsidR="00EB4B02">
          <w:rPr>
            <w:webHidden/>
          </w:rPr>
        </w:r>
        <w:r w:rsidR="00EB4B02">
          <w:rPr>
            <w:webHidden/>
          </w:rPr>
          <w:fldChar w:fldCharType="separate"/>
        </w:r>
        <w:r w:rsidR="00EB4B02">
          <w:rPr>
            <w:webHidden/>
          </w:rPr>
          <w:t>188</w:t>
        </w:r>
        <w:r w:rsidR="00EB4B02">
          <w:rPr>
            <w:webHidden/>
          </w:rPr>
          <w:fldChar w:fldCharType="end"/>
        </w:r>
      </w:hyperlink>
    </w:p>
    <w:p w14:paraId="638CB661" w14:textId="19F640F7" w:rsidR="00EB4B02" w:rsidRDefault="003C7C88">
      <w:pPr>
        <w:pStyle w:val="TOC2"/>
        <w:rPr>
          <w:rFonts w:asciiTheme="minorHAnsi" w:eastAsiaTheme="minorEastAsia" w:hAnsiTheme="minorHAnsi" w:cstheme="minorBidi"/>
          <w:bCs w:val="0"/>
          <w:sz w:val="22"/>
          <w:szCs w:val="22"/>
          <w:lang w:eastAsia="en-AU"/>
        </w:rPr>
      </w:pPr>
      <w:hyperlink w:anchor="_Toc10703543" w:history="1">
        <w:r w:rsidR="00EB4B02" w:rsidRPr="00A43E67">
          <w:rPr>
            <w:rStyle w:val="Hyperlink"/>
          </w:rPr>
          <w:t>18.2</w:t>
        </w:r>
        <w:r w:rsidR="00EB4B02">
          <w:rPr>
            <w:rFonts w:asciiTheme="minorHAnsi" w:eastAsiaTheme="minorEastAsia" w:hAnsiTheme="minorHAnsi" w:cstheme="minorBidi"/>
            <w:bCs w:val="0"/>
            <w:sz w:val="22"/>
            <w:szCs w:val="22"/>
            <w:lang w:eastAsia="en-AU"/>
          </w:rPr>
          <w:tab/>
        </w:r>
        <w:r w:rsidR="00EB4B02" w:rsidRPr="00A43E67">
          <w:rPr>
            <w:rStyle w:val="Hyperlink"/>
          </w:rPr>
          <w:t>Summary of proposed changes to existing regulations</w:t>
        </w:r>
        <w:r w:rsidR="00EB4B02">
          <w:rPr>
            <w:webHidden/>
          </w:rPr>
          <w:tab/>
        </w:r>
        <w:r w:rsidR="00EB4B02">
          <w:rPr>
            <w:webHidden/>
          </w:rPr>
          <w:fldChar w:fldCharType="begin"/>
        </w:r>
        <w:r w:rsidR="00EB4B02">
          <w:rPr>
            <w:webHidden/>
          </w:rPr>
          <w:instrText xml:space="preserve"> PAGEREF _Toc10703543 \h </w:instrText>
        </w:r>
        <w:r w:rsidR="00EB4B02">
          <w:rPr>
            <w:webHidden/>
          </w:rPr>
        </w:r>
        <w:r w:rsidR="00EB4B02">
          <w:rPr>
            <w:webHidden/>
          </w:rPr>
          <w:fldChar w:fldCharType="separate"/>
        </w:r>
        <w:r w:rsidR="00EB4B02">
          <w:rPr>
            <w:webHidden/>
          </w:rPr>
          <w:t>189</w:t>
        </w:r>
        <w:r w:rsidR="00EB4B02">
          <w:rPr>
            <w:webHidden/>
          </w:rPr>
          <w:fldChar w:fldCharType="end"/>
        </w:r>
      </w:hyperlink>
    </w:p>
    <w:p w14:paraId="283D928A" w14:textId="12C64B18" w:rsidR="00EB4B02" w:rsidRDefault="003C7C88">
      <w:pPr>
        <w:pStyle w:val="TOC2"/>
        <w:rPr>
          <w:rFonts w:asciiTheme="minorHAnsi" w:eastAsiaTheme="minorEastAsia" w:hAnsiTheme="minorHAnsi" w:cstheme="minorBidi"/>
          <w:bCs w:val="0"/>
          <w:sz w:val="22"/>
          <w:szCs w:val="22"/>
          <w:lang w:eastAsia="en-AU"/>
        </w:rPr>
      </w:pPr>
      <w:hyperlink w:anchor="_Toc10703544" w:history="1">
        <w:r w:rsidR="00EB4B02" w:rsidRPr="00A43E67">
          <w:rPr>
            <w:rStyle w:val="Hyperlink"/>
          </w:rPr>
          <w:t>18.3</w:t>
        </w:r>
        <w:r w:rsidR="00EB4B02">
          <w:rPr>
            <w:rFonts w:asciiTheme="minorHAnsi" w:eastAsiaTheme="minorEastAsia" w:hAnsiTheme="minorHAnsi" w:cstheme="minorBidi"/>
            <w:bCs w:val="0"/>
            <w:sz w:val="22"/>
            <w:szCs w:val="22"/>
            <w:lang w:eastAsia="en-AU"/>
          </w:rPr>
          <w:tab/>
        </w:r>
        <w:r w:rsidR="00EB4B02" w:rsidRPr="00A43E67">
          <w:rPr>
            <w:rStyle w:val="Hyperlink"/>
          </w:rPr>
          <w:t>Enforcement</w:t>
        </w:r>
        <w:r w:rsidR="00EB4B02">
          <w:rPr>
            <w:webHidden/>
          </w:rPr>
          <w:tab/>
        </w:r>
        <w:r w:rsidR="00EB4B02">
          <w:rPr>
            <w:webHidden/>
          </w:rPr>
          <w:fldChar w:fldCharType="begin"/>
        </w:r>
        <w:r w:rsidR="00EB4B02">
          <w:rPr>
            <w:webHidden/>
          </w:rPr>
          <w:instrText xml:space="preserve"> PAGEREF _Toc10703544 \h </w:instrText>
        </w:r>
        <w:r w:rsidR="00EB4B02">
          <w:rPr>
            <w:webHidden/>
          </w:rPr>
        </w:r>
        <w:r w:rsidR="00EB4B02">
          <w:rPr>
            <w:webHidden/>
          </w:rPr>
          <w:fldChar w:fldCharType="separate"/>
        </w:r>
        <w:r w:rsidR="00EB4B02">
          <w:rPr>
            <w:webHidden/>
          </w:rPr>
          <w:t>198</w:t>
        </w:r>
        <w:r w:rsidR="00EB4B02">
          <w:rPr>
            <w:webHidden/>
          </w:rPr>
          <w:fldChar w:fldCharType="end"/>
        </w:r>
      </w:hyperlink>
    </w:p>
    <w:p w14:paraId="5D2B6FCE" w14:textId="43BDBBD2" w:rsidR="00EB4B02" w:rsidRDefault="003C7C88">
      <w:pPr>
        <w:pStyle w:val="TOC2"/>
        <w:rPr>
          <w:rFonts w:asciiTheme="minorHAnsi" w:eastAsiaTheme="minorEastAsia" w:hAnsiTheme="minorHAnsi" w:cstheme="minorBidi"/>
          <w:bCs w:val="0"/>
          <w:sz w:val="22"/>
          <w:szCs w:val="22"/>
          <w:lang w:eastAsia="en-AU"/>
        </w:rPr>
      </w:pPr>
      <w:hyperlink w:anchor="_Toc10703545" w:history="1">
        <w:r w:rsidR="00EB4B02" w:rsidRPr="00A43E67">
          <w:rPr>
            <w:rStyle w:val="Hyperlink"/>
          </w:rPr>
          <w:t>18.4</w:t>
        </w:r>
        <w:r w:rsidR="00EB4B02">
          <w:rPr>
            <w:rFonts w:asciiTheme="minorHAnsi" w:eastAsiaTheme="minorEastAsia" w:hAnsiTheme="minorHAnsi" w:cstheme="minorBidi"/>
            <w:bCs w:val="0"/>
            <w:sz w:val="22"/>
            <w:szCs w:val="22"/>
            <w:lang w:eastAsia="en-AU"/>
          </w:rPr>
          <w:tab/>
        </w:r>
        <w:r w:rsidR="00EB4B02" w:rsidRPr="00A43E67">
          <w:rPr>
            <w:rStyle w:val="Hyperlink"/>
          </w:rPr>
          <w:t>Transitional Arrangements</w:t>
        </w:r>
        <w:r w:rsidR="00EB4B02">
          <w:rPr>
            <w:webHidden/>
          </w:rPr>
          <w:tab/>
        </w:r>
        <w:r w:rsidR="00EB4B02">
          <w:rPr>
            <w:webHidden/>
          </w:rPr>
          <w:fldChar w:fldCharType="begin"/>
        </w:r>
        <w:r w:rsidR="00EB4B02">
          <w:rPr>
            <w:webHidden/>
          </w:rPr>
          <w:instrText xml:space="preserve"> PAGEREF _Toc10703545 \h </w:instrText>
        </w:r>
        <w:r w:rsidR="00EB4B02">
          <w:rPr>
            <w:webHidden/>
          </w:rPr>
        </w:r>
        <w:r w:rsidR="00EB4B02">
          <w:rPr>
            <w:webHidden/>
          </w:rPr>
          <w:fldChar w:fldCharType="separate"/>
        </w:r>
        <w:r w:rsidR="00EB4B02">
          <w:rPr>
            <w:webHidden/>
          </w:rPr>
          <w:t>198</w:t>
        </w:r>
        <w:r w:rsidR="00EB4B02">
          <w:rPr>
            <w:webHidden/>
          </w:rPr>
          <w:fldChar w:fldCharType="end"/>
        </w:r>
      </w:hyperlink>
    </w:p>
    <w:p w14:paraId="666D0A19" w14:textId="3308B9AA" w:rsidR="00EB4B02" w:rsidRDefault="003C7C88">
      <w:pPr>
        <w:pStyle w:val="TOC1"/>
        <w:rPr>
          <w:rFonts w:asciiTheme="minorHAnsi" w:eastAsiaTheme="minorEastAsia" w:hAnsiTheme="minorHAnsi" w:cstheme="minorBidi"/>
          <w:b w:val="0"/>
          <w:bCs w:val="0"/>
          <w:szCs w:val="22"/>
          <w:lang w:eastAsia="en-AU"/>
        </w:rPr>
      </w:pPr>
      <w:hyperlink w:anchor="_Toc10703546" w:history="1">
        <w:r w:rsidR="00EB4B02" w:rsidRPr="00A43E67">
          <w:rPr>
            <w:rStyle w:val="Hyperlink"/>
          </w:rPr>
          <w:t>19</w:t>
        </w:r>
        <w:r w:rsidR="00EB4B02">
          <w:rPr>
            <w:rFonts w:asciiTheme="minorHAnsi" w:eastAsiaTheme="minorEastAsia" w:hAnsiTheme="minorHAnsi" w:cstheme="minorBidi"/>
            <w:b w:val="0"/>
            <w:bCs w:val="0"/>
            <w:szCs w:val="22"/>
            <w:lang w:eastAsia="en-AU"/>
          </w:rPr>
          <w:tab/>
        </w:r>
        <w:r w:rsidR="00EB4B02" w:rsidRPr="00A43E67">
          <w:rPr>
            <w:rStyle w:val="Hyperlink"/>
          </w:rPr>
          <w:t>Evaluation</w:t>
        </w:r>
        <w:r w:rsidR="00EB4B02">
          <w:rPr>
            <w:webHidden/>
          </w:rPr>
          <w:tab/>
        </w:r>
        <w:r w:rsidR="00EB4B02">
          <w:rPr>
            <w:webHidden/>
          </w:rPr>
          <w:fldChar w:fldCharType="begin"/>
        </w:r>
        <w:r w:rsidR="00EB4B02">
          <w:rPr>
            <w:webHidden/>
          </w:rPr>
          <w:instrText xml:space="preserve"> PAGEREF _Toc10703546 \h </w:instrText>
        </w:r>
        <w:r w:rsidR="00EB4B02">
          <w:rPr>
            <w:webHidden/>
          </w:rPr>
        </w:r>
        <w:r w:rsidR="00EB4B02">
          <w:rPr>
            <w:webHidden/>
          </w:rPr>
          <w:fldChar w:fldCharType="separate"/>
        </w:r>
        <w:r w:rsidR="00EB4B02">
          <w:rPr>
            <w:webHidden/>
          </w:rPr>
          <w:t>199</w:t>
        </w:r>
        <w:r w:rsidR="00EB4B02">
          <w:rPr>
            <w:webHidden/>
          </w:rPr>
          <w:fldChar w:fldCharType="end"/>
        </w:r>
      </w:hyperlink>
    </w:p>
    <w:p w14:paraId="0029603D" w14:textId="66EA7DE5" w:rsidR="00EB4B02" w:rsidRDefault="003C7C88">
      <w:pPr>
        <w:pStyle w:val="TOC2"/>
        <w:rPr>
          <w:rFonts w:asciiTheme="minorHAnsi" w:eastAsiaTheme="minorEastAsia" w:hAnsiTheme="minorHAnsi" w:cstheme="minorBidi"/>
          <w:bCs w:val="0"/>
          <w:sz w:val="22"/>
          <w:szCs w:val="22"/>
          <w:lang w:eastAsia="en-AU"/>
        </w:rPr>
      </w:pPr>
      <w:hyperlink w:anchor="_Toc10703547" w:history="1">
        <w:r w:rsidR="00EB4B02" w:rsidRPr="00A43E67">
          <w:rPr>
            <w:rStyle w:val="Hyperlink"/>
          </w:rPr>
          <w:t>19.1</w:t>
        </w:r>
        <w:r w:rsidR="00EB4B02">
          <w:rPr>
            <w:rFonts w:asciiTheme="minorHAnsi" w:eastAsiaTheme="minorEastAsia" w:hAnsiTheme="minorHAnsi" w:cstheme="minorBidi"/>
            <w:bCs w:val="0"/>
            <w:sz w:val="22"/>
            <w:szCs w:val="22"/>
            <w:lang w:eastAsia="en-AU"/>
          </w:rPr>
          <w:tab/>
        </w:r>
        <w:r w:rsidR="00EB4B02" w:rsidRPr="00A43E67">
          <w:rPr>
            <w:rStyle w:val="Hyperlink"/>
          </w:rPr>
          <w:t>Purpose</w:t>
        </w:r>
        <w:r w:rsidR="00EB4B02">
          <w:rPr>
            <w:webHidden/>
          </w:rPr>
          <w:tab/>
        </w:r>
        <w:r w:rsidR="00EB4B02">
          <w:rPr>
            <w:webHidden/>
          </w:rPr>
          <w:fldChar w:fldCharType="begin"/>
        </w:r>
        <w:r w:rsidR="00EB4B02">
          <w:rPr>
            <w:webHidden/>
          </w:rPr>
          <w:instrText xml:space="preserve"> PAGEREF _Toc10703547 \h </w:instrText>
        </w:r>
        <w:r w:rsidR="00EB4B02">
          <w:rPr>
            <w:webHidden/>
          </w:rPr>
        </w:r>
        <w:r w:rsidR="00EB4B02">
          <w:rPr>
            <w:webHidden/>
          </w:rPr>
          <w:fldChar w:fldCharType="separate"/>
        </w:r>
        <w:r w:rsidR="00EB4B02">
          <w:rPr>
            <w:webHidden/>
          </w:rPr>
          <w:t>199</w:t>
        </w:r>
        <w:r w:rsidR="00EB4B02">
          <w:rPr>
            <w:webHidden/>
          </w:rPr>
          <w:fldChar w:fldCharType="end"/>
        </w:r>
      </w:hyperlink>
    </w:p>
    <w:p w14:paraId="4E5DC100" w14:textId="22B19269" w:rsidR="00EB4B02" w:rsidRDefault="003C7C88">
      <w:pPr>
        <w:pStyle w:val="TOC2"/>
        <w:rPr>
          <w:rFonts w:asciiTheme="minorHAnsi" w:eastAsiaTheme="minorEastAsia" w:hAnsiTheme="minorHAnsi" w:cstheme="minorBidi"/>
          <w:bCs w:val="0"/>
          <w:sz w:val="22"/>
          <w:szCs w:val="22"/>
          <w:lang w:eastAsia="en-AU"/>
        </w:rPr>
      </w:pPr>
      <w:hyperlink w:anchor="_Toc10703548" w:history="1">
        <w:r w:rsidR="00EB4B02" w:rsidRPr="00A43E67">
          <w:rPr>
            <w:rStyle w:val="Hyperlink"/>
          </w:rPr>
          <w:t>19.2</w:t>
        </w:r>
        <w:r w:rsidR="00EB4B02">
          <w:rPr>
            <w:rFonts w:asciiTheme="minorHAnsi" w:eastAsiaTheme="minorEastAsia" w:hAnsiTheme="minorHAnsi" w:cstheme="minorBidi"/>
            <w:bCs w:val="0"/>
            <w:sz w:val="22"/>
            <w:szCs w:val="22"/>
            <w:lang w:eastAsia="en-AU"/>
          </w:rPr>
          <w:tab/>
        </w:r>
        <w:r w:rsidR="00EB4B02" w:rsidRPr="00A43E67">
          <w:rPr>
            <w:rStyle w:val="Hyperlink"/>
          </w:rPr>
          <w:t>Strategy</w:t>
        </w:r>
        <w:r w:rsidR="00EB4B02">
          <w:rPr>
            <w:webHidden/>
          </w:rPr>
          <w:tab/>
        </w:r>
        <w:r w:rsidR="00EB4B02">
          <w:rPr>
            <w:webHidden/>
          </w:rPr>
          <w:fldChar w:fldCharType="begin"/>
        </w:r>
        <w:r w:rsidR="00EB4B02">
          <w:rPr>
            <w:webHidden/>
          </w:rPr>
          <w:instrText xml:space="preserve"> PAGEREF _Toc10703548 \h </w:instrText>
        </w:r>
        <w:r w:rsidR="00EB4B02">
          <w:rPr>
            <w:webHidden/>
          </w:rPr>
        </w:r>
        <w:r w:rsidR="00EB4B02">
          <w:rPr>
            <w:webHidden/>
          </w:rPr>
          <w:fldChar w:fldCharType="separate"/>
        </w:r>
        <w:r w:rsidR="00EB4B02">
          <w:rPr>
            <w:webHidden/>
          </w:rPr>
          <w:t>199</w:t>
        </w:r>
        <w:r w:rsidR="00EB4B02">
          <w:rPr>
            <w:webHidden/>
          </w:rPr>
          <w:fldChar w:fldCharType="end"/>
        </w:r>
      </w:hyperlink>
    </w:p>
    <w:p w14:paraId="7DC209B8" w14:textId="57F81CEC" w:rsidR="00EB4B02" w:rsidRDefault="003C7C88">
      <w:pPr>
        <w:pStyle w:val="TOC2"/>
        <w:rPr>
          <w:rFonts w:asciiTheme="minorHAnsi" w:eastAsiaTheme="minorEastAsia" w:hAnsiTheme="minorHAnsi" w:cstheme="minorBidi"/>
          <w:bCs w:val="0"/>
          <w:sz w:val="22"/>
          <w:szCs w:val="22"/>
          <w:lang w:eastAsia="en-AU"/>
        </w:rPr>
      </w:pPr>
      <w:hyperlink w:anchor="_Toc10703549" w:history="1">
        <w:r w:rsidR="00EB4B02" w:rsidRPr="00A43E67">
          <w:rPr>
            <w:rStyle w:val="Hyperlink"/>
          </w:rPr>
          <w:t>19.3</w:t>
        </w:r>
        <w:r w:rsidR="00EB4B02">
          <w:rPr>
            <w:rFonts w:asciiTheme="minorHAnsi" w:eastAsiaTheme="minorEastAsia" w:hAnsiTheme="minorHAnsi" w:cstheme="minorBidi"/>
            <w:bCs w:val="0"/>
            <w:sz w:val="22"/>
            <w:szCs w:val="22"/>
            <w:lang w:eastAsia="en-AU"/>
          </w:rPr>
          <w:tab/>
        </w:r>
        <w:r w:rsidR="00EB4B02" w:rsidRPr="00A43E67">
          <w:rPr>
            <w:rStyle w:val="Hyperlink"/>
          </w:rPr>
          <w:t>Approach</w:t>
        </w:r>
        <w:r w:rsidR="00EB4B02">
          <w:rPr>
            <w:webHidden/>
          </w:rPr>
          <w:tab/>
        </w:r>
        <w:r w:rsidR="00EB4B02">
          <w:rPr>
            <w:webHidden/>
          </w:rPr>
          <w:fldChar w:fldCharType="begin"/>
        </w:r>
        <w:r w:rsidR="00EB4B02">
          <w:rPr>
            <w:webHidden/>
          </w:rPr>
          <w:instrText xml:space="preserve"> PAGEREF _Toc10703549 \h </w:instrText>
        </w:r>
        <w:r w:rsidR="00EB4B02">
          <w:rPr>
            <w:webHidden/>
          </w:rPr>
        </w:r>
        <w:r w:rsidR="00EB4B02">
          <w:rPr>
            <w:webHidden/>
          </w:rPr>
          <w:fldChar w:fldCharType="separate"/>
        </w:r>
        <w:r w:rsidR="00EB4B02">
          <w:rPr>
            <w:webHidden/>
          </w:rPr>
          <w:t>200</w:t>
        </w:r>
        <w:r w:rsidR="00EB4B02">
          <w:rPr>
            <w:webHidden/>
          </w:rPr>
          <w:fldChar w:fldCharType="end"/>
        </w:r>
      </w:hyperlink>
    </w:p>
    <w:p w14:paraId="17FBD594" w14:textId="0D87EC91" w:rsidR="00EB4B02" w:rsidRDefault="003C7C88">
      <w:pPr>
        <w:pStyle w:val="TOC3"/>
        <w:rPr>
          <w:rFonts w:asciiTheme="minorHAnsi" w:eastAsiaTheme="minorEastAsia" w:hAnsiTheme="minorHAnsi" w:cstheme="minorBidi"/>
          <w:sz w:val="22"/>
          <w:szCs w:val="22"/>
          <w:lang w:eastAsia="en-AU"/>
        </w:rPr>
      </w:pPr>
      <w:hyperlink w:anchor="_Toc10703550" w:history="1">
        <w:r w:rsidR="00EB4B02" w:rsidRPr="00A43E67">
          <w:rPr>
            <w:rStyle w:val="Hyperlink"/>
            <w14:scene3d>
              <w14:camera w14:prst="orthographicFront"/>
              <w14:lightRig w14:rig="threePt" w14:dir="t">
                <w14:rot w14:lat="0" w14:lon="0" w14:rev="0"/>
              </w14:lightRig>
            </w14:scene3d>
          </w:rPr>
          <w:t>19.3.1</w:t>
        </w:r>
        <w:r w:rsidR="00EB4B02">
          <w:rPr>
            <w:rFonts w:asciiTheme="minorHAnsi" w:eastAsiaTheme="minorEastAsia" w:hAnsiTheme="minorHAnsi" w:cstheme="minorBidi"/>
            <w:sz w:val="22"/>
            <w:szCs w:val="22"/>
            <w:lang w:eastAsia="en-AU"/>
          </w:rPr>
          <w:tab/>
        </w:r>
        <w:r w:rsidR="00EB4B02" w:rsidRPr="00A43E67">
          <w:rPr>
            <w:rStyle w:val="Hyperlink"/>
          </w:rPr>
          <w:t>Timing, evidence and monitoring</w:t>
        </w:r>
        <w:r w:rsidR="00EB4B02">
          <w:rPr>
            <w:webHidden/>
          </w:rPr>
          <w:tab/>
        </w:r>
        <w:r w:rsidR="00EB4B02">
          <w:rPr>
            <w:webHidden/>
          </w:rPr>
          <w:fldChar w:fldCharType="begin"/>
        </w:r>
        <w:r w:rsidR="00EB4B02">
          <w:rPr>
            <w:webHidden/>
          </w:rPr>
          <w:instrText xml:space="preserve"> PAGEREF _Toc10703550 \h </w:instrText>
        </w:r>
        <w:r w:rsidR="00EB4B02">
          <w:rPr>
            <w:webHidden/>
          </w:rPr>
        </w:r>
        <w:r w:rsidR="00EB4B02">
          <w:rPr>
            <w:webHidden/>
          </w:rPr>
          <w:fldChar w:fldCharType="separate"/>
        </w:r>
        <w:r w:rsidR="00EB4B02">
          <w:rPr>
            <w:webHidden/>
          </w:rPr>
          <w:t>200</w:t>
        </w:r>
        <w:r w:rsidR="00EB4B02">
          <w:rPr>
            <w:webHidden/>
          </w:rPr>
          <w:fldChar w:fldCharType="end"/>
        </w:r>
      </w:hyperlink>
    </w:p>
    <w:p w14:paraId="333D3A73" w14:textId="6BD9DBB2" w:rsidR="00EB4B02" w:rsidRDefault="003C7C88">
      <w:pPr>
        <w:pStyle w:val="TOC3"/>
        <w:rPr>
          <w:rFonts w:asciiTheme="minorHAnsi" w:eastAsiaTheme="minorEastAsia" w:hAnsiTheme="minorHAnsi" w:cstheme="minorBidi"/>
          <w:sz w:val="22"/>
          <w:szCs w:val="22"/>
          <w:lang w:eastAsia="en-AU"/>
        </w:rPr>
      </w:pPr>
      <w:hyperlink w:anchor="_Toc10703551" w:history="1">
        <w:r w:rsidR="00EB4B02" w:rsidRPr="00A43E67">
          <w:rPr>
            <w:rStyle w:val="Hyperlink"/>
            <w14:scene3d>
              <w14:camera w14:prst="orthographicFront"/>
              <w14:lightRig w14:rig="threePt" w14:dir="t">
                <w14:rot w14:lat="0" w14:lon="0" w14:rev="0"/>
              </w14:lightRig>
            </w14:scene3d>
          </w:rPr>
          <w:t>19.3.2</w:t>
        </w:r>
        <w:r w:rsidR="00EB4B02">
          <w:rPr>
            <w:rFonts w:asciiTheme="minorHAnsi" w:eastAsiaTheme="minorEastAsia" w:hAnsiTheme="minorHAnsi" w:cstheme="minorBidi"/>
            <w:sz w:val="22"/>
            <w:szCs w:val="22"/>
            <w:lang w:eastAsia="en-AU"/>
          </w:rPr>
          <w:tab/>
        </w:r>
        <w:r w:rsidR="00EB4B02" w:rsidRPr="00A43E67">
          <w:rPr>
            <w:rStyle w:val="Hyperlink"/>
          </w:rPr>
          <w:t>Mid-term review of proposed Regulations</w:t>
        </w:r>
        <w:r w:rsidR="00EB4B02">
          <w:rPr>
            <w:webHidden/>
          </w:rPr>
          <w:tab/>
        </w:r>
        <w:r w:rsidR="00EB4B02">
          <w:rPr>
            <w:webHidden/>
          </w:rPr>
          <w:fldChar w:fldCharType="begin"/>
        </w:r>
        <w:r w:rsidR="00EB4B02">
          <w:rPr>
            <w:webHidden/>
          </w:rPr>
          <w:instrText xml:space="preserve"> PAGEREF _Toc10703551 \h </w:instrText>
        </w:r>
        <w:r w:rsidR="00EB4B02">
          <w:rPr>
            <w:webHidden/>
          </w:rPr>
        </w:r>
        <w:r w:rsidR="00EB4B02">
          <w:rPr>
            <w:webHidden/>
          </w:rPr>
          <w:fldChar w:fldCharType="separate"/>
        </w:r>
        <w:r w:rsidR="00EB4B02">
          <w:rPr>
            <w:webHidden/>
          </w:rPr>
          <w:t>200</w:t>
        </w:r>
        <w:r w:rsidR="00EB4B02">
          <w:rPr>
            <w:webHidden/>
          </w:rPr>
          <w:fldChar w:fldCharType="end"/>
        </w:r>
      </w:hyperlink>
    </w:p>
    <w:p w14:paraId="4EF823A5" w14:textId="532A5862" w:rsidR="00EB4B02" w:rsidRDefault="003C7C88">
      <w:pPr>
        <w:pStyle w:val="TOC2"/>
        <w:rPr>
          <w:rFonts w:asciiTheme="minorHAnsi" w:eastAsiaTheme="minorEastAsia" w:hAnsiTheme="minorHAnsi" w:cstheme="minorBidi"/>
          <w:bCs w:val="0"/>
          <w:sz w:val="22"/>
          <w:szCs w:val="22"/>
          <w:lang w:eastAsia="en-AU"/>
        </w:rPr>
      </w:pPr>
      <w:hyperlink w:anchor="_Toc10703552" w:history="1">
        <w:r w:rsidR="00EB4B02" w:rsidRPr="00A43E67">
          <w:rPr>
            <w:rStyle w:val="Hyperlink"/>
          </w:rPr>
          <w:t>19.4</w:t>
        </w:r>
        <w:r w:rsidR="00EB4B02">
          <w:rPr>
            <w:rFonts w:asciiTheme="minorHAnsi" w:eastAsiaTheme="minorEastAsia" w:hAnsiTheme="minorHAnsi" w:cstheme="minorBidi"/>
            <w:bCs w:val="0"/>
            <w:sz w:val="22"/>
            <w:szCs w:val="22"/>
            <w:lang w:eastAsia="en-AU"/>
          </w:rPr>
          <w:tab/>
        </w:r>
        <w:r w:rsidR="00EB4B02" w:rsidRPr="00A43E67">
          <w:rPr>
            <w:rStyle w:val="Hyperlink"/>
          </w:rPr>
          <w:t>Evaluating the proposed Regulations</w:t>
        </w:r>
        <w:r w:rsidR="00EB4B02">
          <w:rPr>
            <w:webHidden/>
          </w:rPr>
          <w:tab/>
        </w:r>
        <w:r w:rsidR="00EB4B02">
          <w:rPr>
            <w:webHidden/>
          </w:rPr>
          <w:fldChar w:fldCharType="begin"/>
        </w:r>
        <w:r w:rsidR="00EB4B02">
          <w:rPr>
            <w:webHidden/>
          </w:rPr>
          <w:instrText xml:space="preserve"> PAGEREF _Toc10703552 \h </w:instrText>
        </w:r>
        <w:r w:rsidR="00EB4B02">
          <w:rPr>
            <w:webHidden/>
          </w:rPr>
        </w:r>
        <w:r w:rsidR="00EB4B02">
          <w:rPr>
            <w:webHidden/>
          </w:rPr>
          <w:fldChar w:fldCharType="separate"/>
        </w:r>
        <w:r w:rsidR="00EB4B02">
          <w:rPr>
            <w:webHidden/>
          </w:rPr>
          <w:t>201</w:t>
        </w:r>
        <w:r w:rsidR="00EB4B02">
          <w:rPr>
            <w:webHidden/>
          </w:rPr>
          <w:fldChar w:fldCharType="end"/>
        </w:r>
      </w:hyperlink>
    </w:p>
    <w:p w14:paraId="207C50ED" w14:textId="7CA96F74" w:rsidR="00EB4B02" w:rsidRDefault="003C7C88">
      <w:pPr>
        <w:pStyle w:val="TOC1"/>
        <w:rPr>
          <w:rFonts w:asciiTheme="minorHAnsi" w:eastAsiaTheme="minorEastAsia" w:hAnsiTheme="minorHAnsi" w:cstheme="minorBidi"/>
          <w:b w:val="0"/>
          <w:bCs w:val="0"/>
          <w:szCs w:val="22"/>
          <w:lang w:eastAsia="en-AU"/>
        </w:rPr>
      </w:pPr>
      <w:hyperlink w:anchor="_Toc10703553" w:history="1">
        <w:r w:rsidR="00EB4B02" w:rsidRPr="00A43E67">
          <w:rPr>
            <w:rStyle w:val="Hyperlink"/>
          </w:rPr>
          <w:t>20</w:t>
        </w:r>
        <w:r w:rsidR="00EB4B02">
          <w:rPr>
            <w:rFonts w:asciiTheme="minorHAnsi" w:eastAsiaTheme="minorEastAsia" w:hAnsiTheme="minorHAnsi" w:cstheme="minorBidi"/>
            <w:b w:val="0"/>
            <w:bCs w:val="0"/>
            <w:szCs w:val="22"/>
            <w:lang w:eastAsia="en-AU"/>
          </w:rPr>
          <w:tab/>
        </w:r>
        <w:r w:rsidR="00EB4B02" w:rsidRPr="00A43E67">
          <w:rPr>
            <w:rStyle w:val="Hyperlink"/>
          </w:rPr>
          <w:t>Consultation</w:t>
        </w:r>
        <w:r w:rsidR="00EB4B02">
          <w:rPr>
            <w:webHidden/>
          </w:rPr>
          <w:tab/>
        </w:r>
        <w:r w:rsidR="00EB4B02">
          <w:rPr>
            <w:webHidden/>
          </w:rPr>
          <w:fldChar w:fldCharType="begin"/>
        </w:r>
        <w:r w:rsidR="00EB4B02">
          <w:rPr>
            <w:webHidden/>
          </w:rPr>
          <w:instrText xml:space="preserve"> PAGEREF _Toc10703553 \h </w:instrText>
        </w:r>
        <w:r w:rsidR="00EB4B02">
          <w:rPr>
            <w:webHidden/>
          </w:rPr>
        </w:r>
        <w:r w:rsidR="00EB4B02">
          <w:rPr>
            <w:webHidden/>
          </w:rPr>
          <w:fldChar w:fldCharType="separate"/>
        </w:r>
        <w:r w:rsidR="00EB4B02">
          <w:rPr>
            <w:webHidden/>
          </w:rPr>
          <w:t>203</w:t>
        </w:r>
        <w:r w:rsidR="00EB4B02">
          <w:rPr>
            <w:webHidden/>
          </w:rPr>
          <w:fldChar w:fldCharType="end"/>
        </w:r>
      </w:hyperlink>
    </w:p>
    <w:p w14:paraId="5C3961B9" w14:textId="4A77C1FD" w:rsidR="00EB4B02" w:rsidRDefault="003C7C88">
      <w:pPr>
        <w:pStyle w:val="TOC1"/>
        <w:rPr>
          <w:rFonts w:asciiTheme="minorHAnsi" w:eastAsiaTheme="minorEastAsia" w:hAnsiTheme="minorHAnsi" w:cstheme="minorBidi"/>
          <w:b w:val="0"/>
          <w:bCs w:val="0"/>
          <w:szCs w:val="22"/>
          <w:lang w:eastAsia="en-AU"/>
        </w:rPr>
      </w:pPr>
      <w:hyperlink w:anchor="_Toc10703554" w:history="1">
        <w:r w:rsidR="00EB4B02" w:rsidRPr="00A43E67">
          <w:rPr>
            <w:rStyle w:val="Hyperlink"/>
          </w:rPr>
          <w:t>APPENDICES</w:t>
        </w:r>
        <w:r w:rsidR="00EB4B02">
          <w:rPr>
            <w:webHidden/>
          </w:rPr>
          <w:tab/>
        </w:r>
        <w:r w:rsidR="00EB4B02">
          <w:rPr>
            <w:webHidden/>
          </w:rPr>
          <w:fldChar w:fldCharType="begin"/>
        </w:r>
        <w:r w:rsidR="00EB4B02">
          <w:rPr>
            <w:webHidden/>
          </w:rPr>
          <w:instrText xml:space="preserve"> PAGEREF _Toc10703554 \h </w:instrText>
        </w:r>
        <w:r w:rsidR="00EB4B02">
          <w:rPr>
            <w:webHidden/>
          </w:rPr>
        </w:r>
        <w:r w:rsidR="00EB4B02">
          <w:rPr>
            <w:webHidden/>
          </w:rPr>
          <w:fldChar w:fldCharType="separate"/>
        </w:r>
        <w:r w:rsidR="00EB4B02">
          <w:rPr>
            <w:webHidden/>
          </w:rPr>
          <w:t>204</w:t>
        </w:r>
        <w:r w:rsidR="00EB4B02">
          <w:rPr>
            <w:webHidden/>
          </w:rPr>
          <w:fldChar w:fldCharType="end"/>
        </w:r>
      </w:hyperlink>
    </w:p>
    <w:p w14:paraId="2066D6F1" w14:textId="7E6ECF45" w:rsidR="00EB4B02" w:rsidRDefault="003C7C88">
      <w:pPr>
        <w:pStyle w:val="TOC1"/>
        <w:rPr>
          <w:rFonts w:asciiTheme="minorHAnsi" w:eastAsiaTheme="minorEastAsia" w:hAnsiTheme="minorHAnsi" w:cstheme="minorBidi"/>
          <w:b w:val="0"/>
          <w:bCs w:val="0"/>
          <w:szCs w:val="22"/>
          <w:lang w:eastAsia="en-AU"/>
        </w:rPr>
      </w:pPr>
      <w:hyperlink w:anchor="_Toc10703555" w:history="1">
        <w:r w:rsidR="00EB4B02" w:rsidRPr="00A43E67">
          <w:rPr>
            <w:rStyle w:val="Hyperlink"/>
          </w:rPr>
          <w:t>A.</w:t>
        </w:r>
        <w:r w:rsidR="00EB4B02">
          <w:rPr>
            <w:rFonts w:asciiTheme="minorHAnsi" w:eastAsiaTheme="minorEastAsia" w:hAnsiTheme="minorHAnsi" w:cstheme="minorBidi"/>
            <w:b w:val="0"/>
            <w:bCs w:val="0"/>
            <w:szCs w:val="22"/>
            <w:lang w:eastAsia="en-AU"/>
          </w:rPr>
          <w:tab/>
        </w:r>
        <w:r w:rsidR="00EB4B02" w:rsidRPr="00A43E67">
          <w:rPr>
            <w:rStyle w:val="Hyperlink"/>
          </w:rPr>
          <w:t xml:space="preserve">Amendments to </w:t>
        </w:r>
        <w:r w:rsidR="00EB4B02" w:rsidRPr="00A43E67">
          <w:rPr>
            <w:rStyle w:val="Hyperlink"/>
            <w:i/>
          </w:rPr>
          <w:t>Road Safety Act</w:t>
        </w:r>
        <w:r w:rsidR="00EB4B02" w:rsidRPr="00A43E67">
          <w:rPr>
            <w:rStyle w:val="Hyperlink"/>
          </w:rPr>
          <w:t xml:space="preserve"> passed in 2017</w:t>
        </w:r>
        <w:r w:rsidR="00EB4B02">
          <w:rPr>
            <w:webHidden/>
          </w:rPr>
          <w:tab/>
        </w:r>
        <w:r w:rsidR="00EB4B02">
          <w:rPr>
            <w:webHidden/>
          </w:rPr>
          <w:fldChar w:fldCharType="begin"/>
        </w:r>
        <w:r w:rsidR="00EB4B02">
          <w:rPr>
            <w:webHidden/>
          </w:rPr>
          <w:instrText xml:space="preserve"> PAGEREF _Toc10703555 \h </w:instrText>
        </w:r>
        <w:r w:rsidR="00EB4B02">
          <w:rPr>
            <w:webHidden/>
          </w:rPr>
        </w:r>
        <w:r w:rsidR="00EB4B02">
          <w:rPr>
            <w:webHidden/>
          </w:rPr>
          <w:fldChar w:fldCharType="separate"/>
        </w:r>
        <w:r w:rsidR="00EB4B02">
          <w:rPr>
            <w:webHidden/>
          </w:rPr>
          <w:t>204</w:t>
        </w:r>
        <w:r w:rsidR="00EB4B02">
          <w:rPr>
            <w:webHidden/>
          </w:rPr>
          <w:fldChar w:fldCharType="end"/>
        </w:r>
      </w:hyperlink>
    </w:p>
    <w:p w14:paraId="2450A223" w14:textId="164991BD" w:rsidR="00EB4B02" w:rsidRDefault="003C7C88">
      <w:pPr>
        <w:pStyle w:val="TOC1"/>
        <w:rPr>
          <w:rFonts w:asciiTheme="minorHAnsi" w:eastAsiaTheme="minorEastAsia" w:hAnsiTheme="minorHAnsi" w:cstheme="minorBidi"/>
          <w:b w:val="0"/>
          <w:bCs w:val="0"/>
          <w:szCs w:val="22"/>
          <w:lang w:eastAsia="en-AU"/>
        </w:rPr>
      </w:pPr>
      <w:hyperlink w:anchor="_Toc10703556" w:history="1">
        <w:r w:rsidR="00EB4B02" w:rsidRPr="00A43E67">
          <w:rPr>
            <w:rStyle w:val="Hyperlink"/>
          </w:rPr>
          <w:t>B.</w:t>
        </w:r>
        <w:r w:rsidR="00EB4B02">
          <w:rPr>
            <w:rFonts w:asciiTheme="minorHAnsi" w:eastAsiaTheme="minorEastAsia" w:hAnsiTheme="minorHAnsi" w:cstheme="minorBidi"/>
            <w:b w:val="0"/>
            <w:bCs w:val="0"/>
            <w:szCs w:val="22"/>
            <w:lang w:eastAsia="en-AU"/>
          </w:rPr>
          <w:tab/>
        </w:r>
        <w:r w:rsidR="00EB4B02" w:rsidRPr="00A43E67">
          <w:rPr>
            <w:rStyle w:val="Hyperlink"/>
          </w:rPr>
          <w:t>Relationship between regulations and legislation</w:t>
        </w:r>
        <w:r w:rsidR="00EB4B02">
          <w:rPr>
            <w:webHidden/>
          </w:rPr>
          <w:tab/>
        </w:r>
        <w:r w:rsidR="00EB4B02">
          <w:rPr>
            <w:webHidden/>
          </w:rPr>
          <w:fldChar w:fldCharType="begin"/>
        </w:r>
        <w:r w:rsidR="00EB4B02">
          <w:rPr>
            <w:webHidden/>
          </w:rPr>
          <w:instrText xml:space="preserve"> PAGEREF _Toc10703556 \h </w:instrText>
        </w:r>
        <w:r w:rsidR="00EB4B02">
          <w:rPr>
            <w:webHidden/>
          </w:rPr>
        </w:r>
        <w:r w:rsidR="00EB4B02">
          <w:rPr>
            <w:webHidden/>
          </w:rPr>
          <w:fldChar w:fldCharType="separate"/>
        </w:r>
        <w:r w:rsidR="00EB4B02">
          <w:rPr>
            <w:webHidden/>
          </w:rPr>
          <w:t>207</w:t>
        </w:r>
        <w:r w:rsidR="00EB4B02">
          <w:rPr>
            <w:webHidden/>
          </w:rPr>
          <w:fldChar w:fldCharType="end"/>
        </w:r>
      </w:hyperlink>
    </w:p>
    <w:p w14:paraId="4468D03D" w14:textId="2915A443" w:rsidR="00EB4B02" w:rsidRDefault="003C7C88">
      <w:pPr>
        <w:pStyle w:val="TOC1"/>
        <w:rPr>
          <w:rFonts w:asciiTheme="minorHAnsi" w:eastAsiaTheme="minorEastAsia" w:hAnsiTheme="minorHAnsi" w:cstheme="minorBidi"/>
          <w:b w:val="0"/>
          <w:bCs w:val="0"/>
          <w:szCs w:val="22"/>
          <w:lang w:eastAsia="en-AU"/>
        </w:rPr>
      </w:pPr>
      <w:hyperlink w:anchor="_Toc10703557" w:history="1">
        <w:r w:rsidR="00EB4B02" w:rsidRPr="00A43E67">
          <w:rPr>
            <w:rStyle w:val="Hyperlink"/>
          </w:rPr>
          <w:t>C.</w:t>
        </w:r>
        <w:r w:rsidR="00EB4B02">
          <w:rPr>
            <w:rFonts w:asciiTheme="minorHAnsi" w:eastAsiaTheme="minorEastAsia" w:hAnsiTheme="minorHAnsi" w:cstheme="minorBidi"/>
            <w:b w:val="0"/>
            <w:bCs w:val="0"/>
            <w:szCs w:val="22"/>
            <w:lang w:eastAsia="en-AU"/>
          </w:rPr>
          <w:tab/>
        </w:r>
        <w:r w:rsidR="00EB4B02" w:rsidRPr="00A43E67">
          <w:rPr>
            <w:rStyle w:val="Hyperlink"/>
          </w:rPr>
          <w:t>Proposed Road Safety (Drivers) Regulations 2019</w:t>
        </w:r>
        <w:r w:rsidR="00EB4B02">
          <w:rPr>
            <w:webHidden/>
          </w:rPr>
          <w:tab/>
        </w:r>
        <w:r w:rsidR="00EB4B02">
          <w:rPr>
            <w:webHidden/>
          </w:rPr>
          <w:fldChar w:fldCharType="begin"/>
        </w:r>
        <w:r w:rsidR="00EB4B02">
          <w:rPr>
            <w:webHidden/>
          </w:rPr>
          <w:instrText xml:space="preserve"> PAGEREF _Toc10703557 \h </w:instrText>
        </w:r>
        <w:r w:rsidR="00EB4B02">
          <w:rPr>
            <w:webHidden/>
          </w:rPr>
        </w:r>
        <w:r w:rsidR="00EB4B02">
          <w:rPr>
            <w:webHidden/>
          </w:rPr>
          <w:fldChar w:fldCharType="separate"/>
        </w:r>
        <w:r w:rsidR="00EB4B02">
          <w:rPr>
            <w:webHidden/>
          </w:rPr>
          <w:t>209</w:t>
        </w:r>
        <w:r w:rsidR="00EB4B02">
          <w:rPr>
            <w:webHidden/>
          </w:rPr>
          <w:fldChar w:fldCharType="end"/>
        </w:r>
      </w:hyperlink>
    </w:p>
    <w:p w14:paraId="04097E7E" w14:textId="52B8DC91" w:rsidR="00EB4B02" w:rsidRDefault="003C7C88">
      <w:pPr>
        <w:pStyle w:val="TOC1"/>
        <w:rPr>
          <w:rFonts w:asciiTheme="minorHAnsi" w:eastAsiaTheme="minorEastAsia" w:hAnsiTheme="minorHAnsi" w:cstheme="minorBidi"/>
          <w:b w:val="0"/>
          <w:bCs w:val="0"/>
          <w:szCs w:val="22"/>
          <w:lang w:eastAsia="en-AU"/>
        </w:rPr>
      </w:pPr>
      <w:hyperlink w:anchor="_Toc10703558" w:history="1">
        <w:r w:rsidR="00EB4B02" w:rsidRPr="00A43E67">
          <w:rPr>
            <w:rStyle w:val="Hyperlink"/>
          </w:rPr>
          <w:t>D.</w:t>
        </w:r>
        <w:r w:rsidR="00EB4B02">
          <w:rPr>
            <w:rFonts w:asciiTheme="minorHAnsi" w:eastAsiaTheme="minorEastAsia" w:hAnsiTheme="minorHAnsi" w:cstheme="minorBidi"/>
            <w:b w:val="0"/>
            <w:bCs w:val="0"/>
            <w:szCs w:val="22"/>
            <w:lang w:eastAsia="en-AU"/>
          </w:rPr>
          <w:tab/>
        </w:r>
        <w:r w:rsidR="00EB4B02" w:rsidRPr="00A43E67">
          <w:rPr>
            <w:rStyle w:val="Hyperlink"/>
          </w:rPr>
          <w:t>Overseas Licence Conversion Process Map</w:t>
        </w:r>
        <w:r w:rsidR="00EB4B02">
          <w:rPr>
            <w:webHidden/>
          </w:rPr>
          <w:tab/>
        </w:r>
        <w:r w:rsidR="00EB4B02">
          <w:rPr>
            <w:webHidden/>
          </w:rPr>
          <w:fldChar w:fldCharType="begin"/>
        </w:r>
        <w:r w:rsidR="00EB4B02">
          <w:rPr>
            <w:webHidden/>
          </w:rPr>
          <w:instrText xml:space="preserve"> PAGEREF _Toc10703558 \h </w:instrText>
        </w:r>
        <w:r w:rsidR="00EB4B02">
          <w:rPr>
            <w:webHidden/>
          </w:rPr>
        </w:r>
        <w:r w:rsidR="00EB4B02">
          <w:rPr>
            <w:webHidden/>
          </w:rPr>
          <w:fldChar w:fldCharType="separate"/>
        </w:r>
        <w:r w:rsidR="00EB4B02">
          <w:rPr>
            <w:webHidden/>
          </w:rPr>
          <w:t>224</w:t>
        </w:r>
        <w:r w:rsidR="00EB4B02">
          <w:rPr>
            <w:webHidden/>
          </w:rPr>
          <w:fldChar w:fldCharType="end"/>
        </w:r>
      </w:hyperlink>
    </w:p>
    <w:p w14:paraId="7B466270" w14:textId="526AC99C" w:rsidR="00EB4B02" w:rsidRDefault="003C7C88">
      <w:pPr>
        <w:pStyle w:val="TOC1"/>
        <w:rPr>
          <w:rFonts w:asciiTheme="minorHAnsi" w:eastAsiaTheme="minorEastAsia" w:hAnsiTheme="minorHAnsi" w:cstheme="minorBidi"/>
          <w:b w:val="0"/>
          <w:bCs w:val="0"/>
          <w:szCs w:val="22"/>
          <w:lang w:eastAsia="en-AU"/>
        </w:rPr>
      </w:pPr>
      <w:hyperlink w:anchor="_Toc10703559" w:history="1">
        <w:r w:rsidR="00EB4B02" w:rsidRPr="00A43E67">
          <w:rPr>
            <w:rStyle w:val="Hyperlink"/>
          </w:rPr>
          <w:t>E.</w:t>
        </w:r>
        <w:r w:rsidR="00EB4B02">
          <w:rPr>
            <w:rFonts w:asciiTheme="minorHAnsi" w:eastAsiaTheme="minorEastAsia" w:hAnsiTheme="minorHAnsi" w:cstheme="minorBidi"/>
            <w:b w:val="0"/>
            <w:bCs w:val="0"/>
            <w:szCs w:val="22"/>
            <w:lang w:eastAsia="en-AU"/>
          </w:rPr>
          <w:tab/>
        </w:r>
        <w:r w:rsidR="00EB4B02" w:rsidRPr="00A43E67">
          <w:rPr>
            <w:rStyle w:val="Hyperlink"/>
          </w:rPr>
          <w:t>Services under Road Safety (Vehicles) Regulations 2009</w:t>
        </w:r>
        <w:r w:rsidR="00EB4B02">
          <w:rPr>
            <w:webHidden/>
          </w:rPr>
          <w:tab/>
        </w:r>
        <w:r w:rsidR="00EB4B02">
          <w:rPr>
            <w:webHidden/>
          </w:rPr>
          <w:fldChar w:fldCharType="begin"/>
        </w:r>
        <w:r w:rsidR="00EB4B02">
          <w:rPr>
            <w:webHidden/>
          </w:rPr>
          <w:instrText xml:space="preserve"> PAGEREF _Toc10703559 \h </w:instrText>
        </w:r>
        <w:r w:rsidR="00EB4B02">
          <w:rPr>
            <w:webHidden/>
          </w:rPr>
        </w:r>
        <w:r w:rsidR="00EB4B02">
          <w:rPr>
            <w:webHidden/>
          </w:rPr>
          <w:fldChar w:fldCharType="separate"/>
        </w:r>
        <w:r w:rsidR="00EB4B02">
          <w:rPr>
            <w:webHidden/>
          </w:rPr>
          <w:t>225</w:t>
        </w:r>
        <w:r w:rsidR="00EB4B02">
          <w:rPr>
            <w:webHidden/>
          </w:rPr>
          <w:fldChar w:fldCharType="end"/>
        </w:r>
      </w:hyperlink>
    </w:p>
    <w:p w14:paraId="563B6B81" w14:textId="2C030386" w:rsidR="00EB4B02" w:rsidRDefault="003C7C88">
      <w:pPr>
        <w:pStyle w:val="TOC2"/>
        <w:rPr>
          <w:rFonts w:asciiTheme="minorHAnsi" w:eastAsiaTheme="minorEastAsia" w:hAnsiTheme="minorHAnsi" w:cstheme="minorBidi"/>
          <w:bCs w:val="0"/>
          <w:sz w:val="22"/>
          <w:szCs w:val="22"/>
          <w:lang w:eastAsia="en-AU"/>
        </w:rPr>
      </w:pPr>
      <w:hyperlink w:anchor="_Toc10703560" w:history="1">
        <w:r w:rsidR="00EB4B02" w:rsidRPr="00A43E67">
          <w:rPr>
            <w:rStyle w:val="Hyperlink"/>
          </w:rPr>
          <w:t>E1</w:t>
        </w:r>
        <w:r w:rsidR="00EB4B02">
          <w:rPr>
            <w:rFonts w:asciiTheme="minorHAnsi" w:eastAsiaTheme="minorEastAsia" w:hAnsiTheme="minorHAnsi" w:cstheme="minorBidi"/>
            <w:bCs w:val="0"/>
            <w:sz w:val="22"/>
            <w:szCs w:val="22"/>
            <w:lang w:eastAsia="en-AU"/>
          </w:rPr>
          <w:tab/>
        </w:r>
        <w:r w:rsidR="00EB4B02" w:rsidRPr="00A43E67">
          <w:rPr>
            <w:rStyle w:val="Hyperlink"/>
          </w:rPr>
          <w:t>Services Groups</w:t>
        </w:r>
        <w:r w:rsidR="00EB4B02">
          <w:rPr>
            <w:webHidden/>
          </w:rPr>
          <w:tab/>
        </w:r>
        <w:r w:rsidR="00EB4B02">
          <w:rPr>
            <w:webHidden/>
          </w:rPr>
          <w:fldChar w:fldCharType="begin"/>
        </w:r>
        <w:r w:rsidR="00EB4B02">
          <w:rPr>
            <w:webHidden/>
          </w:rPr>
          <w:instrText xml:space="preserve"> PAGEREF _Toc10703560 \h </w:instrText>
        </w:r>
        <w:r w:rsidR="00EB4B02">
          <w:rPr>
            <w:webHidden/>
          </w:rPr>
        </w:r>
        <w:r w:rsidR="00EB4B02">
          <w:rPr>
            <w:webHidden/>
          </w:rPr>
          <w:fldChar w:fldCharType="separate"/>
        </w:r>
        <w:r w:rsidR="00EB4B02">
          <w:rPr>
            <w:webHidden/>
          </w:rPr>
          <w:t>225</w:t>
        </w:r>
        <w:r w:rsidR="00EB4B02">
          <w:rPr>
            <w:webHidden/>
          </w:rPr>
          <w:fldChar w:fldCharType="end"/>
        </w:r>
      </w:hyperlink>
    </w:p>
    <w:p w14:paraId="409827C7" w14:textId="29EE19F4" w:rsidR="00EB4B02" w:rsidRDefault="003C7C88">
      <w:pPr>
        <w:pStyle w:val="TOC2"/>
        <w:rPr>
          <w:rFonts w:asciiTheme="minorHAnsi" w:eastAsiaTheme="minorEastAsia" w:hAnsiTheme="minorHAnsi" w:cstheme="minorBidi"/>
          <w:bCs w:val="0"/>
          <w:sz w:val="22"/>
          <w:szCs w:val="22"/>
          <w:lang w:eastAsia="en-AU"/>
        </w:rPr>
      </w:pPr>
      <w:hyperlink w:anchor="_Toc10703561" w:history="1">
        <w:r w:rsidR="00EB4B02" w:rsidRPr="00A43E67">
          <w:rPr>
            <w:rStyle w:val="Hyperlink"/>
          </w:rPr>
          <w:t>E2</w:t>
        </w:r>
        <w:r w:rsidR="00EB4B02">
          <w:rPr>
            <w:rFonts w:asciiTheme="minorHAnsi" w:eastAsiaTheme="minorEastAsia" w:hAnsiTheme="minorHAnsi" w:cstheme="minorBidi"/>
            <w:bCs w:val="0"/>
            <w:sz w:val="22"/>
            <w:szCs w:val="22"/>
            <w:lang w:eastAsia="en-AU"/>
          </w:rPr>
          <w:tab/>
        </w:r>
        <w:r w:rsidR="00EB4B02" w:rsidRPr="00A43E67">
          <w:rPr>
            <w:rStyle w:val="Hyperlink"/>
          </w:rPr>
          <w:t>Permissions Groups</w:t>
        </w:r>
        <w:r w:rsidR="00EB4B02">
          <w:rPr>
            <w:webHidden/>
          </w:rPr>
          <w:tab/>
        </w:r>
        <w:r w:rsidR="00EB4B02">
          <w:rPr>
            <w:webHidden/>
          </w:rPr>
          <w:fldChar w:fldCharType="begin"/>
        </w:r>
        <w:r w:rsidR="00EB4B02">
          <w:rPr>
            <w:webHidden/>
          </w:rPr>
          <w:instrText xml:space="preserve"> PAGEREF _Toc10703561 \h </w:instrText>
        </w:r>
        <w:r w:rsidR="00EB4B02">
          <w:rPr>
            <w:webHidden/>
          </w:rPr>
        </w:r>
        <w:r w:rsidR="00EB4B02">
          <w:rPr>
            <w:webHidden/>
          </w:rPr>
          <w:fldChar w:fldCharType="separate"/>
        </w:r>
        <w:r w:rsidR="00EB4B02">
          <w:rPr>
            <w:webHidden/>
          </w:rPr>
          <w:t>225</w:t>
        </w:r>
        <w:r w:rsidR="00EB4B02">
          <w:rPr>
            <w:webHidden/>
          </w:rPr>
          <w:fldChar w:fldCharType="end"/>
        </w:r>
      </w:hyperlink>
    </w:p>
    <w:p w14:paraId="283AD70F" w14:textId="42D560BE" w:rsidR="00EB4B02" w:rsidRDefault="003C7C88">
      <w:pPr>
        <w:pStyle w:val="TOC2"/>
        <w:rPr>
          <w:rFonts w:asciiTheme="minorHAnsi" w:eastAsiaTheme="minorEastAsia" w:hAnsiTheme="minorHAnsi" w:cstheme="minorBidi"/>
          <w:bCs w:val="0"/>
          <w:sz w:val="22"/>
          <w:szCs w:val="22"/>
          <w:lang w:eastAsia="en-AU"/>
        </w:rPr>
      </w:pPr>
      <w:hyperlink w:anchor="_Toc10703562" w:history="1">
        <w:r w:rsidR="00EB4B02" w:rsidRPr="00A43E67">
          <w:rPr>
            <w:rStyle w:val="Hyperlink"/>
          </w:rPr>
          <w:t>E3</w:t>
        </w:r>
        <w:r w:rsidR="00EB4B02">
          <w:rPr>
            <w:rFonts w:asciiTheme="minorHAnsi" w:eastAsiaTheme="minorEastAsia" w:hAnsiTheme="minorHAnsi" w:cstheme="minorBidi"/>
            <w:bCs w:val="0"/>
            <w:sz w:val="22"/>
            <w:szCs w:val="22"/>
            <w:lang w:eastAsia="en-AU"/>
          </w:rPr>
          <w:tab/>
        </w:r>
        <w:r w:rsidR="00EB4B02" w:rsidRPr="00A43E67">
          <w:rPr>
            <w:rStyle w:val="Hyperlink"/>
          </w:rPr>
          <w:t>Servicing Agreement Groups</w:t>
        </w:r>
        <w:r w:rsidR="00EB4B02">
          <w:rPr>
            <w:webHidden/>
          </w:rPr>
          <w:tab/>
        </w:r>
        <w:r w:rsidR="00EB4B02">
          <w:rPr>
            <w:webHidden/>
          </w:rPr>
          <w:fldChar w:fldCharType="begin"/>
        </w:r>
        <w:r w:rsidR="00EB4B02">
          <w:rPr>
            <w:webHidden/>
          </w:rPr>
          <w:instrText xml:space="preserve"> PAGEREF _Toc10703562 \h </w:instrText>
        </w:r>
        <w:r w:rsidR="00EB4B02">
          <w:rPr>
            <w:webHidden/>
          </w:rPr>
        </w:r>
        <w:r w:rsidR="00EB4B02">
          <w:rPr>
            <w:webHidden/>
          </w:rPr>
          <w:fldChar w:fldCharType="separate"/>
        </w:r>
        <w:r w:rsidR="00EB4B02">
          <w:rPr>
            <w:webHidden/>
          </w:rPr>
          <w:t>226</w:t>
        </w:r>
        <w:r w:rsidR="00EB4B02">
          <w:rPr>
            <w:webHidden/>
          </w:rPr>
          <w:fldChar w:fldCharType="end"/>
        </w:r>
      </w:hyperlink>
    </w:p>
    <w:p w14:paraId="74592526" w14:textId="1A198A4B" w:rsidR="00EB4B02" w:rsidRDefault="003C7C88">
      <w:pPr>
        <w:pStyle w:val="TOC1"/>
        <w:rPr>
          <w:rFonts w:asciiTheme="minorHAnsi" w:eastAsiaTheme="minorEastAsia" w:hAnsiTheme="minorHAnsi" w:cstheme="minorBidi"/>
          <w:b w:val="0"/>
          <w:bCs w:val="0"/>
          <w:szCs w:val="22"/>
          <w:lang w:eastAsia="en-AU"/>
        </w:rPr>
      </w:pPr>
      <w:hyperlink w:anchor="_Toc10703563" w:history="1">
        <w:r w:rsidR="00EB4B02" w:rsidRPr="00A43E67">
          <w:rPr>
            <w:rStyle w:val="Hyperlink"/>
          </w:rPr>
          <w:t>F.</w:t>
        </w:r>
        <w:r w:rsidR="00EB4B02">
          <w:rPr>
            <w:rFonts w:asciiTheme="minorHAnsi" w:eastAsiaTheme="minorEastAsia" w:hAnsiTheme="minorHAnsi" w:cstheme="minorBidi"/>
            <w:b w:val="0"/>
            <w:bCs w:val="0"/>
            <w:szCs w:val="22"/>
            <w:lang w:eastAsia="en-AU"/>
          </w:rPr>
          <w:tab/>
        </w:r>
        <w:r w:rsidR="00EB4B02" w:rsidRPr="00A43E67">
          <w:rPr>
            <w:rStyle w:val="Hyperlink"/>
          </w:rPr>
          <w:t>Demerit Points Table in Schedule 3 to proposed Regulations</w:t>
        </w:r>
        <w:r w:rsidR="00EB4B02">
          <w:rPr>
            <w:webHidden/>
          </w:rPr>
          <w:tab/>
        </w:r>
        <w:r w:rsidR="00EB4B02">
          <w:rPr>
            <w:webHidden/>
          </w:rPr>
          <w:fldChar w:fldCharType="begin"/>
        </w:r>
        <w:r w:rsidR="00EB4B02">
          <w:rPr>
            <w:webHidden/>
          </w:rPr>
          <w:instrText xml:space="preserve"> PAGEREF _Toc10703563 \h </w:instrText>
        </w:r>
        <w:r w:rsidR="00EB4B02">
          <w:rPr>
            <w:webHidden/>
          </w:rPr>
        </w:r>
        <w:r w:rsidR="00EB4B02">
          <w:rPr>
            <w:webHidden/>
          </w:rPr>
          <w:fldChar w:fldCharType="separate"/>
        </w:r>
        <w:r w:rsidR="00EB4B02">
          <w:rPr>
            <w:webHidden/>
          </w:rPr>
          <w:t>227</w:t>
        </w:r>
        <w:r w:rsidR="00EB4B02">
          <w:rPr>
            <w:webHidden/>
          </w:rPr>
          <w:fldChar w:fldCharType="end"/>
        </w:r>
      </w:hyperlink>
    </w:p>
    <w:p w14:paraId="1AF326AE" w14:textId="58BA1C68" w:rsidR="00EB4B02" w:rsidRDefault="003C7C88">
      <w:pPr>
        <w:pStyle w:val="TOC1"/>
        <w:rPr>
          <w:rFonts w:asciiTheme="minorHAnsi" w:eastAsiaTheme="minorEastAsia" w:hAnsiTheme="minorHAnsi" w:cstheme="minorBidi"/>
          <w:b w:val="0"/>
          <w:bCs w:val="0"/>
          <w:szCs w:val="22"/>
          <w:lang w:eastAsia="en-AU"/>
        </w:rPr>
      </w:pPr>
      <w:hyperlink w:anchor="_Toc10703564" w:history="1">
        <w:r w:rsidR="00EB4B02" w:rsidRPr="00A43E67">
          <w:rPr>
            <w:rStyle w:val="Hyperlink"/>
          </w:rPr>
          <w:t>G.</w:t>
        </w:r>
        <w:r w:rsidR="00EB4B02">
          <w:rPr>
            <w:rFonts w:asciiTheme="minorHAnsi" w:eastAsiaTheme="minorEastAsia" w:hAnsiTheme="minorHAnsi" w:cstheme="minorBidi"/>
            <w:b w:val="0"/>
            <w:bCs w:val="0"/>
            <w:szCs w:val="22"/>
            <w:lang w:eastAsia="en-AU"/>
          </w:rPr>
          <w:tab/>
        </w:r>
        <w:r w:rsidR="00EB4B02" w:rsidRPr="00A43E67">
          <w:rPr>
            <w:rStyle w:val="Hyperlink"/>
          </w:rPr>
          <w:t>Fee charges under the proposed regulations</w:t>
        </w:r>
        <w:r w:rsidR="00EB4B02">
          <w:rPr>
            <w:webHidden/>
          </w:rPr>
          <w:tab/>
        </w:r>
        <w:r w:rsidR="00EB4B02">
          <w:rPr>
            <w:webHidden/>
          </w:rPr>
          <w:fldChar w:fldCharType="begin"/>
        </w:r>
        <w:r w:rsidR="00EB4B02">
          <w:rPr>
            <w:webHidden/>
          </w:rPr>
          <w:instrText xml:space="preserve"> PAGEREF _Toc10703564 \h </w:instrText>
        </w:r>
        <w:r w:rsidR="00EB4B02">
          <w:rPr>
            <w:webHidden/>
          </w:rPr>
        </w:r>
        <w:r w:rsidR="00EB4B02">
          <w:rPr>
            <w:webHidden/>
          </w:rPr>
          <w:fldChar w:fldCharType="separate"/>
        </w:r>
        <w:r w:rsidR="00EB4B02">
          <w:rPr>
            <w:webHidden/>
          </w:rPr>
          <w:t>230</w:t>
        </w:r>
        <w:r w:rsidR="00EB4B02">
          <w:rPr>
            <w:webHidden/>
          </w:rPr>
          <w:fldChar w:fldCharType="end"/>
        </w:r>
      </w:hyperlink>
    </w:p>
    <w:p w14:paraId="7D1FAF0F" w14:textId="139A84DF" w:rsidR="00EB4B02" w:rsidRDefault="003C7C88">
      <w:pPr>
        <w:pStyle w:val="TOC1"/>
        <w:rPr>
          <w:rFonts w:asciiTheme="minorHAnsi" w:eastAsiaTheme="minorEastAsia" w:hAnsiTheme="minorHAnsi" w:cstheme="minorBidi"/>
          <w:b w:val="0"/>
          <w:bCs w:val="0"/>
          <w:szCs w:val="22"/>
          <w:lang w:eastAsia="en-AU"/>
        </w:rPr>
      </w:pPr>
      <w:hyperlink w:anchor="_Toc10703565" w:history="1">
        <w:r w:rsidR="00EB4B02" w:rsidRPr="00A43E67">
          <w:rPr>
            <w:rStyle w:val="Hyperlink"/>
          </w:rPr>
          <w:t>H.</w:t>
        </w:r>
        <w:r w:rsidR="00EB4B02">
          <w:rPr>
            <w:rFonts w:asciiTheme="minorHAnsi" w:eastAsiaTheme="minorEastAsia" w:hAnsiTheme="minorHAnsi" w:cstheme="minorBidi"/>
            <w:b w:val="0"/>
            <w:bCs w:val="0"/>
            <w:szCs w:val="22"/>
            <w:lang w:eastAsia="en-AU"/>
          </w:rPr>
          <w:tab/>
        </w:r>
        <w:r w:rsidR="00EB4B02" w:rsidRPr="00A43E67">
          <w:rPr>
            <w:rStyle w:val="Hyperlink"/>
          </w:rPr>
          <w:t>Abbreviations and acronyms</w:t>
        </w:r>
        <w:r w:rsidR="00EB4B02">
          <w:rPr>
            <w:webHidden/>
          </w:rPr>
          <w:tab/>
        </w:r>
        <w:r w:rsidR="00EB4B02">
          <w:rPr>
            <w:webHidden/>
          </w:rPr>
          <w:fldChar w:fldCharType="begin"/>
        </w:r>
        <w:r w:rsidR="00EB4B02">
          <w:rPr>
            <w:webHidden/>
          </w:rPr>
          <w:instrText xml:space="preserve"> PAGEREF _Toc10703565 \h </w:instrText>
        </w:r>
        <w:r w:rsidR="00EB4B02">
          <w:rPr>
            <w:webHidden/>
          </w:rPr>
        </w:r>
        <w:r w:rsidR="00EB4B02">
          <w:rPr>
            <w:webHidden/>
          </w:rPr>
          <w:fldChar w:fldCharType="separate"/>
        </w:r>
        <w:r w:rsidR="00EB4B02">
          <w:rPr>
            <w:webHidden/>
          </w:rPr>
          <w:t>232</w:t>
        </w:r>
        <w:r w:rsidR="00EB4B02">
          <w:rPr>
            <w:webHidden/>
          </w:rPr>
          <w:fldChar w:fldCharType="end"/>
        </w:r>
      </w:hyperlink>
    </w:p>
    <w:p w14:paraId="66707D3F" w14:textId="77150CEA" w:rsidR="00934F7E" w:rsidRPr="00573383" w:rsidRDefault="00A732D9" w:rsidP="00A907C9">
      <w:pPr>
        <w:rPr>
          <w:rFonts w:ascii="Segoe UI" w:hAnsi="Segoe UI" w:cs="Segoe UI"/>
          <w:b/>
          <w:bCs/>
          <w:caps/>
          <w:sz w:val="16"/>
          <w:szCs w:val="16"/>
        </w:rPr>
      </w:pPr>
      <w:r w:rsidRPr="00117C96">
        <w:rPr>
          <w:rFonts w:ascii="Segoe UI" w:hAnsi="Segoe UI" w:cs="Segoe UI"/>
          <w:b/>
          <w:bCs/>
          <w:caps/>
          <w:sz w:val="24"/>
          <w:szCs w:val="24"/>
        </w:rPr>
        <w:fldChar w:fldCharType="end"/>
      </w:r>
    </w:p>
    <w:p w14:paraId="0481C0C4" w14:textId="77777777" w:rsidR="00721FF6" w:rsidRPr="00933C3A" w:rsidRDefault="007428D0" w:rsidP="002528D1">
      <w:pPr>
        <w:spacing w:before="360"/>
        <w:rPr>
          <w:rFonts w:ascii="Segoe UI" w:hAnsi="Segoe UI" w:cs="Segoe UI"/>
          <w:b/>
          <w:color w:val="0C81BC"/>
          <w:sz w:val="36"/>
        </w:rPr>
      </w:pPr>
      <w:r w:rsidRPr="00933C3A">
        <w:rPr>
          <w:rFonts w:ascii="Segoe UI" w:hAnsi="Segoe UI" w:cs="Segoe UI"/>
          <w:b/>
          <w:color w:val="0C81BC"/>
          <w:sz w:val="36"/>
        </w:rPr>
        <w:t>Tables</w:t>
      </w:r>
    </w:p>
    <w:p w14:paraId="0ABA8E2F" w14:textId="6353970D" w:rsidR="0023710E" w:rsidRDefault="00A732D9">
      <w:pPr>
        <w:pStyle w:val="TableofFigures"/>
        <w:tabs>
          <w:tab w:val="right" w:leader="dot" w:pos="9515"/>
        </w:tabs>
        <w:rPr>
          <w:rFonts w:asciiTheme="minorHAnsi" w:eastAsiaTheme="minorEastAsia" w:hAnsiTheme="minorHAnsi"/>
          <w:noProof/>
          <w:sz w:val="22"/>
          <w:lang w:eastAsia="en-AU"/>
        </w:rPr>
      </w:pPr>
      <w:r w:rsidRPr="00117C96">
        <w:rPr>
          <w:rFonts w:cs="Segoe UI"/>
        </w:rPr>
        <w:fldChar w:fldCharType="begin"/>
      </w:r>
      <w:r w:rsidR="0069318E" w:rsidRPr="00117C96">
        <w:rPr>
          <w:rFonts w:cs="Segoe UI"/>
        </w:rPr>
        <w:instrText xml:space="preserve"> TOC \c "Table" </w:instrText>
      </w:r>
      <w:r w:rsidRPr="00117C96">
        <w:rPr>
          <w:rFonts w:cs="Segoe UI"/>
        </w:rPr>
        <w:fldChar w:fldCharType="separate"/>
      </w:r>
      <w:r w:rsidR="0023710E">
        <w:rPr>
          <w:noProof/>
        </w:rPr>
        <w:t>Table 1 – Three-stage national GLS framework</w:t>
      </w:r>
      <w:r w:rsidR="0023710E">
        <w:rPr>
          <w:noProof/>
        </w:rPr>
        <w:tab/>
      </w:r>
      <w:r w:rsidR="0023710E">
        <w:rPr>
          <w:noProof/>
        </w:rPr>
        <w:fldChar w:fldCharType="begin"/>
      </w:r>
      <w:r w:rsidR="0023710E">
        <w:rPr>
          <w:noProof/>
        </w:rPr>
        <w:instrText xml:space="preserve"> PAGEREF _Toc10703694 \h </w:instrText>
      </w:r>
      <w:r w:rsidR="0023710E">
        <w:rPr>
          <w:noProof/>
        </w:rPr>
      </w:r>
      <w:r w:rsidR="0023710E">
        <w:rPr>
          <w:noProof/>
        </w:rPr>
        <w:fldChar w:fldCharType="separate"/>
      </w:r>
      <w:r w:rsidR="0023710E">
        <w:rPr>
          <w:noProof/>
        </w:rPr>
        <w:t>12</w:t>
      </w:r>
      <w:r w:rsidR="0023710E">
        <w:rPr>
          <w:noProof/>
        </w:rPr>
        <w:fldChar w:fldCharType="end"/>
      </w:r>
    </w:p>
    <w:p w14:paraId="31ED6316" w14:textId="78F83C08"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 – Licensing services forecast annual cost recovery: FY19/20 to FY22/23 Average</w:t>
      </w:r>
      <w:r>
        <w:rPr>
          <w:noProof/>
        </w:rPr>
        <w:tab/>
      </w:r>
      <w:r>
        <w:rPr>
          <w:noProof/>
        </w:rPr>
        <w:fldChar w:fldCharType="begin"/>
      </w:r>
      <w:r>
        <w:rPr>
          <w:noProof/>
        </w:rPr>
        <w:instrText xml:space="preserve"> PAGEREF _Toc10703695 \h </w:instrText>
      </w:r>
      <w:r>
        <w:rPr>
          <w:noProof/>
        </w:rPr>
      </w:r>
      <w:r>
        <w:rPr>
          <w:noProof/>
        </w:rPr>
        <w:fldChar w:fldCharType="separate"/>
      </w:r>
      <w:r>
        <w:rPr>
          <w:noProof/>
        </w:rPr>
        <w:t>15</w:t>
      </w:r>
      <w:r>
        <w:rPr>
          <w:noProof/>
        </w:rPr>
        <w:fldChar w:fldCharType="end"/>
      </w:r>
    </w:p>
    <w:p w14:paraId="7AFF1DCD" w14:textId="406EF60A"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 – Components and objectives of the National Driver Licensing Scheme</w:t>
      </w:r>
      <w:r>
        <w:rPr>
          <w:noProof/>
        </w:rPr>
        <w:tab/>
      </w:r>
      <w:r>
        <w:rPr>
          <w:noProof/>
        </w:rPr>
        <w:fldChar w:fldCharType="begin"/>
      </w:r>
      <w:r>
        <w:rPr>
          <w:noProof/>
        </w:rPr>
        <w:instrText xml:space="preserve"> PAGEREF _Toc10703696 \h </w:instrText>
      </w:r>
      <w:r>
        <w:rPr>
          <w:noProof/>
        </w:rPr>
      </w:r>
      <w:r>
        <w:rPr>
          <w:noProof/>
        </w:rPr>
        <w:fldChar w:fldCharType="separate"/>
      </w:r>
      <w:r>
        <w:rPr>
          <w:noProof/>
        </w:rPr>
        <w:t>19</w:t>
      </w:r>
      <w:r>
        <w:rPr>
          <w:noProof/>
        </w:rPr>
        <w:fldChar w:fldCharType="end"/>
      </w:r>
    </w:p>
    <w:p w14:paraId="2827475F" w14:textId="6554AC67"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 – Elements of the National Motorcycle GLS best practice model</w:t>
      </w:r>
      <w:r>
        <w:rPr>
          <w:noProof/>
        </w:rPr>
        <w:tab/>
      </w:r>
      <w:r>
        <w:rPr>
          <w:noProof/>
        </w:rPr>
        <w:fldChar w:fldCharType="begin"/>
      </w:r>
      <w:r>
        <w:rPr>
          <w:noProof/>
        </w:rPr>
        <w:instrText xml:space="preserve"> PAGEREF _Toc10703697 \h </w:instrText>
      </w:r>
      <w:r>
        <w:rPr>
          <w:noProof/>
        </w:rPr>
      </w:r>
      <w:r>
        <w:rPr>
          <w:noProof/>
        </w:rPr>
        <w:fldChar w:fldCharType="separate"/>
      </w:r>
      <w:r>
        <w:rPr>
          <w:noProof/>
        </w:rPr>
        <w:t>24</w:t>
      </w:r>
      <w:r>
        <w:rPr>
          <w:noProof/>
        </w:rPr>
        <w:fldChar w:fldCharType="end"/>
      </w:r>
    </w:p>
    <w:p w14:paraId="05E9D1C5" w14:textId="2E254966" w:rsidR="0023710E" w:rsidRDefault="0023710E">
      <w:pPr>
        <w:pStyle w:val="TableofFigures"/>
        <w:tabs>
          <w:tab w:val="right" w:leader="dot" w:pos="9515"/>
        </w:tabs>
        <w:rPr>
          <w:rFonts w:asciiTheme="minorHAnsi" w:eastAsiaTheme="minorEastAsia" w:hAnsiTheme="minorHAnsi"/>
          <w:noProof/>
          <w:sz w:val="22"/>
          <w:lang w:eastAsia="en-AU"/>
        </w:rPr>
      </w:pPr>
      <w:r>
        <w:rPr>
          <w:noProof/>
        </w:rPr>
        <w:t xml:space="preserve">Table 5 – Licensing and related items listed in the </w:t>
      </w:r>
      <w:r w:rsidRPr="00396A81">
        <w:rPr>
          <w:i/>
          <w:noProof/>
        </w:rPr>
        <w:t>RSA</w:t>
      </w:r>
      <w:r>
        <w:rPr>
          <w:noProof/>
        </w:rPr>
        <w:t xml:space="preserve"> to be prescribed by regulation</w:t>
      </w:r>
      <w:r>
        <w:rPr>
          <w:noProof/>
        </w:rPr>
        <w:tab/>
      </w:r>
      <w:r>
        <w:rPr>
          <w:noProof/>
        </w:rPr>
        <w:fldChar w:fldCharType="begin"/>
      </w:r>
      <w:r>
        <w:rPr>
          <w:noProof/>
        </w:rPr>
        <w:instrText xml:space="preserve"> PAGEREF _Toc10703698 \h </w:instrText>
      </w:r>
      <w:r>
        <w:rPr>
          <w:noProof/>
        </w:rPr>
      </w:r>
      <w:r>
        <w:rPr>
          <w:noProof/>
        </w:rPr>
        <w:fldChar w:fldCharType="separate"/>
      </w:r>
      <w:r>
        <w:rPr>
          <w:noProof/>
        </w:rPr>
        <w:t>27</w:t>
      </w:r>
      <w:r>
        <w:rPr>
          <w:noProof/>
        </w:rPr>
        <w:fldChar w:fldCharType="end"/>
      </w:r>
    </w:p>
    <w:p w14:paraId="76212644" w14:textId="50DC8B7E"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 – Options assessment criteria</w:t>
      </w:r>
      <w:r>
        <w:rPr>
          <w:noProof/>
        </w:rPr>
        <w:tab/>
      </w:r>
      <w:r>
        <w:rPr>
          <w:noProof/>
        </w:rPr>
        <w:fldChar w:fldCharType="begin"/>
      </w:r>
      <w:r>
        <w:rPr>
          <w:noProof/>
        </w:rPr>
        <w:instrText xml:space="preserve"> PAGEREF _Toc10703699 \h </w:instrText>
      </w:r>
      <w:r>
        <w:rPr>
          <w:noProof/>
        </w:rPr>
      </w:r>
      <w:r>
        <w:rPr>
          <w:noProof/>
        </w:rPr>
        <w:fldChar w:fldCharType="separate"/>
      </w:r>
      <w:r>
        <w:rPr>
          <w:noProof/>
        </w:rPr>
        <w:t>34</w:t>
      </w:r>
      <w:r>
        <w:rPr>
          <w:noProof/>
        </w:rPr>
        <w:fldChar w:fldCharType="end"/>
      </w:r>
    </w:p>
    <w:p w14:paraId="70C5E547" w14:textId="03F53C40"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 – Options assessment criteria ratings</w:t>
      </w:r>
      <w:r>
        <w:rPr>
          <w:noProof/>
        </w:rPr>
        <w:tab/>
      </w:r>
      <w:r>
        <w:rPr>
          <w:noProof/>
        </w:rPr>
        <w:fldChar w:fldCharType="begin"/>
      </w:r>
      <w:r>
        <w:rPr>
          <w:noProof/>
        </w:rPr>
        <w:instrText xml:space="preserve"> PAGEREF _Toc10703700 \h </w:instrText>
      </w:r>
      <w:r>
        <w:rPr>
          <w:noProof/>
        </w:rPr>
      </w:r>
      <w:r>
        <w:rPr>
          <w:noProof/>
        </w:rPr>
        <w:fldChar w:fldCharType="separate"/>
      </w:r>
      <w:r>
        <w:rPr>
          <w:noProof/>
        </w:rPr>
        <w:t>34</w:t>
      </w:r>
      <w:r>
        <w:rPr>
          <w:noProof/>
        </w:rPr>
        <w:fldChar w:fldCharType="end"/>
      </w:r>
    </w:p>
    <w:p w14:paraId="72F9C841" w14:textId="08F7CF6A"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8 – Key road safety risk factors affecting all drivers and motorcyclists</w:t>
      </w:r>
      <w:r>
        <w:rPr>
          <w:noProof/>
        </w:rPr>
        <w:tab/>
      </w:r>
      <w:r>
        <w:rPr>
          <w:noProof/>
        </w:rPr>
        <w:fldChar w:fldCharType="begin"/>
      </w:r>
      <w:r>
        <w:rPr>
          <w:noProof/>
        </w:rPr>
        <w:instrText xml:space="preserve"> PAGEREF _Toc10703701 \h </w:instrText>
      </w:r>
      <w:r>
        <w:rPr>
          <w:noProof/>
        </w:rPr>
      </w:r>
      <w:r>
        <w:rPr>
          <w:noProof/>
        </w:rPr>
        <w:fldChar w:fldCharType="separate"/>
      </w:r>
      <w:r>
        <w:rPr>
          <w:noProof/>
        </w:rPr>
        <w:t>36</w:t>
      </w:r>
      <w:r>
        <w:rPr>
          <w:noProof/>
        </w:rPr>
        <w:fldChar w:fldCharType="end"/>
      </w:r>
    </w:p>
    <w:p w14:paraId="7384625E" w14:textId="13AA3BA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9 – Key road safety risk factors affecting young and novice drivers and motorcyclists</w:t>
      </w:r>
      <w:r>
        <w:rPr>
          <w:noProof/>
        </w:rPr>
        <w:tab/>
      </w:r>
      <w:r>
        <w:rPr>
          <w:noProof/>
        </w:rPr>
        <w:fldChar w:fldCharType="begin"/>
      </w:r>
      <w:r>
        <w:rPr>
          <w:noProof/>
        </w:rPr>
        <w:instrText xml:space="preserve"> PAGEREF _Toc10703702 \h </w:instrText>
      </w:r>
      <w:r>
        <w:rPr>
          <w:noProof/>
        </w:rPr>
      </w:r>
      <w:r>
        <w:rPr>
          <w:noProof/>
        </w:rPr>
        <w:fldChar w:fldCharType="separate"/>
      </w:r>
      <w:r>
        <w:rPr>
          <w:noProof/>
        </w:rPr>
        <w:t>43</w:t>
      </w:r>
      <w:r>
        <w:rPr>
          <w:noProof/>
        </w:rPr>
        <w:fldChar w:fldCharType="end"/>
      </w:r>
    </w:p>
    <w:p w14:paraId="38BE9A9F" w14:textId="3ABB873F"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10 – Current car and motorcycle licences and learner permits in Victoria as at 31 December 2018</w:t>
      </w:r>
      <w:r>
        <w:rPr>
          <w:noProof/>
        </w:rPr>
        <w:tab/>
      </w:r>
      <w:r>
        <w:rPr>
          <w:noProof/>
        </w:rPr>
        <w:fldChar w:fldCharType="begin"/>
      </w:r>
      <w:r>
        <w:rPr>
          <w:noProof/>
        </w:rPr>
        <w:instrText xml:space="preserve"> PAGEREF _Toc10703703 \h </w:instrText>
      </w:r>
      <w:r>
        <w:rPr>
          <w:noProof/>
        </w:rPr>
      </w:r>
      <w:r>
        <w:rPr>
          <w:noProof/>
        </w:rPr>
        <w:fldChar w:fldCharType="separate"/>
      </w:r>
      <w:r>
        <w:rPr>
          <w:noProof/>
        </w:rPr>
        <w:t>49</w:t>
      </w:r>
      <w:r>
        <w:rPr>
          <w:noProof/>
        </w:rPr>
        <w:fldChar w:fldCharType="end"/>
      </w:r>
    </w:p>
    <w:p w14:paraId="033EA3F3" w14:textId="491F09E4"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11 – GLS driver profile by age group: current Victorian learner permits and probationary licences as at 31 December 2018</w:t>
      </w:r>
      <w:r>
        <w:rPr>
          <w:noProof/>
        </w:rPr>
        <w:tab/>
      </w:r>
      <w:r>
        <w:rPr>
          <w:noProof/>
        </w:rPr>
        <w:fldChar w:fldCharType="begin"/>
      </w:r>
      <w:r>
        <w:rPr>
          <w:noProof/>
        </w:rPr>
        <w:instrText xml:space="preserve"> PAGEREF _Toc10703704 \h </w:instrText>
      </w:r>
      <w:r>
        <w:rPr>
          <w:noProof/>
        </w:rPr>
      </w:r>
      <w:r>
        <w:rPr>
          <w:noProof/>
        </w:rPr>
        <w:fldChar w:fldCharType="separate"/>
      </w:r>
      <w:r>
        <w:rPr>
          <w:noProof/>
        </w:rPr>
        <w:t>49</w:t>
      </w:r>
      <w:r>
        <w:rPr>
          <w:noProof/>
        </w:rPr>
        <w:fldChar w:fldCharType="end"/>
      </w:r>
    </w:p>
    <w:p w14:paraId="1524611F" w14:textId="3901620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12 – Key road safety risk factors affecting motorcyclists specifically</w:t>
      </w:r>
      <w:r>
        <w:rPr>
          <w:noProof/>
        </w:rPr>
        <w:tab/>
      </w:r>
      <w:r>
        <w:rPr>
          <w:noProof/>
        </w:rPr>
        <w:fldChar w:fldCharType="begin"/>
      </w:r>
      <w:r>
        <w:rPr>
          <w:noProof/>
        </w:rPr>
        <w:instrText xml:space="preserve"> PAGEREF _Toc10703705 \h </w:instrText>
      </w:r>
      <w:r>
        <w:rPr>
          <w:noProof/>
        </w:rPr>
      </w:r>
      <w:r>
        <w:rPr>
          <w:noProof/>
        </w:rPr>
        <w:fldChar w:fldCharType="separate"/>
      </w:r>
      <w:r>
        <w:rPr>
          <w:noProof/>
        </w:rPr>
        <w:t>50</w:t>
      </w:r>
      <w:r>
        <w:rPr>
          <w:noProof/>
        </w:rPr>
        <w:fldChar w:fldCharType="end"/>
      </w:r>
    </w:p>
    <w:p w14:paraId="2FAE8C73" w14:textId="26D59AEE"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13 – Fatalities per 100,000 population in Australian jurisdictions in 2018</w:t>
      </w:r>
      <w:r>
        <w:rPr>
          <w:noProof/>
        </w:rPr>
        <w:tab/>
      </w:r>
      <w:r>
        <w:rPr>
          <w:noProof/>
        </w:rPr>
        <w:fldChar w:fldCharType="begin"/>
      </w:r>
      <w:r>
        <w:rPr>
          <w:noProof/>
        </w:rPr>
        <w:instrText xml:space="preserve"> PAGEREF _Toc10703706 \h </w:instrText>
      </w:r>
      <w:r>
        <w:rPr>
          <w:noProof/>
        </w:rPr>
      </w:r>
      <w:r>
        <w:rPr>
          <w:noProof/>
        </w:rPr>
        <w:fldChar w:fldCharType="separate"/>
      </w:r>
      <w:r>
        <w:rPr>
          <w:noProof/>
        </w:rPr>
        <w:t>55</w:t>
      </w:r>
      <w:r>
        <w:rPr>
          <w:noProof/>
        </w:rPr>
        <w:fldChar w:fldCharType="end"/>
      </w:r>
    </w:p>
    <w:p w14:paraId="564EEC5F" w14:textId="228B8F7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14 – Fatalities per 100,000 registered vehicles in Australian jurisdictions in 2018</w:t>
      </w:r>
      <w:r>
        <w:rPr>
          <w:noProof/>
        </w:rPr>
        <w:tab/>
      </w:r>
      <w:r>
        <w:rPr>
          <w:noProof/>
        </w:rPr>
        <w:fldChar w:fldCharType="begin"/>
      </w:r>
      <w:r>
        <w:rPr>
          <w:noProof/>
        </w:rPr>
        <w:instrText xml:space="preserve"> PAGEREF _Toc10703707 \h </w:instrText>
      </w:r>
      <w:r>
        <w:rPr>
          <w:noProof/>
        </w:rPr>
      </w:r>
      <w:r>
        <w:rPr>
          <w:noProof/>
        </w:rPr>
        <w:fldChar w:fldCharType="separate"/>
      </w:r>
      <w:r>
        <w:rPr>
          <w:noProof/>
        </w:rPr>
        <w:t>56</w:t>
      </w:r>
      <w:r>
        <w:rPr>
          <w:noProof/>
        </w:rPr>
        <w:fldChar w:fldCharType="end"/>
      </w:r>
    </w:p>
    <w:p w14:paraId="2CCED520" w14:textId="3D937CEB"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15 – Fatalities per 100 million kilometres travelled in Australian jurisdictions in 2017</w:t>
      </w:r>
      <w:r>
        <w:rPr>
          <w:noProof/>
        </w:rPr>
        <w:tab/>
      </w:r>
      <w:r>
        <w:rPr>
          <w:noProof/>
        </w:rPr>
        <w:fldChar w:fldCharType="begin"/>
      </w:r>
      <w:r>
        <w:rPr>
          <w:noProof/>
        </w:rPr>
        <w:instrText xml:space="preserve"> PAGEREF _Toc10703708 \h </w:instrText>
      </w:r>
      <w:r>
        <w:rPr>
          <w:noProof/>
        </w:rPr>
      </w:r>
      <w:r>
        <w:rPr>
          <w:noProof/>
        </w:rPr>
        <w:fldChar w:fldCharType="separate"/>
      </w:r>
      <w:r>
        <w:rPr>
          <w:noProof/>
        </w:rPr>
        <w:t>56</w:t>
      </w:r>
      <w:r>
        <w:rPr>
          <w:noProof/>
        </w:rPr>
        <w:fldChar w:fldCharType="end"/>
      </w:r>
    </w:p>
    <w:p w14:paraId="15D2F396" w14:textId="60AB534D"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16 – Cost of road trauma in Victoria</w:t>
      </w:r>
      <w:r>
        <w:rPr>
          <w:noProof/>
        </w:rPr>
        <w:tab/>
      </w:r>
      <w:r>
        <w:rPr>
          <w:noProof/>
        </w:rPr>
        <w:fldChar w:fldCharType="begin"/>
      </w:r>
      <w:r>
        <w:rPr>
          <w:noProof/>
        </w:rPr>
        <w:instrText xml:space="preserve"> PAGEREF _Toc10703709 \h </w:instrText>
      </w:r>
      <w:r>
        <w:rPr>
          <w:noProof/>
        </w:rPr>
      </w:r>
      <w:r>
        <w:rPr>
          <w:noProof/>
        </w:rPr>
        <w:fldChar w:fldCharType="separate"/>
      </w:r>
      <w:r>
        <w:rPr>
          <w:noProof/>
        </w:rPr>
        <w:t>59</w:t>
      </w:r>
      <w:r>
        <w:rPr>
          <w:noProof/>
        </w:rPr>
        <w:fldChar w:fldCharType="end"/>
      </w:r>
    </w:p>
    <w:p w14:paraId="58D7757E" w14:textId="7FFAA24C"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17 – Victorian drive test pass rates in 2016</w:t>
      </w:r>
      <w:r>
        <w:rPr>
          <w:noProof/>
        </w:rPr>
        <w:tab/>
      </w:r>
      <w:r>
        <w:rPr>
          <w:noProof/>
        </w:rPr>
        <w:fldChar w:fldCharType="begin"/>
      </w:r>
      <w:r>
        <w:rPr>
          <w:noProof/>
        </w:rPr>
        <w:instrText xml:space="preserve"> PAGEREF _Toc10703710 \h </w:instrText>
      </w:r>
      <w:r>
        <w:rPr>
          <w:noProof/>
        </w:rPr>
      </w:r>
      <w:r>
        <w:rPr>
          <w:noProof/>
        </w:rPr>
        <w:fldChar w:fldCharType="separate"/>
      </w:r>
      <w:r>
        <w:rPr>
          <w:noProof/>
        </w:rPr>
        <w:t>63</w:t>
      </w:r>
      <w:r>
        <w:rPr>
          <w:noProof/>
        </w:rPr>
        <w:fldChar w:fldCharType="end"/>
      </w:r>
    </w:p>
    <w:p w14:paraId="5CC33EDC" w14:textId="3186488F"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18 – Crash involvement rates of young drivers (18–23 years) in their first year of driving</w:t>
      </w:r>
      <w:r>
        <w:rPr>
          <w:noProof/>
        </w:rPr>
        <w:tab/>
      </w:r>
      <w:r>
        <w:rPr>
          <w:noProof/>
        </w:rPr>
        <w:fldChar w:fldCharType="begin"/>
      </w:r>
      <w:r>
        <w:rPr>
          <w:noProof/>
        </w:rPr>
        <w:instrText xml:space="preserve"> PAGEREF _Toc10703711 \h </w:instrText>
      </w:r>
      <w:r>
        <w:rPr>
          <w:noProof/>
        </w:rPr>
      </w:r>
      <w:r>
        <w:rPr>
          <w:noProof/>
        </w:rPr>
        <w:fldChar w:fldCharType="separate"/>
      </w:r>
      <w:r>
        <w:rPr>
          <w:noProof/>
        </w:rPr>
        <w:t>64</w:t>
      </w:r>
      <w:r>
        <w:rPr>
          <w:noProof/>
        </w:rPr>
        <w:fldChar w:fldCharType="end"/>
      </w:r>
    </w:p>
    <w:p w14:paraId="494F60D4" w14:textId="271C3CB7"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19 – Victoria’s enhanced M-GLS learner and licence phase restrictions</w:t>
      </w:r>
      <w:r>
        <w:rPr>
          <w:noProof/>
        </w:rPr>
        <w:tab/>
      </w:r>
      <w:r>
        <w:rPr>
          <w:noProof/>
        </w:rPr>
        <w:fldChar w:fldCharType="begin"/>
      </w:r>
      <w:r>
        <w:rPr>
          <w:noProof/>
        </w:rPr>
        <w:instrText xml:space="preserve"> PAGEREF _Toc10703712 \h </w:instrText>
      </w:r>
      <w:r>
        <w:rPr>
          <w:noProof/>
        </w:rPr>
      </w:r>
      <w:r>
        <w:rPr>
          <w:noProof/>
        </w:rPr>
        <w:fldChar w:fldCharType="separate"/>
      </w:r>
      <w:r>
        <w:rPr>
          <w:noProof/>
        </w:rPr>
        <w:t>66</w:t>
      </w:r>
      <w:r>
        <w:rPr>
          <w:noProof/>
        </w:rPr>
        <w:fldChar w:fldCharType="end"/>
      </w:r>
    </w:p>
    <w:p w14:paraId="054275DE" w14:textId="03B99D73"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20 – Three-stage national GLS framework</w:t>
      </w:r>
      <w:r>
        <w:rPr>
          <w:noProof/>
        </w:rPr>
        <w:tab/>
      </w:r>
      <w:r>
        <w:rPr>
          <w:noProof/>
        </w:rPr>
        <w:fldChar w:fldCharType="begin"/>
      </w:r>
      <w:r>
        <w:rPr>
          <w:noProof/>
        </w:rPr>
        <w:instrText xml:space="preserve"> PAGEREF _Toc10703713 \h </w:instrText>
      </w:r>
      <w:r>
        <w:rPr>
          <w:noProof/>
        </w:rPr>
      </w:r>
      <w:r>
        <w:rPr>
          <w:noProof/>
        </w:rPr>
        <w:fldChar w:fldCharType="separate"/>
      </w:r>
      <w:r>
        <w:rPr>
          <w:noProof/>
        </w:rPr>
        <w:t>69</w:t>
      </w:r>
      <w:r>
        <w:rPr>
          <w:noProof/>
        </w:rPr>
        <w:fldChar w:fldCharType="end"/>
      </w:r>
    </w:p>
    <w:p w14:paraId="61B078BF" w14:textId="3A427623" w:rsidR="0023710E" w:rsidRDefault="0023710E">
      <w:pPr>
        <w:pStyle w:val="TableofFigures"/>
        <w:tabs>
          <w:tab w:val="right" w:leader="dot" w:pos="9515"/>
        </w:tabs>
        <w:rPr>
          <w:rFonts w:asciiTheme="minorHAnsi" w:eastAsiaTheme="minorEastAsia" w:hAnsiTheme="minorHAnsi"/>
          <w:noProof/>
          <w:sz w:val="22"/>
          <w:lang w:eastAsia="en-AU"/>
        </w:rPr>
      </w:pPr>
      <w:r>
        <w:rPr>
          <w:noProof/>
        </w:rPr>
        <w:lastRenderedPageBreak/>
        <w:t>Table 21 – Current overseas driver licence conversion volumes (Aug 2015-July 2016)</w:t>
      </w:r>
      <w:r>
        <w:rPr>
          <w:noProof/>
        </w:rPr>
        <w:tab/>
      </w:r>
      <w:r>
        <w:rPr>
          <w:noProof/>
        </w:rPr>
        <w:fldChar w:fldCharType="begin"/>
      </w:r>
      <w:r>
        <w:rPr>
          <w:noProof/>
        </w:rPr>
        <w:instrText xml:space="preserve"> PAGEREF _Toc10703714 \h </w:instrText>
      </w:r>
      <w:r>
        <w:rPr>
          <w:noProof/>
        </w:rPr>
      </w:r>
      <w:r>
        <w:rPr>
          <w:noProof/>
        </w:rPr>
        <w:fldChar w:fldCharType="separate"/>
      </w:r>
      <w:r>
        <w:rPr>
          <w:noProof/>
        </w:rPr>
        <w:t>88</w:t>
      </w:r>
      <w:r>
        <w:rPr>
          <w:noProof/>
        </w:rPr>
        <w:fldChar w:fldCharType="end"/>
      </w:r>
    </w:p>
    <w:p w14:paraId="4A1532F1" w14:textId="11E4D7CE"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22 – Options considered for Victorian licence conversion</w:t>
      </w:r>
      <w:r>
        <w:rPr>
          <w:noProof/>
        </w:rPr>
        <w:tab/>
      </w:r>
      <w:r>
        <w:rPr>
          <w:noProof/>
        </w:rPr>
        <w:fldChar w:fldCharType="begin"/>
      </w:r>
      <w:r>
        <w:rPr>
          <w:noProof/>
        </w:rPr>
        <w:instrText xml:space="preserve"> PAGEREF _Toc10703715 \h </w:instrText>
      </w:r>
      <w:r>
        <w:rPr>
          <w:noProof/>
        </w:rPr>
      </w:r>
      <w:r>
        <w:rPr>
          <w:noProof/>
        </w:rPr>
        <w:fldChar w:fldCharType="separate"/>
      </w:r>
      <w:r>
        <w:rPr>
          <w:noProof/>
        </w:rPr>
        <w:t>92</w:t>
      </w:r>
      <w:r>
        <w:rPr>
          <w:noProof/>
        </w:rPr>
        <w:fldChar w:fldCharType="end"/>
      </w:r>
    </w:p>
    <w:p w14:paraId="2A50358C" w14:textId="272322B8"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23 – Recognition of other jurisdictions’ driving licences and experience: Comparative weighted scores for options considered</w:t>
      </w:r>
      <w:r>
        <w:rPr>
          <w:noProof/>
        </w:rPr>
        <w:tab/>
      </w:r>
      <w:r>
        <w:rPr>
          <w:noProof/>
        </w:rPr>
        <w:fldChar w:fldCharType="begin"/>
      </w:r>
      <w:r>
        <w:rPr>
          <w:noProof/>
        </w:rPr>
        <w:instrText xml:space="preserve"> PAGEREF _Toc10703716 \h </w:instrText>
      </w:r>
      <w:r>
        <w:rPr>
          <w:noProof/>
        </w:rPr>
      </w:r>
      <w:r>
        <w:rPr>
          <w:noProof/>
        </w:rPr>
        <w:fldChar w:fldCharType="separate"/>
      </w:r>
      <w:r>
        <w:rPr>
          <w:noProof/>
        </w:rPr>
        <w:t>92</w:t>
      </w:r>
      <w:r>
        <w:rPr>
          <w:noProof/>
        </w:rPr>
        <w:fldChar w:fldCharType="end"/>
      </w:r>
    </w:p>
    <w:p w14:paraId="62230836" w14:textId="3EBEDC6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24 – Multi Criteria Assessment of options relating to medical fitness to drive for older drivers</w:t>
      </w:r>
      <w:r>
        <w:rPr>
          <w:noProof/>
        </w:rPr>
        <w:tab/>
      </w:r>
      <w:r>
        <w:rPr>
          <w:noProof/>
        </w:rPr>
        <w:fldChar w:fldCharType="begin"/>
      </w:r>
      <w:r>
        <w:rPr>
          <w:noProof/>
        </w:rPr>
        <w:instrText xml:space="preserve"> PAGEREF _Toc10703717 \h </w:instrText>
      </w:r>
      <w:r>
        <w:rPr>
          <w:noProof/>
        </w:rPr>
      </w:r>
      <w:r>
        <w:rPr>
          <w:noProof/>
        </w:rPr>
        <w:fldChar w:fldCharType="separate"/>
      </w:r>
      <w:r>
        <w:rPr>
          <w:noProof/>
        </w:rPr>
        <w:t>103</w:t>
      </w:r>
      <w:r>
        <w:rPr>
          <w:noProof/>
        </w:rPr>
        <w:fldChar w:fldCharType="end"/>
      </w:r>
    </w:p>
    <w:p w14:paraId="74FEDCFA" w14:textId="275A3850"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25 – Multi Criteria Assessment of options relating to mandatory medical reporting of drivers</w:t>
      </w:r>
      <w:r>
        <w:rPr>
          <w:noProof/>
        </w:rPr>
        <w:tab/>
      </w:r>
      <w:r>
        <w:rPr>
          <w:noProof/>
        </w:rPr>
        <w:fldChar w:fldCharType="begin"/>
      </w:r>
      <w:r>
        <w:rPr>
          <w:noProof/>
        </w:rPr>
        <w:instrText xml:space="preserve"> PAGEREF _Toc10703718 \h </w:instrText>
      </w:r>
      <w:r>
        <w:rPr>
          <w:noProof/>
        </w:rPr>
      </w:r>
      <w:r>
        <w:rPr>
          <w:noProof/>
        </w:rPr>
        <w:fldChar w:fldCharType="separate"/>
      </w:r>
      <w:r>
        <w:rPr>
          <w:noProof/>
        </w:rPr>
        <w:t>106</w:t>
      </w:r>
      <w:r>
        <w:rPr>
          <w:noProof/>
        </w:rPr>
        <w:fldChar w:fldCharType="end"/>
      </w:r>
    </w:p>
    <w:p w14:paraId="70704918" w14:textId="4CE3BF14"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26 – Summary of the proposed regulations relevant to learner drivers</w:t>
      </w:r>
      <w:r>
        <w:rPr>
          <w:noProof/>
        </w:rPr>
        <w:tab/>
      </w:r>
      <w:r>
        <w:rPr>
          <w:noProof/>
        </w:rPr>
        <w:fldChar w:fldCharType="begin"/>
      </w:r>
      <w:r>
        <w:rPr>
          <w:noProof/>
        </w:rPr>
        <w:instrText xml:space="preserve"> PAGEREF _Toc10703719 \h </w:instrText>
      </w:r>
      <w:r>
        <w:rPr>
          <w:noProof/>
        </w:rPr>
      </w:r>
      <w:r>
        <w:rPr>
          <w:noProof/>
        </w:rPr>
        <w:fldChar w:fldCharType="separate"/>
      </w:r>
      <w:r>
        <w:rPr>
          <w:noProof/>
        </w:rPr>
        <w:t>109</w:t>
      </w:r>
      <w:r>
        <w:rPr>
          <w:noProof/>
        </w:rPr>
        <w:fldChar w:fldCharType="end"/>
      </w:r>
    </w:p>
    <w:p w14:paraId="1EB11BAD" w14:textId="7F690B41"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27 – Legislative and regulatory sources: Learner Permits</w:t>
      </w:r>
      <w:r>
        <w:rPr>
          <w:noProof/>
        </w:rPr>
        <w:tab/>
      </w:r>
      <w:r>
        <w:rPr>
          <w:noProof/>
        </w:rPr>
        <w:fldChar w:fldCharType="begin"/>
      </w:r>
      <w:r>
        <w:rPr>
          <w:noProof/>
        </w:rPr>
        <w:instrText xml:space="preserve"> PAGEREF _Toc10703720 \h </w:instrText>
      </w:r>
      <w:r>
        <w:rPr>
          <w:noProof/>
        </w:rPr>
      </w:r>
      <w:r>
        <w:rPr>
          <w:noProof/>
        </w:rPr>
        <w:fldChar w:fldCharType="separate"/>
      </w:r>
      <w:r>
        <w:rPr>
          <w:noProof/>
        </w:rPr>
        <w:t>110</w:t>
      </w:r>
      <w:r>
        <w:rPr>
          <w:noProof/>
        </w:rPr>
        <w:fldChar w:fldCharType="end"/>
      </w:r>
    </w:p>
    <w:p w14:paraId="0B7F7C5D" w14:textId="0E805BB9"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28 – Summary of the proposed regulations relevant to probationary licences</w:t>
      </w:r>
      <w:r>
        <w:rPr>
          <w:noProof/>
        </w:rPr>
        <w:tab/>
      </w:r>
      <w:r>
        <w:rPr>
          <w:noProof/>
        </w:rPr>
        <w:fldChar w:fldCharType="begin"/>
      </w:r>
      <w:r>
        <w:rPr>
          <w:noProof/>
        </w:rPr>
        <w:instrText xml:space="preserve"> PAGEREF _Toc10703721 \h </w:instrText>
      </w:r>
      <w:r>
        <w:rPr>
          <w:noProof/>
        </w:rPr>
      </w:r>
      <w:r>
        <w:rPr>
          <w:noProof/>
        </w:rPr>
        <w:fldChar w:fldCharType="separate"/>
      </w:r>
      <w:r>
        <w:rPr>
          <w:noProof/>
        </w:rPr>
        <w:t>112</w:t>
      </w:r>
      <w:r>
        <w:rPr>
          <w:noProof/>
        </w:rPr>
        <w:fldChar w:fldCharType="end"/>
      </w:r>
    </w:p>
    <w:p w14:paraId="34D2BE53" w14:textId="06B6B839"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29 – Legislative and regulatory sources: Probationary Licences</w:t>
      </w:r>
      <w:r>
        <w:rPr>
          <w:noProof/>
        </w:rPr>
        <w:tab/>
      </w:r>
      <w:r>
        <w:rPr>
          <w:noProof/>
        </w:rPr>
        <w:fldChar w:fldCharType="begin"/>
      </w:r>
      <w:r>
        <w:rPr>
          <w:noProof/>
        </w:rPr>
        <w:instrText xml:space="preserve"> PAGEREF _Toc10703722 \h </w:instrText>
      </w:r>
      <w:r>
        <w:rPr>
          <w:noProof/>
        </w:rPr>
      </w:r>
      <w:r>
        <w:rPr>
          <w:noProof/>
        </w:rPr>
        <w:fldChar w:fldCharType="separate"/>
      </w:r>
      <w:r>
        <w:rPr>
          <w:noProof/>
        </w:rPr>
        <w:t>114</w:t>
      </w:r>
      <w:r>
        <w:rPr>
          <w:noProof/>
        </w:rPr>
        <w:fldChar w:fldCharType="end"/>
      </w:r>
    </w:p>
    <w:p w14:paraId="13DC3505" w14:textId="15C8C0DD"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30 – Summary of the proposed regulations relevant to full licences</w:t>
      </w:r>
      <w:r>
        <w:rPr>
          <w:noProof/>
        </w:rPr>
        <w:tab/>
      </w:r>
      <w:r>
        <w:rPr>
          <w:noProof/>
        </w:rPr>
        <w:fldChar w:fldCharType="begin"/>
      </w:r>
      <w:r>
        <w:rPr>
          <w:noProof/>
        </w:rPr>
        <w:instrText xml:space="preserve"> PAGEREF _Toc10703723 \h </w:instrText>
      </w:r>
      <w:r>
        <w:rPr>
          <w:noProof/>
        </w:rPr>
      </w:r>
      <w:r>
        <w:rPr>
          <w:noProof/>
        </w:rPr>
        <w:fldChar w:fldCharType="separate"/>
      </w:r>
      <w:r>
        <w:rPr>
          <w:noProof/>
        </w:rPr>
        <w:t>117</w:t>
      </w:r>
      <w:r>
        <w:rPr>
          <w:noProof/>
        </w:rPr>
        <w:fldChar w:fldCharType="end"/>
      </w:r>
    </w:p>
    <w:p w14:paraId="01EAC382" w14:textId="45857F5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31 – Legislative and regulatory sources: Full Driver Licence</w:t>
      </w:r>
      <w:r>
        <w:rPr>
          <w:noProof/>
        </w:rPr>
        <w:tab/>
      </w:r>
      <w:r>
        <w:rPr>
          <w:noProof/>
        </w:rPr>
        <w:fldChar w:fldCharType="begin"/>
      </w:r>
      <w:r>
        <w:rPr>
          <w:noProof/>
        </w:rPr>
        <w:instrText xml:space="preserve"> PAGEREF _Toc10703724 \h </w:instrText>
      </w:r>
      <w:r>
        <w:rPr>
          <w:noProof/>
        </w:rPr>
      </w:r>
      <w:r>
        <w:rPr>
          <w:noProof/>
        </w:rPr>
        <w:fldChar w:fldCharType="separate"/>
      </w:r>
      <w:r>
        <w:rPr>
          <w:noProof/>
        </w:rPr>
        <w:t>119</w:t>
      </w:r>
      <w:r>
        <w:rPr>
          <w:noProof/>
        </w:rPr>
        <w:fldChar w:fldCharType="end"/>
      </w:r>
    </w:p>
    <w:p w14:paraId="265AF8AB" w14:textId="3E3B37F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32 – Legislative and regulatory sources: Motorcycle Learner Permit and Licences</w:t>
      </w:r>
      <w:r>
        <w:rPr>
          <w:noProof/>
        </w:rPr>
        <w:tab/>
      </w:r>
      <w:r>
        <w:rPr>
          <w:noProof/>
        </w:rPr>
        <w:fldChar w:fldCharType="begin"/>
      </w:r>
      <w:r>
        <w:rPr>
          <w:noProof/>
        </w:rPr>
        <w:instrText xml:space="preserve"> PAGEREF _Toc10703725 \h </w:instrText>
      </w:r>
      <w:r>
        <w:rPr>
          <w:noProof/>
        </w:rPr>
      </w:r>
      <w:r>
        <w:rPr>
          <w:noProof/>
        </w:rPr>
        <w:fldChar w:fldCharType="separate"/>
      </w:r>
      <w:r>
        <w:rPr>
          <w:noProof/>
        </w:rPr>
        <w:t>124</w:t>
      </w:r>
      <w:r>
        <w:rPr>
          <w:noProof/>
        </w:rPr>
        <w:fldChar w:fldCharType="end"/>
      </w:r>
    </w:p>
    <w:p w14:paraId="0B027292" w14:textId="316374BA"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33 – Legislative and regulatory sources: Penalties</w:t>
      </w:r>
      <w:r>
        <w:rPr>
          <w:noProof/>
        </w:rPr>
        <w:tab/>
      </w:r>
      <w:r>
        <w:rPr>
          <w:noProof/>
        </w:rPr>
        <w:fldChar w:fldCharType="begin"/>
      </w:r>
      <w:r>
        <w:rPr>
          <w:noProof/>
        </w:rPr>
        <w:instrText xml:space="preserve"> PAGEREF _Toc10703726 \h </w:instrText>
      </w:r>
      <w:r>
        <w:rPr>
          <w:noProof/>
        </w:rPr>
      </w:r>
      <w:r>
        <w:rPr>
          <w:noProof/>
        </w:rPr>
        <w:fldChar w:fldCharType="separate"/>
      </w:r>
      <w:r>
        <w:rPr>
          <w:noProof/>
        </w:rPr>
        <w:t>127</w:t>
      </w:r>
      <w:r>
        <w:rPr>
          <w:noProof/>
        </w:rPr>
        <w:fldChar w:fldCharType="end"/>
      </w:r>
    </w:p>
    <w:p w14:paraId="77F2093A" w14:textId="4FC03619"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34 – Fee Structure Options</w:t>
      </w:r>
      <w:r>
        <w:rPr>
          <w:noProof/>
        </w:rPr>
        <w:tab/>
      </w:r>
      <w:r>
        <w:rPr>
          <w:noProof/>
        </w:rPr>
        <w:fldChar w:fldCharType="begin"/>
      </w:r>
      <w:r>
        <w:rPr>
          <w:noProof/>
        </w:rPr>
        <w:instrText xml:space="preserve"> PAGEREF _Toc10703727 \h </w:instrText>
      </w:r>
      <w:r>
        <w:rPr>
          <w:noProof/>
        </w:rPr>
      </w:r>
      <w:r>
        <w:rPr>
          <w:noProof/>
        </w:rPr>
        <w:fldChar w:fldCharType="separate"/>
      </w:r>
      <w:r>
        <w:rPr>
          <w:noProof/>
        </w:rPr>
        <w:t>136</w:t>
      </w:r>
      <w:r>
        <w:rPr>
          <w:noProof/>
        </w:rPr>
        <w:fldChar w:fldCharType="end"/>
      </w:r>
    </w:p>
    <w:p w14:paraId="1B58ED22" w14:textId="27EA4B0A"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35 – Licensed drivers and registered vehicles: 5-year trend</w:t>
      </w:r>
      <w:r>
        <w:rPr>
          <w:noProof/>
        </w:rPr>
        <w:tab/>
      </w:r>
      <w:r>
        <w:rPr>
          <w:noProof/>
        </w:rPr>
        <w:fldChar w:fldCharType="begin"/>
      </w:r>
      <w:r>
        <w:rPr>
          <w:noProof/>
        </w:rPr>
        <w:instrText xml:space="preserve"> PAGEREF _Toc10703728 \h </w:instrText>
      </w:r>
      <w:r>
        <w:rPr>
          <w:noProof/>
        </w:rPr>
      </w:r>
      <w:r>
        <w:rPr>
          <w:noProof/>
        </w:rPr>
        <w:fldChar w:fldCharType="separate"/>
      </w:r>
      <w:r>
        <w:rPr>
          <w:noProof/>
        </w:rPr>
        <w:t>140</w:t>
      </w:r>
      <w:r>
        <w:rPr>
          <w:noProof/>
        </w:rPr>
        <w:fldChar w:fldCharType="end"/>
      </w:r>
    </w:p>
    <w:p w14:paraId="3D8DFCF4" w14:textId="79FBDA1D"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36 – Operating Costs Trends</w:t>
      </w:r>
      <w:r>
        <w:rPr>
          <w:noProof/>
        </w:rPr>
        <w:tab/>
      </w:r>
      <w:r>
        <w:rPr>
          <w:noProof/>
        </w:rPr>
        <w:fldChar w:fldCharType="begin"/>
      </w:r>
      <w:r>
        <w:rPr>
          <w:noProof/>
        </w:rPr>
        <w:instrText xml:space="preserve"> PAGEREF _Toc10703729 \h </w:instrText>
      </w:r>
      <w:r>
        <w:rPr>
          <w:noProof/>
        </w:rPr>
      </w:r>
      <w:r>
        <w:rPr>
          <w:noProof/>
        </w:rPr>
        <w:fldChar w:fldCharType="separate"/>
      </w:r>
      <w:r>
        <w:rPr>
          <w:noProof/>
        </w:rPr>
        <w:t>142</w:t>
      </w:r>
      <w:r>
        <w:rPr>
          <w:noProof/>
        </w:rPr>
        <w:fldChar w:fldCharType="end"/>
      </w:r>
    </w:p>
    <w:p w14:paraId="0B2E010C" w14:textId="3CF98577"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37 – Labour productivity per EFT</w:t>
      </w:r>
      <w:r>
        <w:rPr>
          <w:noProof/>
        </w:rPr>
        <w:tab/>
      </w:r>
      <w:r>
        <w:rPr>
          <w:noProof/>
        </w:rPr>
        <w:fldChar w:fldCharType="begin"/>
      </w:r>
      <w:r>
        <w:rPr>
          <w:noProof/>
        </w:rPr>
        <w:instrText xml:space="preserve"> PAGEREF _Toc10703730 \h </w:instrText>
      </w:r>
      <w:r>
        <w:rPr>
          <w:noProof/>
        </w:rPr>
      </w:r>
      <w:r>
        <w:rPr>
          <w:noProof/>
        </w:rPr>
        <w:fldChar w:fldCharType="separate"/>
      </w:r>
      <w:r>
        <w:rPr>
          <w:noProof/>
        </w:rPr>
        <w:t>143</w:t>
      </w:r>
      <w:r>
        <w:rPr>
          <w:noProof/>
        </w:rPr>
        <w:fldChar w:fldCharType="end"/>
      </w:r>
    </w:p>
    <w:p w14:paraId="7EEAEC1E" w14:textId="743DDDFB"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38 – Service Levels</w:t>
      </w:r>
      <w:r>
        <w:rPr>
          <w:noProof/>
        </w:rPr>
        <w:tab/>
      </w:r>
      <w:r>
        <w:rPr>
          <w:noProof/>
        </w:rPr>
        <w:fldChar w:fldCharType="begin"/>
      </w:r>
      <w:r>
        <w:rPr>
          <w:noProof/>
        </w:rPr>
        <w:instrText xml:space="preserve"> PAGEREF _Toc10703731 \h </w:instrText>
      </w:r>
      <w:r>
        <w:rPr>
          <w:noProof/>
        </w:rPr>
      </w:r>
      <w:r>
        <w:rPr>
          <w:noProof/>
        </w:rPr>
        <w:fldChar w:fldCharType="separate"/>
      </w:r>
      <w:r>
        <w:rPr>
          <w:noProof/>
        </w:rPr>
        <w:t>143</w:t>
      </w:r>
      <w:r>
        <w:rPr>
          <w:noProof/>
        </w:rPr>
        <w:fldChar w:fldCharType="end"/>
      </w:r>
    </w:p>
    <w:p w14:paraId="15713509" w14:textId="1086772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39 – Customer satisfaction</w:t>
      </w:r>
      <w:r>
        <w:rPr>
          <w:noProof/>
        </w:rPr>
        <w:tab/>
      </w:r>
      <w:r>
        <w:rPr>
          <w:noProof/>
        </w:rPr>
        <w:fldChar w:fldCharType="begin"/>
      </w:r>
      <w:r>
        <w:rPr>
          <w:noProof/>
        </w:rPr>
        <w:instrText xml:space="preserve"> PAGEREF _Toc10703732 \h </w:instrText>
      </w:r>
      <w:r>
        <w:rPr>
          <w:noProof/>
        </w:rPr>
      </w:r>
      <w:r>
        <w:rPr>
          <w:noProof/>
        </w:rPr>
        <w:fldChar w:fldCharType="separate"/>
      </w:r>
      <w:r>
        <w:rPr>
          <w:noProof/>
        </w:rPr>
        <w:t>144</w:t>
      </w:r>
      <w:r>
        <w:rPr>
          <w:noProof/>
        </w:rPr>
        <w:fldChar w:fldCharType="end"/>
      </w:r>
    </w:p>
    <w:p w14:paraId="330C50BE" w14:textId="6B83DF4D"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40 – R&amp;L transaction by service mode trends</w:t>
      </w:r>
      <w:r>
        <w:rPr>
          <w:noProof/>
        </w:rPr>
        <w:tab/>
      </w:r>
      <w:r>
        <w:rPr>
          <w:noProof/>
        </w:rPr>
        <w:fldChar w:fldCharType="begin"/>
      </w:r>
      <w:r>
        <w:rPr>
          <w:noProof/>
        </w:rPr>
        <w:instrText xml:space="preserve"> PAGEREF _Toc10703733 \h </w:instrText>
      </w:r>
      <w:r>
        <w:rPr>
          <w:noProof/>
        </w:rPr>
      </w:r>
      <w:r>
        <w:rPr>
          <w:noProof/>
        </w:rPr>
        <w:fldChar w:fldCharType="separate"/>
      </w:r>
      <w:r>
        <w:rPr>
          <w:noProof/>
        </w:rPr>
        <w:t>145</w:t>
      </w:r>
      <w:r>
        <w:rPr>
          <w:noProof/>
        </w:rPr>
        <w:fldChar w:fldCharType="end"/>
      </w:r>
    </w:p>
    <w:p w14:paraId="7A8264E2" w14:textId="5C86EABE"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41 – R&amp;L Costs FY16/17 (including overhead allocations)</w:t>
      </w:r>
      <w:r>
        <w:rPr>
          <w:noProof/>
        </w:rPr>
        <w:tab/>
      </w:r>
      <w:r>
        <w:rPr>
          <w:noProof/>
        </w:rPr>
        <w:fldChar w:fldCharType="begin"/>
      </w:r>
      <w:r>
        <w:rPr>
          <w:noProof/>
        </w:rPr>
        <w:instrText xml:space="preserve"> PAGEREF _Toc10703734 \h </w:instrText>
      </w:r>
      <w:r>
        <w:rPr>
          <w:noProof/>
        </w:rPr>
      </w:r>
      <w:r>
        <w:rPr>
          <w:noProof/>
        </w:rPr>
        <w:fldChar w:fldCharType="separate"/>
      </w:r>
      <w:r>
        <w:rPr>
          <w:noProof/>
        </w:rPr>
        <w:t>147</w:t>
      </w:r>
      <w:r>
        <w:rPr>
          <w:noProof/>
        </w:rPr>
        <w:fldChar w:fldCharType="end"/>
      </w:r>
    </w:p>
    <w:p w14:paraId="77652676" w14:textId="79DA425F"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42 – R&amp;L direct cost groups descriptions</w:t>
      </w:r>
      <w:r>
        <w:rPr>
          <w:noProof/>
        </w:rPr>
        <w:tab/>
      </w:r>
      <w:r>
        <w:rPr>
          <w:noProof/>
        </w:rPr>
        <w:fldChar w:fldCharType="begin"/>
      </w:r>
      <w:r>
        <w:rPr>
          <w:noProof/>
        </w:rPr>
        <w:instrText xml:space="preserve"> PAGEREF _Toc10703735 \h </w:instrText>
      </w:r>
      <w:r>
        <w:rPr>
          <w:noProof/>
        </w:rPr>
      </w:r>
      <w:r>
        <w:rPr>
          <w:noProof/>
        </w:rPr>
        <w:fldChar w:fldCharType="separate"/>
      </w:r>
      <w:r>
        <w:rPr>
          <w:noProof/>
        </w:rPr>
        <w:t>148</w:t>
      </w:r>
      <w:r>
        <w:rPr>
          <w:noProof/>
        </w:rPr>
        <w:fldChar w:fldCharType="end"/>
      </w:r>
    </w:p>
    <w:p w14:paraId="7E818083" w14:textId="5AE7091B"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43 – R&amp;L Overhead Cost descriptions</w:t>
      </w:r>
      <w:r>
        <w:rPr>
          <w:noProof/>
        </w:rPr>
        <w:tab/>
      </w:r>
      <w:r>
        <w:rPr>
          <w:noProof/>
        </w:rPr>
        <w:fldChar w:fldCharType="begin"/>
      </w:r>
      <w:r>
        <w:rPr>
          <w:noProof/>
        </w:rPr>
        <w:instrText xml:space="preserve"> PAGEREF _Toc10703736 \h </w:instrText>
      </w:r>
      <w:r>
        <w:rPr>
          <w:noProof/>
        </w:rPr>
      </w:r>
      <w:r>
        <w:rPr>
          <w:noProof/>
        </w:rPr>
        <w:fldChar w:fldCharType="separate"/>
      </w:r>
      <w:r>
        <w:rPr>
          <w:noProof/>
        </w:rPr>
        <w:t>149</w:t>
      </w:r>
      <w:r>
        <w:rPr>
          <w:noProof/>
        </w:rPr>
        <w:fldChar w:fldCharType="end"/>
      </w:r>
    </w:p>
    <w:p w14:paraId="492C2756" w14:textId="5635CCA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44 – Projected R&amp;L Costs (Present Value)</w:t>
      </w:r>
      <w:r>
        <w:rPr>
          <w:noProof/>
        </w:rPr>
        <w:tab/>
      </w:r>
      <w:r>
        <w:rPr>
          <w:noProof/>
        </w:rPr>
        <w:fldChar w:fldCharType="begin"/>
      </w:r>
      <w:r>
        <w:rPr>
          <w:noProof/>
        </w:rPr>
        <w:instrText xml:space="preserve"> PAGEREF _Toc10703737 \h </w:instrText>
      </w:r>
      <w:r>
        <w:rPr>
          <w:noProof/>
        </w:rPr>
      </w:r>
      <w:r>
        <w:rPr>
          <w:noProof/>
        </w:rPr>
        <w:fldChar w:fldCharType="separate"/>
      </w:r>
      <w:r>
        <w:rPr>
          <w:noProof/>
        </w:rPr>
        <w:t>150</w:t>
      </w:r>
      <w:r>
        <w:rPr>
          <w:noProof/>
        </w:rPr>
        <w:fldChar w:fldCharType="end"/>
      </w:r>
    </w:p>
    <w:p w14:paraId="3DEDF0EC" w14:textId="5085AED4"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45 – Key Forecast Assumptions</w:t>
      </w:r>
      <w:r>
        <w:rPr>
          <w:noProof/>
        </w:rPr>
        <w:tab/>
      </w:r>
      <w:r>
        <w:rPr>
          <w:noProof/>
        </w:rPr>
        <w:fldChar w:fldCharType="begin"/>
      </w:r>
      <w:r>
        <w:rPr>
          <w:noProof/>
        </w:rPr>
        <w:instrText xml:space="preserve"> PAGEREF _Toc10703738 \h </w:instrText>
      </w:r>
      <w:r>
        <w:rPr>
          <w:noProof/>
        </w:rPr>
      </w:r>
      <w:r>
        <w:rPr>
          <w:noProof/>
        </w:rPr>
        <w:fldChar w:fldCharType="separate"/>
      </w:r>
      <w:r>
        <w:rPr>
          <w:noProof/>
        </w:rPr>
        <w:t>151</w:t>
      </w:r>
      <w:r>
        <w:rPr>
          <w:noProof/>
        </w:rPr>
        <w:fldChar w:fldCharType="end"/>
      </w:r>
    </w:p>
    <w:p w14:paraId="6C40700A" w14:textId="63E30CB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46 – Services Groups Summary</w:t>
      </w:r>
      <w:r>
        <w:rPr>
          <w:noProof/>
        </w:rPr>
        <w:tab/>
      </w:r>
      <w:r>
        <w:rPr>
          <w:noProof/>
        </w:rPr>
        <w:fldChar w:fldCharType="begin"/>
      </w:r>
      <w:r>
        <w:rPr>
          <w:noProof/>
        </w:rPr>
        <w:instrText xml:space="preserve"> PAGEREF _Toc10703739 \h </w:instrText>
      </w:r>
      <w:r>
        <w:rPr>
          <w:noProof/>
        </w:rPr>
      </w:r>
      <w:r>
        <w:rPr>
          <w:noProof/>
        </w:rPr>
        <w:fldChar w:fldCharType="separate"/>
      </w:r>
      <w:r>
        <w:rPr>
          <w:noProof/>
        </w:rPr>
        <w:t>156</w:t>
      </w:r>
      <w:r>
        <w:rPr>
          <w:noProof/>
        </w:rPr>
        <w:fldChar w:fldCharType="end"/>
      </w:r>
    </w:p>
    <w:p w14:paraId="7F171575" w14:textId="7B69C07F"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47 – Drivers Permissions Groups</w:t>
      </w:r>
      <w:r>
        <w:rPr>
          <w:noProof/>
        </w:rPr>
        <w:tab/>
      </w:r>
      <w:r>
        <w:rPr>
          <w:noProof/>
        </w:rPr>
        <w:fldChar w:fldCharType="begin"/>
      </w:r>
      <w:r>
        <w:rPr>
          <w:noProof/>
        </w:rPr>
        <w:instrText xml:space="preserve"> PAGEREF _Toc10703740 \h </w:instrText>
      </w:r>
      <w:r>
        <w:rPr>
          <w:noProof/>
        </w:rPr>
      </w:r>
      <w:r>
        <w:rPr>
          <w:noProof/>
        </w:rPr>
        <w:fldChar w:fldCharType="separate"/>
      </w:r>
      <w:r>
        <w:rPr>
          <w:noProof/>
        </w:rPr>
        <w:t>157</w:t>
      </w:r>
      <w:r>
        <w:rPr>
          <w:noProof/>
        </w:rPr>
        <w:fldChar w:fldCharType="end"/>
      </w:r>
    </w:p>
    <w:p w14:paraId="339F2403" w14:textId="51F81BA4"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48 – Services Summary: Other Fee Activities (Fee NOT prescribed in the Regulations)</w:t>
      </w:r>
      <w:r>
        <w:rPr>
          <w:noProof/>
        </w:rPr>
        <w:tab/>
      </w:r>
      <w:r>
        <w:rPr>
          <w:noProof/>
        </w:rPr>
        <w:fldChar w:fldCharType="begin"/>
      </w:r>
      <w:r>
        <w:rPr>
          <w:noProof/>
        </w:rPr>
        <w:instrText xml:space="preserve"> PAGEREF _Toc10703741 \h </w:instrText>
      </w:r>
      <w:r>
        <w:rPr>
          <w:noProof/>
        </w:rPr>
      </w:r>
      <w:r>
        <w:rPr>
          <w:noProof/>
        </w:rPr>
        <w:fldChar w:fldCharType="separate"/>
      </w:r>
      <w:r>
        <w:rPr>
          <w:noProof/>
        </w:rPr>
        <w:t>158</w:t>
      </w:r>
      <w:r>
        <w:rPr>
          <w:noProof/>
        </w:rPr>
        <w:fldChar w:fldCharType="end"/>
      </w:r>
    </w:p>
    <w:p w14:paraId="7B356053" w14:textId="07E274D6"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49 – Services Summary: Other Fee Activities (Fee prescribed in the Regulations)</w:t>
      </w:r>
      <w:r>
        <w:rPr>
          <w:noProof/>
        </w:rPr>
        <w:tab/>
      </w:r>
      <w:r>
        <w:rPr>
          <w:noProof/>
        </w:rPr>
        <w:fldChar w:fldCharType="begin"/>
      </w:r>
      <w:r>
        <w:rPr>
          <w:noProof/>
        </w:rPr>
        <w:instrText xml:space="preserve"> PAGEREF _Toc10703742 \h </w:instrText>
      </w:r>
      <w:r>
        <w:rPr>
          <w:noProof/>
        </w:rPr>
      </w:r>
      <w:r>
        <w:rPr>
          <w:noProof/>
        </w:rPr>
        <w:fldChar w:fldCharType="separate"/>
      </w:r>
      <w:r>
        <w:rPr>
          <w:noProof/>
        </w:rPr>
        <w:t>158</w:t>
      </w:r>
      <w:r>
        <w:rPr>
          <w:noProof/>
        </w:rPr>
        <w:fldChar w:fldCharType="end"/>
      </w:r>
    </w:p>
    <w:p w14:paraId="49BD5D2B" w14:textId="74B3B17D"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50 – Services Groups Projected Annual Cost Recovery: FY19/20 to FY22/23 Average</w:t>
      </w:r>
      <w:r>
        <w:rPr>
          <w:noProof/>
        </w:rPr>
        <w:tab/>
      </w:r>
      <w:r>
        <w:rPr>
          <w:noProof/>
        </w:rPr>
        <w:fldChar w:fldCharType="begin"/>
      </w:r>
      <w:r>
        <w:rPr>
          <w:noProof/>
        </w:rPr>
        <w:instrText xml:space="preserve"> PAGEREF _Toc10703743 \h </w:instrText>
      </w:r>
      <w:r>
        <w:rPr>
          <w:noProof/>
        </w:rPr>
      </w:r>
      <w:r>
        <w:rPr>
          <w:noProof/>
        </w:rPr>
        <w:fldChar w:fldCharType="separate"/>
      </w:r>
      <w:r>
        <w:rPr>
          <w:noProof/>
        </w:rPr>
        <w:t>162</w:t>
      </w:r>
      <w:r>
        <w:rPr>
          <w:noProof/>
        </w:rPr>
        <w:fldChar w:fldCharType="end"/>
      </w:r>
    </w:p>
    <w:p w14:paraId="00AC0EC5" w14:textId="5A58DA2C"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51 – Services Group: Common Administrative Activities</w:t>
      </w:r>
      <w:r>
        <w:rPr>
          <w:noProof/>
        </w:rPr>
        <w:tab/>
      </w:r>
      <w:r>
        <w:rPr>
          <w:noProof/>
        </w:rPr>
        <w:fldChar w:fldCharType="begin"/>
      </w:r>
      <w:r>
        <w:rPr>
          <w:noProof/>
        </w:rPr>
        <w:instrText xml:space="preserve"> PAGEREF _Toc10703744 \h </w:instrText>
      </w:r>
      <w:r>
        <w:rPr>
          <w:noProof/>
        </w:rPr>
      </w:r>
      <w:r>
        <w:rPr>
          <w:noProof/>
        </w:rPr>
        <w:fldChar w:fldCharType="separate"/>
      </w:r>
      <w:r>
        <w:rPr>
          <w:noProof/>
        </w:rPr>
        <w:t>163</w:t>
      </w:r>
      <w:r>
        <w:rPr>
          <w:noProof/>
        </w:rPr>
        <w:fldChar w:fldCharType="end"/>
      </w:r>
    </w:p>
    <w:p w14:paraId="63BF4E5E" w14:textId="6499DD49"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52 – Services Group Activities: Licence and Learner Permit Administration – General</w:t>
      </w:r>
      <w:r>
        <w:rPr>
          <w:noProof/>
        </w:rPr>
        <w:tab/>
      </w:r>
      <w:r>
        <w:rPr>
          <w:noProof/>
        </w:rPr>
        <w:fldChar w:fldCharType="begin"/>
      </w:r>
      <w:r>
        <w:rPr>
          <w:noProof/>
        </w:rPr>
        <w:instrText xml:space="preserve"> PAGEREF _Toc10703745 \h </w:instrText>
      </w:r>
      <w:r>
        <w:rPr>
          <w:noProof/>
        </w:rPr>
      </w:r>
      <w:r>
        <w:rPr>
          <w:noProof/>
        </w:rPr>
        <w:fldChar w:fldCharType="separate"/>
      </w:r>
      <w:r>
        <w:rPr>
          <w:noProof/>
        </w:rPr>
        <w:t>163</w:t>
      </w:r>
      <w:r>
        <w:rPr>
          <w:noProof/>
        </w:rPr>
        <w:fldChar w:fldCharType="end"/>
      </w:r>
    </w:p>
    <w:p w14:paraId="3D2E4BD5" w14:textId="4FA82347"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53 – Services Group Cost: Licence and Learner Permit Administration – General</w:t>
      </w:r>
      <w:r>
        <w:rPr>
          <w:noProof/>
        </w:rPr>
        <w:tab/>
      </w:r>
      <w:r>
        <w:rPr>
          <w:noProof/>
        </w:rPr>
        <w:fldChar w:fldCharType="begin"/>
      </w:r>
      <w:r>
        <w:rPr>
          <w:noProof/>
        </w:rPr>
        <w:instrText xml:space="preserve"> PAGEREF _Toc10703746 \h </w:instrText>
      </w:r>
      <w:r>
        <w:rPr>
          <w:noProof/>
        </w:rPr>
      </w:r>
      <w:r>
        <w:rPr>
          <w:noProof/>
        </w:rPr>
        <w:fldChar w:fldCharType="separate"/>
      </w:r>
      <w:r>
        <w:rPr>
          <w:noProof/>
        </w:rPr>
        <w:t>165</w:t>
      </w:r>
      <w:r>
        <w:rPr>
          <w:noProof/>
        </w:rPr>
        <w:fldChar w:fldCharType="end"/>
      </w:r>
    </w:p>
    <w:p w14:paraId="34200DF6" w14:textId="043654E1"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54 – Fee Income: Licence and Learner Permit Administration – General</w:t>
      </w:r>
      <w:r>
        <w:rPr>
          <w:noProof/>
        </w:rPr>
        <w:tab/>
      </w:r>
      <w:r>
        <w:rPr>
          <w:noProof/>
        </w:rPr>
        <w:fldChar w:fldCharType="begin"/>
      </w:r>
      <w:r>
        <w:rPr>
          <w:noProof/>
        </w:rPr>
        <w:instrText xml:space="preserve"> PAGEREF _Toc10703747 \h </w:instrText>
      </w:r>
      <w:r>
        <w:rPr>
          <w:noProof/>
        </w:rPr>
      </w:r>
      <w:r>
        <w:rPr>
          <w:noProof/>
        </w:rPr>
        <w:fldChar w:fldCharType="separate"/>
      </w:r>
      <w:r>
        <w:rPr>
          <w:noProof/>
        </w:rPr>
        <w:t>165</w:t>
      </w:r>
      <w:r>
        <w:rPr>
          <w:noProof/>
        </w:rPr>
        <w:fldChar w:fldCharType="end"/>
      </w:r>
    </w:p>
    <w:p w14:paraId="4CC45934" w14:textId="5B701E14"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55 – Services Group Activities: Medical fitness-to-drive Review</w:t>
      </w:r>
      <w:r>
        <w:rPr>
          <w:noProof/>
        </w:rPr>
        <w:tab/>
      </w:r>
      <w:r>
        <w:rPr>
          <w:noProof/>
        </w:rPr>
        <w:fldChar w:fldCharType="begin"/>
      </w:r>
      <w:r>
        <w:rPr>
          <w:noProof/>
        </w:rPr>
        <w:instrText xml:space="preserve"> PAGEREF _Toc10703748 \h </w:instrText>
      </w:r>
      <w:r>
        <w:rPr>
          <w:noProof/>
        </w:rPr>
      </w:r>
      <w:r>
        <w:rPr>
          <w:noProof/>
        </w:rPr>
        <w:fldChar w:fldCharType="separate"/>
      </w:r>
      <w:r>
        <w:rPr>
          <w:noProof/>
        </w:rPr>
        <w:t>168</w:t>
      </w:r>
      <w:r>
        <w:rPr>
          <w:noProof/>
        </w:rPr>
        <w:fldChar w:fldCharType="end"/>
      </w:r>
    </w:p>
    <w:p w14:paraId="239EFAA1" w14:textId="5AD92B0C"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56 – Service Group Cost: Medical fitness-to-drive Review</w:t>
      </w:r>
      <w:r>
        <w:rPr>
          <w:noProof/>
        </w:rPr>
        <w:tab/>
      </w:r>
      <w:r>
        <w:rPr>
          <w:noProof/>
        </w:rPr>
        <w:fldChar w:fldCharType="begin"/>
      </w:r>
      <w:r>
        <w:rPr>
          <w:noProof/>
        </w:rPr>
        <w:instrText xml:space="preserve"> PAGEREF _Toc10703749 \h </w:instrText>
      </w:r>
      <w:r>
        <w:rPr>
          <w:noProof/>
        </w:rPr>
      </w:r>
      <w:r>
        <w:rPr>
          <w:noProof/>
        </w:rPr>
        <w:fldChar w:fldCharType="separate"/>
      </w:r>
      <w:r>
        <w:rPr>
          <w:noProof/>
        </w:rPr>
        <w:t>169</w:t>
      </w:r>
      <w:r>
        <w:rPr>
          <w:noProof/>
        </w:rPr>
        <w:fldChar w:fldCharType="end"/>
      </w:r>
    </w:p>
    <w:p w14:paraId="2501CB0E" w14:textId="448E3199"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57 – Services Activities: Learner Permit and Licence Testing</w:t>
      </w:r>
      <w:r>
        <w:rPr>
          <w:noProof/>
        </w:rPr>
        <w:tab/>
      </w:r>
      <w:r>
        <w:rPr>
          <w:noProof/>
        </w:rPr>
        <w:fldChar w:fldCharType="begin"/>
      </w:r>
      <w:r>
        <w:rPr>
          <w:noProof/>
        </w:rPr>
        <w:instrText xml:space="preserve"> PAGEREF _Toc10703750 \h </w:instrText>
      </w:r>
      <w:r>
        <w:rPr>
          <w:noProof/>
        </w:rPr>
      </w:r>
      <w:r>
        <w:rPr>
          <w:noProof/>
        </w:rPr>
        <w:fldChar w:fldCharType="separate"/>
      </w:r>
      <w:r>
        <w:rPr>
          <w:noProof/>
        </w:rPr>
        <w:t>170</w:t>
      </w:r>
      <w:r>
        <w:rPr>
          <w:noProof/>
        </w:rPr>
        <w:fldChar w:fldCharType="end"/>
      </w:r>
    </w:p>
    <w:p w14:paraId="50D7A663" w14:textId="64AD6FF9"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58 – Services Cost: Learner Permit and Licence Testing</w:t>
      </w:r>
      <w:r>
        <w:rPr>
          <w:noProof/>
        </w:rPr>
        <w:tab/>
      </w:r>
      <w:r>
        <w:rPr>
          <w:noProof/>
        </w:rPr>
        <w:fldChar w:fldCharType="begin"/>
      </w:r>
      <w:r>
        <w:rPr>
          <w:noProof/>
        </w:rPr>
        <w:instrText xml:space="preserve"> PAGEREF _Toc10703751 \h </w:instrText>
      </w:r>
      <w:r>
        <w:rPr>
          <w:noProof/>
        </w:rPr>
      </w:r>
      <w:r>
        <w:rPr>
          <w:noProof/>
        </w:rPr>
        <w:fldChar w:fldCharType="separate"/>
      </w:r>
      <w:r>
        <w:rPr>
          <w:noProof/>
        </w:rPr>
        <w:t>171</w:t>
      </w:r>
      <w:r>
        <w:rPr>
          <w:noProof/>
        </w:rPr>
        <w:fldChar w:fldCharType="end"/>
      </w:r>
    </w:p>
    <w:p w14:paraId="7C16F6AF" w14:textId="388C5C27"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59 – Fee Income: Learner Permit and Licence Testing</w:t>
      </w:r>
      <w:r>
        <w:rPr>
          <w:noProof/>
        </w:rPr>
        <w:tab/>
      </w:r>
      <w:r>
        <w:rPr>
          <w:noProof/>
        </w:rPr>
        <w:fldChar w:fldCharType="begin"/>
      </w:r>
      <w:r>
        <w:rPr>
          <w:noProof/>
        </w:rPr>
        <w:instrText xml:space="preserve"> PAGEREF _Toc10703752 \h </w:instrText>
      </w:r>
      <w:r>
        <w:rPr>
          <w:noProof/>
        </w:rPr>
      </w:r>
      <w:r>
        <w:rPr>
          <w:noProof/>
        </w:rPr>
        <w:fldChar w:fldCharType="separate"/>
      </w:r>
      <w:r>
        <w:rPr>
          <w:noProof/>
        </w:rPr>
        <w:t>171</w:t>
      </w:r>
      <w:r>
        <w:rPr>
          <w:noProof/>
        </w:rPr>
        <w:fldChar w:fldCharType="end"/>
      </w:r>
    </w:p>
    <w:p w14:paraId="180285CC" w14:textId="73256DDD"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60 – Services Group Activities: Driver Behaviour Management – Sanctions</w:t>
      </w:r>
      <w:r>
        <w:rPr>
          <w:noProof/>
        </w:rPr>
        <w:tab/>
      </w:r>
      <w:r>
        <w:rPr>
          <w:noProof/>
        </w:rPr>
        <w:fldChar w:fldCharType="begin"/>
      </w:r>
      <w:r>
        <w:rPr>
          <w:noProof/>
        </w:rPr>
        <w:instrText xml:space="preserve"> PAGEREF _Toc10703753 \h </w:instrText>
      </w:r>
      <w:r>
        <w:rPr>
          <w:noProof/>
        </w:rPr>
      </w:r>
      <w:r>
        <w:rPr>
          <w:noProof/>
        </w:rPr>
        <w:fldChar w:fldCharType="separate"/>
      </w:r>
      <w:r>
        <w:rPr>
          <w:noProof/>
        </w:rPr>
        <w:t>175</w:t>
      </w:r>
      <w:r>
        <w:rPr>
          <w:noProof/>
        </w:rPr>
        <w:fldChar w:fldCharType="end"/>
      </w:r>
    </w:p>
    <w:p w14:paraId="33D39E14" w14:textId="45ABCEAB"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61 – Services Group Cost: Driver Behaviour Management – Sanctions</w:t>
      </w:r>
      <w:r>
        <w:rPr>
          <w:noProof/>
        </w:rPr>
        <w:tab/>
      </w:r>
      <w:r>
        <w:rPr>
          <w:noProof/>
        </w:rPr>
        <w:fldChar w:fldCharType="begin"/>
      </w:r>
      <w:r>
        <w:rPr>
          <w:noProof/>
        </w:rPr>
        <w:instrText xml:space="preserve"> PAGEREF _Toc10703754 \h </w:instrText>
      </w:r>
      <w:r>
        <w:rPr>
          <w:noProof/>
        </w:rPr>
      </w:r>
      <w:r>
        <w:rPr>
          <w:noProof/>
        </w:rPr>
        <w:fldChar w:fldCharType="separate"/>
      </w:r>
      <w:r>
        <w:rPr>
          <w:noProof/>
        </w:rPr>
        <w:t>176</w:t>
      </w:r>
      <w:r>
        <w:rPr>
          <w:noProof/>
        </w:rPr>
        <w:fldChar w:fldCharType="end"/>
      </w:r>
    </w:p>
    <w:p w14:paraId="58643D3B" w14:textId="3A8C9BC7"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62 – Services Group Activities: Driver Behaviour Management - Alcohol Interlocks</w:t>
      </w:r>
      <w:r>
        <w:rPr>
          <w:noProof/>
        </w:rPr>
        <w:tab/>
      </w:r>
      <w:r>
        <w:rPr>
          <w:noProof/>
        </w:rPr>
        <w:fldChar w:fldCharType="begin"/>
      </w:r>
      <w:r>
        <w:rPr>
          <w:noProof/>
        </w:rPr>
        <w:instrText xml:space="preserve"> PAGEREF _Toc10703755 \h </w:instrText>
      </w:r>
      <w:r>
        <w:rPr>
          <w:noProof/>
        </w:rPr>
      </w:r>
      <w:r>
        <w:rPr>
          <w:noProof/>
        </w:rPr>
        <w:fldChar w:fldCharType="separate"/>
      </w:r>
      <w:r>
        <w:rPr>
          <w:noProof/>
        </w:rPr>
        <w:t>177</w:t>
      </w:r>
      <w:r>
        <w:rPr>
          <w:noProof/>
        </w:rPr>
        <w:fldChar w:fldCharType="end"/>
      </w:r>
    </w:p>
    <w:p w14:paraId="188DE3B7" w14:textId="1F5E5499" w:rsidR="0023710E" w:rsidRDefault="0023710E">
      <w:pPr>
        <w:pStyle w:val="TableofFigures"/>
        <w:tabs>
          <w:tab w:val="right" w:leader="dot" w:pos="9515"/>
        </w:tabs>
        <w:rPr>
          <w:rFonts w:asciiTheme="minorHAnsi" w:eastAsiaTheme="minorEastAsia" w:hAnsiTheme="minorHAnsi"/>
          <w:noProof/>
          <w:sz w:val="22"/>
          <w:lang w:eastAsia="en-AU"/>
        </w:rPr>
      </w:pPr>
      <w:r>
        <w:rPr>
          <w:noProof/>
        </w:rPr>
        <w:lastRenderedPageBreak/>
        <w:t>Table 63 – Services Group Cost: Driver Behaviour Management – Alcohol Interlocks</w:t>
      </w:r>
      <w:r>
        <w:rPr>
          <w:noProof/>
        </w:rPr>
        <w:tab/>
      </w:r>
      <w:r>
        <w:rPr>
          <w:noProof/>
        </w:rPr>
        <w:fldChar w:fldCharType="begin"/>
      </w:r>
      <w:r>
        <w:rPr>
          <w:noProof/>
        </w:rPr>
        <w:instrText xml:space="preserve"> PAGEREF _Toc10703756 \h </w:instrText>
      </w:r>
      <w:r>
        <w:rPr>
          <w:noProof/>
        </w:rPr>
      </w:r>
      <w:r>
        <w:rPr>
          <w:noProof/>
        </w:rPr>
        <w:fldChar w:fldCharType="separate"/>
      </w:r>
      <w:r>
        <w:rPr>
          <w:noProof/>
        </w:rPr>
        <w:t>178</w:t>
      </w:r>
      <w:r>
        <w:rPr>
          <w:noProof/>
        </w:rPr>
        <w:fldChar w:fldCharType="end"/>
      </w:r>
    </w:p>
    <w:p w14:paraId="1665B0CF" w14:textId="5C1CABC6"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64 – Fee Income: Driver Behaviour Management – Alcohol Interlocks</w:t>
      </w:r>
      <w:r>
        <w:rPr>
          <w:noProof/>
        </w:rPr>
        <w:tab/>
      </w:r>
      <w:r>
        <w:rPr>
          <w:noProof/>
        </w:rPr>
        <w:fldChar w:fldCharType="begin"/>
      </w:r>
      <w:r>
        <w:rPr>
          <w:noProof/>
        </w:rPr>
        <w:instrText xml:space="preserve"> PAGEREF _Toc10703757 \h </w:instrText>
      </w:r>
      <w:r>
        <w:rPr>
          <w:noProof/>
        </w:rPr>
      </w:r>
      <w:r>
        <w:rPr>
          <w:noProof/>
        </w:rPr>
        <w:fldChar w:fldCharType="separate"/>
      </w:r>
      <w:r>
        <w:rPr>
          <w:noProof/>
        </w:rPr>
        <w:t>178</w:t>
      </w:r>
      <w:r>
        <w:rPr>
          <w:noProof/>
        </w:rPr>
        <w:fldChar w:fldCharType="end"/>
      </w:r>
    </w:p>
    <w:p w14:paraId="563CBA0F" w14:textId="66C9F051"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65 – Services Group Activities: Information Extracts and Reports</w:t>
      </w:r>
      <w:r>
        <w:rPr>
          <w:noProof/>
        </w:rPr>
        <w:tab/>
      </w:r>
      <w:r>
        <w:rPr>
          <w:noProof/>
        </w:rPr>
        <w:fldChar w:fldCharType="begin"/>
      </w:r>
      <w:r>
        <w:rPr>
          <w:noProof/>
        </w:rPr>
        <w:instrText xml:space="preserve"> PAGEREF _Toc10703758 \h </w:instrText>
      </w:r>
      <w:r>
        <w:rPr>
          <w:noProof/>
        </w:rPr>
      </w:r>
      <w:r>
        <w:rPr>
          <w:noProof/>
        </w:rPr>
        <w:fldChar w:fldCharType="separate"/>
      </w:r>
      <w:r>
        <w:rPr>
          <w:noProof/>
        </w:rPr>
        <w:t>181</w:t>
      </w:r>
      <w:r>
        <w:rPr>
          <w:noProof/>
        </w:rPr>
        <w:fldChar w:fldCharType="end"/>
      </w:r>
    </w:p>
    <w:p w14:paraId="72BAA883" w14:textId="6E5E110C"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66 – Services Group Cost: Information Extracts and Reports</w:t>
      </w:r>
      <w:r>
        <w:rPr>
          <w:noProof/>
        </w:rPr>
        <w:tab/>
      </w:r>
      <w:r>
        <w:rPr>
          <w:noProof/>
        </w:rPr>
        <w:fldChar w:fldCharType="begin"/>
      </w:r>
      <w:r>
        <w:rPr>
          <w:noProof/>
        </w:rPr>
        <w:instrText xml:space="preserve"> PAGEREF _Toc10703759 \h </w:instrText>
      </w:r>
      <w:r>
        <w:rPr>
          <w:noProof/>
        </w:rPr>
      </w:r>
      <w:r>
        <w:rPr>
          <w:noProof/>
        </w:rPr>
        <w:fldChar w:fldCharType="separate"/>
      </w:r>
      <w:r>
        <w:rPr>
          <w:noProof/>
        </w:rPr>
        <w:t>181</w:t>
      </w:r>
      <w:r>
        <w:rPr>
          <w:noProof/>
        </w:rPr>
        <w:fldChar w:fldCharType="end"/>
      </w:r>
    </w:p>
    <w:p w14:paraId="7DDFAC56" w14:textId="46608689"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67 – Fee Income: Learner Permits</w:t>
      </w:r>
      <w:r>
        <w:rPr>
          <w:noProof/>
        </w:rPr>
        <w:tab/>
      </w:r>
      <w:r>
        <w:rPr>
          <w:noProof/>
        </w:rPr>
        <w:fldChar w:fldCharType="begin"/>
      </w:r>
      <w:r>
        <w:rPr>
          <w:noProof/>
        </w:rPr>
        <w:instrText xml:space="preserve"> PAGEREF _Toc10703760 \h </w:instrText>
      </w:r>
      <w:r>
        <w:rPr>
          <w:noProof/>
        </w:rPr>
      </w:r>
      <w:r>
        <w:rPr>
          <w:noProof/>
        </w:rPr>
        <w:fldChar w:fldCharType="separate"/>
      </w:r>
      <w:r>
        <w:rPr>
          <w:noProof/>
        </w:rPr>
        <w:t>183</w:t>
      </w:r>
      <w:r>
        <w:rPr>
          <w:noProof/>
        </w:rPr>
        <w:fldChar w:fldCharType="end"/>
      </w:r>
    </w:p>
    <w:p w14:paraId="08E35E19" w14:textId="072CD06F"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68 – Permissions Group Activities: Learner Permit Administration – Issue and Renewal</w:t>
      </w:r>
      <w:r>
        <w:rPr>
          <w:noProof/>
        </w:rPr>
        <w:tab/>
      </w:r>
      <w:r>
        <w:rPr>
          <w:noProof/>
        </w:rPr>
        <w:fldChar w:fldCharType="begin"/>
      </w:r>
      <w:r>
        <w:rPr>
          <w:noProof/>
        </w:rPr>
        <w:instrText xml:space="preserve"> PAGEREF _Toc10703761 \h </w:instrText>
      </w:r>
      <w:r>
        <w:rPr>
          <w:noProof/>
        </w:rPr>
      </w:r>
      <w:r>
        <w:rPr>
          <w:noProof/>
        </w:rPr>
        <w:fldChar w:fldCharType="separate"/>
      </w:r>
      <w:r>
        <w:rPr>
          <w:noProof/>
        </w:rPr>
        <w:t>183</w:t>
      </w:r>
      <w:r>
        <w:rPr>
          <w:noProof/>
        </w:rPr>
        <w:fldChar w:fldCharType="end"/>
      </w:r>
    </w:p>
    <w:p w14:paraId="159DAC7E" w14:textId="131F8714"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69 – Permissions Group Cost: Learner Permit Administration – Issue and Renewal</w:t>
      </w:r>
      <w:r>
        <w:rPr>
          <w:noProof/>
        </w:rPr>
        <w:tab/>
      </w:r>
      <w:r>
        <w:rPr>
          <w:noProof/>
        </w:rPr>
        <w:fldChar w:fldCharType="begin"/>
      </w:r>
      <w:r>
        <w:rPr>
          <w:noProof/>
        </w:rPr>
        <w:instrText xml:space="preserve"> PAGEREF _Toc10703762 \h </w:instrText>
      </w:r>
      <w:r>
        <w:rPr>
          <w:noProof/>
        </w:rPr>
      </w:r>
      <w:r>
        <w:rPr>
          <w:noProof/>
        </w:rPr>
        <w:fldChar w:fldCharType="separate"/>
      </w:r>
      <w:r>
        <w:rPr>
          <w:noProof/>
        </w:rPr>
        <w:t>184</w:t>
      </w:r>
      <w:r>
        <w:rPr>
          <w:noProof/>
        </w:rPr>
        <w:fldChar w:fldCharType="end"/>
      </w:r>
    </w:p>
    <w:p w14:paraId="5CEF1538" w14:textId="46EF404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70 – Annual Cost Recovery: FY19/20 to FY22/23 Average</w:t>
      </w:r>
      <w:r>
        <w:rPr>
          <w:noProof/>
        </w:rPr>
        <w:tab/>
      </w:r>
      <w:r>
        <w:rPr>
          <w:noProof/>
        </w:rPr>
        <w:fldChar w:fldCharType="begin"/>
      </w:r>
      <w:r>
        <w:rPr>
          <w:noProof/>
        </w:rPr>
        <w:instrText xml:space="preserve"> PAGEREF _Toc10703763 \h </w:instrText>
      </w:r>
      <w:r>
        <w:rPr>
          <w:noProof/>
        </w:rPr>
      </w:r>
      <w:r>
        <w:rPr>
          <w:noProof/>
        </w:rPr>
        <w:fldChar w:fldCharType="separate"/>
      </w:r>
      <w:r>
        <w:rPr>
          <w:noProof/>
        </w:rPr>
        <w:t>186</w:t>
      </w:r>
      <w:r>
        <w:rPr>
          <w:noProof/>
        </w:rPr>
        <w:fldChar w:fldCharType="end"/>
      </w:r>
    </w:p>
    <w:p w14:paraId="5B0DEF11" w14:textId="2FAB45EF"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71 – Proposed implementation activities</w:t>
      </w:r>
      <w:r>
        <w:rPr>
          <w:noProof/>
        </w:rPr>
        <w:tab/>
      </w:r>
      <w:r>
        <w:rPr>
          <w:noProof/>
        </w:rPr>
        <w:fldChar w:fldCharType="begin"/>
      </w:r>
      <w:r>
        <w:rPr>
          <w:noProof/>
        </w:rPr>
        <w:instrText xml:space="preserve"> PAGEREF _Toc10703764 \h </w:instrText>
      </w:r>
      <w:r>
        <w:rPr>
          <w:noProof/>
        </w:rPr>
      </w:r>
      <w:r>
        <w:rPr>
          <w:noProof/>
        </w:rPr>
        <w:fldChar w:fldCharType="separate"/>
      </w:r>
      <w:r>
        <w:rPr>
          <w:noProof/>
        </w:rPr>
        <w:t>188</w:t>
      </w:r>
      <w:r>
        <w:rPr>
          <w:noProof/>
        </w:rPr>
        <w:fldChar w:fldCharType="end"/>
      </w:r>
    </w:p>
    <w:p w14:paraId="40994454" w14:textId="67578923"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72 – Summary of the proposed key changes from existing regulations</w:t>
      </w:r>
      <w:r>
        <w:rPr>
          <w:noProof/>
        </w:rPr>
        <w:tab/>
      </w:r>
      <w:r>
        <w:rPr>
          <w:noProof/>
        </w:rPr>
        <w:fldChar w:fldCharType="begin"/>
      </w:r>
      <w:r>
        <w:rPr>
          <w:noProof/>
        </w:rPr>
        <w:instrText xml:space="preserve"> PAGEREF _Toc10703765 \h </w:instrText>
      </w:r>
      <w:r>
        <w:rPr>
          <w:noProof/>
        </w:rPr>
      </w:r>
      <w:r>
        <w:rPr>
          <w:noProof/>
        </w:rPr>
        <w:fldChar w:fldCharType="separate"/>
      </w:r>
      <w:r>
        <w:rPr>
          <w:noProof/>
        </w:rPr>
        <w:t>189</w:t>
      </w:r>
      <w:r>
        <w:rPr>
          <w:noProof/>
        </w:rPr>
        <w:fldChar w:fldCharType="end"/>
      </w:r>
    </w:p>
    <w:p w14:paraId="52DF2C99" w14:textId="68C73B52"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73 – Consultations with key stakeholders</w:t>
      </w:r>
      <w:r>
        <w:rPr>
          <w:noProof/>
        </w:rPr>
        <w:tab/>
      </w:r>
      <w:r>
        <w:rPr>
          <w:noProof/>
        </w:rPr>
        <w:fldChar w:fldCharType="begin"/>
      </w:r>
      <w:r>
        <w:rPr>
          <w:noProof/>
        </w:rPr>
        <w:instrText xml:space="preserve"> PAGEREF _Toc10703766 \h </w:instrText>
      </w:r>
      <w:r>
        <w:rPr>
          <w:noProof/>
        </w:rPr>
      </w:r>
      <w:r>
        <w:rPr>
          <w:noProof/>
        </w:rPr>
        <w:fldChar w:fldCharType="separate"/>
      </w:r>
      <w:r>
        <w:rPr>
          <w:noProof/>
        </w:rPr>
        <w:t>203</w:t>
      </w:r>
      <w:r>
        <w:rPr>
          <w:noProof/>
        </w:rPr>
        <w:fldChar w:fldCharType="end"/>
      </w:r>
    </w:p>
    <w:p w14:paraId="56BEBA81" w14:textId="77A9C0EE" w:rsidR="0023710E" w:rsidRDefault="0023710E">
      <w:pPr>
        <w:pStyle w:val="TableofFigures"/>
        <w:tabs>
          <w:tab w:val="right" w:leader="dot" w:pos="9515"/>
        </w:tabs>
        <w:rPr>
          <w:rFonts w:asciiTheme="minorHAnsi" w:eastAsiaTheme="minorEastAsia" w:hAnsiTheme="minorHAnsi"/>
          <w:noProof/>
          <w:sz w:val="22"/>
          <w:lang w:eastAsia="en-AU"/>
        </w:rPr>
      </w:pPr>
      <w:r>
        <w:rPr>
          <w:noProof/>
        </w:rPr>
        <w:t xml:space="preserve">Table 74 – Amendments to </w:t>
      </w:r>
      <w:r w:rsidRPr="00396A81">
        <w:rPr>
          <w:i/>
          <w:noProof/>
        </w:rPr>
        <w:t>Road Safety Act</w:t>
      </w:r>
      <w:r>
        <w:rPr>
          <w:noProof/>
        </w:rPr>
        <w:t xml:space="preserve"> passed in 2017</w:t>
      </w:r>
      <w:r>
        <w:rPr>
          <w:noProof/>
        </w:rPr>
        <w:tab/>
      </w:r>
      <w:r>
        <w:rPr>
          <w:noProof/>
        </w:rPr>
        <w:fldChar w:fldCharType="begin"/>
      </w:r>
      <w:r>
        <w:rPr>
          <w:noProof/>
        </w:rPr>
        <w:instrText xml:space="preserve"> PAGEREF _Toc10703767 \h </w:instrText>
      </w:r>
      <w:r>
        <w:rPr>
          <w:noProof/>
        </w:rPr>
      </w:r>
      <w:r>
        <w:rPr>
          <w:noProof/>
        </w:rPr>
        <w:fldChar w:fldCharType="separate"/>
      </w:r>
      <w:r>
        <w:rPr>
          <w:noProof/>
        </w:rPr>
        <w:t>204</w:t>
      </w:r>
      <w:r>
        <w:rPr>
          <w:noProof/>
        </w:rPr>
        <w:fldChar w:fldCharType="end"/>
      </w:r>
    </w:p>
    <w:p w14:paraId="6E05C74B" w14:textId="5356125E"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75 – Relevant legislative provisions to be given effect by Road Safety (Drivers) Regulations</w:t>
      </w:r>
      <w:r>
        <w:rPr>
          <w:noProof/>
        </w:rPr>
        <w:tab/>
      </w:r>
      <w:r>
        <w:rPr>
          <w:noProof/>
        </w:rPr>
        <w:fldChar w:fldCharType="begin"/>
      </w:r>
      <w:r>
        <w:rPr>
          <w:noProof/>
        </w:rPr>
        <w:instrText xml:space="preserve"> PAGEREF _Toc10703768 \h </w:instrText>
      </w:r>
      <w:r>
        <w:rPr>
          <w:noProof/>
        </w:rPr>
      </w:r>
      <w:r>
        <w:rPr>
          <w:noProof/>
        </w:rPr>
        <w:fldChar w:fldCharType="separate"/>
      </w:r>
      <w:r>
        <w:rPr>
          <w:noProof/>
        </w:rPr>
        <w:t>207</w:t>
      </w:r>
      <w:r>
        <w:rPr>
          <w:noProof/>
        </w:rPr>
        <w:fldChar w:fldCharType="end"/>
      </w:r>
    </w:p>
    <w:p w14:paraId="6EBB7FAE" w14:textId="2D0E8D44"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76 – Proposed Road Safety (Drivers) Regulations 2019</w:t>
      </w:r>
      <w:r>
        <w:rPr>
          <w:noProof/>
        </w:rPr>
        <w:tab/>
      </w:r>
      <w:r>
        <w:rPr>
          <w:noProof/>
        </w:rPr>
        <w:fldChar w:fldCharType="begin"/>
      </w:r>
      <w:r>
        <w:rPr>
          <w:noProof/>
        </w:rPr>
        <w:instrText xml:space="preserve"> PAGEREF _Toc10703769 \h </w:instrText>
      </w:r>
      <w:r>
        <w:rPr>
          <w:noProof/>
        </w:rPr>
      </w:r>
      <w:r>
        <w:rPr>
          <w:noProof/>
        </w:rPr>
        <w:fldChar w:fldCharType="separate"/>
      </w:r>
      <w:r>
        <w:rPr>
          <w:noProof/>
        </w:rPr>
        <w:t>209</w:t>
      </w:r>
      <w:r>
        <w:rPr>
          <w:noProof/>
        </w:rPr>
        <w:fldChar w:fldCharType="end"/>
      </w:r>
    </w:p>
    <w:p w14:paraId="2A1E24BB" w14:textId="4B020DB3"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77 – Vehicles Registration Service Groups</w:t>
      </w:r>
      <w:r>
        <w:rPr>
          <w:noProof/>
        </w:rPr>
        <w:tab/>
      </w:r>
      <w:r>
        <w:rPr>
          <w:noProof/>
        </w:rPr>
        <w:fldChar w:fldCharType="begin"/>
      </w:r>
      <w:r>
        <w:rPr>
          <w:noProof/>
        </w:rPr>
        <w:instrText xml:space="preserve"> PAGEREF _Toc10703770 \h </w:instrText>
      </w:r>
      <w:r>
        <w:rPr>
          <w:noProof/>
        </w:rPr>
      </w:r>
      <w:r>
        <w:rPr>
          <w:noProof/>
        </w:rPr>
        <w:fldChar w:fldCharType="separate"/>
      </w:r>
      <w:r>
        <w:rPr>
          <w:noProof/>
        </w:rPr>
        <w:t>225</w:t>
      </w:r>
      <w:r>
        <w:rPr>
          <w:noProof/>
        </w:rPr>
        <w:fldChar w:fldCharType="end"/>
      </w:r>
    </w:p>
    <w:p w14:paraId="6173F0C6" w14:textId="23E3B1A7"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78 – Vehicles Registration Permissions Groups</w:t>
      </w:r>
      <w:r>
        <w:rPr>
          <w:noProof/>
        </w:rPr>
        <w:tab/>
      </w:r>
      <w:r>
        <w:rPr>
          <w:noProof/>
        </w:rPr>
        <w:fldChar w:fldCharType="begin"/>
      </w:r>
      <w:r>
        <w:rPr>
          <w:noProof/>
        </w:rPr>
        <w:instrText xml:space="preserve"> PAGEREF _Toc10703771 \h </w:instrText>
      </w:r>
      <w:r>
        <w:rPr>
          <w:noProof/>
        </w:rPr>
      </w:r>
      <w:r>
        <w:rPr>
          <w:noProof/>
        </w:rPr>
        <w:fldChar w:fldCharType="separate"/>
      </w:r>
      <w:r>
        <w:rPr>
          <w:noProof/>
        </w:rPr>
        <w:t>226</w:t>
      </w:r>
      <w:r>
        <w:rPr>
          <w:noProof/>
        </w:rPr>
        <w:fldChar w:fldCharType="end"/>
      </w:r>
    </w:p>
    <w:p w14:paraId="37E8C9C6" w14:textId="3D201845"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79 – Vehicles Servicing Agreement Groups</w:t>
      </w:r>
      <w:r>
        <w:rPr>
          <w:noProof/>
        </w:rPr>
        <w:tab/>
      </w:r>
      <w:r>
        <w:rPr>
          <w:noProof/>
        </w:rPr>
        <w:fldChar w:fldCharType="begin"/>
      </w:r>
      <w:r>
        <w:rPr>
          <w:noProof/>
        </w:rPr>
        <w:instrText xml:space="preserve"> PAGEREF _Toc10703772 \h </w:instrText>
      </w:r>
      <w:r>
        <w:rPr>
          <w:noProof/>
        </w:rPr>
      </w:r>
      <w:r>
        <w:rPr>
          <w:noProof/>
        </w:rPr>
        <w:fldChar w:fldCharType="separate"/>
      </w:r>
      <w:r>
        <w:rPr>
          <w:noProof/>
        </w:rPr>
        <w:t>226</w:t>
      </w:r>
      <w:r>
        <w:rPr>
          <w:noProof/>
        </w:rPr>
        <w:fldChar w:fldCharType="end"/>
      </w:r>
    </w:p>
    <w:p w14:paraId="789195B5" w14:textId="590D0C95" w:rsidR="0023710E" w:rsidRDefault="0023710E">
      <w:pPr>
        <w:pStyle w:val="TableofFigures"/>
        <w:tabs>
          <w:tab w:val="right" w:leader="dot" w:pos="9515"/>
        </w:tabs>
        <w:rPr>
          <w:rFonts w:asciiTheme="minorHAnsi" w:eastAsiaTheme="minorEastAsia" w:hAnsiTheme="minorHAnsi"/>
          <w:noProof/>
          <w:sz w:val="22"/>
          <w:lang w:eastAsia="en-AU"/>
        </w:rPr>
      </w:pPr>
      <w:r>
        <w:rPr>
          <w:noProof/>
        </w:rPr>
        <w:t>Table 80 - Demerit Points Table in Schedule 3 to proposed Regulations</w:t>
      </w:r>
      <w:r>
        <w:rPr>
          <w:noProof/>
        </w:rPr>
        <w:tab/>
      </w:r>
      <w:r>
        <w:rPr>
          <w:noProof/>
        </w:rPr>
        <w:fldChar w:fldCharType="begin"/>
      </w:r>
      <w:r>
        <w:rPr>
          <w:noProof/>
        </w:rPr>
        <w:instrText xml:space="preserve"> PAGEREF _Toc10703773 \h </w:instrText>
      </w:r>
      <w:r>
        <w:rPr>
          <w:noProof/>
        </w:rPr>
      </w:r>
      <w:r>
        <w:rPr>
          <w:noProof/>
        </w:rPr>
        <w:fldChar w:fldCharType="separate"/>
      </w:r>
      <w:r>
        <w:rPr>
          <w:noProof/>
        </w:rPr>
        <w:t>227</w:t>
      </w:r>
      <w:r>
        <w:rPr>
          <w:noProof/>
        </w:rPr>
        <w:fldChar w:fldCharType="end"/>
      </w:r>
    </w:p>
    <w:p w14:paraId="49586CA5" w14:textId="2A07DD1E" w:rsidR="0069318E" w:rsidRPr="00734071" w:rsidRDefault="00A732D9" w:rsidP="00721FF6">
      <w:pPr>
        <w:rPr>
          <w:rFonts w:ascii="Segoe UI" w:hAnsi="Segoe UI" w:cs="Segoe UI"/>
          <w:sz w:val="16"/>
          <w:szCs w:val="16"/>
        </w:rPr>
      </w:pPr>
      <w:r w:rsidRPr="00117C96">
        <w:rPr>
          <w:rFonts w:ascii="Segoe UI" w:hAnsi="Segoe UI" w:cs="Segoe UI"/>
        </w:rPr>
        <w:fldChar w:fldCharType="end"/>
      </w:r>
    </w:p>
    <w:p w14:paraId="604CC1B2" w14:textId="77777777" w:rsidR="0069318E" w:rsidRPr="00573383" w:rsidRDefault="007428D0" w:rsidP="002528D1">
      <w:pPr>
        <w:spacing w:before="360"/>
        <w:rPr>
          <w:rFonts w:ascii="Segoe UI" w:hAnsi="Segoe UI" w:cs="Segoe UI"/>
          <w:b/>
          <w:color w:val="0C81BC"/>
          <w:sz w:val="36"/>
        </w:rPr>
      </w:pPr>
      <w:r w:rsidRPr="00D40443">
        <w:rPr>
          <w:rFonts w:ascii="Segoe UI" w:hAnsi="Segoe UI" w:cs="Segoe UI"/>
          <w:b/>
          <w:color w:val="0C81BC"/>
          <w:sz w:val="36"/>
        </w:rPr>
        <w:t>Figures</w:t>
      </w:r>
    </w:p>
    <w:p w14:paraId="00FC94C8" w14:textId="54235C66" w:rsidR="00EB4B02" w:rsidRDefault="00A732D9">
      <w:pPr>
        <w:pStyle w:val="TableofFigures"/>
        <w:tabs>
          <w:tab w:val="right" w:leader="dot" w:pos="9515"/>
        </w:tabs>
        <w:rPr>
          <w:rFonts w:asciiTheme="minorHAnsi" w:eastAsiaTheme="minorEastAsia" w:hAnsiTheme="minorHAnsi"/>
          <w:noProof/>
          <w:sz w:val="22"/>
          <w:lang w:eastAsia="en-AU"/>
        </w:rPr>
      </w:pPr>
      <w:r w:rsidRPr="00117C96">
        <w:rPr>
          <w:rFonts w:cs="Segoe UI"/>
        </w:rPr>
        <w:fldChar w:fldCharType="begin"/>
      </w:r>
      <w:r w:rsidR="007428D0" w:rsidRPr="00117C96">
        <w:rPr>
          <w:rFonts w:cs="Segoe UI"/>
        </w:rPr>
        <w:instrText xml:space="preserve"> TOC \c "Figure" </w:instrText>
      </w:r>
      <w:r w:rsidRPr="00117C96">
        <w:rPr>
          <w:rFonts w:cs="Segoe UI"/>
        </w:rPr>
        <w:fldChar w:fldCharType="separate"/>
      </w:r>
      <w:r w:rsidR="00EB4B02">
        <w:rPr>
          <w:noProof/>
        </w:rPr>
        <w:t>Figure 1 – National GLS Policy Framework</w:t>
      </w:r>
      <w:r w:rsidR="00EB4B02">
        <w:rPr>
          <w:noProof/>
        </w:rPr>
        <w:tab/>
      </w:r>
      <w:r w:rsidR="00EB4B02">
        <w:rPr>
          <w:noProof/>
        </w:rPr>
        <w:fldChar w:fldCharType="begin"/>
      </w:r>
      <w:r w:rsidR="00EB4B02">
        <w:rPr>
          <w:noProof/>
        </w:rPr>
        <w:instrText xml:space="preserve"> PAGEREF _Toc10703646 \h </w:instrText>
      </w:r>
      <w:r w:rsidR="00EB4B02">
        <w:rPr>
          <w:noProof/>
        </w:rPr>
      </w:r>
      <w:r w:rsidR="00EB4B02">
        <w:rPr>
          <w:noProof/>
        </w:rPr>
        <w:fldChar w:fldCharType="separate"/>
      </w:r>
      <w:r w:rsidR="00EB4B02">
        <w:rPr>
          <w:noProof/>
        </w:rPr>
        <w:t>24</w:t>
      </w:r>
      <w:r w:rsidR="00EB4B02">
        <w:rPr>
          <w:noProof/>
        </w:rPr>
        <w:fldChar w:fldCharType="end"/>
      </w:r>
    </w:p>
    <w:p w14:paraId="74E47C44" w14:textId="10F382E5"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2 – VicRoads functional framework</w:t>
      </w:r>
      <w:r>
        <w:rPr>
          <w:noProof/>
        </w:rPr>
        <w:tab/>
      </w:r>
      <w:r>
        <w:rPr>
          <w:noProof/>
        </w:rPr>
        <w:fldChar w:fldCharType="begin"/>
      </w:r>
      <w:r>
        <w:rPr>
          <w:noProof/>
        </w:rPr>
        <w:instrText xml:space="preserve"> PAGEREF _Toc10703647 \h </w:instrText>
      </w:r>
      <w:r>
        <w:rPr>
          <w:noProof/>
        </w:rPr>
      </w:r>
      <w:r>
        <w:rPr>
          <w:noProof/>
        </w:rPr>
        <w:fldChar w:fldCharType="separate"/>
      </w:r>
      <w:r>
        <w:rPr>
          <w:noProof/>
        </w:rPr>
        <w:t>31</w:t>
      </w:r>
      <w:r>
        <w:rPr>
          <w:noProof/>
        </w:rPr>
        <w:fldChar w:fldCharType="end"/>
      </w:r>
    </w:p>
    <w:p w14:paraId="7C804512" w14:textId="7ECB9512"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3 – Victorian drivers in casualty crashes 2012 to 2014</w:t>
      </w:r>
      <w:r>
        <w:rPr>
          <w:noProof/>
        </w:rPr>
        <w:tab/>
      </w:r>
      <w:r>
        <w:rPr>
          <w:noProof/>
        </w:rPr>
        <w:fldChar w:fldCharType="begin"/>
      </w:r>
      <w:r>
        <w:rPr>
          <w:noProof/>
        </w:rPr>
        <w:instrText xml:space="preserve"> PAGEREF _Toc10703648 \h </w:instrText>
      </w:r>
      <w:r>
        <w:rPr>
          <w:noProof/>
        </w:rPr>
      </w:r>
      <w:r>
        <w:rPr>
          <w:noProof/>
        </w:rPr>
        <w:fldChar w:fldCharType="separate"/>
      </w:r>
      <w:r>
        <w:rPr>
          <w:noProof/>
        </w:rPr>
        <w:t>50</w:t>
      </w:r>
      <w:r>
        <w:rPr>
          <w:noProof/>
        </w:rPr>
        <w:fldChar w:fldCharType="end"/>
      </w:r>
    </w:p>
    <w:p w14:paraId="5FE6BF65" w14:textId="1D21DEB2"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4 – Key milestones in Victorian driver licensing and reduction in road deaths</w:t>
      </w:r>
      <w:r>
        <w:rPr>
          <w:noProof/>
        </w:rPr>
        <w:tab/>
      </w:r>
      <w:r>
        <w:rPr>
          <w:noProof/>
        </w:rPr>
        <w:fldChar w:fldCharType="begin"/>
      </w:r>
      <w:r>
        <w:rPr>
          <w:noProof/>
        </w:rPr>
        <w:instrText xml:space="preserve"> PAGEREF _Toc10703649 \h </w:instrText>
      </w:r>
      <w:r>
        <w:rPr>
          <w:noProof/>
        </w:rPr>
      </w:r>
      <w:r>
        <w:rPr>
          <w:noProof/>
        </w:rPr>
        <w:fldChar w:fldCharType="separate"/>
      </w:r>
      <w:r>
        <w:rPr>
          <w:noProof/>
        </w:rPr>
        <w:t>52</w:t>
      </w:r>
      <w:r>
        <w:rPr>
          <w:noProof/>
        </w:rPr>
        <w:fldChar w:fldCharType="end"/>
      </w:r>
    </w:p>
    <w:p w14:paraId="32496946" w14:textId="233F984F"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5 – Lives lost in Victoria compared with the increase in population and vehicles (1970 to 2018)</w:t>
      </w:r>
      <w:r>
        <w:rPr>
          <w:noProof/>
        </w:rPr>
        <w:tab/>
      </w:r>
      <w:r>
        <w:rPr>
          <w:noProof/>
        </w:rPr>
        <w:fldChar w:fldCharType="begin"/>
      </w:r>
      <w:r>
        <w:rPr>
          <w:noProof/>
        </w:rPr>
        <w:instrText xml:space="preserve"> PAGEREF _Toc10703650 \h </w:instrText>
      </w:r>
      <w:r>
        <w:rPr>
          <w:noProof/>
        </w:rPr>
      </w:r>
      <w:r>
        <w:rPr>
          <w:noProof/>
        </w:rPr>
        <w:fldChar w:fldCharType="separate"/>
      </w:r>
      <w:r>
        <w:rPr>
          <w:noProof/>
        </w:rPr>
        <w:t>53</w:t>
      </w:r>
      <w:r>
        <w:rPr>
          <w:noProof/>
        </w:rPr>
        <w:fldChar w:fldCharType="end"/>
      </w:r>
    </w:p>
    <w:p w14:paraId="45586544" w14:textId="5B36C7F3"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6 – Lives lost on Victorian roads per 100K population and per 100K vehicles (1970-2018)</w:t>
      </w:r>
      <w:r>
        <w:rPr>
          <w:noProof/>
        </w:rPr>
        <w:tab/>
      </w:r>
      <w:r>
        <w:rPr>
          <w:noProof/>
        </w:rPr>
        <w:fldChar w:fldCharType="begin"/>
      </w:r>
      <w:r>
        <w:rPr>
          <w:noProof/>
        </w:rPr>
        <w:instrText xml:space="preserve"> PAGEREF _Toc10703651 \h </w:instrText>
      </w:r>
      <w:r>
        <w:rPr>
          <w:noProof/>
        </w:rPr>
      </w:r>
      <w:r>
        <w:rPr>
          <w:noProof/>
        </w:rPr>
        <w:fldChar w:fldCharType="separate"/>
      </w:r>
      <w:r>
        <w:rPr>
          <w:noProof/>
        </w:rPr>
        <w:t>53</w:t>
      </w:r>
      <w:r>
        <w:rPr>
          <w:noProof/>
        </w:rPr>
        <w:fldChar w:fldCharType="end"/>
      </w:r>
    </w:p>
    <w:p w14:paraId="6B31BC70" w14:textId="391F240E"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7 – Motorcyclist lives lost on Victorian roads per 100K active motorcycle licences and learner permits (2011-2018)</w:t>
      </w:r>
      <w:r>
        <w:rPr>
          <w:noProof/>
        </w:rPr>
        <w:tab/>
      </w:r>
      <w:r>
        <w:rPr>
          <w:noProof/>
        </w:rPr>
        <w:fldChar w:fldCharType="begin"/>
      </w:r>
      <w:r>
        <w:rPr>
          <w:noProof/>
        </w:rPr>
        <w:instrText xml:space="preserve"> PAGEREF _Toc10703652 \h </w:instrText>
      </w:r>
      <w:r>
        <w:rPr>
          <w:noProof/>
        </w:rPr>
      </w:r>
      <w:r>
        <w:rPr>
          <w:noProof/>
        </w:rPr>
        <w:fldChar w:fldCharType="separate"/>
      </w:r>
      <w:r>
        <w:rPr>
          <w:noProof/>
        </w:rPr>
        <w:t>54</w:t>
      </w:r>
      <w:r>
        <w:rPr>
          <w:noProof/>
        </w:rPr>
        <w:fldChar w:fldCharType="end"/>
      </w:r>
    </w:p>
    <w:p w14:paraId="6E17139D" w14:textId="25D5361A"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8 – 18-25 years old driver &amp; motorcyclist lives lost in Victoria per 100K population (2011 to 2018)</w:t>
      </w:r>
      <w:r>
        <w:rPr>
          <w:noProof/>
        </w:rPr>
        <w:tab/>
      </w:r>
      <w:r>
        <w:rPr>
          <w:noProof/>
        </w:rPr>
        <w:fldChar w:fldCharType="begin"/>
      </w:r>
      <w:r>
        <w:rPr>
          <w:noProof/>
        </w:rPr>
        <w:instrText xml:space="preserve"> PAGEREF _Toc10703653 \h </w:instrText>
      </w:r>
      <w:r>
        <w:rPr>
          <w:noProof/>
        </w:rPr>
      </w:r>
      <w:r>
        <w:rPr>
          <w:noProof/>
        </w:rPr>
        <w:fldChar w:fldCharType="separate"/>
      </w:r>
      <w:r>
        <w:rPr>
          <w:noProof/>
        </w:rPr>
        <w:t>55</w:t>
      </w:r>
      <w:r>
        <w:rPr>
          <w:noProof/>
        </w:rPr>
        <w:fldChar w:fldCharType="end"/>
      </w:r>
    </w:p>
    <w:p w14:paraId="065862DA" w14:textId="016BDB6D"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9 – Victoria’s road fatality rate compared with OECD countries (2016)</w:t>
      </w:r>
      <w:r>
        <w:rPr>
          <w:noProof/>
        </w:rPr>
        <w:tab/>
      </w:r>
      <w:r>
        <w:rPr>
          <w:noProof/>
        </w:rPr>
        <w:fldChar w:fldCharType="begin"/>
      </w:r>
      <w:r>
        <w:rPr>
          <w:noProof/>
        </w:rPr>
        <w:instrText xml:space="preserve"> PAGEREF _Toc10703654 \h </w:instrText>
      </w:r>
      <w:r>
        <w:rPr>
          <w:noProof/>
        </w:rPr>
      </w:r>
      <w:r>
        <w:rPr>
          <w:noProof/>
        </w:rPr>
        <w:fldChar w:fldCharType="separate"/>
      </w:r>
      <w:r>
        <w:rPr>
          <w:noProof/>
        </w:rPr>
        <w:t>57</w:t>
      </w:r>
      <w:r>
        <w:rPr>
          <w:noProof/>
        </w:rPr>
        <w:fldChar w:fldCharType="end"/>
      </w:r>
    </w:p>
    <w:p w14:paraId="07D4FF91" w14:textId="76F958EE"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10 – National Exemplar GLS as implemented in Victoria</w:t>
      </w:r>
      <w:r>
        <w:rPr>
          <w:noProof/>
        </w:rPr>
        <w:tab/>
      </w:r>
      <w:r>
        <w:rPr>
          <w:noProof/>
        </w:rPr>
        <w:fldChar w:fldCharType="begin"/>
      </w:r>
      <w:r>
        <w:rPr>
          <w:noProof/>
        </w:rPr>
        <w:instrText xml:space="preserve"> PAGEREF _Toc10703655 \h </w:instrText>
      </w:r>
      <w:r>
        <w:rPr>
          <w:noProof/>
        </w:rPr>
      </w:r>
      <w:r>
        <w:rPr>
          <w:noProof/>
        </w:rPr>
        <w:fldChar w:fldCharType="separate"/>
      </w:r>
      <w:r>
        <w:rPr>
          <w:noProof/>
        </w:rPr>
        <w:t>62</w:t>
      </w:r>
      <w:r>
        <w:rPr>
          <w:noProof/>
        </w:rPr>
        <w:fldChar w:fldCharType="end"/>
      </w:r>
    </w:p>
    <w:p w14:paraId="115D2443" w14:textId="7FD9EF29"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11 – Victoria’s enhanced M-GLS learner and probationary licence training and assessment</w:t>
      </w:r>
      <w:r>
        <w:rPr>
          <w:noProof/>
        </w:rPr>
        <w:tab/>
      </w:r>
      <w:r>
        <w:rPr>
          <w:noProof/>
        </w:rPr>
        <w:fldChar w:fldCharType="begin"/>
      </w:r>
      <w:r>
        <w:rPr>
          <w:noProof/>
        </w:rPr>
        <w:instrText xml:space="preserve"> PAGEREF _Toc10703656 \h </w:instrText>
      </w:r>
      <w:r>
        <w:rPr>
          <w:noProof/>
        </w:rPr>
      </w:r>
      <w:r>
        <w:rPr>
          <w:noProof/>
        </w:rPr>
        <w:fldChar w:fldCharType="separate"/>
      </w:r>
      <w:r>
        <w:rPr>
          <w:noProof/>
        </w:rPr>
        <w:t>67</w:t>
      </w:r>
      <w:r>
        <w:rPr>
          <w:noProof/>
        </w:rPr>
        <w:fldChar w:fldCharType="end"/>
      </w:r>
    </w:p>
    <w:p w14:paraId="3D44D5DD" w14:textId="78587C78"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12 – Graduated licencing categories and periods</w:t>
      </w:r>
      <w:r>
        <w:rPr>
          <w:noProof/>
        </w:rPr>
        <w:tab/>
      </w:r>
      <w:r>
        <w:rPr>
          <w:noProof/>
        </w:rPr>
        <w:fldChar w:fldCharType="begin"/>
      </w:r>
      <w:r>
        <w:rPr>
          <w:noProof/>
        </w:rPr>
        <w:instrText xml:space="preserve"> PAGEREF _Toc10703657 \h </w:instrText>
      </w:r>
      <w:r>
        <w:rPr>
          <w:noProof/>
        </w:rPr>
      </w:r>
      <w:r>
        <w:rPr>
          <w:noProof/>
        </w:rPr>
        <w:fldChar w:fldCharType="separate"/>
      </w:r>
      <w:r>
        <w:rPr>
          <w:noProof/>
        </w:rPr>
        <w:t>109</w:t>
      </w:r>
      <w:r>
        <w:rPr>
          <w:noProof/>
        </w:rPr>
        <w:fldChar w:fldCharType="end"/>
      </w:r>
    </w:p>
    <w:p w14:paraId="14CD499E" w14:textId="2C908E6D"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13 – Driving offence and penalty relationship</w:t>
      </w:r>
      <w:r>
        <w:rPr>
          <w:noProof/>
        </w:rPr>
        <w:tab/>
      </w:r>
      <w:r>
        <w:rPr>
          <w:noProof/>
        </w:rPr>
        <w:fldChar w:fldCharType="begin"/>
      </w:r>
      <w:r>
        <w:rPr>
          <w:noProof/>
        </w:rPr>
        <w:instrText xml:space="preserve"> PAGEREF _Toc10703658 \h </w:instrText>
      </w:r>
      <w:r>
        <w:rPr>
          <w:noProof/>
        </w:rPr>
      </w:r>
      <w:r>
        <w:rPr>
          <w:noProof/>
        </w:rPr>
        <w:fldChar w:fldCharType="separate"/>
      </w:r>
      <w:r>
        <w:rPr>
          <w:noProof/>
        </w:rPr>
        <w:t>128</w:t>
      </w:r>
      <w:r>
        <w:rPr>
          <w:noProof/>
        </w:rPr>
        <w:fldChar w:fldCharType="end"/>
      </w:r>
    </w:p>
    <w:p w14:paraId="228DED12" w14:textId="7133A4C8"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14 – VicRoads Organisation Culture: Care, Share, Dare</w:t>
      </w:r>
      <w:r>
        <w:rPr>
          <w:noProof/>
        </w:rPr>
        <w:tab/>
      </w:r>
      <w:r>
        <w:rPr>
          <w:noProof/>
        </w:rPr>
        <w:fldChar w:fldCharType="begin"/>
      </w:r>
      <w:r>
        <w:rPr>
          <w:noProof/>
        </w:rPr>
        <w:instrText xml:space="preserve"> PAGEREF _Toc10703659 \h </w:instrText>
      </w:r>
      <w:r>
        <w:rPr>
          <w:noProof/>
        </w:rPr>
      </w:r>
      <w:r>
        <w:rPr>
          <w:noProof/>
        </w:rPr>
        <w:fldChar w:fldCharType="separate"/>
      </w:r>
      <w:r>
        <w:rPr>
          <w:noProof/>
        </w:rPr>
        <w:t>139</w:t>
      </w:r>
      <w:r>
        <w:rPr>
          <w:noProof/>
        </w:rPr>
        <w:fldChar w:fldCharType="end"/>
      </w:r>
    </w:p>
    <w:p w14:paraId="39CC87A2" w14:textId="35FC9B5B" w:rsidR="00EB4B02" w:rsidRDefault="00EB4B02">
      <w:pPr>
        <w:pStyle w:val="TableofFigures"/>
        <w:tabs>
          <w:tab w:val="right" w:leader="dot" w:pos="9515"/>
        </w:tabs>
        <w:rPr>
          <w:rFonts w:asciiTheme="minorHAnsi" w:eastAsiaTheme="minorEastAsia" w:hAnsiTheme="minorHAnsi"/>
          <w:noProof/>
          <w:sz w:val="22"/>
          <w:lang w:eastAsia="en-AU"/>
        </w:rPr>
      </w:pPr>
      <w:r>
        <w:rPr>
          <w:noProof/>
        </w:rPr>
        <w:t>Figure 15 – R&amp;L Online Self-Serve transactions proportions</w:t>
      </w:r>
      <w:r>
        <w:rPr>
          <w:noProof/>
        </w:rPr>
        <w:tab/>
      </w:r>
      <w:r>
        <w:rPr>
          <w:noProof/>
        </w:rPr>
        <w:fldChar w:fldCharType="begin"/>
      </w:r>
      <w:r>
        <w:rPr>
          <w:noProof/>
        </w:rPr>
        <w:instrText xml:space="preserve"> PAGEREF _Toc10703660 \h </w:instrText>
      </w:r>
      <w:r>
        <w:rPr>
          <w:noProof/>
        </w:rPr>
      </w:r>
      <w:r>
        <w:rPr>
          <w:noProof/>
        </w:rPr>
        <w:fldChar w:fldCharType="separate"/>
      </w:r>
      <w:r>
        <w:rPr>
          <w:noProof/>
        </w:rPr>
        <w:t>145</w:t>
      </w:r>
      <w:r>
        <w:rPr>
          <w:noProof/>
        </w:rPr>
        <w:fldChar w:fldCharType="end"/>
      </w:r>
    </w:p>
    <w:p w14:paraId="767C1F40" w14:textId="28B866CF" w:rsidR="00EB4B02" w:rsidRDefault="00EB4B02">
      <w:pPr>
        <w:pStyle w:val="TableofFigures"/>
        <w:tabs>
          <w:tab w:val="right" w:leader="dot" w:pos="9515"/>
        </w:tabs>
        <w:rPr>
          <w:rFonts w:asciiTheme="minorHAnsi" w:eastAsiaTheme="minorEastAsia" w:hAnsiTheme="minorHAnsi"/>
          <w:noProof/>
          <w:sz w:val="22"/>
          <w:lang w:eastAsia="en-AU"/>
        </w:rPr>
      </w:pPr>
      <w:r w:rsidRPr="0023710E">
        <w:rPr>
          <w:rFonts w:cs="Segoe UI"/>
          <w:bCs/>
          <w:noProof/>
          <w:color w:val="0A1F3F"/>
        </w:rPr>
        <w:t>Figure 16 – Cost Recovery: Learner Permit and Licence Testing</w:t>
      </w:r>
      <w:r>
        <w:rPr>
          <w:noProof/>
        </w:rPr>
        <w:tab/>
      </w:r>
      <w:r>
        <w:rPr>
          <w:noProof/>
        </w:rPr>
        <w:fldChar w:fldCharType="begin"/>
      </w:r>
      <w:r>
        <w:rPr>
          <w:noProof/>
        </w:rPr>
        <w:instrText xml:space="preserve"> PAGEREF _Toc10703661 \h </w:instrText>
      </w:r>
      <w:r>
        <w:rPr>
          <w:noProof/>
        </w:rPr>
      </w:r>
      <w:r>
        <w:rPr>
          <w:noProof/>
        </w:rPr>
        <w:fldChar w:fldCharType="separate"/>
      </w:r>
      <w:r>
        <w:rPr>
          <w:noProof/>
        </w:rPr>
        <w:t>172</w:t>
      </w:r>
      <w:r>
        <w:rPr>
          <w:noProof/>
        </w:rPr>
        <w:fldChar w:fldCharType="end"/>
      </w:r>
    </w:p>
    <w:p w14:paraId="7503C830" w14:textId="592524AB" w:rsidR="007428D0" w:rsidRPr="00117C96" w:rsidRDefault="00A732D9" w:rsidP="00721FF6">
      <w:pPr>
        <w:rPr>
          <w:rFonts w:ascii="Segoe UI" w:hAnsi="Segoe UI" w:cs="Segoe UI"/>
        </w:rPr>
      </w:pPr>
      <w:r w:rsidRPr="00117C96">
        <w:rPr>
          <w:rFonts w:ascii="Segoe UI" w:hAnsi="Segoe UI" w:cs="Segoe UI"/>
        </w:rPr>
        <w:fldChar w:fldCharType="end"/>
      </w:r>
    </w:p>
    <w:p w14:paraId="2D23CEDA" w14:textId="77777777" w:rsidR="00203F09" w:rsidRPr="00117C96" w:rsidRDefault="00203F09" w:rsidP="00721FF6">
      <w:pPr>
        <w:rPr>
          <w:rFonts w:ascii="Segoe UI" w:hAnsi="Segoe UI" w:cs="Segoe UI"/>
        </w:rPr>
      </w:pPr>
    </w:p>
    <w:p w14:paraId="51C34CF2" w14:textId="77777777" w:rsidR="00877C94" w:rsidRPr="00117C96" w:rsidRDefault="00877C94" w:rsidP="005B51D8">
      <w:pPr>
        <w:pStyle w:val="TOC2"/>
      </w:pPr>
    </w:p>
    <w:p w14:paraId="4C6BD241" w14:textId="77777777" w:rsidR="008C00E1" w:rsidRDefault="008C00E1" w:rsidP="006713F9">
      <w:pPr>
        <w:pStyle w:val="HeadingNoNum"/>
        <w:sectPr w:rsidR="008C00E1" w:rsidSect="003A4E35">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1906" w:h="16838" w:code="9"/>
          <w:pgMar w:top="1418" w:right="1134" w:bottom="1418" w:left="1247" w:header="567" w:footer="397" w:gutter="0"/>
          <w:cols w:space="708"/>
          <w:titlePg/>
          <w:docGrid w:linePitch="360"/>
        </w:sectPr>
      </w:pPr>
      <w:bookmarkStart w:id="4" w:name="_Toc484440990"/>
    </w:p>
    <w:p w14:paraId="5F6DE87E" w14:textId="77777777" w:rsidR="00933BFA" w:rsidRPr="00117C96" w:rsidRDefault="00C97AEC" w:rsidP="006713F9">
      <w:pPr>
        <w:pStyle w:val="HeadingNoNum"/>
      </w:pPr>
      <w:bookmarkStart w:id="5" w:name="_Toc10703390"/>
      <w:r w:rsidRPr="00117C96">
        <w:lastRenderedPageBreak/>
        <w:t>Executive Summary</w:t>
      </w:r>
      <w:bookmarkEnd w:id="5"/>
      <w:r w:rsidR="0067676C">
        <w:t xml:space="preserve"> </w:t>
      </w:r>
    </w:p>
    <w:p w14:paraId="167D24A9" w14:textId="77777777" w:rsidR="00B0648C" w:rsidRPr="00111C04" w:rsidRDefault="00B0648C" w:rsidP="00111C04">
      <w:pPr>
        <w:pStyle w:val="NoSpacing"/>
        <w:rPr>
          <w:rStyle w:val="Strong"/>
          <w:rFonts w:eastAsiaTheme="minorHAnsi"/>
          <w:b/>
          <w:bCs w:val="0"/>
          <w:sz w:val="20"/>
          <w:szCs w:val="26"/>
        </w:rPr>
      </w:pPr>
      <w:bookmarkStart w:id="6" w:name="_Toc495515286"/>
      <w:bookmarkStart w:id="7" w:name="_Toc495515417"/>
      <w:bookmarkStart w:id="8" w:name="_Toc495515287"/>
      <w:bookmarkStart w:id="9" w:name="_Toc495515418"/>
      <w:bookmarkStart w:id="10" w:name="_Toc495515288"/>
      <w:bookmarkStart w:id="11" w:name="_Toc495515419"/>
      <w:bookmarkStart w:id="12" w:name="_Toc495515289"/>
      <w:bookmarkStart w:id="13" w:name="_Toc495515420"/>
      <w:bookmarkEnd w:id="6"/>
      <w:bookmarkEnd w:id="7"/>
      <w:bookmarkEnd w:id="8"/>
      <w:bookmarkEnd w:id="9"/>
      <w:bookmarkEnd w:id="10"/>
      <w:bookmarkEnd w:id="11"/>
      <w:bookmarkEnd w:id="12"/>
      <w:bookmarkEnd w:id="13"/>
      <w:r w:rsidRPr="00111C04">
        <w:rPr>
          <w:rStyle w:val="Strong"/>
          <w:rFonts w:eastAsiaTheme="minorHAnsi"/>
          <w:b/>
          <w:bCs w:val="0"/>
          <w:sz w:val="20"/>
          <w:szCs w:val="26"/>
        </w:rPr>
        <w:t>Purpose of this Regulatory Impact Statement</w:t>
      </w:r>
    </w:p>
    <w:p w14:paraId="59F416AC" w14:textId="77777777" w:rsidR="00B0648C" w:rsidRPr="006449CB" w:rsidRDefault="006449CB" w:rsidP="009B78D1">
      <w:pPr>
        <w:pStyle w:val="TextPara"/>
        <w:rPr>
          <w:rStyle w:val="Strong"/>
          <w:rFonts w:eastAsiaTheme="minorHAnsi" w:cstheme="minorBidi"/>
          <w:bCs w:val="0"/>
          <w:color w:val="auto"/>
          <w:sz w:val="20"/>
          <w:szCs w:val="22"/>
        </w:rPr>
      </w:pPr>
      <w:r w:rsidRPr="009B78D1">
        <w:rPr>
          <w:rStyle w:val="Strong"/>
          <w:rFonts w:eastAsiaTheme="minorHAnsi" w:cstheme="minorBidi"/>
          <w:b w:val="0"/>
          <w:bCs w:val="0"/>
          <w:color w:val="auto"/>
          <w:sz w:val="20"/>
          <w:szCs w:val="22"/>
        </w:rPr>
        <w:t>The</w:t>
      </w:r>
      <w:r w:rsidRPr="006449CB">
        <w:rPr>
          <w:rStyle w:val="Strong"/>
          <w:rFonts w:eastAsiaTheme="minorHAnsi" w:cstheme="minorBidi"/>
          <w:bCs w:val="0"/>
          <w:color w:val="auto"/>
          <w:sz w:val="20"/>
          <w:szCs w:val="22"/>
        </w:rPr>
        <w:t xml:space="preserve"> </w:t>
      </w:r>
      <w:r w:rsidRPr="009B78D1">
        <w:t xml:space="preserve">licensing of drivers </w:t>
      </w:r>
      <w:r w:rsidR="00B0648C" w:rsidRPr="009B78D1">
        <w:t>in Victoria is regulated by</w:t>
      </w:r>
      <w:r w:rsidR="00B0648C" w:rsidRPr="006449CB">
        <w:rPr>
          <w:rStyle w:val="Strong"/>
          <w:rFonts w:eastAsiaTheme="minorHAnsi" w:cstheme="minorBidi"/>
          <w:bCs w:val="0"/>
          <w:color w:val="auto"/>
          <w:sz w:val="20"/>
          <w:szCs w:val="22"/>
        </w:rPr>
        <w:t xml:space="preserve"> </w:t>
      </w:r>
      <w:r w:rsidRPr="006449CB">
        <w:t xml:space="preserve">the </w:t>
      </w:r>
      <w:r w:rsidRPr="006449CB">
        <w:rPr>
          <w:i/>
        </w:rPr>
        <w:t>Road Safety Act 1986</w:t>
      </w:r>
      <w:r w:rsidRPr="006449CB">
        <w:t xml:space="preserve"> (</w:t>
      </w:r>
      <w:r w:rsidRPr="00522B99">
        <w:rPr>
          <w:b/>
          <w:i/>
        </w:rPr>
        <w:t>RSA</w:t>
      </w:r>
      <w:r w:rsidRPr="006449CB">
        <w:t xml:space="preserve">) and the </w:t>
      </w:r>
      <w:r w:rsidRPr="00276EE6">
        <w:t>Road Safety (Drivers) Regulations 2009</w:t>
      </w:r>
      <w:r>
        <w:rPr>
          <w:i/>
        </w:rPr>
        <w:t xml:space="preserve"> </w:t>
      </w:r>
      <w:r w:rsidRPr="006449CB">
        <w:t>(</w:t>
      </w:r>
      <w:r w:rsidRPr="00522B99">
        <w:rPr>
          <w:b/>
        </w:rPr>
        <w:t xml:space="preserve">the </w:t>
      </w:r>
      <w:r w:rsidR="000A2DAA" w:rsidRPr="00522B99">
        <w:rPr>
          <w:b/>
        </w:rPr>
        <w:t xml:space="preserve">current </w:t>
      </w:r>
      <w:r w:rsidRPr="00522B99">
        <w:rPr>
          <w:b/>
        </w:rPr>
        <w:t>Regulations</w:t>
      </w:r>
      <w:r w:rsidRPr="006449CB">
        <w:t>)</w:t>
      </w:r>
      <w:r w:rsidR="00B0648C" w:rsidRPr="006449CB">
        <w:rPr>
          <w:rStyle w:val="Strong"/>
          <w:rFonts w:eastAsiaTheme="minorHAnsi" w:cstheme="minorBidi"/>
          <w:bCs w:val="0"/>
          <w:color w:val="auto"/>
          <w:sz w:val="20"/>
          <w:szCs w:val="22"/>
        </w:rPr>
        <w:t>.</w:t>
      </w:r>
    </w:p>
    <w:p w14:paraId="0416B5EE" w14:textId="77777777" w:rsidR="00122C1B" w:rsidRDefault="006449CB" w:rsidP="006449CB">
      <w:pPr>
        <w:pStyle w:val="TextPara"/>
        <w:rPr>
          <w:rStyle w:val="Strong"/>
          <w:rFonts w:eastAsiaTheme="minorHAnsi" w:cstheme="minorBidi"/>
          <w:bCs w:val="0"/>
          <w:color w:val="auto"/>
          <w:sz w:val="20"/>
          <w:szCs w:val="22"/>
        </w:rPr>
      </w:pPr>
      <w:r w:rsidRPr="009B78D1">
        <w:t xml:space="preserve">The </w:t>
      </w:r>
      <w:r w:rsidR="00F575E3" w:rsidRPr="009B78D1">
        <w:t xml:space="preserve">current </w:t>
      </w:r>
      <w:r w:rsidRPr="009B78D1">
        <w:t xml:space="preserve">Regulations </w:t>
      </w:r>
      <w:r w:rsidR="006E4E08" w:rsidRPr="006E4E08">
        <w:t xml:space="preserve">are due to be revoked (sunset) </w:t>
      </w:r>
      <w:r w:rsidRPr="009B78D1">
        <w:t xml:space="preserve">on 26 August 2019. </w:t>
      </w:r>
      <w:r w:rsidR="009B1785" w:rsidRPr="009B78D1">
        <w:t>This</w:t>
      </w:r>
      <w:r w:rsidR="00B0648C" w:rsidRPr="009B78D1">
        <w:t xml:space="preserve"> </w:t>
      </w:r>
      <w:r w:rsidR="00F516C6" w:rsidRPr="009B78D1">
        <w:t xml:space="preserve">regulatory impact statement </w:t>
      </w:r>
      <w:r w:rsidR="00B0648C" w:rsidRPr="009B78D1">
        <w:t>(</w:t>
      </w:r>
      <w:r w:rsidR="00B0648C" w:rsidRPr="00522B99">
        <w:rPr>
          <w:b/>
        </w:rPr>
        <w:t>RIS</w:t>
      </w:r>
      <w:r w:rsidR="00B0648C" w:rsidRPr="009B78D1">
        <w:t xml:space="preserve">) </w:t>
      </w:r>
      <w:r w:rsidR="00F575E3" w:rsidRPr="009B78D1">
        <w:t>has</w:t>
      </w:r>
      <w:r w:rsidR="00B0648C" w:rsidRPr="009B78D1">
        <w:t xml:space="preserve"> be</w:t>
      </w:r>
      <w:r w:rsidR="00F575E3" w:rsidRPr="009B78D1">
        <w:t>en</w:t>
      </w:r>
      <w:r w:rsidR="00B0648C" w:rsidRPr="009B78D1">
        <w:t xml:space="preserve"> prepared for new regulations</w:t>
      </w:r>
      <w:r w:rsidR="00F575E3" w:rsidRPr="009B78D1">
        <w:t>,</w:t>
      </w:r>
      <w:r w:rsidR="00B0648C" w:rsidRPr="009B78D1">
        <w:t xml:space="preserve"> </w:t>
      </w:r>
      <w:r w:rsidR="00F575E3" w:rsidRPr="009B78D1">
        <w:t xml:space="preserve">as required under the </w:t>
      </w:r>
      <w:r w:rsidR="00F575E3" w:rsidRPr="009B78D1">
        <w:rPr>
          <w:i/>
        </w:rPr>
        <w:t>Subordinate Legislation Act 1994</w:t>
      </w:r>
      <w:r w:rsidR="00F575E3" w:rsidRPr="009B78D1">
        <w:t xml:space="preserve"> (</w:t>
      </w:r>
      <w:r w:rsidR="00F575E3" w:rsidRPr="00522B99">
        <w:rPr>
          <w:b/>
          <w:i/>
        </w:rPr>
        <w:t>SLA</w:t>
      </w:r>
      <w:r w:rsidR="00F575E3" w:rsidRPr="009B78D1">
        <w:t xml:space="preserve">) and </w:t>
      </w:r>
      <w:r w:rsidR="00B0648C" w:rsidRPr="009B78D1">
        <w:t xml:space="preserve">in accordance with the Commissioner for Better Regulation’s </w:t>
      </w:r>
      <w:r w:rsidR="00B0648C" w:rsidRPr="009B78D1">
        <w:rPr>
          <w:i/>
        </w:rPr>
        <w:t>Victorian Guide to Regulation</w:t>
      </w:r>
      <w:r w:rsidR="00F575E3" w:rsidRPr="009B78D1">
        <w:t>.</w:t>
      </w:r>
      <w:bookmarkEnd w:id="4"/>
      <w:r w:rsidR="00122C1B">
        <w:rPr>
          <w:rStyle w:val="EndnoteReference"/>
        </w:rPr>
        <w:endnoteReference w:id="2"/>
      </w:r>
      <w:r w:rsidR="00122C1B" w:rsidRPr="006449CB">
        <w:rPr>
          <w:rStyle w:val="Strong"/>
          <w:rFonts w:eastAsiaTheme="minorHAnsi" w:cstheme="minorBidi"/>
          <w:bCs w:val="0"/>
          <w:color w:val="auto"/>
          <w:sz w:val="20"/>
          <w:szCs w:val="22"/>
        </w:rPr>
        <w:t xml:space="preserve"> </w:t>
      </w:r>
      <w:r w:rsidR="00122C1B">
        <w:rPr>
          <w:rFonts w:cs="Segoe UI"/>
          <w:lang w:eastAsia="en-AU"/>
        </w:rPr>
        <w:t>Section 5 of t</w:t>
      </w:r>
      <w:r w:rsidR="00122C1B">
        <w:t xml:space="preserve">he </w:t>
      </w:r>
      <w:r w:rsidR="00122C1B">
        <w:rPr>
          <w:i/>
        </w:rPr>
        <w:t>SLA</w:t>
      </w:r>
      <w:r w:rsidR="00122C1B">
        <w:t xml:space="preserve"> prescribes the automatic revocation of regulations on the tenth anniversary of their making. This ensures that outdated and unnecessary regulation is automatically repealed.</w:t>
      </w:r>
    </w:p>
    <w:p w14:paraId="764E1F15" w14:textId="77777777" w:rsidR="00122C1B" w:rsidRPr="009B78D1" w:rsidRDefault="00122C1B" w:rsidP="009B78D1">
      <w:pPr>
        <w:pStyle w:val="TextPara"/>
        <w:rPr>
          <w:rStyle w:val="Strong"/>
          <w:rFonts w:eastAsiaTheme="minorHAnsi" w:cstheme="minorBidi"/>
          <w:b w:val="0"/>
          <w:bCs w:val="0"/>
          <w:color w:val="auto"/>
          <w:sz w:val="20"/>
          <w:szCs w:val="22"/>
        </w:rPr>
      </w:pPr>
      <w:r w:rsidRPr="009B78D1">
        <w:rPr>
          <w:rStyle w:val="Strong"/>
          <w:rFonts w:eastAsiaTheme="minorHAnsi" w:cstheme="minorBidi"/>
          <w:b w:val="0"/>
          <w:bCs w:val="0"/>
          <w:color w:val="auto"/>
          <w:sz w:val="20"/>
          <w:szCs w:val="22"/>
        </w:rPr>
        <w:t>The purpose of the RIS is to facilitate community consultation on the licensing of drivers as prescribed in the proposed draft Road Safety (Drivers) Regulations 2019 (</w:t>
      </w:r>
      <w:r w:rsidRPr="00522B99">
        <w:rPr>
          <w:rStyle w:val="Strong"/>
          <w:rFonts w:eastAsiaTheme="minorHAnsi" w:cstheme="minorBidi"/>
          <w:bCs w:val="0"/>
          <w:color w:val="auto"/>
          <w:sz w:val="20"/>
          <w:szCs w:val="22"/>
        </w:rPr>
        <w:t>the proposed Regulations</w:t>
      </w:r>
      <w:r w:rsidRPr="009B78D1">
        <w:rPr>
          <w:rStyle w:val="Strong"/>
          <w:rFonts w:eastAsiaTheme="minorHAnsi" w:cstheme="minorBidi"/>
          <w:b w:val="0"/>
          <w:bCs w:val="0"/>
          <w:color w:val="auto"/>
          <w:sz w:val="20"/>
          <w:szCs w:val="22"/>
        </w:rPr>
        <w:t>). The RIS also provides a framework for government to develop and explain policy and a basis for effective and efficient driver licensing regulation.</w:t>
      </w:r>
    </w:p>
    <w:p w14:paraId="2E0B6E9A" w14:textId="77777777" w:rsidR="00122C1B" w:rsidRPr="00111C04" w:rsidRDefault="00122C1B" w:rsidP="00111C04">
      <w:pPr>
        <w:pStyle w:val="NoSpacing"/>
        <w:rPr>
          <w:rStyle w:val="Strong"/>
          <w:rFonts w:eastAsiaTheme="minorHAnsi"/>
          <w:b/>
          <w:bCs w:val="0"/>
          <w:sz w:val="20"/>
          <w:szCs w:val="26"/>
        </w:rPr>
      </w:pPr>
      <w:r w:rsidRPr="00111C04">
        <w:rPr>
          <w:rStyle w:val="Strong"/>
          <w:rFonts w:eastAsiaTheme="minorHAnsi"/>
          <w:b/>
          <w:bCs w:val="0"/>
          <w:sz w:val="20"/>
          <w:szCs w:val="26"/>
        </w:rPr>
        <w:t>Regulatory framework</w:t>
      </w:r>
    </w:p>
    <w:p w14:paraId="079EDB19" w14:textId="77777777" w:rsidR="00122C1B" w:rsidRDefault="00122C1B" w:rsidP="00B86F85">
      <w:pPr>
        <w:pStyle w:val="TextPara"/>
        <w:spacing w:after="0"/>
        <w:rPr>
          <w:rFonts w:cs="Segoe UI"/>
          <w:lang w:eastAsia="en-AU"/>
        </w:rPr>
      </w:pPr>
      <w:r w:rsidRPr="00117C96">
        <w:rPr>
          <w:rFonts w:cs="Segoe UI"/>
          <w:lang w:eastAsia="en-AU"/>
        </w:rPr>
        <w:t xml:space="preserve">The </w:t>
      </w:r>
      <w:r w:rsidRPr="006A392A">
        <w:rPr>
          <w:rFonts w:cs="Segoe UI"/>
          <w:i/>
          <w:lang w:eastAsia="en-AU"/>
        </w:rPr>
        <w:t>RSA</w:t>
      </w:r>
      <w:r w:rsidRPr="00117C96">
        <w:rPr>
          <w:rFonts w:cs="Segoe UI"/>
          <w:lang w:eastAsia="en-AU"/>
        </w:rPr>
        <w:t xml:space="preserve"> </w:t>
      </w:r>
      <w:r>
        <w:rPr>
          <w:rFonts w:cs="Segoe UI"/>
          <w:lang w:eastAsia="en-AU"/>
        </w:rPr>
        <w:t>together with</w:t>
      </w:r>
      <w:r w:rsidRPr="00117C96">
        <w:rPr>
          <w:rFonts w:cs="Segoe UI"/>
          <w:lang w:eastAsia="en-AU"/>
        </w:rPr>
        <w:t xml:space="preserve"> the</w:t>
      </w:r>
      <w:r>
        <w:rPr>
          <w:rFonts w:cs="Segoe UI"/>
          <w:lang w:eastAsia="en-AU"/>
        </w:rPr>
        <w:t xml:space="preserve"> current </w:t>
      </w:r>
      <w:r w:rsidRPr="00F917CE">
        <w:rPr>
          <w:rFonts w:cs="Segoe UI"/>
          <w:lang w:eastAsia="en-AU"/>
        </w:rPr>
        <w:t>Regulations</w:t>
      </w:r>
      <w:r>
        <w:rPr>
          <w:rFonts w:cs="Segoe UI"/>
          <w:lang w:eastAsia="en-AU"/>
        </w:rPr>
        <w:t xml:space="preserve">, which were </w:t>
      </w:r>
      <w:r w:rsidRPr="00117C96">
        <w:rPr>
          <w:rFonts w:cs="Segoe UI"/>
          <w:lang w:eastAsia="en-AU"/>
        </w:rPr>
        <w:t xml:space="preserve">made under </w:t>
      </w:r>
      <w:r>
        <w:rPr>
          <w:rFonts w:cs="Segoe UI"/>
          <w:lang w:eastAsia="en-AU"/>
        </w:rPr>
        <w:t xml:space="preserve">the </w:t>
      </w:r>
      <w:r w:rsidRPr="00693C73">
        <w:rPr>
          <w:rFonts w:cs="Segoe UI"/>
          <w:i/>
          <w:lang w:eastAsia="en-AU"/>
        </w:rPr>
        <w:t>RSA’s</w:t>
      </w:r>
      <w:r>
        <w:rPr>
          <w:rFonts w:cs="Segoe UI"/>
          <w:lang w:eastAsia="en-AU"/>
        </w:rPr>
        <w:t xml:space="preserve"> enabling provisions, set</w:t>
      </w:r>
      <w:r w:rsidRPr="00117C96">
        <w:rPr>
          <w:rFonts w:cs="Segoe UI"/>
          <w:lang w:eastAsia="en-AU"/>
        </w:rPr>
        <w:t xml:space="preserve"> the regulatory framework for driver licensing in Victoria</w:t>
      </w:r>
      <w:r>
        <w:rPr>
          <w:rFonts w:cs="Segoe UI"/>
          <w:lang w:eastAsia="en-AU"/>
        </w:rPr>
        <w:t xml:space="preserve"> and</w:t>
      </w:r>
      <w:r w:rsidRPr="00C61DBE">
        <w:rPr>
          <w:rFonts w:cs="Segoe UI"/>
          <w:lang w:eastAsia="en-AU"/>
        </w:rPr>
        <w:t xml:space="preserve"> </w:t>
      </w:r>
      <w:r>
        <w:rPr>
          <w:rFonts w:cs="Segoe UI"/>
          <w:lang w:eastAsia="en-AU"/>
        </w:rPr>
        <w:t>cover</w:t>
      </w:r>
      <w:r w:rsidRPr="00C61DBE">
        <w:rPr>
          <w:rFonts w:cs="Segoe UI"/>
          <w:lang w:eastAsia="en-AU"/>
        </w:rPr>
        <w:t xml:space="preserve"> the following activities:</w:t>
      </w:r>
    </w:p>
    <w:p w14:paraId="7447F6B1" w14:textId="77777777" w:rsidR="00122C1B" w:rsidRDefault="00122C1B" w:rsidP="005F6F8B">
      <w:pPr>
        <w:pStyle w:val="Bullet1-Black"/>
      </w:pPr>
      <w:r>
        <w:t>establishing licence categories</w:t>
      </w:r>
    </w:p>
    <w:p w14:paraId="07CFCF61" w14:textId="77777777" w:rsidR="00122C1B" w:rsidRDefault="00122C1B" w:rsidP="00AC190A">
      <w:pPr>
        <w:pStyle w:val="Bullet1-Black"/>
      </w:pPr>
      <w:r>
        <w:t>providing a means of establishing the identity of licensed drivers</w:t>
      </w:r>
    </w:p>
    <w:p w14:paraId="4A535F14" w14:textId="77777777" w:rsidR="00122C1B" w:rsidRDefault="00122C1B" w:rsidP="00AC190A">
      <w:pPr>
        <w:pStyle w:val="Bullet1-Black"/>
      </w:pPr>
      <w:r>
        <w:t>setting eligibility criteria and conditions for learner permit, and probationary and full licences</w:t>
      </w:r>
    </w:p>
    <w:p w14:paraId="7B736DDC" w14:textId="77777777" w:rsidR="00122C1B" w:rsidRDefault="00122C1B" w:rsidP="00AC190A">
      <w:pPr>
        <w:pStyle w:val="Bullet1-Black"/>
      </w:pPr>
      <w:r>
        <w:t>prescribing driver licensing and driving responsibilities and obligations</w:t>
      </w:r>
    </w:p>
    <w:p w14:paraId="164A8AD5" w14:textId="77777777" w:rsidR="00122C1B" w:rsidRDefault="00122C1B" w:rsidP="00AC190A">
      <w:pPr>
        <w:pStyle w:val="Bullet1-Black"/>
      </w:pPr>
      <w:r>
        <w:t>regulating</w:t>
      </w:r>
      <w:r w:rsidRPr="00715E05">
        <w:t xml:space="preserve"> </w:t>
      </w:r>
      <w:r>
        <w:t>the renewal, replacement and variation of learner permits</w:t>
      </w:r>
      <w:r w:rsidRPr="00715E05">
        <w:t xml:space="preserve"> </w:t>
      </w:r>
      <w:r>
        <w:t>and licences</w:t>
      </w:r>
    </w:p>
    <w:p w14:paraId="44BCD53C" w14:textId="77777777" w:rsidR="00122C1B" w:rsidRDefault="00122C1B" w:rsidP="00AC190A">
      <w:pPr>
        <w:pStyle w:val="Bullet1-Black"/>
      </w:pPr>
      <w:r>
        <w:t>regulating and assessing medical fitness-to-drive</w:t>
      </w:r>
    </w:p>
    <w:p w14:paraId="1B4D400E" w14:textId="77777777" w:rsidR="00122C1B" w:rsidRDefault="00122C1B" w:rsidP="00AC190A">
      <w:pPr>
        <w:pStyle w:val="Bullet1-Black"/>
      </w:pPr>
      <w:r>
        <w:t>regulating the learner permit</w:t>
      </w:r>
      <w:r w:rsidRPr="00715E05">
        <w:t xml:space="preserve"> </w:t>
      </w:r>
      <w:r>
        <w:t>and licence sanctions, including demerit points, suspensions and cancellations</w:t>
      </w:r>
    </w:p>
    <w:p w14:paraId="7D9F2A14" w14:textId="77777777" w:rsidR="00122C1B" w:rsidRDefault="00122C1B" w:rsidP="00AC190A">
      <w:pPr>
        <w:pStyle w:val="Bullet1-Black"/>
      </w:pPr>
      <w:r>
        <w:t>establishing and managing a demerit points system</w:t>
      </w:r>
    </w:p>
    <w:p w14:paraId="5E1E4F07" w14:textId="77777777" w:rsidR="00122C1B" w:rsidRDefault="00122C1B" w:rsidP="00AC190A">
      <w:pPr>
        <w:pStyle w:val="Bullet1-Black"/>
      </w:pPr>
      <w:r>
        <w:t>establishing compliance requirements relating to approved alcohol interlocks</w:t>
      </w:r>
    </w:p>
    <w:p w14:paraId="4BCAB2DB" w14:textId="77777777" w:rsidR="00122C1B" w:rsidRDefault="00122C1B" w:rsidP="00AC190A">
      <w:pPr>
        <w:pStyle w:val="Bullet1-Black"/>
      </w:pPr>
      <w:r>
        <w:t>prescribing the collection of licence fees</w:t>
      </w:r>
    </w:p>
    <w:p w14:paraId="3A3C6A4E" w14:textId="77777777" w:rsidR="00122C1B" w:rsidRPr="00117C96" w:rsidRDefault="00122C1B" w:rsidP="00AC190A">
      <w:pPr>
        <w:pStyle w:val="Bullet1-Black"/>
      </w:pPr>
      <w:r>
        <w:t>enabling the recovery of expenses incurred in administering the licensing system.</w:t>
      </w:r>
    </w:p>
    <w:p w14:paraId="3AC6F7A5" w14:textId="77777777" w:rsidR="00122C1B" w:rsidRPr="00117C96" w:rsidRDefault="00122C1B" w:rsidP="005A714F">
      <w:pPr>
        <w:pStyle w:val="TextPara"/>
        <w:rPr>
          <w:rFonts w:cs="Segoe UI"/>
        </w:rPr>
      </w:pPr>
      <w:r w:rsidRPr="00117C96">
        <w:t>Significant parts of the proposed</w:t>
      </w:r>
      <w:r>
        <w:t xml:space="preserve"> </w:t>
      </w:r>
      <w:r w:rsidRPr="0027254F">
        <w:rPr>
          <w:rFonts w:cs="Segoe UI"/>
          <w:lang w:eastAsia="en-AU"/>
        </w:rPr>
        <w:t xml:space="preserve">Regulations </w:t>
      </w:r>
      <w:r w:rsidRPr="00D2486C">
        <w:t>are guided by</w:t>
      </w:r>
      <w:r>
        <w:t>, and</w:t>
      </w:r>
      <w:r w:rsidRPr="00D2486C">
        <w:t xml:space="preserve"> </w:t>
      </w:r>
      <w:r>
        <w:t>give effect to, national standards, policy frameworks and guidelines</w:t>
      </w:r>
      <w:r w:rsidRPr="00117C96">
        <w:t xml:space="preserve">, </w:t>
      </w:r>
      <w:r>
        <w:t>such as the National Driver Licensing Scheme (</w:t>
      </w:r>
      <w:r w:rsidRPr="00C14FAC">
        <w:rPr>
          <w:b/>
        </w:rPr>
        <w:t>NDLS</w:t>
      </w:r>
      <w:r>
        <w:t>) and the national Graduated Licensing System (</w:t>
      </w:r>
      <w:r w:rsidRPr="00C14FAC">
        <w:rPr>
          <w:b/>
        </w:rPr>
        <w:t>GLS</w:t>
      </w:r>
      <w:r>
        <w:t xml:space="preserve">), </w:t>
      </w:r>
      <w:r w:rsidRPr="00117C96">
        <w:t>ensuring that the efficiencies and community benefits that flow from the</w:t>
      </w:r>
      <w:r>
        <w:t>m</w:t>
      </w:r>
      <w:r w:rsidRPr="00117C96">
        <w:t xml:space="preserve"> continue to apply in Victoria.</w:t>
      </w:r>
      <w:r>
        <w:t xml:space="preserve"> </w:t>
      </w:r>
      <w:r w:rsidRPr="006D0D21">
        <w:t>The National Transport Commission (</w:t>
      </w:r>
      <w:r w:rsidRPr="002860C7">
        <w:rPr>
          <w:b/>
        </w:rPr>
        <w:t>NTC</w:t>
      </w:r>
      <w:r w:rsidRPr="006D0D21">
        <w:t>) is responsible for monitoring and managing</w:t>
      </w:r>
      <w:r>
        <w:t xml:space="preserve"> the national standards, schemes and frameworks, which</w:t>
      </w:r>
      <w:r w:rsidRPr="006D0D21">
        <w:t xml:space="preserve"> provide uniformity and consistency in</w:t>
      </w:r>
      <w:r>
        <w:t xml:space="preserve"> the licensing of drivers across Australia.</w:t>
      </w:r>
    </w:p>
    <w:p w14:paraId="7E174F74" w14:textId="77777777" w:rsidR="00122C1B" w:rsidRDefault="00122C1B" w:rsidP="005A714F">
      <w:pPr>
        <w:pStyle w:val="TextPara"/>
        <w:rPr>
          <w:rFonts w:cs="Segoe UI"/>
        </w:rPr>
      </w:pPr>
      <w:r>
        <w:rPr>
          <w:rFonts w:cs="Segoe UI"/>
        </w:rPr>
        <w:t xml:space="preserve">In addition to the importance of compliance with national standards and policy frameworks, </w:t>
      </w:r>
      <w:r w:rsidRPr="00B721ED">
        <w:rPr>
          <w:rFonts w:cs="Segoe UI"/>
        </w:rPr>
        <w:t xml:space="preserve">many provisions of the </w:t>
      </w:r>
      <w:r w:rsidRPr="00D16131">
        <w:rPr>
          <w:rFonts w:cs="Segoe UI"/>
          <w:i/>
        </w:rPr>
        <w:t>RSA</w:t>
      </w:r>
      <w:r w:rsidRPr="00B721ED">
        <w:rPr>
          <w:rFonts w:cs="Segoe UI"/>
        </w:rPr>
        <w:t xml:space="preserve"> and other </w:t>
      </w:r>
      <w:r>
        <w:rPr>
          <w:rFonts w:cs="Segoe UI"/>
        </w:rPr>
        <w:t>Victorian legislation</w:t>
      </w:r>
      <w:r w:rsidRPr="00B721ED">
        <w:rPr>
          <w:rFonts w:cs="Segoe UI"/>
        </w:rPr>
        <w:t xml:space="preserve"> require certain details to be prescribed by regulation to enable the driver licensing system in Victoria to operate effectively.</w:t>
      </w:r>
    </w:p>
    <w:p w14:paraId="5F4FFF2A" w14:textId="77777777" w:rsidR="00122C1B" w:rsidRPr="00111C04" w:rsidRDefault="00122C1B" w:rsidP="00111C04">
      <w:pPr>
        <w:pStyle w:val="NoSpacing"/>
        <w:rPr>
          <w:rStyle w:val="Strong"/>
          <w:rFonts w:eastAsiaTheme="minorHAnsi"/>
          <w:b/>
          <w:bCs w:val="0"/>
          <w:sz w:val="20"/>
          <w:szCs w:val="26"/>
        </w:rPr>
      </w:pPr>
      <w:r w:rsidRPr="00111C04">
        <w:rPr>
          <w:rStyle w:val="Strong"/>
          <w:rFonts w:eastAsiaTheme="minorHAnsi"/>
          <w:b/>
          <w:bCs w:val="0"/>
          <w:sz w:val="20"/>
          <w:szCs w:val="26"/>
        </w:rPr>
        <w:t xml:space="preserve">RIS Approach </w:t>
      </w:r>
    </w:p>
    <w:p w14:paraId="1AFCC900" w14:textId="77777777" w:rsidR="00122C1B" w:rsidRDefault="00122C1B" w:rsidP="00871135">
      <w:pPr>
        <w:pStyle w:val="TextPara"/>
        <w:rPr>
          <w:rFonts w:cs="Segoe UI"/>
        </w:rPr>
      </w:pPr>
      <w:r w:rsidRPr="00871135">
        <w:rPr>
          <w:rFonts w:cs="Segoe UI"/>
        </w:rPr>
        <w:t>Regulatory impact analysis for sunsetting regulations involves assessing options to achieve specific objectives against the ‘base case’</w:t>
      </w:r>
      <w:r>
        <w:rPr>
          <w:rFonts w:cs="Segoe UI"/>
        </w:rPr>
        <w:t xml:space="preserve">, which </w:t>
      </w:r>
      <w:r w:rsidRPr="00E35617">
        <w:rPr>
          <w:rFonts w:cs="Segoe UI"/>
        </w:rPr>
        <w:t>consists of the</w:t>
      </w:r>
      <w:r>
        <w:rPr>
          <w:rFonts w:cs="Segoe UI"/>
        </w:rPr>
        <w:t xml:space="preserve"> scenario that allows the current Regulations to </w:t>
      </w:r>
      <w:r>
        <w:rPr>
          <w:rFonts w:cs="Segoe UI"/>
        </w:rPr>
        <w:lastRenderedPageBreak/>
        <w:t xml:space="preserve">sunset without being replaced. Under this scenario, the </w:t>
      </w:r>
      <w:r w:rsidRPr="006A392A">
        <w:rPr>
          <w:rFonts w:cs="Segoe UI"/>
          <w:i/>
        </w:rPr>
        <w:t>RSA</w:t>
      </w:r>
      <w:r>
        <w:rPr>
          <w:rFonts w:cs="Segoe UI"/>
        </w:rPr>
        <w:t>, other Victorian and national road safety legislation and regulations,</w:t>
      </w:r>
      <w:r w:rsidRPr="00E35617">
        <w:rPr>
          <w:rFonts w:cs="Segoe UI"/>
        </w:rPr>
        <w:t xml:space="preserve"> </w:t>
      </w:r>
      <w:r>
        <w:rPr>
          <w:rFonts w:cs="Segoe UI"/>
        </w:rPr>
        <w:t xml:space="preserve">and applicable national standards, guidelines and policy frameworks would apply, potentially leaving driver licence regulation gaps that, under the </w:t>
      </w:r>
      <w:r w:rsidRPr="00C14FAC">
        <w:rPr>
          <w:rFonts w:cs="Segoe UI"/>
          <w:i/>
        </w:rPr>
        <w:t>RSA</w:t>
      </w:r>
      <w:r>
        <w:rPr>
          <w:rFonts w:cs="Segoe UI"/>
        </w:rPr>
        <w:t xml:space="preserve">, are intended to be filled by regulations. </w:t>
      </w:r>
    </w:p>
    <w:p w14:paraId="6EB7B733" w14:textId="77777777" w:rsidR="00122C1B" w:rsidRDefault="00122C1B" w:rsidP="00871135">
      <w:pPr>
        <w:pStyle w:val="TextPara"/>
        <w:rPr>
          <w:rFonts w:cs="Segoe UI"/>
        </w:rPr>
      </w:pPr>
      <w:r w:rsidRPr="00871135">
        <w:t xml:space="preserve">Where </w:t>
      </w:r>
      <w:r w:rsidR="003374ED">
        <w:t xml:space="preserve">the Department of </w:t>
      </w:r>
      <w:r>
        <w:t>Transport (</w:t>
      </w:r>
      <w:r w:rsidR="003374ED" w:rsidRPr="003374ED">
        <w:rPr>
          <w:b/>
        </w:rPr>
        <w:t>DoT</w:t>
      </w:r>
      <w:r>
        <w:t>)</w:t>
      </w:r>
      <w:r w:rsidRPr="00871135">
        <w:t xml:space="preserve"> considered making a policy deviation from the</w:t>
      </w:r>
      <w:r w:rsidRPr="00D172D1">
        <w:t xml:space="preserve"> relevant national standards</w:t>
      </w:r>
      <w:r>
        <w:t xml:space="preserve"> and policy frameworks,</w:t>
      </w:r>
      <w:r w:rsidRPr="00D172D1">
        <w:t xml:space="preserve"> </w:t>
      </w:r>
      <w:r>
        <w:rPr>
          <w:rFonts w:cs="Segoe UI"/>
        </w:rPr>
        <w:t xml:space="preserve">alternative </w:t>
      </w:r>
      <w:r w:rsidRPr="00D172D1">
        <w:t xml:space="preserve">options were identified and evaluated against the base </w:t>
      </w:r>
      <w:r>
        <w:rPr>
          <w:rFonts w:cs="Segoe UI"/>
        </w:rPr>
        <w:t xml:space="preserve">case. A </w:t>
      </w:r>
      <w:r w:rsidRPr="00117C96">
        <w:rPr>
          <w:rFonts w:cs="Segoe UI"/>
        </w:rPr>
        <w:t xml:space="preserve">multi-criteria analysis </w:t>
      </w:r>
      <w:r>
        <w:rPr>
          <w:rFonts w:cs="Segoe UI"/>
        </w:rPr>
        <w:t xml:space="preserve">was used to </w:t>
      </w:r>
      <w:r w:rsidRPr="00117C96">
        <w:rPr>
          <w:rFonts w:cs="Segoe UI"/>
        </w:rPr>
        <w:t xml:space="preserve">compare </w:t>
      </w:r>
      <w:r>
        <w:rPr>
          <w:rFonts w:cs="Segoe UI"/>
        </w:rPr>
        <w:t>alternative options because, in many instances,</w:t>
      </w:r>
      <w:r w:rsidRPr="000605E2">
        <w:rPr>
          <w:rFonts w:cs="Segoe UI"/>
        </w:rPr>
        <w:t xml:space="preserve"> </w:t>
      </w:r>
      <w:r>
        <w:rPr>
          <w:rFonts w:cs="Segoe UI"/>
        </w:rPr>
        <w:t>the</w:t>
      </w:r>
      <w:r w:rsidRPr="000605E2">
        <w:rPr>
          <w:rFonts w:cs="Segoe UI"/>
        </w:rPr>
        <w:t xml:space="preserve"> available data</w:t>
      </w:r>
      <w:r>
        <w:rPr>
          <w:rFonts w:cs="Segoe UI"/>
        </w:rPr>
        <w:t xml:space="preserve"> relevant to individual proposals</w:t>
      </w:r>
      <w:r w:rsidRPr="000605E2">
        <w:rPr>
          <w:rFonts w:cs="Segoe UI"/>
        </w:rPr>
        <w:t xml:space="preserve"> provide</w:t>
      </w:r>
      <w:r>
        <w:rPr>
          <w:rFonts w:cs="Segoe UI"/>
        </w:rPr>
        <w:t>d</w:t>
      </w:r>
      <w:r w:rsidRPr="000605E2">
        <w:rPr>
          <w:rFonts w:cs="Segoe UI"/>
        </w:rPr>
        <w:t xml:space="preserve"> information at too broad a level to enable the specific effects of </w:t>
      </w:r>
      <w:r>
        <w:rPr>
          <w:rFonts w:cs="Segoe UI"/>
        </w:rPr>
        <w:t>a</w:t>
      </w:r>
      <w:r w:rsidRPr="000605E2">
        <w:rPr>
          <w:rFonts w:cs="Segoe UI"/>
        </w:rPr>
        <w:t xml:space="preserve"> proposal to be isolated.</w:t>
      </w:r>
    </w:p>
    <w:p w14:paraId="18FC1432" w14:textId="77777777" w:rsidR="00122C1B" w:rsidRDefault="00122C1B" w:rsidP="0003130A">
      <w:pPr>
        <w:pStyle w:val="TextPara"/>
      </w:pPr>
      <w:r>
        <w:rPr>
          <w:rFonts w:cs="Segoe UI"/>
        </w:rPr>
        <w:t>W</w:t>
      </w:r>
      <w:r w:rsidRPr="00C93855">
        <w:t xml:space="preserve">here </w:t>
      </w:r>
      <w:r w:rsidR="000C33B0">
        <w:t>DoT</w:t>
      </w:r>
      <w:r>
        <w:t xml:space="preserve"> determined that </w:t>
      </w:r>
      <w:r w:rsidRPr="00C93855">
        <w:t>no policy deviation from the relevant</w:t>
      </w:r>
      <w:r>
        <w:t xml:space="preserve"> </w:t>
      </w:r>
      <w:r w:rsidRPr="00D172D1">
        <w:t>national standards</w:t>
      </w:r>
      <w:r>
        <w:t xml:space="preserve"> and frameworks is warranted,</w:t>
      </w:r>
      <w:r w:rsidRPr="00C93855">
        <w:t xml:space="preserve"> the reasons for taking such an approach</w:t>
      </w:r>
      <w:r>
        <w:t xml:space="preserve"> </w:t>
      </w:r>
      <w:r w:rsidRPr="00C93855">
        <w:t xml:space="preserve">are discussed in the RIS. </w:t>
      </w:r>
    </w:p>
    <w:p w14:paraId="199F6E99" w14:textId="77777777" w:rsidR="00122C1B" w:rsidRPr="00F4115C" w:rsidRDefault="00122C1B" w:rsidP="00642D04">
      <w:pPr>
        <w:pStyle w:val="NoSpacing"/>
        <w:rPr>
          <w:rStyle w:val="Strong"/>
          <w:rFonts w:eastAsiaTheme="minorHAnsi"/>
          <w:b/>
          <w:bCs w:val="0"/>
          <w:sz w:val="20"/>
          <w:szCs w:val="26"/>
        </w:rPr>
      </w:pPr>
      <w:r w:rsidRPr="00F4115C">
        <w:rPr>
          <w:rStyle w:val="Strong"/>
          <w:rFonts w:eastAsiaTheme="minorHAnsi"/>
          <w:b/>
          <w:bCs w:val="0"/>
          <w:sz w:val="20"/>
          <w:szCs w:val="26"/>
        </w:rPr>
        <w:t>Nature and extent of the problem</w:t>
      </w:r>
    </w:p>
    <w:p w14:paraId="1462B269" w14:textId="77777777" w:rsidR="00FE4261" w:rsidRDefault="00F21C7D" w:rsidP="00B50C15">
      <w:pPr>
        <w:pStyle w:val="TextPara"/>
        <w:rPr>
          <w:rFonts w:cs="Segoe UI"/>
          <w:lang w:eastAsia="en-AU"/>
        </w:rPr>
      </w:pPr>
      <w:r>
        <w:rPr>
          <w:rFonts w:cs="Segoe UI"/>
          <w:lang w:eastAsia="en-AU"/>
        </w:rPr>
        <w:t xml:space="preserve">In the past 48 years </w:t>
      </w:r>
      <w:r w:rsidR="00772DB2" w:rsidRPr="00117C96">
        <w:rPr>
          <w:rFonts w:cs="Segoe UI"/>
          <w:lang w:eastAsia="en-AU"/>
        </w:rPr>
        <w:t xml:space="preserve">the </w:t>
      </w:r>
      <w:r w:rsidR="00772DB2">
        <w:rPr>
          <w:rFonts w:cs="Segoe UI"/>
          <w:lang w:eastAsia="en-AU"/>
        </w:rPr>
        <w:t xml:space="preserve">annual </w:t>
      </w:r>
      <w:r w:rsidR="00772DB2" w:rsidRPr="00117C96">
        <w:rPr>
          <w:rFonts w:cs="Segoe UI"/>
          <w:lang w:eastAsia="en-AU"/>
        </w:rPr>
        <w:t xml:space="preserve">road toll </w:t>
      </w:r>
      <w:r>
        <w:rPr>
          <w:rFonts w:cs="Segoe UI"/>
          <w:lang w:eastAsia="en-AU"/>
        </w:rPr>
        <w:t xml:space="preserve">Victoria fell </w:t>
      </w:r>
      <w:r w:rsidR="00772DB2" w:rsidRPr="00117C96">
        <w:rPr>
          <w:rFonts w:cs="Segoe UI"/>
          <w:lang w:eastAsia="en-AU"/>
        </w:rPr>
        <w:t xml:space="preserve">by </w:t>
      </w:r>
      <w:r w:rsidR="00772DB2">
        <w:rPr>
          <w:rFonts w:cs="Segoe UI"/>
          <w:lang w:eastAsia="en-AU"/>
        </w:rPr>
        <w:t>80</w:t>
      </w:r>
      <w:r w:rsidR="00772DB2" w:rsidRPr="00117C96">
        <w:rPr>
          <w:rFonts w:cs="Segoe UI"/>
          <w:lang w:eastAsia="en-AU"/>
        </w:rPr>
        <w:t>% from</w:t>
      </w:r>
      <w:r w:rsidR="00772DB2">
        <w:rPr>
          <w:rFonts w:cs="Segoe UI"/>
          <w:lang w:eastAsia="en-AU"/>
        </w:rPr>
        <w:t xml:space="preserve"> a high of</w:t>
      </w:r>
      <w:r w:rsidR="00772DB2" w:rsidRPr="00117C96">
        <w:rPr>
          <w:rFonts w:cs="Segoe UI"/>
          <w:lang w:eastAsia="en-AU"/>
        </w:rPr>
        <w:t xml:space="preserve"> 1,061 lives in 1970 to its lowest level of 2</w:t>
      </w:r>
      <w:r w:rsidR="00772DB2">
        <w:rPr>
          <w:rFonts w:cs="Segoe UI"/>
          <w:lang w:eastAsia="en-AU"/>
        </w:rPr>
        <w:t>1</w:t>
      </w:r>
      <w:r w:rsidR="00772DB2" w:rsidRPr="00117C96">
        <w:rPr>
          <w:rFonts w:cs="Segoe UI"/>
          <w:lang w:eastAsia="en-AU"/>
        </w:rPr>
        <w:t>4 in 201</w:t>
      </w:r>
      <w:r w:rsidR="00772DB2">
        <w:rPr>
          <w:rFonts w:cs="Segoe UI"/>
          <w:lang w:eastAsia="en-AU"/>
        </w:rPr>
        <w:t>8</w:t>
      </w:r>
      <w:r w:rsidR="00772DB2" w:rsidRPr="00117C96">
        <w:rPr>
          <w:rFonts w:cs="Segoe UI"/>
          <w:lang w:eastAsia="en-AU"/>
        </w:rPr>
        <w:t xml:space="preserve">. </w:t>
      </w:r>
      <w:r w:rsidR="00772DB2">
        <w:t>The significant downward trend in lives lost since 1970 in Victoria is remarkable, given the steep upward trend in the population and the fleet of registered vehicles. From 1970 to 2018</w:t>
      </w:r>
      <w:r w:rsidR="00772DB2">
        <w:rPr>
          <w:rFonts w:cs="Segoe UI"/>
          <w:lang w:eastAsia="en-AU"/>
        </w:rPr>
        <w:t xml:space="preserve"> Victoria’s </w:t>
      </w:r>
      <w:r w:rsidR="00772DB2" w:rsidRPr="00117C96">
        <w:rPr>
          <w:rFonts w:cs="Segoe UI"/>
          <w:lang w:eastAsia="en-AU"/>
        </w:rPr>
        <w:t xml:space="preserve">population </w:t>
      </w:r>
      <w:r w:rsidR="00772DB2">
        <w:rPr>
          <w:rFonts w:cs="Segoe UI"/>
          <w:lang w:eastAsia="en-AU"/>
        </w:rPr>
        <w:t xml:space="preserve">increased by 88% from </w:t>
      </w:r>
      <w:r w:rsidR="00772DB2" w:rsidRPr="00117C96">
        <w:rPr>
          <w:rFonts w:cs="Segoe UI"/>
          <w:lang w:eastAsia="en-AU"/>
        </w:rPr>
        <w:t xml:space="preserve">3.44 million </w:t>
      </w:r>
      <w:r w:rsidR="00772DB2">
        <w:rPr>
          <w:rFonts w:cs="Segoe UI"/>
          <w:lang w:eastAsia="en-AU"/>
        </w:rPr>
        <w:t>to 6.46</w:t>
      </w:r>
      <w:r w:rsidR="00772DB2" w:rsidRPr="00117C96">
        <w:rPr>
          <w:rFonts w:cs="Segoe UI"/>
          <w:lang w:eastAsia="en-AU"/>
        </w:rPr>
        <w:t xml:space="preserve"> million</w:t>
      </w:r>
      <w:r w:rsidR="00772DB2">
        <w:rPr>
          <w:rStyle w:val="EndnoteReference"/>
          <w:rFonts w:cs="Segoe UI"/>
          <w:lang w:eastAsia="en-AU"/>
        </w:rPr>
        <w:endnoteReference w:id="3"/>
      </w:r>
      <w:r w:rsidR="00772DB2" w:rsidRPr="00117C96">
        <w:rPr>
          <w:rFonts w:cs="Segoe UI"/>
          <w:lang w:eastAsia="en-AU"/>
        </w:rPr>
        <w:t xml:space="preserve"> </w:t>
      </w:r>
      <w:r w:rsidR="00772DB2">
        <w:rPr>
          <w:rFonts w:cs="Segoe UI"/>
          <w:lang w:eastAsia="en-AU"/>
        </w:rPr>
        <w:t>and</w:t>
      </w:r>
      <w:r w:rsidR="00772DB2" w:rsidRPr="00117C96">
        <w:rPr>
          <w:rFonts w:cs="Segoe UI"/>
          <w:lang w:eastAsia="en-AU"/>
        </w:rPr>
        <w:t xml:space="preserve"> </w:t>
      </w:r>
      <w:r w:rsidR="00772DB2">
        <w:rPr>
          <w:rFonts w:cs="Segoe UI"/>
          <w:lang w:eastAsia="en-AU"/>
        </w:rPr>
        <w:t xml:space="preserve">its fleet of </w:t>
      </w:r>
      <w:r w:rsidR="00772DB2" w:rsidRPr="00117C96">
        <w:rPr>
          <w:rFonts w:cs="Segoe UI"/>
          <w:lang w:eastAsia="en-AU"/>
        </w:rPr>
        <w:t>registered motor vehicles</w:t>
      </w:r>
      <w:r w:rsidR="00772DB2">
        <w:rPr>
          <w:rFonts w:cs="Segoe UI"/>
          <w:lang w:eastAsia="en-AU"/>
        </w:rPr>
        <w:t xml:space="preserve"> </w:t>
      </w:r>
      <w:r w:rsidR="004373FA">
        <w:rPr>
          <w:rFonts w:cs="Segoe UI"/>
          <w:lang w:eastAsia="en-AU"/>
        </w:rPr>
        <w:t xml:space="preserve">almost quadrupled, having </w:t>
      </w:r>
      <w:r w:rsidR="00E17419">
        <w:rPr>
          <w:rFonts w:cs="Segoe UI"/>
          <w:lang w:eastAsia="en-AU"/>
        </w:rPr>
        <w:t>gr</w:t>
      </w:r>
      <w:r w:rsidR="004373FA">
        <w:rPr>
          <w:rFonts w:cs="Segoe UI"/>
          <w:lang w:eastAsia="en-AU"/>
        </w:rPr>
        <w:t>o</w:t>
      </w:r>
      <w:r w:rsidR="00E17419">
        <w:rPr>
          <w:rFonts w:cs="Segoe UI"/>
          <w:lang w:eastAsia="en-AU"/>
        </w:rPr>
        <w:t>w</w:t>
      </w:r>
      <w:r w:rsidR="00887B1A">
        <w:rPr>
          <w:rFonts w:cs="Segoe UI"/>
          <w:lang w:eastAsia="en-AU"/>
        </w:rPr>
        <w:t>n</w:t>
      </w:r>
      <w:r w:rsidR="00E17419">
        <w:rPr>
          <w:rFonts w:cs="Segoe UI"/>
          <w:lang w:eastAsia="en-AU"/>
        </w:rPr>
        <w:t xml:space="preserve"> </w:t>
      </w:r>
      <w:r w:rsidR="00FE4261">
        <w:rPr>
          <w:rFonts w:cs="Segoe UI"/>
          <w:lang w:eastAsia="en-AU"/>
        </w:rPr>
        <w:t xml:space="preserve">by </w:t>
      </w:r>
      <w:r w:rsidR="00B947BE">
        <w:rPr>
          <w:rFonts w:cs="Segoe UI"/>
          <w:lang w:eastAsia="en-AU"/>
        </w:rPr>
        <w:t>2</w:t>
      </w:r>
      <w:r w:rsidR="00EC149B">
        <w:rPr>
          <w:rFonts w:cs="Segoe UI"/>
          <w:lang w:eastAsia="en-AU"/>
        </w:rPr>
        <w:t>92</w:t>
      </w:r>
      <w:r w:rsidR="00B947BE">
        <w:rPr>
          <w:rFonts w:cs="Segoe UI"/>
          <w:lang w:eastAsia="en-AU"/>
        </w:rPr>
        <w:t xml:space="preserve">% from </w:t>
      </w:r>
      <w:r w:rsidR="00B947BE" w:rsidRPr="00117C96">
        <w:rPr>
          <w:rFonts w:cs="Segoe UI"/>
          <w:lang w:eastAsia="en-AU"/>
        </w:rPr>
        <w:t>1.3 million</w:t>
      </w:r>
      <w:r w:rsidR="00B947BE" w:rsidRPr="00117C96">
        <w:rPr>
          <w:rStyle w:val="EndnoteReference"/>
          <w:rFonts w:cs="Segoe UI"/>
          <w:lang w:eastAsia="en-AU"/>
        </w:rPr>
        <w:endnoteReference w:id="4"/>
      </w:r>
      <w:r w:rsidR="00B947BE">
        <w:rPr>
          <w:rFonts w:cs="Segoe UI"/>
          <w:lang w:eastAsia="en-AU"/>
        </w:rPr>
        <w:t xml:space="preserve"> to </w:t>
      </w:r>
      <w:r w:rsidR="00EC149B">
        <w:rPr>
          <w:rFonts w:cs="Segoe UI"/>
          <w:lang w:eastAsia="en-AU"/>
        </w:rPr>
        <w:t xml:space="preserve">5.1 </w:t>
      </w:r>
      <w:r w:rsidR="00B947BE" w:rsidRPr="00950DDC">
        <w:rPr>
          <w:rFonts w:cs="Segoe UI"/>
          <w:lang w:eastAsia="en-AU"/>
        </w:rPr>
        <w:t>million</w:t>
      </w:r>
      <w:r w:rsidR="00B947BE">
        <w:rPr>
          <w:rFonts w:cs="Segoe UI"/>
          <w:lang w:eastAsia="en-AU"/>
        </w:rPr>
        <w:t>.</w:t>
      </w:r>
      <w:r w:rsidR="00B947BE" w:rsidRPr="00117C96">
        <w:rPr>
          <w:rStyle w:val="EndnoteReference"/>
          <w:rFonts w:cs="Segoe UI"/>
          <w:lang w:eastAsia="en-AU"/>
        </w:rPr>
        <w:endnoteReference w:id="5"/>
      </w:r>
      <w:r w:rsidR="00B947BE">
        <w:rPr>
          <w:rFonts w:cs="Segoe UI"/>
          <w:lang w:eastAsia="en-AU"/>
        </w:rPr>
        <w:t xml:space="preserve"> </w:t>
      </w:r>
      <w:r w:rsidR="00772DB2" w:rsidRPr="00950DDC">
        <w:rPr>
          <w:rFonts w:cs="Segoe UI"/>
          <w:lang w:eastAsia="en-AU"/>
        </w:rPr>
        <w:t xml:space="preserve"> </w:t>
      </w:r>
      <w:r w:rsidR="000C24EC" w:rsidRPr="000C24EC">
        <w:rPr>
          <w:rFonts w:cs="Segoe UI"/>
          <w:lang w:eastAsia="en-AU"/>
        </w:rPr>
        <w:t xml:space="preserve">While the record low road deaths in 2018 highlights that </w:t>
      </w:r>
      <w:r w:rsidR="00627390">
        <w:rPr>
          <w:rFonts w:cs="Segoe UI"/>
          <w:lang w:eastAsia="en-AU"/>
        </w:rPr>
        <w:t>Victoria is</w:t>
      </w:r>
      <w:r w:rsidR="000C24EC" w:rsidRPr="000C24EC">
        <w:rPr>
          <w:rFonts w:cs="Segoe UI"/>
          <w:lang w:eastAsia="en-AU"/>
        </w:rPr>
        <w:t xml:space="preserve"> moving in the right direction with </w:t>
      </w:r>
      <w:r w:rsidR="00627390">
        <w:rPr>
          <w:rFonts w:cs="Segoe UI"/>
          <w:lang w:eastAsia="en-AU"/>
        </w:rPr>
        <w:t>its</w:t>
      </w:r>
      <w:r w:rsidR="000C24EC" w:rsidRPr="000C24EC">
        <w:rPr>
          <w:rFonts w:cs="Segoe UI"/>
          <w:lang w:eastAsia="en-AU"/>
        </w:rPr>
        <w:t xml:space="preserve"> approach to road safety, </w:t>
      </w:r>
      <w:r w:rsidR="00627390">
        <w:rPr>
          <w:rFonts w:cs="Segoe UI"/>
          <w:lang w:eastAsia="en-AU"/>
        </w:rPr>
        <w:t>there is still room for more improvement.</w:t>
      </w:r>
    </w:p>
    <w:p w14:paraId="29631CEB" w14:textId="77777777" w:rsidR="007867D1" w:rsidRDefault="00122C1B" w:rsidP="00B50C15">
      <w:pPr>
        <w:pStyle w:val="TextPara"/>
      </w:pPr>
      <w:r>
        <w:t xml:space="preserve">The Victorian Government’s position is that the current level of road deaths and injuries is still too high. The Victorian Government’s </w:t>
      </w:r>
      <w:r w:rsidRPr="00DB6D7B">
        <w:rPr>
          <w:i/>
        </w:rPr>
        <w:t>Towards Zero</w:t>
      </w:r>
      <w:r>
        <w:t xml:space="preserve"> strategy</w:t>
      </w:r>
      <w:r>
        <w:rPr>
          <w:rStyle w:val="EndnoteReference"/>
        </w:rPr>
        <w:endnoteReference w:id="6"/>
      </w:r>
      <w:r>
        <w:t xml:space="preserve"> aims to develop a safer road system comprising safer roads, safer speeds, safer vehicles, and safer people and a vision for a future free of deaths and serious injuries on Victorian roads.  </w:t>
      </w:r>
      <w:r w:rsidRPr="001910AC">
        <w:t xml:space="preserve">Through the </w:t>
      </w:r>
      <w:r w:rsidRPr="001910AC">
        <w:rPr>
          <w:i/>
        </w:rPr>
        <w:t>Towards Zero</w:t>
      </w:r>
      <w:r w:rsidRPr="001910AC">
        <w:t xml:space="preserve"> strategy, Victoria has set itself a 20</w:t>
      </w:r>
      <w:r>
        <w:t>%</w:t>
      </w:r>
      <w:r w:rsidRPr="001910AC">
        <w:t xml:space="preserve"> fatality reduction target of fewer than 200 deaths per year by 2020.</w:t>
      </w:r>
    </w:p>
    <w:p w14:paraId="5A5934BE" w14:textId="77777777" w:rsidR="00DC52F9" w:rsidRDefault="00DC52F9" w:rsidP="00B50C15">
      <w:pPr>
        <w:pStyle w:val="TextPara"/>
      </w:pPr>
      <w:r>
        <w:t xml:space="preserve">In </w:t>
      </w:r>
      <w:r w:rsidR="000F408E">
        <w:t xml:space="preserve">financial </w:t>
      </w:r>
      <w:r>
        <w:t>terms</w:t>
      </w:r>
      <w:r w:rsidR="000F408E">
        <w:t>,</w:t>
      </w:r>
      <w:r>
        <w:t xml:space="preserve"> </w:t>
      </w:r>
      <w:r w:rsidR="000F408E">
        <w:t>the</w:t>
      </w:r>
      <w:r>
        <w:t xml:space="preserve"> estimated </w:t>
      </w:r>
      <w:r w:rsidR="000F408E">
        <w:t>cost of the</w:t>
      </w:r>
      <w:r>
        <w:t xml:space="preserve"> 214 fatalities and 7,654 hospitalised injuries in 2018</w:t>
      </w:r>
      <w:r w:rsidR="000F408E" w:rsidRPr="000F408E">
        <w:t xml:space="preserve"> </w:t>
      </w:r>
      <w:r w:rsidR="000F408E">
        <w:t>in Victoria</w:t>
      </w:r>
      <w:r>
        <w:t xml:space="preserve">, at an average cost </w:t>
      </w:r>
      <w:r w:rsidR="000F408E">
        <w:t xml:space="preserve">of $4.48 million </w:t>
      </w:r>
      <w:r>
        <w:t xml:space="preserve">per fatality and </w:t>
      </w:r>
      <w:r w:rsidR="000F408E">
        <w:t xml:space="preserve">$0.194 million </w:t>
      </w:r>
      <w:r>
        <w:t>per hospitalised injury</w:t>
      </w:r>
      <w:r w:rsidR="000F408E">
        <w:t xml:space="preserve">, </w:t>
      </w:r>
      <w:r w:rsidR="006A1252">
        <w:rPr>
          <w:rFonts w:cs="Segoe UI"/>
          <w:szCs w:val="20"/>
        </w:rPr>
        <w:t>was</w:t>
      </w:r>
      <w:r w:rsidR="000F408E">
        <w:t xml:space="preserve"> $2,446 million.</w:t>
      </w:r>
    </w:p>
    <w:p w14:paraId="2B4940E8" w14:textId="77777777" w:rsidR="00122C1B" w:rsidRDefault="00122C1B" w:rsidP="00693F7A">
      <w:pPr>
        <w:pStyle w:val="TextPara"/>
      </w:pPr>
      <w:r>
        <w:t xml:space="preserve">Several road safety risk factors resulting from driver behaviour are known to be common contributors to road fatalities and serious injuries. Many of these factors affect drivers and motorcyclists of all ages, while others relate specifically to young and novice drivers and to motorcyclists. </w:t>
      </w:r>
    </w:p>
    <w:p w14:paraId="344BBCA1" w14:textId="77777777" w:rsidR="00122C1B" w:rsidRDefault="00122C1B" w:rsidP="00693F7A">
      <w:pPr>
        <w:pStyle w:val="TextPara"/>
      </w:pPr>
      <w:r>
        <w:t>The group of risks applicable to all drivers and motorcyclists includes speeding, driver fatigue, drink- and/or drug-driving, non-wearing of seat belt, mobile phone use, night driving, distracted driving and diminished fitness-to-drive. Key risk factors specific to young and novice drivers include i</w:t>
      </w:r>
      <w:r w:rsidRPr="00C66450">
        <w:t>nsufficient driving competence and experience</w:t>
      </w:r>
      <w:r>
        <w:t>, a</w:t>
      </w:r>
      <w:r w:rsidRPr="00C66450">
        <w:t xml:space="preserve">dolescent brain </w:t>
      </w:r>
      <w:r>
        <w:t xml:space="preserve">and social </w:t>
      </w:r>
      <w:r w:rsidRPr="00C66450">
        <w:t>development</w:t>
      </w:r>
      <w:r>
        <w:t>, poor vehicle safety, late night driving, multiple passengers, and towing. Motorcyclists face other risks arising from the nature of the vehicle they ride, such as o</w:t>
      </w:r>
      <w:r w:rsidRPr="00654BC3">
        <w:t>ther drivers’ poor visibility of motorcyclists</w:t>
      </w:r>
      <w:r>
        <w:t>, inadequate body protection, and low vehicle stability.</w:t>
      </w:r>
    </w:p>
    <w:p w14:paraId="589036BE" w14:textId="77777777" w:rsidR="00122C1B" w:rsidRDefault="00122C1B" w:rsidP="00693F7A">
      <w:pPr>
        <w:pStyle w:val="TextPara"/>
      </w:pPr>
      <w:r>
        <w:t xml:space="preserve">The purpose of the proposed Regulations is to support the objectives of the </w:t>
      </w:r>
      <w:r w:rsidRPr="00A93DA2">
        <w:rPr>
          <w:i/>
        </w:rPr>
        <w:t>RSA</w:t>
      </w:r>
      <w:r w:rsidRPr="00DB4C8E">
        <w:rPr>
          <w:rStyle w:val="EndnoteReference"/>
        </w:rPr>
        <w:endnoteReference w:id="7"/>
      </w:r>
      <w:r>
        <w:t xml:space="preserve"> and supplement some of its provisions, thereby minimising any potential adverse impact of these risk factors</w:t>
      </w:r>
      <w:r w:rsidRPr="00FE2958">
        <w:t xml:space="preserve"> </w:t>
      </w:r>
      <w:r>
        <w:t>on the number of lives lost on Victorian roads.</w:t>
      </w:r>
    </w:p>
    <w:p w14:paraId="2F90F117" w14:textId="77777777" w:rsidR="00122C1B" w:rsidRPr="00042BAE" w:rsidRDefault="00122C1B">
      <w:pPr>
        <w:pStyle w:val="NoSpacing"/>
      </w:pPr>
      <w:r>
        <w:t>Proposed Regulations</w:t>
      </w:r>
    </w:p>
    <w:p w14:paraId="667DBF91" w14:textId="77777777" w:rsidR="00122C1B" w:rsidRDefault="00122C1B" w:rsidP="00581BCB">
      <w:pPr>
        <w:pStyle w:val="TextPara"/>
        <w:rPr>
          <w:rFonts w:cs="Segoe UI"/>
        </w:rPr>
      </w:pPr>
      <w:r>
        <w:rPr>
          <w:rFonts w:cs="Segoe UI"/>
        </w:rPr>
        <w:t>T</w:t>
      </w:r>
      <w:r w:rsidRPr="00E7588F">
        <w:rPr>
          <w:rFonts w:cs="Segoe UI"/>
        </w:rPr>
        <w:t>he Victorian Government</w:t>
      </w:r>
      <w:r>
        <w:rPr>
          <w:rFonts w:cs="Segoe UI"/>
        </w:rPr>
        <w:t>’s</w:t>
      </w:r>
      <w:r w:rsidRPr="00E7588F">
        <w:rPr>
          <w:rFonts w:cs="Segoe UI"/>
        </w:rPr>
        <w:t xml:space="preserve"> primary </w:t>
      </w:r>
      <w:r>
        <w:rPr>
          <w:rFonts w:cs="Segoe UI"/>
        </w:rPr>
        <w:t xml:space="preserve">road safety </w:t>
      </w:r>
      <w:r w:rsidRPr="00E7588F">
        <w:rPr>
          <w:rFonts w:cs="Segoe UI"/>
        </w:rPr>
        <w:t xml:space="preserve">objective </w:t>
      </w:r>
      <w:r>
        <w:rPr>
          <w:rFonts w:cs="Segoe UI"/>
        </w:rPr>
        <w:t xml:space="preserve">is </w:t>
      </w:r>
      <w:r w:rsidRPr="00E7588F">
        <w:rPr>
          <w:rFonts w:cs="Segoe UI"/>
        </w:rPr>
        <w:t>to reduce as far as practicable the risk of personal injury</w:t>
      </w:r>
      <w:r>
        <w:rPr>
          <w:rFonts w:cs="Segoe UI"/>
        </w:rPr>
        <w:t xml:space="preserve"> and</w:t>
      </w:r>
      <w:r w:rsidRPr="00E7588F">
        <w:rPr>
          <w:rFonts w:cs="Segoe UI"/>
        </w:rPr>
        <w:t xml:space="preserve"> death</w:t>
      </w:r>
      <w:r>
        <w:rPr>
          <w:rFonts w:cs="Segoe UI"/>
        </w:rPr>
        <w:t xml:space="preserve"> </w:t>
      </w:r>
      <w:r w:rsidRPr="00117C96">
        <w:rPr>
          <w:rFonts w:cs="Segoe UI"/>
        </w:rPr>
        <w:t>for all road users</w:t>
      </w:r>
      <w:r>
        <w:rPr>
          <w:rFonts w:cs="Segoe UI"/>
        </w:rPr>
        <w:t xml:space="preserve"> in Victoria. The government</w:t>
      </w:r>
      <w:r w:rsidRPr="00E7588F">
        <w:rPr>
          <w:rFonts w:cs="Segoe UI"/>
        </w:rPr>
        <w:t xml:space="preserve"> aims to achieve </w:t>
      </w:r>
      <w:r>
        <w:rPr>
          <w:rFonts w:cs="Segoe UI"/>
        </w:rPr>
        <w:t xml:space="preserve">this </w:t>
      </w:r>
      <w:r w:rsidRPr="00E7588F">
        <w:rPr>
          <w:rFonts w:cs="Segoe UI"/>
        </w:rPr>
        <w:t xml:space="preserve">through </w:t>
      </w:r>
      <w:r>
        <w:rPr>
          <w:rFonts w:cs="Segoe UI"/>
        </w:rPr>
        <w:t xml:space="preserve">its road safety policy as reflected in the </w:t>
      </w:r>
      <w:r w:rsidRPr="00862532">
        <w:rPr>
          <w:rFonts w:cs="Segoe UI"/>
          <w:i/>
        </w:rPr>
        <w:t>RSA</w:t>
      </w:r>
      <w:r>
        <w:rPr>
          <w:rFonts w:cs="Segoe UI"/>
        </w:rPr>
        <w:t xml:space="preserve"> and related regulations and rules. </w:t>
      </w:r>
    </w:p>
    <w:p w14:paraId="012B1112" w14:textId="27918ABC" w:rsidR="00122C1B" w:rsidRDefault="00122C1B" w:rsidP="00581BCB">
      <w:pPr>
        <w:pStyle w:val="TextPara"/>
      </w:pPr>
      <w:r>
        <w:lastRenderedPageBreak/>
        <w:t>T</w:t>
      </w:r>
      <w:r w:rsidRPr="00C93855">
        <w:t xml:space="preserve">he proposed Regulations </w:t>
      </w:r>
      <w:r>
        <w:rPr>
          <w:rFonts w:cs="Segoe UI"/>
          <w:szCs w:val="20"/>
        </w:rPr>
        <w:t xml:space="preserve">are essentially a remake of </w:t>
      </w:r>
      <w:r w:rsidRPr="00B238CA">
        <w:rPr>
          <w:rFonts w:cs="Segoe UI"/>
          <w:szCs w:val="20"/>
        </w:rPr>
        <w:t xml:space="preserve">the </w:t>
      </w:r>
      <w:r>
        <w:rPr>
          <w:rFonts w:cs="Segoe UI"/>
          <w:szCs w:val="20"/>
        </w:rPr>
        <w:t>current</w:t>
      </w:r>
      <w:r w:rsidRPr="00BB0059">
        <w:rPr>
          <w:rFonts w:cs="Segoe UI"/>
          <w:szCs w:val="20"/>
        </w:rPr>
        <w:t xml:space="preserve"> Regulations </w:t>
      </w:r>
      <w:r>
        <w:rPr>
          <w:rFonts w:cs="Segoe UI"/>
          <w:szCs w:val="20"/>
        </w:rPr>
        <w:t xml:space="preserve">with some changes </w:t>
      </w:r>
      <w:r w:rsidRPr="00C93855">
        <w:t xml:space="preserve">designed to </w:t>
      </w:r>
      <w:r>
        <w:t xml:space="preserve">enhance clarity, </w:t>
      </w:r>
      <w:r w:rsidRPr="00C93855">
        <w:t xml:space="preserve">improve their effectiveness, simplify their operation and </w:t>
      </w:r>
      <w:r w:rsidR="00AE2200">
        <w:t>reduce bur</w:t>
      </w:r>
      <w:r w:rsidR="00C27400">
        <w:t>den</w:t>
      </w:r>
      <w:r w:rsidR="00AE2200">
        <w:t xml:space="preserve"> on the community</w:t>
      </w:r>
      <w:r w:rsidRPr="00C93855">
        <w:t>.</w:t>
      </w:r>
      <w:r w:rsidRPr="002F7971">
        <w:rPr>
          <w:rFonts w:cs="Segoe UI"/>
          <w:szCs w:val="20"/>
        </w:rPr>
        <w:t xml:space="preserve"> </w:t>
      </w:r>
      <w:r>
        <w:rPr>
          <w:rFonts w:cs="Segoe UI"/>
          <w:szCs w:val="20"/>
        </w:rPr>
        <w:t xml:space="preserve">The key changes are summarised in section </w:t>
      </w:r>
      <w:r>
        <w:rPr>
          <w:rFonts w:cs="Segoe UI"/>
          <w:szCs w:val="20"/>
        </w:rPr>
        <w:fldChar w:fldCharType="begin"/>
      </w:r>
      <w:r>
        <w:rPr>
          <w:rFonts w:cs="Segoe UI"/>
          <w:szCs w:val="20"/>
        </w:rPr>
        <w:instrText xml:space="preserve"> REF _Ref523825057 \r \h </w:instrText>
      </w:r>
      <w:r>
        <w:rPr>
          <w:rFonts w:cs="Segoe UI"/>
          <w:szCs w:val="20"/>
        </w:rPr>
      </w:r>
      <w:r>
        <w:rPr>
          <w:rFonts w:cs="Segoe UI"/>
          <w:szCs w:val="20"/>
        </w:rPr>
        <w:fldChar w:fldCharType="separate"/>
      </w:r>
      <w:r w:rsidR="00EB4B02">
        <w:rPr>
          <w:rFonts w:cs="Segoe UI"/>
          <w:szCs w:val="20"/>
        </w:rPr>
        <w:t>18.1</w:t>
      </w:r>
      <w:r>
        <w:rPr>
          <w:rFonts w:cs="Segoe UI"/>
          <w:szCs w:val="20"/>
        </w:rPr>
        <w:fldChar w:fldCharType="end"/>
      </w:r>
      <w:r>
        <w:rPr>
          <w:rFonts w:cs="Segoe UI"/>
          <w:szCs w:val="20"/>
        </w:rPr>
        <w:t xml:space="preserve"> of this document.</w:t>
      </w:r>
    </w:p>
    <w:p w14:paraId="6C3A8886" w14:textId="77777777" w:rsidR="00122C1B" w:rsidRPr="00123312" w:rsidRDefault="00122C1B">
      <w:pPr>
        <w:pStyle w:val="SubHeading2"/>
      </w:pPr>
      <w:r>
        <w:t>Inducting drivers into Victoria</w:t>
      </w:r>
    </w:p>
    <w:p w14:paraId="1C94643C" w14:textId="77777777" w:rsidR="00122C1B" w:rsidRDefault="00122C1B" w:rsidP="00930948">
      <w:pPr>
        <w:pStyle w:val="TextPara"/>
        <w:spacing w:after="60"/>
      </w:pPr>
      <w:r>
        <w:t xml:space="preserve">Several road safety research studies supported by crash statistics have identified young and novice drivers and motorcyclists as the most vulnerable driver group with the highest crash risk. As an effective tool to assist in tackling this issue, a GLS is designed primarily to address the inexperience of young and novice drivers and to reduce the high crash risk to which they are exposed. A GLS is also aimed at mitigating deliberate risk-taking partially associated with age-related factors. The basic principle is to allow new drivers to acquire experience under safer, lower-risk conditions. </w:t>
      </w:r>
    </w:p>
    <w:p w14:paraId="03D611DD" w14:textId="77777777" w:rsidR="00122C1B" w:rsidRDefault="00122C1B" w:rsidP="00CD444B">
      <w:pPr>
        <w:pStyle w:val="TextPara"/>
      </w:pPr>
      <w:r>
        <w:t>Graduated licensing systems are typically implemented as a package of road safety risk countermeasures. The effectiveness of any individual component of a GLS depends on other components that comprise the GLS model. In addition, the effectiveness of introducing a new component into an existing GLS model will largely depend on the combination of components already inherent in that model.</w:t>
      </w:r>
    </w:p>
    <w:p w14:paraId="46780A60" w14:textId="282C0F2C" w:rsidR="00340E43" w:rsidRDefault="00340E43" w:rsidP="00CD444B">
      <w:pPr>
        <w:pStyle w:val="TextPara"/>
      </w:pPr>
      <w:r w:rsidRPr="00340E43">
        <w:t xml:space="preserve">In determining the options for the key components of the </w:t>
      </w:r>
      <w:r w:rsidR="00692B8C">
        <w:t xml:space="preserve">Victorian </w:t>
      </w:r>
      <w:r w:rsidRPr="00340E43">
        <w:t xml:space="preserve">GLS, </w:t>
      </w:r>
      <w:r w:rsidR="000C33B0">
        <w:t>DoT</w:t>
      </w:r>
      <w:r w:rsidRPr="00340E43">
        <w:t xml:space="preserve"> considered the components identified in the </w:t>
      </w:r>
      <w:bookmarkStart w:id="14" w:name="_Hlk536789568"/>
      <w:r w:rsidRPr="00340E43">
        <w:t xml:space="preserve">three-stage national GLS </w:t>
      </w:r>
      <w:r w:rsidR="009D1A3A">
        <w:t>framework</w:t>
      </w:r>
      <w:r w:rsidR="00220C79">
        <w:t xml:space="preserve"> </w:t>
      </w:r>
      <w:bookmarkEnd w:id="14"/>
      <w:r w:rsidR="00220C79">
        <w:t>(</w:t>
      </w:r>
      <w:r w:rsidR="007C48B5">
        <w:t xml:space="preserve">refer to </w:t>
      </w:r>
      <w:r w:rsidR="00024DF6">
        <w:fldChar w:fldCharType="begin"/>
      </w:r>
      <w:r w:rsidR="00024DF6">
        <w:instrText xml:space="preserve"> REF _Ref536789567 \h </w:instrText>
      </w:r>
      <w:r w:rsidR="00024DF6">
        <w:fldChar w:fldCharType="separate"/>
      </w:r>
      <w:r w:rsidR="00EB4B02">
        <w:t xml:space="preserve">Table </w:t>
      </w:r>
      <w:r w:rsidR="00EB4B02">
        <w:rPr>
          <w:noProof/>
        </w:rPr>
        <w:t>1</w:t>
      </w:r>
      <w:r w:rsidR="00024DF6">
        <w:fldChar w:fldCharType="end"/>
      </w:r>
      <w:r w:rsidR="00220C79">
        <w:t>)</w:t>
      </w:r>
      <w:r>
        <w:t xml:space="preserve">, which </w:t>
      </w:r>
      <w:r w:rsidRPr="00340E43">
        <w:t xml:space="preserve">represents a ‘best practice’ approach for </w:t>
      </w:r>
      <w:r w:rsidR="00692B8C">
        <w:t xml:space="preserve">Australian </w:t>
      </w:r>
      <w:r w:rsidRPr="00340E43">
        <w:t xml:space="preserve">jurisdictions to follow. It is intended to assist jurisdictions in their effort to continuously improve their novice driver licensing system and advance from Standard to Enhanced to the best practice Exemplar stage over time. </w:t>
      </w:r>
    </w:p>
    <w:p w14:paraId="0632DC78" w14:textId="226B2B9F" w:rsidR="009D1A3A" w:rsidRDefault="009D1A3A" w:rsidP="009D1A3A">
      <w:pPr>
        <w:pStyle w:val="Caption"/>
        <w:spacing w:before="120"/>
      </w:pPr>
      <w:bookmarkStart w:id="15" w:name="_Ref536789567"/>
      <w:bookmarkStart w:id="16" w:name="_Toc9193398"/>
      <w:bookmarkStart w:id="17" w:name="_Toc10703694"/>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1</w:t>
      </w:r>
      <w:r w:rsidR="00BC6B2E">
        <w:rPr>
          <w:noProof/>
        </w:rPr>
        <w:fldChar w:fldCharType="end"/>
      </w:r>
      <w:bookmarkEnd w:id="15"/>
      <w:r>
        <w:t xml:space="preserve"> – </w:t>
      </w:r>
      <w:r w:rsidR="004E55AE" w:rsidRPr="004E55AE">
        <w:t>Three-stage national GLS framework</w:t>
      </w:r>
      <w:bookmarkEnd w:id="16"/>
      <w:bookmarkEnd w:id="17"/>
    </w:p>
    <w:tbl>
      <w:tblPr>
        <w:tblStyle w:val="RIS-Table2"/>
        <w:tblW w:w="9493" w:type="dxa"/>
        <w:tblLook w:val="04A0" w:firstRow="1" w:lastRow="0" w:firstColumn="1" w:lastColumn="0" w:noHBand="0" w:noVBand="1"/>
      </w:tblPr>
      <w:tblGrid>
        <w:gridCol w:w="3964"/>
        <w:gridCol w:w="1701"/>
        <w:gridCol w:w="1985"/>
        <w:gridCol w:w="1843"/>
      </w:tblGrid>
      <w:tr w:rsidR="00692B8C" w:rsidRPr="003A681B" w14:paraId="750E2717" w14:textId="77777777" w:rsidTr="00467576">
        <w:trPr>
          <w:cnfStyle w:val="100000000000" w:firstRow="1" w:lastRow="0" w:firstColumn="0" w:lastColumn="0" w:oddVBand="0" w:evenVBand="0" w:oddHBand="0" w:evenHBand="0" w:firstRowFirstColumn="0" w:firstRowLastColumn="0" w:lastRowFirstColumn="0" w:lastRowLastColumn="0"/>
        </w:trPr>
        <w:tc>
          <w:tcPr>
            <w:tcW w:w="3964" w:type="dxa"/>
            <w:vMerge w:val="restart"/>
          </w:tcPr>
          <w:p w14:paraId="6840A808" w14:textId="77777777" w:rsidR="00692B8C" w:rsidRPr="003A681B" w:rsidRDefault="00692B8C" w:rsidP="00467576">
            <w:pPr>
              <w:pStyle w:val="TableHeaders"/>
              <w:spacing w:before="40" w:after="40"/>
              <w:rPr>
                <w:sz w:val="17"/>
                <w:szCs w:val="17"/>
              </w:rPr>
            </w:pPr>
            <w:r>
              <w:rPr>
                <w:sz w:val="17"/>
                <w:szCs w:val="17"/>
              </w:rPr>
              <w:t>Components</w:t>
            </w:r>
          </w:p>
        </w:tc>
        <w:tc>
          <w:tcPr>
            <w:tcW w:w="5529" w:type="dxa"/>
            <w:gridSpan w:val="3"/>
          </w:tcPr>
          <w:p w14:paraId="137B1CD7" w14:textId="77777777" w:rsidR="00692B8C" w:rsidRPr="002F32EF" w:rsidRDefault="00692B8C" w:rsidP="00467576">
            <w:pPr>
              <w:pStyle w:val="TableHeaders"/>
              <w:spacing w:before="40" w:after="40"/>
              <w:rPr>
                <w:sz w:val="17"/>
                <w:szCs w:val="17"/>
              </w:rPr>
            </w:pPr>
            <w:r>
              <w:rPr>
                <w:sz w:val="17"/>
                <w:szCs w:val="17"/>
              </w:rPr>
              <w:t>Stage</w:t>
            </w:r>
          </w:p>
        </w:tc>
      </w:tr>
      <w:tr w:rsidR="000A435B" w:rsidRPr="003A681B" w14:paraId="7EFB9FC7" w14:textId="77777777" w:rsidTr="000A435B">
        <w:tc>
          <w:tcPr>
            <w:tcW w:w="3964" w:type="dxa"/>
            <w:vMerge/>
          </w:tcPr>
          <w:p w14:paraId="3AFE8608" w14:textId="77777777" w:rsidR="000A435B" w:rsidRPr="003A681B" w:rsidRDefault="000A435B" w:rsidP="00467576">
            <w:pPr>
              <w:pStyle w:val="TableHeaders"/>
              <w:spacing w:before="40" w:after="40"/>
              <w:rPr>
                <w:sz w:val="17"/>
                <w:szCs w:val="17"/>
              </w:rPr>
            </w:pPr>
          </w:p>
        </w:tc>
        <w:tc>
          <w:tcPr>
            <w:tcW w:w="1701" w:type="dxa"/>
            <w:shd w:val="clear" w:color="auto" w:fill="0A1F3F"/>
          </w:tcPr>
          <w:p w14:paraId="5168B14E" w14:textId="77777777" w:rsidR="000A435B" w:rsidRPr="002F32EF" w:rsidRDefault="000A435B" w:rsidP="00467576">
            <w:pPr>
              <w:pStyle w:val="TableHeaders"/>
              <w:spacing w:before="40" w:after="40"/>
              <w:rPr>
                <w:b/>
                <w:sz w:val="17"/>
                <w:szCs w:val="17"/>
              </w:rPr>
            </w:pPr>
            <w:r>
              <w:rPr>
                <w:b/>
                <w:noProof/>
                <w:sz w:val="17"/>
                <w:szCs w:val="17"/>
                <w:lang w:eastAsia="en-GB"/>
              </w:rPr>
              <mc:AlternateContent>
                <mc:Choice Requires="wpg">
                  <w:drawing>
                    <wp:anchor distT="0" distB="0" distL="114300" distR="114300" simplePos="0" relativeHeight="251697664" behindDoc="0" locked="0" layoutInCell="1" allowOverlap="1" wp14:anchorId="5464BF81" wp14:editId="3813A2C9">
                      <wp:simplePos x="0" y="0"/>
                      <wp:positionH relativeFrom="column">
                        <wp:posOffset>898652</wp:posOffset>
                      </wp:positionH>
                      <wp:positionV relativeFrom="paragraph">
                        <wp:posOffset>57709</wp:posOffset>
                      </wp:positionV>
                      <wp:extent cx="1504569" cy="105105"/>
                      <wp:effectExtent l="0" t="19050" r="38735" b="47625"/>
                      <wp:wrapNone/>
                      <wp:docPr id="69" name="Group 69"/>
                      <wp:cNvGraphicFramePr/>
                      <a:graphic xmlns:a="http://schemas.openxmlformats.org/drawingml/2006/main">
                        <a:graphicData uri="http://schemas.microsoft.com/office/word/2010/wordprocessingGroup">
                          <wpg:wgp>
                            <wpg:cNvGrpSpPr/>
                            <wpg:grpSpPr>
                              <a:xfrm>
                                <a:off x="0" y="0"/>
                                <a:ext cx="1504569" cy="105105"/>
                                <a:chOff x="0" y="0"/>
                                <a:chExt cx="1504569" cy="105105"/>
                              </a:xfrm>
                            </wpg:grpSpPr>
                            <wps:wsp>
                              <wps:cNvPr id="70" name="Arrow: Right 70"/>
                              <wps:cNvSpPr/>
                              <wps:spPr>
                                <a:xfrm>
                                  <a:off x="0" y="0"/>
                                  <a:ext cx="260985" cy="97790"/>
                                </a:xfrm>
                                <a:prstGeom prst="rightArrow">
                                  <a:avLst>
                                    <a:gd name="adj1" fmla="val 50000"/>
                                    <a:gd name="adj2" fmla="val 87821"/>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Arrow: Right 71"/>
                              <wps:cNvSpPr/>
                              <wps:spPr>
                                <a:xfrm>
                                  <a:off x="1243584" y="7315"/>
                                  <a:ext cx="260985" cy="97790"/>
                                </a:xfrm>
                                <a:prstGeom prst="rightArrow">
                                  <a:avLst>
                                    <a:gd name="adj1" fmla="val 50000"/>
                                    <a:gd name="adj2" fmla="val 87821"/>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504967" id="Group 69" o:spid="_x0000_s1026" style="position:absolute;margin-left:70.75pt;margin-top:4.55pt;width:118.45pt;height:8.3pt;z-index:251697664" coordsize="15045,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27" type="#_x0000_t13" style="position:absolute;width:2609;height: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" adj="14492" fillcolor="white [3212]" strokecolor="white [3212]" strokeweight=".5pt"/>
                      <v:shape id="Arrow: Right 71" o:spid="_x0000_s1028" type="#_x0000_t13" style="position:absolute;left:12435;top:73;width:2610;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" adj="14492" fillcolor="white [3212]" strokecolor="white [3212]" strokeweight=".5pt"/>
                    </v:group>
                  </w:pict>
                </mc:Fallback>
              </mc:AlternateContent>
            </w:r>
            <w:r>
              <w:rPr>
                <w:b/>
                <w:noProof/>
                <w:sz w:val="17"/>
                <w:szCs w:val="17"/>
                <w:lang w:eastAsia="en-GB"/>
              </w:rPr>
              <mc:AlternateContent>
                <mc:Choice Requires="wps">
                  <w:drawing>
                    <wp:anchor distT="0" distB="0" distL="114300" distR="114300" simplePos="0" relativeHeight="251689472" behindDoc="0" locked="0" layoutInCell="1" allowOverlap="1" wp14:anchorId="6458DA93" wp14:editId="3FC62646">
                      <wp:simplePos x="0" y="0"/>
                      <wp:positionH relativeFrom="column">
                        <wp:posOffset>867410</wp:posOffset>
                      </wp:positionH>
                      <wp:positionV relativeFrom="paragraph">
                        <wp:posOffset>-5671820</wp:posOffset>
                      </wp:positionV>
                      <wp:extent cx="279400" cy="57150"/>
                      <wp:effectExtent l="0" t="19050" r="44450" b="38100"/>
                      <wp:wrapNone/>
                      <wp:docPr id="72" name="Arrow: Right 72"/>
                      <wp:cNvGraphicFramePr/>
                      <a:graphic xmlns:a="http://schemas.openxmlformats.org/drawingml/2006/main">
                        <a:graphicData uri="http://schemas.microsoft.com/office/word/2010/wordprocessingShape">
                          <wps:wsp>
                            <wps:cNvSpPr/>
                            <wps:spPr>
                              <a:xfrm>
                                <a:off x="0" y="0"/>
                                <a:ext cx="2794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93196" id="Arrow: Right 72" o:spid="_x0000_s1026" type="#_x0000_t13" style="position:absolute;margin-left:68.3pt;margin-top:-446.6pt;width:22pt;height:4.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" adj="19391" fillcolor="#39b54a [3204]" strokecolor="#1c5924 [1604]" strokeweight="2pt"/>
                  </w:pict>
                </mc:Fallback>
              </mc:AlternateContent>
            </w:r>
            <w:r w:rsidRPr="002F32EF">
              <w:rPr>
                <w:b/>
                <w:sz w:val="17"/>
                <w:szCs w:val="17"/>
              </w:rPr>
              <w:t xml:space="preserve">Standard </w:t>
            </w:r>
          </w:p>
        </w:tc>
        <w:tc>
          <w:tcPr>
            <w:tcW w:w="1985" w:type="dxa"/>
            <w:shd w:val="clear" w:color="auto" w:fill="0A1F3F"/>
          </w:tcPr>
          <w:p w14:paraId="3866D35B" w14:textId="77777777" w:rsidR="000A435B" w:rsidRPr="002F32EF" w:rsidRDefault="000A435B" w:rsidP="00467576">
            <w:pPr>
              <w:pStyle w:val="TableHeaders"/>
              <w:spacing w:before="40" w:after="40"/>
              <w:rPr>
                <w:b/>
                <w:sz w:val="17"/>
                <w:szCs w:val="17"/>
              </w:rPr>
            </w:pPr>
            <w:r w:rsidRPr="002F32EF">
              <w:rPr>
                <w:b/>
                <w:sz w:val="17"/>
                <w:szCs w:val="17"/>
              </w:rPr>
              <w:t xml:space="preserve">Enhanced </w:t>
            </w:r>
          </w:p>
        </w:tc>
        <w:tc>
          <w:tcPr>
            <w:tcW w:w="1843" w:type="dxa"/>
            <w:shd w:val="clear" w:color="auto" w:fill="0A1F3F"/>
          </w:tcPr>
          <w:p w14:paraId="5BC7119D" w14:textId="77777777" w:rsidR="000A435B" w:rsidRPr="002F32EF" w:rsidRDefault="000A435B" w:rsidP="00467576">
            <w:pPr>
              <w:pStyle w:val="TableHeaders"/>
              <w:spacing w:before="40" w:after="40"/>
              <w:rPr>
                <w:b/>
                <w:sz w:val="17"/>
                <w:szCs w:val="17"/>
              </w:rPr>
            </w:pPr>
            <w:r w:rsidRPr="002F32EF">
              <w:rPr>
                <w:b/>
                <w:sz w:val="17"/>
                <w:szCs w:val="17"/>
              </w:rPr>
              <w:t xml:space="preserve">Exemplar </w:t>
            </w:r>
          </w:p>
        </w:tc>
      </w:tr>
      <w:tr w:rsidR="00692B8C" w:rsidRPr="003A681B" w14:paraId="1173943A" w14:textId="77777777" w:rsidTr="000A435B">
        <w:trPr>
          <w:cnfStyle w:val="000000010000" w:firstRow="0" w:lastRow="0" w:firstColumn="0" w:lastColumn="0" w:oddVBand="0" w:evenVBand="0" w:oddHBand="0" w:evenHBand="1" w:firstRowFirstColumn="0" w:firstRowLastColumn="0" w:lastRowFirstColumn="0" w:lastRowLastColumn="0"/>
        </w:trPr>
        <w:tc>
          <w:tcPr>
            <w:tcW w:w="3964" w:type="dxa"/>
          </w:tcPr>
          <w:p w14:paraId="162D9D24" w14:textId="77777777" w:rsidR="00692B8C" w:rsidRPr="003A681B" w:rsidRDefault="00692B8C" w:rsidP="009D1A3A">
            <w:pPr>
              <w:pStyle w:val="TableNum"/>
              <w:spacing w:line="240" w:lineRule="auto"/>
              <w:ind w:left="308" w:hanging="349"/>
            </w:pPr>
            <w:r w:rsidRPr="003A681B">
              <w:t>Minimum age for learner permit</w:t>
            </w:r>
          </w:p>
        </w:tc>
        <w:tc>
          <w:tcPr>
            <w:tcW w:w="1701" w:type="dxa"/>
          </w:tcPr>
          <w:p w14:paraId="6EF22DB1" w14:textId="77777777" w:rsidR="00692B8C" w:rsidRPr="003A681B" w:rsidRDefault="00692B8C" w:rsidP="009D1A3A">
            <w:pPr>
              <w:pStyle w:val="TableParagraph"/>
              <w:spacing w:before="40" w:after="40" w:line="240" w:lineRule="auto"/>
              <w:rPr>
                <w:sz w:val="17"/>
                <w:szCs w:val="17"/>
              </w:rPr>
            </w:pPr>
            <w:r w:rsidRPr="003A681B">
              <w:rPr>
                <w:sz w:val="17"/>
                <w:szCs w:val="17"/>
              </w:rPr>
              <w:t>16 years</w:t>
            </w:r>
          </w:p>
        </w:tc>
        <w:tc>
          <w:tcPr>
            <w:tcW w:w="1985" w:type="dxa"/>
          </w:tcPr>
          <w:p w14:paraId="5BCFC14E" w14:textId="77777777" w:rsidR="00692B8C" w:rsidRPr="003A681B" w:rsidRDefault="00692B8C" w:rsidP="009D1A3A">
            <w:pPr>
              <w:pStyle w:val="TableParagraph"/>
              <w:spacing w:before="40" w:after="40" w:line="240" w:lineRule="auto"/>
              <w:rPr>
                <w:sz w:val="17"/>
                <w:szCs w:val="17"/>
              </w:rPr>
            </w:pPr>
            <w:r w:rsidRPr="003A681B">
              <w:rPr>
                <w:sz w:val="17"/>
                <w:szCs w:val="17"/>
              </w:rPr>
              <w:t>16 years</w:t>
            </w:r>
          </w:p>
        </w:tc>
        <w:tc>
          <w:tcPr>
            <w:tcW w:w="1843" w:type="dxa"/>
          </w:tcPr>
          <w:p w14:paraId="4C37BDA7" w14:textId="77777777" w:rsidR="00692B8C" w:rsidRPr="003A681B" w:rsidRDefault="00692B8C" w:rsidP="009D1A3A">
            <w:pPr>
              <w:pStyle w:val="TableParagraph"/>
              <w:spacing w:before="40" w:after="40" w:line="240" w:lineRule="auto"/>
              <w:rPr>
                <w:sz w:val="17"/>
                <w:szCs w:val="17"/>
              </w:rPr>
            </w:pPr>
            <w:r w:rsidRPr="003A681B">
              <w:rPr>
                <w:sz w:val="17"/>
                <w:szCs w:val="17"/>
              </w:rPr>
              <w:t>16 years</w:t>
            </w:r>
          </w:p>
        </w:tc>
      </w:tr>
      <w:tr w:rsidR="00692B8C" w:rsidRPr="003A681B" w14:paraId="47C919FA" w14:textId="77777777" w:rsidTr="000A435B">
        <w:tc>
          <w:tcPr>
            <w:tcW w:w="3964" w:type="dxa"/>
          </w:tcPr>
          <w:p w14:paraId="1A0A1F68" w14:textId="77777777" w:rsidR="00692B8C" w:rsidRPr="003A681B" w:rsidRDefault="00692B8C" w:rsidP="009D1A3A">
            <w:pPr>
              <w:pStyle w:val="TableNum"/>
              <w:spacing w:line="240" w:lineRule="auto"/>
              <w:ind w:left="308" w:hanging="349"/>
            </w:pPr>
            <w:r w:rsidRPr="003A681B">
              <w:t>Minimum period that a learner permit must be held before the on-road test for probationary licence can be taken</w:t>
            </w:r>
          </w:p>
        </w:tc>
        <w:tc>
          <w:tcPr>
            <w:tcW w:w="1701" w:type="dxa"/>
          </w:tcPr>
          <w:p w14:paraId="1163A450" w14:textId="77777777" w:rsidR="00692B8C" w:rsidRPr="003A681B" w:rsidRDefault="00692B8C" w:rsidP="009D1A3A">
            <w:pPr>
              <w:pStyle w:val="TableParagraph"/>
              <w:spacing w:before="40" w:after="40" w:line="240" w:lineRule="auto"/>
              <w:rPr>
                <w:sz w:val="17"/>
                <w:szCs w:val="17"/>
              </w:rPr>
            </w:pPr>
            <w:r w:rsidRPr="003A681B">
              <w:rPr>
                <w:sz w:val="17"/>
                <w:szCs w:val="17"/>
              </w:rPr>
              <w:t xml:space="preserve">12 months </w:t>
            </w:r>
          </w:p>
        </w:tc>
        <w:tc>
          <w:tcPr>
            <w:tcW w:w="1985" w:type="dxa"/>
          </w:tcPr>
          <w:p w14:paraId="36A34823" w14:textId="77777777" w:rsidR="00692B8C" w:rsidRPr="003A681B" w:rsidRDefault="00692B8C" w:rsidP="009D1A3A">
            <w:pPr>
              <w:pStyle w:val="TableParagraph"/>
              <w:spacing w:before="40" w:after="40" w:line="240" w:lineRule="auto"/>
              <w:rPr>
                <w:sz w:val="17"/>
                <w:szCs w:val="17"/>
              </w:rPr>
            </w:pPr>
            <w:r w:rsidRPr="003A681B">
              <w:rPr>
                <w:sz w:val="17"/>
                <w:szCs w:val="17"/>
              </w:rPr>
              <w:t xml:space="preserve">12 months </w:t>
            </w:r>
          </w:p>
        </w:tc>
        <w:tc>
          <w:tcPr>
            <w:tcW w:w="1843" w:type="dxa"/>
          </w:tcPr>
          <w:p w14:paraId="31132D99" w14:textId="77777777" w:rsidR="00692B8C" w:rsidRPr="003A681B" w:rsidRDefault="00692B8C" w:rsidP="009D1A3A">
            <w:pPr>
              <w:pStyle w:val="TableParagraph"/>
              <w:spacing w:before="40" w:after="40" w:line="240" w:lineRule="auto"/>
              <w:rPr>
                <w:sz w:val="17"/>
                <w:szCs w:val="17"/>
              </w:rPr>
            </w:pPr>
            <w:r w:rsidRPr="003A681B">
              <w:rPr>
                <w:sz w:val="17"/>
                <w:szCs w:val="17"/>
              </w:rPr>
              <w:t xml:space="preserve">12 months </w:t>
            </w:r>
          </w:p>
        </w:tc>
      </w:tr>
      <w:tr w:rsidR="00692B8C" w:rsidRPr="003A681B" w14:paraId="29718EC7" w14:textId="77777777" w:rsidTr="000A435B">
        <w:trPr>
          <w:cnfStyle w:val="000000010000" w:firstRow="0" w:lastRow="0" w:firstColumn="0" w:lastColumn="0" w:oddVBand="0" w:evenVBand="0" w:oddHBand="0" w:evenHBand="1" w:firstRowFirstColumn="0" w:firstRowLastColumn="0" w:lastRowFirstColumn="0" w:lastRowLastColumn="0"/>
        </w:trPr>
        <w:tc>
          <w:tcPr>
            <w:tcW w:w="3964" w:type="dxa"/>
          </w:tcPr>
          <w:p w14:paraId="08F66C08" w14:textId="77777777" w:rsidR="00692B8C" w:rsidRPr="003A681B" w:rsidRDefault="00692B8C" w:rsidP="009D1A3A">
            <w:pPr>
              <w:pStyle w:val="TableNum"/>
              <w:spacing w:line="240" w:lineRule="auto"/>
              <w:ind w:left="308" w:hanging="349"/>
            </w:pPr>
            <w:r w:rsidRPr="003A681B">
              <w:t xml:space="preserve">A Hazard Perception Test and an on-road </w:t>
            </w:r>
            <w:r>
              <w:t xml:space="preserve">drive </w:t>
            </w:r>
            <w:r w:rsidRPr="003A681B">
              <w:t xml:space="preserve">test are required for the issuing of a </w:t>
            </w:r>
            <w:r>
              <w:t>probationary</w:t>
            </w:r>
            <w:r w:rsidRPr="003A681B">
              <w:t xml:space="preserve"> licence</w:t>
            </w:r>
          </w:p>
        </w:tc>
        <w:tc>
          <w:tcPr>
            <w:tcW w:w="1701" w:type="dxa"/>
          </w:tcPr>
          <w:p w14:paraId="709B2B12" w14:textId="77777777" w:rsidR="00692B8C" w:rsidRPr="003A681B" w:rsidRDefault="00692B8C" w:rsidP="009D1A3A">
            <w:pPr>
              <w:pStyle w:val="TableParagraph"/>
              <w:spacing w:before="40" w:after="40" w:line="240" w:lineRule="auto"/>
              <w:rPr>
                <w:sz w:val="17"/>
                <w:szCs w:val="17"/>
              </w:rPr>
            </w:pPr>
            <w:r w:rsidRPr="003A681B">
              <w:rPr>
                <w:sz w:val="17"/>
                <w:szCs w:val="17"/>
              </w:rPr>
              <w:t>Yes</w:t>
            </w:r>
          </w:p>
        </w:tc>
        <w:tc>
          <w:tcPr>
            <w:tcW w:w="1985" w:type="dxa"/>
          </w:tcPr>
          <w:p w14:paraId="0BD04C46" w14:textId="77777777" w:rsidR="00692B8C" w:rsidRPr="003A681B" w:rsidRDefault="00692B8C" w:rsidP="009D1A3A">
            <w:pPr>
              <w:pStyle w:val="TableParagraph"/>
              <w:spacing w:before="40" w:after="40" w:line="240" w:lineRule="auto"/>
              <w:rPr>
                <w:sz w:val="17"/>
                <w:szCs w:val="17"/>
              </w:rPr>
            </w:pPr>
            <w:r w:rsidRPr="003A681B">
              <w:rPr>
                <w:sz w:val="17"/>
                <w:szCs w:val="17"/>
              </w:rPr>
              <w:t>Yes</w:t>
            </w:r>
          </w:p>
        </w:tc>
        <w:tc>
          <w:tcPr>
            <w:tcW w:w="1843" w:type="dxa"/>
          </w:tcPr>
          <w:p w14:paraId="510AE149" w14:textId="77777777" w:rsidR="00692B8C" w:rsidRPr="00D51116" w:rsidRDefault="00692B8C" w:rsidP="009D1A3A">
            <w:pPr>
              <w:pStyle w:val="TableParagraph"/>
              <w:spacing w:before="40" w:after="40" w:line="240" w:lineRule="auto"/>
              <w:rPr>
                <w:sz w:val="17"/>
                <w:szCs w:val="17"/>
              </w:rPr>
            </w:pPr>
            <w:r w:rsidRPr="00D51116">
              <w:rPr>
                <w:sz w:val="17"/>
                <w:szCs w:val="17"/>
              </w:rPr>
              <w:t>Yes</w:t>
            </w:r>
          </w:p>
        </w:tc>
      </w:tr>
      <w:tr w:rsidR="00692B8C" w:rsidRPr="003A681B" w14:paraId="76F1B510" w14:textId="77777777" w:rsidTr="000A435B">
        <w:tc>
          <w:tcPr>
            <w:tcW w:w="3964" w:type="dxa"/>
          </w:tcPr>
          <w:p w14:paraId="047F394B" w14:textId="77777777" w:rsidR="00692B8C" w:rsidRPr="003A681B" w:rsidRDefault="00692B8C" w:rsidP="009D1A3A">
            <w:pPr>
              <w:pStyle w:val="TableNum"/>
              <w:spacing w:line="240" w:lineRule="auto"/>
              <w:ind w:left="308" w:hanging="349"/>
            </w:pPr>
            <w:r>
              <w:t xml:space="preserve">Zero </w:t>
            </w:r>
            <w:r w:rsidRPr="003A681B">
              <w:t>Blood</w:t>
            </w:r>
            <w:r>
              <w:t>/Breath</w:t>
            </w:r>
            <w:r w:rsidRPr="003A681B">
              <w:t xml:space="preserve"> Alcohol Con</w:t>
            </w:r>
            <w:r>
              <w:t>centration level</w:t>
            </w:r>
          </w:p>
        </w:tc>
        <w:tc>
          <w:tcPr>
            <w:tcW w:w="1701" w:type="dxa"/>
          </w:tcPr>
          <w:p w14:paraId="1FC5B349" w14:textId="77777777" w:rsidR="00692B8C" w:rsidRPr="003A681B" w:rsidRDefault="00692B8C" w:rsidP="009D1A3A">
            <w:pPr>
              <w:pStyle w:val="TableParagraph"/>
              <w:spacing w:before="40" w:after="40" w:line="240" w:lineRule="auto"/>
              <w:rPr>
                <w:sz w:val="17"/>
                <w:szCs w:val="17"/>
              </w:rPr>
            </w:pPr>
            <w:r w:rsidRPr="003A681B">
              <w:rPr>
                <w:sz w:val="17"/>
                <w:szCs w:val="17"/>
              </w:rPr>
              <w:t>Yes</w:t>
            </w:r>
          </w:p>
        </w:tc>
        <w:tc>
          <w:tcPr>
            <w:tcW w:w="1985" w:type="dxa"/>
          </w:tcPr>
          <w:p w14:paraId="7E7BC478" w14:textId="77777777" w:rsidR="00692B8C" w:rsidRPr="003A681B" w:rsidRDefault="00692B8C" w:rsidP="009D1A3A">
            <w:pPr>
              <w:pStyle w:val="TableParagraph"/>
              <w:spacing w:before="40" w:after="40" w:line="240" w:lineRule="auto"/>
              <w:rPr>
                <w:sz w:val="17"/>
                <w:szCs w:val="17"/>
              </w:rPr>
            </w:pPr>
            <w:r w:rsidRPr="003A681B">
              <w:rPr>
                <w:sz w:val="17"/>
                <w:szCs w:val="17"/>
              </w:rPr>
              <w:t>Yes</w:t>
            </w:r>
          </w:p>
        </w:tc>
        <w:tc>
          <w:tcPr>
            <w:tcW w:w="1843" w:type="dxa"/>
          </w:tcPr>
          <w:p w14:paraId="6D2D1E56" w14:textId="77777777" w:rsidR="00692B8C" w:rsidRPr="00D51116" w:rsidRDefault="00692B8C" w:rsidP="009D1A3A">
            <w:pPr>
              <w:pStyle w:val="TableParagraph"/>
              <w:spacing w:before="40" w:after="40" w:line="240" w:lineRule="auto"/>
              <w:rPr>
                <w:sz w:val="17"/>
                <w:szCs w:val="17"/>
              </w:rPr>
            </w:pPr>
            <w:r w:rsidRPr="00D51116">
              <w:rPr>
                <w:sz w:val="17"/>
                <w:szCs w:val="17"/>
              </w:rPr>
              <w:t>Yes</w:t>
            </w:r>
          </w:p>
        </w:tc>
      </w:tr>
      <w:tr w:rsidR="00692B8C" w:rsidRPr="003A681B" w14:paraId="05E53C91" w14:textId="77777777" w:rsidTr="000A435B">
        <w:trPr>
          <w:cnfStyle w:val="000000010000" w:firstRow="0" w:lastRow="0" w:firstColumn="0" w:lastColumn="0" w:oddVBand="0" w:evenVBand="0" w:oddHBand="0" w:evenHBand="1" w:firstRowFirstColumn="0" w:firstRowLastColumn="0" w:lastRowFirstColumn="0" w:lastRowLastColumn="0"/>
        </w:trPr>
        <w:tc>
          <w:tcPr>
            <w:tcW w:w="3964" w:type="dxa"/>
          </w:tcPr>
          <w:p w14:paraId="31BC0F57" w14:textId="77777777" w:rsidR="00692B8C" w:rsidRPr="003A681B" w:rsidRDefault="00692B8C" w:rsidP="009D1A3A">
            <w:pPr>
              <w:pStyle w:val="TableNum"/>
              <w:spacing w:line="240" w:lineRule="auto"/>
              <w:ind w:left="308" w:hanging="349"/>
            </w:pPr>
            <w:r>
              <w:t xml:space="preserve">No </w:t>
            </w:r>
            <w:r w:rsidRPr="003A681B">
              <w:t>mob</w:t>
            </w:r>
            <w:r>
              <w:t>ile phone use</w:t>
            </w:r>
          </w:p>
        </w:tc>
        <w:tc>
          <w:tcPr>
            <w:tcW w:w="1701" w:type="dxa"/>
          </w:tcPr>
          <w:p w14:paraId="16A53F12" w14:textId="77777777" w:rsidR="00692B8C" w:rsidRPr="003A681B" w:rsidRDefault="00692B8C" w:rsidP="009D1A3A">
            <w:pPr>
              <w:pStyle w:val="TableParagraph"/>
              <w:spacing w:before="40" w:after="40" w:line="240" w:lineRule="auto"/>
              <w:rPr>
                <w:sz w:val="17"/>
                <w:szCs w:val="17"/>
              </w:rPr>
            </w:pPr>
            <w:r>
              <w:rPr>
                <w:sz w:val="17"/>
                <w:szCs w:val="17"/>
              </w:rPr>
              <w:t>No handheld phone use during whole probationary period</w:t>
            </w:r>
          </w:p>
        </w:tc>
        <w:tc>
          <w:tcPr>
            <w:tcW w:w="1985" w:type="dxa"/>
          </w:tcPr>
          <w:p w14:paraId="5C714D6F" w14:textId="77777777" w:rsidR="00692B8C" w:rsidRPr="003A681B" w:rsidRDefault="00692B8C" w:rsidP="009D1A3A">
            <w:pPr>
              <w:pStyle w:val="TableParagraph"/>
              <w:spacing w:before="40" w:after="40" w:line="240" w:lineRule="auto"/>
              <w:rPr>
                <w:sz w:val="17"/>
                <w:szCs w:val="17"/>
              </w:rPr>
            </w:pPr>
            <w:r>
              <w:rPr>
                <w:sz w:val="17"/>
                <w:szCs w:val="17"/>
              </w:rPr>
              <w:t>No handheld phone use during whole probationary period &amp; no handsfree during P1</w:t>
            </w:r>
          </w:p>
        </w:tc>
        <w:tc>
          <w:tcPr>
            <w:tcW w:w="1843" w:type="dxa"/>
          </w:tcPr>
          <w:p w14:paraId="01B48880" w14:textId="77777777" w:rsidR="00692B8C" w:rsidRPr="00D51116" w:rsidRDefault="00692B8C" w:rsidP="009D1A3A">
            <w:pPr>
              <w:pStyle w:val="TableParagraph"/>
              <w:spacing w:before="40" w:after="40" w:line="240" w:lineRule="auto"/>
              <w:rPr>
                <w:sz w:val="17"/>
                <w:szCs w:val="17"/>
              </w:rPr>
            </w:pPr>
            <w:r>
              <w:rPr>
                <w:sz w:val="17"/>
                <w:szCs w:val="17"/>
              </w:rPr>
              <w:t>No handheld and handsfree phone use during whole probationary period</w:t>
            </w:r>
          </w:p>
        </w:tc>
      </w:tr>
      <w:tr w:rsidR="00692B8C" w:rsidRPr="003A681B" w14:paraId="52207DC9" w14:textId="77777777" w:rsidTr="000A435B">
        <w:tc>
          <w:tcPr>
            <w:tcW w:w="3964" w:type="dxa"/>
          </w:tcPr>
          <w:p w14:paraId="465144A5" w14:textId="77777777" w:rsidR="00692B8C" w:rsidRPr="003A681B" w:rsidRDefault="00692B8C" w:rsidP="009D1A3A">
            <w:pPr>
              <w:pStyle w:val="TableNum"/>
              <w:spacing w:line="240" w:lineRule="auto"/>
              <w:ind w:left="308" w:hanging="349"/>
            </w:pPr>
            <w:r>
              <w:t>Lower demerit points threshold</w:t>
            </w:r>
          </w:p>
        </w:tc>
        <w:tc>
          <w:tcPr>
            <w:tcW w:w="1701" w:type="dxa"/>
          </w:tcPr>
          <w:p w14:paraId="36C340BB" w14:textId="77777777" w:rsidR="00692B8C" w:rsidRPr="003A681B" w:rsidRDefault="00692B8C" w:rsidP="009D1A3A">
            <w:pPr>
              <w:pStyle w:val="TableParagraph"/>
              <w:spacing w:before="40" w:after="40" w:line="240" w:lineRule="auto"/>
              <w:rPr>
                <w:sz w:val="17"/>
                <w:szCs w:val="17"/>
              </w:rPr>
            </w:pPr>
            <w:r w:rsidRPr="003A681B">
              <w:rPr>
                <w:sz w:val="17"/>
                <w:szCs w:val="17"/>
              </w:rPr>
              <w:t>Yes</w:t>
            </w:r>
          </w:p>
        </w:tc>
        <w:tc>
          <w:tcPr>
            <w:tcW w:w="1985" w:type="dxa"/>
          </w:tcPr>
          <w:p w14:paraId="7B970578" w14:textId="77777777" w:rsidR="00692B8C" w:rsidRPr="003A681B" w:rsidRDefault="00692B8C" w:rsidP="009D1A3A">
            <w:pPr>
              <w:pStyle w:val="TableParagraph"/>
              <w:spacing w:before="40" w:after="40" w:line="240" w:lineRule="auto"/>
              <w:rPr>
                <w:sz w:val="17"/>
                <w:szCs w:val="17"/>
              </w:rPr>
            </w:pPr>
            <w:r w:rsidRPr="003A681B">
              <w:rPr>
                <w:sz w:val="17"/>
                <w:szCs w:val="17"/>
              </w:rPr>
              <w:t>Yes</w:t>
            </w:r>
          </w:p>
        </w:tc>
        <w:tc>
          <w:tcPr>
            <w:tcW w:w="1843" w:type="dxa"/>
          </w:tcPr>
          <w:p w14:paraId="6BB9CDFE" w14:textId="77777777" w:rsidR="00692B8C" w:rsidRPr="00D51116" w:rsidRDefault="00692B8C" w:rsidP="009D1A3A">
            <w:pPr>
              <w:pStyle w:val="TableParagraph"/>
              <w:spacing w:before="40" w:after="40" w:line="240" w:lineRule="auto"/>
              <w:rPr>
                <w:sz w:val="17"/>
                <w:szCs w:val="17"/>
              </w:rPr>
            </w:pPr>
            <w:r w:rsidRPr="00D51116">
              <w:rPr>
                <w:sz w:val="17"/>
                <w:szCs w:val="17"/>
              </w:rPr>
              <w:t>Yes</w:t>
            </w:r>
          </w:p>
        </w:tc>
      </w:tr>
      <w:tr w:rsidR="00692B8C" w:rsidRPr="003A681B" w14:paraId="1DACE4EB" w14:textId="77777777" w:rsidTr="000A435B">
        <w:trPr>
          <w:cnfStyle w:val="000000010000" w:firstRow="0" w:lastRow="0" w:firstColumn="0" w:lastColumn="0" w:oddVBand="0" w:evenVBand="0" w:oddHBand="0" w:evenHBand="1" w:firstRowFirstColumn="0" w:firstRowLastColumn="0" w:lastRowFirstColumn="0" w:lastRowLastColumn="0"/>
        </w:trPr>
        <w:tc>
          <w:tcPr>
            <w:tcW w:w="3964" w:type="dxa"/>
          </w:tcPr>
          <w:p w14:paraId="4386733E" w14:textId="77777777" w:rsidR="00692B8C" w:rsidRPr="003A681B" w:rsidRDefault="00692B8C" w:rsidP="009D1A3A">
            <w:pPr>
              <w:pStyle w:val="TableNum"/>
              <w:spacing w:line="240" w:lineRule="auto"/>
              <w:ind w:left="308" w:hanging="349"/>
            </w:pPr>
            <w:r w:rsidRPr="003A681B">
              <w:t>Number of hours of supervised driving that learners must complete and record in a log book</w:t>
            </w:r>
          </w:p>
        </w:tc>
        <w:tc>
          <w:tcPr>
            <w:tcW w:w="1701" w:type="dxa"/>
          </w:tcPr>
          <w:p w14:paraId="17FFE898" w14:textId="77777777" w:rsidR="00692B8C" w:rsidRPr="003A681B" w:rsidRDefault="00692B8C" w:rsidP="009D1A3A">
            <w:pPr>
              <w:pStyle w:val="TableParagraph"/>
              <w:spacing w:before="40" w:after="40" w:line="240" w:lineRule="auto"/>
              <w:rPr>
                <w:sz w:val="17"/>
                <w:szCs w:val="17"/>
              </w:rPr>
            </w:pPr>
            <w:r w:rsidRPr="003A681B">
              <w:rPr>
                <w:sz w:val="17"/>
                <w:szCs w:val="17"/>
              </w:rPr>
              <w:t>50 hours</w:t>
            </w:r>
          </w:p>
        </w:tc>
        <w:tc>
          <w:tcPr>
            <w:tcW w:w="1985" w:type="dxa"/>
          </w:tcPr>
          <w:p w14:paraId="4F8AC53E" w14:textId="77777777" w:rsidR="00692B8C" w:rsidRPr="003F143F" w:rsidRDefault="00692B8C" w:rsidP="009D1A3A">
            <w:pPr>
              <w:pStyle w:val="TableParagraph"/>
              <w:spacing w:before="40" w:after="40" w:line="240" w:lineRule="auto"/>
              <w:rPr>
                <w:sz w:val="17"/>
                <w:szCs w:val="17"/>
              </w:rPr>
            </w:pPr>
            <w:r w:rsidRPr="003F143F">
              <w:rPr>
                <w:sz w:val="17"/>
                <w:szCs w:val="17"/>
              </w:rPr>
              <w:t>80 to 100 hours incl</w:t>
            </w:r>
            <w:r>
              <w:rPr>
                <w:sz w:val="17"/>
                <w:szCs w:val="17"/>
              </w:rPr>
              <w:t>uding</w:t>
            </w:r>
            <w:r w:rsidRPr="003F143F">
              <w:rPr>
                <w:sz w:val="17"/>
                <w:szCs w:val="17"/>
              </w:rPr>
              <w:t xml:space="preserve"> 10 hours at night </w:t>
            </w:r>
          </w:p>
        </w:tc>
        <w:tc>
          <w:tcPr>
            <w:tcW w:w="1843" w:type="dxa"/>
          </w:tcPr>
          <w:p w14:paraId="19BDB3F1" w14:textId="77777777" w:rsidR="00692B8C" w:rsidRPr="003F143F" w:rsidRDefault="00692B8C" w:rsidP="009D1A3A">
            <w:pPr>
              <w:pStyle w:val="TableParagraph"/>
              <w:spacing w:before="40" w:after="40" w:line="240" w:lineRule="auto"/>
              <w:rPr>
                <w:sz w:val="17"/>
                <w:szCs w:val="17"/>
              </w:rPr>
            </w:pPr>
            <w:r w:rsidRPr="003F143F">
              <w:rPr>
                <w:sz w:val="17"/>
                <w:szCs w:val="17"/>
              </w:rPr>
              <w:t>100 to 120 hours incl</w:t>
            </w:r>
            <w:r>
              <w:rPr>
                <w:sz w:val="17"/>
                <w:szCs w:val="17"/>
              </w:rPr>
              <w:t>uding</w:t>
            </w:r>
            <w:r w:rsidRPr="003F143F">
              <w:rPr>
                <w:sz w:val="17"/>
                <w:szCs w:val="17"/>
              </w:rPr>
              <w:t xml:space="preserve"> 20 hours at night </w:t>
            </w:r>
          </w:p>
        </w:tc>
      </w:tr>
      <w:tr w:rsidR="00692B8C" w:rsidRPr="003A681B" w14:paraId="057C0B66" w14:textId="77777777" w:rsidTr="000A435B">
        <w:tc>
          <w:tcPr>
            <w:tcW w:w="3964" w:type="dxa"/>
          </w:tcPr>
          <w:p w14:paraId="0CD6BFF9" w14:textId="77777777" w:rsidR="00692B8C" w:rsidRPr="003A681B" w:rsidRDefault="00692B8C" w:rsidP="009D1A3A">
            <w:pPr>
              <w:pStyle w:val="TableNum"/>
              <w:spacing w:line="240" w:lineRule="auto"/>
              <w:ind w:left="308" w:hanging="349"/>
            </w:pPr>
            <w:r w:rsidRPr="003A681B">
              <w:t xml:space="preserve">Minimum age for driver licence </w:t>
            </w:r>
          </w:p>
        </w:tc>
        <w:tc>
          <w:tcPr>
            <w:tcW w:w="1701" w:type="dxa"/>
          </w:tcPr>
          <w:p w14:paraId="258F7A91" w14:textId="77777777" w:rsidR="00692B8C" w:rsidRPr="003A681B" w:rsidRDefault="00692B8C" w:rsidP="009D1A3A">
            <w:pPr>
              <w:pStyle w:val="TableParagraph"/>
              <w:spacing w:before="40" w:after="40" w:line="240" w:lineRule="auto"/>
              <w:rPr>
                <w:sz w:val="17"/>
                <w:szCs w:val="17"/>
              </w:rPr>
            </w:pPr>
            <w:r w:rsidRPr="003A681B">
              <w:rPr>
                <w:sz w:val="17"/>
                <w:szCs w:val="17"/>
              </w:rPr>
              <w:t>17 years</w:t>
            </w:r>
          </w:p>
        </w:tc>
        <w:tc>
          <w:tcPr>
            <w:tcW w:w="1985" w:type="dxa"/>
          </w:tcPr>
          <w:p w14:paraId="0C5DCE9E" w14:textId="77777777" w:rsidR="00692B8C" w:rsidRPr="003F143F" w:rsidRDefault="00692B8C" w:rsidP="009D1A3A">
            <w:pPr>
              <w:pStyle w:val="TableParagraph"/>
              <w:spacing w:before="40" w:after="40" w:line="240" w:lineRule="auto"/>
              <w:rPr>
                <w:sz w:val="17"/>
                <w:szCs w:val="17"/>
              </w:rPr>
            </w:pPr>
            <w:r w:rsidRPr="003F143F">
              <w:rPr>
                <w:sz w:val="17"/>
                <w:szCs w:val="17"/>
              </w:rPr>
              <w:t>17 years</w:t>
            </w:r>
          </w:p>
        </w:tc>
        <w:tc>
          <w:tcPr>
            <w:tcW w:w="1843" w:type="dxa"/>
          </w:tcPr>
          <w:p w14:paraId="05CC30E2" w14:textId="77777777" w:rsidR="00692B8C" w:rsidRPr="003F143F" w:rsidRDefault="00692B8C" w:rsidP="009D1A3A">
            <w:pPr>
              <w:pStyle w:val="TableParagraph"/>
              <w:spacing w:before="40" w:after="40" w:line="240" w:lineRule="auto"/>
              <w:rPr>
                <w:sz w:val="17"/>
                <w:szCs w:val="17"/>
              </w:rPr>
            </w:pPr>
            <w:r w:rsidRPr="003F143F">
              <w:rPr>
                <w:sz w:val="17"/>
                <w:szCs w:val="17"/>
              </w:rPr>
              <w:t>18 years</w:t>
            </w:r>
          </w:p>
        </w:tc>
      </w:tr>
      <w:tr w:rsidR="00692B8C" w:rsidRPr="003A681B" w14:paraId="38B0D010" w14:textId="77777777" w:rsidTr="000A435B">
        <w:trPr>
          <w:cnfStyle w:val="000000010000" w:firstRow="0" w:lastRow="0" w:firstColumn="0" w:lastColumn="0" w:oddVBand="0" w:evenVBand="0" w:oddHBand="0" w:evenHBand="1" w:firstRowFirstColumn="0" w:firstRowLastColumn="0" w:lastRowFirstColumn="0" w:lastRowLastColumn="0"/>
        </w:trPr>
        <w:tc>
          <w:tcPr>
            <w:tcW w:w="3964" w:type="dxa"/>
          </w:tcPr>
          <w:p w14:paraId="02CDEB80" w14:textId="77777777" w:rsidR="00692B8C" w:rsidRPr="003A681B" w:rsidRDefault="00692B8C" w:rsidP="009D1A3A">
            <w:pPr>
              <w:pStyle w:val="TableNum"/>
              <w:spacing w:line="240" w:lineRule="auto"/>
              <w:ind w:left="308" w:hanging="349"/>
            </w:pPr>
            <w:r>
              <w:t>P</w:t>
            </w:r>
            <w:r w:rsidRPr="003A681B">
              <w:t>robationary period</w:t>
            </w:r>
            <w:r>
              <w:t xml:space="preserve"> duration</w:t>
            </w:r>
          </w:p>
        </w:tc>
        <w:tc>
          <w:tcPr>
            <w:tcW w:w="1701" w:type="dxa"/>
          </w:tcPr>
          <w:p w14:paraId="30D03DC1" w14:textId="77777777" w:rsidR="00692B8C" w:rsidRPr="003A681B" w:rsidRDefault="00692B8C" w:rsidP="009D1A3A">
            <w:pPr>
              <w:pStyle w:val="TableParagraph"/>
              <w:spacing w:before="40" w:after="40" w:line="240" w:lineRule="auto"/>
              <w:rPr>
                <w:sz w:val="17"/>
                <w:szCs w:val="17"/>
              </w:rPr>
            </w:pPr>
            <w:r w:rsidRPr="003A681B">
              <w:rPr>
                <w:sz w:val="17"/>
                <w:szCs w:val="17"/>
              </w:rPr>
              <w:t>not specified</w:t>
            </w:r>
          </w:p>
        </w:tc>
        <w:tc>
          <w:tcPr>
            <w:tcW w:w="1985" w:type="dxa"/>
          </w:tcPr>
          <w:p w14:paraId="3FDDEE0E" w14:textId="77777777" w:rsidR="00692B8C" w:rsidRPr="003F143F" w:rsidRDefault="00692B8C" w:rsidP="009D1A3A">
            <w:pPr>
              <w:pStyle w:val="TableParagraph"/>
              <w:spacing w:before="40" w:after="40" w:line="240" w:lineRule="auto"/>
              <w:rPr>
                <w:sz w:val="17"/>
                <w:szCs w:val="17"/>
              </w:rPr>
            </w:pPr>
            <w:r w:rsidRPr="003F143F">
              <w:rPr>
                <w:sz w:val="17"/>
                <w:szCs w:val="17"/>
              </w:rPr>
              <w:t xml:space="preserve">3 years </w:t>
            </w:r>
            <w:r w:rsidRPr="003F143F">
              <w:rPr>
                <w:sz w:val="17"/>
                <w:szCs w:val="17"/>
              </w:rPr>
              <w:br/>
              <w:t>(1 year for P1 and 2 years for P2)</w:t>
            </w:r>
          </w:p>
        </w:tc>
        <w:tc>
          <w:tcPr>
            <w:tcW w:w="1843" w:type="dxa"/>
          </w:tcPr>
          <w:p w14:paraId="400270DE" w14:textId="77777777" w:rsidR="00692B8C" w:rsidRPr="003F143F" w:rsidRDefault="00692B8C" w:rsidP="009D1A3A">
            <w:pPr>
              <w:pStyle w:val="TableParagraph"/>
              <w:spacing w:before="40" w:after="40" w:line="240" w:lineRule="auto"/>
              <w:rPr>
                <w:sz w:val="17"/>
                <w:szCs w:val="17"/>
              </w:rPr>
            </w:pPr>
            <w:r w:rsidRPr="003F143F">
              <w:rPr>
                <w:sz w:val="17"/>
                <w:szCs w:val="17"/>
              </w:rPr>
              <w:t xml:space="preserve">4 years </w:t>
            </w:r>
            <w:r w:rsidRPr="003F143F">
              <w:rPr>
                <w:sz w:val="17"/>
                <w:szCs w:val="17"/>
              </w:rPr>
              <w:br/>
              <w:t>(1 year for P1 and 3 years for P2)</w:t>
            </w:r>
          </w:p>
        </w:tc>
      </w:tr>
      <w:tr w:rsidR="00692B8C" w:rsidRPr="003A681B" w14:paraId="13981B6B" w14:textId="77777777" w:rsidTr="000A435B">
        <w:tc>
          <w:tcPr>
            <w:tcW w:w="3964" w:type="dxa"/>
          </w:tcPr>
          <w:p w14:paraId="722AC05D" w14:textId="77777777" w:rsidR="00692B8C" w:rsidRPr="003A681B" w:rsidRDefault="00692B8C" w:rsidP="009D1A3A">
            <w:pPr>
              <w:pStyle w:val="TableNum"/>
              <w:spacing w:line="240" w:lineRule="auto"/>
              <w:ind w:left="308" w:hanging="349"/>
            </w:pPr>
            <w:r w:rsidRPr="003A681B">
              <w:t xml:space="preserve">No carrying of multiple passengers by P1 drivers </w:t>
            </w:r>
          </w:p>
        </w:tc>
        <w:tc>
          <w:tcPr>
            <w:tcW w:w="1701" w:type="dxa"/>
          </w:tcPr>
          <w:p w14:paraId="6D22A5B8" w14:textId="77777777" w:rsidR="00692B8C" w:rsidRPr="003A681B" w:rsidRDefault="00692B8C" w:rsidP="009D1A3A">
            <w:pPr>
              <w:pStyle w:val="TableParagraph"/>
              <w:spacing w:before="40" w:after="40" w:line="240" w:lineRule="auto"/>
              <w:rPr>
                <w:sz w:val="17"/>
                <w:szCs w:val="17"/>
              </w:rPr>
            </w:pPr>
            <w:r w:rsidRPr="003A681B">
              <w:rPr>
                <w:sz w:val="17"/>
                <w:szCs w:val="17"/>
              </w:rPr>
              <w:t>Not required</w:t>
            </w:r>
          </w:p>
        </w:tc>
        <w:tc>
          <w:tcPr>
            <w:tcW w:w="1985" w:type="dxa"/>
          </w:tcPr>
          <w:p w14:paraId="653C8073" w14:textId="77777777" w:rsidR="00692B8C" w:rsidRPr="003F143F" w:rsidRDefault="00692B8C" w:rsidP="009D1A3A">
            <w:pPr>
              <w:pStyle w:val="TableParagraph"/>
              <w:spacing w:before="40" w:after="40" w:line="240" w:lineRule="auto"/>
              <w:rPr>
                <w:sz w:val="17"/>
                <w:szCs w:val="17"/>
              </w:rPr>
            </w:pPr>
            <w:r w:rsidRPr="003F143F">
              <w:rPr>
                <w:sz w:val="17"/>
                <w:szCs w:val="17"/>
              </w:rPr>
              <w:t>Only one passenger at night (preferably at all times)</w:t>
            </w:r>
          </w:p>
        </w:tc>
        <w:tc>
          <w:tcPr>
            <w:tcW w:w="1843" w:type="dxa"/>
          </w:tcPr>
          <w:p w14:paraId="5D189850" w14:textId="77777777" w:rsidR="00692B8C" w:rsidRPr="003F143F" w:rsidRDefault="00692B8C" w:rsidP="009D1A3A">
            <w:pPr>
              <w:pStyle w:val="TableParagraph"/>
              <w:spacing w:before="40" w:after="40" w:line="240" w:lineRule="auto"/>
              <w:rPr>
                <w:sz w:val="17"/>
                <w:szCs w:val="17"/>
              </w:rPr>
            </w:pPr>
            <w:r w:rsidRPr="003F143F">
              <w:rPr>
                <w:sz w:val="17"/>
                <w:szCs w:val="17"/>
              </w:rPr>
              <w:t>Only one peer aged passenger at all times</w:t>
            </w:r>
          </w:p>
        </w:tc>
      </w:tr>
      <w:tr w:rsidR="00692B8C" w:rsidRPr="003A681B" w14:paraId="2ECB0A3D" w14:textId="77777777" w:rsidTr="000A435B">
        <w:trPr>
          <w:cnfStyle w:val="000000010000" w:firstRow="0" w:lastRow="0" w:firstColumn="0" w:lastColumn="0" w:oddVBand="0" w:evenVBand="0" w:oddHBand="0" w:evenHBand="1" w:firstRowFirstColumn="0" w:firstRowLastColumn="0" w:lastRowFirstColumn="0" w:lastRowLastColumn="0"/>
        </w:trPr>
        <w:tc>
          <w:tcPr>
            <w:tcW w:w="3964" w:type="dxa"/>
          </w:tcPr>
          <w:p w14:paraId="4D608FFE" w14:textId="77777777" w:rsidR="00692B8C" w:rsidRPr="003A681B" w:rsidRDefault="00692B8C" w:rsidP="009D1A3A">
            <w:pPr>
              <w:pStyle w:val="TableNum"/>
              <w:spacing w:line="240" w:lineRule="auto"/>
              <w:ind w:left="308" w:hanging="349"/>
            </w:pPr>
            <w:r w:rsidRPr="003A681B">
              <w:t xml:space="preserve">No late-night driving </w:t>
            </w:r>
            <w:r>
              <w:t>by</w:t>
            </w:r>
            <w:r w:rsidRPr="003A681B">
              <w:t xml:space="preserve"> P1 drivers</w:t>
            </w:r>
          </w:p>
        </w:tc>
        <w:tc>
          <w:tcPr>
            <w:tcW w:w="1701" w:type="dxa"/>
          </w:tcPr>
          <w:p w14:paraId="0C80DEFD" w14:textId="77777777" w:rsidR="00692B8C" w:rsidRPr="003A681B" w:rsidRDefault="00692B8C" w:rsidP="009D1A3A">
            <w:pPr>
              <w:pStyle w:val="TableParagraph"/>
              <w:spacing w:before="40" w:after="40" w:line="240" w:lineRule="auto"/>
              <w:rPr>
                <w:sz w:val="17"/>
                <w:szCs w:val="17"/>
              </w:rPr>
            </w:pPr>
            <w:r w:rsidRPr="003A681B">
              <w:rPr>
                <w:sz w:val="17"/>
                <w:szCs w:val="17"/>
              </w:rPr>
              <w:t>Not required</w:t>
            </w:r>
          </w:p>
        </w:tc>
        <w:tc>
          <w:tcPr>
            <w:tcW w:w="1985" w:type="dxa"/>
          </w:tcPr>
          <w:p w14:paraId="46F74FF9" w14:textId="77777777" w:rsidR="00692B8C" w:rsidRPr="003F143F" w:rsidRDefault="00692B8C" w:rsidP="009D1A3A">
            <w:pPr>
              <w:pStyle w:val="TableParagraph"/>
              <w:spacing w:before="40" w:after="40" w:line="240" w:lineRule="auto"/>
              <w:rPr>
                <w:sz w:val="17"/>
                <w:szCs w:val="17"/>
              </w:rPr>
            </w:pPr>
            <w:r w:rsidRPr="003F143F">
              <w:rPr>
                <w:sz w:val="17"/>
                <w:szCs w:val="17"/>
              </w:rPr>
              <w:t>Not required</w:t>
            </w:r>
          </w:p>
        </w:tc>
        <w:tc>
          <w:tcPr>
            <w:tcW w:w="1843" w:type="dxa"/>
          </w:tcPr>
          <w:p w14:paraId="18C3E8EA" w14:textId="77777777" w:rsidR="00692B8C" w:rsidRPr="003F143F" w:rsidRDefault="00692B8C" w:rsidP="009D1A3A">
            <w:pPr>
              <w:pStyle w:val="TableParagraph"/>
              <w:spacing w:before="40" w:after="40" w:line="240" w:lineRule="auto"/>
              <w:rPr>
                <w:sz w:val="17"/>
                <w:szCs w:val="17"/>
              </w:rPr>
            </w:pPr>
            <w:r w:rsidRPr="003F143F">
              <w:rPr>
                <w:sz w:val="17"/>
                <w:szCs w:val="17"/>
              </w:rPr>
              <w:t>Required</w:t>
            </w:r>
          </w:p>
        </w:tc>
      </w:tr>
    </w:tbl>
    <w:p w14:paraId="3E548699" w14:textId="2B9292DA" w:rsidR="00122C1B" w:rsidRDefault="000A7B01" w:rsidP="00CA61D8">
      <w:pPr>
        <w:pStyle w:val="TextPara"/>
        <w:rPr>
          <w:rFonts w:cs="Segoe UI"/>
        </w:rPr>
      </w:pPr>
      <w:r>
        <w:rPr>
          <w:rFonts w:cs="Segoe UI"/>
        </w:rPr>
        <w:lastRenderedPageBreak/>
        <w:t>I</w:t>
      </w:r>
      <w:r w:rsidR="00122C1B" w:rsidRPr="00766776">
        <w:rPr>
          <w:rFonts w:cs="Segoe UI"/>
        </w:rPr>
        <w:t xml:space="preserve">n view of the 2017 Victorian GLS review’s </w:t>
      </w:r>
      <w:r>
        <w:rPr>
          <w:rFonts w:cs="Segoe UI"/>
        </w:rPr>
        <w:t>endorsement</w:t>
      </w:r>
      <w:r w:rsidR="00122C1B" w:rsidRPr="00766776">
        <w:rPr>
          <w:rFonts w:cs="Segoe UI"/>
        </w:rPr>
        <w:t xml:space="preserve"> of the current model,</w:t>
      </w:r>
      <w:r w:rsidR="00122C1B" w:rsidRPr="00576DF5">
        <w:rPr>
          <w:rFonts w:cs="Segoe UI"/>
          <w:vertAlign w:val="superscript"/>
        </w:rPr>
        <w:endnoteReference w:id="8"/>
      </w:r>
      <w:r>
        <w:rPr>
          <w:rFonts w:cs="Segoe UI"/>
        </w:rPr>
        <w:t xml:space="preserve"> </w:t>
      </w:r>
      <w:r w:rsidR="000C33B0">
        <w:rPr>
          <w:rFonts w:cs="Segoe UI"/>
        </w:rPr>
        <w:t>DoT</w:t>
      </w:r>
      <w:r w:rsidR="00122C1B" w:rsidRPr="00766776">
        <w:rPr>
          <w:rFonts w:cs="Segoe UI"/>
        </w:rPr>
        <w:t xml:space="preserve"> </w:t>
      </w:r>
      <w:r w:rsidR="007C48B5">
        <w:rPr>
          <w:rFonts w:cs="Segoe UI"/>
        </w:rPr>
        <w:t>proposes to</w:t>
      </w:r>
      <w:r w:rsidR="00122C1B" w:rsidRPr="00766776">
        <w:rPr>
          <w:rFonts w:cs="Segoe UI"/>
        </w:rPr>
        <w:t xml:space="preserve"> </w:t>
      </w:r>
      <w:r w:rsidR="007C48B5">
        <w:rPr>
          <w:rFonts w:cs="Segoe UI"/>
        </w:rPr>
        <w:t xml:space="preserve">retain </w:t>
      </w:r>
      <w:r w:rsidR="00122C1B" w:rsidRPr="00766776">
        <w:rPr>
          <w:rFonts w:cs="Segoe UI"/>
        </w:rPr>
        <w:t xml:space="preserve">the existing Victorian GLS </w:t>
      </w:r>
      <w:r w:rsidR="00941246">
        <w:rPr>
          <w:rFonts w:cs="Segoe UI"/>
        </w:rPr>
        <w:t>a</w:t>
      </w:r>
      <w:r w:rsidR="00122C1B" w:rsidRPr="00766776">
        <w:rPr>
          <w:rFonts w:cs="Segoe UI"/>
        </w:rPr>
        <w:t xml:space="preserve">s the preferred </w:t>
      </w:r>
      <w:r w:rsidR="00941246">
        <w:rPr>
          <w:rFonts w:cs="Segoe UI"/>
        </w:rPr>
        <w:t>model</w:t>
      </w:r>
      <w:r w:rsidR="00122C1B" w:rsidRPr="00766776">
        <w:rPr>
          <w:rFonts w:cs="Segoe UI"/>
        </w:rPr>
        <w:t xml:space="preserve">. </w:t>
      </w:r>
      <w:r w:rsidR="00D81936">
        <w:rPr>
          <w:rFonts w:cs="Segoe UI"/>
        </w:rPr>
        <w:t xml:space="preserve">The </w:t>
      </w:r>
      <w:r w:rsidR="00413729">
        <w:rPr>
          <w:rFonts w:cs="Segoe UI"/>
        </w:rPr>
        <w:t xml:space="preserve">review confirmed that </w:t>
      </w:r>
      <w:r w:rsidR="00122C1B" w:rsidRPr="00766776">
        <w:rPr>
          <w:rFonts w:cs="Segoe UI"/>
        </w:rPr>
        <w:t xml:space="preserve">the evidence shows that the national GLS Exemplar </w:t>
      </w:r>
      <w:r w:rsidR="00413729">
        <w:rPr>
          <w:rFonts w:cs="Segoe UI"/>
        </w:rPr>
        <w:t>stage</w:t>
      </w:r>
      <w:r w:rsidR="00122C1B" w:rsidRPr="00766776">
        <w:rPr>
          <w:rFonts w:cs="Segoe UI"/>
        </w:rPr>
        <w:t>, as implemented in Victoria</w:t>
      </w:r>
      <w:r w:rsidR="0054630B">
        <w:rPr>
          <w:rFonts w:cs="Segoe UI"/>
        </w:rPr>
        <w:t xml:space="preserve"> with the exception of late</w:t>
      </w:r>
      <w:r w:rsidR="00A30669">
        <w:rPr>
          <w:rFonts w:cs="Segoe UI"/>
        </w:rPr>
        <w:t>-</w:t>
      </w:r>
      <w:r w:rsidR="0054630B">
        <w:rPr>
          <w:rFonts w:cs="Segoe UI"/>
        </w:rPr>
        <w:t>night driving restriction</w:t>
      </w:r>
      <w:r w:rsidR="00C730D5">
        <w:rPr>
          <w:rFonts w:cs="Segoe UI"/>
        </w:rPr>
        <w:t>s</w:t>
      </w:r>
      <w:r w:rsidR="0054630B">
        <w:rPr>
          <w:rFonts w:cs="Segoe UI"/>
        </w:rPr>
        <w:t xml:space="preserve"> for P1</w:t>
      </w:r>
      <w:r w:rsidR="00122C1B" w:rsidRPr="00766776">
        <w:rPr>
          <w:rFonts w:cs="Segoe UI"/>
        </w:rPr>
        <w:t xml:space="preserve">, is working effectively. Accordingly, </w:t>
      </w:r>
      <w:r w:rsidR="00D81936" w:rsidRPr="00766776">
        <w:rPr>
          <w:rFonts w:cs="Segoe UI"/>
        </w:rPr>
        <w:t xml:space="preserve">the proposed Regulations </w:t>
      </w:r>
      <w:r w:rsidR="00BF45BE">
        <w:rPr>
          <w:rFonts w:cs="Segoe UI"/>
        </w:rPr>
        <w:t>do not include any</w:t>
      </w:r>
      <w:r w:rsidR="00122C1B" w:rsidRPr="00766776">
        <w:rPr>
          <w:rFonts w:cs="Segoe UI"/>
        </w:rPr>
        <w:t xml:space="preserve"> changes to the </w:t>
      </w:r>
      <w:r w:rsidR="00BF45BE">
        <w:rPr>
          <w:rFonts w:cs="Segoe UI"/>
        </w:rPr>
        <w:t xml:space="preserve">current GLS package of </w:t>
      </w:r>
      <w:r w:rsidR="00BF45BE">
        <w:t>road safety risk countermeasures</w:t>
      </w:r>
      <w:r w:rsidR="00122C1B" w:rsidRPr="00766776">
        <w:rPr>
          <w:rFonts w:cs="Segoe UI"/>
        </w:rPr>
        <w:t xml:space="preserve">. </w:t>
      </w:r>
    </w:p>
    <w:p w14:paraId="4BBC7D83" w14:textId="77777777" w:rsidR="00D648B4" w:rsidRPr="00766776" w:rsidRDefault="00D648B4" w:rsidP="00CA61D8">
      <w:pPr>
        <w:pStyle w:val="TextPara"/>
        <w:rPr>
          <w:rFonts w:cs="Segoe UI"/>
        </w:rPr>
      </w:pPr>
      <w:r>
        <w:rPr>
          <w:rFonts w:cs="Segoe UI"/>
        </w:rPr>
        <w:t xml:space="preserve">For M-GLS, no </w:t>
      </w:r>
      <w:r w:rsidR="00485FE2">
        <w:rPr>
          <w:rFonts w:cs="Segoe UI"/>
        </w:rPr>
        <w:t xml:space="preserve">alternative options other than the current arrangements have been considered. </w:t>
      </w:r>
      <w:r w:rsidR="00C0375B">
        <w:rPr>
          <w:rFonts w:cs="Segoe UI"/>
        </w:rPr>
        <w:t xml:space="preserve">As it </w:t>
      </w:r>
      <w:r w:rsidR="00F9354E">
        <w:rPr>
          <w:rFonts w:cs="Segoe UI"/>
        </w:rPr>
        <w:t>was last enhanced in 2016</w:t>
      </w:r>
      <w:r w:rsidR="00C0375B">
        <w:rPr>
          <w:rFonts w:cs="Segoe UI"/>
        </w:rPr>
        <w:t>,</w:t>
      </w:r>
      <w:r w:rsidR="00F9354E">
        <w:rPr>
          <w:rFonts w:cs="Segoe UI"/>
        </w:rPr>
        <w:t xml:space="preserve"> it </w:t>
      </w:r>
      <w:r w:rsidR="004D22BF">
        <w:rPr>
          <w:rFonts w:cs="Segoe UI"/>
        </w:rPr>
        <w:t>is t</w:t>
      </w:r>
      <w:r w:rsidR="00FE7ED0">
        <w:rPr>
          <w:rFonts w:cs="Segoe UI"/>
        </w:rPr>
        <w:t>o</w:t>
      </w:r>
      <w:r w:rsidR="004D22BF">
        <w:rPr>
          <w:rFonts w:cs="Segoe UI"/>
        </w:rPr>
        <w:t xml:space="preserve">o early to determine which features of the current model are </w:t>
      </w:r>
      <w:r w:rsidR="00C0375B">
        <w:rPr>
          <w:rFonts w:cs="Segoe UI"/>
        </w:rPr>
        <w:t xml:space="preserve">having the intended effect </w:t>
      </w:r>
      <w:r w:rsidR="004D22BF">
        <w:rPr>
          <w:rFonts w:cs="Segoe UI"/>
        </w:rPr>
        <w:t>and which require</w:t>
      </w:r>
      <w:r w:rsidR="00A17C03">
        <w:rPr>
          <w:rFonts w:cs="Segoe UI"/>
        </w:rPr>
        <w:t xml:space="preserve"> further</w:t>
      </w:r>
      <w:r w:rsidR="004D22BF">
        <w:rPr>
          <w:rFonts w:cs="Segoe UI"/>
        </w:rPr>
        <w:t xml:space="preserve"> finetuning. It </w:t>
      </w:r>
      <w:r w:rsidR="00F9354E">
        <w:rPr>
          <w:rFonts w:cs="Segoe UI"/>
        </w:rPr>
        <w:t>would be premature to consider alternatives to the current arrangements</w:t>
      </w:r>
      <w:r w:rsidR="00BE3855">
        <w:rPr>
          <w:rFonts w:cs="Segoe UI"/>
        </w:rPr>
        <w:t xml:space="preserve"> </w:t>
      </w:r>
      <w:r w:rsidR="004D22BF">
        <w:rPr>
          <w:rFonts w:cs="Segoe UI"/>
        </w:rPr>
        <w:t xml:space="preserve">until a review of the effectiveness of the 2016 enhancements is conducted in a few </w:t>
      </w:r>
      <w:r w:rsidR="008F52BC">
        <w:rPr>
          <w:rFonts w:cs="Segoe UI"/>
        </w:rPr>
        <w:t>years’ time</w:t>
      </w:r>
      <w:r w:rsidR="004D22BF">
        <w:rPr>
          <w:rFonts w:cs="Segoe UI"/>
        </w:rPr>
        <w:t xml:space="preserve"> when </w:t>
      </w:r>
      <w:r w:rsidR="00A17C03">
        <w:rPr>
          <w:rFonts w:cs="Segoe UI"/>
        </w:rPr>
        <w:t>a statistically significant dataset</w:t>
      </w:r>
      <w:r w:rsidR="004D22BF">
        <w:rPr>
          <w:rFonts w:cs="Segoe UI"/>
        </w:rPr>
        <w:t xml:space="preserve"> </w:t>
      </w:r>
      <w:r w:rsidR="00A17C03">
        <w:rPr>
          <w:rFonts w:cs="Segoe UI"/>
        </w:rPr>
        <w:t>on the graduates of this scheme</w:t>
      </w:r>
      <w:r w:rsidR="004D22BF">
        <w:rPr>
          <w:rFonts w:cs="Segoe UI"/>
        </w:rPr>
        <w:t xml:space="preserve"> is available for the review.</w:t>
      </w:r>
      <w:r w:rsidR="00485FE2">
        <w:rPr>
          <w:rFonts w:cs="Segoe UI"/>
        </w:rPr>
        <w:t xml:space="preserve"> Accordingly, the preferred approach is to maintain the current arrangements</w:t>
      </w:r>
      <w:r w:rsidR="00FE7ED0">
        <w:rPr>
          <w:rFonts w:cs="Segoe UI"/>
        </w:rPr>
        <w:t>,</w:t>
      </w:r>
    </w:p>
    <w:p w14:paraId="1927F3F1" w14:textId="77777777" w:rsidR="00122C1B" w:rsidRDefault="00122C1B" w:rsidP="00D63DF4">
      <w:pPr>
        <w:pStyle w:val="TextPara"/>
      </w:pPr>
      <w:r>
        <w:t xml:space="preserve">A change is, however, proposed </w:t>
      </w:r>
      <w:r w:rsidR="00BF45BE">
        <w:t xml:space="preserve">to be made in the proposed Regulations </w:t>
      </w:r>
      <w:r>
        <w:t xml:space="preserve">in relation to </w:t>
      </w:r>
      <w:r w:rsidRPr="00DB4C8E">
        <w:rPr>
          <w:i/>
        </w:rPr>
        <w:t xml:space="preserve">the </w:t>
      </w:r>
      <w:bookmarkStart w:id="18" w:name="_Hlk522543188"/>
      <w:r w:rsidRPr="00DB4C8E">
        <w:rPr>
          <w:i/>
        </w:rPr>
        <w:t>recognition of driver licences issued by other Australian jurisdictions or overseas</w:t>
      </w:r>
      <w:bookmarkEnd w:id="18"/>
      <w:r>
        <w:t xml:space="preserve">. Having considered five alternative options, </w:t>
      </w:r>
      <w:r w:rsidR="000C33B0">
        <w:t>DoT</w:t>
      </w:r>
      <w:r>
        <w:t xml:space="preserve"> determined that the preferred option is to </w:t>
      </w:r>
      <w:r w:rsidRPr="008F68D4">
        <w:t xml:space="preserve">set </w:t>
      </w:r>
      <w:r>
        <w:t>the same</w:t>
      </w:r>
      <w:r w:rsidRPr="008F68D4">
        <w:t xml:space="preserve"> </w:t>
      </w:r>
      <w:r>
        <w:t>authorisation</w:t>
      </w:r>
      <w:r w:rsidRPr="008F68D4">
        <w:t xml:space="preserve"> period of six months </w:t>
      </w:r>
      <w:r>
        <w:t>for</w:t>
      </w:r>
      <w:r w:rsidRPr="008F68D4">
        <w:t xml:space="preserve"> all groups of drivers</w:t>
      </w:r>
      <w:r>
        <w:t>,</w:t>
      </w:r>
      <w:r w:rsidRPr="008F68D4">
        <w:t xml:space="preserve"> </w:t>
      </w:r>
      <w:r>
        <w:t xml:space="preserve">who become residents in </w:t>
      </w:r>
      <w:r w:rsidRPr="008F68D4">
        <w:t>Victoria</w:t>
      </w:r>
      <w:r>
        <w:t xml:space="preserve">. They </w:t>
      </w:r>
      <w:r w:rsidR="009A0C13">
        <w:t>would be</w:t>
      </w:r>
      <w:r>
        <w:t xml:space="preserve"> permitted to drive with their valid interstate or overseas licence </w:t>
      </w:r>
      <w:r w:rsidR="008A428D">
        <w:t>during the authorisation period</w:t>
      </w:r>
      <w:r w:rsidRPr="008F68D4">
        <w:t xml:space="preserve">. At the end of this period, overseas and interstate drivers </w:t>
      </w:r>
      <w:r>
        <w:t>must convert to a Victorian licence as they l</w:t>
      </w:r>
      <w:r w:rsidRPr="008F68D4">
        <w:t xml:space="preserve">ose their </w:t>
      </w:r>
      <w:r>
        <w:t>authorisation</w:t>
      </w:r>
      <w:r w:rsidRPr="008F68D4">
        <w:t xml:space="preserve"> to drive with their interstate or overseas licence.</w:t>
      </w:r>
    </w:p>
    <w:p w14:paraId="2CC626DD" w14:textId="77777777" w:rsidR="00A7343C" w:rsidRPr="00117C96" w:rsidRDefault="00A7343C" w:rsidP="00C76943">
      <w:pPr>
        <w:pStyle w:val="TextPara"/>
        <w:rPr>
          <w:rFonts w:cs="Segoe UI"/>
        </w:rPr>
      </w:pPr>
      <w:r>
        <w:rPr>
          <w:rFonts w:cs="Segoe UI"/>
        </w:rPr>
        <w:t xml:space="preserve">Under the proposed measures, </w:t>
      </w:r>
      <w:r w:rsidRPr="00117C96">
        <w:rPr>
          <w:rFonts w:cs="Segoe UI"/>
        </w:rPr>
        <w:t xml:space="preserve">temporary visa holders, who expect to remain resident </w:t>
      </w:r>
      <w:r>
        <w:rPr>
          <w:rFonts w:cs="Segoe UI"/>
        </w:rPr>
        <w:t>in Victoria for more than six</w:t>
      </w:r>
      <w:r w:rsidRPr="00117C96">
        <w:rPr>
          <w:rFonts w:cs="Segoe UI"/>
        </w:rPr>
        <w:t xml:space="preserve"> months after the commencement date of the proposed Regulations, would be required to convert their overseas licence to a Victorian licence. </w:t>
      </w:r>
      <w:r w:rsidR="009F2AB1">
        <w:rPr>
          <w:rFonts w:cs="Segoe UI"/>
        </w:rPr>
        <w:t>Currently these drivers are not required to convert their overseas licence and may continue to drive in Victoria indefinitely with a valid overseas driver licence.</w:t>
      </w:r>
      <w:r w:rsidR="009F2AB1" w:rsidRPr="009F2AB1">
        <w:rPr>
          <w:rFonts w:cs="Segoe UI"/>
        </w:rPr>
        <w:t xml:space="preserve"> </w:t>
      </w:r>
      <w:r w:rsidR="009F2AB1" w:rsidRPr="00117C96">
        <w:rPr>
          <w:rFonts w:cs="Segoe UI"/>
        </w:rPr>
        <w:t>Victorian residency w</w:t>
      </w:r>
      <w:r w:rsidR="009F2AB1">
        <w:rPr>
          <w:rFonts w:cs="Segoe UI"/>
        </w:rPr>
        <w:t>ould</w:t>
      </w:r>
      <w:r w:rsidR="009F2AB1" w:rsidRPr="00117C96">
        <w:rPr>
          <w:rFonts w:cs="Segoe UI"/>
        </w:rPr>
        <w:t xml:space="preserve"> be the determining factor.</w:t>
      </w:r>
      <w:r w:rsidR="009F2AB1">
        <w:rPr>
          <w:rFonts w:cs="Segoe UI"/>
        </w:rPr>
        <w:t xml:space="preserve"> </w:t>
      </w:r>
      <w:r>
        <w:rPr>
          <w:rFonts w:cs="Segoe UI"/>
        </w:rPr>
        <w:t>T</w:t>
      </w:r>
      <w:r w:rsidRPr="00117C96">
        <w:rPr>
          <w:rFonts w:cs="Segoe UI"/>
        </w:rPr>
        <w:t xml:space="preserve">he residential period would commence from arrival in Victoria and establishment within the community. </w:t>
      </w:r>
      <w:r>
        <w:rPr>
          <w:rFonts w:cs="Segoe UI"/>
        </w:rPr>
        <w:t>The latter would include such things as taking out a</w:t>
      </w:r>
      <w:r w:rsidRPr="00117C96">
        <w:rPr>
          <w:rFonts w:cs="Segoe UI"/>
        </w:rPr>
        <w:t xml:space="preserve"> lease, rental agreement or ownership of a property, enrolment in an education institution, </w:t>
      </w:r>
      <w:r>
        <w:rPr>
          <w:rFonts w:cs="Segoe UI"/>
        </w:rPr>
        <w:t>contracting</w:t>
      </w:r>
      <w:r w:rsidRPr="00117C96">
        <w:rPr>
          <w:rFonts w:cs="Segoe UI"/>
        </w:rPr>
        <w:t xml:space="preserve"> utilities</w:t>
      </w:r>
      <w:r>
        <w:rPr>
          <w:rFonts w:cs="Segoe UI"/>
        </w:rPr>
        <w:t xml:space="preserve"> services,</w:t>
      </w:r>
      <w:r w:rsidRPr="00117C96">
        <w:rPr>
          <w:rFonts w:cs="Segoe UI"/>
        </w:rPr>
        <w:t xml:space="preserve"> </w:t>
      </w:r>
      <w:r>
        <w:rPr>
          <w:rFonts w:cs="Segoe UI"/>
        </w:rPr>
        <w:t>and their</w:t>
      </w:r>
      <w:r w:rsidRPr="00117C96">
        <w:rPr>
          <w:rFonts w:cs="Segoe UI"/>
        </w:rPr>
        <w:t xml:space="preserve"> </w:t>
      </w:r>
      <w:r>
        <w:rPr>
          <w:rFonts w:cs="Segoe UI"/>
        </w:rPr>
        <w:t xml:space="preserve">local </w:t>
      </w:r>
      <w:r w:rsidRPr="00117C96">
        <w:rPr>
          <w:rFonts w:cs="Segoe UI"/>
        </w:rPr>
        <w:t xml:space="preserve">financial footprint. </w:t>
      </w:r>
    </w:p>
    <w:p w14:paraId="48CDBC9C" w14:textId="77777777" w:rsidR="00A7343C" w:rsidRDefault="00A7343C" w:rsidP="00C76943">
      <w:pPr>
        <w:pStyle w:val="TextPara"/>
      </w:pPr>
      <w:r w:rsidRPr="009B516D">
        <w:t xml:space="preserve">International tourists visiting Victoria </w:t>
      </w:r>
      <w:r>
        <w:t>would continue to be</w:t>
      </w:r>
      <w:r w:rsidRPr="009B516D">
        <w:t xml:space="preserve"> exempt from the requirement to convert their overseas driver licence due to their limited presence in Victoria and </w:t>
      </w:r>
      <w:r>
        <w:t xml:space="preserve">the fact that they do </w:t>
      </w:r>
      <w:r w:rsidRPr="009B516D">
        <w:t>not meet the residen</w:t>
      </w:r>
      <w:r>
        <w:t>cy</w:t>
      </w:r>
      <w:r w:rsidRPr="009B516D">
        <w:t xml:space="preserve"> requirements</w:t>
      </w:r>
      <w:r>
        <w:t xml:space="preserve">. </w:t>
      </w:r>
      <w:r w:rsidRPr="00B508D2">
        <w:t xml:space="preserve">About one-half of international tourists visiting Australia stay for not more than </w:t>
      </w:r>
      <w:r>
        <w:t>two</w:t>
      </w:r>
      <w:r w:rsidRPr="00B508D2">
        <w:t xml:space="preserve"> weeks and about three-quarters do not stay for longer than </w:t>
      </w:r>
      <w:r>
        <w:t>four</w:t>
      </w:r>
      <w:r w:rsidRPr="00B508D2">
        <w:t xml:space="preserve"> weeks.</w:t>
      </w:r>
      <w:r w:rsidRPr="00B508D2">
        <w:rPr>
          <w:rStyle w:val="EndnoteReference"/>
        </w:rPr>
        <w:endnoteReference w:id="9"/>
      </w:r>
    </w:p>
    <w:p w14:paraId="17C97BB9" w14:textId="77777777" w:rsidR="00122C1B" w:rsidRDefault="00122C1B">
      <w:pPr>
        <w:pStyle w:val="SubHeading2"/>
      </w:pPr>
      <w:r>
        <w:t>Ensuring medical fitness to drive</w:t>
      </w:r>
    </w:p>
    <w:p w14:paraId="279C33E3" w14:textId="77777777" w:rsidR="00122C1B" w:rsidRDefault="00122C1B" w:rsidP="0003130A">
      <w:pPr>
        <w:pStyle w:val="TextPara"/>
        <w:rPr>
          <w:rFonts w:cs="Segoe UI"/>
        </w:rPr>
      </w:pPr>
      <w:r w:rsidRPr="00CC0670">
        <w:rPr>
          <w:rFonts w:cs="Segoe UI"/>
        </w:rPr>
        <w:t xml:space="preserve">VicRoads has a medical assessment and review process that </w:t>
      </w:r>
      <w:r>
        <w:rPr>
          <w:rFonts w:cs="Segoe UI"/>
        </w:rPr>
        <w:t>focuses</w:t>
      </w:r>
      <w:r w:rsidRPr="00CC0670">
        <w:rPr>
          <w:rFonts w:cs="Segoe UI"/>
        </w:rPr>
        <w:t xml:space="preserve"> on a licence holder’s fitness</w:t>
      </w:r>
      <w:r>
        <w:rPr>
          <w:rFonts w:cs="Segoe UI"/>
        </w:rPr>
        <w:t>-</w:t>
      </w:r>
      <w:r w:rsidRPr="00CC0670">
        <w:rPr>
          <w:rFonts w:cs="Segoe UI"/>
        </w:rPr>
        <w:t>to</w:t>
      </w:r>
      <w:r>
        <w:rPr>
          <w:rFonts w:cs="Segoe UI"/>
        </w:rPr>
        <w:t>-</w:t>
      </w:r>
      <w:r w:rsidRPr="00CC0670">
        <w:rPr>
          <w:rFonts w:cs="Segoe UI"/>
        </w:rPr>
        <w:t>drive</w:t>
      </w:r>
      <w:r>
        <w:rPr>
          <w:rFonts w:cs="Segoe UI"/>
        </w:rPr>
        <w:t>,</w:t>
      </w:r>
      <w:r w:rsidRPr="00CC0670">
        <w:rPr>
          <w:rFonts w:cs="Segoe UI"/>
        </w:rPr>
        <w:t xml:space="preserve"> </w:t>
      </w:r>
      <w:r>
        <w:rPr>
          <w:rFonts w:cs="Segoe UI"/>
        </w:rPr>
        <w:t xml:space="preserve">and follows the national guidelines </w:t>
      </w:r>
      <w:r w:rsidRPr="00CC0670">
        <w:rPr>
          <w:rFonts w:cs="Segoe UI"/>
        </w:rPr>
        <w:t xml:space="preserve">published by Austroads and the </w:t>
      </w:r>
      <w:r>
        <w:rPr>
          <w:rFonts w:cs="Segoe UI"/>
        </w:rPr>
        <w:t>NTC on a</w:t>
      </w:r>
      <w:r w:rsidRPr="00CC0670">
        <w:rPr>
          <w:rFonts w:cs="Segoe UI"/>
        </w:rPr>
        <w:t>ssessing</w:t>
      </w:r>
      <w:r>
        <w:rPr>
          <w:rFonts w:cs="Segoe UI"/>
        </w:rPr>
        <w:t xml:space="preserve"> such</w:t>
      </w:r>
      <w:r w:rsidRPr="00CC0670">
        <w:rPr>
          <w:rFonts w:cs="Segoe UI"/>
        </w:rPr>
        <w:t xml:space="preserve"> </w:t>
      </w:r>
      <w:r>
        <w:rPr>
          <w:rFonts w:cs="Segoe UI"/>
        </w:rPr>
        <w:t xml:space="preserve">fitness. </w:t>
      </w:r>
      <w:r w:rsidRPr="00C93AFE">
        <w:rPr>
          <w:rFonts w:cs="Segoe UI"/>
        </w:rPr>
        <w:t xml:space="preserve">Drivers are assessed for </w:t>
      </w:r>
      <w:r>
        <w:rPr>
          <w:rFonts w:cs="Segoe UI"/>
        </w:rPr>
        <w:t xml:space="preserve">medical </w:t>
      </w:r>
      <w:r w:rsidRPr="00C93AFE">
        <w:rPr>
          <w:rFonts w:cs="Segoe UI"/>
        </w:rPr>
        <w:t xml:space="preserve">fitness-to-drive only if they </w:t>
      </w:r>
      <w:r>
        <w:rPr>
          <w:rFonts w:cs="Segoe UI"/>
        </w:rPr>
        <w:t xml:space="preserve">self-refer or </w:t>
      </w:r>
      <w:r w:rsidRPr="00C93AFE">
        <w:rPr>
          <w:rFonts w:cs="Segoe UI"/>
        </w:rPr>
        <w:t>are referred</w:t>
      </w:r>
      <w:r>
        <w:rPr>
          <w:rFonts w:cs="Segoe UI"/>
        </w:rPr>
        <w:t xml:space="preserve"> by others</w:t>
      </w:r>
      <w:r w:rsidRPr="00C93AFE">
        <w:rPr>
          <w:rFonts w:cs="Segoe UI"/>
        </w:rPr>
        <w:t xml:space="preserve"> to VicRoads</w:t>
      </w:r>
      <w:r>
        <w:rPr>
          <w:rFonts w:cs="Segoe UI"/>
        </w:rPr>
        <w:t>.</w:t>
      </w:r>
    </w:p>
    <w:p w14:paraId="2E7F507A" w14:textId="77777777" w:rsidR="00122C1B" w:rsidRDefault="00122C1B" w:rsidP="0003130A">
      <w:pPr>
        <w:pStyle w:val="TextPara"/>
        <w:rPr>
          <w:rFonts w:cs="Segoe UI"/>
        </w:rPr>
      </w:pPr>
      <w:r>
        <w:rPr>
          <w:rFonts w:cs="Segoe UI"/>
        </w:rPr>
        <w:t>Importantly, the process</w:t>
      </w:r>
      <w:r w:rsidRPr="00CC0670">
        <w:rPr>
          <w:rFonts w:cs="Segoe UI"/>
        </w:rPr>
        <w:t xml:space="preserve"> does not discriminate on age</w:t>
      </w:r>
      <w:r>
        <w:rPr>
          <w:rFonts w:cs="Segoe UI"/>
        </w:rPr>
        <w:t xml:space="preserve">, as </w:t>
      </w:r>
      <w:r w:rsidRPr="00C93AFE">
        <w:rPr>
          <w:rFonts w:cs="Segoe UI"/>
        </w:rPr>
        <w:t xml:space="preserve">Victoria does not have an age-based mandatory </w:t>
      </w:r>
      <w:r>
        <w:rPr>
          <w:rFonts w:cs="Segoe UI"/>
        </w:rPr>
        <w:t xml:space="preserve">medical fitness </w:t>
      </w:r>
      <w:r w:rsidRPr="00C93AFE">
        <w:rPr>
          <w:rFonts w:cs="Segoe UI"/>
        </w:rPr>
        <w:t xml:space="preserve">assessment program. Age-based mandatory assessment programs have been found to </w:t>
      </w:r>
      <w:r>
        <w:rPr>
          <w:rFonts w:cs="Segoe UI"/>
        </w:rPr>
        <w:t>provide</w:t>
      </w:r>
      <w:r w:rsidRPr="00C93AFE">
        <w:rPr>
          <w:rFonts w:cs="Segoe UI"/>
        </w:rPr>
        <w:t xml:space="preserve"> no demonstrable </w:t>
      </w:r>
      <w:r>
        <w:rPr>
          <w:rFonts w:cs="Segoe UI"/>
        </w:rPr>
        <w:t xml:space="preserve">crash-related </w:t>
      </w:r>
      <w:r w:rsidRPr="00C93AFE">
        <w:rPr>
          <w:rFonts w:cs="Segoe UI"/>
        </w:rPr>
        <w:t>road safety benefits, and</w:t>
      </w:r>
      <w:r>
        <w:rPr>
          <w:rFonts w:cs="Segoe UI"/>
        </w:rPr>
        <w:t xml:space="preserve"> to be</w:t>
      </w:r>
      <w:r w:rsidRPr="00C93AFE">
        <w:rPr>
          <w:rFonts w:cs="Segoe UI"/>
        </w:rPr>
        <w:t xml:space="preserve"> an inefficient means of improving safety</w:t>
      </w:r>
      <w:r>
        <w:rPr>
          <w:rFonts w:cs="Segoe UI"/>
        </w:rPr>
        <w:t xml:space="preserve">. </w:t>
      </w:r>
      <w:r w:rsidRPr="00C93AFE">
        <w:rPr>
          <w:rFonts w:cs="Segoe UI"/>
        </w:rPr>
        <w:t xml:space="preserve">The Austroads model, based on a targeted approach, provides a systematic, transparent and effective method for managing </w:t>
      </w:r>
      <w:r>
        <w:rPr>
          <w:rFonts w:cs="Segoe UI"/>
        </w:rPr>
        <w:t xml:space="preserve">medically impaired and </w:t>
      </w:r>
      <w:r w:rsidRPr="00C93AFE">
        <w:rPr>
          <w:rFonts w:cs="Segoe UI"/>
        </w:rPr>
        <w:t>older driver safety</w:t>
      </w:r>
      <w:r>
        <w:rPr>
          <w:rFonts w:cs="Segoe UI"/>
        </w:rPr>
        <w:t>.</w:t>
      </w:r>
    </w:p>
    <w:p w14:paraId="653F16F5" w14:textId="45E79988" w:rsidR="00122C1B" w:rsidRDefault="000C33B0" w:rsidP="0003130A">
      <w:pPr>
        <w:pStyle w:val="TextPara"/>
        <w:rPr>
          <w:rFonts w:cs="Segoe UI"/>
        </w:rPr>
      </w:pPr>
      <w:r>
        <w:rPr>
          <w:rFonts w:cs="Segoe UI"/>
        </w:rPr>
        <w:t>DoT</w:t>
      </w:r>
      <w:r w:rsidR="00122C1B">
        <w:rPr>
          <w:rFonts w:cs="Segoe UI"/>
        </w:rPr>
        <w:t xml:space="preserve"> determined that, based on a review of current evidence, n</w:t>
      </w:r>
      <w:r w:rsidR="00122C1B" w:rsidRPr="006E109B">
        <w:rPr>
          <w:rFonts w:cs="Segoe UI"/>
        </w:rPr>
        <w:t xml:space="preserve">o change to the current approach to </w:t>
      </w:r>
      <w:r w:rsidR="00122C1B">
        <w:rPr>
          <w:rFonts w:cs="Segoe UI"/>
        </w:rPr>
        <w:t xml:space="preserve">medical </w:t>
      </w:r>
      <w:r w:rsidR="00122C1B" w:rsidRPr="006E109B">
        <w:rPr>
          <w:rFonts w:cs="Segoe UI"/>
        </w:rPr>
        <w:t>fitness-to-drive assessment in Victoria is warranted</w:t>
      </w:r>
      <w:r w:rsidR="00122C1B">
        <w:rPr>
          <w:rFonts w:cs="Segoe UI"/>
        </w:rPr>
        <w:t>. Accordingly,</w:t>
      </w:r>
      <w:r w:rsidR="00122C1B" w:rsidRPr="006E109B">
        <w:rPr>
          <w:rFonts w:cs="Segoe UI"/>
        </w:rPr>
        <w:t xml:space="preserve"> the proposed Regulations re-make the current regulations in this respect.</w:t>
      </w:r>
      <w:r w:rsidR="00E671C8">
        <w:rPr>
          <w:rFonts w:cs="Segoe UI"/>
        </w:rPr>
        <w:t xml:space="preserve"> </w:t>
      </w:r>
      <w:r w:rsidR="00081D75">
        <w:rPr>
          <w:rFonts w:cs="Segoe UI"/>
        </w:rPr>
        <w:t>The basis for this d</w:t>
      </w:r>
      <w:r w:rsidR="00844C47">
        <w:rPr>
          <w:rFonts w:cs="Segoe UI"/>
        </w:rPr>
        <w:t xml:space="preserve">etermination is </w:t>
      </w:r>
      <w:r w:rsidR="00E804B9">
        <w:rPr>
          <w:rFonts w:cs="Segoe UI"/>
        </w:rPr>
        <w:t xml:space="preserve">explained using a </w:t>
      </w:r>
      <w:r w:rsidR="00844C47">
        <w:rPr>
          <w:rFonts w:cs="Segoe UI"/>
        </w:rPr>
        <w:t xml:space="preserve">Multi Criteria Assessment </w:t>
      </w:r>
      <w:r w:rsidR="00CC4E95">
        <w:rPr>
          <w:rFonts w:cs="Segoe UI"/>
        </w:rPr>
        <w:t xml:space="preserve">of two options </w:t>
      </w:r>
      <w:r w:rsidR="00F3056D">
        <w:rPr>
          <w:rFonts w:cs="Segoe UI"/>
        </w:rPr>
        <w:t xml:space="preserve">for </w:t>
      </w:r>
      <w:r w:rsidR="00BD01CF">
        <w:rPr>
          <w:rFonts w:cs="Segoe UI"/>
        </w:rPr>
        <w:t xml:space="preserve">mandatory </w:t>
      </w:r>
      <w:r w:rsidR="00F3056D">
        <w:rPr>
          <w:rFonts w:cs="Segoe UI"/>
        </w:rPr>
        <w:t xml:space="preserve">aged-based vision, medical and driving assessments </w:t>
      </w:r>
      <w:r w:rsidR="00CC4E95">
        <w:rPr>
          <w:rFonts w:cs="Segoe UI"/>
        </w:rPr>
        <w:t xml:space="preserve">(the South Australian model and the Western Australian model) against a base case of </w:t>
      </w:r>
      <w:r w:rsidR="00F3056D">
        <w:rPr>
          <w:rFonts w:cs="Segoe UI"/>
        </w:rPr>
        <w:t xml:space="preserve">current Victorian arrangements </w:t>
      </w:r>
      <w:r w:rsidR="00BD01CF">
        <w:rPr>
          <w:rFonts w:cs="Segoe UI"/>
        </w:rPr>
        <w:t xml:space="preserve">where there is no aged based assessment.  The South Australian model </w:t>
      </w:r>
      <w:r w:rsidR="00BD3EF0">
        <w:rPr>
          <w:rFonts w:cs="Segoe UI"/>
        </w:rPr>
        <w:t xml:space="preserve">is one where mandatory annual vision and medical assessments occur from age 70 with mandatory driving assessments from age 85.  The </w:t>
      </w:r>
      <w:r w:rsidR="00BD3EF0">
        <w:rPr>
          <w:rFonts w:cs="Segoe UI"/>
        </w:rPr>
        <w:lastRenderedPageBreak/>
        <w:t>Western Australian model is one where mandatory annual vision and medical assessments occur from age 80 with mandatory driving assessments from age 85.  E</w:t>
      </w:r>
      <w:r w:rsidR="006A6161">
        <w:rPr>
          <w:rFonts w:cs="Segoe UI"/>
        </w:rPr>
        <w:t xml:space="preserve">ach was assessed against criteria of safety, equity, ease of implementation, </w:t>
      </w:r>
      <w:r w:rsidR="005E6A66">
        <w:rPr>
          <w:rFonts w:cs="Segoe UI"/>
        </w:rPr>
        <w:t xml:space="preserve">cost to the community, cost to government and unintended negative consequences. </w:t>
      </w:r>
    </w:p>
    <w:p w14:paraId="5EEEF9DA" w14:textId="73E9F436" w:rsidR="00FE0765" w:rsidRDefault="00FE0765" w:rsidP="0003130A">
      <w:pPr>
        <w:pStyle w:val="TextPara"/>
        <w:rPr>
          <w:rFonts w:cs="Segoe UI"/>
        </w:rPr>
      </w:pPr>
      <w:r>
        <w:rPr>
          <w:rFonts w:cs="Segoe UI"/>
        </w:rPr>
        <w:t>Both options, especially the South Australian model, were assessed as being inferior to the base case.</w:t>
      </w:r>
    </w:p>
    <w:p w14:paraId="56EF9FC2" w14:textId="77777777" w:rsidR="00E804B9" w:rsidRDefault="00E804B9" w:rsidP="00E804B9">
      <w:pPr>
        <w:pStyle w:val="TextPara"/>
        <w:rPr>
          <w:rFonts w:cs="Segoe UI"/>
        </w:rPr>
      </w:pPr>
      <w:r>
        <w:rPr>
          <w:rFonts w:cs="Segoe UI"/>
        </w:rPr>
        <w:t>Mandatory reporting by medical practitioners of drivers with conditions that might make them unsafe drivers was also assessed, and found to be inferior to the base case of no mandatory reporting.</w:t>
      </w:r>
    </w:p>
    <w:p w14:paraId="4060AF83" w14:textId="77777777" w:rsidR="00122C1B" w:rsidRDefault="00122C1B">
      <w:pPr>
        <w:pStyle w:val="SubHeading2"/>
      </w:pPr>
      <w:r>
        <w:t>Managing driver behaviour</w:t>
      </w:r>
    </w:p>
    <w:p w14:paraId="583A0DC1" w14:textId="77777777" w:rsidR="00122C1B" w:rsidRDefault="00122C1B" w:rsidP="008138BE">
      <w:pPr>
        <w:pStyle w:val="TextPara"/>
      </w:pPr>
      <w:r>
        <w:rPr>
          <w:rFonts w:cs="Segoe UI"/>
        </w:rPr>
        <w:t>B</w:t>
      </w:r>
      <w:r w:rsidRPr="009B7F5F">
        <w:rPr>
          <w:rFonts w:cs="Segoe UI"/>
        </w:rPr>
        <w:t xml:space="preserve">ased on the NDLS, </w:t>
      </w:r>
      <w:r>
        <w:rPr>
          <w:rFonts w:cs="Segoe UI"/>
        </w:rPr>
        <w:t>t</w:t>
      </w:r>
      <w:r w:rsidRPr="009B7F5F">
        <w:rPr>
          <w:rFonts w:cs="Segoe UI"/>
        </w:rPr>
        <w:t>he Victorian demerit points system</w:t>
      </w:r>
      <w:r>
        <w:rPr>
          <w:rFonts w:cs="Segoe UI"/>
        </w:rPr>
        <w:t xml:space="preserve"> is</w:t>
      </w:r>
      <w:r w:rsidRPr="009B7F5F">
        <w:rPr>
          <w:rFonts w:cs="Segoe UI"/>
        </w:rPr>
        <w:t xml:space="preserve"> designed to encourage learner permit and licence holders to drive more carefully and to </w:t>
      </w:r>
      <w:r>
        <w:rPr>
          <w:rFonts w:cs="Segoe UI"/>
        </w:rPr>
        <w:t>modify</w:t>
      </w:r>
      <w:r w:rsidRPr="009B7F5F">
        <w:rPr>
          <w:rFonts w:cs="Segoe UI"/>
        </w:rPr>
        <w:t xml:space="preserve"> poor driving behaviour.</w:t>
      </w:r>
      <w:r>
        <w:rPr>
          <w:rFonts w:cs="Segoe UI"/>
        </w:rPr>
        <w:t xml:space="preserve"> </w:t>
      </w:r>
    </w:p>
    <w:p w14:paraId="462E84CC" w14:textId="77777777" w:rsidR="00122C1B" w:rsidRDefault="00122C1B" w:rsidP="00AE6712">
      <w:pPr>
        <w:pStyle w:val="TextPara"/>
      </w:pPr>
      <w:r>
        <w:t xml:space="preserve">The proposed Regulations include two schedules (Schedules 3 and 4) in which the traffic offences that incur demerit points are listed. The number of demerit points applicable to each offence </w:t>
      </w:r>
      <w:r w:rsidRPr="008138BE">
        <w:t xml:space="preserve">listed in </w:t>
      </w:r>
      <w:r>
        <w:t xml:space="preserve">both </w:t>
      </w:r>
      <w:r w:rsidRPr="008138BE">
        <w:t>schedule</w:t>
      </w:r>
      <w:r>
        <w:t xml:space="preserve">s is calibrated on the basis of the seriousness of the offence compared to other offences, the level of </w:t>
      </w:r>
      <w:r w:rsidRPr="00F833B7">
        <w:t>crash-risk</w:t>
      </w:r>
      <w:r>
        <w:t xml:space="preserve"> associated with it</w:t>
      </w:r>
      <w:r w:rsidRPr="00F833B7">
        <w:t xml:space="preserve">, </w:t>
      </w:r>
      <w:r>
        <w:t>and</w:t>
      </w:r>
      <w:r w:rsidRPr="00F833B7">
        <w:t xml:space="preserve"> </w:t>
      </w:r>
      <w:r>
        <w:t>its</w:t>
      </w:r>
      <w:r w:rsidRPr="00F833B7">
        <w:t xml:space="preserve"> potential impact on road safety</w:t>
      </w:r>
      <w:r>
        <w:t xml:space="preserve">. </w:t>
      </w:r>
    </w:p>
    <w:p w14:paraId="01A95E3B" w14:textId="77777777" w:rsidR="00122C1B" w:rsidRDefault="00122C1B" w:rsidP="00AE6712">
      <w:pPr>
        <w:pStyle w:val="TextPara"/>
      </w:pPr>
      <w:r>
        <w:t>Schedule 3 to</w:t>
      </w:r>
      <w:r w:rsidRPr="008138BE">
        <w:t xml:space="preserve"> the proposed Regulations</w:t>
      </w:r>
      <w:r>
        <w:t xml:space="preserve"> lists the offences and the corresponding demerit points applicable to Victorian drivers committing any of the listed offences in Victoria. This list is largely based on the national demerit points table,</w:t>
      </w:r>
      <w:r>
        <w:rPr>
          <w:rStyle w:val="EndnoteReference"/>
        </w:rPr>
        <w:endnoteReference w:id="10"/>
      </w:r>
      <w:r>
        <w:t xml:space="preserve"> which is reproduced in Schedule 4. The latter applies to Victorian drivers, who commit any of the listed offences interstate,</w:t>
      </w:r>
      <w:r w:rsidRPr="00E42003">
        <w:t xml:space="preserve"> </w:t>
      </w:r>
      <w:r>
        <w:t>as notified to VicRoads by the relevant jurisdiction participating in the demerit points exchange (DPX) arrangements.</w:t>
      </w:r>
      <w:r>
        <w:rPr>
          <w:rStyle w:val="EndnoteReference"/>
        </w:rPr>
        <w:endnoteReference w:id="11"/>
      </w:r>
      <w:r w:rsidR="00E35D7C">
        <w:t xml:space="preserve"> </w:t>
      </w:r>
    </w:p>
    <w:p w14:paraId="5990A1EC" w14:textId="77777777" w:rsidR="00122C1B" w:rsidRPr="00554E17" w:rsidRDefault="00122C1B" w:rsidP="00AE6712">
      <w:pPr>
        <w:pStyle w:val="TextPara"/>
      </w:pPr>
      <w:r>
        <w:t>As explicitly permitted under the NDLS,</w:t>
      </w:r>
      <w:r>
        <w:rPr>
          <w:rStyle w:val="EndnoteReference"/>
        </w:rPr>
        <w:endnoteReference w:id="12"/>
      </w:r>
      <w:r>
        <w:t xml:space="preserve"> </w:t>
      </w:r>
      <w:r w:rsidRPr="00554E17">
        <w:t>Victoria deviated from the national table by excluding some offences</w:t>
      </w:r>
      <w:r>
        <w:t>,</w:t>
      </w:r>
      <w:r w:rsidRPr="00554E17">
        <w:t xml:space="preserve"> </w:t>
      </w:r>
      <w:r>
        <w:t>notably</w:t>
      </w:r>
      <w:r w:rsidRPr="00554E17">
        <w:t xml:space="preserve"> excessive speed</w:t>
      </w:r>
      <w:r>
        <w:t>ing</w:t>
      </w:r>
      <w:r w:rsidRPr="00554E17">
        <w:t xml:space="preserve"> offences</w:t>
      </w:r>
      <w:r>
        <w:t>,</w:t>
      </w:r>
      <w:r w:rsidRPr="00554E17">
        <w:t xml:space="preserve"> and adding others</w:t>
      </w:r>
      <w:r>
        <w:t>, such as</w:t>
      </w:r>
      <w:r w:rsidRPr="00554E17">
        <w:t xml:space="preserve"> driving motor vehicle with </w:t>
      </w:r>
      <w:r>
        <w:t>television</w:t>
      </w:r>
      <w:r w:rsidRPr="00554E17">
        <w:t xml:space="preserve"> or visual display unit that is visible to</w:t>
      </w:r>
      <w:r>
        <w:t>,</w:t>
      </w:r>
      <w:r w:rsidRPr="00554E17">
        <w:t xml:space="preserve"> or likely to distract</w:t>
      </w:r>
      <w:r>
        <w:t>,</w:t>
      </w:r>
      <w:r w:rsidRPr="00554E17">
        <w:t xml:space="preserve"> the driver.</w:t>
      </w:r>
    </w:p>
    <w:p w14:paraId="1CA0C62F" w14:textId="77777777" w:rsidR="00122C1B" w:rsidRDefault="00122C1B" w:rsidP="00AE6712">
      <w:pPr>
        <w:pStyle w:val="TextPara"/>
      </w:pPr>
      <w:r>
        <w:t xml:space="preserve">The excessive speeding offences (driving at 130 km/hr or more or exceeding the speed limit by 25 km/hr or more) were excluded from Schedule 3 because Victoria considers them to be too serious for a demerit points sanction, which typically does not result in licence suspension unless it is combined with other demerit point offences committed within the relevant time period. </w:t>
      </w:r>
      <w:r w:rsidR="006B452A">
        <w:t>Instead the</w:t>
      </w:r>
      <w:r w:rsidR="00DA2B4E">
        <w:t xml:space="preserve">se offences </w:t>
      </w:r>
      <w:r w:rsidR="0056318C">
        <w:t>now attract longer suspensions commensurate with the risk to road safety that they pose.</w:t>
      </w:r>
      <w:r w:rsidR="0056318C" w:rsidDel="0056318C">
        <w:t xml:space="preserve"> </w:t>
      </w:r>
    </w:p>
    <w:p w14:paraId="5EDFCA25" w14:textId="77777777" w:rsidR="00370DA6" w:rsidRPr="00ED1384" w:rsidRDefault="00370DA6" w:rsidP="00642D04">
      <w:pPr>
        <w:pStyle w:val="NoSpacing"/>
        <w:rPr>
          <w:rStyle w:val="Strong"/>
          <w:rFonts w:eastAsiaTheme="minorHAnsi"/>
          <w:bCs w:val="0"/>
          <w:i w:val="0"/>
          <w:color w:val="FF0000"/>
          <w:sz w:val="20"/>
          <w:szCs w:val="26"/>
        </w:rPr>
      </w:pPr>
      <w:bookmarkStart w:id="19" w:name="_Toc495515292"/>
      <w:bookmarkStart w:id="20" w:name="_Toc495515423"/>
      <w:bookmarkEnd w:id="19"/>
      <w:bookmarkEnd w:id="20"/>
      <w:r w:rsidRPr="00F4115C">
        <w:rPr>
          <w:rStyle w:val="Strong"/>
          <w:rFonts w:eastAsiaTheme="minorHAnsi"/>
          <w:b/>
          <w:bCs w:val="0"/>
          <w:sz w:val="20"/>
          <w:szCs w:val="26"/>
        </w:rPr>
        <w:t>Simplification, Efficiency and Equitable Distribution of Cost</w:t>
      </w:r>
      <w:r>
        <w:rPr>
          <w:rStyle w:val="Strong"/>
          <w:rFonts w:eastAsiaTheme="minorHAnsi"/>
          <w:bCs w:val="0"/>
          <w:i w:val="0"/>
          <w:color w:val="FF0000"/>
          <w:sz w:val="20"/>
          <w:szCs w:val="26"/>
        </w:rPr>
        <w:t xml:space="preserve"> </w:t>
      </w:r>
    </w:p>
    <w:p w14:paraId="4A5ADBCF" w14:textId="48F7E08D" w:rsidR="00370DA6" w:rsidRDefault="00370DA6" w:rsidP="00D63DF4">
      <w:pPr>
        <w:pStyle w:val="TextPara"/>
      </w:pPr>
      <w:r>
        <w:t>The Registration and Licensing Division (</w:t>
      </w:r>
      <w:r w:rsidRPr="009A0C13">
        <w:rPr>
          <w:b/>
        </w:rPr>
        <w:t>R&amp;L</w:t>
      </w:r>
      <w:r>
        <w:t xml:space="preserve">) of VicRoads </w:t>
      </w:r>
      <w:r w:rsidRPr="00117C96">
        <w:t>regularly interacts with almost every ad</w:t>
      </w:r>
      <w:r>
        <w:t>ult Victorian, performing</w:t>
      </w:r>
      <w:r w:rsidRPr="00117C96">
        <w:t xml:space="preserve"> a range of licensing and registratio</w:t>
      </w:r>
      <w:r>
        <w:t xml:space="preserve">ns related functions for customers and organisations.  </w:t>
      </w:r>
      <w:r w:rsidRPr="00117C96">
        <w:t xml:space="preserve">R&amp;L </w:t>
      </w:r>
      <w:r>
        <w:t>delivers these functions through 41 customer service centres</w:t>
      </w:r>
      <w:r w:rsidRPr="00117C96">
        <w:t xml:space="preserve">, </w:t>
      </w:r>
      <w:r>
        <w:t>call centres,</w:t>
      </w:r>
      <w:r w:rsidRPr="00117C96">
        <w:t xml:space="preserve"> specialist business units and online services</w:t>
      </w:r>
      <w:r>
        <w:t>. To deliver the functions required in FY16/17, R&amp;L employed</w:t>
      </w:r>
      <w:r w:rsidRPr="00117C96">
        <w:t xml:space="preserve"> </w:t>
      </w:r>
      <w:r>
        <w:t>882</w:t>
      </w:r>
      <w:r w:rsidRPr="00117C96">
        <w:t xml:space="preserve"> </w:t>
      </w:r>
      <w:r>
        <w:rPr>
          <w:rFonts w:cs="Segoe UI"/>
          <w:szCs w:val="20"/>
        </w:rPr>
        <w:t>equivalent full-time</w:t>
      </w:r>
      <w:r w:rsidR="0026454D">
        <w:rPr>
          <w:rFonts w:cs="Segoe UI"/>
          <w:szCs w:val="20"/>
        </w:rPr>
        <w:t xml:space="preserve"> (EFT)</w:t>
      </w:r>
      <w:r>
        <w:rPr>
          <w:rFonts w:cs="Segoe UI"/>
          <w:szCs w:val="20"/>
        </w:rPr>
        <w:t xml:space="preserve"> </w:t>
      </w:r>
      <w:r>
        <w:t>staff</w:t>
      </w:r>
      <w:r w:rsidRPr="00117C96">
        <w:t xml:space="preserve"> </w:t>
      </w:r>
      <w:r>
        <w:t>and several</w:t>
      </w:r>
      <w:r w:rsidRPr="00117C96">
        <w:t xml:space="preserve"> </w:t>
      </w:r>
      <w:r>
        <w:t>third</w:t>
      </w:r>
      <w:r w:rsidRPr="00117C96">
        <w:t>-party</w:t>
      </w:r>
      <w:r>
        <w:t xml:space="preserve"> service providers</w:t>
      </w:r>
      <w:r w:rsidRPr="00117C96">
        <w:t xml:space="preserve"> and agencies </w:t>
      </w:r>
      <w:r>
        <w:t xml:space="preserve">to process </w:t>
      </w:r>
      <w:r w:rsidRPr="00117C96">
        <w:t>24 million customer transactions, including 5</w:t>
      </w:r>
      <w:r>
        <w:t>.73</w:t>
      </w:r>
      <w:r w:rsidRPr="00117C96">
        <w:t xml:space="preserve"> million vehicle registrations and 860,000 licence renewals</w:t>
      </w:r>
      <w:r>
        <w:t xml:space="preserve"> at</w:t>
      </w:r>
      <w:r w:rsidRPr="00117C96">
        <w:t xml:space="preserve"> a total cost of $208.50</w:t>
      </w:r>
      <w:r>
        <w:t xml:space="preserve"> </w:t>
      </w:r>
      <w:r w:rsidRPr="00117C96">
        <w:t>m</w:t>
      </w:r>
      <w:r>
        <w:t>illion.</w:t>
      </w:r>
    </w:p>
    <w:p w14:paraId="1AAF8365" w14:textId="77777777" w:rsidR="00370DA6" w:rsidRDefault="00370DA6" w:rsidP="00D63DF4">
      <w:pPr>
        <w:pStyle w:val="TextPara"/>
      </w:pPr>
      <w:r>
        <w:t xml:space="preserve">The registration and licensing functions continue to be delivered at increasing efficiency </w:t>
      </w:r>
      <w:r>
        <w:rPr>
          <w:rFonts w:cs="Segoe UI"/>
          <w:szCs w:val="20"/>
        </w:rPr>
        <w:t xml:space="preserve">and productivity </w:t>
      </w:r>
      <w:r>
        <w:t>levels and</w:t>
      </w:r>
      <w:r w:rsidRPr="00BD24C6">
        <w:t xml:space="preserve"> real reductions in costs per customer</w:t>
      </w:r>
      <w:r>
        <w:t xml:space="preserve">. </w:t>
      </w:r>
      <w:r w:rsidRPr="00875339">
        <w:t xml:space="preserve">The key service levels, to which R&amp;L </w:t>
      </w:r>
      <w:r w:rsidRPr="00C02B69">
        <w:t>manages</w:t>
      </w:r>
      <w:r w:rsidRPr="00875339">
        <w:t xml:space="preserve">, have been established for more than 5 years. </w:t>
      </w:r>
      <w:r>
        <w:t>In some cases, t</w:t>
      </w:r>
      <w:r w:rsidRPr="00875339">
        <w:t xml:space="preserve">he target service levels </w:t>
      </w:r>
      <w:r>
        <w:t xml:space="preserve">have been </w:t>
      </w:r>
      <w:r w:rsidRPr="00875339">
        <w:t xml:space="preserve">challenging as </w:t>
      </w:r>
      <w:r>
        <w:t xml:space="preserve">the number of </w:t>
      </w:r>
      <w:r w:rsidRPr="00875339">
        <w:t xml:space="preserve">customers and transactions </w:t>
      </w:r>
      <w:r>
        <w:t xml:space="preserve">has </w:t>
      </w:r>
      <w:r w:rsidRPr="00875339">
        <w:t>continue</w:t>
      </w:r>
      <w:r>
        <w:t>d</w:t>
      </w:r>
      <w:r w:rsidRPr="00875339">
        <w:t xml:space="preserve"> to </w:t>
      </w:r>
      <w:r>
        <w:t xml:space="preserve">increase at a faster rate than </w:t>
      </w:r>
      <w:r w:rsidRPr="00875339">
        <w:t xml:space="preserve">EFT </w:t>
      </w:r>
      <w:r>
        <w:t>growth. Despite the challenging service levels, customer satisfaction has remained consistently higher than target which indicates that services are being delivered effectively.</w:t>
      </w:r>
    </w:p>
    <w:p w14:paraId="5A508272" w14:textId="13014C94" w:rsidR="00370DA6" w:rsidRDefault="00370DA6" w:rsidP="00D63DF4">
      <w:pPr>
        <w:pStyle w:val="TextPara"/>
        <w:rPr>
          <w:rFonts w:cs="Segoe UI"/>
          <w:szCs w:val="20"/>
        </w:rPr>
      </w:pPr>
      <w:r>
        <w:rPr>
          <w:rFonts w:cs="Segoe UI"/>
          <w:szCs w:val="20"/>
        </w:rPr>
        <w:t xml:space="preserve">In total, for VicRoads to deliver all licensing, registration and related services, the </w:t>
      </w:r>
      <w:r w:rsidRPr="004D2892">
        <w:rPr>
          <w:rFonts w:cs="Segoe UI"/>
          <w:szCs w:val="20"/>
        </w:rPr>
        <w:t xml:space="preserve">projected </w:t>
      </w:r>
      <w:r w:rsidRPr="00DB4C8E">
        <w:rPr>
          <w:rFonts w:cs="Segoe UI"/>
          <w:szCs w:val="20"/>
        </w:rPr>
        <w:t xml:space="preserve">average annual </w:t>
      </w:r>
      <w:r>
        <w:rPr>
          <w:rFonts w:cs="Segoe UI"/>
          <w:szCs w:val="20"/>
        </w:rPr>
        <w:t>government</w:t>
      </w:r>
      <w:r w:rsidRPr="00DB4C8E">
        <w:rPr>
          <w:rFonts w:cs="Segoe UI"/>
          <w:szCs w:val="20"/>
        </w:rPr>
        <w:t xml:space="preserve"> revenue</w:t>
      </w:r>
      <w:r w:rsidRPr="004D2892">
        <w:rPr>
          <w:rFonts w:cs="Segoe UI"/>
          <w:szCs w:val="20"/>
        </w:rPr>
        <w:t xml:space="preserve"> </w:t>
      </w:r>
      <w:r>
        <w:rPr>
          <w:rFonts w:cs="Segoe UI"/>
          <w:szCs w:val="20"/>
        </w:rPr>
        <w:t>for the four years from 1 July 2019 to 30 June 2023 is $</w:t>
      </w:r>
      <w:r w:rsidR="00F62053">
        <w:rPr>
          <w:rFonts w:cs="Segoe UI"/>
          <w:szCs w:val="20"/>
        </w:rPr>
        <w:t>25</w:t>
      </w:r>
      <w:r w:rsidR="00F93F50">
        <w:rPr>
          <w:rFonts w:cs="Segoe UI"/>
          <w:szCs w:val="20"/>
        </w:rPr>
        <w:t xml:space="preserve">4.5 </w:t>
      </w:r>
      <w:r>
        <w:rPr>
          <w:rFonts w:cs="Segoe UI"/>
          <w:szCs w:val="20"/>
        </w:rPr>
        <w:t xml:space="preserve">million in present value </w:t>
      </w:r>
      <w:r>
        <w:rPr>
          <w:rFonts w:cs="Segoe UI"/>
          <w:szCs w:val="20"/>
        </w:rPr>
        <w:lastRenderedPageBreak/>
        <w:t xml:space="preserve">(PV) terms, as shown in </w:t>
      </w:r>
      <w:r w:rsidR="0046047C">
        <w:rPr>
          <w:rFonts w:cs="Segoe UI"/>
          <w:szCs w:val="20"/>
        </w:rPr>
        <w:fldChar w:fldCharType="begin"/>
      </w:r>
      <w:r w:rsidR="0046047C">
        <w:rPr>
          <w:rFonts w:cs="Segoe UI"/>
          <w:szCs w:val="20"/>
        </w:rPr>
        <w:instrText xml:space="preserve"> REF _Ref4415345 \h </w:instrText>
      </w:r>
      <w:r w:rsidR="0046047C">
        <w:rPr>
          <w:rFonts w:cs="Segoe UI"/>
          <w:szCs w:val="20"/>
        </w:rPr>
      </w:r>
      <w:r w:rsidR="0046047C">
        <w:rPr>
          <w:rFonts w:cs="Segoe UI"/>
          <w:szCs w:val="20"/>
        </w:rPr>
        <w:fldChar w:fldCharType="separate"/>
      </w:r>
      <w:r w:rsidR="00EB4B02">
        <w:t xml:space="preserve">Table </w:t>
      </w:r>
      <w:r w:rsidR="00EB4B02">
        <w:rPr>
          <w:noProof/>
        </w:rPr>
        <w:t>70</w:t>
      </w:r>
      <w:r w:rsidR="0046047C">
        <w:rPr>
          <w:rFonts w:cs="Segoe UI"/>
          <w:szCs w:val="20"/>
        </w:rPr>
        <w:fldChar w:fldCharType="end"/>
      </w:r>
      <w:r w:rsidR="0046047C">
        <w:rPr>
          <w:rFonts w:cs="Segoe UI"/>
          <w:szCs w:val="20"/>
        </w:rPr>
        <w:t xml:space="preserve"> </w:t>
      </w:r>
      <w:r>
        <w:rPr>
          <w:rFonts w:cs="Segoe UI"/>
          <w:szCs w:val="20"/>
        </w:rPr>
        <w:t xml:space="preserve">on page </w:t>
      </w:r>
      <w:r w:rsidR="0046047C">
        <w:rPr>
          <w:rFonts w:cs="Segoe UI"/>
          <w:szCs w:val="20"/>
        </w:rPr>
        <w:fldChar w:fldCharType="begin"/>
      </w:r>
      <w:r w:rsidR="0046047C">
        <w:rPr>
          <w:rFonts w:cs="Segoe UI"/>
          <w:szCs w:val="20"/>
        </w:rPr>
        <w:instrText xml:space="preserve"> PAGEREF _Ref4416433 \h </w:instrText>
      </w:r>
      <w:r w:rsidR="0046047C">
        <w:rPr>
          <w:rFonts w:cs="Segoe UI"/>
          <w:szCs w:val="20"/>
        </w:rPr>
      </w:r>
      <w:r w:rsidR="0046047C">
        <w:rPr>
          <w:rFonts w:cs="Segoe UI"/>
          <w:szCs w:val="20"/>
        </w:rPr>
        <w:fldChar w:fldCharType="separate"/>
      </w:r>
      <w:r w:rsidR="00EB4B02">
        <w:rPr>
          <w:rFonts w:cs="Segoe UI"/>
          <w:noProof/>
          <w:szCs w:val="20"/>
        </w:rPr>
        <w:t>186</w:t>
      </w:r>
      <w:r w:rsidR="0046047C">
        <w:rPr>
          <w:rFonts w:cs="Segoe UI"/>
          <w:szCs w:val="20"/>
        </w:rPr>
        <w:fldChar w:fldCharType="end"/>
      </w:r>
      <w:r w:rsidR="0046047C">
        <w:rPr>
          <w:rFonts w:cs="Segoe UI"/>
          <w:szCs w:val="20"/>
        </w:rPr>
        <w:t xml:space="preserve"> </w:t>
      </w:r>
      <w:r>
        <w:rPr>
          <w:rFonts w:cs="Segoe UI"/>
          <w:szCs w:val="20"/>
        </w:rPr>
        <w:t>below. This projected revenue recovers 9</w:t>
      </w:r>
      <w:r w:rsidR="00F93F50">
        <w:rPr>
          <w:rFonts w:cs="Segoe UI"/>
          <w:szCs w:val="20"/>
        </w:rPr>
        <w:t>8.2</w:t>
      </w:r>
      <w:r>
        <w:rPr>
          <w:rFonts w:cs="Segoe UI"/>
          <w:szCs w:val="20"/>
        </w:rPr>
        <w:t>% of the $</w:t>
      </w:r>
      <w:r w:rsidR="00F93F50">
        <w:rPr>
          <w:rFonts w:cs="Segoe UI"/>
          <w:szCs w:val="20"/>
        </w:rPr>
        <w:t>259.1</w:t>
      </w:r>
      <w:r>
        <w:rPr>
          <w:rFonts w:cs="Segoe UI"/>
          <w:szCs w:val="20"/>
        </w:rPr>
        <w:t xml:space="preserve"> million in projected average annual costs for the same period.</w:t>
      </w:r>
    </w:p>
    <w:p w14:paraId="5DA93790" w14:textId="77777777" w:rsidR="00370DA6" w:rsidRDefault="00370DA6" w:rsidP="00BE1DB0">
      <w:pPr>
        <w:pStyle w:val="TextPara"/>
      </w:pPr>
      <w:r>
        <w:rPr>
          <w:rFonts w:cs="Segoe UI"/>
          <w:szCs w:val="20"/>
        </w:rPr>
        <w:t xml:space="preserve">Within this broad balancing of projected revenue and costs, </w:t>
      </w:r>
      <w:r>
        <w:t>the revenues in some cases over-recover the cost of providing services, whilst the cost of other services are under-recovered. Revenues are also generated from granting permissions (e.g. permits) to customers, authorising third parties to perform functions on behalf of VicRoads, and providing services under commercial arrangements.</w:t>
      </w:r>
    </w:p>
    <w:p w14:paraId="3FC57B96" w14:textId="5CC3CF64" w:rsidR="00370DA6" w:rsidRDefault="00370DA6" w:rsidP="00391E21">
      <w:pPr>
        <w:pStyle w:val="TextPara"/>
        <w:rPr>
          <w:szCs w:val="20"/>
        </w:rPr>
      </w:pPr>
      <w:r>
        <w:t>Whilst the 9</w:t>
      </w:r>
      <w:r w:rsidR="00F93F50">
        <w:t>8.2</w:t>
      </w:r>
      <w:r>
        <w:t xml:space="preserve">% recovery reflects the total VicRoads scope of operations. The recovery of the licensing services represented in the Drivers Regulations are summarised in </w:t>
      </w:r>
      <w:r>
        <w:rPr>
          <w:szCs w:val="20"/>
        </w:rPr>
        <w:fldChar w:fldCharType="begin"/>
      </w:r>
      <w:r>
        <w:rPr>
          <w:szCs w:val="20"/>
        </w:rPr>
        <w:instrText xml:space="preserve"> REF _Ref519775333 \h </w:instrText>
      </w:r>
      <w:r>
        <w:rPr>
          <w:szCs w:val="20"/>
        </w:rPr>
      </w:r>
      <w:r>
        <w:rPr>
          <w:szCs w:val="20"/>
        </w:rPr>
        <w:fldChar w:fldCharType="separate"/>
      </w:r>
      <w:r w:rsidR="00EB4B02" w:rsidRPr="00AA0BBA">
        <w:t xml:space="preserve">Table </w:t>
      </w:r>
      <w:r w:rsidR="00EB4B02">
        <w:rPr>
          <w:noProof/>
        </w:rPr>
        <w:t>2</w:t>
      </w:r>
      <w:r>
        <w:rPr>
          <w:szCs w:val="20"/>
        </w:rPr>
        <w:fldChar w:fldCharType="end"/>
      </w:r>
      <w:r>
        <w:rPr>
          <w:szCs w:val="20"/>
        </w:rPr>
        <w:t xml:space="preserve">. </w:t>
      </w:r>
      <w:r w:rsidR="006D3BD9">
        <w:t>In total</w:t>
      </w:r>
      <w:r w:rsidRPr="00C01D42">
        <w:t xml:space="preserve">, </w:t>
      </w:r>
      <w:r w:rsidRPr="00A20A5F">
        <w:t>the</w:t>
      </w:r>
      <w:r w:rsidRPr="00C01D42">
        <w:t xml:space="preserve"> </w:t>
      </w:r>
      <w:r>
        <w:t xml:space="preserve">licensing services are projected to under-recover costs by an average of </w:t>
      </w:r>
      <w:r w:rsidRPr="006F5621">
        <w:t>$</w:t>
      </w:r>
      <w:r>
        <w:t>2</w:t>
      </w:r>
      <w:r w:rsidR="00F93F50">
        <w:t>6.52</w:t>
      </w:r>
      <w:r>
        <w:t xml:space="preserve"> million per year for the four years between 1 July 2019 and 30 June 2023. This equates to a recovery of </w:t>
      </w:r>
      <w:r>
        <w:rPr>
          <w:szCs w:val="20"/>
        </w:rPr>
        <w:t>62.</w:t>
      </w:r>
      <w:r w:rsidR="00F93F50">
        <w:rPr>
          <w:szCs w:val="20"/>
        </w:rPr>
        <w:t>0</w:t>
      </w:r>
      <w:r>
        <w:rPr>
          <w:szCs w:val="20"/>
        </w:rPr>
        <w:t>%.</w:t>
      </w:r>
    </w:p>
    <w:p w14:paraId="1622EF07" w14:textId="1EEFEBA3" w:rsidR="00370DA6" w:rsidRPr="00AA0BBA" w:rsidRDefault="00370DA6" w:rsidP="00AA0BBA">
      <w:pPr>
        <w:pStyle w:val="Caption"/>
      </w:pPr>
      <w:bookmarkStart w:id="21" w:name="_Ref519775333"/>
      <w:bookmarkStart w:id="22" w:name="_Ref520280508"/>
      <w:bookmarkStart w:id="23" w:name="_Ref520280544"/>
      <w:bookmarkStart w:id="24" w:name="_Toc520363483"/>
      <w:bookmarkStart w:id="25" w:name="_Toc4084286"/>
      <w:bookmarkStart w:id="26" w:name="_Toc9193399"/>
      <w:bookmarkStart w:id="27" w:name="_Toc10703695"/>
      <w:r w:rsidRPr="00AA0BBA">
        <w:t xml:space="preserve">Table </w:t>
      </w:r>
      <w:r>
        <w:rPr>
          <w:noProof/>
        </w:rPr>
        <w:fldChar w:fldCharType="begin"/>
      </w:r>
      <w:r>
        <w:rPr>
          <w:noProof/>
        </w:rPr>
        <w:instrText xml:space="preserve"> SEQ Table \* ARABIC </w:instrText>
      </w:r>
      <w:r>
        <w:rPr>
          <w:noProof/>
        </w:rPr>
        <w:fldChar w:fldCharType="separate"/>
      </w:r>
      <w:r w:rsidR="00EB4B02">
        <w:rPr>
          <w:noProof/>
        </w:rPr>
        <w:t>2</w:t>
      </w:r>
      <w:r>
        <w:rPr>
          <w:noProof/>
        </w:rPr>
        <w:fldChar w:fldCharType="end"/>
      </w:r>
      <w:bookmarkEnd w:id="21"/>
      <w:bookmarkEnd w:id="22"/>
      <w:r w:rsidRPr="00AA0BBA">
        <w:t xml:space="preserve"> – Licensing services forecast annual cost recovery: FY19/20 to FY22/23 </w:t>
      </w:r>
      <w:bookmarkEnd w:id="23"/>
      <w:bookmarkEnd w:id="24"/>
      <w:r w:rsidRPr="00AA0BBA">
        <w:t>Average</w:t>
      </w:r>
      <w:bookmarkEnd w:id="25"/>
      <w:bookmarkEnd w:id="26"/>
      <w:bookmarkEnd w:id="27"/>
    </w:p>
    <w:tbl>
      <w:tblPr>
        <w:tblStyle w:val="RIS-Table2"/>
        <w:tblW w:w="9711" w:type="dxa"/>
        <w:tblLook w:val="04A0" w:firstRow="1" w:lastRow="0" w:firstColumn="1" w:lastColumn="0" w:noHBand="0" w:noVBand="1"/>
      </w:tblPr>
      <w:tblGrid>
        <w:gridCol w:w="5718"/>
        <w:gridCol w:w="1321"/>
        <w:gridCol w:w="1321"/>
        <w:gridCol w:w="1351"/>
      </w:tblGrid>
      <w:tr w:rsidR="00370DA6" w:rsidRPr="00123DE6" w14:paraId="46C082EC" w14:textId="77777777" w:rsidTr="00F93F50">
        <w:trPr>
          <w:cnfStyle w:val="100000000000" w:firstRow="1" w:lastRow="0" w:firstColumn="0" w:lastColumn="0" w:oddVBand="0" w:evenVBand="0" w:oddHBand="0" w:evenHBand="0" w:firstRowFirstColumn="0" w:firstRowLastColumn="0" w:lastRowFirstColumn="0" w:lastRowLastColumn="0"/>
          <w:trHeight w:val="495"/>
        </w:trPr>
        <w:tc>
          <w:tcPr>
            <w:tcW w:w="5718" w:type="dxa"/>
            <w:hideMark/>
          </w:tcPr>
          <w:p w14:paraId="5538A899" w14:textId="77777777" w:rsidR="00370DA6" w:rsidRPr="00123DE6" w:rsidRDefault="00370DA6" w:rsidP="00391E21">
            <w:pPr>
              <w:pStyle w:val="TableHeaders"/>
            </w:pPr>
            <w:r>
              <w:t xml:space="preserve">Proposed </w:t>
            </w:r>
            <w:r w:rsidRPr="000F5AC0">
              <w:rPr>
                <w:i/>
              </w:rPr>
              <w:t>Road Safety (Drivers) Regulations</w:t>
            </w:r>
            <w:r>
              <w:rPr>
                <w:i/>
              </w:rPr>
              <w:br/>
            </w:r>
            <w:r>
              <w:t>Cost Recovery</w:t>
            </w:r>
          </w:p>
        </w:tc>
        <w:tc>
          <w:tcPr>
            <w:tcW w:w="1321" w:type="dxa"/>
            <w:hideMark/>
          </w:tcPr>
          <w:p w14:paraId="79A8D33D" w14:textId="77777777" w:rsidR="00370DA6" w:rsidRPr="00123DE6" w:rsidRDefault="00370DA6" w:rsidP="00391E21">
            <w:pPr>
              <w:pStyle w:val="TableHeaders"/>
            </w:pPr>
            <w:r w:rsidRPr="00123DE6">
              <w:t>Costs</w:t>
            </w:r>
            <w:r>
              <w:br/>
              <w:t>$m (PV)</w:t>
            </w:r>
          </w:p>
        </w:tc>
        <w:tc>
          <w:tcPr>
            <w:tcW w:w="1321" w:type="dxa"/>
            <w:hideMark/>
          </w:tcPr>
          <w:p w14:paraId="5CBCCD4F" w14:textId="77777777" w:rsidR="00370DA6" w:rsidRPr="00123DE6" w:rsidRDefault="00370DA6" w:rsidP="00391E21">
            <w:pPr>
              <w:pStyle w:val="TableHeaders"/>
            </w:pPr>
            <w:r w:rsidRPr="00123DE6">
              <w:t>Revenue</w:t>
            </w:r>
            <w:r>
              <w:br/>
              <w:t>$m (PV)</w:t>
            </w:r>
          </w:p>
        </w:tc>
        <w:tc>
          <w:tcPr>
            <w:tcW w:w="1351" w:type="dxa"/>
            <w:noWrap/>
            <w:hideMark/>
          </w:tcPr>
          <w:p w14:paraId="521D3D2B" w14:textId="77777777" w:rsidR="00370DA6" w:rsidRPr="00123DE6" w:rsidRDefault="00370DA6" w:rsidP="00391E21">
            <w:pPr>
              <w:pStyle w:val="TableHeaders"/>
            </w:pPr>
            <w:r>
              <w:t>Recovery</w:t>
            </w:r>
            <w:r>
              <w:br/>
              <w:t>$m (PV)</w:t>
            </w:r>
          </w:p>
        </w:tc>
      </w:tr>
      <w:tr w:rsidR="00370DA6" w:rsidRPr="006979E1" w14:paraId="4E0AF06B" w14:textId="77777777" w:rsidTr="00F93F50">
        <w:trPr>
          <w:trHeight w:val="315"/>
        </w:trPr>
        <w:tc>
          <w:tcPr>
            <w:tcW w:w="9711" w:type="dxa"/>
            <w:gridSpan w:val="4"/>
            <w:noWrap/>
            <w:hideMark/>
          </w:tcPr>
          <w:p w14:paraId="626B6B94" w14:textId="77777777" w:rsidR="00370DA6" w:rsidRPr="006979E1" w:rsidRDefault="00370DA6" w:rsidP="00391E21">
            <w:pPr>
              <w:pStyle w:val="TableParagraph"/>
              <w:rPr>
                <w:rFonts w:eastAsia="Times New Roman" w:cs="Segoe UI"/>
                <w:b/>
                <w:i/>
                <w:color w:val="004D2E" w:themeColor="accent4" w:themeShade="BF"/>
                <w:szCs w:val="18"/>
              </w:rPr>
            </w:pPr>
            <w:r w:rsidRPr="003E2558">
              <w:rPr>
                <w:b/>
                <w:i/>
              </w:rPr>
              <w:t>Services</w:t>
            </w:r>
            <w:r>
              <w:rPr>
                <w:b/>
                <w:i/>
              </w:rPr>
              <w:t xml:space="preserve"> Groups</w:t>
            </w:r>
          </w:p>
        </w:tc>
      </w:tr>
      <w:tr w:rsidR="00F93F50" w:rsidRPr="005324D2" w14:paraId="437B833F" w14:textId="77777777" w:rsidTr="00F93F50">
        <w:trPr>
          <w:cnfStyle w:val="000000010000" w:firstRow="0" w:lastRow="0" w:firstColumn="0" w:lastColumn="0" w:oddVBand="0" w:evenVBand="0" w:oddHBand="0" w:evenHBand="1" w:firstRowFirstColumn="0" w:firstRowLastColumn="0" w:lastRowFirstColumn="0" w:lastRowLastColumn="0"/>
          <w:trHeight w:val="330"/>
        </w:trPr>
        <w:tc>
          <w:tcPr>
            <w:tcW w:w="5718" w:type="dxa"/>
            <w:shd w:val="clear" w:color="auto" w:fill="auto"/>
            <w:noWrap/>
          </w:tcPr>
          <w:p w14:paraId="14B6290B" w14:textId="77777777" w:rsidR="00F93F50" w:rsidRDefault="00F93F50" w:rsidP="00F93F50">
            <w:pPr>
              <w:pStyle w:val="TableParagraph"/>
              <w:spacing w:before="20" w:after="20"/>
              <w:ind w:left="171"/>
            </w:pPr>
            <w:r>
              <w:t>Licence and Learner Permit Administration - General</w:t>
            </w:r>
          </w:p>
        </w:tc>
        <w:tc>
          <w:tcPr>
            <w:tcW w:w="1321" w:type="dxa"/>
            <w:shd w:val="clear" w:color="auto" w:fill="auto"/>
            <w:noWrap/>
          </w:tcPr>
          <w:p w14:paraId="2B513B40" w14:textId="33FD46C1" w:rsidR="00F93F50" w:rsidRDefault="00F93F50" w:rsidP="00F93F50">
            <w:pPr>
              <w:pStyle w:val="TableParagraph"/>
              <w:spacing w:before="20" w:after="20"/>
              <w:ind w:right="179"/>
              <w:jc w:val="right"/>
            </w:pPr>
            <w:r w:rsidRPr="00BA29FD">
              <w:t xml:space="preserve"> 6.69 </w:t>
            </w:r>
          </w:p>
        </w:tc>
        <w:tc>
          <w:tcPr>
            <w:tcW w:w="1321" w:type="dxa"/>
            <w:shd w:val="clear" w:color="auto" w:fill="auto"/>
            <w:noWrap/>
          </w:tcPr>
          <w:p w14:paraId="665ADF30" w14:textId="33A79A84" w:rsidR="00F93F50" w:rsidRDefault="00F93F50" w:rsidP="00F93F50">
            <w:pPr>
              <w:pStyle w:val="TableParagraph"/>
              <w:spacing w:before="20" w:after="20"/>
              <w:ind w:right="179"/>
              <w:jc w:val="right"/>
            </w:pPr>
            <w:r w:rsidRPr="00BA29FD">
              <w:t xml:space="preserve"> 6.73 </w:t>
            </w:r>
          </w:p>
        </w:tc>
        <w:tc>
          <w:tcPr>
            <w:tcW w:w="1351" w:type="dxa"/>
            <w:shd w:val="clear" w:color="auto" w:fill="auto"/>
            <w:noWrap/>
          </w:tcPr>
          <w:p w14:paraId="47312594" w14:textId="3B489753" w:rsidR="00F93F50" w:rsidRDefault="00F93F50" w:rsidP="00F93F50">
            <w:pPr>
              <w:pStyle w:val="TableParagraph"/>
              <w:spacing w:before="20" w:after="20"/>
              <w:ind w:right="179"/>
              <w:jc w:val="right"/>
            </w:pPr>
            <w:r>
              <w:t xml:space="preserve">+  0 .04 </w:t>
            </w:r>
          </w:p>
        </w:tc>
      </w:tr>
      <w:tr w:rsidR="00F93F50" w:rsidRPr="005324D2" w14:paraId="6E95F71A" w14:textId="77777777" w:rsidTr="00F93F50">
        <w:trPr>
          <w:trHeight w:val="330"/>
        </w:trPr>
        <w:tc>
          <w:tcPr>
            <w:tcW w:w="5718" w:type="dxa"/>
            <w:shd w:val="clear" w:color="auto" w:fill="auto"/>
            <w:noWrap/>
            <w:hideMark/>
          </w:tcPr>
          <w:p w14:paraId="7466D19D" w14:textId="77777777" w:rsidR="00F93F50" w:rsidRPr="008711E3" w:rsidRDefault="00F93F50" w:rsidP="00F93F50">
            <w:pPr>
              <w:pStyle w:val="TableParagraph"/>
              <w:spacing w:before="20" w:after="20"/>
              <w:ind w:left="171"/>
            </w:pPr>
            <w:r>
              <w:t>Licence and Learner Permit Testing</w:t>
            </w:r>
          </w:p>
        </w:tc>
        <w:tc>
          <w:tcPr>
            <w:tcW w:w="1321" w:type="dxa"/>
            <w:shd w:val="clear" w:color="auto" w:fill="auto"/>
            <w:noWrap/>
            <w:hideMark/>
          </w:tcPr>
          <w:p w14:paraId="27846A0D" w14:textId="7B0B3465" w:rsidR="00F93F50" w:rsidRPr="008A6D06" w:rsidRDefault="00F93F50" w:rsidP="00F93F50">
            <w:pPr>
              <w:pStyle w:val="TableParagraph"/>
              <w:spacing w:before="20" w:after="20"/>
              <w:ind w:right="179"/>
              <w:jc w:val="right"/>
            </w:pPr>
            <w:r w:rsidRPr="00BA29FD">
              <w:t xml:space="preserve"> 40.94 </w:t>
            </w:r>
          </w:p>
        </w:tc>
        <w:tc>
          <w:tcPr>
            <w:tcW w:w="1321" w:type="dxa"/>
            <w:shd w:val="clear" w:color="auto" w:fill="auto"/>
            <w:noWrap/>
            <w:hideMark/>
          </w:tcPr>
          <w:p w14:paraId="1DE52B7F" w14:textId="4DBA7B7D" w:rsidR="00F93F50" w:rsidRPr="008A6D06" w:rsidRDefault="00F93F50" w:rsidP="00F93F50">
            <w:pPr>
              <w:pStyle w:val="TableParagraph"/>
              <w:spacing w:before="20" w:after="20"/>
              <w:ind w:right="179"/>
              <w:jc w:val="right"/>
            </w:pPr>
            <w:r w:rsidRPr="00BA29FD">
              <w:t xml:space="preserve"> 30.71 </w:t>
            </w:r>
          </w:p>
        </w:tc>
        <w:tc>
          <w:tcPr>
            <w:tcW w:w="1351" w:type="dxa"/>
            <w:shd w:val="clear" w:color="auto" w:fill="auto"/>
            <w:noWrap/>
            <w:hideMark/>
          </w:tcPr>
          <w:p w14:paraId="7BC27881" w14:textId="2B5C8C3E" w:rsidR="00F93F50" w:rsidRPr="00276039" w:rsidRDefault="00F93F50" w:rsidP="00F93F50">
            <w:pPr>
              <w:pStyle w:val="TableParagraph"/>
              <w:spacing w:before="20" w:after="20"/>
              <w:ind w:right="179"/>
              <w:jc w:val="right"/>
              <w:rPr>
                <w:color w:val="FF0000"/>
              </w:rPr>
            </w:pPr>
            <w:r w:rsidRPr="007717E0">
              <w:rPr>
                <w:color w:val="FF0000"/>
              </w:rPr>
              <w:t xml:space="preserve">-    </w:t>
            </w:r>
            <w:r>
              <w:rPr>
                <w:color w:val="FF0000"/>
              </w:rPr>
              <w:t>10.22</w:t>
            </w:r>
            <w:r w:rsidRPr="007717E0">
              <w:rPr>
                <w:color w:val="FF0000"/>
              </w:rPr>
              <w:t xml:space="preserve"> </w:t>
            </w:r>
          </w:p>
        </w:tc>
      </w:tr>
      <w:tr w:rsidR="00F93F50" w:rsidRPr="005324D2" w14:paraId="3A4316DA" w14:textId="77777777" w:rsidTr="00F93F50">
        <w:trPr>
          <w:cnfStyle w:val="000000010000" w:firstRow="0" w:lastRow="0" w:firstColumn="0" w:lastColumn="0" w:oddVBand="0" w:evenVBand="0" w:oddHBand="0" w:evenHBand="1" w:firstRowFirstColumn="0" w:firstRowLastColumn="0" w:lastRowFirstColumn="0" w:lastRowLastColumn="0"/>
          <w:trHeight w:val="315"/>
        </w:trPr>
        <w:tc>
          <w:tcPr>
            <w:tcW w:w="5718" w:type="dxa"/>
            <w:shd w:val="clear" w:color="auto" w:fill="auto"/>
            <w:noWrap/>
            <w:hideMark/>
          </w:tcPr>
          <w:p w14:paraId="0A35A599" w14:textId="77777777" w:rsidR="00F93F50" w:rsidRPr="008711E3" w:rsidRDefault="00F93F50" w:rsidP="00F93F50">
            <w:pPr>
              <w:pStyle w:val="TableParagraph"/>
              <w:spacing w:before="20" w:after="20"/>
              <w:ind w:left="171"/>
            </w:pPr>
            <w:r w:rsidRPr="008711E3">
              <w:t xml:space="preserve">Medical </w:t>
            </w:r>
            <w:r>
              <w:t xml:space="preserve">Fitness-to-Drive </w:t>
            </w:r>
            <w:r w:rsidRPr="008711E3">
              <w:t>Review</w:t>
            </w:r>
          </w:p>
        </w:tc>
        <w:tc>
          <w:tcPr>
            <w:tcW w:w="1321" w:type="dxa"/>
            <w:shd w:val="clear" w:color="auto" w:fill="auto"/>
            <w:noWrap/>
            <w:hideMark/>
          </w:tcPr>
          <w:p w14:paraId="471E8984" w14:textId="1F37994E" w:rsidR="00F93F50" w:rsidRPr="008A6D06" w:rsidRDefault="00F93F50" w:rsidP="00F93F50">
            <w:pPr>
              <w:pStyle w:val="TableParagraph"/>
              <w:spacing w:before="20" w:after="20"/>
              <w:ind w:right="179"/>
              <w:jc w:val="right"/>
            </w:pPr>
            <w:r w:rsidRPr="00BA29FD">
              <w:t xml:space="preserve"> 6.83 </w:t>
            </w:r>
          </w:p>
        </w:tc>
        <w:tc>
          <w:tcPr>
            <w:tcW w:w="1321" w:type="dxa"/>
            <w:shd w:val="clear" w:color="auto" w:fill="auto"/>
            <w:noWrap/>
            <w:hideMark/>
          </w:tcPr>
          <w:p w14:paraId="798E69DC" w14:textId="47395687" w:rsidR="00F93F50" w:rsidRPr="008A6D06" w:rsidRDefault="00F93F50" w:rsidP="00F93F50">
            <w:pPr>
              <w:pStyle w:val="TableParagraph"/>
              <w:spacing w:before="20" w:after="20"/>
              <w:ind w:right="179"/>
              <w:jc w:val="right"/>
            </w:pPr>
            <w:r w:rsidRPr="00BA29FD">
              <w:t xml:space="preserve"> -   </w:t>
            </w:r>
          </w:p>
        </w:tc>
        <w:tc>
          <w:tcPr>
            <w:tcW w:w="1351" w:type="dxa"/>
            <w:shd w:val="clear" w:color="auto" w:fill="auto"/>
            <w:noWrap/>
            <w:hideMark/>
          </w:tcPr>
          <w:p w14:paraId="6780261D" w14:textId="21C8A99B" w:rsidR="00F93F50" w:rsidRPr="00276039" w:rsidRDefault="00F93F50" w:rsidP="00F93F50">
            <w:pPr>
              <w:pStyle w:val="TableParagraph"/>
              <w:spacing w:before="20" w:after="20"/>
              <w:ind w:right="179"/>
              <w:jc w:val="right"/>
              <w:rPr>
                <w:color w:val="FF0000"/>
              </w:rPr>
            </w:pPr>
            <w:r w:rsidRPr="007717E0">
              <w:rPr>
                <w:color w:val="FF0000"/>
              </w:rPr>
              <w:t xml:space="preserve">-    </w:t>
            </w:r>
            <w:r>
              <w:rPr>
                <w:color w:val="FF0000"/>
              </w:rPr>
              <w:t>6.83</w:t>
            </w:r>
            <w:r w:rsidRPr="007717E0">
              <w:rPr>
                <w:color w:val="FF0000"/>
              </w:rPr>
              <w:t xml:space="preserve"> </w:t>
            </w:r>
          </w:p>
        </w:tc>
      </w:tr>
      <w:tr w:rsidR="00F93F50" w:rsidRPr="005324D2" w14:paraId="7AC035E2" w14:textId="77777777" w:rsidTr="00F93F50">
        <w:trPr>
          <w:trHeight w:val="315"/>
        </w:trPr>
        <w:tc>
          <w:tcPr>
            <w:tcW w:w="5718" w:type="dxa"/>
            <w:shd w:val="clear" w:color="auto" w:fill="auto"/>
            <w:noWrap/>
            <w:hideMark/>
          </w:tcPr>
          <w:p w14:paraId="3AD08DC0" w14:textId="77777777" w:rsidR="00F93F50" w:rsidRDefault="00F93F50" w:rsidP="00F93F50">
            <w:pPr>
              <w:pStyle w:val="TableParagraph"/>
              <w:spacing w:before="20" w:after="20"/>
              <w:ind w:left="171"/>
            </w:pPr>
            <w:r>
              <w:t>Driver Behaviour Management - Sanctions</w:t>
            </w:r>
          </w:p>
        </w:tc>
        <w:tc>
          <w:tcPr>
            <w:tcW w:w="1321" w:type="dxa"/>
            <w:shd w:val="clear" w:color="auto" w:fill="auto"/>
            <w:noWrap/>
            <w:hideMark/>
          </w:tcPr>
          <w:p w14:paraId="6DDACF72" w14:textId="4A0975A2" w:rsidR="00F93F50" w:rsidRPr="008A6D06" w:rsidRDefault="00F93F50" w:rsidP="00F93F50">
            <w:pPr>
              <w:pStyle w:val="TableParagraph"/>
              <w:spacing w:before="20" w:after="20"/>
              <w:ind w:right="179"/>
              <w:jc w:val="right"/>
            </w:pPr>
            <w:r w:rsidRPr="00BA29FD">
              <w:t xml:space="preserve"> 10.36 </w:t>
            </w:r>
          </w:p>
        </w:tc>
        <w:tc>
          <w:tcPr>
            <w:tcW w:w="1321" w:type="dxa"/>
            <w:shd w:val="clear" w:color="auto" w:fill="auto"/>
            <w:noWrap/>
            <w:hideMark/>
          </w:tcPr>
          <w:p w14:paraId="7E553A4D" w14:textId="6562303E" w:rsidR="00F93F50" w:rsidRPr="008A6D06" w:rsidRDefault="00F93F50" w:rsidP="00F93F50">
            <w:pPr>
              <w:pStyle w:val="TableParagraph"/>
              <w:spacing w:before="20" w:after="20"/>
              <w:ind w:right="179"/>
              <w:jc w:val="right"/>
            </w:pPr>
            <w:r w:rsidRPr="00BA29FD">
              <w:t xml:space="preserve"> -   </w:t>
            </w:r>
          </w:p>
        </w:tc>
        <w:tc>
          <w:tcPr>
            <w:tcW w:w="1351" w:type="dxa"/>
            <w:shd w:val="clear" w:color="auto" w:fill="auto"/>
            <w:noWrap/>
            <w:hideMark/>
          </w:tcPr>
          <w:p w14:paraId="26AA9FC6" w14:textId="6FF75F03" w:rsidR="00F93F50" w:rsidRPr="00276039" w:rsidRDefault="00F93F50" w:rsidP="00F93F50">
            <w:pPr>
              <w:pStyle w:val="TableParagraph"/>
              <w:spacing w:before="20" w:after="20"/>
              <w:ind w:right="179"/>
              <w:jc w:val="right"/>
              <w:rPr>
                <w:color w:val="FF0000"/>
              </w:rPr>
            </w:pPr>
            <w:r w:rsidRPr="007717E0">
              <w:rPr>
                <w:color w:val="FF0000"/>
              </w:rPr>
              <w:t xml:space="preserve">-    </w:t>
            </w:r>
            <w:r>
              <w:rPr>
                <w:color w:val="FF0000"/>
              </w:rPr>
              <w:t>10.36</w:t>
            </w:r>
            <w:r w:rsidRPr="007717E0">
              <w:rPr>
                <w:color w:val="FF0000"/>
              </w:rPr>
              <w:t xml:space="preserve"> </w:t>
            </w:r>
          </w:p>
        </w:tc>
      </w:tr>
      <w:tr w:rsidR="00F93F50" w:rsidRPr="005324D2" w14:paraId="73A4C370" w14:textId="77777777" w:rsidTr="00F93F50">
        <w:trPr>
          <w:cnfStyle w:val="000000010000" w:firstRow="0" w:lastRow="0" w:firstColumn="0" w:lastColumn="0" w:oddVBand="0" w:evenVBand="0" w:oddHBand="0" w:evenHBand="1" w:firstRowFirstColumn="0" w:firstRowLastColumn="0" w:lastRowFirstColumn="0" w:lastRowLastColumn="0"/>
          <w:trHeight w:val="315"/>
        </w:trPr>
        <w:tc>
          <w:tcPr>
            <w:tcW w:w="5718" w:type="dxa"/>
            <w:shd w:val="clear" w:color="auto" w:fill="auto"/>
            <w:noWrap/>
          </w:tcPr>
          <w:p w14:paraId="3AE01FD4" w14:textId="77777777" w:rsidR="00F93F50" w:rsidRDefault="00F93F50" w:rsidP="00F93F50">
            <w:pPr>
              <w:pStyle w:val="TableParagraph"/>
              <w:spacing w:before="20" w:after="20"/>
              <w:ind w:left="171"/>
            </w:pPr>
            <w:r>
              <w:t>Driver Behaviour Management – Alcohol Interlocks</w:t>
            </w:r>
          </w:p>
        </w:tc>
        <w:tc>
          <w:tcPr>
            <w:tcW w:w="1321" w:type="dxa"/>
            <w:shd w:val="clear" w:color="auto" w:fill="auto"/>
            <w:noWrap/>
          </w:tcPr>
          <w:p w14:paraId="4331E441" w14:textId="25C8A5A5" w:rsidR="00F93F50" w:rsidRPr="005634E5" w:rsidRDefault="00F93F50" w:rsidP="00F93F50">
            <w:pPr>
              <w:pStyle w:val="TableParagraph"/>
              <w:spacing w:before="20" w:after="20"/>
              <w:ind w:right="179"/>
              <w:jc w:val="right"/>
            </w:pPr>
            <w:r w:rsidRPr="00BA29FD">
              <w:t xml:space="preserve"> 2.50 </w:t>
            </w:r>
          </w:p>
        </w:tc>
        <w:tc>
          <w:tcPr>
            <w:tcW w:w="1321" w:type="dxa"/>
            <w:shd w:val="clear" w:color="auto" w:fill="auto"/>
            <w:noWrap/>
          </w:tcPr>
          <w:p w14:paraId="6C0E5C17" w14:textId="7079F24C" w:rsidR="00F93F50" w:rsidRPr="00714BFE" w:rsidRDefault="00F93F50" w:rsidP="00F93F50">
            <w:pPr>
              <w:pStyle w:val="TableParagraph"/>
              <w:spacing w:before="20" w:after="20"/>
              <w:ind w:right="179"/>
              <w:jc w:val="right"/>
            </w:pPr>
            <w:r w:rsidRPr="00BA29FD">
              <w:t xml:space="preserve"> 3.24 </w:t>
            </w:r>
          </w:p>
        </w:tc>
        <w:tc>
          <w:tcPr>
            <w:tcW w:w="1351" w:type="dxa"/>
            <w:shd w:val="clear" w:color="auto" w:fill="auto"/>
            <w:noWrap/>
          </w:tcPr>
          <w:p w14:paraId="7DEFCD52" w14:textId="58EB66D4" w:rsidR="00F93F50" w:rsidRDefault="00F93F50" w:rsidP="00F93F50">
            <w:pPr>
              <w:pStyle w:val="TableParagraph"/>
              <w:spacing w:before="20" w:after="20"/>
              <w:ind w:right="179"/>
              <w:jc w:val="right"/>
            </w:pPr>
            <w:r w:rsidRPr="00041660">
              <w:rPr>
                <w:color w:val="000000" w:themeColor="text1"/>
              </w:rPr>
              <w:t>-    0.7</w:t>
            </w:r>
            <w:r>
              <w:rPr>
                <w:color w:val="000000" w:themeColor="text1"/>
              </w:rPr>
              <w:t>4</w:t>
            </w:r>
            <w:r w:rsidRPr="00041660">
              <w:rPr>
                <w:color w:val="000000" w:themeColor="text1"/>
              </w:rPr>
              <w:t xml:space="preserve"> </w:t>
            </w:r>
          </w:p>
        </w:tc>
      </w:tr>
      <w:tr w:rsidR="00F93F50" w:rsidRPr="005324D2" w14:paraId="2F0DBB3D" w14:textId="77777777" w:rsidTr="00F93F50">
        <w:trPr>
          <w:trHeight w:val="315"/>
        </w:trPr>
        <w:tc>
          <w:tcPr>
            <w:tcW w:w="5718" w:type="dxa"/>
            <w:shd w:val="clear" w:color="auto" w:fill="auto"/>
            <w:noWrap/>
            <w:hideMark/>
          </w:tcPr>
          <w:p w14:paraId="12EA9B3F" w14:textId="77777777" w:rsidR="00F93F50" w:rsidRPr="008711E3" w:rsidRDefault="00F93F50" w:rsidP="00F93F50">
            <w:pPr>
              <w:pStyle w:val="TableParagraph"/>
              <w:spacing w:before="20" w:after="20"/>
              <w:ind w:left="171"/>
            </w:pPr>
            <w:r>
              <w:t>Information Extracts and Reports</w:t>
            </w:r>
          </w:p>
        </w:tc>
        <w:tc>
          <w:tcPr>
            <w:tcW w:w="1321" w:type="dxa"/>
            <w:shd w:val="clear" w:color="auto" w:fill="auto"/>
            <w:noWrap/>
            <w:hideMark/>
          </w:tcPr>
          <w:p w14:paraId="4D528798" w14:textId="7611E284" w:rsidR="00F93F50" w:rsidRPr="008A6D06" w:rsidRDefault="00F93F50" w:rsidP="00F93F50">
            <w:pPr>
              <w:pStyle w:val="TableParagraph"/>
              <w:spacing w:before="20" w:after="20"/>
              <w:ind w:right="179"/>
              <w:jc w:val="right"/>
            </w:pPr>
            <w:r w:rsidRPr="00BA29FD">
              <w:t xml:space="preserve"> 2.53 </w:t>
            </w:r>
          </w:p>
        </w:tc>
        <w:tc>
          <w:tcPr>
            <w:tcW w:w="1321" w:type="dxa"/>
            <w:shd w:val="clear" w:color="auto" w:fill="auto"/>
            <w:noWrap/>
            <w:hideMark/>
          </w:tcPr>
          <w:p w14:paraId="7228A589" w14:textId="5AAC7D8C" w:rsidR="00F93F50" w:rsidRPr="008A6D06" w:rsidRDefault="00F93F50" w:rsidP="00F93F50">
            <w:pPr>
              <w:pStyle w:val="TableParagraph"/>
              <w:spacing w:before="20" w:after="20"/>
              <w:ind w:right="179"/>
              <w:jc w:val="right"/>
            </w:pPr>
            <w:r w:rsidRPr="00BA29FD">
              <w:t xml:space="preserve"> 2.65 </w:t>
            </w:r>
          </w:p>
        </w:tc>
        <w:tc>
          <w:tcPr>
            <w:tcW w:w="1351" w:type="dxa"/>
            <w:shd w:val="clear" w:color="auto" w:fill="auto"/>
            <w:noWrap/>
            <w:hideMark/>
          </w:tcPr>
          <w:p w14:paraId="1C637860" w14:textId="63C084A2" w:rsidR="00F93F50" w:rsidRPr="008A6D06" w:rsidRDefault="00F93F50" w:rsidP="00F93F50">
            <w:pPr>
              <w:pStyle w:val="TableParagraph"/>
              <w:spacing w:before="20" w:after="20"/>
              <w:ind w:right="179"/>
              <w:jc w:val="right"/>
            </w:pPr>
            <w:r>
              <w:t xml:space="preserve">+   </w:t>
            </w:r>
            <w:r w:rsidRPr="00A5459A">
              <w:t>0.1</w:t>
            </w:r>
            <w:r>
              <w:t>2</w:t>
            </w:r>
            <w:r w:rsidRPr="00A5459A">
              <w:t xml:space="preserve"> </w:t>
            </w:r>
          </w:p>
        </w:tc>
      </w:tr>
      <w:tr w:rsidR="00F93F50" w:rsidRPr="00B92BA2" w14:paraId="78F16A3B" w14:textId="77777777" w:rsidTr="00F93F50">
        <w:trPr>
          <w:cnfStyle w:val="000000010000" w:firstRow="0" w:lastRow="0" w:firstColumn="0" w:lastColumn="0" w:oddVBand="0" w:evenVBand="0" w:oddHBand="0" w:evenHBand="1" w:firstRowFirstColumn="0" w:firstRowLastColumn="0" w:lastRowFirstColumn="0" w:lastRowLastColumn="0"/>
          <w:trHeight w:val="330"/>
        </w:trPr>
        <w:tc>
          <w:tcPr>
            <w:tcW w:w="5718" w:type="dxa"/>
            <w:shd w:val="clear" w:color="auto" w:fill="DDE8F4" w:themeFill="text2" w:themeFillTint="1A"/>
            <w:noWrap/>
            <w:hideMark/>
          </w:tcPr>
          <w:p w14:paraId="3CD4EE20" w14:textId="77777777" w:rsidR="00F93F50" w:rsidRPr="003E2558" w:rsidRDefault="00F93F50" w:rsidP="00F93F50">
            <w:pPr>
              <w:pStyle w:val="TableParagraph"/>
              <w:spacing w:before="20" w:after="20"/>
              <w:jc w:val="right"/>
              <w:rPr>
                <w:b/>
              </w:rPr>
            </w:pPr>
            <w:r w:rsidRPr="003E2558">
              <w:rPr>
                <w:b/>
              </w:rPr>
              <w:t>Total Services</w:t>
            </w:r>
          </w:p>
        </w:tc>
        <w:tc>
          <w:tcPr>
            <w:tcW w:w="1321" w:type="dxa"/>
            <w:shd w:val="clear" w:color="auto" w:fill="DDE8F4" w:themeFill="text2" w:themeFillTint="1A"/>
            <w:noWrap/>
          </w:tcPr>
          <w:p w14:paraId="4FC008BB" w14:textId="4CBFBE3C" w:rsidR="00F93F50" w:rsidRPr="00F93F50" w:rsidRDefault="00F93F50" w:rsidP="00F93F50">
            <w:pPr>
              <w:pStyle w:val="TableParagraph"/>
              <w:spacing w:before="20" w:after="20"/>
              <w:ind w:right="179"/>
              <w:jc w:val="right"/>
              <w:rPr>
                <w:b/>
              </w:rPr>
            </w:pPr>
            <w:r w:rsidRPr="00F93F50">
              <w:rPr>
                <w:b/>
              </w:rPr>
              <w:t xml:space="preserve"> 69.86 </w:t>
            </w:r>
          </w:p>
        </w:tc>
        <w:tc>
          <w:tcPr>
            <w:tcW w:w="1321" w:type="dxa"/>
            <w:shd w:val="clear" w:color="auto" w:fill="DDE8F4" w:themeFill="text2" w:themeFillTint="1A"/>
            <w:noWrap/>
          </w:tcPr>
          <w:p w14:paraId="151BD63D" w14:textId="470F4283" w:rsidR="00F93F50" w:rsidRPr="00F93F50" w:rsidRDefault="00F93F50" w:rsidP="00F93F50">
            <w:pPr>
              <w:pStyle w:val="TableParagraph"/>
              <w:spacing w:before="20" w:after="20"/>
              <w:ind w:right="179"/>
              <w:jc w:val="right"/>
              <w:rPr>
                <w:b/>
              </w:rPr>
            </w:pPr>
            <w:r w:rsidRPr="00F93F50">
              <w:rPr>
                <w:b/>
              </w:rPr>
              <w:t xml:space="preserve"> 43.34 </w:t>
            </w:r>
          </w:p>
        </w:tc>
        <w:tc>
          <w:tcPr>
            <w:tcW w:w="1351" w:type="dxa"/>
            <w:shd w:val="clear" w:color="auto" w:fill="DDE8F4" w:themeFill="text2" w:themeFillTint="1A"/>
            <w:noWrap/>
          </w:tcPr>
          <w:p w14:paraId="67F68FA4" w14:textId="0D9823F6" w:rsidR="00F93F50" w:rsidRPr="00276039" w:rsidRDefault="00F93F50" w:rsidP="00F93F50">
            <w:pPr>
              <w:pStyle w:val="TableParagraph"/>
              <w:spacing w:before="20" w:after="20"/>
              <w:ind w:right="171"/>
              <w:jc w:val="right"/>
              <w:rPr>
                <w:b/>
                <w:color w:val="FF0000"/>
              </w:rPr>
            </w:pPr>
            <w:r w:rsidRPr="001374B0">
              <w:rPr>
                <w:b/>
                <w:color w:val="FF0000"/>
              </w:rPr>
              <w:t xml:space="preserve">-  </w:t>
            </w:r>
            <w:r>
              <w:rPr>
                <w:b/>
                <w:color w:val="FF0000"/>
              </w:rPr>
              <w:t>26.52</w:t>
            </w:r>
          </w:p>
        </w:tc>
      </w:tr>
      <w:tr w:rsidR="00370DA6" w:rsidRPr="00B92BA2" w14:paraId="5AFB5915" w14:textId="77777777" w:rsidTr="00F93F50">
        <w:trPr>
          <w:trHeight w:val="330"/>
        </w:trPr>
        <w:tc>
          <w:tcPr>
            <w:tcW w:w="5718" w:type="dxa"/>
            <w:shd w:val="clear" w:color="auto" w:fill="DDE8F4" w:themeFill="text2" w:themeFillTint="1A"/>
            <w:noWrap/>
          </w:tcPr>
          <w:p w14:paraId="60854999" w14:textId="77777777" w:rsidR="00370DA6" w:rsidRPr="003E2558" w:rsidRDefault="00370DA6" w:rsidP="00370DA6">
            <w:pPr>
              <w:pStyle w:val="TableParagraph"/>
              <w:spacing w:before="20" w:after="20"/>
              <w:jc w:val="right"/>
              <w:rPr>
                <w:b/>
              </w:rPr>
            </w:pPr>
            <w:r w:rsidRPr="007717E0">
              <w:rPr>
                <w:i/>
              </w:rPr>
              <w:t>Cost Recovery</w:t>
            </w:r>
          </w:p>
        </w:tc>
        <w:tc>
          <w:tcPr>
            <w:tcW w:w="1321" w:type="dxa"/>
            <w:shd w:val="clear" w:color="auto" w:fill="DDE8F4" w:themeFill="text2" w:themeFillTint="1A"/>
            <w:noWrap/>
          </w:tcPr>
          <w:p w14:paraId="74656FA2" w14:textId="77777777" w:rsidR="00370DA6" w:rsidRPr="00E41A91" w:rsidRDefault="00370DA6" w:rsidP="00370DA6">
            <w:pPr>
              <w:pStyle w:val="TableParagraph"/>
              <w:spacing w:before="20" w:after="20"/>
              <w:ind w:right="179"/>
              <w:jc w:val="right"/>
              <w:rPr>
                <w:i/>
              </w:rPr>
            </w:pPr>
          </w:p>
        </w:tc>
        <w:tc>
          <w:tcPr>
            <w:tcW w:w="1321" w:type="dxa"/>
            <w:shd w:val="clear" w:color="auto" w:fill="DDE8F4" w:themeFill="text2" w:themeFillTint="1A"/>
            <w:noWrap/>
          </w:tcPr>
          <w:p w14:paraId="7278A01F" w14:textId="2B84A93C" w:rsidR="00370DA6" w:rsidRPr="00C35416" w:rsidRDefault="00370DA6" w:rsidP="00370DA6">
            <w:pPr>
              <w:pStyle w:val="TableParagraph"/>
              <w:spacing w:before="20" w:after="20"/>
              <w:ind w:right="179"/>
              <w:jc w:val="right"/>
              <w:rPr>
                <w:i/>
              </w:rPr>
            </w:pPr>
            <w:r>
              <w:rPr>
                <w:i/>
              </w:rPr>
              <w:t>62.</w:t>
            </w:r>
            <w:r w:rsidR="00F93F50">
              <w:rPr>
                <w:i/>
              </w:rPr>
              <w:t>0</w:t>
            </w:r>
            <w:r w:rsidRPr="008976C1">
              <w:rPr>
                <w:i/>
              </w:rPr>
              <w:t>%</w:t>
            </w:r>
          </w:p>
        </w:tc>
        <w:tc>
          <w:tcPr>
            <w:tcW w:w="1351" w:type="dxa"/>
            <w:shd w:val="clear" w:color="auto" w:fill="DDE8F4" w:themeFill="text2" w:themeFillTint="1A"/>
            <w:noWrap/>
          </w:tcPr>
          <w:p w14:paraId="18A3B249" w14:textId="22E2F148" w:rsidR="00370DA6" w:rsidRPr="00C35416" w:rsidRDefault="00370DA6" w:rsidP="00370DA6">
            <w:pPr>
              <w:pStyle w:val="TableParagraph"/>
              <w:spacing w:before="20" w:after="20"/>
              <w:ind w:right="171"/>
              <w:jc w:val="right"/>
              <w:rPr>
                <w:i/>
                <w:color w:val="FF0000"/>
              </w:rPr>
            </w:pPr>
            <w:r>
              <w:rPr>
                <w:i/>
                <w:color w:val="FF0000"/>
              </w:rPr>
              <w:t>3</w:t>
            </w:r>
            <w:r w:rsidR="00F93F50">
              <w:rPr>
                <w:i/>
                <w:color w:val="FF0000"/>
              </w:rPr>
              <w:t>8</w:t>
            </w:r>
            <w:r>
              <w:rPr>
                <w:i/>
                <w:color w:val="FF0000"/>
              </w:rPr>
              <w:t>.</w:t>
            </w:r>
            <w:r w:rsidR="00F93F50">
              <w:rPr>
                <w:i/>
                <w:color w:val="FF0000"/>
              </w:rPr>
              <w:t>0</w:t>
            </w:r>
            <w:r w:rsidRPr="008976C1">
              <w:rPr>
                <w:i/>
                <w:color w:val="FF0000"/>
              </w:rPr>
              <w:t>%</w:t>
            </w:r>
          </w:p>
        </w:tc>
      </w:tr>
    </w:tbl>
    <w:p w14:paraId="3AB044E8" w14:textId="52C8112A" w:rsidR="00370DA6" w:rsidRDefault="00370DA6" w:rsidP="00EF25DD">
      <w:pPr>
        <w:pStyle w:val="TextPara"/>
      </w:pPr>
      <w:r>
        <w:t xml:space="preserve">The services with substantial under-recovery cannot be fully recovered without incurring adverse consequences. For example, charging the full costs of driver testing </w:t>
      </w:r>
      <w:r w:rsidR="0026454D">
        <w:t>(</w:t>
      </w:r>
      <w:r>
        <w:t>projected under-recovery $</w:t>
      </w:r>
      <w:r w:rsidR="00636D19">
        <w:t>10.22</w:t>
      </w:r>
      <w:r>
        <w:t xml:space="preserve"> million p.a.</w:t>
      </w:r>
      <w:r w:rsidR="0026454D">
        <w:t>)</w:t>
      </w:r>
      <w:r>
        <w:t xml:space="preserve"> and medical fitness-to-drive review </w:t>
      </w:r>
      <w:r w:rsidR="0026454D">
        <w:t>(</w:t>
      </w:r>
      <w:r>
        <w:t>projected under-recovery $6.</w:t>
      </w:r>
      <w:r w:rsidR="00636D19">
        <w:t>83</w:t>
      </w:r>
      <w:r>
        <w:t xml:space="preserve"> million p.a</w:t>
      </w:r>
      <w:r w:rsidR="0026454D">
        <w:t xml:space="preserve">.) </w:t>
      </w:r>
      <w:r>
        <w:t>may result in increased levels of unlicensed driving (due to affordability) and increased numbers of dangerous drivers (due to unreported medical conditions) respectively. These adverse consequences impose a cost on other road users and government sectors in terms of increased risk and cost of road trauma and reduced productivity. Therefore, avoiding these adverse consequences benefits other road users and the entire community.</w:t>
      </w:r>
    </w:p>
    <w:p w14:paraId="175057AB" w14:textId="6C1F7ADC" w:rsidR="00370DA6" w:rsidRDefault="00370DA6" w:rsidP="00BF5F74">
      <w:pPr>
        <w:pStyle w:val="TextPara"/>
      </w:pPr>
      <w:r>
        <w:t xml:space="preserve">It is </w:t>
      </w:r>
      <w:r w:rsidR="00AC6E03">
        <w:t>proposed</w:t>
      </w:r>
      <w:r>
        <w:t xml:space="preserve"> that the fees applicable under the current Regulations are retained and that no new fees be introduced. The outcome of this recommendation is that the Drivers Regulations</w:t>
      </w:r>
      <w:r w:rsidDel="0072363C">
        <w:t xml:space="preserve"> </w:t>
      </w:r>
      <w:r w:rsidRPr="004D4544">
        <w:rPr>
          <w:b/>
        </w:rPr>
        <w:t>Services Groups</w:t>
      </w:r>
      <w:r>
        <w:t xml:space="preserve"> are projected to recover 62.</w:t>
      </w:r>
      <w:r w:rsidR="00636D19">
        <w:t>0</w:t>
      </w:r>
      <w:r>
        <w:t xml:space="preserve">% of the costs to deliver the services as shown in </w:t>
      </w:r>
      <w:r w:rsidRPr="006F1592">
        <w:rPr>
          <w:szCs w:val="20"/>
        </w:rPr>
        <w:fldChar w:fldCharType="begin"/>
      </w:r>
      <w:r w:rsidRPr="006F1592">
        <w:rPr>
          <w:szCs w:val="20"/>
        </w:rPr>
        <w:instrText xml:space="preserve"> REF _Ref520280508 \h </w:instrText>
      </w:r>
      <w:r>
        <w:rPr>
          <w:szCs w:val="20"/>
        </w:rPr>
        <w:instrText xml:space="preserve"> \* MERGEFORMAT </w:instrText>
      </w:r>
      <w:r w:rsidRPr="006F1592">
        <w:rPr>
          <w:szCs w:val="20"/>
        </w:rPr>
      </w:r>
      <w:r w:rsidRPr="006F1592">
        <w:rPr>
          <w:szCs w:val="20"/>
        </w:rPr>
        <w:fldChar w:fldCharType="separate"/>
      </w:r>
      <w:r w:rsidR="00EB4B02" w:rsidRPr="00EB4B02">
        <w:rPr>
          <w:szCs w:val="20"/>
        </w:rPr>
        <w:t xml:space="preserve">Table </w:t>
      </w:r>
      <w:r w:rsidR="00EB4B02" w:rsidRPr="00EB4B02">
        <w:rPr>
          <w:noProof/>
          <w:szCs w:val="20"/>
        </w:rPr>
        <w:t>2</w:t>
      </w:r>
      <w:r w:rsidRPr="006F1592">
        <w:rPr>
          <w:szCs w:val="20"/>
        </w:rPr>
        <w:fldChar w:fldCharType="end"/>
      </w:r>
      <w:r>
        <w:rPr>
          <w:szCs w:val="20"/>
        </w:rPr>
        <w:t xml:space="preserve">. </w:t>
      </w:r>
      <w:r>
        <w:t>The shortfall of $2</w:t>
      </w:r>
      <w:r w:rsidR="00636D19">
        <w:t>6.52</w:t>
      </w:r>
      <w:r>
        <w:t>m is largely driven by the provision of services where no fee is charged (demerit points and sanction management, and medical fitness-to-drive review services) and a substantial shortfall in fee revenue relating to costs from licence and learner permit t</w:t>
      </w:r>
      <w:r w:rsidRPr="008711E3">
        <w:t>esting</w:t>
      </w:r>
      <w:r>
        <w:t>.</w:t>
      </w:r>
    </w:p>
    <w:p w14:paraId="003FF75E" w14:textId="13589645" w:rsidR="00370DA6" w:rsidRDefault="00370DA6" w:rsidP="00BF5F74">
      <w:pPr>
        <w:pStyle w:val="TextPara"/>
      </w:pPr>
      <w:r>
        <w:t>The $2</w:t>
      </w:r>
      <w:r w:rsidR="00636D19">
        <w:t>6.52</w:t>
      </w:r>
      <w:r>
        <w:t>m shortfall for these services will need to be met by government funding.</w:t>
      </w:r>
    </w:p>
    <w:p w14:paraId="2146B870" w14:textId="56823D58" w:rsidR="0095547B" w:rsidRPr="008A6745" w:rsidRDefault="0095547B" w:rsidP="0095547B">
      <w:pPr>
        <w:spacing w:before="120" w:line="280" w:lineRule="exact"/>
        <w:rPr>
          <w:rFonts w:ascii="Segoe UI" w:hAnsi="Segoe UI" w:cs="Segoe UI"/>
        </w:rPr>
      </w:pPr>
      <w:r w:rsidRPr="008A6745">
        <w:rPr>
          <w:rFonts w:ascii="Segoe UI" w:hAnsi="Segoe UI" w:cs="Segoe UI"/>
        </w:rPr>
        <w:t xml:space="preserve">In addition, there is another shortfall of approximately $16.27m which relates to the provision of licence issue and renewal services in support of the collection of fees prescribed in the </w:t>
      </w:r>
      <w:r w:rsidRPr="008A6745">
        <w:rPr>
          <w:rFonts w:ascii="Segoe UI" w:hAnsi="Segoe UI" w:cs="Segoe UI"/>
          <w:i/>
        </w:rPr>
        <w:t>RSA,</w:t>
      </w:r>
      <w:r w:rsidRPr="008A6745">
        <w:rPr>
          <w:rFonts w:ascii="Segoe UI" w:hAnsi="Segoe UI" w:cs="Segoe UI"/>
        </w:rPr>
        <w:t xml:space="preserve"> which include licence fees for motor vehicle and motor cycle.</w:t>
      </w:r>
    </w:p>
    <w:p w14:paraId="1388FF4B" w14:textId="31231EB7" w:rsidR="0095547B" w:rsidRPr="008A6745" w:rsidRDefault="00D229DE" w:rsidP="008A6745">
      <w:pPr>
        <w:spacing w:before="120" w:line="280" w:lineRule="exact"/>
        <w:rPr>
          <w:rFonts w:ascii="Segoe UI" w:hAnsi="Segoe UI" w:cs="Segoe UI"/>
        </w:rPr>
      </w:pPr>
      <w:r w:rsidRPr="008A6745">
        <w:rPr>
          <w:rFonts w:ascii="Segoe UI" w:hAnsi="Segoe UI" w:cs="Segoe UI"/>
        </w:rPr>
        <w:t>Whilst the proposed fees are to be set for the full regulatory period (10 years) an interim re-evaluation of fees is planned to be conducted in 2023</w:t>
      </w:r>
      <w:r w:rsidR="008A6745" w:rsidRPr="008A6745">
        <w:rPr>
          <w:rFonts w:ascii="Segoe UI" w:hAnsi="Segoe UI" w:cs="Segoe UI"/>
        </w:rPr>
        <w:t>.</w:t>
      </w:r>
      <w:r w:rsidRPr="008A6745">
        <w:rPr>
          <w:rFonts w:ascii="Segoe UI" w:hAnsi="Segoe UI" w:cs="Segoe UI"/>
        </w:rPr>
        <w:t xml:space="preserve"> Given the imminent move of relevant VicRoads services to Service Victoria and given the weaknesses in the underlying data set out below, it is essential that a full fee review is </w:t>
      </w:r>
      <w:r w:rsidRPr="008A6745">
        <w:rPr>
          <w:rFonts w:ascii="Segoe UI" w:hAnsi="Segoe UI" w:cs="Segoe UI"/>
        </w:rPr>
        <w:lastRenderedPageBreak/>
        <w:t>undertaken mid-term as detailed in the Evaluation Strategy section (Section 18).</w:t>
      </w:r>
      <w:r w:rsidR="008A6745" w:rsidRPr="008A6745">
        <w:rPr>
          <w:rFonts w:ascii="Segoe UI" w:hAnsi="Segoe UI" w:cs="Segoe UI"/>
        </w:rPr>
        <w:t xml:space="preserve"> </w:t>
      </w:r>
      <w:r w:rsidR="0095547B" w:rsidRPr="008A6745">
        <w:rPr>
          <w:rFonts w:ascii="Segoe UI" w:hAnsi="Segoe UI" w:cs="Segoe UI"/>
        </w:rPr>
        <w:t xml:space="preserve">It is planned that </w:t>
      </w:r>
      <w:r w:rsidRPr="008A6745">
        <w:rPr>
          <w:rFonts w:ascii="Segoe UI" w:hAnsi="Segoe UI" w:cs="Segoe UI"/>
        </w:rPr>
        <w:t>this review will</w:t>
      </w:r>
      <w:r w:rsidR="0095547B" w:rsidRPr="008A6745">
        <w:rPr>
          <w:rFonts w:ascii="Segoe UI" w:hAnsi="Segoe UI" w:cs="Segoe UI"/>
        </w:rPr>
        <w:t xml:space="preserve"> determine </w:t>
      </w:r>
      <w:r w:rsidR="008A6745" w:rsidRPr="008A6745">
        <w:rPr>
          <w:rFonts w:ascii="Segoe UI" w:hAnsi="Segoe UI" w:cs="Segoe UI"/>
        </w:rPr>
        <w:t xml:space="preserve">whether fees remain appropriate </w:t>
      </w:r>
      <w:r w:rsidR="0095547B" w:rsidRPr="008A6745">
        <w:rPr>
          <w:rFonts w:ascii="Segoe UI" w:hAnsi="Segoe UI" w:cs="Segoe UI"/>
        </w:rPr>
        <w:t>and whether there has been substantive deviation from the forecast assumptions</w:t>
      </w:r>
      <w:r w:rsidRPr="008A6745">
        <w:rPr>
          <w:rFonts w:ascii="Segoe UI" w:hAnsi="Segoe UI" w:cs="Segoe UI"/>
        </w:rPr>
        <w:t xml:space="preserve"> above</w:t>
      </w:r>
      <w:r w:rsidR="0095547B" w:rsidRPr="008A6745">
        <w:rPr>
          <w:rFonts w:ascii="Segoe UI" w:hAnsi="Segoe UI" w:cs="Segoe UI"/>
        </w:rPr>
        <w:t>.</w:t>
      </w:r>
      <w:r w:rsidRPr="008A6745">
        <w:rPr>
          <w:rFonts w:ascii="Segoe UI" w:hAnsi="Segoe UI" w:cs="Segoe UI"/>
        </w:rPr>
        <w:t xml:space="preserve"> </w:t>
      </w:r>
      <w:r w:rsidR="0095547B" w:rsidRPr="008A6745">
        <w:rPr>
          <w:rFonts w:ascii="Segoe UI" w:hAnsi="Segoe UI" w:cs="Segoe UI"/>
        </w:rPr>
        <w:t>This review will take into</w:t>
      </w:r>
      <w:r w:rsidRPr="008A6745">
        <w:rPr>
          <w:rFonts w:ascii="Segoe UI" w:hAnsi="Segoe UI" w:cs="Segoe UI"/>
        </w:rPr>
        <w:t xml:space="preserve"> </w:t>
      </w:r>
      <w:r w:rsidR="008A6745" w:rsidRPr="008A6745">
        <w:rPr>
          <w:rFonts w:ascii="Segoe UI" w:hAnsi="Segoe UI" w:cs="Segoe UI"/>
        </w:rPr>
        <w:t>account</w:t>
      </w:r>
      <w:r w:rsidR="0095547B" w:rsidRPr="008A6745">
        <w:rPr>
          <w:rFonts w:ascii="Segoe UI" w:hAnsi="Segoe UI" w:cs="Segoe UI"/>
        </w:rPr>
        <w:t xml:space="preserve"> changes in technology and customer behaviours and demand. In addition</w:t>
      </w:r>
      <w:r w:rsidR="00647D21">
        <w:rPr>
          <w:rFonts w:ascii="Segoe UI" w:hAnsi="Segoe UI" w:cs="Segoe UI"/>
        </w:rPr>
        <w:t>,</w:t>
      </w:r>
      <w:r w:rsidR="008A6745" w:rsidRPr="008A6745">
        <w:rPr>
          <w:rFonts w:ascii="Segoe UI" w:hAnsi="Segoe UI" w:cs="Segoe UI"/>
        </w:rPr>
        <w:t xml:space="preserve"> some services</w:t>
      </w:r>
      <w:r w:rsidR="0095547B" w:rsidRPr="008A6745">
        <w:rPr>
          <w:rFonts w:ascii="Segoe UI" w:hAnsi="Segoe UI" w:cs="Segoe UI"/>
        </w:rPr>
        <w:t xml:space="preserve"> currently provided by VicRoads, such as driving licence renewals</w:t>
      </w:r>
      <w:r w:rsidR="008A6745" w:rsidRPr="008A6745">
        <w:rPr>
          <w:rFonts w:ascii="Segoe UI" w:hAnsi="Segoe UI" w:cs="Segoe UI"/>
        </w:rPr>
        <w:t>, will likely migrate to Service Victoria</w:t>
      </w:r>
      <w:r w:rsidR="0095547B" w:rsidRPr="008A6745">
        <w:rPr>
          <w:rFonts w:ascii="Segoe UI" w:hAnsi="Segoe UI" w:cs="Segoe UI"/>
        </w:rPr>
        <w:t>.  This will lead to changes in both the operations and costs of services as they move to Service Victoria during this period, and the review will look at these changes though an activity-based costing exercise when evaluating the fees</w:t>
      </w:r>
      <w:r w:rsidRPr="008A6745">
        <w:rPr>
          <w:rFonts w:ascii="Segoe UI" w:hAnsi="Segoe UI" w:cs="Segoe UI"/>
        </w:rPr>
        <w:t>.</w:t>
      </w:r>
    </w:p>
    <w:p w14:paraId="6B594138" w14:textId="4E8A0DF8" w:rsidR="0095547B" w:rsidRPr="0095547B" w:rsidRDefault="0095547B" w:rsidP="0095547B">
      <w:pPr>
        <w:spacing w:before="120" w:line="280" w:lineRule="exact"/>
        <w:rPr>
          <w:rFonts w:ascii="Segoe UI" w:hAnsi="Segoe UI"/>
        </w:rPr>
      </w:pPr>
    </w:p>
    <w:p w14:paraId="22833D37" w14:textId="77777777" w:rsidR="00370DA6" w:rsidRDefault="00370DA6"/>
    <w:p w14:paraId="1FD022B3" w14:textId="77777777" w:rsidR="00122C1B" w:rsidRPr="003332F1" w:rsidRDefault="00122C1B" w:rsidP="006713F9">
      <w:pPr>
        <w:pStyle w:val="PartHeading"/>
      </w:pPr>
      <w:bookmarkStart w:id="28" w:name="_Ref503865993"/>
      <w:bookmarkStart w:id="29" w:name="_Toc10703391"/>
      <w:r w:rsidRPr="003332F1">
        <w:lastRenderedPageBreak/>
        <w:t>INTRODUCTION</w:t>
      </w:r>
      <w:bookmarkEnd w:id="28"/>
      <w:bookmarkEnd w:id="29"/>
    </w:p>
    <w:p w14:paraId="0ECFFDF4" w14:textId="77777777" w:rsidR="00122C1B" w:rsidRPr="00642D04" w:rsidRDefault="00122C1B" w:rsidP="006713F9">
      <w:pPr>
        <w:pStyle w:val="Heading1"/>
        <w:rPr>
          <w:rStyle w:val="Strong"/>
          <w:b/>
          <w:bCs/>
          <w:color w:val="404040" w:themeColor="text1" w:themeTint="BF"/>
          <w:sz w:val="28"/>
        </w:rPr>
      </w:pPr>
      <w:bookmarkStart w:id="30" w:name="_Ref520790869"/>
      <w:bookmarkStart w:id="31" w:name="_Toc10703392"/>
      <w:r w:rsidRPr="00642D04">
        <w:rPr>
          <w:rStyle w:val="Strong"/>
          <w:b/>
          <w:bCs/>
          <w:color w:val="404040" w:themeColor="text1" w:themeTint="BF"/>
          <w:sz w:val="28"/>
        </w:rPr>
        <w:t>Legislative and policy framework</w:t>
      </w:r>
      <w:bookmarkEnd w:id="30"/>
      <w:bookmarkEnd w:id="31"/>
    </w:p>
    <w:p w14:paraId="5C4E33B5" w14:textId="77777777" w:rsidR="00122C1B" w:rsidRDefault="00122C1B" w:rsidP="001A063E">
      <w:pPr>
        <w:pStyle w:val="Heading2"/>
      </w:pPr>
      <w:bookmarkStart w:id="32" w:name="_Toc10703393"/>
      <w:r w:rsidRPr="00E10FF1">
        <w:t>Introduction</w:t>
      </w:r>
      <w:bookmarkEnd w:id="32"/>
    </w:p>
    <w:p w14:paraId="3F229E31" w14:textId="77777777" w:rsidR="00122C1B" w:rsidRPr="00117C96" w:rsidRDefault="00122C1B" w:rsidP="005A714F">
      <w:pPr>
        <w:pStyle w:val="TextPara"/>
        <w:rPr>
          <w:rFonts w:cs="Segoe UI"/>
          <w:lang w:eastAsia="en-AU"/>
        </w:rPr>
      </w:pPr>
      <w:r w:rsidRPr="00117C96">
        <w:rPr>
          <w:rFonts w:cs="Segoe UI"/>
          <w:lang w:eastAsia="en-AU"/>
        </w:rPr>
        <w:t xml:space="preserve">The </w:t>
      </w:r>
      <w:r w:rsidRPr="00117C96">
        <w:rPr>
          <w:rFonts w:cs="Segoe UI"/>
          <w:i/>
          <w:lang w:eastAsia="en-AU"/>
        </w:rPr>
        <w:t>Road Safety Act 1986</w:t>
      </w:r>
      <w:r w:rsidRPr="00117C96">
        <w:rPr>
          <w:rFonts w:cs="Segoe UI"/>
          <w:lang w:eastAsia="en-AU"/>
        </w:rPr>
        <w:t xml:space="preserve"> (</w:t>
      </w:r>
      <w:r w:rsidRPr="00DB0D22">
        <w:rPr>
          <w:rFonts w:cs="Segoe UI"/>
          <w:b/>
          <w:i/>
          <w:lang w:eastAsia="en-AU"/>
        </w:rPr>
        <w:t>RSA</w:t>
      </w:r>
      <w:r w:rsidRPr="00117C96">
        <w:rPr>
          <w:rFonts w:cs="Segoe UI"/>
          <w:lang w:eastAsia="en-AU"/>
        </w:rPr>
        <w:t xml:space="preserve">) and the </w:t>
      </w:r>
      <w:r w:rsidRPr="00BB0059">
        <w:rPr>
          <w:rFonts w:cs="Segoe UI"/>
          <w:lang w:eastAsia="en-AU"/>
        </w:rPr>
        <w:t>Road Safety (Drivers) Regulations 2009</w:t>
      </w:r>
      <w:r w:rsidRPr="00117C96">
        <w:rPr>
          <w:rFonts w:cs="Segoe UI"/>
          <w:lang w:eastAsia="en-AU"/>
        </w:rPr>
        <w:t xml:space="preserve"> </w:t>
      </w:r>
      <w:r>
        <w:rPr>
          <w:rFonts w:cs="Segoe UI"/>
          <w:lang w:eastAsia="en-AU"/>
        </w:rPr>
        <w:t>(</w:t>
      </w:r>
      <w:r w:rsidRPr="00DB0D22">
        <w:rPr>
          <w:rFonts w:cs="Segoe UI"/>
          <w:b/>
          <w:lang w:eastAsia="en-AU"/>
        </w:rPr>
        <w:t>current Regulations</w:t>
      </w:r>
      <w:r>
        <w:rPr>
          <w:rFonts w:cs="Segoe UI"/>
          <w:lang w:eastAsia="en-AU"/>
        </w:rPr>
        <w:t xml:space="preserve">) </w:t>
      </w:r>
      <w:r w:rsidRPr="00117C96">
        <w:rPr>
          <w:rFonts w:cs="Segoe UI"/>
          <w:lang w:eastAsia="en-AU"/>
        </w:rPr>
        <w:t xml:space="preserve">made under </w:t>
      </w:r>
      <w:r>
        <w:rPr>
          <w:rFonts w:cs="Segoe UI"/>
          <w:lang w:eastAsia="en-AU"/>
        </w:rPr>
        <w:t>it</w:t>
      </w:r>
      <w:r w:rsidRPr="00117C96">
        <w:rPr>
          <w:rFonts w:cs="Segoe UI"/>
          <w:lang w:eastAsia="en-AU"/>
        </w:rPr>
        <w:t xml:space="preserve"> set the regulatory framework for the licensing of drivers in Victoria.</w:t>
      </w:r>
    </w:p>
    <w:p w14:paraId="2E1B85CF" w14:textId="77777777" w:rsidR="00122C1B" w:rsidRPr="00117C96" w:rsidRDefault="00122C1B" w:rsidP="00385F15">
      <w:pPr>
        <w:pStyle w:val="TextPara"/>
        <w:spacing w:after="0"/>
        <w:rPr>
          <w:rFonts w:cs="Segoe UI"/>
          <w:lang w:eastAsia="en-AU"/>
        </w:rPr>
      </w:pPr>
      <w:r w:rsidRPr="00117C96">
        <w:rPr>
          <w:rFonts w:cs="Segoe UI"/>
          <w:lang w:eastAsia="en-AU"/>
        </w:rPr>
        <w:t xml:space="preserve">Section 1 of the </w:t>
      </w:r>
      <w:r w:rsidRPr="006A392A">
        <w:rPr>
          <w:rFonts w:cs="Segoe UI"/>
          <w:i/>
          <w:lang w:eastAsia="en-AU"/>
        </w:rPr>
        <w:t>RSA</w:t>
      </w:r>
      <w:r w:rsidRPr="00117C96">
        <w:rPr>
          <w:rFonts w:cs="Segoe UI"/>
          <w:lang w:eastAsia="en-AU"/>
        </w:rPr>
        <w:t xml:space="preserve"> defines its purposes, which are to: </w:t>
      </w:r>
    </w:p>
    <w:p w14:paraId="70E91F07" w14:textId="77777777" w:rsidR="00122C1B" w:rsidRPr="00117C96" w:rsidRDefault="00122C1B" w:rsidP="00385F15">
      <w:pPr>
        <w:pStyle w:val="TextPara"/>
        <w:spacing w:before="0" w:after="0"/>
        <w:ind w:left="284"/>
        <w:rPr>
          <w:rFonts w:cs="Segoe UI"/>
          <w:lang w:eastAsia="en-AU"/>
        </w:rPr>
      </w:pPr>
      <w:r w:rsidRPr="00117C96">
        <w:rPr>
          <w:rFonts w:cs="Segoe UI"/>
          <w:lang w:eastAsia="en-AU"/>
        </w:rPr>
        <w:t>(a)</w:t>
      </w:r>
      <w:r w:rsidRPr="00117C96">
        <w:rPr>
          <w:rFonts w:cs="Segoe UI"/>
          <w:lang w:eastAsia="en-AU"/>
        </w:rPr>
        <w:tab/>
        <w:t>provide for safe, efficient and equitable road use</w:t>
      </w:r>
    </w:p>
    <w:p w14:paraId="3A583EAA" w14:textId="77777777" w:rsidR="00122C1B" w:rsidRPr="00117C96" w:rsidRDefault="00122C1B" w:rsidP="00385F15">
      <w:pPr>
        <w:pStyle w:val="TextPara"/>
        <w:spacing w:before="0" w:after="0"/>
        <w:ind w:left="284"/>
        <w:rPr>
          <w:rFonts w:cs="Segoe UI"/>
          <w:lang w:eastAsia="en-AU"/>
        </w:rPr>
      </w:pPr>
      <w:r w:rsidRPr="00117C96">
        <w:rPr>
          <w:rFonts w:cs="Segoe UI"/>
          <w:lang w:eastAsia="en-AU"/>
        </w:rPr>
        <w:t>(ab)</w:t>
      </w:r>
      <w:r w:rsidRPr="00117C96">
        <w:rPr>
          <w:rFonts w:cs="Segoe UI"/>
          <w:lang w:eastAsia="en-AU"/>
        </w:rPr>
        <w:tab/>
        <w:t>set out the general obligations of road users in relation to responsible road use</w:t>
      </w:r>
    </w:p>
    <w:p w14:paraId="6668C19E" w14:textId="77777777" w:rsidR="00122C1B" w:rsidRPr="00117C96" w:rsidRDefault="00122C1B" w:rsidP="00373906">
      <w:pPr>
        <w:pStyle w:val="TextPara"/>
        <w:spacing w:before="0" w:after="0"/>
        <w:ind w:left="709" w:hanging="425"/>
        <w:rPr>
          <w:rFonts w:cs="Segoe UI"/>
          <w:lang w:eastAsia="en-AU"/>
        </w:rPr>
      </w:pPr>
      <w:r w:rsidRPr="00117C96">
        <w:rPr>
          <w:rFonts w:cs="Segoe UI"/>
          <w:lang w:eastAsia="en-AU"/>
        </w:rPr>
        <w:t>(b)</w:t>
      </w:r>
      <w:r w:rsidRPr="00117C96">
        <w:rPr>
          <w:rFonts w:cs="Segoe UI"/>
          <w:lang w:eastAsia="en-AU"/>
        </w:rPr>
        <w:tab/>
        <w:t>improve and simplify procedures for the registration of motor vehicles and the licensing of drivers</w:t>
      </w:r>
    </w:p>
    <w:p w14:paraId="5BD8BDA3" w14:textId="77777777" w:rsidR="00122C1B" w:rsidRPr="00117C96" w:rsidRDefault="00122C1B" w:rsidP="00385F15">
      <w:pPr>
        <w:pStyle w:val="TextPara"/>
        <w:spacing w:before="0" w:after="0"/>
        <w:ind w:left="284"/>
        <w:rPr>
          <w:rFonts w:cs="Segoe UI"/>
          <w:lang w:eastAsia="en-AU"/>
        </w:rPr>
      </w:pPr>
      <w:r w:rsidRPr="00117C96">
        <w:rPr>
          <w:rFonts w:cs="Segoe UI"/>
          <w:lang w:eastAsia="en-AU"/>
        </w:rPr>
        <w:t>(c)</w:t>
      </w:r>
      <w:r w:rsidRPr="00117C96">
        <w:rPr>
          <w:rFonts w:cs="Segoe UI"/>
          <w:lang w:eastAsia="en-AU"/>
        </w:rPr>
        <w:tab/>
        <w:t>prevent the rebirthing of stolen vehicles</w:t>
      </w:r>
    </w:p>
    <w:p w14:paraId="24EFFDFE" w14:textId="77777777" w:rsidR="00122C1B" w:rsidRPr="00117C96" w:rsidRDefault="00122C1B" w:rsidP="00385F15">
      <w:pPr>
        <w:pStyle w:val="TextPara"/>
        <w:spacing w:before="0"/>
        <w:ind w:left="284"/>
        <w:rPr>
          <w:rFonts w:cs="Segoe UI"/>
          <w:lang w:eastAsia="en-AU"/>
        </w:rPr>
      </w:pPr>
      <w:r w:rsidRPr="00117C96">
        <w:rPr>
          <w:rFonts w:cs="Segoe UI"/>
          <w:lang w:eastAsia="en-AU"/>
        </w:rPr>
        <w:t>(d)</w:t>
      </w:r>
      <w:r w:rsidRPr="00117C96">
        <w:rPr>
          <w:rFonts w:cs="Segoe UI"/>
          <w:lang w:eastAsia="en-AU"/>
        </w:rPr>
        <w:tab/>
        <w:t>ensure the equitable distribution within the community of the costs of road use</w:t>
      </w:r>
      <w:r>
        <w:rPr>
          <w:rFonts w:cs="Segoe UI"/>
          <w:lang w:eastAsia="en-AU"/>
        </w:rPr>
        <w:t>.</w:t>
      </w:r>
    </w:p>
    <w:p w14:paraId="25EFC2B5" w14:textId="77777777" w:rsidR="00122C1B" w:rsidRPr="00117C96" w:rsidRDefault="00122C1B" w:rsidP="005A714F">
      <w:pPr>
        <w:pStyle w:val="TextPara"/>
        <w:rPr>
          <w:rFonts w:cs="Segoe UI"/>
          <w:lang w:eastAsia="en-AU"/>
        </w:rPr>
      </w:pPr>
      <w:r w:rsidRPr="00117C96">
        <w:rPr>
          <w:rFonts w:cs="Segoe UI"/>
          <w:lang w:eastAsia="en-AU"/>
        </w:rPr>
        <w:t xml:space="preserve">While a driver licence authorises and enables individuals to operate a motor vehicle, this </w:t>
      </w:r>
      <w:r>
        <w:rPr>
          <w:rFonts w:cs="Segoe UI"/>
          <w:lang w:eastAsia="en-AU"/>
        </w:rPr>
        <w:t>permission</w:t>
      </w:r>
      <w:r w:rsidRPr="00117C96">
        <w:rPr>
          <w:rFonts w:cs="Segoe UI"/>
          <w:lang w:eastAsia="en-AU"/>
        </w:rPr>
        <w:t xml:space="preserve"> comes with a set of corresponding responsibilities relating to road safety. The</w:t>
      </w:r>
      <w:r w:rsidR="00B62216">
        <w:rPr>
          <w:rFonts w:cs="Segoe UI"/>
          <w:lang w:eastAsia="en-AU"/>
        </w:rPr>
        <w:t xml:space="preserve"> driver</w:t>
      </w:r>
      <w:r w:rsidRPr="00117C96">
        <w:rPr>
          <w:rFonts w:cs="Segoe UI"/>
          <w:lang w:eastAsia="en-AU"/>
        </w:rPr>
        <w:t xml:space="preserve"> </w:t>
      </w:r>
      <w:r w:rsidR="004667F4">
        <w:rPr>
          <w:rFonts w:cs="Segoe UI"/>
          <w:lang w:eastAsia="en-AU"/>
        </w:rPr>
        <w:t xml:space="preserve">licensing </w:t>
      </w:r>
      <w:r w:rsidRPr="00117C96">
        <w:rPr>
          <w:rFonts w:cs="Segoe UI"/>
          <w:lang w:eastAsia="en-AU"/>
        </w:rPr>
        <w:t xml:space="preserve">scheme’s effectiveness </w:t>
      </w:r>
      <w:r w:rsidR="00B62216">
        <w:rPr>
          <w:rFonts w:cs="Segoe UI"/>
          <w:lang w:eastAsia="en-AU"/>
        </w:rPr>
        <w:t xml:space="preserve">also </w:t>
      </w:r>
      <w:r w:rsidRPr="00117C96">
        <w:rPr>
          <w:rFonts w:cs="Segoe UI"/>
          <w:lang w:eastAsia="en-AU"/>
        </w:rPr>
        <w:t xml:space="preserve">depends on its rules governing the removal of offending </w:t>
      </w:r>
      <w:r>
        <w:rPr>
          <w:rFonts w:cs="Segoe UI"/>
          <w:lang w:eastAsia="en-AU"/>
        </w:rPr>
        <w:t xml:space="preserve">and unsafe </w:t>
      </w:r>
      <w:r w:rsidRPr="00117C96">
        <w:rPr>
          <w:rFonts w:cs="Segoe UI"/>
          <w:lang w:eastAsia="en-AU"/>
        </w:rPr>
        <w:t xml:space="preserve">drivers from the roads, when appropriate. </w:t>
      </w:r>
    </w:p>
    <w:p w14:paraId="7A0D4D87" w14:textId="77777777" w:rsidR="00122C1B" w:rsidRDefault="00122C1B" w:rsidP="00B734E4">
      <w:pPr>
        <w:pStyle w:val="TextPara"/>
        <w:rPr>
          <w:rFonts w:cs="Segoe UI"/>
        </w:rPr>
      </w:pPr>
      <w:r>
        <w:rPr>
          <w:rFonts w:cs="Segoe UI"/>
          <w:lang w:eastAsia="en-AU"/>
        </w:rPr>
        <w:t>Section 5 of t</w:t>
      </w:r>
      <w:r>
        <w:t xml:space="preserve">he </w:t>
      </w:r>
      <w:r w:rsidRPr="00350FB9">
        <w:rPr>
          <w:i/>
        </w:rPr>
        <w:t>Subordinate Legislation Act 1994</w:t>
      </w:r>
      <w:r>
        <w:t xml:space="preserve"> prescribes the automatic revocation of regulations on the tenth anniversary of their making. This ensures that outdated and unnecessary regulations are automatically repealed.</w:t>
      </w:r>
      <w:r>
        <w:rPr>
          <w:rStyle w:val="EndnoteReference"/>
        </w:rPr>
        <w:endnoteReference w:id="13"/>
      </w:r>
      <w:r>
        <w:t xml:space="preserve"> </w:t>
      </w:r>
      <w:r w:rsidRPr="00117C96">
        <w:rPr>
          <w:rFonts w:cs="Segoe UI"/>
          <w:lang w:eastAsia="en-AU"/>
        </w:rPr>
        <w:t xml:space="preserve">The Road Safety (Drivers) Regulations 2009 were made on 26 August 2009, came into operation on 9 November 2009 and are due to </w:t>
      </w:r>
      <w:r>
        <w:rPr>
          <w:rFonts w:cs="Segoe UI"/>
          <w:lang w:eastAsia="en-AU"/>
        </w:rPr>
        <w:t>be revoked (</w:t>
      </w:r>
      <w:r w:rsidRPr="00117C96">
        <w:rPr>
          <w:rFonts w:cs="Segoe UI"/>
          <w:lang w:eastAsia="en-AU"/>
        </w:rPr>
        <w:t>sunset</w:t>
      </w:r>
      <w:r>
        <w:rPr>
          <w:rFonts w:cs="Segoe UI"/>
          <w:lang w:eastAsia="en-AU"/>
        </w:rPr>
        <w:t>)</w:t>
      </w:r>
      <w:r w:rsidRPr="00117C96">
        <w:rPr>
          <w:rFonts w:cs="Segoe UI"/>
          <w:lang w:eastAsia="en-AU"/>
        </w:rPr>
        <w:t xml:space="preserve"> on 26 August 2019. </w:t>
      </w:r>
      <w:r>
        <w:t>T</w:t>
      </w:r>
      <w:r w:rsidRPr="00117C96">
        <w:rPr>
          <w:rFonts w:cs="Segoe UI"/>
        </w:rPr>
        <w:t xml:space="preserve">he </w:t>
      </w:r>
      <w:r>
        <w:rPr>
          <w:rFonts w:cs="Segoe UI"/>
        </w:rPr>
        <w:t>review of these r</w:t>
      </w:r>
      <w:r w:rsidRPr="00117C96">
        <w:rPr>
          <w:rFonts w:cs="Segoe UI"/>
        </w:rPr>
        <w:t xml:space="preserve">egulations </w:t>
      </w:r>
      <w:r>
        <w:rPr>
          <w:rFonts w:cs="Segoe UI"/>
        </w:rPr>
        <w:t>is carried out every ten years</w:t>
      </w:r>
      <w:r w:rsidRPr="00117C96">
        <w:rPr>
          <w:rFonts w:cs="Segoe UI"/>
        </w:rPr>
        <w:t xml:space="preserve"> to</w:t>
      </w:r>
      <w:r w:rsidRPr="00A42CC9">
        <w:rPr>
          <w:rFonts w:cs="Segoe UI"/>
        </w:rPr>
        <w:t xml:space="preserve"> determine </w:t>
      </w:r>
      <w:r>
        <w:rPr>
          <w:rFonts w:cs="Segoe UI"/>
        </w:rPr>
        <w:t>the level of</w:t>
      </w:r>
      <w:r w:rsidRPr="00A42CC9">
        <w:rPr>
          <w:rFonts w:cs="Segoe UI"/>
        </w:rPr>
        <w:t xml:space="preserve"> regulation </w:t>
      </w:r>
      <w:r>
        <w:rPr>
          <w:rFonts w:cs="Segoe UI"/>
        </w:rPr>
        <w:t>that would</w:t>
      </w:r>
      <w:r w:rsidRPr="00A42CC9">
        <w:rPr>
          <w:rFonts w:cs="Segoe UI"/>
        </w:rPr>
        <w:t xml:space="preserve"> be justified</w:t>
      </w:r>
      <w:r>
        <w:rPr>
          <w:rFonts w:cs="Segoe UI"/>
        </w:rPr>
        <w:t xml:space="preserve"> for inclusion in their re-make. In the decade between these re-makes, the regulations are amended from time to time to support legislative changes and introduce further improvements.</w:t>
      </w:r>
    </w:p>
    <w:p w14:paraId="6B642196" w14:textId="77777777" w:rsidR="00122C1B" w:rsidRPr="006E102D" w:rsidRDefault="00122C1B" w:rsidP="00ED6C43">
      <w:pPr>
        <w:pStyle w:val="TextPara"/>
        <w:rPr>
          <w:rFonts w:cs="Segoe UI"/>
        </w:rPr>
      </w:pPr>
      <w:r w:rsidRPr="00DA5D90">
        <w:rPr>
          <w:rFonts w:cs="Segoe UI"/>
          <w:lang w:eastAsia="en-AU"/>
        </w:rPr>
        <w:t>The</w:t>
      </w:r>
      <w:r>
        <w:rPr>
          <w:rFonts w:cs="Segoe UI"/>
          <w:lang w:eastAsia="en-AU"/>
        </w:rPr>
        <w:t xml:space="preserve"> </w:t>
      </w:r>
      <w:r w:rsidRPr="006E102D">
        <w:rPr>
          <w:rFonts w:cs="Segoe UI"/>
        </w:rPr>
        <w:t xml:space="preserve">draft </w:t>
      </w:r>
      <w:r>
        <w:rPr>
          <w:rFonts w:cs="Segoe UI"/>
          <w:lang w:eastAsia="en-AU"/>
        </w:rPr>
        <w:t>proposed</w:t>
      </w:r>
      <w:r>
        <w:rPr>
          <w:rFonts w:cs="Segoe UI"/>
          <w:i/>
          <w:lang w:eastAsia="en-AU"/>
        </w:rPr>
        <w:t xml:space="preserve"> </w:t>
      </w:r>
      <w:r w:rsidRPr="001658AD">
        <w:rPr>
          <w:rFonts w:cs="Segoe UI"/>
          <w:lang w:eastAsia="en-AU"/>
        </w:rPr>
        <w:t>Road Safety (Drivers) Regulations 2019</w:t>
      </w:r>
      <w:r>
        <w:rPr>
          <w:rFonts w:cs="Segoe UI"/>
          <w:lang w:eastAsia="en-AU"/>
        </w:rPr>
        <w:t xml:space="preserve"> (</w:t>
      </w:r>
      <w:r w:rsidRPr="00DB0D22">
        <w:rPr>
          <w:rFonts w:cs="Segoe UI"/>
          <w:b/>
          <w:lang w:eastAsia="en-AU"/>
        </w:rPr>
        <w:t>proposed Regulations</w:t>
      </w:r>
      <w:r w:rsidRPr="00117C96">
        <w:rPr>
          <w:rFonts w:cs="Segoe UI"/>
          <w:lang w:eastAsia="en-AU"/>
        </w:rPr>
        <w:t xml:space="preserve">) </w:t>
      </w:r>
      <w:r w:rsidRPr="006E102D">
        <w:rPr>
          <w:rFonts w:cs="Segoe UI"/>
        </w:rPr>
        <w:t>attached</w:t>
      </w:r>
      <w:r w:rsidRPr="0070426A">
        <w:rPr>
          <w:rFonts w:cs="Segoe UI"/>
        </w:rPr>
        <w:t xml:space="preserve"> </w:t>
      </w:r>
      <w:r>
        <w:rPr>
          <w:rFonts w:cs="Segoe UI"/>
        </w:rPr>
        <w:t>to this Regulatory Impact Statement (</w:t>
      </w:r>
      <w:r w:rsidRPr="00DB0D22">
        <w:rPr>
          <w:rFonts w:cs="Segoe UI"/>
          <w:b/>
        </w:rPr>
        <w:t>RIS</w:t>
      </w:r>
      <w:r>
        <w:rPr>
          <w:rFonts w:cs="Segoe UI"/>
        </w:rPr>
        <w:t xml:space="preserve">) </w:t>
      </w:r>
      <w:r w:rsidRPr="00117C96">
        <w:rPr>
          <w:rFonts w:cs="Segoe UI"/>
          <w:lang w:eastAsia="en-AU"/>
        </w:rPr>
        <w:t>specify the requirements</w:t>
      </w:r>
      <w:r>
        <w:rPr>
          <w:rFonts w:cs="Segoe UI"/>
          <w:lang w:eastAsia="en-AU"/>
        </w:rPr>
        <w:t>, permissions</w:t>
      </w:r>
      <w:r w:rsidRPr="00117C96">
        <w:rPr>
          <w:rFonts w:cs="Segoe UI"/>
          <w:lang w:eastAsia="en-AU"/>
        </w:rPr>
        <w:t xml:space="preserve"> and obligations </w:t>
      </w:r>
      <w:r>
        <w:rPr>
          <w:rFonts w:cs="Segoe UI"/>
          <w:lang w:eastAsia="en-AU"/>
        </w:rPr>
        <w:t>relating to</w:t>
      </w:r>
      <w:r w:rsidRPr="00117C96">
        <w:rPr>
          <w:rFonts w:cs="Segoe UI"/>
          <w:lang w:eastAsia="en-AU"/>
        </w:rPr>
        <w:t xml:space="preserve"> driver licensing</w:t>
      </w:r>
      <w:r>
        <w:rPr>
          <w:rFonts w:cs="Segoe UI"/>
          <w:lang w:eastAsia="en-AU"/>
        </w:rPr>
        <w:t xml:space="preserve"> in Victoria. They</w:t>
      </w:r>
      <w:r w:rsidRPr="00117C96">
        <w:rPr>
          <w:rFonts w:cs="Segoe UI"/>
          <w:lang w:eastAsia="en-AU"/>
        </w:rPr>
        <w:t xml:space="preserve"> are necessary to ensure a safe public road network for all road users</w:t>
      </w:r>
      <w:r>
        <w:rPr>
          <w:rFonts w:cs="Segoe UI"/>
          <w:lang w:eastAsia="en-AU"/>
        </w:rPr>
        <w:t xml:space="preserve"> in this State.</w:t>
      </w:r>
      <w:r w:rsidRPr="00117C96">
        <w:rPr>
          <w:rFonts w:cs="Segoe UI"/>
          <w:lang w:eastAsia="en-AU"/>
        </w:rPr>
        <w:t xml:space="preserve"> </w:t>
      </w:r>
    </w:p>
    <w:p w14:paraId="7B6966E8" w14:textId="77777777" w:rsidR="00122C1B" w:rsidRPr="00117C96" w:rsidRDefault="00122C1B" w:rsidP="001658AD">
      <w:pPr>
        <w:pStyle w:val="TextPara"/>
        <w:spacing w:after="0"/>
        <w:rPr>
          <w:rFonts w:cs="Segoe UI"/>
          <w:lang w:eastAsia="en-AU"/>
        </w:rPr>
      </w:pPr>
      <w:r w:rsidRPr="00117C96">
        <w:rPr>
          <w:rFonts w:cs="Segoe UI"/>
          <w:lang w:eastAsia="en-AU"/>
        </w:rPr>
        <w:t xml:space="preserve">The proposed </w:t>
      </w:r>
      <w:r w:rsidRPr="006A392A">
        <w:rPr>
          <w:rFonts w:cs="Segoe UI"/>
          <w:lang w:eastAsia="en-AU"/>
        </w:rPr>
        <w:t>Regulations</w:t>
      </w:r>
      <w:r>
        <w:rPr>
          <w:rFonts w:cs="Segoe UI"/>
          <w:i/>
          <w:lang w:eastAsia="en-AU"/>
        </w:rPr>
        <w:t xml:space="preserve"> </w:t>
      </w:r>
      <w:r w:rsidRPr="00117C96">
        <w:rPr>
          <w:rFonts w:cs="Segoe UI"/>
          <w:lang w:eastAsia="en-AU"/>
        </w:rPr>
        <w:t xml:space="preserve">form part of a wider set of interrelated subordinate legislation under the </w:t>
      </w:r>
      <w:r w:rsidRPr="006A392A">
        <w:rPr>
          <w:rFonts w:cs="Segoe UI"/>
          <w:i/>
          <w:lang w:eastAsia="en-AU"/>
        </w:rPr>
        <w:t>RSA</w:t>
      </w:r>
      <w:r w:rsidRPr="00117C96">
        <w:rPr>
          <w:rFonts w:cs="Segoe UI"/>
          <w:lang w:eastAsia="en-AU"/>
        </w:rPr>
        <w:t>, which also include the following:</w:t>
      </w:r>
    </w:p>
    <w:p w14:paraId="159DD662" w14:textId="77777777" w:rsidR="00122C1B" w:rsidRPr="006A392A" w:rsidRDefault="00122C1B" w:rsidP="005F6F8B">
      <w:pPr>
        <w:pStyle w:val="Bullet1-Black"/>
      </w:pPr>
      <w:r w:rsidRPr="006A392A">
        <w:t>Road Safety (General) Regulations 20</w:t>
      </w:r>
      <w:r>
        <w:t>09</w:t>
      </w:r>
    </w:p>
    <w:p w14:paraId="63362A11" w14:textId="77777777" w:rsidR="00122C1B" w:rsidRPr="006A392A" w:rsidRDefault="00122C1B" w:rsidP="00457BB1">
      <w:pPr>
        <w:pStyle w:val="Bullet1-Black"/>
      </w:pPr>
      <w:r w:rsidRPr="006A392A">
        <w:t>Road Safety (Vehicle</w:t>
      </w:r>
      <w:r>
        <w:t>s</w:t>
      </w:r>
      <w:r w:rsidRPr="006A392A">
        <w:t>) Regulations 20</w:t>
      </w:r>
      <w:r>
        <w:t>09</w:t>
      </w:r>
    </w:p>
    <w:p w14:paraId="2FF8BE6B" w14:textId="77777777" w:rsidR="00122C1B" w:rsidRDefault="00122C1B">
      <w:pPr>
        <w:pStyle w:val="Bullet1-Black"/>
      </w:pPr>
      <w:r w:rsidRPr="006A392A">
        <w:t>Road Safety (Traffic Management) Regulations 2009</w:t>
      </w:r>
    </w:p>
    <w:p w14:paraId="74ADEC74" w14:textId="77777777" w:rsidR="00122C1B" w:rsidRPr="006A392A" w:rsidRDefault="00122C1B" w:rsidP="0025587F">
      <w:pPr>
        <w:pStyle w:val="Bullet1-Black"/>
      </w:pPr>
      <w:r>
        <w:t>Road Safety (Driving Instructors) Regulations 2010</w:t>
      </w:r>
    </w:p>
    <w:p w14:paraId="4F551952" w14:textId="77777777" w:rsidR="00122C1B" w:rsidRPr="006A392A" w:rsidRDefault="00122C1B">
      <w:pPr>
        <w:pStyle w:val="Bullet1-Black"/>
      </w:pPr>
      <w:r w:rsidRPr="006A392A">
        <w:t>Road Safety Road Rules 2017</w:t>
      </w:r>
      <w:r>
        <w:t>.</w:t>
      </w:r>
    </w:p>
    <w:p w14:paraId="0EB9504F" w14:textId="77777777" w:rsidR="00122C1B" w:rsidRPr="00DB0D22" w:rsidRDefault="00122C1B" w:rsidP="001A063E">
      <w:pPr>
        <w:pStyle w:val="Heading2"/>
      </w:pPr>
      <w:bookmarkStart w:id="33" w:name="_Toc10703394"/>
      <w:r w:rsidRPr="00DB0D22">
        <w:t>The broader road safety policy environment</w:t>
      </w:r>
      <w:bookmarkEnd w:id="33"/>
    </w:p>
    <w:p w14:paraId="764AA14A" w14:textId="77777777" w:rsidR="00122C1B" w:rsidRPr="00117C96" w:rsidRDefault="00122C1B" w:rsidP="008D20B7">
      <w:pPr>
        <w:pStyle w:val="TextPara"/>
        <w:rPr>
          <w:rFonts w:cs="Segoe UI"/>
        </w:rPr>
      </w:pPr>
      <w:r w:rsidRPr="00117C96">
        <w:rPr>
          <w:rFonts w:cs="Segoe UI"/>
        </w:rPr>
        <w:t>The Australian federal, state and territory governments developed and adopted the National Road Safety Strategy (</w:t>
      </w:r>
      <w:r w:rsidRPr="00DB0D22">
        <w:rPr>
          <w:rFonts w:cs="Segoe UI"/>
          <w:b/>
        </w:rPr>
        <w:t>NRSS</w:t>
      </w:r>
      <w:r w:rsidRPr="00117C96">
        <w:rPr>
          <w:rFonts w:cs="Segoe UI"/>
        </w:rPr>
        <w:t>) 2011–2020</w:t>
      </w:r>
      <w:r w:rsidRPr="00117C96">
        <w:rPr>
          <w:rStyle w:val="EndnoteReference"/>
          <w:rFonts w:cs="Segoe UI"/>
        </w:rPr>
        <w:endnoteReference w:id="14"/>
      </w:r>
      <w:r w:rsidRPr="00117C96">
        <w:rPr>
          <w:rFonts w:cs="Segoe UI"/>
        </w:rPr>
        <w:t xml:space="preserve"> aimed at raising Australia's road safety ambitions through this decade and beyond. It is firmly based on Safe System principles</w:t>
      </w:r>
      <w:r w:rsidRPr="00117C96">
        <w:rPr>
          <w:rStyle w:val="EndnoteReference"/>
          <w:rFonts w:cs="Segoe UI"/>
        </w:rPr>
        <w:endnoteReference w:id="15"/>
      </w:r>
      <w:r w:rsidRPr="00117C96">
        <w:rPr>
          <w:rFonts w:cs="Segoe UI"/>
        </w:rPr>
        <w:t xml:space="preserve"> and is framed by the guiding vision that no person should be killed or seriously injured on Australia's roads. </w:t>
      </w:r>
    </w:p>
    <w:p w14:paraId="281A95BC" w14:textId="066671F0" w:rsidR="00122C1B" w:rsidRPr="00117C96" w:rsidRDefault="00122C1B" w:rsidP="008D20B7">
      <w:pPr>
        <w:pStyle w:val="TextPara"/>
        <w:rPr>
          <w:rFonts w:eastAsia="Times New Roman" w:cs="Segoe UI"/>
          <w:color w:val="292929"/>
          <w:lang w:eastAsia="en-AU"/>
        </w:rPr>
      </w:pPr>
      <w:r w:rsidRPr="00117C96">
        <w:rPr>
          <w:rFonts w:cs="Segoe UI"/>
        </w:rPr>
        <w:t>As a step towards this long-term vision, the strategy presents a 10-year plan to reduce the annual numbers of deaths and serious injuries on Australian roads by at least 30</w:t>
      </w:r>
      <w:r>
        <w:rPr>
          <w:rFonts w:cs="Segoe UI"/>
        </w:rPr>
        <w:t>%</w:t>
      </w:r>
      <w:r w:rsidRPr="00117C96">
        <w:rPr>
          <w:rFonts w:cs="Segoe UI"/>
        </w:rPr>
        <w:t xml:space="preserve">. </w:t>
      </w:r>
      <w:r w:rsidRPr="00117C96">
        <w:rPr>
          <w:rFonts w:eastAsia="Times New Roman" w:cs="Segoe UI"/>
          <w:color w:val="292929"/>
          <w:lang w:eastAsia="en-AU"/>
        </w:rPr>
        <w:t>The strategy sets out a range of high-level </w:t>
      </w:r>
      <w:hyperlink r:id="rId21" w:history="1">
        <w:r w:rsidRPr="00117C96">
          <w:rPr>
            <w:rFonts w:eastAsia="Times New Roman" w:cs="Segoe UI"/>
            <w:color w:val="292929"/>
            <w:lang w:eastAsia="en-AU"/>
          </w:rPr>
          <w:t>directions and interventions</w:t>
        </w:r>
      </w:hyperlink>
      <w:r w:rsidRPr="00117C96">
        <w:rPr>
          <w:rStyle w:val="EndnoteReference"/>
          <w:rFonts w:eastAsia="Times New Roman" w:cs="Segoe UI"/>
          <w:color w:val="292929"/>
          <w:lang w:eastAsia="en-AU"/>
        </w:rPr>
        <w:endnoteReference w:id="16"/>
      </w:r>
      <w:r w:rsidRPr="00117C96">
        <w:rPr>
          <w:rFonts w:eastAsia="Times New Roman" w:cs="Segoe UI"/>
          <w:color w:val="292929"/>
          <w:lang w:eastAsia="en-AU"/>
        </w:rPr>
        <w:t> to drive national road safety performance to the end of 2020.</w:t>
      </w:r>
    </w:p>
    <w:p w14:paraId="1EEF1EE5" w14:textId="77777777" w:rsidR="00122C1B" w:rsidRPr="00117C96" w:rsidRDefault="00122C1B" w:rsidP="008D20B7">
      <w:pPr>
        <w:pStyle w:val="TextPara"/>
        <w:rPr>
          <w:rFonts w:cs="Segoe UI"/>
        </w:rPr>
      </w:pPr>
      <w:r>
        <w:rPr>
          <w:rFonts w:cs="Segoe UI"/>
          <w:noProof/>
          <w:lang w:val="en-GB" w:eastAsia="en-GB"/>
        </w:rPr>
        <w:lastRenderedPageBreak/>
        <w:drawing>
          <wp:anchor distT="0" distB="0" distL="114300" distR="114300" simplePos="0" relativeHeight="251624960" behindDoc="0" locked="0" layoutInCell="1" allowOverlap="1" wp14:anchorId="2FB72259" wp14:editId="1FAD7EC9">
            <wp:simplePos x="0" y="0"/>
            <wp:positionH relativeFrom="column">
              <wp:posOffset>3020676</wp:posOffset>
            </wp:positionH>
            <wp:positionV relativeFrom="paragraph">
              <wp:posOffset>43180</wp:posOffset>
            </wp:positionV>
            <wp:extent cx="2987040" cy="30295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040" cy="3029585"/>
                    </a:xfrm>
                    <a:prstGeom prst="rect">
                      <a:avLst/>
                    </a:prstGeom>
                    <a:noFill/>
                  </pic:spPr>
                </pic:pic>
              </a:graphicData>
            </a:graphic>
            <wp14:sizeRelH relativeFrom="margin">
              <wp14:pctWidth>0</wp14:pctWidth>
            </wp14:sizeRelH>
            <wp14:sizeRelV relativeFrom="margin">
              <wp14:pctHeight>0</wp14:pctHeight>
            </wp14:sizeRelV>
          </wp:anchor>
        </w:drawing>
      </w:r>
      <w:r w:rsidRPr="00117C96">
        <w:rPr>
          <w:rFonts w:cs="Segoe UI"/>
        </w:rPr>
        <w:t>The NRSS represents the commitment of federal, state and territory governments to an agreed set of national road safety goals, objectives and action priorities. It is supported by a comprehensive performance monitoring and reporting regime.</w:t>
      </w:r>
    </w:p>
    <w:p w14:paraId="5681099D" w14:textId="77777777" w:rsidR="00122C1B" w:rsidRPr="00117C96" w:rsidRDefault="00122C1B" w:rsidP="008D20B7">
      <w:pPr>
        <w:pStyle w:val="TextPara"/>
        <w:rPr>
          <w:rFonts w:cs="Segoe UI"/>
        </w:rPr>
      </w:pPr>
      <w:r>
        <w:rPr>
          <w:rFonts w:cs="Segoe UI"/>
        </w:rPr>
        <w:t>I</w:t>
      </w:r>
      <w:r w:rsidRPr="00117C96">
        <w:rPr>
          <w:rFonts w:cs="Segoe UI"/>
        </w:rPr>
        <w:t>n 2016</w:t>
      </w:r>
      <w:r>
        <w:rPr>
          <w:rFonts w:cs="Segoe UI"/>
        </w:rPr>
        <w:t>,</w:t>
      </w:r>
      <w:r w:rsidRPr="00117C96">
        <w:rPr>
          <w:rFonts w:cs="Segoe UI"/>
        </w:rPr>
        <w:t xml:space="preserve"> </w:t>
      </w:r>
      <w:r>
        <w:rPr>
          <w:rFonts w:cs="Segoe UI"/>
        </w:rPr>
        <w:t xml:space="preserve">contributing to the achievement of the </w:t>
      </w:r>
      <w:r w:rsidRPr="00117C96">
        <w:rPr>
          <w:rFonts w:cs="Segoe UI"/>
        </w:rPr>
        <w:t xml:space="preserve">NRSS objectives, the Victorian Government developed and adopted the </w:t>
      </w:r>
      <w:r w:rsidRPr="00117C96">
        <w:rPr>
          <w:rFonts w:cs="Segoe UI"/>
          <w:i/>
        </w:rPr>
        <w:t>Towards Zero</w:t>
      </w:r>
      <w:r w:rsidRPr="00117C96">
        <w:rPr>
          <w:rFonts w:cs="Segoe UI"/>
        </w:rPr>
        <w:t xml:space="preserve"> strategy</w:t>
      </w:r>
      <w:r w:rsidRPr="00117C96">
        <w:rPr>
          <w:rStyle w:val="EndnoteReference"/>
          <w:rFonts w:cs="Segoe UI"/>
        </w:rPr>
        <w:endnoteReference w:id="17"/>
      </w:r>
      <w:r w:rsidRPr="00117C96">
        <w:rPr>
          <w:rFonts w:cs="Segoe UI"/>
        </w:rPr>
        <w:t xml:space="preserve"> aimed at creating a safe system for all Victorians – safe roads and roadsides, safe speeds, safe vehicles and safe road use by all people using the road. </w:t>
      </w:r>
      <w:r>
        <w:rPr>
          <w:rFonts w:cs="Segoe UI"/>
        </w:rPr>
        <w:t xml:space="preserve">The </w:t>
      </w:r>
      <w:r w:rsidRPr="00117C96">
        <w:rPr>
          <w:rFonts w:cs="Segoe UI"/>
          <w:i/>
        </w:rPr>
        <w:t>Towards Zero</w:t>
      </w:r>
      <w:r w:rsidRPr="00117C96">
        <w:rPr>
          <w:rFonts w:cs="Segoe UI"/>
        </w:rPr>
        <w:t xml:space="preserve"> philosophy is based on the belief that human health is paramount and that no one should die or be seriously injured when using the road. </w:t>
      </w:r>
      <w:r>
        <w:rPr>
          <w:rFonts w:cs="Segoe UI"/>
        </w:rPr>
        <w:t xml:space="preserve">The </w:t>
      </w:r>
      <w:r w:rsidRPr="00117C96">
        <w:rPr>
          <w:rFonts w:cs="Segoe UI"/>
          <w:i/>
        </w:rPr>
        <w:t>Towards Zero</w:t>
      </w:r>
      <w:r w:rsidRPr="00117C96">
        <w:rPr>
          <w:rFonts w:cs="Segoe UI"/>
        </w:rPr>
        <w:t xml:space="preserve"> strategy was based on Sweden's </w:t>
      </w:r>
      <w:r w:rsidRPr="001658AD">
        <w:rPr>
          <w:i/>
        </w:rPr>
        <w:t>Vision Zero</w:t>
      </w:r>
      <w:r w:rsidRPr="00117C96">
        <w:rPr>
          <w:rFonts w:cs="Segoe UI"/>
        </w:rPr>
        <w:t>,</w:t>
      </w:r>
      <w:r>
        <w:rPr>
          <w:rStyle w:val="EndnoteReference"/>
          <w:rFonts w:cs="Segoe UI"/>
        </w:rPr>
        <w:endnoteReference w:id="18"/>
      </w:r>
      <w:r w:rsidRPr="00117C96">
        <w:rPr>
          <w:rFonts w:cs="Segoe UI"/>
        </w:rPr>
        <w:t xml:space="preserve"> which </w:t>
      </w:r>
      <w:r>
        <w:rPr>
          <w:rFonts w:cs="Segoe UI"/>
        </w:rPr>
        <w:t xml:space="preserve">led to a reduction in lives lost </w:t>
      </w:r>
      <w:r w:rsidRPr="00117C96">
        <w:rPr>
          <w:rFonts w:cs="Segoe UI"/>
        </w:rPr>
        <w:t>on Swedish roads</w:t>
      </w:r>
      <w:r>
        <w:rPr>
          <w:rFonts w:cs="Segoe UI"/>
        </w:rPr>
        <w:t xml:space="preserve"> from seven</w:t>
      </w:r>
      <w:r w:rsidRPr="00117C96">
        <w:rPr>
          <w:rFonts w:cs="Segoe UI"/>
        </w:rPr>
        <w:t xml:space="preserve"> people per 100,000 </w:t>
      </w:r>
      <w:r>
        <w:rPr>
          <w:rFonts w:cs="Segoe UI"/>
        </w:rPr>
        <w:t xml:space="preserve">in 1997 to </w:t>
      </w:r>
      <w:r w:rsidRPr="00117C96">
        <w:rPr>
          <w:rFonts w:cs="Segoe UI"/>
        </w:rPr>
        <w:t>fewer than three people in 2015.</w:t>
      </w:r>
      <w:r w:rsidRPr="00117C96">
        <w:rPr>
          <w:rStyle w:val="EndnoteReference"/>
          <w:rFonts w:cs="Segoe UI"/>
        </w:rPr>
        <w:endnoteReference w:id="19"/>
      </w:r>
    </w:p>
    <w:p w14:paraId="2F5A9E62" w14:textId="77777777" w:rsidR="00122C1B" w:rsidRPr="00642D04" w:rsidRDefault="00122C1B" w:rsidP="001A063E">
      <w:pPr>
        <w:pStyle w:val="Heading2"/>
        <w:rPr>
          <w:rStyle w:val="Strong"/>
          <w:b/>
          <w:bCs/>
          <w:color w:val="404040" w:themeColor="text1" w:themeTint="BF"/>
          <w:sz w:val="24"/>
          <w:szCs w:val="26"/>
        </w:rPr>
      </w:pPr>
      <w:bookmarkStart w:id="34" w:name="_Toc10703395"/>
      <w:r w:rsidRPr="00642D04">
        <w:rPr>
          <w:rStyle w:val="Strong"/>
          <w:b/>
          <w:bCs/>
          <w:color w:val="404040" w:themeColor="text1" w:themeTint="BF"/>
          <w:sz w:val="24"/>
          <w:szCs w:val="26"/>
        </w:rPr>
        <w:t>Other relevant legislation, regulations and agreements</w:t>
      </w:r>
      <w:bookmarkEnd w:id="34"/>
    </w:p>
    <w:p w14:paraId="427AE0FB" w14:textId="77777777" w:rsidR="00122C1B" w:rsidRDefault="00122C1B" w:rsidP="008D20B7">
      <w:pPr>
        <w:pStyle w:val="TextPara"/>
        <w:rPr>
          <w:lang w:eastAsia="en-AU"/>
        </w:rPr>
      </w:pPr>
      <w:r>
        <w:rPr>
          <w:lang w:eastAsia="en-AU"/>
        </w:rPr>
        <w:t>This section outlines other legislation, regulations, standards and policy frameworks that operate in the road safety area, and how they influence what can be regulated through the proposed Regulations. The base case</w:t>
      </w:r>
      <w:r>
        <w:rPr>
          <w:rStyle w:val="EndnoteReference"/>
          <w:lang w:eastAsia="en-AU"/>
        </w:rPr>
        <w:endnoteReference w:id="20"/>
      </w:r>
      <w:r>
        <w:rPr>
          <w:lang w:eastAsia="en-AU"/>
        </w:rPr>
        <w:t xml:space="preserve"> for this RIS consists of the </w:t>
      </w:r>
      <w:r w:rsidRPr="006A392A">
        <w:rPr>
          <w:i/>
          <w:lang w:eastAsia="en-AU"/>
        </w:rPr>
        <w:t>RSA</w:t>
      </w:r>
      <w:r>
        <w:rPr>
          <w:lang w:eastAsia="en-AU"/>
        </w:rPr>
        <w:t xml:space="preserve"> and any other relevant legislation and regulations as well as applicable national standards, policy frameworks and non-regulatory measures. The base case is established for a better appreciation of the consequences of sunsetting regulations, that is, having no </w:t>
      </w:r>
      <w:r w:rsidRPr="001658AD">
        <w:rPr>
          <w:lang w:eastAsia="en-AU"/>
        </w:rPr>
        <w:t>Road Safety (Drivers) Regulations</w:t>
      </w:r>
      <w:r>
        <w:rPr>
          <w:lang w:eastAsia="en-AU"/>
        </w:rPr>
        <w:t xml:space="preserve"> at all.</w:t>
      </w:r>
    </w:p>
    <w:p w14:paraId="7F15CCAE" w14:textId="77777777" w:rsidR="00122C1B" w:rsidRDefault="00122C1B" w:rsidP="006713F9">
      <w:pPr>
        <w:pStyle w:val="Heading3"/>
      </w:pPr>
      <w:bookmarkStart w:id="35" w:name="_Ref499632138"/>
      <w:bookmarkStart w:id="36" w:name="_Toc10703396"/>
      <w:r>
        <w:t>National s</w:t>
      </w:r>
      <w:r w:rsidRPr="00117C96">
        <w:t>tandards</w:t>
      </w:r>
      <w:bookmarkEnd w:id="35"/>
      <w:r>
        <w:t xml:space="preserve"> </w:t>
      </w:r>
      <w:r w:rsidRPr="00BF2EA6">
        <w:t>and</w:t>
      </w:r>
      <w:r>
        <w:t xml:space="preserve"> policy frameworks</w:t>
      </w:r>
      <w:bookmarkEnd w:id="36"/>
    </w:p>
    <w:p w14:paraId="025A24B4" w14:textId="77777777" w:rsidR="00122C1B" w:rsidRDefault="00122C1B" w:rsidP="00327057">
      <w:pPr>
        <w:pStyle w:val="TextPara"/>
      </w:pPr>
      <w:r w:rsidRPr="00117C96">
        <w:t>Significant parts of the proposed</w:t>
      </w:r>
      <w:r>
        <w:t xml:space="preserve"> Regulations give effect to national standards, policy frameworks and guidelines</w:t>
      </w:r>
      <w:r w:rsidRPr="00117C96">
        <w:t>, ensuring that the efficiencies and community benefits that flow from the</w:t>
      </w:r>
      <w:r>
        <w:t>m</w:t>
      </w:r>
      <w:r w:rsidRPr="00117C96">
        <w:t xml:space="preserve"> continue to apply in Victoria.</w:t>
      </w:r>
      <w:r>
        <w:t xml:space="preserve"> These national standards, frameworks and guidelines are agreed to at an inter-government ministerial level, such as the Council of Australian Governments (COAG), and participants represent the States and Territories as well as the Commonwealth Government. The purpose of these agreements is to bring about consistency in legislation and regulation and foster co-operation among governments across Australia. </w:t>
      </w:r>
    </w:p>
    <w:p w14:paraId="573EB9AC" w14:textId="77777777" w:rsidR="00122C1B" w:rsidRDefault="00122C1B" w:rsidP="00327057">
      <w:pPr>
        <w:pStyle w:val="TextPara"/>
      </w:pPr>
      <w:r>
        <w:t xml:space="preserve">While the parties to these national agreements commit themselves to follow through with implementation of the standards, policies and guidelines, the States and Territories are free to adopt or deviate from the agreed standard or guidelines. There is no formal process that the parties must follow to exercise their discretion in deviating from the agreed standard, policy framework or guideline other than inform the other parties of their intention to do so. </w:t>
      </w:r>
    </w:p>
    <w:p w14:paraId="1C65E2BE" w14:textId="77777777" w:rsidR="00122C1B" w:rsidRDefault="00122C1B" w:rsidP="00EE6408">
      <w:pPr>
        <w:pStyle w:val="TextPara"/>
        <w:keepNext/>
        <w:rPr>
          <w:lang w:eastAsia="en-AU"/>
        </w:rPr>
      </w:pPr>
      <w:r>
        <w:rPr>
          <w:lang w:eastAsia="en-AU"/>
        </w:rPr>
        <w:t>The national standards that regulate the driving of motor vehicles in Australia include the following:</w:t>
      </w:r>
    </w:p>
    <w:p w14:paraId="0BB842AE" w14:textId="77777777" w:rsidR="00122C1B" w:rsidRPr="00595AB1" w:rsidRDefault="00122C1B" w:rsidP="005F6F8B">
      <w:pPr>
        <w:pStyle w:val="Bullet1-Black"/>
      </w:pPr>
      <w:r w:rsidRPr="00754C0D">
        <w:rPr>
          <w:b/>
        </w:rPr>
        <w:t>National Driver Licensing Scheme (NDLS)</w:t>
      </w:r>
      <w:r>
        <w:t xml:space="preserve"> </w:t>
      </w:r>
      <w:r w:rsidRPr="00117C96">
        <w:t xml:space="preserve">provides </w:t>
      </w:r>
      <w:r>
        <w:t xml:space="preserve">a set of principles and </w:t>
      </w:r>
      <w:r w:rsidRPr="00117C96">
        <w:t>uniform requirements for key driver licensing transactions including licence issue and renewal, suspension and cancellation, and the management of demerit points.</w:t>
      </w:r>
      <w:r w:rsidRPr="00117C96">
        <w:rPr>
          <w:rStyle w:val="EndnoteReference"/>
        </w:rPr>
        <w:endnoteReference w:id="21"/>
      </w:r>
    </w:p>
    <w:p w14:paraId="36E2D4C5" w14:textId="77777777" w:rsidR="00122C1B" w:rsidRDefault="00122C1B" w:rsidP="00457BB1">
      <w:pPr>
        <w:pStyle w:val="Bullet1-Black"/>
      </w:pPr>
      <w:r>
        <w:rPr>
          <w:b/>
        </w:rPr>
        <w:t xml:space="preserve">National </w:t>
      </w:r>
      <w:r w:rsidRPr="00754C0D">
        <w:rPr>
          <w:b/>
        </w:rPr>
        <w:t>Graduated Licensing System (GLS)</w:t>
      </w:r>
      <w:r>
        <w:t xml:space="preserve"> is a national framework that </w:t>
      </w:r>
      <w:r w:rsidRPr="00595AB1">
        <w:t>set</w:t>
      </w:r>
      <w:r>
        <w:t>s</w:t>
      </w:r>
      <w:r w:rsidRPr="00595AB1">
        <w:t xml:space="preserve"> standardised minimum requirements </w:t>
      </w:r>
      <w:r>
        <w:t>for novice drivers and is based on an international best practice model.</w:t>
      </w:r>
    </w:p>
    <w:p w14:paraId="37094EF3" w14:textId="77777777" w:rsidR="00122C1B" w:rsidRDefault="00122C1B">
      <w:pPr>
        <w:pStyle w:val="Bullet1-Black"/>
      </w:pPr>
      <w:r>
        <w:rPr>
          <w:b/>
        </w:rPr>
        <w:lastRenderedPageBreak/>
        <w:t xml:space="preserve">National Medical Standards for </w:t>
      </w:r>
      <w:r w:rsidRPr="00754C0D">
        <w:rPr>
          <w:b/>
        </w:rPr>
        <w:t>Assess</w:t>
      </w:r>
      <w:r>
        <w:rPr>
          <w:b/>
        </w:rPr>
        <w:t>ment of</w:t>
      </w:r>
      <w:r w:rsidRPr="00754C0D">
        <w:rPr>
          <w:b/>
        </w:rPr>
        <w:t xml:space="preserve"> Fitness</w:t>
      </w:r>
      <w:r>
        <w:rPr>
          <w:b/>
        </w:rPr>
        <w:t>-</w:t>
      </w:r>
      <w:r w:rsidRPr="00754C0D">
        <w:rPr>
          <w:b/>
        </w:rPr>
        <w:t>to</w:t>
      </w:r>
      <w:r>
        <w:rPr>
          <w:b/>
        </w:rPr>
        <w:t>-</w:t>
      </w:r>
      <w:r w:rsidRPr="00754C0D">
        <w:rPr>
          <w:b/>
        </w:rPr>
        <w:t>drive</w:t>
      </w:r>
      <w:r>
        <w:t xml:space="preserve"> set national </w:t>
      </w:r>
      <w:r w:rsidRPr="0027088C">
        <w:t xml:space="preserve">medical standards and guidelines </w:t>
      </w:r>
      <w:r>
        <w:t xml:space="preserve">to assist </w:t>
      </w:r>
      <w:r w:rsidRPr="00500CA4">
        <w:t>health professionals</w:t>
      </w:r>
      <w:r>
        <w:t xml:space="preserve"> in </w:t>
      </w:r>
      <w:r w:rsidRPr="00500CA4">
        <w:t>assess</w:t>
      </w:r>
      <w:r>
        <w:t>ing</w:t>
      </w:r>
      <w:r w:rsidRPr="00500CA4">
        <w:t xml:space="preserve"> the </w:t>
      </w:r>
      <w:r>
        <w:t xml:space="preserve">medical </w:t>
      </w:r>
      <w:r w:rsidRPr="00500CA4">
        <w:t>fitness</w:t>
      </w:r>
      <w:r>
        <w:t>-</w:t>
      </w:r>
      <w:r w:rsidRPr="00500CA4">
        <w:t>to</w:t>
      </w:r>
      <w:r>
        <w:t>-</w:t>
      </w:r>
      <w:r w:rsidRPr="00500CA4">
        <w:t xml:space="preserve">drive of their patients and </w:t>
      </w:r>
      <w:r>
        <w:t xml:space="preserve">guide </w:t>
      </w:r>
      <w:r w:rsidRPr="00500CA4">
        <w:t>licensing authorities in making</w:t>
      </w:r>
      <w:r>
        <w:t xml:space="preserve"> driver and motorcycle</w:t>
      </w:r>
      <w:r w:rsidRPr="00500CA4">
        <w:t xml:space="preserve"> licen</w:t>
      </w:r>
      <w:r>
        <w:t>ce related</w:t>
      </w:r>
      <w:r w:rsidRPr="00500CA4">
        <w:t xml:space="preserve"> decisions</w:t>
      </w:r>
      <w:r>
        <w:t>.</w:t>
      </w:r>
    </w:p>
    <w:p w14:paraId="7B26A1C1" w14:textId="77777777" w:rsidR="00122C1B" w:rsidRPr="00497B53" w:rsidRDefault="00122C1B">
      <w:pPr>
        <w:pStyle w:val="Bullet1-Black"/>
      </w:pPr>
      <w:r w:rsidRPr="00754C0D">
        <w:rPr>
          <w:b/>
        </w:rPr>
        <w:t>National Guidelines for Alcohol Ignition Interlock Programs</w:t>
      </w:r>
      <w:r>
        <w:t xml:space="preserve"> are </w:t>
      </w:r>
      <w:r w:rsidRPr="00497B53">
        <w:t>aimed at</w:t>
      </w:r>
      <w:r>
        <w:t xml:space="preserve"> </w:t>
      </w:r>
      <w:r w:rsidRPr="00497B53">
        <w:t>chang</w:t>
      </w:r>
      <w:r>
        <w:t xml:space="preserve">ing </w:t>
      </w:r>
      <w:r w:rsidRPr="00497B53">
        <w:t>behaviour, i.e. separat</w:t>
      </w:r>
      <w:r>
        <w:t>ing</w:t>
      </w:r>
      <w:r w:rsidRPr="00497B53">
        <w:t xml:space="preserve"> a person’s drinking from their</w:t>
      </w:r>
      <w:r w:rsidRPr="00245012">
        <w:t xml:space="preserve"> </w:t>
      </w:r>
      <w:r w:rsidRPr="00497B53">
        <w:t>driving</w:t>
      </w:r>
      <w:r>
        <w:t>.</w:t>
      </w:r>
    </w:p>
    <w:p w14:paraId="14187562" w14:textId="77777777" w:rsidR="00122C1B" w:rsidRPr="00497B53" w:rsidRDefault="00122C1B">
      <w:pPr>
        <w:pStyle w:val="Bullet1-Black"/>
      </w:pPr>
      <w:r w:rsidRPr="00754C0D">
        <w:rPr>
          <w:b/>
        </w:rPr>
        <w:t xml:space="preserve">National </w:t>
      </w:r>
      <w:r>
        <w:rPr>
          <w:b/>
        </w:rPr>
        <w:t xml:space="preserve">Definition of </w:t>
      </w:r>
      <w:r w:rsidRPr="00754C0D">
        <w:rPr>
          <w:b/>
        </w:rPr>
        <w:t xml:space="preserve">High-Powered Vehicle </w:t>
      </w:r>
      <w:r w:rsidRPr="00497B53">
        <w:t>set</w:t>
      </w:r>
      <w:r>
        <w:t>s</w:t>
      </w:r>
      <w:r w:rsidRPr="00497B53">
        <w:t xml:space="preserve"> a national standard for high powered vehicles </w:t>
      </w:r>
      <w:r>
        <w:t xml:space="preserve">(as probationary prohibited vehicles were previously called) </w:t>
      </w:r>
      <w:r w:rsidRPr="00497B53">
        <w:t>that probationary licence holders are prohibited from driving</w:t>
      </w:r>
      <w:r>
        <w:t>.</w:t>
      </w:r>
    </w:p>
    <w:p w14:paraId="095BE548" w14:textId="77777777" w:rsidR="00122C1B" w:rsidRPr="00642D04" w:rsidRDefault="00122C1B" w:rsidP="00EA637D">
      <w:pPr>
        <w:pStyle w:val="Heading4"/>
        <w:rPr>
          <w:rStyle w:val="Strong"/>
          <w:b/>
          <w:bCs/>
          <w:color w:val="404040" w:themeColor="text1" w:themeTint="BF"/>
          <w:sz w:val="20"/>
          <w:szCs w:val="22"/>
        </w:rPr>
      </w:pPr>
      <w:bookmarkStart w:id="37" w:name="_Ref502668772"/>
      <w:r w:rsidRPr="00642D04">
        <w:rPr>
          <w:rStyle w:val="Strong"/>
          <w:b/>
          <w:bCs/>
          <w:color w:val="404040" w:themeColor="text1" w:themeTint="BF"/>
          <w:sz w:val="20"/>
          <w:szCs w:val="22"/>
        </w:rPr>
        <w:t>National Driver Licensing Scheme</w:t>
      </w:r>
      <w:bookmarkEnd w:id="37"/>
    </w:p>
    <w:p w14:paraId="2577A2DF" w14:textId="77777777" w:rsidR="00122C1B" w:rsidRDefault="00122C1B" w:rsidP="00754C0D">
      <w:pPr>
        <w:pStyle w:val="TextPara"/>
        <w:rPr>
          <w:rFonts w:cs="Segoe UI"/>
        </w:rPr>
      </w:pPr>
      <w:r w:rsidRPr="00117C96">
        <w:rPr>
          <w:rFonts w:cs="Segoe UI"/>
        </w:rPr>
        <w:t>In 1997 Australia implemented a NDLS,</w:t>
      </w:r>
      <w:r>
        <w:rPr>
          <w:rStyle w:val="EndnoteReference"/>
          <w:rFonts w:cs="Segoe UI"/>
        </w:rPr>
        <w:endnoteReference w:id="22"/>
      </w:r>
      <w:r w:rsidRPr="00117C96">
        <w:rPr>
          <w:rFonts w:cs="Segoe UI"/>
        </w:rPr>
        <w:t xml:space="preserve"> establishing a single driver licence classification structure, eligibility criteria and a uniform set of requirements for key driver licensing t</w:t>
      </w:r>
      <w:r>
        <w:rPr>
          <w:rFonts w:cs="Segoe UI"/>
        </w:rPr>
        <w:t>ransactions including the issuing</w:t>
      </w:r>
      <w:r w:rsidRPr="00117C96">
        <w:rPr>
          <w:rFonts w:cs="Segoe UI"/>
        </w:rPr>
        <w:t>, variation, renewal, suspension and cancellation of licences.</w:t>
      </w:r>
    </w:p>
    <w:p w14:paraId="79B002D3" w14:textId="77777777" w:rsidR="00122C1B" w:rsidRPr="00117C96" w:rsidRDefault="00122C1B" w:rsidP="00935CEC">
      <w:pPr>
        <w:pStyle w:val="TextPara"/>
      </w:pPr>
      <w:r>
        <w:rPr>
          <w:rFonts w:cs="Segoe UI"/>
        </w:rPr>
        <w:t xml:space="preserve">The proposed </w:t>
      </w:r>
      <w:r w:rsidRPr="00117C96">
        <w:rPr>
          <w:rFonts w:cs="Segoe UI"/>
        </w:rPr>
        <w:t>Regulations support Victoria's commitment to implement and maintain nationally agreed road transport reforms. That commitment is stated in a series of intergovernmental agreements initiated by the Special Premiers</w:t>
      </w:r>
      <w:r>
        <w:rPr>
          <w:rFonts w:cs="Segoe UI"/>
        </w:rPr>
        <w:t>’</w:t>
      </w:r>
      <w:r w:rsidRPr="00117C96">
        <w:rPr>
          <w:rFonts w:cs="Segoe UI"/>
        </w:rPr>
        <w:t xml:space="preserve"> Conference in 1991 (the Road Transport Agreements). </w:t>
      </w:r>
    </w:p>
    <w:p w14:paraId="7069533B" w14:textId="77777777" w:rsidR="00122C1B" w:rsidRPr="00117C96" w:rsidRDefault="00122C1B" w:rsidP="00754C0D">
      <w:pPr>
        <w:pStyle w:val="TextPara"/>
        <w:rPr>
          <w:rFonts w:cs="Segoe UI"/>
        </w:rPr>
      </w:pPr>
      <w:r w:rsidRPr="00117C96">
        <w:rPr>
          <w:rFonts w:cs="Segoe UI"/>
        </w:rPr>
        <w:t xml:space="preserve">The 2003 </w:t>
      </w:r>
      <w:r w:rsidRPr="00117C96">
        <w:t xml:space="preserve">Inter-Governmental Agreement for Regulatory and Operational Reform in Road, Rail and Intermodal Transport </w:t>
      </w:r>
      <w:r w:rsidRPr="00117C96">
        <w:rPr>
          <w:rFonts w:cs="Segoe UI"/>
        </w:rPr>
        <w:t>requires parties to "use their best endeavours to implement and maintain agreed reforms in a uniform or nationally consistent manner".</w:t>
      </w:r>
      <w:r w:rsidRPr="00117C96">
        <w:rPr>
          <w:rStyle w:val="EndnoteReference"/>
          <w:rFonts w:cs="Segoe UI"/>
        </w:rPr>
        <w:endnoteReference w:id="23"/>
      </w:r>
      <w:r w:rsidRPr="00117C96">
        <w:rPr>
          <w:rFonts w:cs="Segoe UI"/>
        </w:rPr>
        <w:t xml:space="preserve"> The agreed reforms include model regulations and guidelines proposed by the National Transport Council (</w:t>
      </w:r>
      <w:r w:rsidRPr="001E0FCE">
        <w:rPr>
          <w:rFonts w:cs="Segoe UI"/>
          <w:b/>
        </w:rPr>
        <w:t>NTC</w:t>
      </w:r>
      <w:r w:rsidRPr="00117C96">
        <w:rPr>
          <w:rFonts w:cs="Segoe UI"/>
        </w:rPr>
        <w:t>) and agreed by the Ministerial Council.</w:t>
      </w:r>
      <w:r w:rsidRPr="00117C96">
        <w:rPr>
          <w:rStyle w:val="EndnoteReference"/>
          <w:rFonts w:cs="Segoe UI"/>
        </w:rPr>
        <w:endnoteReference w:id="24"/>
      </w:r>
      <w:r w:rsidRPr="00117C96">
        <w:rPr>
          <w:rFonts w:cs="Segoe UI"/>
        </w:rPr>
        <w:t xml:space="preserve"> Under the Agreements, all states, including Victoria, </w:t>
      </w:r>
      <w:r>
        <w:rPr>
          <w:rFonts w:cs="Segoe UI"/>
        </w:rPr>
        <w:t>are obliged to</w:t>
      </w:r>
      <w:r w:rsidRPr="00117C96">
        <w:rPr>
          <w:rFonts w:cs="Segoe UI"/>
        </w:rPr>
        <w:t xml:space="preserve"> make </w:t>
      </w:r>
      <w:r>
        <w:rPr>
          <w:rFonts w:cs="Segoe UI"/>
        </w:rPr>
        <w:t xml:space="preserve">and maintain </w:t>
      </w:r>
      <w:r w:rsidRPr="00117C96">
        <w:rPr>
          <w:rFonts w:cs="Segoe UI"/>
        </w:rPr>
        <w:t xml:space="preserve">the regulations needed to implement the agreed reforms. </w:t>
      </w:r>
    </w:p>
    <w:p w14:paraId="13AB04EF" w14:textId="2E2681CC" w:rsidR="00122C1B" w:rsidRDefault="00122C1B" w:rsidP="00754C0D">
      <w:pPr>
        <w:pStyle w:val="TextPara"/>
        <w:rPr>
          <w:rFonts w:cs="Segoe UI"/>
        </w:rPr>
      </w:pPr>
      <w:r w:rsidRPr="00117C96">
        <w:rPr>
          <w:rFonts w:cs="Segoe UI"/>
        </w:rPr>
        <w:t>In 1999, a framework for a national model regulation of driver licensing was approved by the Australian Transport Council (</w:t>
      </w:r>
      <w:r w:rsidRPr="003D30A1">
        <w:rPr>
          <w:rFonts w:cs="Segoe UI"/>
          <w:b/>
        </w:rPr>
        <w:t>ATC</w:t>
      </w:r>
      <w:r w:rsidRPr="00117C96">
        <w:rPr>
          <w:rFonts w:cs="Segoe UI"/>
        </w:rPr>
        <w:t>) and implemented by Victoria. The components and objectives of the national model regulations</w:t>
      </w:r>
      <w:r w:rsidRPr="00117C96">
        <w:rPr>
          <w:rStyle w:val="EndnoteReference"/>
          <w:rFonts w:cs="Segoe UI"/>
        </w:rPr>
        <w:endnoteReference w:id="25"/>
      </w:r>
      <w:r w:rsidRPr="00117C96">
        <w:rPr>
          <w:rFonts w:cs="Segoe UI"/>
        </w:rPr>
        <w:t xml:space="preserve"> are </w:t>
      </w:r>
      <w:r>
        <w:rPr>
          <w:rFonts w:cs="Segoe UI"/>
        </w:rPr>
        <w:t>set out</w:t>
      </w:r>
      <w:r w:rsidRPr="00117C96">
        <w:rPr>
          <w:rFonts w:cs="Segoe UI"/>
        </w:rPr>
        <w:t xml:space="preserve"> in</w:t>
      </w:r>
      <w:r>
        <w:rPr>
          <w:rFonts w:cs="Segoe UI"/>
        </w:rPr>
        <w:t xml:space="preserve"> </w:t>
      </w:r>
      <w:r>
        <w:rPr>
          <w:rFonts w:cs="Segoe UI"/>
        </w:rPr>
        <w:fldChar w:fldCharType="begin"/>
      </w:r>
      <w:r>
        <w:rPr>
          <w:rFonts w:cs="Segoe UI"/>
        </w:rPr>
        <w:instrText xml:space="preserve"> REF _Ref499825405 \h </w:instrText>
      </w:r>
      <w:r>
        <w:rPr>
          <w:rFonts w:cs="Segoe UI"/>
        </w:rPr>
      </w:r>
      <w:r>
        <w:rPr>
          <w:rFonts w:cs="Segoe UI"/>
        </w:rPr>
        <w:fldChar w:fldCharType="separate"/>
      </w:r>
      <w:r w:rsidR="00EB4B02" w:rsidRPr="00117C96">
        <w:t xml:space="preserve">Table </w:t>
      </w:r>
      <w:r w:rsidR="00EB4B02">
        <w:rPr>
          <w:noProof/>
        </w:rPr>
        <w:t>3</w:t>
      </w:r>
      <w:r>
        <w:rPr>
          <w:rFonts w:cs="Segoe UI"/>
        </w:rPr>
        <w:fldChar w:fldCharType="end"/>
      </w:r>
      <w:r w:rsidRPr="00117C96">
        <w:rPr>
          <w:rFonts w:cs="Segoe UI"/>
        </w:rPr>
        <w:t>.</w:t>
      </w:r>
    </w:p>
    <w:p w14:paraId="22E8FA1A" w14:textId="38F2B055" w:rsidR="00122C1B" w:rsidRPr="00117C96" w:rsidRDefault="00122C1B" w:rsidP="00AA0BBA">
      <w:pPr>
        <w:pStyle w:val="Caption"/>
      </w:pPr>
      <w:bookmarkStart w:id="38" w:name="_Ref499825405"/>
      <w:bookmarkStart w:id="39" w:name="_Toc9193400"/>
      <w:bookmarkStart w:id="40" w:name="_Toc10703696"/>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3</w:t>
      </w:r>
      <w:r w:rsidR="00BC6B2E">
        <w:rPr>
          <w:noProof/>
        </w:rPr>
        <w:fldChar w:fldCharType="end"/>
      </w:r>
      <w:bookmarkEnd w:id="38"/>
      <w:r w:rsidRPr="00117C96">
        <w:t xml:space="preserve"> </w:t>
      </w:r>
      <w:r>
        <w:rPr>
          <w:noProof/>
        </w:rPr>
        <w:t>–</w:t>
      </w:r>
      <w:r w:rsidRPr="00117C96">
        <w:t xml:space="preserve"> Components and objectives of the National Driver Licensing Scheme</w:t>
      </w:r>
      <w:bookmarkEnd w:id="39"/>
      <w:bookmarkEnd w:id="40"/>
    </w:p>
    <w:tbl>
      <w:tblPr>
        <w:tblStyle w:val="RIS-Table2"/>
        <w:tblW w:w="9639" w:type="dxa"/>
        <w:tblLook w:val="04A0" w:firstRow="1" w:lastRow="0" w:firstColumn="1" w:lastColumn="0" w:noHBand="0" w:noVBand="1"/>
      </w:tblPr>
      <w:tblGrid>
        <w:gridCol w:w="3119"/>
        <w:gridCol w:w="6520"/>
      </w:tblGrid>
      <w:tr w:rsidR="00122C1B" w:rsidRPr="00117C96" w14:paraId="1954C1F9" w14:textId="77777777" w:rsidTr="00807687">
        <w:trPr>
          <w:cnfStyle w:val="100000000000" w:firstRow="1" w:lastRow="0" w:firstColumn="0" w:lastColumn="0" w:oddVBand="0" w:evenVBand="0" w:oddHBand="0" w:evenHBand="0" w:firstRowFirstColumn="0" w:firstRowLastColumn="0" w:lastRowFirstColumn="0" w:lastRowLastColumn="0"/>
          <w:trHeight w:val="300"/>
        </w:trPr>
        <w:tc>
          <w:tcPr>
            <w:tcW w:w="3119" w:type="dxa"/>
            <w:noWrap/>
          </w:tcPr>
          <w:p w14:paraId="5ECF708A" w14:textId="77777777" w:rsidR="00122C1B" w:rsidRPr="00117C96" w:rsidRDefault="00122C1B" w:rsidP="000525EB">
            <w:pPr>
              <w:pStyle w:val="TableHeaders"/>
            </w:pPr>
            <w:r w:rsidRPr="00117C96">
              <w:t>Component</w:t>
            </w:r>
          </w:p>
        </w:tc>
        <w:tc>
          <w:tcPr>
            <w:tcW w:w="6520" w:type="dxa"/>
            <w:noWrap/>
          </w:tcPr>
          <w:p w14:paraId="571D47B5" w14:textId="77777777" w:rsidR="00122C1B" w:rsidRPr="00117C96" w:rsidRDefault="00122C1B" w:rsidP="000525EB">
            <w:pPr>
              <w:pStyle w:val="TableHeaders"/>
            </w:pPr>
            <w:r w:rsidRPr="00117C96">
              <w:t>Objectives</w:t>
            </w:r>
          </w:p>
        </w:tc>
      </w:tr>
      <w:tr w:rsidR="00122C1B" w:rsidRPr="00117C96" w14:paraId="20A484E1" w14:textId="77777777" w:rsidTr="00807687">
        <w:trPr>
          <w:trHeight w:val="300"/>
        </w:trPr>
        <w:tc>
          <w:tcPr>
            <w:tcW w:w="3119" w:type="dxa"/>
            <w:noWrap/>
          </w:tcPr>
          <w:p w14:paraId="63A2316A" w14:textId="77777777" w:rsidR="00122C1B" w:rsidRPr="00C97F23" w:rsidRDefault="00122C1B" w:rsidP="000525EB">
            <w:pPr>
              <w:pStyle w:val="TableParagraph"/>
            </w:pPr>
            <w:r w:rsidRPr="00C97F23">
              <w:t>Driver licence register</w:t>
            </w:r>
          </w:p>
        </w:tc>
        <w:tc>
          <w:tcPr>
            <w:tcW w:w="6520" w:type="dxa"/>
            <w:noWrap/>
          </w:tcPr>
          <w:p w14:paraId="604EA60B" w14:textId="77777777" w:rsidR="00122C1B" w:rsidRPr="00D6245C" w:rsidRDefault="00122C1B" w:rsidP="005F6F8B">
            <w:pPr>
              <w:pStyle w:val="TableList1"/>
            </w:pPr>
            <w:r w:rsidRPr="00D6245C">
              <w:t>drivers to hold only one licence</w:t>
            </w:r>
          </w:p>
          <w:p w14:paraId="4444DB79" w14:textId="77777777" w:rsidR="00122C1B" w:rsidRPr="00D6245C" w:rsidRDefault="00122C1B" w:rsidP="00457BB1">
            <w:pPr>
              <w:pStyle w:val="TableList1"/>
            </w:pPr>
            <w:r w:rsidRPr="00D6245C">
              <w:t>ensure the effective application of sanctions for unsafe driving</w:t>
            </w:r>
          </w:p>
        </w:tc>
      </w:tr>
      <w:tr w:rsidR="00122C1B" w:rsidRPr="00117C96" w14:paraId="36BA7E34"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3119" w:type="dxa"/>
            <w:noWrap/>
          </w:tcPr>
          <w:p w14:paraId="628A6FFF" w14:textId="77777777" w:rsidR="00122C1B" w:rsidRPr="00C97F23" w:rsidRDefault="00122C1B" w:rsidP="000525EB">
            <w:pPr>
              <w:pStyle w:val="TableParagraph"/>
            </w:pPr>
            <w:r w:rsidRPr="00C97F23">
              <w:t>Uniform licence classes and eligibility criteria</w:t>
            </w:r>
          </w:p>
        </w:tc>
        <w:tc>
          <w:tcPr>
            <w:tcW w:w="6520" w:type="dxa"/>
            <w:noWrap/>
          </w:tcPr>
          <w:p w14:paraId="73F775AE" w14:textId="77777777" w:rsidR="00122C1B" w:rsidRPr="00D6245C" w:rsidRDefault="00122C1B" w:rsidP="005F6F8B">
            <w:pPr>
              <w:pStyle w:val="TableList1"/>
            </w:pPr>
            <w:r w:rsidRPr="00D6245C">
              <w:t>simplify licence class structure</w:t>
            </w:r>
          </w:p>
          <w:p w14:paraId="776A9190" w14:textId="77777777" w:rsidR="00122C1B" w:rsidRPr="00D6245C" w:rsidRDefault="00122C1B" w:rsidP="00457BB1">
            <w:pPr>
              <w:pStyle w:val="TableList1"/>
            </w:pPr>
            <w:r w:rsidRPr="00D6245C">
              <w:t>harmonise eligibility criteria</w:t>
            </w:r>
          </w:p>
          <w:p w14:paraId="4E5F3D2B" w14:textId="77777777" w:rsidR="00122C1B" w:rsidRPr="00D6245C" w:rsidRDefault="00122C1B">
            <w:pPr>
              <w:pStyle w:val="TableList1"/>
            </w:pPr>
            <w:r w:rsidRPr="00D6245C">
              <w:t>improve law enforcement</w:t>
            </w:r>
          </w:p>
        </w:tc>
      </w:tr>
      <w:tr w:rsidR="00122C1B" w:rsidRPr="00117C96" w14:paraId="44D06C44" w14:textId="77777777" w:rsidTr="00807687">
        <w:trPr>
          <w:trHeight w:val="300"/>
        </w:trPr>
        <w:tc>
          <w:tcPr>
            <w:tcW w:w="3119" w:type="dxa"/>
            <w:noWrap/>
          </w:tcPr>
          <w:p w14:paraId="2B8853BA" w14:textId="77777777" w:rsidR="00122C1B" w:rsidRPr="00C97F23" w:rsidRDefault="00122C1B" w:rsidP="000525EB">
            <w:pPr>
              <w:pStyle w:val="TableParagraph"/>
            </w:pPr>
            <w:r w:rsidRPr="00C97F23">
              <w:t>Uniform arrangements for the application for</w:t>
            </w:r>
            <w:r>
              <w:t xml:space="preserve"> </w:t>
            </w:r>
            <w:r w:rsidRPr="00C97F23">
              <w:t>licences and renewal of licences</w:t>
            </w:r>
          </w:p>
        </w:tc>
        <w:tc>
          <w:tcPr>
            <w:tcW w:w="6520" w:type="dxa"/>
            <w:noWrap/>
          </w:tcPr>
          <w:p w14:paraId="2800E14F" w14:textId="77777777" w:rsidR="00122C1B" w:rsidRPr="00D6245C" w:rsidRDefault="00122C1B" w:rsidP="005F6F8B">
            <w:pPr>
              <w:pStyle w:val="TableList1"/>
            </w:pPr>
            <w:r w:rsidRPr="00D6245C">
              <w:t>reduced costs and increased efficiency in the</w:t>
            </w:r>
            <w:r>
              <w:t xml:space="preserve"> </w:t>
            </w:r>
            <w:r w:rsidRPr="00D6245C">
              <w:t>administration and enforcement of driver licensing</w:t>
            </w:r>
          </w:p>
        </w:tc>
      </w:tr>
      <w:tr w:rsidR="00122C1B" w:rsidRPr="00117C96" w14:paraId="0C7FDBDA"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3119" w:type="dxa"/>
            <w:noWrap/>
          </w:tcPr>
          <w:p w14:paraId="0AD63B02" w14:textId="77777777" w:rsidR="00122C1B" w:rsidRPr="00C97F23" w:rsidRDefault="00122C1B" w:rsidP="000525EB">
            <w:pPr>
              <w:pStyle w:val="TableParagraph"/>
            </w:pPr>
            <w:r w:rsidRPr="00C97F23">
              <w:t>Form of licence, common conditions, licence card symbols, etc</w:t>
            </w:r>
          </w:p>
        </w:tc>
        <w:tc>
          <w:tcPr>
            <w:tcW w:w="6520" w:type="dxa"/>
            <w:noWrap/>
          </w:tcPr>
          <w:p w14:paraId="57A26815" w14:textId="77777777" w:rsidR="00122C1B" w:rsidRPr="00D6245C" w:rsidRDefault="00122C1B" w:rsidP="005F6F8B">
            <w:pPr>
              <w:pStyle w:val="TableList1"/>
            </w:pPr>
            <w:r w:rsidRPr="00D6245C">
              <w:t>improve consistency of conditions and symbols on cards</w:t>
            </w:r>
          </w:p>
        </w:tc>
      </w:tr>
      <w:tr w:rsidR="00122C1B" w:rsidRPr="00117C96" w14:paraId="717F1818" w14:textId="77777777" w:rsidTr="00807687">
        <w:trPr>
          <w:trHeight w:val="300"/>
        </w:trPr>
        <w:tc>
          <w:tcPr>
            <w:tcW w:w="3119" w:type="dxa"/>
            <w:noWrap/>
          </w:tcPr>
          <w:p w14:paraId="2021F517" w14:textId="77777777" w:rsidR="00122C1B" w:rsidRPr="00C97F23" w:rsidRDefault="00122C1B" w:rsidP="000525EB">
            <w:pPr>
              <w:pStyle w:val="TableParagraph"/>
            </w:pPr>
            <w:r w:rsidRPr="00C97F23">
              <w:t>Driver to conclusively prove his or her identity</w:t>
            </w:r>
          </w:p>
        </w:tc>
        <w:tc>
          <w:tcPr>
            <w:tcW w:w="6520" w:type="dxa"/>
            <w:noWrap/>
          </w:tcPr>
          <w:p w14:paraId="51C4445A" w14:textId="77777777" w:rsidR="00122C1B" w:rsidRPr="00D6245C" w:rsidRDefault="00122C1B" w:rsidP="005F6F8B">
            <w:pPr>
              <w:pStyle w:val="TableList1"/>
            </w:pPr>
            <w:r w:rsidRPr="00D6245C">
              <w:t>prevent fraudulent licences from being issued</w:t>
            </w:r>
          </w:p>
        </w:tc>
      </w:tr>
      <w:tr w:rsidR="00122C1B" w:rsidRPr="00117C96" w14:paraId="616CF01A"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3119" w:type="dxa"/>
            <w:noWrap/>
          </w:tcPr>
          <w:p w14:paraId="33CC4409" w14:textId="77777777" w:rsidR="00122C1B" w:rsidRPr="00C97F23" w:rsidRDefault="00122C1B" w:rsidP="000525EB">
            <w:pPr>
              <w:pStyle w:val="TableParagraph"/>
            </w:pPr>
            <w:r w:rsidRPr="00C97F23">
              <w:t>Common responsibilities of drivers</w:t>
            </w:r>
          </w:p>
        </w:tc>
        <w:tc>
          <w:tcPr>
            <w:tcW w:w="6520" w:type="dxa"/>
            <w:noWrap/>
          </w:tcPr>
          <w:p w14:paraId="3E5AD5BA" w14:textId="77777777" w:rsidR="00122C1B" w:rsidRPr="00D6245C" w:rsidRDefault="00122C1B" w:rsidP="005F6F8B">
            <w:pPr>
              <w:pStyle w:val="TableList1"/>
            </w:pPr>
            <w:r w:rsidRPr="00D6245C">
              <w:t>ensure safe driving practices</w:t>
            </w:r>
          </w:p>
          <w:p w14:paraId="3DC60CD9" w14:textId="77777777" w:rsidR="00122C1B" w:rsidRPr="00D6245C" w:rsidRDefault="00122C1B" w:rsidP="00457BB1">
            <w:pPr>
              <w:pStyle w:val="TableList1"/>
            </w:pPr>
            <w:r w:rsidRPr="00D6245C">
              <w:t>promote effective and efficient regulation of drivers and law enforcement generally</w:t>
            </w:r>
          </w:p>
          <w:p w14:paraId="71E7B739" w14:textId="77777777" w:rsidR="00122C1B" w:rsidRPr="00D6245C" w:rsidRDefault="00122C1B">
            <w:pPr>
              <w:pStyle w:val="TableList1"/>
            </w:pPr>
            <w:r w:rsidRPr="00D6245C">
              <w:t>improve law enforcement</w:t>
            </w:r>
          </w:p>
        </w:tc>
      </w:tr>
      <w:tr w:rsidR="00122C1B" w:rsidRPr="00117C96" w14:paraId="0882109F" w14:textId="77777777" w:rsidTr="00807687">
        <w:trPr>
          <w:trHeight w:val="300"/>
        </w:trPr>
        <w:tc>
          <w:tcPr>
            <w:tcW w:w="3119" w:type="dxa"/>
            <w:noWrap/>
          </w:tcPr>
          <w:p w14:paraId="2B4412F4" w14:textId="77777777" w:rsidR="00122C1B" w:rsidRPr="00C97F23" w:rsidRDefault="00122C1B" w:rsidP="000525EB">
            <w:pPr>
              <w:pStyle w:val="TableParagraph"/>
            </w:pPr>
            <w:r w:rsidRPr="00C97F23">
              <w:t>Mutual recognition of interstate licences</w:t>
            </w:r>
          </w:p>
        </w:tc>
        <w:tc>
          <w:tcPr>
            <w:tcW w:w="6520" w:type="dxa"/>
            <w:noWrap/>
          </w:tcPr>
          <w:p w14:paraId="6D97D7A1" w14:textId="77777777" w:rsidR="00122C1B" w:rsidRPr="00D6245C" w:rsidRDefault="00122C1B" w:rsidP="005F6F8B">
            <w:pPr>
              <w:pStyle w:val="TableList1"/>
            </w:pPr>
            <w:r w:rsidRPr="00D6245C">
              <w:t>improve transportability of driving qualifications between jurisdictions</w:t>
            </w:r>
          </w:p>
          <w:p w14:paraId="75383625" w14:textId="77777777" w:rsidR="00122C1B" w:rsidRPr="00D6245C" w:rsidRDefault="00122C1B" w:rsidP="00457BB1">
            <w:pPr>
              <w:pStyle w:val="TableList1"/>
            </w:pPr>
            <w:r w:rsidRPr="00D6245C">
              <w:t>improve law enforcement</w:t>
            </w:r>
          </w:p>
        </w:tc>
      </w:tr>
      <w:tr w:rsidR="00122C1B" w:rsidRPr="00117C96" w14:paraId="4DED0FDD"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3119" w:type="dxa"/>
            <w:noWrap/>
          </w:tcPr>
          <w:p w14:paraId="00C45BE3" w14:textId="77777777" w:rsidR="00122C1B" w:rsidRPr="00C97F23" w:rsidRDefault="00122C1B" w:rsidP="00FB4AFF">
            <w:pPr>
              <w:pStyle w:val="TableParagraph"/>
            </w:pPr>
            <w:r w:rsidRPr="00C97F23">
              <w:lastRenderedPageBreak/>
              <w:t>Demerit points register</w:t>
            </w:r>
            <w:r>
              <w:t xml:space="preserve"> and t</w:t>
            </w:r>
            <w:r w:rsidRPr="00C97F23">
              <w:t>ransmission of offence</w:t>
            </w:r>
            <w:r>
              <w:t xml:space="preserve"> </w:t>
            </w:r>
            <w:r w:rsidRPr="00C97F23">
              <w:t>penalties to home jurisdiction</w:t>
            </w:r>
          </w:p>
        </w:tc>
        <w:tc>
          <w:tcPr>
            <w:tcW w:w="6520" w:type="dxa"/>
            <w:noWrap/>
          </w:tcPr>
          <w:p w14:paraId="0805C8D1" w14:textId="77777777" w:rsidR="00122C1B" w:rsidRPr="00D6245C" w:rsidRDefault="00122C1B" w:rsidP="005F6F8B">
            <w:pPr>
              <w:pStyle w:val="TableList1"/>
            </w:pPr>
            <w:r w:rsidRPr="00D6245C">
              <w:t>ensure that drivers are held accountable</w:t>
            </w:r>
          </w:p>
          <w:p w14:paraId="60F5B9FD" w14:textId="77777777" w:rsidR="00122C1B" w:rsidRPr="00D6245C" w:rsidRDefault="00122C1B" w:rsidP="00457BB1">
            <w:pPr>
              <w:pStyle w:val="TableList1"/>
            </w:pPr>
            <w:r w:rsidRPr="00D6245C">
              <w:t>improve law enforcement</w:t>
            </w:r>
          </w:p>
        </w:tc>
      </w:tr>
      <w:tr w:rsidR="00122C1B" w:rsidRPr="00117C96" w14:paraId="4A0E04AE" w14:textId="77777777" w:rsidTr="00807687">
        <w:trPr>
          <w:trHeight w:val="300"/>
        </w:trPr>
        <w:tc>
          <w:tcPr>
            <w:tcW w:w="3119" w:type="dxa"/>
            <w:noWrap/>
          </w:tcPr>
          <w:p w14:paraId="1A86777D" w14:textId="77777777" w:rsidR="00122C1B" w:rsidRPr="00C97F23" w:rsidRDefault="00122C1B" w:rsidP="000525EB">
            <w:pPr>
              <w:pStyle w:val="TableParagraph"/>
            </w:pPr>
            <w:r w:rsidRPr="00C97F23">
              <w:t>Suspension, disqualification and cancellation in one jurisdiction to apply in all</w:t>
            </w:r>
          </w:p>
        </w:tc>
        <w:tc>
          <w:tcPr>
            <w:tcW w:w="6520" w:type="dxa"/>
            <w:noWrap/>
          </w:tcPr>
          <w:p w14:paraId="33A2C6F6" w14:textId="77777777" w:rsidR="00122C1B" w:rsidRPr="00D6245C" w:rsidRDefault="00122C1B" w:rsidP="005F6F8B">
            <w:pPr>
              <w:pStyle w:val="TableList1"/>
            </w:pPr>
            <w:r w:rsidRPr="00D6245C">
              <w:t>ensure suspended/disqualified drivers cannot obtain licences in other jurisdictions</w:t>
            </w:r>
          </w:p>
          <w:p w14:paraId="06B788F6" w14:textId="77777777" w:rsidR="00122C1B" w:rsidRPr="00D6245C" w:rsidRDefault="00122C1B" w:rsidP="00457BB1">
            <w:pPr>
              <w:pStyle w:val="TableList1"/>
            </w:pPr>
            <w:r w:rsidRPr="00D6245C">
              <w:t>improve law enforcement</w:t>
            </w:r>
          </w:p>
        </w:tc>
      </w:tr>
      <w:tr w:rsidR="00122C1B" w:rsidRPr="00117C96" w14:paraId="75FD57DA"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3119" w:type="dxa"/>
            <w:noWrap/>
          </w:tcPr>
          <w:p w14:paraId="16D673B6" w14:textId="77777777" w:rsidR="00122C1B" w:rsidRPr="00C97F23" w:rsidRDefault="00122C1B" w:rsidP="00E24F04">
            <w:pPr>
              <w:pStyle w:val="TableParagraph"/>
            </w:pPr>
            <w:r w:rsidRPr="00C97F23">
              <w:t xml:space="preserve">Common medical standards for all drivers </w:t>
            </w:r>
          </w:p>
        </w:tc>
        <w:tc>
          <w:tcPr>
            <w:tcW w:w="6520" w:type="dxa"/>
            <w:noWrap/>
          </w:tcPr>
          <w:p w14:paraId="3C21C131" w14:textId="77777777" w:rsidR="00122C1B" w:rsidRPr="00D6245C" w:rsidRDefault="00122C1B" w:rsidP="005F6F8B">
            <w:pPr>
              <w:pStyle w:val="TableList1"/>
            </w:pPr>
            <w:r w:rsidRPr="00D6245C">
              <w:t>aid mutual recognition, and facilitate the transportability, of driv</w:t>
            </w:r>
            <w:r>
              <w:t>er assessment</w:t>
            </w:r>
          </w:p>
        </w:tc>
      </w:tr>
      <w:tr w:rsidR="00122C1B" w:rsidRPr="00117C96" w14:paraId="20694D9E" w14:textId="77777777" w:rsidTr="00807687">
        <w:trPr>
          <w:trHeight w:val="300"/>
        </w:trPr>
        <w:tc>
          <w:tcPr>
            <w:tcW w:w="3119" w:type="dxa"/>
            <w:noWrap/>
          </w:tcPr>
          <w:p w14:paraId="13204B59" w14:textId="77777777" w:rsidR="00122C1B" w:rsidRPr="00C97F23" w:rsidRDefault="00122C1B" w:rsidP="000525EB">
            <w:pPr>
              <w:pStyle w:val="TableParagraph"/>
            </w:pPr>
            <w:r w:rsidRPr="00C97F23">
              <w:t>Licence fees and fees for services</w:t>
            </w:r>
          </w:p>
        </w:tc>
        <w:tc>
          <w:tcPr>
            <w:tcW w:w="6520" w:type="dxa"/>
            <w:noWrap/>
          </w:tcPr>
          <w:p w14:paraId="58F74044" w14:textId="77777777" w:rsidR="00122C1B" w:rsidRPr="00D6245C" w:rsidRDefault="00122C1B" w:rsidP="005F6F8B">
            <w:pPr>
              <w:pStyle w:val="TableList1"/>
            </w:pPr>
            <w:r w:rsidRPr="00D6245C">
              <w:t xml:space="preserve">facilitate the recovery of expenses incurred in administering the </w:t>
            </w:r>
            <w:r>
              <w:t>licensing scheme</w:t>
            </w:r>
          </w:p>
        </w:tc>
      </w:tr>
    </w:tbl>
    <w:p w14:paraId="02D362DF" w14:textId="77777777" w:rsidR="00122C1B" w:rsidRPr="00117C96" w:rsidRDefault="00122C1B" w:rsidP="00754C0D">
      <w:pPr>
        <w:pStyle w:val="Source"/>
        <w:rPr>
          <w:rFonts w:cs="Segoe UI"/>
        </w:rPr>
      </w:pPr>
      <w:r w:rsidRPr="00117C96">
        <w:rPr>
          <w:rFonts w:cs="Segoe UI"/>
        </w:rPr>
        <w:t>Source: National Transport Commission 2006</w:t>
      </w:r>
      <w:r w:rsidRPr="00117C96">
        <w:rPr>
          <w:rStyle w:val="EndnoteReference"/>
          <w:rFonts w:cs="Segoe UI"/>
        </w:rPr>
        <w:endnoteReference w:id="26"/>
      </w:r>
    </w:p>
    <w:p w14:paraId="0284A888" w14:textId="77777777" w:rsidR="00122C1B" w:rsidRDefault="00122C1B" w:rsidP="00D73FDB">
      <w:pPr>
        <w:pStyle w:val="TextPara"/>
        <w:keepNext/>
        <w:spacing w:after="40"/>
        <w:rPr>
          <w:rFonts w:cs="Segoe UI"/>
        </w:rPr>
      </w:pPr>
      <w:r w:rsidRPr="00636739">
        <w:rPr>
          <w:rFonts w:cs="Segoe UI"/>
        </w:rPr>
        <w:t>Victoria</w:t>
      </w:r>
      <w:r>
        <w:rPr>
          <w:rFonts w:cs="Segoe UI"/>
        </w:rPr>
        <w:t xml:space="preserve"> has a</w:t>
      </w:r>
      <w:r w:rsidR="001B371A">
        <w:rPr>
          <w:rFonts w:cs="Segoe UI"/>
        </w:rPr>
        <w:t xml:space="preserve"> general </w:t>
      </w:r>
      <w:r w:rsidRPr="00636739">
        <w:rPr>
          <w:rFonts w:cs="Segoe UI"/>
        </w:rPr>
        <w:t xml:space="preserve">commitment to implement the </w:t>
      </w:r>
      <w:r>
        <w:rPr>
          <w:rFonts w:cs="Segoe UI"/>
        </w:rPr>
        <w:t>NDLS</w:t>
      </w:r>
      <w:r w:rsidRPr="00636739">
        <w:rPr>
          <w:rFonts w:cs="Segoe UI"/>
        </w:rPr>
        <w:t xml:space="preserve"> </w:t>
      </w:r>
      <w:r>
        <w:rPr>
          <w:rFonts w:cs="Segoe UI"/>
        </w:rPr>
        <w:t>through</w:t>
      </w:r>
      <w:r w:rsidRPr="00636739">
        <w:rPr>
          <w:rFonts w:cs="Segoe UI"/>
        </w:rPr>
        <w:t xml:space="preserve"> the </w:t>
      </w:r>
      <w:r w:rsidRPr="00636739">
        <w:rPr>
          <w:rFonts w:cs="Segoe UI"/>
          <w:i/>
        </w:rPr>
        <w:t>Road Safety Act 1986</w:t>
      </w:r>
      <w:r>
        <w:rPr>
          <w:rFonts w:cs="Segoe UI"/>
          <w:i/>
        </w:rPr>
        <w:t xml:space="preserve">. </w:t>
      </w:r>
    </w:p>
    <w:p w14:paraId="364220A2" w14:textId="77777777" w:rsidR="00122C1B" w:rsidRPr="00636739" w:rsidRDefault="00122C1B" w:rsidP="00D73FDB">
      <w:pPr>
        <w:pStyle w:val="TextPara"/>
        <w:keepNext/>
        <w:spacing w:after="40"/>
        <w:rPr>
          <w:rFonts w:cs="Segoe UI"/>
        </w:rPr>
      </w:pPr>
      <w:r w:rsidRPr="00636739">
        <w:rPr>
          <w:rFonts w:cs="Segoe UI"/>
        </w:rPr>
        <w:t>The proposed Regulations assist in establishing an Australia-wide driver</w:t>
      </w:r>
      <w:r>
        <w:rPr>
          <w:rFonts w:cs="Segoe UI"/>
        </w:rPr>
        <w:t xml:space="preserve"> </w:t>
      </w:r>
      <w:r w:rsidRPr="00636739">
        <w:rPr>
          <w:rFonts w:cs="Segoe UI"/>
        </w:rPr>
        <w:t>licensing system to enable:</w:t>
      </w:r>
    </w:p>
    <w:p w14:paraId="21EAAC4F" w14:textId="77777777" w:rsidR="00122C1B" w:rsidRDefault="00122C1B" w:rsidP="00D73FDB">
      <w:pPr>
        <w:pStyle w:val="BulletPara1"/>
        <w:keepNext/>
        <w:widowControl/>
        <w:ind w:left="714" w:hanging="357"/>
      </w:pPr>
      <w:r>
        <w:t>establishing licence categories</w:t>
      </w:r>
    </w:p>
    <w:p w14:paraId="42E10D25" w14:textId="77777777" w:rsidR="00122C1B" w:rsidRDefault="00122C1B" w:rsidP="00545583">
      <w:pPr>
        <w:pStyle w:val="BulletPara1"/>
      </w:pPr>
      <w:r>
        <w:t>providing a means of establishing the identity of licensed drivers</w:t>
      </w:r>
    </w:p>
    <w:p w14:paraId="4EC211FE" w14:textId="77777777" w:rsidR="00122C1B" w:rsidRDefault="00122C1B" w:rsidP="00545583">
      <w:pPr>
        <w:pStyle w:val="BulletPara1"/>
      </w:pPr>
      <w:r>
        <w:t>setting eligibility criteria and conditions for learner permit, and probationary and full licences</w:t>
      </w:r>
    </w:p>
    <w:p w14:paraId="0639170B" w14:textId="77777777" w:rsidR="00122C1B" w:rsidRDefault="00122C1B" w:rsidP="00545583">
      <w:pPr>
        <w:pStyle w:val="BulletPara1"/>
      </w:pPr>
      <w:r>
        <w:t>prescribing driver licensing and driving responsibilities and obligations</w:t>
      </w:r>
    </w:p>
    <w:p w14:paraId="5735A556" w14:textId="77777777" w:rsidR="00122C1B" w:rsidRDefault="00122C1B" w:rsidP="00545583">
      <w:pPr>
        <w:pStyle w:val="BulletPara1"/>
      </w:pPr>
      <w:r>
        <w:t>regulating</w:t>
      </w:r>
      <w:r w:rsidRPr="00715E05">
        <w:t xml:space="preserve"> </w:t>
      </w:r>
      <w:r>
        <w:t>the renewal, replacement and variation of learner permits</w:t>
      </w:r>
      <w:r w:rsidRPr="00715E05">
        <w:t xml:space="preserve"> </w:t>
      </w:r>
      <w:r>
        <w:t>and licences</w:t>
      </w:r>
    </w:p>
    <w:p w14:paraId="4014B1C1" w14:textId="77777777" w:rsidR="00122C1B" w:rsidRDefault="00122C1B" w:rsidP="00545583">
      <w:pPr>
        <w:pStyle w:val="BulletPara1"/>
      </w:pPr>
      <w:r>
        <w:t>regulating and assessing medical fitness-to-drive</w:t>
      </w:r>
    </w:p>
    <w:p w14:paraId="74F406F6" w14:textId="77777777" w:rsidR="00122C1B" w:rsidRDefault="00122C1B" w:rsidP="00545583">
      <w:pPr>
        <w:pStyle w:val="BulletPara1"/>
      </w:pPr>
      <w:r>
        <w:t>regulating the learner permit</w:t>
      </w:r>
      <w:r w:rsidRPr="00715E05">
        <w:t xml:space="preserve"> </w:t>
      </w:r>
      <w:r>
        <w:t>and licence sanctions, including demerit points, suspensions and cancellations</w:t>
      </w:r>
    </w:p>
    <w:p w14:paraId="50BC0101" w14:textId="77777777" w:rsidR="00122C1B" w:rsidRDefault="00122C1B" w:rsidP="00545583">
      <w:pPr>
        <w:pStyle w:val="BulletPara1"/>
      </w:pPr>
      <w:r>
        <w:t>establishing and managing a demerit points system</w:t>
      </w:r>
    </w:p>
    <w:p w14:paraId="577F6418" w14:textId="77777777" w:rsidR="00122C1B" w:rsidRDefault="00122C1B" w:rsidP="00545583">
      <w:pPr>
        <w:pStyle w:val="BulletPara1"/>
      </w:pPr>
      <w:r>
        <w:t>establishing compliance requirements relating to approved alcohol interlocks</w:t>
      </w:r>
    </w:p>
    <w:p w14:paraId="4D2FD9AA" w14:textId="77777777" w:rsidR="00122C1B" w:rsidRDefault="00122C1B" w:rsidP="00545583">
      <w:pPr>
        <w:pStyle w:val="BulletPara1"/>
      </w:pPr>
      <w:r>
        <w:t>prescribing the collection of licence fees</w:t>
      </w:r>
    </w:p>
    <w:p w14:paraId="3FBE2CA5" w14:textId="77777777" w:rsidR="00122C1B" w:rsidRPr="00117C96" w:rsidRDefault="00122C1B" w:rsidP="00545583">
      <w:pPr>
        <w:pStyle w:val="BulletPara1"/>
      </w:pPr>
      <w:r>
        <w:t>enabling the recovery of expenses incurred in administering the licensing system.</w:t>
      </w:r>
    </w:p>
    <w:p w14:paraId="7DC38044" w14:textId="77777777" w:rsidR="00122C1B" w:rsidRDefault="00122C1B" w:rsidP="00EF4EE7">
      <w:pPr>
        <w:pStyle w:val="TextPara"/>
        <w:rPr>
          <w:rFonts w:cs="Segoe UI"/>
        </w:rPr>
      </w:pPr>
      <w:r w:rsidRPr="00EF4EE7">
        <w:rPr>
          <w:rFonts w:cs="Segoe UI"/>
        </w:rPr>
        <w:t xml:space="preserve">The </w:t>
      </w:r>
      <w:r>
        <w:rPr>
          <w:rFonts w:cs="Segoe UI"/>
        </w:rPr>
        <w:t>NTC</w:t>
      </w:r>
      <w:r w:rsidRPr="00EF4EE7">
        <w:rPr>
          <w:rFonts w:cs="Segoe UI"/>
        </w:rPr>
        <w:t xml:space="preserve"> has an ongoing responsibility to </w:t>
      </w:r>
      <w:r>
        <w:rPr>
          <w:rFonts w:cs="Segoe UI"/>
        </w:rPr>
        <w:t xml:space="preserve">facilitate change </w:t>
      </w:r>
      <w:r w:rsidRPr="00EF4EE7">
        <w:rPr>
          <w:rFonts w:cs="Segoe UI"/>
        </w:rPr>
        <w:t>and maintain the</w:t>
      </w:r>
      <w:r>
        <w:rPr>
          <w:rFonts w:cs="Segoe UI"/>
        </w:rPr>
        <w:t xml:space="preserve"> NDLS</w:t>
      </w:r>
      <w:r w:rsidRPr="00EF4EE7">
        <w:rPr>
          <w:rFonts w:cs="Segoe UI"/>
        </w:rPr>
        <w:t xml:space="preserve"> to </w:t>
      </w:r>
      <w:r>
        <w:rPr>
          <w:rFonts w:cs="Segoe UI"/>
        </w:rPr>
        <w:t>improve regulatory efficiency.</w:t>
      </w:r>
    </w:p>
    <w:p w14:paraId="501CB819" w14:textId="77777777" w:rsidR="002D7603" w:rsidRDefault="00122C1B" w:rsidP="00642D04">
      <w:pPr>
        <w:pStyle w:val="TextPara"/>
      </w:pPr>
      <w:r>
        <w:t>W</w:t>
      </w:r>
      <w:r w:rsidRPr="002D7603">
        <w:t xml:space="preserve">hile states and territories have an obligation to adhere to, and implement national standards, </w:t>
      </w:r>
      <w:r w:rsidR="001B371A" w:rsidRPr="002D7603">
        <w:t xml:space="preserve">such as </w:t>
      </w:r>
      <w:r w:rsidRPr="002D7603">
        <w:t>the NDLS, they may deviate from them where there is a compelling case for doing so in their local context.</w:t>
      </w:r>
    </w:p>
    <w:p w14:paraId="78CF799C" w14:textId="77777777" w:rsidR="00122C1B" w:rsidRDefault="00122C1B" w:rsidP="006467E6">
      <w:pPr>
        <w:pStyle w:val="NoSpacing"/>
      </w:pPr>
      <w:r>
        <w:t>Recognition of interstate and overseas licences</w:t>
      </w:r>
    </w:p>
    <w:p w14:paraId="4A795067" w14:textId="77777777" w:rsidR="00122C1B" w:rsidRDefault="00122C1B" w:rsidP="00754C0D">
      <w:pPr>
        <w:pStyle w:val="TextPara"/>
        <w:rPr>
          <w:rFonts w:cs="Segoe UI"/>
        </w:rPr>
      </w:pPr>
      <w:r>
        <w:rPr>
          <w:rFonts w:cs="Segoe UI"/>
        </w:rPr>
        <w:t>Under t</w:t>
      </w:r>
      <w:r w:rsidRPr="00117C96">
        <w:rPr>
          <w:rFonts w:cs="Segoe UI"/>
        </w:rPr>
        <w:t xml:space="preserve">he </w:t>
      </w:r>
      <w:r>
        <w:rPr>
          <w:rFonts w:cs="Segoe UI"/>
        </w:rPr>
        <w:t>provisions of</w:t>
      </w:r>
      <w:r w:rsidR="003D6FEB">
        <w:rPr>
          <w:rFonts w:cs="Segoe UI"/>
        </w:rPr>
        <w:t xml:space="preserve"> the</w:t>
      </w:r>
      <w:r>
        <w:rPr>
          <w:rFonts w:cs="Segoe UI"/>
        </w:rPr>
        <w:t xml:space="preserve"> </w:t>
      </w:r>
      <w:r w:rsidRPr="00117C96">
        <w:rPr>
          <w:rFonts w:cs="Segoe UI"/>
        </w:rPr>
        <w:t>NDLS</w:t>
      </w:r>
      <w:r>
        <w:rPr>
          <w:rFonts w:cs="Segoe UI"/>
        </w:rPr>
        <w:t>,</w:t>
      </w:r>
      <w:r w:rsidRPr="00117C96">
        <w:rPr>
          <w:rFonts w:cs="Segoe UI"/>
        </w:rPr>
        <w:t xml:space="preserve"> holders of non-Victorian licences (either interstate or overseas) </w:t>
      </w:r>
      <w:r>
        <w:rPr>
          <w:rFonts w:cs="Segoe UI"/>
        </w:rPr>
        <w:t xml:space="preserve">are not </w:t>
      </w:r>
      <w:r w:rsidRPr="00117C96">
        <w:rPr>
          <w:rFonts w:cs="Segoe UI"/>
        </w:rPr>
        <w:t>require</w:t>
      </w:r>
      <w:r>
        <w:rPr>
          <w:rFonts w:cs="Segoe UI"/>
        </w:rPr>
        <w:t>d</w:t>
      </w:r>
      <w:r w:rsidRPr="00117C96">
        <w:rPr>
          <w:rFonts w:cs="Segoe UI"/>
        </w:rPr>
        <w:t xml:space="preserve"> to </w:t>
      </w:r>
      <w:r>
        <w:rPr>
          <w:rFonts w:cs="Segoe UI"/>
        </w:rPr>
        <w:t>obtain</w:t>
      </w:r>
      <w:r w:rsidRPr="00117C96">
        <w:rPr>
          <w:rFonts w:cs="Segoe UI"/>
        </w:rPr>
        <w:t xml:space="preserve"> a Victorian driver licence</w:t>
      </w:r>
      <w:r>
        <w:rPr>
          <w:rFonts w:cs="Segoe UI"/>
        </w:rPr>
        <w:t>,</w:t>
      </w:r>
      <w:r w:rsidRPr="00117C96">
        <w:rPr>
          <w:rFonts w:cs="Segoe UI"/>
        </w:rPr>
        <w:t xml:space="preserve"> provided </w:t>
      </w:r>
      <w:r>
        <w:rPr>
          <w:rFonts w:cs="Segoe UI"/>
        </w:rPr>
        <w:t xml:space="preserve">that </w:t>
      </w:r>
      <w:r w:rsidRPr="00117C96">
        <w:rPr>
          <w:rFonts w:cs="Segoe UI"/>
        </w:rPr>
        <w:t xml:space="preserve">their licence is current and not subject to suspension or other restriction that would otherwise invalidate their entitlement to drive. This </w:t>
      </w:r>
      <w:r>
        <w:rPr>
          <w:rFonts w:cs="Segoe UI"/>
        </w:rPr>
        <w:t>authorisation to drive, however,</w:t>
      </w:r>
      <w:r w:rsidRPr="00117C96">
        <w:rPr>
          <w:rFonts w:cs="Segoe UI"/>
        </w:rPr>
        <w:t xml:space="preserve"> </w:t>
      </w:r>
      <w:r>
        <w:rPr>
          <w:rFonts w:cs="Segoe UI"/>
        </w:rPr>
        <w:t>ceases</w:t>
      </w:r>
      <w:r w:rsidRPr="00117C96">
        <w:rPr>
          <w:rFonts w:cs="Segoe UI"/>
        </w:rPr>
        <w:t xml:space="preserve"> where an interstate licence holder or a permanent visa holder </w:t>
      </w:r>
      <w:r>
        <w:rPr>
          <w:rFonts w:cs="Segoe UI"/>
        </w:rPr>
        <w:t xml:space="preserve">with an overseas licence </w:t>
      </w:r>
      <w:r w:rsidRPr="00117C96">
        <w:rPr>
          <w:rFonts w:cs="Segoe UI"/>
        </w:rPr>
        <w:t>has been resident in Victoria for more than three months.</w:t>
      </w:r>
      <w:r>
        <w:rPr>
          <w:rFonts w:cs="Segoe UI"/>
        </w:rPr>
        <w:t xml:space="preserve"> </w:t>
      </w:r>
    </w:p>
    <w:p w14:paraId="2B0E6DA4" w14:textId="77777777" w:rsidR="00122C1B" w:rsidRDefault="00122C1B" w:rsidP="00A51F7A">
      <w:pPr>
        <w:pStyle w:val="TextPara"/>
        <w:jc w:val="both"/>
        <w:rPr>
          <w:rFonts w:cs="Segoe UI"/>
        </w:rPr>
      </w:pPr>
      <w:r>
        <w:rPr>
          <w:rFonts w:cs="Segoe UI"/>
        </w:rPr>
        <w:t>The NDLS does not require temporary residence visa holders with an overseas licence to convert their licence to a Victorian equivalent and they may continue to drive in Australia with their overseas licence for the duration of their visa, provided their overseas licence is valid throughout the visa period.</w:t>
      </w:r>
    </w:p>
    <w:p w14:paraId="6390E778" w14:textId="77777777" w:rsidR="00122C1B" w:rsidRDefault="00122C1B" w:rsidP="00DC298A">
      <w:pPr>
        <w:pStyle w:val="TextPara"/>
        <w:spacing w:after="0"/>
      </w:pPr>
      <w:r w:rsidRPr="00117C96">
        <w:rPr>
          <w:rFonts w:cs="Segoe UI"/>
        </w:rPr>
        <w:t>All nationally agreed categories are converted between jurisdictions.</w:t>
      </w:r>
      <w:r>
        <w:rPr>
          <w:rFonts w:cs="Segoe UI"/>
        </w:rPr>
        <w:t xml:space="preserve"> </w:t>
      </w:r>
      <w:r>
        <w:t>For interstate drivers, all Australian jurisdictions</w:t>
      </w:r>
      <w:r>
        <w:rPr>
          <w:rStyle w:val="EndnoteReference"/>
        </w:rPr>
        <w:endnoteReference w:id="27"/>
      </w:r>
      <w:r>
        <w:t xml:space="preserve"> follow the licence conversion exemption period of 3 months, as stipulated in the NDLS. For overseas drivers with permanent residence visas, Victoria is the only Australian jurisdiction that allows a conversion period of 6 months instead of 3 months. </w:t>
      </w:r>
    </w:p>
    <w:p w14:paraId="490CDDF4" w14:textId="77777777" w:rsidR="00122C1B" w:rsidRDefault="00122C1B" w:rsidP="00446AD0">
      <w:pPr>
        <w:pStyle w:val="TextPara"/>
      </w:pPr>
      <w:r>
        <w:lastRenderedPageBreak/>
        <w:t xml:space="preserve">The </w:t>
      </w:r>
      <w:r w:rsidRPr="00FB2ACC">
        <w:t xml:space="preserve">driver </w:t>
      </w:r>
      <w:r>
        <w:t xml:space="preserve">licence conversion process depends on whether the </w:t>
      </w:r>
      <w:r w:rsidRPr="00FB2ACC">
        <w:t xml:space="preserve">overseas licence has been verified and was issued from one of the </w:t>
      </w:r>
      <w:r>
        <w:t xml:space="preserve">recognised </w:t>
      </w:r>
      <w:r w:rsidRPr="00FB2ACC">
        <w:t>countries</w:t>
      </w:r>
      <w:r>
        <w:t xml:space="preserve">. Austroads sets the criteria to be applied to a country’s licence recognition in Australia and undertakes recognition on a national basis. </w:t>
      </w:r>
      <w:r w:rsidRPr="00090A9E">
        <w:t xml:space="preserve">Applications </w:t>
      </w:r>
      <w:r>
        <w:t xml:space="preserve">for a country’s licence recognition must </w:t>
      </w:r>
      <w:r w:rsidRPr="00090A9E">
        <w:t xml:space="preserve">be submitted to Austroads </w:t>
      </w:r>
      <w:r>
        <w:t>by</w:t>
      </w:r>
      <w:r w:rsidRPr="00090A9E">
        <w:t xml:space="preserve"> </w:t>
      </w:r>
      <w:r>
        <w:t>the</w:t>
      </w:r>
      <w:r w:rsidRPr="00090A9E">
        <w:t xml:space="preserve"> country's agency responsible for driver licence administration</w:t>
      </w:r>
      <w:r>
        <w:t>.</w:t>
      </w:r>
    </w:p>
    <w:p w14:paraId="0DABC10C" w14:textId="77777777" w:rsidR="00122C1B" w:rsidRDefault="00122C1B" w:rsidP="005429E3">
      <w:pPr>
        <w:pStyle w:val="TextPara"/>
        <w:spacing w:after="0"/>
      </w:pPr>
      <w:r>
        <w:t>Several</w:t>
      </w:r>
      <w:r w:rsidRPr="00090A9E">
        <w:t xml:space="preserve"> key components </w:t>
      </w:r>
      <w:r>
        <w:t xml:space="preserve">that </w:t>
      </w:r>
      <w:r w:rsidRPr="00090A9E">
        <w:t>make up driver licensing regimes in Australia are considered essential to licensing arrangements in Australia and are used as a guide to assess</w:t>
      </w:r>
      <w:r>
        <w:t xml:space="preserve"> recognition</w:t>
      </w:r>
      <w:r w:rsidRPr="00090A9E">
        <w:t xml:space="preserve"> application</w:t>
      </w:r>
      <w:r>
        <w:t>s</w:t>
      </w:r>
      <w:r w:rsidRPr="00090A9E">
        <w:t xml:space="preserve">. To determine eligibility for licence recognition, the assessment process </w:t>
      </w:r>
      <w:r>
        <w:t>considers</w:t>
      </w:r>
      <w:r w:rsidRPr="00090A9E">
        <w:t xml:space="preserve"> minimum comparable standards to those adopted by Australia</w:t>
      </w:r>
      <w:r>
        <w:t>n jurisdictions in the following five criteria:</w:t>
      </w:r>
    </w:p>
    <w:p w14:paraId="11198FF3" w14:textId="77777777" w:rsidR="00122C1B" w:rsidRDefault="00122C1B" w:rsidP="00BA55BA">
      <w:pPr>
        <w:pStyle w:val="Bullet1-Black"/>
      </w:pPr>
      <w:r>
        <w:t>Licensing systems</w:t>
      </w:r>
    </w:p>
    <w:p w14:paraId="1CB425A9" w14:textId="77777777" w:rsidR="00122C1B" w:rsidRDefault="00122C1B" w:rsidP="005F6F8B">
      <w:pPr>
        <w:pStyle w:val="Bullet1-Black"/>
      </w:pPr>
      <w:r>
        <w:t>Testing regime (elements of driving tests)</w:t>
      </w:r>
    </w:p>
    <w:p w14:paraId="461589B4" w14:textId="77777777" w:rsidR="00122C1B" w:rsidRDefault="00122C1B" w:rsidP="00457BB1">
      <w:pPr>
        <w:pStyle w:val="Bullet1-Black"/>
      </w:pPr>
      <w:r>
        <w:t>Evidence of Identity requirements</w:t>
      </w:r>
    </w:p>
    <w:p w14:paraId="435098E7" w14:textId="77777777" w:rsidR="00122C1B" w:rsidRDefault="00122C1B" w:rsidP="00457BB1">
      <w:pPr>
        <w:pStyle w:val="Bullet1-Black"/>
      </w:pPr>
      <w:r>
        <w:t>Driver licence card</w:t>
      </w:r>
    </w:p>
    <w:p w14:paraId="0606BFF2" w14:textId="77777777" w:rsidR="00122C1B" w:rsidRDefault="00122C1B">
      <w:pPr>
        <w:pStyle w:val="Bullet1-Black"/>
      </w:pPr>
      <w:r>
        <w:t>Licence examiners.</w:t>
      </w:r>
    </w:p>
    <w:p w14:paraId="4BFE5B37" w14:textId="77777777" w:rsidR="00122C1B" w:rsidRDefault="00122C1B" w:rsidP="00446AD0">
      <w:pPr>
        <w:pStyle w:val="TextPara"/>
      </w:pPr>
      <w:r>
        <w:t xml:space="preserve">Austroads maintains the list of </w:t>
      </w:r>
      <w:r w:rsidRPr="00212821">
        <w:rPr>
          <w:i/>
        </w:rPr>
        <w:t>recognised countries</w:t>
      </w:r>
      <w:r>
        <w:t>.</w:t>
      </w:r>
      <w:r>
        <w:rPr>
          <w:rStyle w:val="EndnoteReference"/>
        </w:rPr>
        <w:endnoteReference w:id="28"/>
      </w:r>
      <w:r>
        <w:t xml:space="preserve"> </w:t>
      </w:r>
      <w:r w:rsidRPr="00E95DB4">
        <w:t xml:space="preserve">If </w:t>
      </w:r>
      <w:r>
        <w:t>an</w:t>
      </w:r>
      <w:r w:rsidRPr="00E95DB4">
        <w:t xml:space="preserve"> overseas driver licence has been verified and was issued from one of the </w:t>
      </w:r>
      <w:r>
        <w:t xml:space="preserve">recognised </w:t>
      </w:r>
      <w:r w:rsidRPr="00E95DB4">
        <w:t xml:space="preserve">countries, </w:t>
      </w:r>
      <w:r>
        <w:t>the</w:t>
      </w:r>
      <w:r w:rsidRPr="00E95DB4">
        <w:t xml:space="preserve"> driver licence is recognised in Victoria and </w:t>
      </w:r>
      <w:r>
        <w:t>the driver</w:t>
      </w:r>
      <w:r w:rsidRPr="00E95DB4">
        <w:t xml:space="preserve"> </w:t>
      </w:r>
      <w:r>
        <w:t xml:space="preserve">is not required </w:t>
      </w:r>
      <w:r w:rsidRPr="00E95DB4">
        <w:t>to sit a drive test.</w:t>
      </w:r>
    </w:p>
    <w:p w14:paraId="77FE1E93" w14:textId="77777777" w:rsidR="00122C1B" w:rsidRPr="007E425D" w:rsidRDefault="00122C1B" w:rsidP="00446AD0">
      <w:pPr>
        <w:pStyle w:val="TextPara"/>
      </w:pPr>
      <w:r>
        <w:t xml:space="preserve">Austroads also maintains the list of </w:t>
      </w:r>
      <w:r w:rsidRPr="007E425D">
        <w:t xml:space="preserve">countries </w:t>
      </w:r>
      <w:r>
        <w:t>that have</w:t>
      </w:r>
      <w:r w:rsidRPr="007E425D">
        <w:t xml:space="preserve"> </w:t>
      </w:r>
      <w:r w:rsidRPr="00F93BBF">
        <w:rPr>
          <w:i/>
        </w:rPr>
        <w:t>driver experience recognition</w:t>
      </w:r>
      <w:r w:rsidRPr="008769E0">
        <w:rPr>
          <w:rStyle w:val="EndnoteReference"/>
        </w:rPr>
        <w:endnoteReference w:id="29"/>
      </w:r>
      <w:r w:rsidRPr="008769E0">
        <w:t xml:space="preserve"> </w:t>
      </w:r>
      <w:r w:rsidRPr="007E425D">
        <w:t>status</w:t>
      </w:r>
      <w:r>
        <w:t xml:space="preserve">. These are countries whose </w:t>
      </w:r>
      <w:r w:rsidRPr="007E425D">
        <w:t xml:space="preserve">licence standards meet the stringent </w:t>
      </w:r>
      <w:r>
        <w:t xml:space="preserve">Austroads </w:t>
      </w:r>
      <w:r w:rsidRPr="007E425D">
        <w:t>assessment criteria relating to evidence of identity, security features of the card</w:t>
      </w:r>
      <w:r>
        <w:t>,</w:t>
      </w:r>
      <w:r w:rsidRPr="007E425D">
        <w:t xml:space="preserve"> licence examiner training</w:t>
      </w:r>
      <w:r>
        <w:t>,</w:t>
      </w:r>
      <w:r w:rsidRPr="007E425D">
        <w:t xml:space="preserve"> and assessment </w:t>
      </w:r>
      <w:r>
        <w:t>standards, but they do not meet all</w:t>
      </w:r>
      <w:r w:rsidRPr="007E425D">
        <w:t xml:space="preserve"> the licence testing requirements. Th</w:t>
      </w:r>
      <w:r>
        <w:t xml:space="preserve">is status </w:t>
      </w:r>
      <w:r w:rsidRPr="007E425D">
        <w:t>category aims to recognise a person’s driving experience and age as a substitute for licensing measures aimed at novice drivers.</w:t>
      </w:r>
    </w:p>
    <w:p w14:paraId="6AE7E62F" w14:textId="77777777" w:rsidR="00122C1B" w:rsidRDefault="00122C1B" w:rsidP="00446AD0">
      <w:pPr>
        <w:pStyle w:val="TextPara"/>
        <w:spacing w:after="60"/>
      </w:pPr>
      <w:r>
        <w:t>P</w:t>
      </w:r>
      <w:r w:rsidRPr="007E425D">
        <w:t>erson</w:t>
      </w:r>
      <w:r>
        <w:t>s</w:t>
      </w:r>
      <w:r w:rsidRPr="007E425D">
        <w:t xml:space="preserve"> hold</w:t>
      </w:r>
      <w:r>
        <w:t>ing</w:t>
      </w:r>
      <w:r w:rsidRPr="007E425D">
        <w:t xml:space="preserve"> a driver licence from one of the</w:t>
      </w:r>
      <w:r>
        <w:t xml:space="preserve"> driver-experience-recognised</w:t>
      </w:r>
      <w:r w:rsidRPr="007E425D">
        <w:t xml:space="preserve"> countries</w:t>
      </w:r>
      <w:r>
        <w:t>–</w:t>
      </w:r>
    </w:p>
    <w:p w14:paraId="5D7691C8" w14:textId="77777777" w:rsidR="00122C1B" w:rsidRDefault="00122C1B" w:rsidP="005F6F8B">
      <w:pPr>
        <w:pStyle w:val="Bullet1-Black"/>
      </w:pPr>
      <w:r>
        <w:t xml:space="preserve">if they are </w:t>
      </w:r>
      <w:r w:rsidRPr="007E425D">
        <w:t>25 years of age or older</w:t>
      </w:r>
      <w:r>
        <w:t>,</w:t>
      </w:r>
      <w:r w:rsidRPr="007E425D">
        <w:t xml:space="preserve"> may </w:t>
      </w:r>
      <w:r w:rsidRPr="00F427F6">
        <w:t>be</w:t>
      </w:r>
      <w:r w:rsidRPr="007E425D">
        <w:t xml:space="preserve"> able to exchange their overseas licence for an Australian issued driver</w:t>
      </w:r>
      <w:r>
        <w:t xml:space="preserve"> licence without driver testing</w:t>
      </w:r>
    </w:p>
    <w:p w14:paraId="28C39779" w14:textId="77777777" w:rsidR="00122C1B" w:rsidRPr="007E425D" w:rsidRDefault="00122C1B" w:rsidP="00457BB1">
      <w:pPr>
        <w:pStyle w:val="Bullet1-Black"/>
        <w:numPr>
          <w:ilvl w:val="0"/>
          <w:numId w:val="0"/>
        </w:numPr>
        <w:ind w:left="387"/>
      </w:pPr>
      <w:r>
        <w:t>or</w:t>
      </w:r>
    </w:p>
    <w:p w14:paraId="7296D36C" w14:textId="77777777" w:rsidR="00122C1B" w:rsidRPr="007E425D" w:rsidRDefault="00122C1B">
      <w:pPr>
        <w:pStyle w:val="Bullet1-Black"/>
      </w:pPr>
      <w:r>
        <w:t xml:space="preserve">if they are </w:t>
      </w:r>
      <w:r w:rsidRPr="007E425D">
        <w:t>under 25 years of age</w:t>
      </w:r>
      <w:r>
        <w:t>,</w:t>
      </w:r>
      <w:r w:rsidRPr="007E425D">
        <w:t xml:space="preserve"> </w:t>
      </w:r>
      <w:r>
        <w:t>are</w:t>
      </w:r>
      <w:r w:rsidRPr="007E425D">
        <w:t xml:space="preserve"> required to undertake </w:t>
      </w:r>
      <w:r>
        <w:t>knowledge</w:t>
      </w:r>
      <w:r w:rsidRPr="007E425D">
        <w:t xml:space="preserve"> and practical driving tests. If </w:t>
      </w:r>
      <w:r>
        <w:t>they</w:t>
      </w:r>
      <w:r w:rsidRPr="007E425D">
        <w:t xml:space="preserve"> pass the tests set by the Australian jurisdiction, their overseas licence will be converted, based on </w:t>
      </w:r>
      <w:r>
        <w:t xml:space="preserve">their </w:t>
      </w:r>
      <w:r w:rsidRPr="007E425D">
        <w:t>age</w:t>
      </w:r>
      <w:r>
        <w:t>, the proficiency associated with their overseas licence and the period that the overseas licence has been held,</w:t>
      </w:r>
      <w:r w:rsidRPr="007E425D">
        <w:t xml:space="preserve"> to the class of licence they would have been on, had they commenced driving in that Australian jurisdiction.</w:t>
      </w:r>
    </w:p>
    <w:p w14:paraId="1F39C79A" w14:textId="77777777" w:rsidR="00122C1B" w:rsidRDefault="00122C1B" w:rsidP="00446AD0">
      <w:pPr>
        <w:pStyle w:val="TextPara"/>
      </w:pPr>
      <w:r w:rsidRPr="007E425D">
        <w:t xml:space="preserve">However, </w:t>
      </w:r>
      <w:r>
        <w:t>overseas drivers</w:t>
      </w:r>
      <w:r w:rsidRPr="007E425D">
        <w:t xml:space="preserve">, who hold a driver licence from a </w:t>
      </w:r>
      <w:r w:rsidRPr="00472FBC">
        <w:t xml:space="preserve">country that is not listed </w:t>
      </w:r>
      <w:r>
        <w:t>as either a</w:t>
      </w:r>
      <w:r w:rsidRPr="00472FBC">
        <w:t xml:space="preserve"> recognised country or </w:t>
      </w:r>
      <w:r>
        <w:t>a driver-experience-</w:t>
      </w:r>
      <w:r w:rsidRPr="00472FBC">
        <w:t>recognised</w:t>
      </w:r>
      <w:r>
        <w:t xml:space="preserve"> country</w:t>
      </w:r>
      <w:r w:rsidRPr="00472FBC">
        <w:t xml:space="preserve">, </w:t>
      </w:r>
      <w:r w:rsidRPr="007E425D">
        <w:t xml:space="preserve">are required to undertake a </w:t>
      </w:r>
      <w:r>
        <w:t>knowledge</w:t>
      </w:r>
      <w:r w:rsidRPr="007E425D">
        <w:t xml:space="preserve"> test and a practical driving test</w:t>
      </w:r>
      <w:r>
        <w:t xml:space="preserve"> to obtain a Victorian licence</w:t>
      </w:r>
      <w:r w:rsidRPr="007E425D">
        <w:t xml:space="preserve">. If </w:t>
      </w:r>
      <w:r>
        <w:t>they</w:t>
      </w:r>
      <w:r w:rsidRPr="007E425D">
        <w:t xml:space="preserve"> pass both tests, their overseas licence will be converted, based on </w:t>
      </w:r>
      <w:r>
        <w:t xml:space="preserve">their </w:t>
      </w:r>
      <w:r w:rsidRPr="007E425D">
        <w:t>age</w:t>
      </w:r>
      <w:r>
        <w:t>, the proficiency associated with their overseas licence and the period the overseas licence has been held,</w:t>
      </w:r>
      <w:r w:rsidRPr="007E425D">
        <w:t xml:space="preserve"> to the class of licence they would have been on had they commenced driving in Victoria.</w:t>
      </w:r>
    </w:p>
    <w:p w14:paraId="06AB320B" w14:textId="77777777" w:rsidR="00122C1B" w:rsidRDefault="00122C1B" w:rsidP="00446AD0">
      <w:pPr>
        <w:pStyle w:val="TextPara"/>
      </w:pPr>
      <w:r w:rsidRPr="00117C96">
        <w:t>Overseas learner permits are not recognised for conversion, but are recognised to prove previous experience</w:t>
      </w:r>
      <w:r>
        <w:t xml:space="preserve"> for the purposes of reducing the minimum learner permit holding period</w:t>
      </w:r>
      <w:r w:rsidRPr="00117C96">
        <w:t>.</w:t>
      </w:r>
    </w:p>
    <w:p w14:paraId="70AB9454" w14:textId="77777777" w:rsidR="00122C1B" w:rsidRDefault="00122C1B">
      <w:pPr>
        <w:pStyle w:val="NoSpacing"/>
      </w:pPr>
      <w:r>
        <w:t>National Demerit Points System</w:t>
      </w:r>
    </w:p>
    <w:p w14:paraId="01664D89" w14:textId="77777777" w:rsidR="00122C1B" w:rsidRDefault="00122C1B" w:rsidP="00682AD0">
      <w:pPr>
        <w:pStyle w:val="TextPara"/>
      </w:pPr>
      <w:r w:rsidRPr="00052118">
        <w:t xml:space="preserve">The demerit point schemes in each Australian </w:t>
      </w:r>
      <w:r>
        <w:t>jurisdiction</w:t>
      </w:r>
      <w:r w:rsidRPr="00052118">
        <w:t xml:space="preserve"> are based on a national scheme specifying </w:t>
      </w:r>
      <w:r>
        <w:t>the</w:t>
      </w:r>
      <w:r w:rsidRPr="00052118">
        <w:t xml:space="preserve"> </w:t>
      </w:r>
      <w:r w:rsidRPr="00682AD0">
        <w:t xml:space="preserve">traffic </w:t>
      </w:r>
      <w:r w:rsidRPr="00052118">
        <w:t>offences attract</w:t>
      </w:r>
      <w:r>
        <w:t>ing</w:t>
      </w:r>
      <w:r w:rsidRPr="00052118">
        <w:t xml:space="preserve"> demerit points, </w:t>
      </w:r>
      <w:r>
        <w:t>the number of</w:t>
      </w:r>
      <w:r w:rsidRPr="00052118">
        <w:t xml:space="preserve"> points apply</w:t>
      </w:r>
      <w:r>
        <w:t>ing</w:t>
      </w:r>
      <w:r w:rsidRPr="00052118">
        <w:t xml:space="preserve"> to each offence, the threshold </w:t>
      </w:r>
      <w:r w:rsidRPr="00052118">
        <w:lastRenderedPageBreak/>
        <w:t>number of points at which the driver’s licence is suspended, the length of the suspension period and the details of the good behaviour alternative to licence suspension.</w:t>
      </w:r>
      <w:r>
        <w:rPr>
          <w:rStyle w:val="EndnoteReference"/>
        </w:rPr>
        <w:endnoteReference w:id="30"/>
      </w:r>
      <w:r w:rsidRPr="00052118">
        <w:t xml:space="preserve">  </w:t>
      </w:r>
    </w:p>
    <w:p w14:paraId="4CB92D5A" w14:textId="77777777" w:rsidR="00122C1B" w:rsidRDefault="00122C1B" w:rsidP="00682AD0">
      <w:pPr>
        <w:pStyle w:val="TextPara"/>
      </w:pPr>
      <w:r w:rsidRPr="00551776">
        <w:t xml:space="preserve">The impact of demerit point schemes on road safety is intended to be a two-stage process: the threat of demerit points is designed to </w:t>
      </w:r>
      <w:r>
        <w:t>deter</w:t>
      </w:r>
      <w:r w:rsidRPr="00551776">
        <w:t xml:space="preserve"> </w:t>
      </w:r>
      <w:r>
        <w:t>risky</w:t>
      </w:r>
      <w:r w:rsidRPr="00551776">
        <w:t xml:space="preserve"> driving behaviour, which in turn is expected to lead to reduced frequency</w:t>
      </w:r>
      <w:r>
        <w:t xml:space="preserve"> and </w:t>
      </w:r>
      <w:r w:rsidRPr="00551776">
        <w:t xml:space="preserve">severity of crashes.  </w:t>
      </w:r>
    </w:p>
    <w:p w14:paraId="770DB274" w14:textId="77777777" w:rsidR="00122C1B" w:rsidRDefault="00122C1B" w:rsidP="00682AD0">
      <w:pPr>
        <w:pStyle w:val="TextPara"/>
      </w:pPr>
      <w:r w:rsidRPr="00682AD0">
        <w:t>Once driver</w:t>
      </w:r>
      <w:r>
        <w:t>s</w:t>
      </w:r>
      <w:r w:rsidRPr="00682AD0">
        <w:t xml:space="preserve"> accumulate</w:t>
      </w:r>
      <w:r>
        <w:t xml:space="preserve"> </w:t>
      </w:r>
      <w:r w:rsidRPr="00682AD0">
        <w:t>a threshold number of demerit points, the state</w:t>
      </w:r>
      <w:r>
        <w:t>’s</w:t>
      </w:r>
      <w:r w:rsidRPr="00682AD0">
        <w:t xml:space="preserve"> or territory</w:t>
      </w:r>
      <w:r>
        <w:t>’s</w:t>
      </w:r>
      <w:r w:rsidRPr="00682AD0">
        <w:t xml:space="preserve"> licensing authority may suspend the</w:t>
      </w:r>
      <w:r>
        <w:t>ir</w:t>
      </w:r>
      <w:r w:rsidRPr="00682AD0">
        <w:t xml:space="preserve"> licence, </w:t>
      </w:r>
      <w:r>
        <w:t>thereby suspending their</w:t>
      </w:r>
      <w:r w:rsidRPr="00682AD0">
        <w:t xml:space="preserve"> </w:t>
      </w:r>
      <w:r>
        <w:t xml:space="preserve">permission </w:t>
      </w:r>
      <w:r w:rsidRPr="00682AD0">
        <w:t>to drive on public roads for a prescribed period. The threat of licence suspension is intended to act as an additional deterrent to offending, over and above the deterrent effect of monetary penalties.</w:t>
      </w:r>
    </w:p>
    <w:p w14:paraId="638412DC" w14:textId="70DCD290" w:rsidR="00122C1B" w:rsidRDefault="00122C1B" w:rsidP="007B31CB">
      <w:pPr>
        <w:pStyle w:val="TextPara"/>
      </w:pPr>
      <w:r>
        <w:t xml:space="preserve">On reaching or exceeding the prescribed demerit points threshold, </w:t>
      </w:r>
      <w:r w:rsidRPr="000752C5">
        <w:t>a</w:t>
      </w:r>
      <w:r>
        <w:t xml:space="preserve"> demerit point notice is served on the offending driver. This </w:t>
      </w:r>
      <w:r w:rsidRPr="002771CE">
        <w:t>notice provides drivers with an opportunity to elect to extend their demerit point period – referred to as the extended demerit point period (</w:t>
      </w:r>
      <w:r w:rsidRPr="003D6FEB">
        <w:rPr>
          <w:b/>
        </w:rPr>
        <w:t>EDPP</w:t>
      </w:r>
      <w:r w:rsidRPr="002771CE">
        <w:t xml:space="preserve">) – and retain their licence or permit subject to maintaining a clean driving record in the next 12 </w:t>
      </w:r>
      <w:r w:rsidR="002B3AAD" w:rsidRPr="002771CE">
        <w:t>months or</w:t>
      </w:r>
      <w:r w:rsidRPr="002771CE">
        <w:t xml:space="preserve"> accept a suspension ban. The duration of the ban depends on the number of accumulated points at the time they reach their threshold. The purpose of the EDPP is to</w:t>
      </w:r>
      <w:r>
        <w:t xml:space="preserve"> provide an opportunity for driver</w:t>
      </w:r>
      <w:r w:rsidR="003D6FEB">
        <w:t>s</w:t>
      </w:r>
      <w:r>
        <w:t xml:space="preserve"> to demonstrate that they can reform their driving habits. If they incur at least one demerit point within the 12-month EDPP, they are</w:t>
      </w:r>
      <w:r w:rsidRPr="000752C5">
        <w:t xml:space="preserve"> suspended for </w:t>
      </w:r>
      <w:r>
        <w:t xml:space="preserve">a period that is </w:t>
      </w:r>
      <w:r w:rsidRPr="000752C5">
        <w:t xml:space="preserve">twice as long as </w:t>
      </w:r>
      <w:r>
        <w:t>the original suspension period</w:t>
      </w:r>
      <w:r w:rsidRPr="00C47505">
        <w:t xml:space="preserve"> </w:t>
      </w:r>
      <w:r>
        <w:t>that would have applied if they had not taken this "double or nothing" option.</w:t>
      </w:r>
    </w:p>
    <w:p w14:paraId="3E5B9C0D" w14:textId="77777777" w:rsidR="00122C1B" w:rsidRDefault="00122C1B" w:rsidP="00BA261F">
      <w:pPr>
        <w:pStyle w:val="TextPara"/>
      </w:pPr>
      <w:r>
        <w:t>As part of the NDLS, a uniform Australian schedule of agreed offences and points was introduced in the early 1990s.</w:t>
      </w:r>
      <w:r>
        <w:rPr>
          <w:rStyle w:val="EndnoteReference"/>
        </w:rPr>
        <w:endnoteReference w:id="31"/>
      </w:r>
      <w:r>
        <w:t xml:space="preserve"> Points for offences listed in this schedule are exchanged between participating jurisdictions so that a driver committing an offence while interstate will incur demerit points in his or her home state.   Australia’s national exchange scheme was modified to accommodate the Australian Road Rules, introduced in 1999.  States have departed from the agreed national schedule, with non-core offences incurring points in individual </w:t>
      </w:r>
      <w:r w:rsidR="003D6FEB">
        <w:t>jurisdictions</w:t>
      </w:r>
      <w:r>
        <w:t xml:space="preserve"> and variations in the number of points for some offences.</w:t>
      </w:r>
    </w:p>
    <w:p w14:paraId="5B7E6E12" w14:textId="77777777" w:rsidR="00122C1B" w:rsidRPr="00C244E3" w:rsidRDefault="00122C1B" w:rsidP="00EA637D">
      <w:pPr>
        <w:pStyle w:val="Heading4"/>
      </w:pPr>
      <w:bookmarkStart w:id="41" w:name="_Ref502668813"/>
      <w:r>
        <w:t xml:space="preserve">National </w:t>
      </w:r>
      <w:r w:rsidRPr="00117C96">
        <w:t>Graduated Licensing System</w:t>
      </w:r>
      <w:r>
        <w:t xml:space="preserve"> Policy Framework</w:t>
      </w:r>
      <w:bookmarkEnd w:id="41"/>
    </w:p>
    <w:p w14:paraId="1C519018" w14:textId="77777777" w:rsidR="00122C1B" w:rsidRDefault="00122C1B">
      <w:pPr>
        <w:pStyle w:val="NoSpacing"/>
      </w:pPr>
      <w:r>
        <w:t>National Graduated Licensing System for car drivers</w:t>
      </w:r>
    </w:p>
    <w:p w14:paraId="00119D3F" w14:textId="77777777" w:rsidR="00122C1B" w:rsidRDefault="00122C1B" w:rsidP="00453780">
      <w:pPr>
        <w:pStyle w:val="TextPara"/>
        <w:rPr>
          <w:rFonts w:cs="Segoe UI"/>
        </w:rPr>
      </w:pPr>
      <w:r>
        <w:rPr>
          <w:rFonts w:cs="Segoe UI"/>
        </w:rPr>
        <w:t xml:space="preserve">The </w:t>
      </w:r>
      <w:r w:rsidRPr="00117C96">
        <w:rPr>
          <w:rFonts w:cs="Segoe UI"/>
        </w:rPr>
        <w:t xml:space="preserve">GLS </w:t>
      </w:r>
      <w:r>
        <w:rPr>
          <w:rFonts w:cs="Segoe UI"/>
        </w:rPr>
        <w:t>is a staged approach to driver licensing from learner permit to probationary licence to full licence. It was developed to address the major crash factors of age, inexperience and risk taking.</w:t>
      </w:r>
      <w:r>
        <w:rPr>
          <w:rStyle w:val="EndnoteReference"/>
          <w:rFonts w:cs="Segoe UI"/>
        </w:rPr>
        <w:endnoteReference w:id="32"/>
      </w:r>
      <w:r>
        <w:rPr>
          <w:rFonts w:cs="Segoe UI"/>
        </w:rPr>
        <w:t xml:space="preserve"> </w:t>
      </w:r>
      <w:r w:rsidRPr="00453780">
        <w:rPr>
          <w:rFonts w:cs="Segoe UI"/>
        </w:rPr>
        <w:t>Age and</w:t>
      </w:r>
      <w:r>
        <w:rPr>
          <w:rFonts w:cs="Segoe UI"/>
        </w:rPr>
        <w:t xml:space="preserve"> </w:t>
      </w:r>
      <w:r w:rsidRPr="00453780">
        <w:rPr>
          <w:rFonts w:cs="Segoe UI"/>
        </w:rPr>
        <w:t xml:space="preserve">time-based requirements and restrictions for novice drivers </w:t>
      </w:r>
      <w:r>
        <w:rPr>
          <w:rFonts w:cs="Segoe UI"/>
        </w:rPr>
        <w:t xml:space="preserve">are intended </w:t>
      </w:r>
      <w:r w:rsidRPr="00453780">
        <w:rPr>
          <w:rFonts w:cs="Segoe UI"/>
        </w:rPr>
        <w:t>to reduce crash risk by allowing driving to</w:t>
      </w:r>
      <w:r>
        <w:rPr>
          <w:rFonts w:cs="Segoe UI"/>
        </w:rPr>
        <w:t xml:space="preserve"> </w:t>
      </w:r>
      <w:r w:rsidRPr="00453780">
        <w:rPr>
          <w:rFonts w:cs="Segoe UI"/>
        </w:rPr>
        <w:t>commence only in lower risk conditions, graduating to higher risk conditions with increasing experience and</w:t>
      </w:r>
      <w:r>
        <w:rPr>
          <w:rFonts w:cs="Segoe UI"/>
        </w:rPr>
        <w:t xml:space="preserve"> </w:t>
      </w:r>
      <w:r w:rsidRPr="00453780">
        <w:rPr>
          <w:rFonts w:cs="Segoe UI"/>
        </w:rPr>
        <w:t>maturity</w:t>
      </w:r>
      <w:r>
        <w:rPr>
          <w:rFonts w:cs="Segoe UI"/>
        </w:rPr>
        <w:t>.</w:t>
      </w:r>
      <w:r>
        <w:rPr>
          <w:rStyle w:val="EndnoteReference"/>
          <w:rFonts w:cs="Segoe UI"/>
        </w:rPr>
        <w:endnoteReference w:id="33"/>
      </w:r>
      <w:r>
        <w:rPr>
          <w:rFonts w:cs="Segoe UI"/>
        </w:rPr>
        <w:t xml:space="preserve"> A</w:t>
      </w:r>
      <w:r w:rsidRPr="00453780">
        <w:rPr>
          <w:rFonts w:cs="Segoe UI"/>
        </w:rPr>
        <w:t xml:space="preserve">dditional or more stringent </w:t>
      </w:r>
      <w:r w:rsidR="00B43C06">
        <w:rPr>
          <w:rFonts w:cs="Segoe UI"/>
        </w:rPr>
        <w:t>measures</w:t>
      </w:r>
      <w:r>
        <w:rPr>
          <w:rFonts w:cs="Segoe UI"/>
        </w:rPr>
        <w:t xml:space="preserve"> </w:t>
      </w:r>
      <w:r w:rsidRPr="00453780">
        <w:rPr>
          <w:rFonts w:cs="Segoe UI"/>
        </w:rPr>
        <w:t xml:space="preserve">target </w:t>
      </w:r>
      <w:r w:rsidR="002E79D0">
        <w:rPr>
          <w:rFonts w:cs="Segoe UI"/>
        </w:rPr>
        <w:t>this high risk group</w:t>
      </w:r>
      <w:r w:rsidRPr="00453780">
        <w:rPr>
          <w:rFonts w:cs="Segoe UI"/>
        </w:rPr>
        <w:t xml:space="preserve">, such as reduced demerit point thresholds, </w:t>
      </w:r>
      <w:r>
        <w:rPr>
          <w:rFonts w:cs="Segoe UI"/>
        </w:rPr>
        <w:t xml:space="preserve">a zero </w:t>
      </w:r>
      <w:r>
        <w:t>blood or breath alcohol concentration (</w:t>
      </w:r>
      <w:r w:rsidRPr="00234D91">
        <w:rPr>
          <w:rFonts w:cs="Segoe UI"/>
          <w:b/>
        </w:rPr>
        <w:t>BAC</w:t>
      </w:r>
      <w:r>
        <w:rPr>
          <w:rFonts w:cs="Segoe UI"/>
        </w:rPr>
        <w:t>) limit</w:t>
      </w:r>
      <w:r w:rsidRPr="00453780">
        <w:rPr>
          <w:rFonts w:cs="Segoe UI"/>
        </w:rPr>
        <w:t xml:space="preserve">, and </w:t>
      </w:r>
      <w:r>
        <w:rPr>
          <w:rFonts w:cs="Segoe UI"/>
        </w:rPr>
        <w:t>a 6-month extension of the probationary period</w:t>
      </w:r>
      <w:r w:rsidRPr="00453780">
        <w:rPr>
          <w:rFonts w:cs="Segoe UI"/>
        </w:rPr>
        <w:t xml:space="preserve"> when returning to driving following a licence suspension</w:t>
      </w:r>
      <w:r>
        <w:rPr>
          <w:rFonts w:cs="Segoe UI"/>
        </w:rPr>
        <w:t>.</w:t>
      </w:r>
      <w:r>
        <w:rPr>
          <w:rStyle w:val="EndnoteReference"/>
          <w:rFonts w:cs="Segoe UI"/>
        </w:rPr>
        <w:endnoteReference w:id="34"/>
      </w:r>
      <w:r w:rsidRPr="00A66667">
        <w:t xml:space="preserve"> </w:t>
      </w:r>
    </w:p>
    <w:p w14:paraId="3ECA3A07" w14:textId="77777777" w:rsidR="00122C1B" w:rsidRPr="00117C96" w:rsidRDefault="00122C1B" w:rsidP="00EB6003">
      <w:pPr>
        <w:pStyle w:val="TextPara"/>
        <w:rPr>
          <w:rFonts w:cs="Segoe UI"/>
        </w:rPr>
      </w:pPr>
      <w:r w:rsidRPr="00117C96">
        <w:rPr>
          <w:rFonts w:cs="Segoe UI"/>
        </w:rPr>
        <w:t xml:space="preserve">The </w:t>
      </w:r>
      <w:r>
        <w:rPr>
          <w:rFonts w:cs="Segoe UI"/>
        </w:rPr>
        <w:t>NDLS</w:t>
      </w:r>
      <w:r w:rsidRPr="00117C96">
        <w:rPr>
          <w:rFonts w:cs="Segoe UI"/>
        </w:rPr>
        <w:t xml:space="preserve"> regulations define learner</w:t>
      </w:r>
      <w:r>
        <w:rPr>
          <w:rFonts w:cs="Segoe UI"/>
        </w:rPr>
        <w:t xml:space="preserve"> permit and</w:t>
      </w:r>
      <w:r w:rsidRPr="00117C96">
        <w:rPr>
          <w:rFonts w:cs="Segoe UI"/>
        </w:rPr>
        <w:t xml:space="preserve"> probationary, provisional and motorcycle licence</w:t>
      </w:r>
      <w:r>
        <w:rPr>
          <w:rFonts w:cs="Segoe UI"/>
        </w:rPr>
        <w:t xml:space="preserve">s but do not specify the conditions and restrictions that apply to them. These are left to each jurisdiction to determine. </w:t>
      </w:r>
    </w:p>
    <w:p w14:paraId="6F20E49A" w14:textId="00C4A968" w:rsidR="00122C1B" w:rsidRDefault="00122C1B" w:rsidP="00754C0D">
      <w:pPr>
        <w:pStyle w:val="TextPara"/>
        <w:rPr>
          <w:rFonts w:cs="Segoe UI"/>
        </w:rPr>
      </w:pPr>
      <w:r w:rsidRPr="00117C96">
        <w:rPr>
          <w:rFonts w:cs="Segoe UI"/>
        </w:rPr>
        <w:t>A</w:t>
      </w:r>
      <w:r>
        <w:rPr>
          <w:rFonts w:cs="Segoe UI"/>
        </w:rPr>
        <w:t>n Australian</w:t>
      </w:r>
      <w:r w:rsidRPr="00117C96">
        <w:rPr>
          <w:rFonts w:cs="Segoe UI"/>
        </w:rPr>
        <w:t xml:space="preserve"> national GLS was one of the elements of the 10-point road safety package announced by the then Prime Minister in December 1989 as part of the </w:t>
      </w:r>
      <w:r>
        <w:rPr>
          <w:rFonts w:cs="Segoe UI"/>
        </w:rPr>
        <w:t>Commonwealth</w:t>
      </w:r>
      <w:r w:rsidRPr="00117C96">
        <w:rPr>
          <w:rFonts w:cs="Segoe UI"/>
        </w:rPr>
        <w:t xml:space="preserve"> Government's Road Safety Initiative for adoption by States and Territories.</w:t>
      </w:r>
      <w:r w:rsidRPr="00117C96">
        <w:rPr>
          <w:rStyle w:val="EndnoteReference"/>
          <w:rFonts w:cs="Segoe UI"/>
        </w:rPr>
        <w:endnoteReference w:id="35"/>
      </w:r>
      <w:r>
        <w:rPr>
          <w:rFonts w:cs="Segoe UI"/>
        </w:rPr>
        <w:t xml:space="preserve"> </w:t>
      </w:r>
    </w:p>
    <w:p w14:paraId="5BEEC90D" w14:textId="55095BAC" w:rsidR="00122C1B" w:rsidRPr="00117C96" w:rsidRDefault="00122C1B" w:rsidP="00F01FD4">
      <w:pPr>
        <w:pStyle w:val="TextPara"/>
        <w:rPr>
          <w:rFonts w:cs="Segoe UI"/>
        </w:rPr>
      </w:pPr>
      <w:r>
        <w:rPr>
          <w:rFonts w:cs="Segoe UI"/>
        </w:rPr>
        <w:t>In 2015 t</w:t>
      </w:r>
      <w:r w:rsidRPr="00B0510D">
        <w:rPr>
          <w:rFonts w:cs="Segoe UI"/>
        </w:rPr>
        <w:t xml:space="preserve">he Centre for Road Safety in Transport for New South Wales, on behalf of the Austroads Road Safety Taskforce, commissioned </w:t>
      </w:r>
      <w:r>
        <w:rPr>
          <w:rFonts w:cs="Segoe UI"/>
        </w:rPr>
        <w:t>the</w:t>
      </w:r>
      <w:r w:rsidRPr="00B0510D">
        <w:rPr>
          <w:rFonts w:cs="Segoe UI"/>
        </w:rPr>
        <w:t xml:space="preserve"> develop</w:t>
      </w:r>
      <w:r>
        <w:rPr>
          <w:rFonts w:cs="Segoe UI"/>
        </w:rPr>
        <w:t>ment of</w:t>
      </w:r>
      <w:r w:rsidRPr="00B0510D">
        <w:rPr>
          <w:rFonts w:cs="Segoe UI"/>
        </w:rPr>
        <w:t xml:space="preserve"> an evidence-informed GLS policy framework that can be applied across all Australian jurisdictions.</w:t>
      </w:r>
      <w:bookmarkStart w:id="42" w:name="_Ref515545116"/>
      <w:r>
        <w:rPr>
          <w:rStyle w:val="EndnoteReference"/>
          <w:rFonts w:cs="Segoe UI"/>
        </w:rPr>
        <w:endnoteReference w:id="36"/>
      </w:r>
      <w:bookmarkEnd w:id="42"/>
      <w:r w:rsidRPr="00B0510D">
        <w:rPr>
          <w:rFonts w:cs="Segoe UI"/>
        </w:rPr>
        <w:t xml:space="preserve"> The project involved a review of current Australian GLS arrangements, a discussion paper outlining key research findings and extensive consultation with road safety and licensing representatives from all jurisdictions.</w:t>
      </w:r>
      <w:r w:rsidRPr="00F01FD4">
        <w:rPr>
          <w:rFonts w:cs="Segoe UI"/>
        </w:rPr>
        <w:t xml:space="preserve"> </w:t>
      </w:r>
      <w:r w:rsidRPr="00F6724C">
        <w:rPr>
          <w:rFonts w:cs="Segoe UI"/>
        </w:rPr>
        <w:t>Overall</w:t>
      </w:r>
      <w:r>
        <w:rPr>
          <w:rFonts w:cs="Segoe UI"/>
        </w:rPr>
        <w:t>,</w:t>
      </w:r>
      <w:r w:rsidRPr="00F6724C">
        <w:rPr>
          <w:rFonts w:cs="Segoe UI"/>
        </w:rPr>
        <w:t xml:space="preserve"> the jurisdictions saw value in the </w:t>
      </w:r>
      <w:r w:rsidRPr="00F6724C">
        <w:rPr>
          <w:rFonts w:cs="Segoe UI"/>
        </w:rPr>
        <w:lastRenderedPageBreak/>
        <w:t xml:space="preserve">development of a GLS policy framework to assist them in their work to continuously improve their novice driver licensing systems. Following consultation and input from representatives of all jurisdictions, </w:t>
      </w:r>
      <w:r>
        <w:rPr>
          <w:rFonts w:cs="Segoe UI"/>
        </w:rPr>
        <w:t>the</w:t>
      </w:r>
      <w:r w:rsidRPr="00F6724C">
        <w:rPr>
          <w:rFonts w:cs="Segoe UI"/>
        </w:rPr>
        <w:t xml:space="preserve"> </w:t>
      </w:r>
      <w:r>
        <w:rPr>
          <w:rFonts w:cs="Segoe UI"/>
        </w:rPr>
        <w:t xml:space="preserve">national </w:t>
      </w:r>
      <w:r w:rsidRPr="00F6724C">
        <w:rPr>
          <w:rFonts w:cs="Segoe UI"/>
        </w:rPr>
        <w:t>GLS policy framework was developed</w:t>
      </w:r>
      <w:r>
        <w:rPr>
          <w:rFonts w:cs="Segoe UI"/>
        </w:rPr>
        <w:t xml:space="preserve"> and it was later </w:t>
      </w:r>
      <w:r w:rsidRPr="00F01FD4">
        <w:rPr>
          <w:rFonts w:cs="Segoe UI"/>
        </w:rPr>
        <w:t>approved by the Transport Ministers of every jurisdiction.</w:t>
      </w:r>
      <w:r>
        <w:rPr>
          <w:rFonts w:cs="Segoe UI"/>
        </w:rPr>
        <w:fldChar w:fldCharType="begin"/>
      </w:r>
      <w:r>
        <w:rPr>
          <w:rFonts w:cs="Segoe UI"/>
        </w:rPr>
        <w:instrText xml:space="preserve"> NOTEREF _Ref515545116 \f \h </w:instrText>
      </w:r>
      <w:r>
        <w:rPr>
          <w:rFonts w:cs="Segoe UI"/>
        </w:rPr>
      </w:r>
      <w:r>
        <w:rPr>
          <w:rFonts w:cs="Segoe UI"/>
        </w:rPr>
        <w:fldChar w:fldCharType="separate"/>
      </w:r>
      <w:r w:rsidR="00EB4B02" w:rsidRPr="00EB4B02">
        <w:rPr>
          <w:rStyle w:val="EndnoteReference"/>
        </w:rPr>
        <w:t>35</w:t>
      </w:r>
      <w:r>
        <w:rPr>
          <w:rFonts w:cs="Segoe UI"/>
        </w:rPr>
        <w:fldChar w:fldCharType="end"/>
      </w:r>
      <w:r w:rsidRPr="00F01FD4">
        <w:rPr>
          <w:rFonts w:cs="Segoe UI"/>
        </w:rPr>
        <w:t xml:space="preserve"> </w:t>
      </w:r>
    </w:p>
    <w:p w14:paraId="72A3E125" w14:textId="77777777" w:rsidR="00122C1B" w:rsidRDefault="00122C1B" w:rsidP="00F01FD4">
      <w:pPr>
        <w:pStyle w:val="TextPara"/>
        <w:rPr>
          <w:rFonts w:cs="Segoe UI"/>
        </w:rPr>
      </w:pPr>
      <w:r>
        <w:rPr>
          <w:rFonts w:cs="Segoe UI"/>
        </w:rPr>
        <w:t xml:space="preserve">This policy framework </w:t>
      </w:r>
      <w:r w:rsidRPr="00F01FD4">
        <w:rPr>
          <w:rFonts w:cs="Segoe UI"/>
        </w:rPr>
        <w:t xml:space="preserve">outlines the features of progressively more comprehensive GLS models </w:t>
      </w:r>
      <w:r>
        <w:rPr>
          <w:rFonts w:cs="Segoe UI"/>
        </w:rPr>
        <w:t>and wa</w:t>
      </w:r>
      <w:r w:rsidRPr="0079006B">
        <w:rPr>
          <w:rFonts w:cs="Segoe UI"/>
        </w:rPr>
        <w:t>s designed to be a flexible model that can be used as a “best practice” guide for jurisdictions to implement increasingly effective GLS approaches in Australia. The framework is a three-staged model – Standard, Enhanced and Exemplar – to account for the varied starting points across Australia and enable jurisdictions to make improvements incrementally.</w:t>
      </w:r>
      <w:r>
        <w:rPr>
          <w:rStyle w:val="EndnoteReference"/>
          <w:rFonts w:cs="Segoe UI"/>
        </w:rPr>
        <w:endnoteReference w:id="37"/>
      </w:r>
    </w:p>
    <w:p w14:paraId="14013816" w14:textId="77777777" w:rsidR="00122C1B" w:rsidRPr="00F01FD4" w:rsidRDefault="00122C1B" w:rsidP="00280A03">
      <w:pPr>
        <w:pStyle w:val="TextPara"/>
        <w:widowControl w:val="0"/>
        <w:rPr>
          <w:rFonts w:cs="Segoe UI"/>
        </w:rPr>
      </w:pPr>
      <w:r w:rsidRPr="00F01FD4">
        <w:rPr>
          <w:rFonts w:cs="Segoe UI"/>
        </w:rPr>
        <w:t xml:space="preserve">The GLS components relate to key areas of focus that contribute to young driver crashes including age, experience, risk taking and licensing access and support. </w:t>
      </w:r>
      <w:r w:rsidRPr="008F7F42">
        <w:rPr>
          <w:rFonts w:cs="Segoe UI"/>
        </w:rPr>
        <w:t>The main differences between the stages in the national GLS framework relate to the minimum age of the driver at each phase, the duration of each phase and the types of restrictions imposed during the phases prior to full licensure. The requirements and restrictions are more stringent for the first year of the probationary period to ensure a safer environment in which to acquire more driving skills, while providing time for the benefits associated with maturity and experience to develop.</w:t>
      </w:r>
      <w:r>
        <w:rPr>
          <w:rFonts w:cs="Segoe UI"/>
        </w:rPr>
        <w:t xml:space="preserve"> </w:t>
      </w:r>
    </w:p>
    <w:p w14:paraId="0DD17059" w14:textId="77777777" w:rsidR="00122C1B" w:rsidRDefault="00122C1B" w:rsidP="00A51F7A">
      <w:pPr>
        <w:pStyle w:val="TextPara"/>
        <w:spacing w:after="60"/>
        <w:rPr>
          <w:rFonts w:cs="Segoe UI"/>
        </w:rPr>
      </w:pPr>
      <w:r>
        <w:rPr>
          <w:rFonts w:cs="Segoe UI"/>
        </w:rPr>
        <w:t>The key elements of an effective GLS that were identified in the 2015 study</w:t>
      </w:r>
      <w:r>
        <w:rPr>
          <w:rStyle w:val="EndnoteReference"/>
          <w:rFonts w:cs="Segoe UI"/>
        </w:rPr>
        <w:endnoteReference w:id="38"/>
      </w:r>
      <w:r>
        <w:rPr>
          <w:rFonts w:cs="Segoe UI"/>
        </w:rPr>
        <w:t xml:space="preserve"> include:</w:t>
      </w:r>
    </w:p>
    <w:p w14:paraId="36CFBD55" w14:textId="77777777" w:rsidR="00122C1B" w:rsidRPr="00FF44CA" w:rsidRDefault="00122C1B" w:rsidP="00282517">
      <w:pPr>
        <w:pStyle w:val="BulletPara1"/>
      </w:pPr>
      <w:r>
        <w:t xml:space="preserve">the later the </w:t>
      </w:r>
      <w:r w:rsidRPr="00FF44CA">
        <w:t xml:space="preserve">licensing age, the safer </w:t>
      </w:r>
      <w:r>
        <w:t>the driver</w:t>
      </w:r>
    </w:p>
    <w:p w14:paraId="5A9F25CB" w14:textId="77777777" w:rsidR="00122C1B" w:rsidRPr="00FF44CA" w:rsidRDefault="00122C1B" w:rsidP="00282517">
      <w:pPr>
        <w:pStyle w:val="BulletPara1"/>
      </w:pPr>
      <w:r w:rsidRPr="00FF44CA">
        <w:t>having high levels of supervised driving experience in a range of conditions prior to driving solo</w:t>
      </w:r>
    </w:p>
    <w:p w14:paraId="2679B444" w14:textId="77777777" w:rsidR="00122C1B" w:rsidRDefault="00122C1B" w:rsidP="00282517">
      <w:pPr>
        <w:pStyle w:val="BulletPara1"/>
      </w:pPr>
      <w:r w:rsidRPr="00FF44CA">
        <w:t>effective testing procedures that can discriminate between more and less safe applicants to only licence those demonstrating safe behaviours and abilities</w:t>
      </w:r>
    </w:p>
    <w:p w14:paraId="26054E2D" w14:textId="77777777" w:rsidR="00122C1B" w:rsidRDefault="00122C1B" w:rsidP="00282517">
      <w:pPr>
        <w:pStyle w:val="BulletPara1"/>
      </w:pPr>
      <w:r>
        <w:t>risk reduction measures to try to limit the negative impact of the increased risks to newly licensed drivers that are associated with alcohol, distraction, late night driving and driving with multiple peer aged passengers</w:t>
      </w:r>
    </w:p>
    <w:p w14:paraId="3494D40A" w14:textId="77777777" w:rsidR="00122C1B" w:rsidRDefault="00122C1B" w:rsidP="00282517">
      <w:pPr>
        <w:pStyle w:val="BulletPara1"/>
      </w:pPr>
      <w:r>
        <w:t xml:space="preserve">behaviour control measures, that aim to deter provisional drivers from illegal and high-risk behaviours (in particular speeding) by having lower tolerances and </w:t>
      </w:r>
      <w:r w:rsidR="00741E59">
        <w:t>stronger</w:t>
      </w:r>
      <w:r>
        <w:t xml:space="preserve"> penalties for those who commit offences</w:t>
      </w:r>
    </w:p>
    <w:p w14:paraId="4C97463E" w14:textId="77777777" w:rsidR="00122C1B" w:rsidRDefault="00122C1B" w:rsidP="00282517">
      <w:pPr>
        <w:pStyle w:val="BulletPara1"/>
      </w:pPr>
      <w:r>
        <w:t>licensing access support measures to ensure that all members of the community can safely become licensed.</w:t>
      </w:r>
    </w:p>
    <w:p w14:paraId="626EA4B8" w14:textId="5446F5D1" w:rsidR="00122C1B" w:rsidRDefault="00122C1B" w:rsidP="006D20A7">
      <w:pPr>
        <w:pStyle w:val="TextPara"/>
        <w:rPr>
          <w:rFonts w:cs="Segoe UI"/>
        </w:rPr>
      </w:pPr>
      <w:r>
        <w:rPr>
          <w:rFonts w:cs="Segoe UI"/>
        </w:rPr>
        <w:fldChar w:fldCharType="begin"/>
      </w:r>
      <w:r>
        <w:rPr>
          <w:rFonts w:cs="Segoe UI"/>
        </w:rPr>
        <w:instrText xml:space="preserve"> REF _Ref499566105 \h </w:instrText>
      </w:r>
      <w:r>
        <w:rPr>
          <w:rFonts w:cs="Segoe UI"/>
        </w:rPr>
      </w:r>
      <w:r>
        <w:rPr>
          <w:rFonts w:cs="Segoe UI"/>
        </w:rPr>
        <w:fldChar w:fldCharType="separate"/>
      </w:r>
      <w:r w:rsidR="00EB4B02" w:rsidRPr="00117C96">
        <w:t xml:space="preserve">Figure </w:t>
      </w:r>
      <w:r w:rsidR="00EB4B02">
        <w:rPr>
          <w:noProof/>
        </w:rPr>
        <w:t>1</w:t>
      </w:r>
      <w:r>
        <w:rPr>
          <w:rFonts w:cs="Segoe UI"/>
        </w:rPr>
        <w:fldChar w:fldCharType="end"/>
      </w:r>
      <w:r>
        <w:rPr>
          <w:rFonts w:cs="Segoe UI"/>
        </w:rPr>
        <w:t xml:space="preserve"> </w:t>
      </w:r>
      <w:r w:rsidRPr="00117C96">
        <w:rPr>
          <w:rFonts w:cs="Segoe UI"/>
        </w:rPr>
        <w:t>shows the elements of the national GLS policy framework with its three-stage model</w:t>
      </w:r>
      <w:r w:rsidR="00AA776B">
        <w:rPr>
          <w:rFonts w:cs="Segoe UI"/>
        </w:rPr>
        <w:t>,</w:t>
      </w:r>
      <w:r w:rsidR="003D13AC">
        <w:rPr>
          <w:rFonts w:cs="Segoe UI"/>
        </w:rPr>
        <w:t xml:space="preserve"> which was </w:t>
      </w:r>
      <w:r w:rsidR="003D13AC" w:rsidRPr="003D13AC">
        <w:rPr>
          <w:rFonts w:cs="Segoe UI"/>
        </w:rPr>
        <w:t>endorsed by Commonwealth, State and Territory Transport Ministers in late 2014</w:t>
      </w:r>
      <w:r w:rsidRPr="00117C96">
        <w:rPr>
          <w:rFonts w:cs="Segoe UI"/>
        </w:rPr>
        <w:t>.</w:t>
      </w:r>
      <w:r>
        <w:rPr>
          <w:rFonts w:cs="Segoe UI"/>
        </w:rPr>
        <w:t xml:space="preserve"> </w:t>
      </w:r>
      <w:r w:rsidRPr="00117C96">
        <w:rPr>
          <w:rFonts w:cs="Segoe UI"/>
        </w:rPr>
        <w:t>All Australian jurisdictions currently meet or exceed the Standard GLS requirements.</w:t>
      </w:r>
      <w:r w:rsidRPr="004324BE">
        <w:rPr>
          <w:rFonts w:cs="Segoe UI"/>
        </w:rPr>
        <w:t xml:space="preserve"> </w:t>
      </w:r>
      <w:r w:rsidRPr="00117C96">
        <w:rPr>
          <w:rFonts w:cs="Segoe UI"/>
        </w:rPr>
        <w:t xml:space="preserve">Victoria has implemented the Exemplar GLS except for the restriction on late night driving for P1 drivers. </w:t>
      </w:r>
    </w:p>
    <w:p w14:paraId="49B20BC6" w14:textId="6322ABFB" w:rsidR="00122C1B" w:rsidRPr="00117C96" w:rsidRDefault="00122C1B" w:rsidP="00AA0BBA">
      <w:pPr>
        <w:pStyle w:val="CaptionFigures"/>
      </w:pPr>
      <w:bookmarkStart w:id="43" w:name="_Ref499566105"/>
      <w:bookmarkStart w:id="44" w:name="_Toc499650543"/>
      <w:bookmarkStart w:id="45" w:name="_Toc499651583"/>
      <w:bookmarkStart w:id="46" w:name="_Toc499653125"/>
      <w:bookmarkStart w:id="47" w:name="_Toc499655052"/>
      <w:bookmarkStart w:id="48" w:name="_Toc499655494"/>
      <w:bookmarkStart w:id="49" w:name="_Toc499655617"/>
      <w:bookmarkStart w:id="50" w:name="_Ref504036154"/>
      <w:bookmarkStart w:id="51" w:name="_Ref515375864"/>
      <w:bookmarkStart w:id="52" w:name="_Ref521937832"/>
      <w:bookmarkStart w:id="53" w:name="_Toc10703646"/>
      <w:r w:rsidRPr="00117C96">
        <w:lastRenderedPageBreak/>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1</w:t>
      </w:r>
      <w:r w:rsidR="00BC6B2E">
        <w:rPr>
          <w:noProof/>
        </w:rPr>
        <w:fldChar w:fldCharType="end"/>
      </w:r>
      <w:bookmarkEnd w:id="43"/>
      <w:r w:rsidRPr="00117C96">
        <w:t xml:space="preserve"> – </w:t>
      </w:r>
      <w:r>
        <w:t>National</w:t>
      </w:r>
      <w:r w:rsidRPr="00117C96">
        <w:t xml:space="preserve"> GLS Policy Framework</w:t>
      </w:r>
      <w:bookmarkEnd w:id="44"/>
      <w:bookmarkEnd w:id="45"/>
      <w:bookmarkEnd w:id="46"/>
      <w:bookmarkEnd w:id="47"/>
      <w:bookmarkEnd w:id="48"/>
      <w:bookmarkEnd w:id="49"/>
      <w:bookmarkEnd w:id="50"/>
      <w:bookmarkEnd w:id="51"/>
      <w:bookmarkEnd w:id="52"/>
      <w:bookmarkEnd w:id="53"/>
    </w:p>
    <w:p w14:paraId="4E7A781B" w14:textId="77777777" w:rsidR="00122C1B" w:rsidRPr="00117C96" w:rsidRDefault="00122C1B" w:rsidP="004324BE">
      <w:pPr>
        <w:pStyle w:val="Picture"/>
        <w:spacing w:after="0"/>
        <w:rPr>
          <w:rFonts w:cs="Segoe UI"/>
        </w:rPr>
      </w:pPr>
      <w:r w:rsidRPr="000F709C">
        <w:rPr>
          <w:lang w:val="en-GB" w:eastAsia="en-GB"/>
        </w:rPr>
        <w:drawing>
          <wp:inline distT="0" distB="0" distL="0" distR="0" wp14:anchorId="5DE59F50" wp14:editId="4D1DA60A">
            <wp:extent cx="5579165" cy="2995871"/>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7692" cy="3000450"/>
                    </a:xfrm>
                    <a:prstGeom prst="rect">
                      <a:avLst/>
                    </a:prstGeom>
                    <a:noFill/>
                    <a:ln>
                      <a:noFill/>
                    </a:ln>
                  </pic:spPr>
                </pic:pic>
              </a:graphicData>
            </a:graphic>
          </wp:inline>
        </w:drawing>
      </w:r>
    </w:p>
    <w:p w14:paraId="4B5E8118" w14:textId="77777777" w:rsidR="00122C1B" w:rsidRDefault="00122C1B" w:rsidP="00DB4C8E">
      <w:pPr>
        <w:pStyle w:val="Source"/>
        <w:spacing w:before="0" w:after="0"/>
        <w:rPr>
          <w:rFonts w:cs="Segoe UI"/>
        </w:rPr>
      </w:pPr>
      <w:r w:rsidRPr="00117C96">
        <w:rPr>
          <w:rFonts w:cs="Segoe UI"/>
        </w:rPr>
        <w:t>Source:</w:t>
      </w:r>
      <w:r w:rsidRPr="00117C96">
        <w:rPr>
          <w:rFonts w:cs="Segoe UI"/>
        </w:rPr>
        <w:tab/>
        <w:t>Walker, Howard et al</w:t>
      </w:r>
      <w:r>
        <w:rPr>
          <w:rFonts w:cs="Segoe UI"/>
        </w:rPr>
        <w:t>,</w:t>
      </w:r>
      <w:r w:rsidRPr="00117C96">
        <w:rPr>
          <w:rStyle w:val="EndnoteReference"/>
          <w:rFonts w:cs="Segoe UI"/>
        </w:rPr>
        <w:endnoteReference w:id="39"/>
      </w:r>
      <w:r>
        <w:rPr>
          <w:rFonts w:cs="Segoe UI"/>
        </w:rPr>
        <w:t>2015</w:t>
      </w:r>
    </w:p>
    <w:p w14:paraId="038B5508" w14:textId="77777777" w:rsidR="00122C1B" w:rsidRPr="00A47C92" w:rsidRDefault="00122C1B">
      <w:pPr>
        <w:pStyle w:val="NoSpacing"/>
        <w:rPr>
          <w:lang w:eastAsia="en-AU"/>
        </w:rPr>
      </w:pPr>
      <w:r w:rsidRPr="00761D74">
        <w:rPr>
          <w:lang w:eastAsia="en-AU"/>
        </w:rPr>
        <w:t xml:space="preserve">Graduated Licensing System for </w:t>
      </w:r>
      <w:r w:rsidRPr="00A47C92">
        <w:rPr>
          <w:lang w:eastAsia="en-AU"/>
        </w:rPr>
        <w:t xml:space="preserve">motorcycle </w:t>
      </w:r>
      <w:r>
        <w:rPr>
          <w:lang w:eastAsia="en-AU"/>
        </w:rPr>
        <w:t>riders</w:t>
      </w:r>
    </w:p>
    <w:p w14:paraId="1349C92F" w14:textId="77777777" w:rsidR="00122C1B" w:rsidRDefault="00122C1B" w:rsidP="00201732">
      <w:pPr>
        <w:pStyle w:val="TextPara"/>
        <w:spacing w:after="0"/>
        <w:rPr>
          <w:rFonts w:cs="Segoe UI"/>
          <w:lang w:eastAsia="en-AU"/>
        </w:rPr>
      </w:pPr>
      <w:r w:rsidRPr="00A47C92">
        <w:rPr>
          <w:rFonts w:cs="Segoe UI"/>
          <w:lang w:eastAsia="en-AU"/>
        </w:rPr>
        <w:t xml:space="preserve">Motorcycle graduated licensing schemes in Australia </w:t>
      </w:r>
      <w:r>
        <w:rPr>
          <w:rFonts w:cs="Segoe UI"/>
          <w:lang w:eastAsia="en-AU"/>
        </w:rPr>
        <w:t xml:space="preserve">generally </w:t>
      </w:r>
      <w:r w:rsidRPr="00A47C92">
        <w:rPr>
          <w:rFonts w:cs="Segoe UI"/>
          <w:lang w:eastAsia="en-AU"/>
        </w:rPr>
        <w:t>follow the best practice model proposed in an Austroads discussion paper</w:t>
      </w:r>
      <w:bookmarkStart w:id="54" w:name="_Ref526240715"/>
      <w:r w:rsidRPr="00A47C92">
        <w:rPr>
          <w:rStyle w:val="EndnoteReference"/>
          <w:rFonts w:cs="Segoe UI"/>
          <w:lang w:eastAsia="en-AU"/>
        </w:rPr>
        <w:endnoteReference w:id="40"/>
      </w:r>
      <w:bookmarkEnd w:id="54"/>
      <w:r w:rsidRPr="00A47C92">
        <w:rPr>
          <w:rFonts w:cs="Segoe UI"/>
          <w:lang w:eastAsia="en-AU"/>
        </w:rPr>
        <w:t xml:space="preserve"> published in 2014. The </w:t>
      </w:r>
      <w:r>
        <w:rPr>
          <w:rFonts w:cs="Segoe UI"/>
          <w:lang w:eastAsia="en-AU"/>
        </w:rPr>
        <w:t xml:space="preserve">national GLS </w:t>
      </w:r>
      <w:r w:rsidRPr="00A47C92">
        <w:rPr>
          <w:rFonts w:cs="Segoe UI"/>
          <w:lang w:eastAsia="en-AU"/>
        </w:rPr>
        <w:t xml:space="preserve">model </w:t>
      </w:r>
      <w:r>
        <w:rPr>
          <w:rFonts w:cs="Segoe UI"/>
          <w:lang w:eastAsia="en-AU"/>
        </w:rPr>
        <w:t xml:space="preserve">for motorcycle riders contains key elements and measures that mirror those in the national GLS for car drivers. It </w:t>
      </w:r>
      <w:r w:rsidRPr="00A47C92">
        <w:rPr>
          <w:rFonts w:cs="Segoe UI"/>
          <w:lang w:eastAsia="en-AU"/>
        </w:rPr>
        <w:t xml:space="preserve">consists of </w:t>
      </w:r>
      <w:r>
        <w:rPr>
          <w:rFonts w:cs="Segoe UI"/>
          <w:lang w:eastAsia="en-AU"/>
        </w:rPr>
        <w:t xml:space="preserve">the same </w:t>
      </w:r>
      <w:r w:rsidRPr="00A47C92">
        <w:rPr>
          <w:rFonts w:cs="Segoe UI"/>
          <w:lang w:eastAsia="en-AU"/>
        </w:rPr>
        <w:t>three stages of licensing: learner</w:t>
      </w:r>
      <w:r>
        <w:rPr>
          <w:rFonts w:cs="Segoe UI"/>
          <w:lang w:eastAsia="en-AU"/>
        </w:rPr>
        <w:t xml:space="preserve"> permit stage</w:t>
      </w:r>
      <w:r w:rsidRPr="00A47C92">
        <w:rPr>
          <w:rFonts w:cs="Segoe UI"/>
          <w:lang w:eastAsia="en-AU"/>
        </w:rPr>
        <w:t xml:space="preserve">, intermediate </w:t>
      </w:r>
      <w:r>
        <w:rPr>
          <w:rFonts w:cs="Segoe UI"/>
          <w:lang w:eastAsia="en-AU"/>
        </w:rPr>
        <w:t>(probationary/</w:t>
      </w:r>
      <w:r w:rsidRPr="00A47C92">
        <w:rPr>
          <w:rFonts w:cs="Segoe UI"/>
          <w:lang w:eastAsia="en-AU"/>
        </w:rPr>
        <w:t>restricted)</w:t>
      </w:r>
      <w:r>
        <w:rPr>
          <w:rFonts w:cs="Segoe UI"/>
          <w:lang w:eastAsia="en-AU"/>
        </w:rPr>
        <w:t xml:space="preserve"> licence stage,</w:t>
      </w:r>
      <w:r w:rsidRPr="00A47C92">
        <w:rPr>
          <w:rFonts w:cs="Segoe UI"/>
          <w:lang w:eastAsia="en-AU"/>
        </w:rPr>
        <w:t xml:space="preserve"> and full (unrestricted)</w:t>
      </w:r>
      <w:r>
        <w:rPr>
          <w:rFonts w:cs="Segoe UI"/>
          <w:lang w:eastAsia="en-AU"/>
        </w:rPr>
        <w:t xml:space="preserve"> licence stage</w:t>
      </w:r>
      <w:r w:rsidRPr="00A47C92">
        <w:rPr>
          <w:rFonts w:cs="Segoe UI"/>
          <w:lang w:eastAsia="en-AU"/>
        </w:rPr>
        <w:t xml:space="preserve">. </w:t>
      </w:r>
    </w:p>
    <w:p w14:paraId="10B7C92C" w14:textId="77777777" w:rsidR="00122C1B" w:rsidRDefault="00122C1B" w:rsidP="00D73FDB">
      <w:pPr>
        <w:pStyle w:val="TextPara"/>
        <w:keepNext/>
        <w:spacing w:after="0"/>
        <w:rPr>
          <w:rFonts w:cs="Segoe UI"/>
          <w:lang w:eastAsia="en-AU"/>
        </w:rPr>
      </w:pPr>
      <w:r w:rsidRPr="00A47C92">
        <w:rPr>
          <w:rFonts w:cs="Segoe UI"/>
          <w:lang w:eastAsia="en-AU"/>
        </w:rPr>
        <w:t>The</w:t>
      </w:r>
      <w:r>
        <w:rPr>
          <w:rFonts w:cs="Segoe UI"/>
          <w:lang w:eastAsia="en-AU"/>
        </w:rPr>
        <w:t xml:space="preserve"> key elements of the national motorcycle GLS are –</w:t>
      </w:r>
    </w:p>
    <w:p w14:paraId="75AD6031" w14:textId="67B7C79C" w:rsidR="00122C1B" w:rsidRPr="00117C96" w:rsidRDefault="00122C1B" w:rsidP="00AA0BBA">
      <w:pPr>
        <w:pStyle w:val="Caption"/>
      </w:pPr>
      <w:bookmarkStart w:id="55" w:name="_Toc10703697"/>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4</w:t>
      </w:r>
      <w:r w:rsidR="00BC6B2E">
        <w:rPr>
          <w:noProof/>
        </w:rPr>
        <w:fldChar w:fldCharType="end"/>
      </w:r>
      <w:r w:rsidRPr="00117C96">
        <w:t xml:space="preserve"> </w:t>
      </w:r>
      <w:r>
        <w:rPr>
          <w:noProof/>
        </w:rPr>
        <w:t>–</w:t>
      </w:r>
      <w:r w:rsidRPr="00117C96">
        <w:t xml:space="preserve"> </w:t>
      </w:r>
      <w:r>
        <w:t>Elements</w:t>
      </w:r>
      <w:r w:rsidRPr="00117C96">
        <w:t xml:space="preserve"> of the National </w:t>
      </w:r>
      <w:r>
        <w:t>Motorcycle GLS best practice model</w:t>
      </w:r>
      <w:bookmarkEnd w:id="55"/>
    </w:p>
    <w:tbl>
      <w:tblPr>
        <w:tblStyle w:val="RIS-Table2"/>
        <w:tblW w:w="9498" w:type="dxa"/>
        <w:tblLook w:val="04A0" w:firstRow="1" w:lastRow="0" w:firstColumn="1" w:lastColumn="0" w:noHBand="0" w:noVBand="1"/>
      </w:tblPr>
      <w:tblGrid>
        <w:gridCol w:w="5954"/>
        <w:gridCol w:w="852"/>
        <w:gridCol w:w="1311"/>
        <w:gridCol w:w="1381"/>
      </w:tblGrid>
      <w:tr w:rsidR="00122C1B" w:rsidRPr="00117C96" w14:paraId="1747C87D" w14:textId="77777777" w:rsidTr="00807687">
        <w:trPr>
          <w:cnfStyle w:val="100000000000" w:firstRow="1" w:lastRow="0" w:firstColumn="0" w:lastColumn="0" w:oddVBand="0" w:evenVBand="0" w:oddHBand="0" w:evenHBand="0" w:firstRowFirstColumn="0" w:firstRowLastColumn="0" w:lastRowFirstColumn="0" w:lastRowLastColumn="0"/>
          <w:trHeight w:val="300"/>
        </w:trPr>
        <w:tc>
          <w:tcPr>
            <w:tcW w:w="5954" w:type="dxa"/>
            <w:vMerge w:val="restart"/>
            <w:noWrap/>
          </w:tcPr>
          <w:p w14:paraId="17503562" w14:textId="77777777" w:rsidR="00122C1B" w:rsidRDefault="00122C1B" w:rsidP="00286097">
            <w:pPr>
              <w:pStyle w:val="TableHeaders"/>
            </w:pPr>
            <w:r>
              <w:t>Element</w:t>
            </w:r>
          </w:p>
        </w:tc>
        <w:tc>
          <w:tcPr>
            <w:tcW w:w="3544" w:type="dxa"/>
            <w:gridSpan w:val="3"/>
            <w:noWrap/>
          </w:tcPr>
          <w:p w14:paraId="7B1CB48F" w14:textId="77777777" w:rsidR="00122C1B" w:rsidRDefault="00122C1B" w:rsidP="00286097">
            <w:pPr>
              <w:pStyle w:val="TableHeaders"/>
            </w:pPr>
            <w:r>
              <w:t>Stage</w:t>
            </w:r>
          </w:p>
        </w:tc>
      </w:tr>
      <w:tr w:rsidR="00122C1B" w:rsidRPr="00117C96" w14:paraId="786A1EEA" w14:textId="77777777" w:rsidTr="00807687">
        <w:trPr>
          <w:trHeight w:val="300"/>
        </w:trPr>
        <w:tc>
          <w:tcPr>
            <w:tcW w:w="5954" w:type="dxa"/>
            <w:vMerge/>
            <w:noWrap/>
          </w:tcPr>
          <w:p w14:paraId="37E324AC" w14:textId="77777777" w:rsidR="00122C1B" w:rsidRPr="00117C96" w:rsidRDefault="00122C1B" w:rsidP="00286097">
            <w:pPr>
              <w:pStyle w:val="TableHeaders"/>
            </w:pPr>
          </w:p>
        </w:tc>
        <w:tc>
          <w:tcPr>
            <w:tcW w:w="852" w:type="dxa"/>
            <w:shd w:val="clear" w:color="auto" w:fill="0A1F3F"/>
            <w:noWrap/>
          </w:tcPr>
          <w:p w14:paraId="2002BC58" w14:textId="77777777" w:rsidR="00122C1B" w:rsidRPr="00DB5DEA" w:rsidRDefault="00122C1B" w:rsidP="00286097">
            <w:pPr>
              <w:pStyle w:val="TableHeaders"/>
              <w:rPr>
                <w:b/>
              </w:rPr>
            </w:pPr>
            <w:r w:rsidRPr="00DB5DEA">
              <w:rPr>
                <w:b/>
              </w:rPr>
              <w:t>Learner</w:t>
            </w:r>
          </w:p>
        </w:tc>
        <w:tc>
          <w:tcPr>
            <w:tcW w:w="1311" w:type="dxa"/>
            <w:shd w:val="clear" w:color="auto" w:fill="0A1F3F"/>
          </w:tcPr>
          <w:p w14:paraId="240037FD" w14:textId="77777777" w:rsidR="00122C1B" w:rsidRPr="00DB5DEA" w:rsidRDefault="00122C1B" w:rsidP="00286097">
            <w:pPr>
              <w:pStyle w:val="TableHeaders"/>
              <w:rPr>
                <w:b/>
              </w:rPr>
            </w:pPr>
            <w:r w:rsidRPr="00DB5DEA">
              <w:rPr>
                <w:b/>
              </w:rPr>
              <w:t>Intermediate</w:t>
            </w:r>
          </w:p>
        </w:tc>
        <w:tc>
          <w:tcPr>
            <w:tcW w:w="1381" w:type="dxa"/>
            <w:shd w:val="clear" w:color="auto" w:fill="0A1F3F"/>
          </w:tcPr>
          <w:p w14:paraId="3770AB58" w14:textId="77777777" w:rsidR="00122C1B" w:rsidRPr="00DB5DEA" w:rsidRDefault="00122C1B" w:rsidP="00286097">
            <w:pPr>
              <w:pStyle w:val="TableHeaders"/>
              <w:rPr>
                <w:b/>
              </w:rPr>
            </w:pPr>
            <w:r w:rsidRPr="00DB5DEA">
              <w:rPr>
                <w:b/>
              </w:rPr>
              <w:t>Full Licence</w:t>
            </w:r>
          </w:p>
        </w:tc>
      </w:tr>
      <w:tr w:rsidR="00122C1B" w:rsidRPr="00117C96" w14:paraId="4B2BE165"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1A30EFF2" w14:textId="77777777" w:rsidR="00122C1B" w:rsidRPr="000F4120" w:rsidRDefault="00122C1B" w:rsidP="009D7C81">
            <w:pPr>
              <w:pStyle w:val="TableParagraph"/>
            </w:pPr>
            <w:r>
              <w:t xml:space="preserve">Minimum age 17 years and must have held Australian car licence for at least 12 months </w:t>
            </w:r>
          </w:p>
        </w:tc>
        <w:tc>
          <w:tcPr>
            <w:tcW w:w="852" w:type="dxa"/>
            <w:noWrap/>
          </w:tcPr>
          <w:p w14:paraId="6271D0FB" w14:textId="77777777" w:rsidR="00122C1B" w:rsidRPr="00DB430C" w:rsidRDefault="00122C1B" w:rsidP="009D7C81">
            <w:pPr>
              <w:pStyle w:val="TableParagraph"/>
              <w:jc w:val="center"/>
              <w:rPr>
                <w:color w:val="0C81BC"/>
              </w:rPr>
            </w:pPr>
            <w:r w:rsidRPr="00DB430C">
              <w:rPr>
                <w:rFonts w:cs="Segoe UI"/>
                <w:color w:val="0C81BC"/>
              </w:rPr>
              <w:sym w:font="Wingdings" w:char="F06C"/>
            </w:r>
          </w:p>
        </w:tc>
        <w:tc>
          <w:tcPr>
            <w:tcW w:w="1311" w:type="dxa"/>
          </w:tcPr>
          <w:p w14:paraId="436B249F" w14:textId="77777777" w:rsidR="00122C1B" w:rsidRPr="00DB430C" w:rsidRDefault="00122C1B" w:rsidP="009D7C81">
            <w:pPr>
              <w:pStyle w:val="TableParagraph"/>
              <w:jc w:val="center"/>
              <w:rPr>
                <w:rFonts w:cs="Segoe UI"/>
                <w:color w:val="0C81BC"/>
              </w:rPr>
            </w:pPr>
          </w:p>
        </w:tc>
        <w:tc>
          <w:tcPr>
            <w:tcW w:w="1381" w:type="dxa"/>
          </w:tcPr>
          <w:p w14:paraId="0068AFC6" w14:textId="77777777" w:rsidR="00122C1B" w:rsidRPr="00DB430C" w:rsidRDefault="00122C1B" w:rsidP="009D7C81">
            <w:pPr>
              <w:pStyle w:val="TableParagraph"/>
              <w:rPr>
                <w:color w:val="0C81BC"/>
              </w:rPr>
            </w:pPr>
          </w:p>
        </w:tc>
      </w:tr>
      <w:tr w:rsidR="00122C1B" w:rsidRPr="00117C96" w14:paraId="08DB663D" w14:textId="77777777" w:rsidTr="00807687">
        <w:trPr>
          <w:trHeight w:val="300"/>
        </w:trPr>
        <w:tc>
          <w:tcPr>
            <w:tcW w:w="5954" w:type="dxa"/>
            <w:noWrap/>
          </w:tcPr>
          <w:p w14:paraId="6D72CECF" w14:textId="77777777" w:rsidR="00122C1B" w:rsidRPr="000F4120" w:rsidRDefault="00122C1B" w:rsidP="009D7C81">
            <w:pPr>
              <w:pStyle w:val="TableParagraph"/>
            </w:pPr>
            <w:r>
              <w:t xml:space="preserve">Minimum age 17.5 years and have held motorcycle learner permit for at least six months </w:t>
            </w:r>
          </w:p>
        </w:tc>
        <w:tc>
          <w:tcPr>
            <w:tcW w:w="852" w:type="dxa"/>
            <w:noWrap/>
          </w:tcPr>
          <w:p w14:paraId="6874D1BC" w14:textId="77777777" w:rsidR="00122C1B" w:rsidRPr="00DB430C" w:rsidRDefault="00122C1B" w:rsidP="009D7C81">
            <w:pPr>
              <w:pStyle w:val="TableParagraph"/>
              <w:jc w:val="center"/>
              <w:rPr>
                <w:rFonts w:cs="Segoe UI"/>
                <w:color w:val="0C81BC"/>
              </w:rPr>
            </w:pPr>
          </w:p>
        </w:tc>
        <w:tc>
          <w:tcPr>
            <w:tcW w:w="1311" w:type="dxa"/>
          </w:tcPr>
          <w:p w14:paraId="649F00EC" w14:textId="77777777" w:rsidR="00122C1B" w:rsidRPr="00DB430C" w:rsidRDefault="00122C1B" w:rsidP="009D7C81">
            <w:pPr>
              <w:pStyle w:val="TableParagraph"/>
              <w:jc w:val="center"/>
              <w:rPr>
                <w:color w:val="0C81BC"/>
              </w:rPr>
            </w:pPr>
            <w:r w:rsidRPr="00DB430C">
              <w:rPr>
                <w:rFonts w:cs="Segoe UI"/>
                <w:color w:val="0C81BC"/>
              </w:rPr>
              <w:sym w:font="Wingdings" w:char="F06C"/>
            </w:r>
          </w:p>
        </w:tc>
        <w:tc>
          <w:tcPr>
            <w:tcW w:w="1381" w:type="dxa"/>
          </w:tcPr>
          <w:p w14:paraId="42F33F97" w14:textId="77777777" w:rsidR="00122C1B" w:rsidRPr="00DB430C" w:rsidRDefault="00122C1B" w:rsidP="009D7C81">
            <w:pPr>
              <w:pStyle w:val="TableParagraph"/>
              <w:rPr>
                <w:color w:val="0C81BC"/>
              </w:rPr>
            </w:pPr>
          </w:p>
        </w:tc>
      </w:tr>
      <w:tr w:rsidR="00122C1B" w:rsidRPr="00117C96" w14:paraId="47C63634"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63EDF897" w14:textId="77777777" w:rsidR="00122C1B" w:rsidRPr="000F4120" w:rsidRDefault="00122C1B" w:rsidP="001025CC">
            <w:pPr>
              <w:pStyle w:val="TableParagraph"/>
            </w:pPr>
            <w:r>
              <w:t>Must have held intermediate motorcycle licence for at least 12 months and have completed car based provisional/probationary licence period</w:t>
            </w:r>
          </w:p>
        </w:tc>
        <w:tc>
          <w:tcPr>
            <w:tcW w:w="852" w:type="dxa"/>
            <w:noWrap/>
          </w:tcPr>
          <w:p w14:paraId="3B66AF2B" w14:textId="77777777" w:rsidR="00122C1B" w:rsidRPr="00DB430C" w:rsidRDefault="00122C1B" w:rsidP="001025CC">
            <w:pPr>
              <w:pStyle w:val="TableParagraph"/>
              <w:jc w:val="center"/>
              <w:rPr>
                <w:rFonts w:cs="Segoe UI"/>
                <w:color w:val="0C81BC"/>
              </w:rPr>
            </w:pPr>
          </w:p>
        </w:tc>
        <w:tc>
          <w:tcPr>
            <w:tcW w:w="1311" w:type="dxa"/>
          </w:tcPr>
          <w:p w14:paraId="6D5AD731" w14:textId="77777777" w:rsidR="00122C1B" w:rsidRPr="00DB430C" w:rsidRDefault="00122C1B" w:rsidP="001025CC">
            <w:pPr>
              <w:pStyle w:val="TableParagraph"/>
              <w:rPr>
                <w:color w:val="0C81BC"/>
              </w:rPr>
            </w:pPr>
          </w:p>
        </w:tc>
        <w:tc>
          <w:tcPr>
            <w:tcW w:w="1381" w:type="dxa"/>
          </w:tcPr>
          <w:p w14:paraId="50FE5315" w14:textId="77777777" w:rsidR="00122C1B" w:rsidRPr="00DB430C" w:rsidRDefault="00122C1B" w:rsidP="001025CC">
            <w:pPr>
              <w:pStyle w:val="TableParagraph"/>
              <w:jc w:val="center"/>
              <w:rPr>
                <w:color w:val="0C81BC"/>
              </w:rPr>
            </w:pPr>
            <w:r w:rsidRPr="00DB430C">
              <w:rPr>
                <w:rFonts w:cs="Segoe UI"/>
                <w:color w:val="0C81BC"/>
              </w:rPr>
              <w:sym w:font="Wingdings" w:char="F06C"/>
            </w:r>
          </w:p>
        </w:tc>
      </w:tr>
      <w:tr w:rsidR="00122C1B" w:rsidRPr="00117C96" w14:paraId="55865431" w14:textId="77777777" w:rsidTr="00807687">
        <w:trPr>
          <w:trHeight w:val="300"/>
        </w:trPr>
        <w:tc>
          <w:tcPr>
            <w:tcW w:w="5954" w:type="dxa"/>
            <w:noWrap/>
          </w:tcPr>
          <w:p w14:paraId="1A1A401C" w14:textId="77777777" w:rsidR="00122C1B" w:rsidRPr="000F4120" w:rsidRDefault="00122C1B" w:rsidP="001025CC">
            <w:pPr>
              <w:pStyle w:val="TableParagraph"/>
            </w:pPr>
            <w:r>
              <w:t>Must pass motorcycle knowledge and off-road skill tests to gain motorcycle learner permit and meet general fitness to drive requirements (e.g. vision)</w:t>
            </w:r>
          </w:p>
        </w:tc>
        <w:tc>
          <w:tcPr>
            <w:tcW w:w="852" w:type="dxa"/>
            <w:noWrap/>
          </w:tcPr>
          <w:p w14:paraId="7C1A3621"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149B8687" w14:textId="77777777" w:rsidR="00122C1B" w:rsidRPr="00DB430C" w:rsidRDefault="00122C1B" w:rsidP="001025CC">
            <w:pPr>
              <w:pStyle w:val="TableParagraph"/>
              <w:jc w:val="center"/>
              <w:rPr>
                <w:color w:val="0C81BC"/>
              </w:rPr>
            </w:pPr>
          </w:p>
        </w:tc>
        <w:tc>
          <w:tcPr>
            <w:tcW w:w="1381" w:type="dxa"/>
          </w:tcPr>
          <w:p w14:paraId="2D84AA4F" w14:textId="77777777" w:rsidR="00122C1B" w:rsidRPr="00DB430C" w:rsidRDefault="00122C1B" w:rsidP="001025CC">
            <w:pPr>
              <w:pStyle w:val="TableParagraph"/>
              <w:jc w:val="center"/>
              <w:rPr>
                <w:color w:val="0C81BC"/>
              </w:rPr>
            </w:pPr>
          </w:p>
        </w:tc>
      </w:tr>
      <w:tr w:rsidR="00122C1B" w:rsidRPr="00117C96" w14:paraId="20F85D87"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1D58BE2F" w14:textId="77777777" w:rsidR="00122C1B" w:rsidRPr="000F4120" w:rsidRDefault="00122C1B" w:rsidP="001025CC">
            <w:pPr>
              <w:pStyle w:val="TableParagraph"/>
            </w:pPr>
            <w:r>
              <w:t>Must pass licence level off-road (on-range) skill tests to gain and meet general fitness to drive requirements (e.g. vision)</w:t>
            </w:r>
          </w:p>
        </w:tc>
        <w:tc>
          <w:tcPr>
            <w:tcW w:w="852" w:type="dxa"/>
            <w:noWrap/>
          </w:tcPr>
          <w:p w14:paraId="7084D781" w14:textId="77777777" w:rsidR="00122C1B" w:rsidRPr="00DB430C" w:rsidRDefault="00122C1B" w:rsidP="001025CC">
            <w:pPr>
              <w:pStyle w:val="TableParagraph"/>
              <w:jc w:val="center"/>
              <w:rPr>
                <w:rFonts w:cs="Segoe UI"/>
                <w:color w:val="0C81BC"/>
              </w:rPr>
            </w:pPr>
          </w:p>
        </w:tc>
        <w:tc>
          <w:tcPr>
            <w:tcW w:w="1311" w:type="dxa"/>
          </w:tcPr>
          <w:p w14:paraId="334C662D" w14:textId="77777777" w:rsidR="00122C1B" w:rsidRPr="00DB430C" w:rsidRDefault="00122C1B" w:rsidP="001025CC">
            <w:pPr>
              <w:pStyle w:val="TableParagraph"/>
              <w:jc w:val="center"/>
              <w:rPr>
                <w:color w:val="0C81BC"/>
              </w:rPr>
            </w:pPr>
            <w:r w:rsidRPr="00DB430C">
              <w:rPr>
                <w:rFonts w:cs="Segoe UI"/>
                <w:color w:val="0C81BC"/>
              </w:rPr>
              <w:sym w:font="Wingdings" w:char="F06C"/>
            </w:r>
          </w:p>
        </w:tc>
        <w:tc>
          <w:tcPr>
            <w:tcW w:w="1381" w:type="dxa"/>
          </w:tcPr>
          <w:p w14:paraId="14F89EFF" w14:textId="77777777" w:rsidR="00122C1B" w:rsidRPr="00DB430C" w:rsidRDefault="00122C1B" w:rsidP="001025CC">
            <w:pPr>
              <w:pStyle w:val="TableParagraph"/>
              <w:jc w:val="center"/>
              <w:rPr>
                <w:color w:val="0C81BC"/>
              </w:rPr>
            </w:pPr>
          </w:p>
        </w:tc>
      </w:tr>
      <w:tr w:rsidR="00122C1B" w:rsidRPr="00117C96" w14:paraId="2E4D13FA" w14:textId="77777777" w:rsidTr="00807687">
        <w:trPr>
          <w:trHeight w:val="300"/>
        </w:trPr>
        <w:tc>
          <w:tcPr>
            <w:tcW w:w="5954" w:type="dxa"/>
            <w:noWrap/>
          </w:tcPr>
          <w:p w14:paraId="7328C30E" w14:textId="77777777" w:rsidR="00122C1B" w:rsidRPr="000F4120" w:rsidRDefault="00122C1B" w:rsidP="001025CC">
            <w:pPr>
              <w:pStyle w:val="TableParagraph"/>
            </w:pPr>
            <w:r>
              <w:t>No testing required – unless GLS exit testing applies in that jurisdiction to graduate from P phase</w:t>
            </w:r>
          </w:p>
        </w:tc>
        <w:tc>
          <w:tcPr>
            <w:tcW w:w="852" w:type="dxa"/>
            <w:noWrap/>
          </w:tcPr>
          <w:p w14:paraId="7DCFE712" w14:textId="77777777" w:rsidR="00122C1B" w:rsidRPr="00DB430C" w:rsidRDefault="00122C1B" w:rsidP="001025CC">
            <w:pPr>
              <w:pStyle w:val="TableParagraph"/>
              <w:jc w:val="center"/>
              <w:rPr>
                <w:rFonts w:cs="Segoe UI"/>
                <w:color w:val="0C81BC"/>
              </w:rPr>
            </w:pPr>
          </w:p>
        </w:tc>
        <w:tc>
          <w:tcPr>
            <w:tcW w:w="1311" w:type="dxa"/>
          </w:tcPr>
          <w:p w14:paraId="2BE08877" w14:textId="77777777" w:rsidR="00122C1B" w:rsidRPr="00DB430C" w:rsidRDefault="00122C1B" w:rsidP="001025CC">
            <w:pPr>
              <w:pStyle w:val="TableParagraph"/>
              <w:jc w:val="center"/>
              <w:rPr>
                <w:color w:val="0C81BC"/>
              </w:rPr>
            </w:pPr>
          </w:p>
        </w:tc>
        <w:tc>
          <w:tcPr>
            <w:tcW w:w="1381" w:type="dxa"/>
          </w:tcPr>
          <w:p w14:paraId="5FDFF87F" w14:textId="77777777" w:rsidR="00122C1B" w:rsidRPr="00DB430C" w:rsidRDefault="00122C1B" w:rsidP="001025CC">
            <w:pPr>
              <w:pStyle w:val="TableParagraph"/>
              <w:jc w:val="center"/>
              <w:rPr>
                <w:color w:val="0C81BC"/>
              </w:rPr>
            </w:pPr>
            <w:r w:rsidRPr="00DB430C">
              <w:rPr>
                <w:rFonts w:cs="Segoe UI"/>
                <w:color w:val="0C81BC"/>
              </w:rPr>
              <w:sym w:font="Wingdings" w:char="F06C"/>
            </w:r>
          </w:p>
        </w:tc>
      </w:tr>
      <w:tr w:rsidR="00122C1B" w:rsidRPr="00117C96" w14:paraId="46BBA9FC"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5E04309D" w14:textId="77777777" w:rsidR="00122C1B" w:rsidRPr="00DF48F2" w:rsidRDefault="00122C1B" w:rsidP="001025CC">
            <w:pPr>
              <w:pStyle w:val="TableParagraph"/>
            </w:pPr>
            <w:r w:rsidRPr="000F4120">
              <w:t xml:space="preserve">Minimum </w:t>
            </w:r>
            <w:r>
              <w:t xml:space="preserve">motorcycle </w:t>
            </w:r>
            <w:r w:rsidRPr="00DF48F2">
              <w:t>learner permit tenure – 6 months</w:t>
            </w:r>
          </w:p>
        </w:tc>
        <w:tc>
          <w:tcPr>
            <w:tcW w:w="852" w:type="dxa"/>
            <w:noWrap/>
          </w:tcPr>
          <w:p w14:paraId="61C9EC39" w14:textId="77777777" w:rsidR="00122C1B" w:rsidRPr="00DB430C" w:rsidRDefault="00122C1B" w:rsidP="001025CC">
            <w:pPr>
              <w:pStyle w:val="TableParagraph"/>
              <w:jc w:val="center"/>
              <w:rPr>
                <w:color w:val="0C81BC"/>
              </w:rPr>
            </w:pPr>
            <w:r w:rsidRPr="00DB430C">
              <w:rPr>
                <w:rFonts w:cs="Segoe UI"/>
                <w:color w:val="0C81BC"/>
              </w:rPr>
              <w:sym w:font="Wingdings" w:char="F06C"/>
            </w:r>
          </w:p>
        </w:tc>
        <w:tc>
          <w:tcPr>
            <w:tcW w:w="1311" w:type="dxa"/>
          </w:tcPr>
          <w:p w14:paraId="1A7823D8" w14:textId="77777777" w:rsidR="00122C1B" w:rsidRPr="00DB430C" w:rsidRDefault="00122C1B" w:rsidP="001025CC">
            <w:pPr>
              <w:pStyle w:val="TableParagraph"/>
              <w:rPr>
                <w:color w:val="0C81BC"/>
              </w:rPr>
            </w:pPr>
          </w:p>
        </w:tc>
        <w:tc>
          <w:tcPr>
            <w:tcW w:w="1381" w:type="dxa"/>
          </w:tcPr>
          <w:p w14:paraId="0E03E6D8" w14:textId="77777777" w:rsidR="00122C1B" w:rsidRPr="00DB430C" w:rsidRDefault="00122C1B" w:rsidP="001025CC">
            <w:pPr>
              <w:pStyle w:val="TableParagraph"/>
              <w:rPr>
                <w:color w:val="0C81BC"/>
              </w:rPr>
            </w:pPr>
          </w:p>
        </w:tc>
      </w:tr>
      <w:tr w:rsidR="00122C1B" w:rsidRPr="00117C96" w14:paraId="3087C582" w14:textId="77777777" w:rsidTr="00807687">
        <w:trPr>
          <w:trHeight w:val="300"/>
        </w:trPr>
        <w:tc>
          <w:tcPr>
            <w:tcW w:w="5954" w:type="dxa"/>
            <w:noWrap/>
          </w:tcPr>
          <w:p w14:paraId="28750742" w14:textId="77777777" w:rsidR="00122C1B" w:rsidRPr="00DF48F2" w:rsidRDefault="00122C1B" w:rsidP="001025CC">
            <w:pPr>
              <w:pStyle w:val="TableParagraph"/>
            </w:pPr>
            <w:r w:rsidRPr="000F4120">
              <w:lastRenderedPageBreak/>
              <w:t xml:space="preserve">Minimum </w:t>
            </w:r>
            <w:r w:rsidRPr="00DF48F2">
              <w:t xml:space="preserve">intermediate motorcycle licence </w:t>
            </w:r>
            <w:r>
              <w:t xml:space="preserve">tenure </w:t>
            </w:r>
            <w:r w:rsidRPr="000F4120">
              <w:t>–</w:t>
            </w:r>
            <w:r w:rsidRPr="00DF48F2">
              <w:t xml:space="preserve"> 12 months, if subject to restricted conditions and/or until completion of all P licence requirements</w:t>
            </w:r>
          </w:p>
        </w:tc>
        <w:tc>
          <w:tcPr>
            <w:tcW w:w="852" w:type="dxa"/>
            <w:noWrap/>
          </w:tcPr>
          <w:p w14:paraId="2CA4393B" w14:textId="77777777" w:rsidR="00122C1B" w:rsidRPr="00DB430C" w:rsidRDefault="00122C1B" w:rsidP="001025CC">
            <w:pPr>
              <w:pStyle w:val="TableParagraph"/>
              <w:rPr>
                <w:color w:val="0C81BC"/>
              </w:rPr>
            </w:pPr>
          </w:p>
        </w:tc>
        <w:tc>
          <w:tcPr>
            <w:tcW w:w="1311" w:type="dxa"/>
          </w:tcPr>
          <w:p w14:paraId="33346680" w14:textId="77777777" w:rsidR="00122C1B" w:rsidRPr="00DB430C" w:rsidRDefault="00122C1B" w:rsidP="001025CC">
            <w:pPr>
              <w:pStyle w:val="TableParagraph"/>
              <w:jc w:val="center"/>
              <w:rPr>
                <w:color w:val="0C81BC"/>
              </w:rPr>
            </w:pPr>
            <w:r w:rsidRPr="00DB430C">
              <w:rPr>
                <w:rFonts w:cs="Segoe UI"/>
                <w:color w:val="0C81BC"/>
              </w:rPr>
              <w:sym w:font="Wingdings" w:char="F06C"/>
            </w:r>
          </w:p>
        </w:tc>
        <w:tc>
          <w:tcPr>
            <w:tcW w:w="1381" w:type="dxa"/>
          </w:tcPr>
          <w:p w14:paraId="7C4CFCB6" w14:textId="77777777" w:rsidR="00122C1B" w:rsidRPr="00DB430C" w:rsidRDefault="00122C1B" w:rsidP="001025CC">
            <w:pPr>
              <w:pStyle w:val="TableParagraph"/>
              <w:rPr>
                <w:color w:val="0C81BC"/>
              </w:rPr>
            </w:pPr>
          </w:p>
        </w:tc>
      </w:tr>
      <w:tr w:rsidR="00122C1B" w:rsidRPr="00117C96" w14:paraId="72FB31EA"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63B0DB93" w14:textId="77777777" w:rsidR="00122C1B" w:rsidRPr="00DF48F2" w:rsidRDefault="00122C1B" w:rsidP="001025CC">
            <w:pPr>
              <w:pStyle w:val="TableParagraph"/>
            </w:pPr>
            <w:r w:rsidRPr="000F4120">
              <w:t xml:space="preserve">Must </w:t>
            </w:r>
            <w:r w:rsidRPr="00DF48F2">
              <w:t>have clean record to graduate to next stage</w:t>
            </w:r>
          </w:p>
        </w:tc>
        <w:tc>
          <w:tcPr>
            <w:tcW w:w="852" w:type="dxa"/>
            <w:noWrap/>
          </w:tcPr>
          <w:p w14:paraId="12E47DF5" w14:textId="77777777" w:rsidR="00122C1B" w:rsidRPr="00DB430C" w:rsidRDefault="00122C1B" w:rsidP="001025CC">
            <w:pPr>
              <w:pStyle w:val="TableParagraph"/>
              <w:jc w:val="center"/>
              <w:rPr>
                <w:color w:val="0C81BC"/>
              </w:rPr>
            </w:pPr>
            <w:r w:rsidRPr="00DB430C">
              <w:rPr>
                <w:rFonts w:cs="Segoe UI"/>
                <w:color w:val="0C81BC"/>
              </w:rPr>
              <w:sym w:font="Wingdings" w:char="F06C"/>
            </w:r>
          </w:p>
        </w:tc>
        <w:tc>
          <w:tcPr>
            <w:tcW w:w="1311" w:type="dxa"/>
          </w:tcPr>
          <w:p w14:paraId="62C0D487" w14:textId="77777777" w:rsidR="00122C1B" w:rsidRPr="00DB430C" w:rsidRDefault="00122C1B" w:rsidP="001025CC">
            <w:pPr>
              <w:pStyle w:val="TableParagraph"/>
              <w:jc w:val="center"/>
              <w:rPr>
                <w:color w:val="0C81BC"/>
              </w:rPr>
            </w:pPr>
            <w:r w:rsidRPr="00DB430C">
              <w:rPr>
                <w:rFonts w:cs="Segoe UI"/>
                <w:color w:val="0C81BC"/>
              </w:rPr>
              <w:sym w:font="Wingdings" w:char="F06C"/>
            </w:r>
          </w:p>
        </w:tc>
        <w:tc>
          <w:tcPr>
            <w:tcW w:w="1381" w:type="dxa"/>
          </w:tcPr>
          <w:p w14:paraId="1AA6258C" w14:textId="77777777" w:rsidR="00122C1B" w:rsidRPr="00DB430C" w:rsidRDefault="00122C1B" w:rsidP="001025CC">
            <w:pPr>
              <w:pStyle w:val="TableParagraph"/>
              <w:rPr>
                <w:color w:val="0C81BC"/>
              </w:rPr>
            </w:pPr>
          </w:p>
        </w:tc>
      </w:tr>
      <w:tr w:rsidR="00122C1B" w:rsidRPr="00117C96" w14:paraId="06F890D4" w14:textId="77777777" w:rsidTr="00807687">
        <w:trPr>
          <w:trHeight w:val="300"/>
        </w:trPr>
        <w:tc>
          <w:tcPr>
            <w:tcW w:w="5954" w:type="dxa"/>
            <w:noWrap/>
          </w:tcPr>
          <w:p w14:paraId="29B6D7D8" w14:textId="77777777" w:rsidR="00122C1B" w:rsidRPr="00DF48F2" w:rsidRDefault="00122C1B" w:rsidP="001025CC">
            <w:pPr>
              <w:pStyle w:val="TableParagraph"/>
            </w:pPr>
            <w:r w:rsidRPr="000F4120">
              <w:t xml:space="preserve">Displaying </w:t>
            </w:r>
            <w:r w:rsidRPr="00DF48F2">
              <w:t>of L-plates</w:t>
            </w:r>
            <w:r>
              <w:t xml:space="preserve"> during the learner stage</w:t>
            </w:r>
          </w:p>
        </w:tc>
        <w:tc>
          <w:tcPr>
            <w:tcW w:w="852" w:type="dxa"/>
            <w:noWrap/>
          </w:tcPr>
          <w:p w14:paraId="66833A6E"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53657A4E" w14:textId="77777777" w:rsidR="00122C1B" w:rsidRPr="00DB430C" w:rsidRDefault="00122C1B" w:rsidP="001025CC">
            <w:pPr>
              <w:pStyle w:val="TableParagraph"/>
              <w:jc w:val="center"/>
              <w:rPr>
                <w:rFonts w:cs="Segoe UI"/>
                <w:color w:val="0C81BC"/>
              </w:rPr>
            </w:pPr>
          </w:p>
        </w:tc>
        <w:tc>
          <w:tcPr>
            <w:tcW w:w="1381" w:type="dxa"/>
          </w:tcPr>
          <w:p w14:paraId="7711F533" w14:textId="77777777" w:rsidR="00122C1B" w:rsidRPr="00DB430C" w:rsidRDefault="00122C1B" w:rsidP="001025CC">
            <w:pPr>
              <w:pStyle w:val="TableParagraph"/>
              <w:rPr>
                <w:color w:val="0C81BC"/>
              </w:rPr>
            </w:pPr>
          </w:p>
        </w:tc>
      </w:tr>
      <w:tr w:rsidR="00122C1B" w:rsidRPr="00117C96" w14:paraId="23E9DA9E"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08D8CCB1" w14:textId="77777777" w:rsidR="00122C1B" w:rsidRPr="00DF48F2" w:rsidRDefault="00122C1B" w:rsidP="001025CC">
            <w:pPr>
              <w:pStyle w:val="TableParagraph"/>
            </w:pPr>
            <w:r w:rsidRPr="000F4120">
              <w:t xml:space="preserve">Displaying </w:t>
            </w:r>
            <w:r w:rsidRPr="00DF48F2">
              <w:t>of P-plates during the intermediate stage</w:t>
            </w:r>
          </w:p>
        </w:tc>
        <w:tc>
          <w:tcPr>
            <w:tcW w:w="852" w:type="dxa"/>
            <w:noWrap/>
          </w:tcPr>
          <w:p w14:paraId="00315435" w14:textId="77777777" w:rsidR="00122C1B" w:rsidRPr="00DB430C" w:rsidRDefault="00122C1B" w:rsidP="001025CC">
            <w:pPr>
              <w:pStyle w:val="TableParagraph"/>
              <w:jc w:val="center"/>
              <w:rPr>
                <w:rFonts w:cs="Segoe UI"/>
                <w:color w:val="0C81BC"/>
              </w:rPr>
            </w:pPr>
          </w:p>
        </w:tc>
        <w:tc>
          <w:tcPr>
            <w:tcW w:w="1311" w:type="dxa"/>
          </w:tcPr>
          <w:p w14:paraId="7F7827AD"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3F97216B" w14:textId="77777777" w:rsidR="00122C1B" w:rsidRPr="00DB430C" w:rsidRDefault="00122C1B" w:rsidP="001025CC">
            <w:pPr>
              <w:pStyle w:val="TableParagraph"/>
              <w:rPr>
                <w:color w:val="0C81BC"/>
              </w:rPr>
            </w:pPr>
          </w:p>
        </w:tc>
      </w:tr>
      <w:tr w:rsidR="00122C1B" w:rsidRPr="00117C96" w14:paraId="65B3F2DB" w14:textId="77777777" w:rsidTr="00807687">
        <w:trPr>
          <w:trHeight w:val="300"/>
        </w:trPr>
        <w:tc>
          <w:tcPr>
            <w:tcW w:w="5954" w:type="dxa"/>
            <w:noWrap/>
          </w:tcPr>
          <w:p w14:paraId="5D74A395" w14:textId="77777777" w:rsidR="00122C1B" w:rsidRPr="00DF48F2" w:rsidRDefault="00122C1B" w:rsidP="001025CC">
            <w:pPr>
              <w:pStyle w:val="TableParagraph"/>
            </w:pPr>
            <w:r w:rsidRPr="000F4120">
              <w:t xml:space="preserve">Mandatory </w:t>
            </w:r>
            <w:r w:rsidRPr="00DF48F2">
              <w:t>carriage of learner permit or intermediate licence</w:t>
            </w:r>
          </w:p>
        </w:tc>
        <w:tc>
          <w:tcPr>
            <w:tcW w:w="852" w:type="dxa"/>
            <w:noWrap/>
          </w:tcPr>
          <w:p w14:paraId="5EB47035"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4B417C5E"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2A4CF732" w14:textId="77777777" w:rsidR="00122C1B" w:rsidRPr="00DB430C" w:rsidRDefault="00122C1B" w:rsidP="001025CC">
            <w:pPr>
              <w:pStyle w:val="TableParagraph"/>
              <w:rPr>
                <w:color w:val="0C81BC"/>
              </w:rPr>
            </w:pPr>
          </w:p>
        </w:tc>
      </w:tr>
      <w:tr w:rsidR="00122C1B" w:rsidRPr="00117C96" w14:paraId="1B562A12"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4378B684" w14:textId="77777777" w:rsidR="00122C1B" w:rsidRPr="00DF48F2" w:rsidRDefault="00122C1B" w:rsidP="001025CC">
            <w:pPr>
              <w:pStyle w:val="TableParagraph"/>
            </w:pPr>
            <w:r w:rsidRPr="000F4120">
              <w:t>N</w:t>
            </w:r>
            <w:r w:rsidRPr="00DF48F2">
              <w:t>o carrying of pillion passengers allowed</w:t>
            </w:r>
          </w:p>
        </w:tc>
        <w:tc>
          <w:tcPr>
            <w:tcW w:w="852" w:type="dxa"/>
            <w:noWrap/>
          </w:tcPr>
          <w:p w14:paraId="08FEC291"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307AFBA2"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79145036" w14:textId="77777777" w:rsidR="00122C1B" w:rsidRPr="00DB430C" w:rsidRDefault="00122C1B" w:rsidP="001025CC">
            <w:pPr>
              <w:pStyle w:val="TableParagraph"/>
              <w:rPr>
                <w:color w:val="0C81BC"/>
              </w:rPr>
            </w:pPr>
          </w:p>
        </w:tc>
      </w:tr>
      <w:tr w:rsidR="00122C1B" w:rsidRPr="00117C96" w14:paraId="56B5B8FB" w14:textId="77777777" w:rsidTr="00807687">
        <w:trPr>
          <w:trHeight w:val="300"/>
        </w:trPr>
        <w:tc>
          <w:tcPr>
            <w:tcW w:w="5954" w:type="dxa"/>
            <w:noWrap/>
          </w:tcPr>
          <w:p w14:paraId="5398B128" w14:textId="77777777" w:rsidR="00122C1B" w:rsidRPr="00DF48F2" w:rsidRDefault="00122C1B" w:rsidP="001025CC">
            <w:pPr>
              <w:pStyle w:val="TableParagraph"/>
            </w:pPr>
            <w:r w:rsidRPr="000F4120">
              <w:t xml:space="preserve">No </w:t>
            </w:r>
            <w:r w:rsidRPr="00DF48F2">
              <w:t>night-time riding (10pm to 5am) allowed</w:t>
            </w:r>
          </w:p>
        </w:tc>
        <w:tc>
          <w:tcPr>
            <w:tcW w:w="852" w:type="dxa"/>
            <w:noWrap/>
          </w:tcPr>
          <w:p w14:paraId="23D12359"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2945E2AD" w14:textId="77777777" w:rsidR="00122C1B" w:rsidRPr="00DB430C" w:rsidRDefault="00122C1B" w:rsidP="001025CC">
            <w:pPr>
              <w:pStyle w:val="TableParagraph"/>
              <w:jc w:val="center"/>
              <w:rPr>
                <w:rFonts w:cs="Segoe UI"/>
                <w:color w:val="0C81BC"/>
              </w:rPr>
            </w:pPr>
          </w:p>
        </w:tc>
        <w:tc>
          <w:tcPr>
            <w:tcW w:w="1381" w:type="dxa"/>
          </w:tcPr>
          <w:p w14:paraId="7915DC6A" w14:textId="77777777" w:rsidR="00122C1B" w:rsidRPr="00DB430C" w:rsidRDefault="00122C1B" w:rsidP="001025CC">
            <w:pPr>
              <w:pStyle w:val="TableParagraph"/>
              <w:rPr>
                <w:color w:val="0C81BC"/>
              </w:rPr>
            </w:pPr>
          </w:p>
        </w:tc>
      </w:tr>
      <w:tr w:rsidR="00122C1B" w:rsidRPr="00117C96" w14:paraId="5FF71662"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1486535F" w14:textId="77777777" w:rsidR="00122C1B" w:rsidRPr="00DF48F2" w:rsidRDefault="00122C1B" w:rsidP="001025CC">
            <w:pPr>
              <w:pStyle w:val="TableParagraph"/>
            </w:pPr>
            <w:r>
              <w:t xml:space="preserve">Zero blood or breath alcohol concentration (BAC) </w:t>
            </w:r>
            <w:r w:rsidRPr="00DF48F2">
              <w:t>limit applies</w:t>
            </w:r>
          </w:p>
        </w:tc>
        <w:tc>
          <w:tcPr>
            <w:tcW w:w="852" w:type="dxa"/>
            <w:noWrap/>
          </w:tcPr>
          <w:p w14:paraId="0039235B"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2B0E043F"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53C5A27A" w14:textId="77777777" w:rsidR="00122C1B" w:rsidRPr="00DB430C" w:rsidRDefault="00122C1B" w:rsidP="001025CC">
            <w:pPr>
              <w:pStyle w:val="TableParagraph"/>
              <w:rPr>
                <w:color w:val="0C81BC"/>
              </w:rPr>
            </w:pPr>
          </w:p>
        </w:tc>
      </w:tr>
      <w:tr w:rsidR="00122C1B" w:rsidRPr="00117C96" w14:paraId="5EDEFC4A" w14:textId="77777777" w:rsidTr="00807687">
        <w:trPr>
          <w:trHeight w:val="300"/>
        </w:trPr>
        <w:tc>
          <w:tcPr>
            <w:tcW w:w="5954" w:type="dxa"/>
            <w:noWrap/>
          </w:tcPr>
          <w:p w14:paraId="2522954E" w14:textId="77777777" w:rsidR="00122C1B" w:rsidRPr="006321C9" w:rsidRDefault="00122C1B" w:rsidP="001025CC">
            <w:pPr>
              <w:pStyle w:val="TableParagraph"/>
            </w:pPr>
            <w:r w:rsidRPr="000F4120">
              <w:t xml:space="preserve">Riding </w:t>
            </w:r>
            <w:r w:rsidRPr="00DF48F2">
              <w:t xml:space="preserve">with lights on at all times – headlamp or daytime running lights </w:t>
            </w:r>
          </w:p>
        </w:tc>
        <w:tc>
          <w:tcPr>
            <w:tcW w:w="852" w:type="dxa"/>
            <w:noWrap/>
          </w:tcPr>
          <w:p w14:paraId="3AC693CC"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6F20D75E"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59F31E51" w14:textId="77777777" w:rsidR="00122C1B" w:rsidRPr="00DB430C" w:rsidRDefault="00122C1B" w:rsidP="001025CC">
            <w:pPr>
              <w:pStyle w:val="TableParagraph"/>
              <w:rPr>
                <w:color w:val="0C81BC"/>
              </w:rPr>
            </w:pPr>
          </w:p>
        </w:tc>
      </w:tr>
      <w:tr w:rsidR="00122C1B" w:rsidRPr="00117C96" w14:paraId="123D95B6"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2B818E2F" w14:textId="77777777" w:rsidR="00122C1B" w:rsidRPr="00DF48F2" w:rsidRDefault="00122C1B" w:rsidP="001025CC">
            <w:pPr>
              <w:pStyle w:val="TableParagraph"/>
            </w:pPr>
            <w:r w:rsidRPr="000F4120">
              <w:t xml:space="preserve">High </w:t>
            </w:r>
            <w:r w:rsidRPr="00DF48F2">
              <w:t>visibility vest is required at all times</w:t>
            </w:r>
          </w:p>
        </w:tc>
        <w:tc>
          <w:tcPr>
            <w:tcW w:w="852" w:type="dxa"/>
            <w:noWrap/>
          </w:tcPr>
          <w:p w14:paraId="243858BF"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20B16FA8"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52153275" w14:textId="77777777" w:rsidR="00122C1B" w:rsidRPr="00DB430C" w:rsidRDefault="00122C1B" w:rsidP="001025CC">
            <w:pPr>
              <w:pStyle w:val="TableParagraph"/>
              <w:rPr>
                <w:color w:val="0C81BC"/>
              </w:rPr>
            </w:pPr>
          </w:p>
        </w:tc>
      </w:tr>
      <w:tr w:rsidR="00122C1B" w:rsidRPr="00117C96" w14:paraId="09262DC8" w14:textId="77777777" w:rsidTr="00807687">
        <w:trPr>
          <w:trHeight w:val="300"/>
        </w:trPr>
        <w:tc>
          <w:tcPr>
            <w:tcW w:w="5954" w:type="dxa"/>
            <w:noWrap/>
          </w:tcPr>
          <w:p w14:paraId="5FA52D79" w14:textId="77777777" w:rsidR="00122C1B" w:rsidRPr="00392701" w:rsidRDefault="00122C1B" w:rsidP="001025CC">
            <w:pPr>
              <w:pStyle w:val="TableParagraph"/>
            </w:pPr>
            <w:r>
              <w:t>Must w</w:t>
            </w:r>
            <w:r w:rsidRPr="000F4120">
              <w:t>ear</w:t>
            </w:r>
            <w:r w:rsidRPr="00DF48F2">
              <w:t xml:space="preserve"> an approved motorcycle helmet and protective clothing at all times</w:t>
            </w:r>
          </w:p>
        </w:tc>
        <w:tc>
          <w:tcPr>
            <w:tcW w:w="852" w:type="dxa"/>
            <w:noWrap/>
          </w:tcPr>
          <w:p w14:paraId="5ECE6A4D"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2FD0E2AA"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7B9473AA" w14:textId="77777777" w:rsidR="00122C1B" w:rsidRPr="00DB430C" w:rsidRDefault="00122C1B" w:rsidP="001025CC">
            <w:pPr>
              <w:pStyle w:val="TableParagraph"/>
              <w:rPr>
                <w:color w:val="0C81BC"/>
              </w:rPr>
            </w:pPr>
          </w:p>
        </w:tc>
      </w:tr>
      <w:tr w:rsidR="00122C1B" w:rsidRPr="00117C96" w14:paraId="2B0CB012"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18B71039" w14:textId="77777777" w:rsidR="00122C1B" w:rsidRPr="00DF48F2" w:rsidRDefault="00122C1B" w:rsidP="001025CC">
            <w:pPr>
              <w:pStyle w:val="TableParagraph"/>
            </w:pPr>
            <w:r w:rsidRPr="000F4120">
              <w:t xml:space="preserve">No </w:t>
            </w:r>
            <w:r w:rsidRPr="00DF48F2">
              <w:t>towing is permitted</w:t>
            </w:r>
          </w:p>
        </w:tc>
        <w:tc>
          <w:tcPr>
            <w:tcW w:w="852" w:type="dxa"/>
            <w:noWrap/>
          </w:tcPr>
          <w:p w14:paraId="41F627E2"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1B64E664"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08E74347" w14:textId="77777777" w:rsidR="00122C1B" w:rsidRPr="00DB430C" w:rsidRDefault="00122C1B" w:rsidP="001025CC">
            <w:pPr>
              <w:pStyle w:val="TableParagraph"/>
              <w:rPr>
                <w:color w:val="0C81BC"/>
              </w:rPr>
            </w:pPr>
          </w:p>
        </w:tc>
      </w:tr>
      <w:tr w:rsidR="00122C1B" w:rsidRPr="00117C96" w14:paraId="49903CA3" w14:textId="77777777" w:rsidTr="00807687">
        <w:trPr>
          <w:trHeight w:val="300"/>
        </w:trPr>
        <w:tc>
          <w:tcPr>
            <w:tcW w:w="5954" w:type="dxa"/>
            <w:noWrap/>
          </w:tcPr>
          <w:p w14:paraId="20CB5BA3" w14:textId="77777777" w:rsidR="00122C1B" w:rsidRPr="00DF48F2" w:rsidRDefault="00122C1B" w:rsidP="001025CC">
            <w:pPr>
              <w:pStyle w:val="TableParagraph"/>
            </w:pPr>
            <w:r w:rsidRPr="000F4120">
              <w:t xml:space="preserve">No </w:t>
            </w:r>
            <w:r w:rsidRPr="00DF48F2">
              <w:t>mobile phone use is permitted</w:t>
            </w:r>
          </w:p>
        </w:tc>
        <w:tc>
          <w:tcPr>
            <w:tcW w:w="852" w:type="dxa"/>
            <w:noWrap/>
          </w:tcPr>
          <w:p w14:paraId="34873F6D"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43990FD0"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620088E2" w14:textId="77777777" w:rsidR="00122C1B" w:rsidRPr="00DB430C" w:rsidRDefault="00122C1B" w:rsidP="001025CC">
            <w:pPr>
              <w:pStyle w:val="TableParagraph"/>
              <w:rPr>
                <w:color w:val="0C81BC"/>
              </w:rPr>
            </w:pPr>
          </w:p>
        </w:tc>
      </w:tr>
      <w:tr w:rsidR="00122C1B" w:rsidRPr="00117C96" w14:paraId="070A9C70"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3D7320B1" w14:textId="77777777" w:rsidR="00122C1B" w:rsidRPr="006321C9" w:rsidRDefault="00122C1B" w:rsidP="001025CC">
            <w:pPr>
              <w:pStyle w:val="TableParagraph"/>
            </w:pPr>
            <w:r w:rsidRPr="000F4120">
              <w:t xml:space="preserve">Lower </w:t>
            </w:r>
            <w:r w:rsidRPr="00DF48F2">
              <w:t>threshold for demerit point licence suspension (same as for car based</w:t>
            </w:r>
            <w:r w:rsidRPr="00392701">
              <w:t xml:space="preserve"> </w:t>
            </w:r>
            <w:r w:rsidRPr="006321C9">
              <w:t>GLS level)</w:t>
            </w:r>
          </w:p>
        </w:tc>
        <w:tc>
          <w:tcPr>
            <w:tcW w:w="852" w:type="dxa"/>
            <w:noWrap/>
          </w:tcPr>
          <w:p w14:paraId="04B9FA39"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6DC120F7"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251A8FC7" w14:textId="77777777" w:rsidR="00122C1B" w:rsidRPr="00DB430C" w:rsidRDefault="00122C1B" w:rsidP="001025CC">
            <w:pPr>
              <w:pStyle w:val="TableParagraph"/>
              <w:rPr>
                <w:color w:val="0C81BC"/>
              </w:rPr>
            </w:pPr>
          </w:p>
        </w:tc>
      </w:tr>
      <w:tr w:rsidR="00122C1B" w:rsidRPr="00117C96" w14:paraId="4BC8D6D9" w14:textId="77777777" w:rsidTr="00807687">
        <w:trPr>
          <w:trHeight w:val="300"/>
        </w:trPr>
        <w:tc>
          <w:tcPr>
            <w:tcW w:w="5954" w:type="dxa"/>
            <w:noWrap/>
          </w:tcPr>
          <w:p w14:paraId="3D2031AE" w14:textId="77777777" w:rsidR="00122C1B" w:rsidRPr="00DF48F2" w:rsidRDefault="00122C1B" w:rsidP="001025CC">
            <w:pPr>
              <w:pStyle w:val="TableParagraph"/>
            </w:pPr>
            <w:r w:rsidRPr="000F4120">
              <w:t>Must</w:t>
            </w:r>
            <w:r w:rsidRPr="00DF48F2">
              <w:t xml:space="preserve"> ride a Learner Approved Motorcycle Scheme (LAMS) motorcycle</w:t>
            </w:r>
          </w:p>
        </w:tc>
        <w:tc>
          <w:tcPr>
            <w:tcW w:w="852" w:type="dxa"/>
            <w:noWrap/>
          </w:tcPr>
          <w:p w14:paraId="171EB482"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0FFF9FF8"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5CA89E2C" w14:textId="77777777" w:rsidR="00122C1B" w:rsidRPr="00DB430C" w:rsidRDefault="00122C1B" w:rsidP="001025CC">
            <w:pPr>
              <w:pStyle w:val="TableParagraph"/>
              <w:rPr>
                <w:color w:val="0C81BC"/>
              </w:rPr>
            </w:pPr>
          </w:p>
        </w:tc>
      </w:tr>
      <w:tr w:rsidR="00122C1B" w:rsidRPr="00117C96" w14:paraId="1C035190" w14:textId="77777777" w:rsidTr="00807687">
        <w:trPr>
          <w:cnfStyle w:val="000000010000" w:firstRow="0" w:lastRow="0" w:firstColumn="0" w:lastColumn="0" w:oddVBand="0" w:evenVBand="0" w:oddHBand="0" w:evenHBand="1" w:firstRowFirstColumn="0" w:firstRowLastColumn="0" w:lastRowFirstColumn="0" w:lastRowLastColumn="0"/>
          <w:trHeight w:val="300"/>
        </w:trPr>
        <w:tc>
          <w:tcPr>
            <w:tcW w:w="5954" w:type="dxa"/>
            <w:noWrap/>
          </w:tcPr>
          <w:p w14:paraId="72E72D01" w14:textId="77777777" w:rsidR="00122C1B" w:rsidRPr="006321C9" w:rsidRDefault="00122C1B" w:rsidP="001025CC">
            <w:pPr>
              <w:pStyle w:val="TableParagraph"/>
            </w:pPr>
            <w:r w:rsidRPr="000F4120">
              <w:t xml:space="preserve">If </w:t>
            </w:r>
            <w:r w:rsidRPr="00DF48F2">
              <w:t xml:space="preserve">tested on automatic transmission motorcycle, restricted to riding only auto </w:t>
            </w:r>
            <w:r w:rsidRPr="00392701">
              <w:t xml:space="preserve">transmission </w:t>
            </w:r>
            <w:r w:rsidRPr="006321C9">
              <w:t>motorcycles</w:t>
            </w:r>
          </w:p>
        </w:tc>
        <w:tc>
          <w:tcPr>
            <w:tcW w:w="852" w:type="dxa"/>
            <w:noWrap/>
          </w:tcPr>
          <w:p w14:paraId="29B667F7"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55BF3816"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23D7772A" w14:textId="77777777" w:rsidR="00122C1B" w:rsidRPr="00DB430C" w:rsidRDefault="00122C1B" w:rsidP="001025CC">
            <w:pPr>
              <w:pStyle w:val="TableParagraph"/>
              <w:jc w:val="center"/>
              <w:rPr>
                <w:color w:val="0C81BC"/>
              </w:rPr>
            </w:pPr>
            <w:r w:rsidRPr="00DB430C">
              <w:rPr>
                <w:rFonts w:cs="Segoe UI"/>
                <w:color w:val="0C81BC"/>
              </w:rPr>
              <w:sym w:font="Wingdings" w:char="F06C"/>
            </w:r>
          </w:p>
        </w:tc>
      </w:tr>
      <w:tr w:rsidR="00122C1B" w:rsidRPr="00117C96" w14:paraId="1393540B" w14:textId="77777777" w:rsidTr="00807687">
        <w:trPr>
          <w:trHeight w:val="300"/>
        </w:trPr>
        <w:tc>
          <w:tcPr>
            <w:tcW w:w="5954" w:type="dxa"/>
            <w:noWrap/>
          </w:tcPr>
          <w:p w14:paraId="465CC9D8" w14:textId="77777777" w:rsidR="00122C1B" w:rsidRPr="00DF48F2" w:rsidRDefault="00122C1B" w:rsidP="001025CC">
            <w:pPr>
              <w:pStyle w:val="TableParagraph"/>
            </w:pPr>
            <w:r w:rsidRPr="000F4120">
              <w:t xml:space="preserve">If </w:t>
            </w:r>
            <w:r w:rsidRPr="00DF48F2">
              <w:t>tested on moped, moped only condition applies</w:t>
            </w:r>
          </w:p>
        </w:tc>
        <w:tc>
          <w:tcPr>
            <w:tcW w:w="852" w:type="dxa"/>
            <w:noWrap/>
          </w:tcPr>
          <w:p w14:paraId="70B836B6"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11" w:type="dxa"/>
          </w:tcPr>
          <w:p w14:paraId="6617DCC0" w14:textId="77777777" w:rsidR="00122C1B" w:rsidRPr="00DB430C" w:rsidRDefault="00122C1B" w:rsidP="001025CC">
            <w:pPr>
              <w:pStyle w:val="TableParagraph"/>
              <w:jc w:val="center"/>
              <w:rPr>
                <w:rFonts w:cs="Segoe UI"/>
                <w:color w:val="0C81BC"/>
              </w:rPr>
            </w:pPr>
            <w:r w:rsidRPr="00DB430C">
              <w:rPr>
                <w:rFonts w:cs="Segoe UI"/>
                <w:color w:val="0C81BC"/>
              </w:rPr>
              <w:sym w:font="Wingdings" w:char="F06C"/>
            </w:r>
          </w:p>
        </w:tc>
        <w:tc>
          <w:tcPr>
            <w:tcW w:w="1381" w:type="dxa"/>
          </w:tcPr>
          <w:p w14:paraId="3C7C9CAC" w14:textId="77777777" w:rsidR="00122C1B" w:rsidRPr="00DB430C" w:rsidRDefault="00122C1B" w:rsidP="001025CC">
            <w:pPr>
              <w:pStyle w:val="TableParagraph"/>
              <w:jc w:val="center"/>
              <w:rPr>
                <w:color w:val="0C81BC"/>
              </w:rPr>
            </w:pPr>
            <w:r w:rsidRPr="00DB430C">
              <w:rPr>
                <w:rFonts w:cs="Segoe UI"/>
                <w:color w:val="0C81BC"/>
              </w:rPr>
              <w:sym w:font="Wingdings" w:char="F06C"/>
            </w:r>
          </w:p>
        </w:tc>
      </w:tr>
    </w:tbl>
    <w:p w14:paraId="160BF082" w14:textId="77777777" w:rsidR="00122C1B" w:rsidRDefault="00122C1B" w:rsidP="00820B74">
      <w:pPr>
        <w:pStyle w:val="Source"/>
        <w:spacing w:before="120"/>
      </w:pPr>
      <w:r>
        <w:t>Source: Austroads 2014</w:t>
      </w:r>
      <w:r>
        <w:rPr>
          <w:rStyle w:val="EndnoteReference"/>
          <w:rFonts w:cs="Segoe UI"/>
        </w:rPr>
        <w:endnoteReference w:id="41"/>
      </w:r>
    </w:p>
    <w:p w14:paraId="63165BC7" w14:textId="77777777" w:rsidR="00122C1B" w:rsidRDefault="00122C1B" w:rsidP="00EA29F9">
      <w:pPr>
        <w:pStyle w:val="TextPara"/>
        <w:rPr>
          <w:rFonts w:cs="Segoe UI"/>
          <w:lang w:eastAsia="en-AU"/>
        </w:rPr>
      </w:pPr>
      <w:r>
        <w:rPr>
          <w:rFonts w:cs="Segoe UI"/>
          <w:lang w:eastAsia="en-AU"/>
        </w:rPr>
        <w:t xml:space="preserve">In 2010 VicRoads published a discussion paper on </w:t>
      </w:r>
      <w:r w:rsidRPr="001572D2">
        <w:rPr>
          <w:rFonts w:cs="Segoe UI"/>
          <w:lang w:eastAsia="en-AU"/>
        </w:rPr>
        <w:t>Graduated Licensing for Motorcyclists</w:t>
      </w:r>
      <w:r>
        <w:rPr>
          <w:rFonts w:cs="Segoe UI"/>
          <w:lang w:eastAsia="en-AU"/>
        </w:rPr>
        <w:t>.</w:t>
      </w:r>
      <w:r>
        <w:rPr>
          <w:rStyle w:val="EndnoteReference"/>
          <w:rFonts w:cs="Segoe UI"/>
          <w:lang w:eastAsia="en-AU"/>
        </w:rPr>
        <w:endnoteReference w:id="42"/>
      </w:r>
      <w:r>
        <w:rPr>
          <w:rFonts w:cs="Segoe UI"/>
          <w:lang w:eastAsia="en-AU"/>
        </w:rPr>
        <w:t xml:space="preserve"> In 2016 </w:t>
      </w:r>
      <w:r w:rsidRPr="00A47C92">
        <w:rPr>
          <w:rFonts w:cs="Segoe UI"/>
          <w:lang w:eastAsia="en-AU"/>
        </w:rPr>
        <w:t xml:space="preserve">Victoria </w:t>
      </w:r>
      <w:r>
        <w:rPr>
          <w:rFonts w:cs="Segoe UI"/>
          <w:lang w:eastAsia="en-AU"/>
        </w:rPr>
        <w:t xml:space="preserve">completed an overhaul of </w:t>
      </w:r>
      <w:r w:rsidRPr="00A47C92">
        <w:rPr>
          <w:rFonts w:cs="Segoe UI"/>
          <w:lang w:eastAsia="en-AU"/>
        </w:rPr>
        <w:t xml:space="preserve">its </w:t>
      </w:r>
      <w:r>
        <w:rPr>
          <w:rFonts w:cs="Segoe UI"/>
          <w:lang w:eastAsia="en-AU"/>
        </w:rPr>
        <w:t>motorcycle GLS</w:t>
      </w:r>
      <w:r w:rsidRPr="00A47C92">
        <w:rPr>
          <w:rFonts w:cs="Segoe UI"/>
          <w:lang w:eastAsia="en-AU"/>
        </w:rPr>
        <w:t xml:space="preserve"> </w:t>
      </w:r>
      <w:r>
        <w:rPr>
          <w:rFonts w:cs="Segoe UI"/>
          <w:lang w:eastAsia="en-AU"/>
        </w:rPr>
        <w:t xml:space="preserve">over two stages, which started in 2014, to align it to the Austroads best practice model. The key changes included a </w:t>
      </w:r>
      <w:r w:rsidRPr="00A47C92">
        <w:rPr>
          <w:rFonts w:cs="Segoe UI"/>
          <w:lang w:eastAsia="en-AU"/>
        </w:rPr>
        <w:t>requir</w:t>
      </w:r>
      <w:r>
        <w:rPr>
          <w:rFonts w:cs="Segoe UI"/>
          <w:lang w:eastAsia="en-AU"/>
        </w:rPr>
        <w:t>ement for</w:t>
      </w:r>
      <w:r w:rsidRPr="00A47C92">
        <w:rPr>
          <w:rFonts w:cs="Segoe UI"/>
          <w:lang w:eastAsia="en-AU"/>
        </w:rPr>
        <w:t xml:space="preserve"> </w:t>
      </w:r>
      <w:r>
        <w:rPr>
          <w:rFonts w:cs="Segoe UI"/>
          <w:lang w:eastAsia="en-AU"/>
        </w:rPr>
        <w:t>motorcycle</w:t>
      </w:r>
      <w:r w:rsidRPr="00A47C92">
        <w:rPr>
          <w:rFonts w:cs="Segoe UI"/>
          <w:lang w:eastAsia="en-AU"/>
        </w:rPr>
        <w:t xml:space="preserve"> learner permit applicants to </w:t>
      </w:r>
      <w:r>
        <w:rPr>
          <w:rFonts w:cs="Segoe UI"/>
          <w:lang w:eastAsia="en-AU"/>
        </w:rPr>
        <w:t>pass</w:t>
      </w:r>
      <w:r w:rsidRPr="00A47C92">
        <w:rPr>
          <w:rFonts w:cs="Segoe UI"/>
          <w:lang w:eastAsia="en-AU"/>
        </w:rPr>
        <w:t xml:space="preserve"> a road rules knowledge test</w:t>
      </w:r>
      <w:r>
        <w:rPr>
          <w:rFonts w:cs="Segoe UI"/>
          <w:lang w:eastAsia="en-AU"/>
        </w:rPr>
        <w:t>,</w:t>
      </w:r>
      <w:r w:rsidRPr="00A47C92">
        <w:rPr>
          <w:rFonts w:cs="Segoe UI"/>
          <w:lang w:eastAsia="en-AU"/>
        </w:rPr>
        <w:t xml:space="preserve"> </w:t>
      </w:r>
      <w:r>
        <w:rPr>
          <w:rFonts w:cs="Segoe UI"/>
          <w:lang w:eastAsia="en-AU"/>
        </w:rPr>
        <w:t>which is followed by</w:t>
      </w:r>
      <w:r w:rsidRPr="00A47C92">
        <w:rPr>
          <w:rFonts w:cs="Segoe UI"/>
          <w:lang w:eastAsia="en-AU"/>
        </w:rPr>
        <w:t xml:space="preserve"> </w:t>
      </w:r>
      <w:r>
        <w:rPr>
          <w:rFonts w:cs="Segoe UI"/>
          <w:lang w:eastAsia="en-AU"/>
        </w:rPr>
        <w:t xml:space="preserve">the completion of </w:t>
      </w:r>
      <w:r w:rsidRPr="00A47C92">
        <w:rPr>
          <w:rFonts w:cs="Segoe UI"/>
          <w:lang w:eastAsia="en-AU"/>
        </w:rPr>
        <w:t>a two-day rider training course</w:t>
      </w:r>
      <w:r>
        <w:rPr>
          <w:rFonts w:cs="Segoe UI"/>
          <w:lang w:eastAsia="en-AU"/>
        </w:rPr>
        <w:t xml:space="preserve"> in which an </w:t>
      </w:r>
      <w:r w:rsidRPr="00A47C92">
        <w:rPr>
          <w:rFonts w:cs="Segoe UI"/>
          <w:lang w:eastAsia="en-AU"/>
        </w:rPr>
        <w:t>assessment</w:t>
      </w:r>
      <w:r w:rsidRPr="009F00F5">
        <w:rPr>
          <w:rFonts w:cs="Segoe UI"/>
          <w:lang w:eastAsia="en-AU"/>
        </w:rPr>
        <w:t xml:space="preserve"> </w:t>
      </w:r>
      <w:r w:rsidRPr="007B1C0F">
        <w:rPr>
          <w:rFonts w:cs="Segoe UI"/>
          <w:lang w:eastAsia="en-AU"/>
        </w:rPr>
        <w:t>of riding ability</w:t>
      </w:r>
      <w:r>
        <w:rPr>
          <w:rFonts w:cs="Segoe UI"/>
          <w:lang w:eastAsia="en-AU"/>
        </w:rPr>
        <w:t xml:space="preserve"> is conducted both on-range and on-road</w:t>
      </w:r>
      <w:r w:rsidRPr="00A47C92">
        <w:rPr>
          <w:rFonts w:cs="Segoe UI"/>
          <w:lang w:eastAsia="en-AU"/>
        </w:rPr>
        <w:t xml:space="preserve">. In order to progress to </w:t>
      </w:r>
      <w:r>
        <w:rPr>
          <w:rFonts w:cs="Segoe UI"/>
          <w:lang w:eastAsia="en-AU"/>
        </w:rPr>
        <w:t xml:space="preserve">a restricted </w:t>
      </w:r>
      <w:r w:rsidRPr="00A47C92">
        <w:rPr>
          <w:rFonts w:cs="Segoe UI"/>
          <w:lang w:eastAsia="en-AU"/>
        </w:rPr>
        <w:t>licen</w:t>
      </w:r>
      <w:r>
        <w:rPr>
          <w:rFonts w:cs="Segoe UI"/>
          <w:lang w:eastAsia="en-AU"/>
        </w:rPr>
        <w:t>ce</w:t>
      </w:r>
      <w:r w:rsidRPr="00A47C92">
        <w:rPr>
          <w:rFonts w:cs="Segoe UI"/>
          <w:lang w:eastAsia="en-AU"/>
        </w:rPr>
        <w:t>,</w:t>
      </w:r>
      <w:r>
        <w:rPr>
          <w:rFonts w:cs="Segoe UI"/>
          <w:lang w:eastAsia="en-AU"/>
        </w:rPr>
        <w:t xml:space="preserve"> learner</w:t>
      </w:r>
      <w:r w:rsidRPr="00A47C92">
        <w:rPr>
          <w:rFonts w:cs="Segoe UI"/>
          <w:lang w:eastAsia="en-AU"/>
        </w:rPr>
        <w:t xml:space="preserve"> riders </w:t>
      </w:r>
      <w:r>
        <w:rPr>
          <w:rFonts w:cs="Segoe UI"/>
          <w:lang w:eastAsia="en-AU"/>
        </w:rPr>
        <w:t>must</w:t>
      </w:r>
      <w:r w:rsidRPr="00A47C92">
        <w:rPr>
          <w:rFonts w:cs="Segoe UI"/>
          <w:lang w:eastAsia="en-AU"/>
        </w:rPr>
        <w:t xml:space="preserve"> complete a ‘Check Ride’</w:t>
      </w:r>
      <w:r>
        <w:rPr>
          <w:rFonts w:cs="Segoe UI"/>
          <w:lang w:eastAsia="en-AU"/>
        </w:rPr>
        <w:t xml:space="preserve"> (</w:t>
      </w:r>
      <w:r w:rsidRPr="00A47C92">
        <w:rPr>
          <w:rFonts w:cs="Segoe UI"/>
          <w:lang w:eastAsia="en-AU"/>
        </w:rPr>
        <w:t>a half-day on-road coaching session</w:t>
      </w:r>
      <w:r>
        <w:rPr>
          <w:rFonts w:cs="Segoe UI"/>
          <w:lang w:eastAsia="en-AU"/>
        </w:rPr>
        <w:t>),</w:t>
      </w:r>
      <w:r w:rsidRPr="00A47C92">
        <w:rPr>
          <w:rFonts w:cs="Segoe UI"/>
          <w:lang w:eastAsia="en-AU"/>
        </w:rPr>
        <w:t xml:space="preserve"> </w:t>
      </w:r>
      <w:r>
        <w:rPr>
          <w:rFonts w:cs="Segoe UI"/>
          <w:lang w:eastAsia="en-AU"/>
        </w:rPr>
        <w:t xml:space="preserve">pass the Hazard Perception Test </w:t>
      </w:r>
      <w:r w:rsidRPr="00A47C92">
        <w:rPr>
          <w:rFonts w:cs="Segoe UI"/>
          <w:lang w:eastAsia="en-AU"/>
        </w:rPr>
        <w:t xml:space="preserve">and </w:t>
      </w:r>
      <w:r>
        <w:rPr>
          <w:rFonts w:cs="Segoe UI"/>
          <w:lang w:eastAsia="en-AU"/>
        </w:rPr>
        <w:t xml:space="preserve">pass </w:t>
      </w:r>
      <w:r w:rsidRPr="00A47C92">
        <w:rPr>
          <w:rFonts w:cs="Segoe UI"/>
          <w:lang w:eastAsia="en-AU"/>
        </w:rPr>
        <w:t xml:space="preserve">a motorcycle licence assessment, which includes both </w:t>
      </w:r>
      <w:r>
        <w:rPr>
          <w:rFonts w:cs="Segoe UI"/>
          <w:lang w:eastAsia="en-AU"/>
        </w:rPr>
        <w:t>an on</w:t>
      </w:r>
      <w:r w:rsidRPr="00A47C92">
        <w:rPr>
          <w:rFonts w:cs="Segoe UI"/>
          <w:lang w:eastAsia="en-AU"/>
        </w:rPr>
        <w:t>-</w:t>
      </w:r>
      <w:r>
        <w:rPr>
          <w:rFonts w:cs="Segoe UI"/>
          <w:lang w:eastAsia="en-AU"/>
        </w:rPr>
        <w:t>range</w:t>
      </w:r>
      <w:r w:rsidRPr="00A47C92">
        <w:rPr>
          <w:rFonts w:cs="Segoe UI"/>
          <w:lang w:eastAsia="en-AU"/>
        </w:rPr>
        <w:t xml:space="preserve"> </w:t>
      </w:r>
      <w:r>
        <w:rPr>
          <w:rFonts w:cs="Segoe UI"/>
          <w:lang w:eastAsia="en-AU"/>
        </w:rPr>
        <w:t xml:space="preserve">skill competency </w:t>
      </w:r>
      <w:r w:rsidRPr="00A47C92">
        <w:rPr>
          <w:rFonts w:cs="Segoe UI"/>
          <w:lang w:eastAsia="en-AU"/>
        </w:rPr>
        <w:t>assessment</w:t>
      </w:r>
      <w:r>
        <w:rPr>
          <w:rFonts w:cs="Segoe UI"/>
          <w:lang w:eastAsia="en-AU"/>
        </w:rPr>
        <w:t xml:space="preserve"> </w:t>
      </w:r>
      <w:r w:rsidRPr="00A47C92">
        <w:rPr>
          <w:rFonts w:cs="Segoe UI"/>
          <w:lang w:eastAsia="en-AU"/>
        </w:rPr>
        <w:t xml:space="preserve">and </w:t>
      </w:r>
      <w:r>
        <w:rPr>
          <w:rFonts w:cs="Segoe UI"/>
          <w:lang w:eastAsia="en-AU"/>
        </w:rPr>
        <w:t xml:space="preserve">an </w:t>
      </w:r>
      <w:r w:rsidRPr="00A47C92">
        <w:rPr>
          <w:rFonts w:cs="Segoe UI"/>
          <w:lang w:eastAsia="en-AU"/>
        </w:rPr>
        <w:t xml:space="preserve">on-road </w:t>
      </w:r>
      <w:r>
        <w:rPr>
          <w:rFonts w:cs="Segoe UI"/>
          <w:lang w:eastAsia="en-AU"/>
        </w:rPr>
        <w:t>practical riding test</w:t>
      </w:r>
      <w:r w:rsidRPr="00A47C92">
        <w:rPr>
          <w:rFonts w:cs="Segoe UI"/>
          <w:lang w:eastAsia="en-AU"/>
        </w:rPr>
        <w:t>.</w:t>
      </w:r>
    </w:p>
    <w:p w14:paraId="6BCBD61B" w14:textId="77777777" w:rsidR="00122C1B" w:rsidRPr="00117C96" w:rsidRDefault="00122C1B" w:rsidP="00EA637D">
      <w:pPr>
        <w:pStyle w:val="Heading4"/>
      </w:pPr>
      <w:r w:rsidRPr="00EC5BE4">
        <w:t>National Medical Standards for Assessment of Fitness-to-drive</w:t>
      </w:r>
    </w:p>
    <w:p w14:paraId="05E1AA78" w14:textId="77777777" w:rsidR="00122C1B" w:rsidRPr="0027088C" w:rsidRDefault="00122C1B" w:rsidP="00754C0D">
      <w:pPr>
        <w:pStyle w:val="TextPara"/>
        <w:rPr>
          <w:rFonts w:cs="Segoe UI"/>
          <w:lang w:eastAsia="en-AU"/>
        </w:rPr>
      </w:pPr>
      <w:r w:rsidRPr="0027088C">
        <w:rPr>
          <w:lang w:eastAsia="en-AU"/>
        </w:rPr>
        <w:t xml:space="preserve">The </w:t>
      </w:r>
      <w:r w:rsidRPr="0027088C">
        <w:rPr>
          <w:i/>
          <w:lang w:eastAsia="en-AU"/>
        </w:rPr>
        <w:t>Assessing Fitness to Drive</w:t>
      </w:r>
      <w:r w:rsidRPr="0070667B">
        <w:rPr>
          <w:rStyle w:val="EndnoteReference"/>
          <w:lang w:eastAsia="en-AU"/>
        </w:rPr>
        <w:endnoteReference w:id="43"/>
      </w:r>
      <w:r w:rsidRPr="0070667B">
        <w:rPr>
          <w:lang w:eastAsia="en-AU"/>
        </w:rPr>
        <w:t xml:space="preserve"> </w:t>
      </w:r>
      <w:r w:rsidRPr="0027088C">
        <w:rPr>
          <w:lang w:eastAsia="en-AU"/>
        </w:rPr>
        <w:t xml:space="preserve">medical standards and guidelines </w:t>
      </w:r>
      <w:r>
        <w:rPr>
          <w:lang w:eastAsia="en-AU"/>
        </w:rPr>
        <w:t>were</w:t>
      </w:r>
      <w:r w:rsidRPr="0027088C">
        <w:rPr>
          <w:lang w:eastAsia="en-AU"/>
        </w:rPr>
        <w:t xml:space="preserve"> produced by the NTC and Austroads</w:t>
      </w:r>
      <w:r>
        <w:rPr>
          <w:lang w:eastAsia="en-AU"/>
        </w:rPr>
        <w:t xml:space="preserve"> following </w:t>
      </w:r>
      <w:r w:rsidRPr="0070667B">
        <w:rPr>
          <w:lang w:eastAsia="en-AU"/>
        </w:rPr>
        <w:t xml:space="preserve">an extensive consultation process involving medical and health experts and consumer groups, as well as all </w:t>
      </w:r>
      <w:r w:rsidR="00832DE5" w:rsidRPr="0070667B">
        <w:rPr>
          <w:lang w:eastAsia="en-AU"/>
        </w:rPr>
        <w:t xml:space="preserve">state </w:t>
      </w:r>
      <w:r w:rsidRPr="0070667B">
        <w:rPr>
          <w:lang w:eastAsia="en-AU"/>
        </w:rPr>
        <w:t xml:space="preserve">and </w:t>
      </w:r>
      <w:r w:rsidR="00832DE5" w:rsidRPr="0070667B">
        <w:rPr>
          <w:lang w:eastAsia="en-AU"/>
        </w:rPr>
        <w:t>territory driver licensing authorities</w:t>
      </w:r>
      <w:r w:rsidRPr="0070667B">
        <w:rPr>
          <w:lang w:eastAsia="en-AU"/>
        </w:rPr>
        <w:t>, the transport industry and unions.</w:t>
      </w:r>
      <w:r>
        <w:rPr>
          <w:lang w:eastAsia="en-AU"/>
        </w:rPr>
        <w:t xml:space="preserve"> </w:t>
      </w:r>
      <w:r>
        <w:rPr>
          <w:rFonts w:cs="Segoe UI"/>
          <w:lang w:eastAsia="en-AU"/>
        </w:rPr>
        <w:t>The standards</w:t>
      </w:r>
      <w:r w:rsidRPr="0027088C">
        <w:rPr>
          <w:rFonts w:cs="Segoe UI"/>
          <w:lang w:eastAsia="en-AU"/>
        </w:rPr>
        <w:t xml:space="preserve"> w</w:t>
      </w:r>
      <w:r>
        <w:rPr>
          <w:rFonts w:cs="Segoe UI"/>
          <w:lang w:eastAsia="en-AU"/>
        </w:rPr>
        <w:t>ere originally</w:t>
      </w:r>
      <w:r w:rsidRPr="0027088C">
        <w:rPr>
          <w:rFonts w:cs="Segoe UI"/>
          <w:lang w:eastAsia="en-AU"/>
        </w:rPr>
        <w:t xml:space="preserve"> published in </w:t>
      </w:r>
      <w:r>
        <w:rPr>
          <w:rFonts w:cs="Segoe UI"/>
          <w:lang w:eastAsia="en-AU"/>
        </w:rPr>
        <w:t xml:space="preserve">1998 and were last revised and republished as the 5th edition in 2016. </w:t>
      </w:r>
      <w:r w:rsidRPr="0027088C">
        <w:rPr>
          <w:rFonts w:cs="Segoe UI"/>
          <w:lang w:eastAsia="en-AU"/>
        </w:rPr>
        <w:t>The</w:t>
      </w:r>
      <w:r>
        <w:rPr>
          <w:rFonts w:cs="Segoe UI"/>
          <w:lang w:eastAsia="en-AU"/>
        </w:rPr>
        <w:t>y include</w:t>
      </w:r>
      <w:r w:rsidRPr="0027088C">
        <w:rPr>
          <w:rFonts w:cs="Segoe UI"/>
          <w:lang w:eastAsia="en-AU"/>
        </w:rPr>
        <w:t xml:space="preserve"> guidelines </w:t>
      </w:r>
      <w:r>
        <w:rPr>
          <w:rFonts w:cs="Segoe UI"/>
          <w:lang w:eastAsia="en-AU"/>
        </w:rPr>
        <w:t>which clarify</w:t>
      </w:r>
      <w:r w:rsidRPr="00CF488B">
        <w:rPr>
          <w:rFonts w:cs="Segoe UI"/>
          <w:lang w:eastAsia="en-AU"/>
        </w:rPr>
        <w:t xml:space="preserve"> the responsibilities of drivers, examining health professionals and licensing authorities</w:t>
      </w:r>
      <w:r w:rsidRPr="0027088C">
        <w:rPr>
          <w:rFonts w:cs="Segoe UI"/>
          <w:lang w:eastAsia="en-AU"/>
        </w:rPr>
        <w:t xml:space="preserve"> in making licensing decisions.</w:t>
      </w:r>
    </w:p>
    <w:p w14:paraId="3D557D5C" w14:textId="77777777" w:rsidR="00122C1B" w:rsidRDefault="00122C1B" w:rsidP="00754C0D">
      <w:pPr>
        <w:pStyle w:val="TextPara"/>
        <w:rPr>
          <w:rFonts w:cs="Segoe UI"/>
          <w:lang w:eastAsia="en-AU"/>
        </w:rPr>
      </w:pPr>
      <w:r w:rsidRPr="00CF488B">
        <w:rPr>
          <w:rFonts w:cs="Segoe UI"/>
          <w:lang w:eastAsia="en-AU"/>
        </w:rPr>
        <w:t xml:space="preserve">All states and territories in Australia have </w:t>
      </w:r>
      <w:r>
        <w:rPr>
          <w:rFonts w:cs="Segoe UI"/>
          <w:lang w:eastAsia="en-AU"/>
        </w:rPr>
        <w:t xml:space="preserve">road safety </w:t>
      </w:r>
      <w:r w:rsidRPr="00CF488B">
        <w:rPr>
          <w:rFonts w:cs="Segoe UI"/>
          <w:lang w:eastAsia="en-AU"/>
        </w:rPr>
        <w:t>laws about reporting health conditions</w:t>
      </w:r>
      <w:r>
        <w:rPr>
          <w:rFonts w:cs="Segoe UI"/>
          <w:lang w:eastAsia="en-AU"/>
        </w:rPr>
        <w:t>, disabilities or the effects of treatments</w:t>
      </w:r>
      <w:r w:rsidRPr="00CF488B">
        <w:rPr>
          <w:rFonts w:cs="Segoe UI"/>
          <w:lang w:eastAsia="en-AU"/>
        </w:rPr>
        <w:t xml:space="preserve"> that might affect a person’s ability to drive safely. </w:t>
      </w:r>
      <w:r>
        <w:rPr>
          <w:rFonts w:cs="Segoe UI"/>
          <w:lang w:eastAsia="en-AU"/>
        </w:rPr>
        <w:t xml:space="preserve">The regulations prescribe the </w:t>
      </w:r>
      <w:r>
        <w:rPr>
          <w:rFonts w:cs="Segoe UI"/>
          <w:lang w:eastAsia="en-AU"/>
        </w:rPr>
        <w:lastRenderedPageBreak/>
        <w:t xml:space="preserve">process for the variation, suspension or cancellation of a driving licence or learner permit due to </w:t>
      </w:r>
      <w:r w:rsidRPr="00D8780E">
        <w:rPr>
          <w:rFonts w:cs="Segoe UI"/>
          <w:lang w:eastAsia="en-AU"/>
        </w:rPr>
        <w:t>any permanent or long-term illness, disability, medical condition or injury or the effects of the</w:t>
      </w:r>
      <w:r>
        <w:rPr>
          <w:rFonts w:cs="Segoe UI"/>
          <w:lang w:eastAsia="en-AU"/>
        </w:rPr>
        <w:t>ir</w:t>
      </w:r>
      <w:r w:rsidRPr="00D8780E">
        <w:rPr>
          <w:rFonts w:cs="Segoe UI"/>
          <w:lang w:eastAsia="en-AU"/>
        </w:rPr>
        <w:t xml:space="preserve"> treatment </w:t>
      </w:r>
      <w:r>
        <w:rPr>
          <w:rFonts w:cs="Segoe UI"/>
          <w:lang w:eastAsia="en-AU"/>
        </w:rPr>
        <w:t xml:space="preserve">that </w:t>
      </w:r>
      <w:r w:rsidRPr="00D8780E">
        <w:rPr>
          <w:rFonts w:cs="Segoe UI"/>
          <w:lang w:eastAsia="en-AU"/>
        </w:rPr>
        <w:t>may impair the person’s ability to drive safely</w:t>
      </w:r>
      <w:r>
        <w:rPr>
          <w:rFonts w:cs="Segoe UI"/>
          <w:lang w:eastAsia="en-AU"/>
        </w:rPr>
        <w:t>.</w:t>
      </w:r>
    </w:p>
    <w:p w14:paraId="13B6FC01" w14:textId="77777777" w:rsidR="00122C1B" w:rsidRPr="00CF488B" w:rsidRDefault="00122C1B" w:rsidP="00754C0D">
      <w:pPr>
        <w:pStyle w:val="TextPara"/>
        <w:rPr>
          <w:rFonts w:cs="Segoe UI"/>
          <w:lang w:eastAsia="en-AU"/>
        </w:rPr>
      </w:pPr>
      <w:r>
        <w:rPr>
          <w:rFonts w:cs="Segoe UI"/>
          <w:lang w:eastAsia="en-AU"/>
        </w:rPr>
        <w:t>The standards</w:t>
      </w:r>
      <w:r w:rsidRPr="00CF488B">
        <w:rPr>
          <w:rFonts w:cs="Segoe UI"/>
          <w:lang w:eastAsia="en-AU"/>
        </w:rPr>
        <w:t xml:space="preserve"> contain two sets of medical standards – </w:t>
      </w:r>
      <w:r w:rsidRPr="00A03F0E">
        <w:rPr>
          <w:rFonts w:cs="Segoe UI"/>
          <w:lang w:eastAsia="en-AU"/>
        </w:rPr>
        <w:t>private vehicle driver standards and commercial vehicle driver standards</w:t>
      </w:r>
      <w:r w:rsidRPr="00CF488B">
        <w:rPr>
          <w:rFonts w:cs="Segoe UI"/>
          <w:lang w:eastAsia="en-AU"/>
        </w:rPr>
        <w:t>.</w:t>
      </w:r>
      <w:r>
        <w:rPr>
          <w:rFonts w:cs="Segoe UI"/>
          <w:lang w:eastAsia="en-AU"/>
        </w:rPr>
        <w:t xml:space="preserve"> </w:t>
      </w:r>
      <w:r w:rsidRPr="00CF488B">
        <w:rPr>
          <w:rFonts w:cs="Segoe UI"/>
          <w:lang w:eastAsia="en-AU"/>
        </w:rPr>
        <w:t>The choice of which standards to apply when examining a patient for fitness to drive is guided by both the type of vehicle and the purpose for which the driver is being authorised to drive.</w:t>
      </w:r>
    </w:p>
    <w:p w14:paraId="6DEE7413" w14:textId="77777777" w:rsidR="00122C1B" w:rsidRPr="002D60A3" w:rsidRDefault="00122C1B" w:rsidP="00754C0D">
      <w:pPr>
        <w:pStyle w:val="TextPara"/>
        <w:rPr>
          <w:rFonts w:cs="Segoe UI"/>
          <w:lang w:eastAsia="en-AU"/>
        </w:rPr>
      </w:pPr>
      <w:r w:rsidRPr="002D60A3">
        <w:rPr>
          <w:rFonts w:cs="Segoe UI"/>
          <w:lang w:eastAsia="en-AU"/>
        </w:rPr>
        <w:t>In most cases, having a medical condition will not stop people from driving, as the licensing authority is able to issue a conditional licence. This means that the person may continue to drive</w:t>
      </w:r>
      <w:r>
        <w:rPr>
          <w:rFonts w:cs="Segoe UI"/>
          <w:lang w:eastAsia="en-AU"/>
        </w:rPr>
        <w:t>,</w:t>
      </w:r>
      <w:r w:rsidRPr="002D60A3">
        <w:rPr>
          <w:rFonts w:cs="Segoe UI"/>
          <w:lang w:eastAsia="en-AU"/>
        </w:rPr>
        <w:t xml:space="preserve"> </w:t>
      </w:r>
      <w:r>
        <w:rPr>
          <w:rFonts w:cs="Segoe UI"/>
          <w:lang w:eastAsia="en-AU"/>
        </w:rPr>
        <w:t>provided</w:t>
      </w:r>
      <w:r w:rsidRPr="002D60A3">
        <w:rPr>
          <w:rFonts w:cs="Segoe UI"/>
          <w:lang w:eastAsia="en-AU"/>
        </w:rPr>
        <w:t xml:space="preserve"> certain conditions or restrictions are met. </w:t>
      </w:r>
    </w:p>
    <w:p w14:paraId="6FE7E234" w14:textId="77777777" w:rsidR="00122C1B" w:rsidRDefault="00122C1B" w:rsidP="00EA637D">
      <w:pPr>
        <w:pStyle w:val="Heading4"/>
      </w:pPr>
      <w:r>
        <w:t>National Guidelines for Alcohol Ignition Interlock Programs</w:t>
      </w:r>
    </w:p>
    <w:p w14:paraId="2DDDD4E9" w14:textId="77777777" w:rsidR="00122C1B" w:rsidRDefault="00122C1B" w:rsidP="00754C0D">
      <w:pPr>
        <w:pStyle w:val="TextPara"/>
      </w:pPr>
      <w:r>
        <w:t>In 1995 Austroads published a set of national guidelines for alcohol ignition interlock programs</w:t>
      </w:r>
      <w:r>
        <w:rPr>
          <w:rStyle w:val="EndnoteReference"/>
        </w:rPr>
        <w:endnoteReference w:id="44"/>
      </w:r>
      <w:r>
        <w:t xml:space="preserve"> for Australian jurisdictions. </w:t>
      </w:r>
    </w:p>
    <w:p w14:paraId="323DB767" w14:textId="77777777" w:rsidR="00122C1B" w:rsidRDefault="00122C1B" w:rsidP="00597106">
      <w:pPr>
        <w:pStyle w:val="TextPara"/>
        <w:keepNext/>
        <w:spacing w:after="40"/>
      </w:pPr>
      <w:r>
        <w:t>The aim of the guidelines is to ensure:</w:t>
      </w:r>
    </w:p>
    <w:p w14:paraId="04B1AC35" w14:textId="77777777" w:rsidR="00122C1B" w:rsidRDefault="00122C1B" w:rsidP="00282517">
      <w:pPr>
        <w:pStyle w:val="BulletPara1"/>
      </w:pPr>
      <w:r>
        <w:t>the availability of equipment to meet all Australian applications with resulting minimal costs</w:t>
      </w:r>
    </w:p>
    <w:p w14:paraId="2F28332A" w14:textId="77777777" w:rsidR="00122C1B" w:rsidRDefault="00122C1B" w:rsidP="00282517">
      <w:pPr>
        <w:pStyle w:val="BulletPara1"/>
      </w:pPr>
      <w:r>
        <w:t>the harmonisation of administrative conditions applying to the programs</w:t>
      </w:r>
    </w:p>
    <w:p w14:paraId="343F97CB" w14:textId="77777777" w:rsidR="00122C1B" w:rsidRDefault="00122C1B" w:rsidP="00282517">
      <w:pPr>
        <w:pStyle w:val="BulletPara1"/>
      </w:pPr>
      <w:r>
        <w:t>the imposition of an interlock condition on a driver in one jurisdiction applies when drivers are visiting other jurisdictions.</w:t>
      </w:r>
    </w:p>
    <w:p w14:paraId="06AF0FCE" w14:textId="77777777" w:rsidR="00122C1B" w:rsidRDefault="00122C1B" w:rsidP="00754C0D">
      <w:pPr>
        <w:pStyle w:val="TextPara"/>
      </w:pPr>
      <w:r>
        <w:t>In 1998 Austroads published further national guidelines for the evaluation of alcohol ignition</w:t>
      </w:r>
      <w:r w:rsidRPr="00BB63F8">
        <w:t xml:space="preserve"> </w:t>
      </w:r>
      <w:r>
        <w:t>interlock programs.</w:t>
      </w:r>
      <w:r>
        <w:rPr>
          <w:rStyle w:val="EndnoteReference"/>
        </w:rPr>
        <w:endnoteReference w:id="45"/>
      </w:r>
      <w:r>
        <w:t xml:space="preserve"> The guidelines recommend a methodology for a scientifically rigorous evaluation of the possible safety benefits of such interlock devices. The intent is to provide a core methodology to enable appropriate and consistent evaluation of an interlock program wherever it is implemented.</w:t>
      </w:r>
    </w:p>
    <w:p w14:paraId="04FE0923" w14:textId="77777777" w:rsidR="00122C1B" w:rsidRDefault="00122C1B" w:rsidP="00754C0D">
      <w:pPr>
        <w:pStyle w:val="TextPara"/>
      </w:pPr>
      <w:bookmarkStart w:id="56" w:name="_Hlk507420509"/>
      <w:r>
        <w:t xml:space="preserve">The </w:t>
      </w:r>
      <w:r w:rsidRPr="00E54078">
        <w:rPr>
          <w:i/>
        </w:rPr>
        <w:t>RSA</w:t>
      </w:r>
      <w:r>
        <w:t xml:space="preserve"> establishes the </w:t>
      </w:r>
      <w:r w:rsidRPr="00E54078">
        <w:t>Alcohol Ignition Interloc</w:t>
      </w:r>
      <w:r>
        <w:t xml:space="preserve">k Scheme in Victoria and </w:t>
      </w:r>
      <w:r w:rsidR="00832DE5">
        <w:t>establishes</w:t>
      </w:r>
      <w:r>
        <w:t xml:space="preserve"> the rules relating to the imposition of an interlock condition and its enforcement. </w:t>
      </w:r>
    </w:p>
    <w:bookmarkEnd w:id="56"/>
    <w:p w14:paraId="20B13924" w14:textId="77777777" w:rsidR="00122C1B" w:rsidRDefault="00122C1B" w:rsidP="00EA637D">
      <w:pPr>
        <w:pStyle w:val="Heading4"/>
      </w:pPr>
      <w:r>
        <w:t xml:space="preserve">National Definition of High-Powered Vehicle </w:t>
      </w:r>
    </w:p>
    <w:p w14:paraId="49E9E11C" w14:textId="77777777" w:rsidR="00122C1B" w:rsidRDefault="00122C1B" w:rsidP="00754C0D">
      <w:pPr>
        <w:pStyle w:val="TextPara"/>
      </w:pPr>
      <w:r>
        <w:t xml:space="preserve">In November 2012 Austroads endorsed the adoption of a national definition of high-powered vehicles that probationary licence holders are prohibited from driving. Probationary drivers are not permitted to drive vehicles with a power-to-weight ratio of more than 130 </w:t>
      </w:r>
      <w:r w:rsidRPr="00117C96">
        <w:t>kilowatts per tonne</w:t>
      </w:r>
      <w:r>
        <w:t>. Additionally, vehicles that have had a modification to the engine performance, which was not carried out by the manufacturer in the course of manufacturing, are also prohibited. The national Standing Council on Transport and Infrastructure (SCOTI) also endorsed this national definition in 2013.</w:t>
      </w:r>
    </w:p>
    <w:p w14:paraId="2C6DD081" w14:textId="77777777" w:rsidR="00122C1B" w:rsidRPr="002D1900" w:rsidRDefault="00122C1B" w:rsidP="006713F9">
      <w:pPr>
        <w:pStyle w:val="Heading3"/>
      </w:pPr>
      <w:bookmarkStart w:id="57" w:name="_Ref513018801"/>
      <w:bookmarkStart w:id="58" w:name="_Toc10703397"/>
      <w:r w:rsidRPr="002D1900">
        <w:t>Victorian legislation</w:t>
      </w:r>
      <w:bookmarkEnd w:id="57"/>
      <w:bookmarkEnd w:id="58"/>
    </w:p>
    <w:p w14:paraId="0BE4BCD5" w14:textId="437D5626" w:rsidR="00122C1B" w:rsidRDefault="00122C1B" w:rsidP="004E420D">
      <w:pPr>
        <w:pStyle w:val="TextPara"/>
        <w:rPr>
          <w:rFonts w:cs="Segoe UI"/>
          <w:lang w:eastAsia="en-AU"/>
        </w:rPr>
      </w:pPr>
      <w:r>
        <w:rPr>
          <w:rFonts w:cs="Segoe UI"/>
          <w:lang w:eastAsia="en-AU"/>
        </w:rPr>
        <w:t xml:space="preserve">There are many provisions of the </w:t>
      </w:r>
      <w:r w:rsidRPr="006A392A">
        <w:rPr>
          <w:rFonts w:cs="Segoe UI"/>
          <w:i/>
          <w:lang w:eastAsia="en-AU"/>
        </w:rPr>
        <w:t>RSA</w:t>
      </w:r>
      <w:r>
        <w:rPr>
          <w:rFonts w:cs="Segoe UI"/>
          <w:lang w:eastAsia="en-AU"/>
        </w:rPr>
        <w:t xml:space="preserve"> and other laws that require certain details to be prescribed by regulation to enable the driver licensing system in Victoria to operate effectively. These are listed in </w:t>
      </w:r>
      <w:r>
        <w:rPr>
          <w:rFonts w:cs="Segoe UI"/>
          <w:lang w:eastAsia="en-AU"/>
        </w:rPr>
        <w:fldChar w:fldCharType="begin"/>
      </w:r>
      <w:r>
        <w:rPr>
          <w:rFonts w:cs="Segoe UI"/>
          <w:lang w:eastAsia="en-AU"/>
        </w:rPr>
        <w:instrText xml:space="preserve"> REF _Ref502765940 \h </w:instrText>
      </w:r>
      <w:r>
        <w:rPr>
          <w:rFonts w:cs="Segoe UI"/>
          <w:lang w:eastAsia="en-AU"/>
        </w:rPr>
      </w:r>
      <w:r>
        <w:rPr>
          <w:rFonts w:cs="Segoe UI"/>
          <w:lang w:eastAsia="en-AU"/>
        </w:rPr>
        <w:fldChar w:fldCharType="separate"/>
      </w:r>
      <w:r w:rsidR="00EB4B02" w:rsidRPr="00245CBA">
        <w:t xml:space="preserve">Table </w:t>
      </w:r>
      <w:r w:rsidR="00EB4B02">
        <w:rPr>
          <w:noProof/>
        </w:rPr>
        <w:t>75</w:t>
      </w:r>
      <w:r>
        <w:rPr>
          <w:rFonts w:cs="Segoe UI"/>
          <w:lang w:eastAsia="en-AU"/>
        </w:rPr>
        <w:fldChar w:fldCharType="end"/>
      </w:r>
      <w:r>
        <w:rPr>
          <w:rFonts w:cs="Segoe UI"/>
          <w:lang w:eastAsia="en-AU"/>
        </w:rPr>
        <w:t xml:space="preserve"> in Appendix </w:t>
      </w:r>
      <w:r w:rsidR="00881375">
        <w:rPr>
          <w:rFonts w:cs="Segoe UI"/>
          <w:lang w:eastAsia="en-AU"/>
        </w:rPr>
        <w:t>B</w:t>
      </w:r>
      <w:r>
        <w:rPr>
          <w:rFonts w:cs="Segoe UI"/>
          <w:lang w:eastAsia="en-AU"/>
        </w:rPr>
        <w:t xml:space="preserve">. </w:t>
      </w:r>
    </w:p>
    <w:p w14:paraId="612CF44B" w14:textId="1064B86D" w:rsidR="00122C1B" w:rsidRDefault="000C33B0" w:rsidP="004E420D">
      <w:pPr>
        <w:pStyle w:val="TextPara"/>
        <w:rPr>
          <w:rFonts w:cs="Segoe UI"/>
          <w:lang w:eastAsia="en-AU"/>
        </w:rPr>
      </w:pPr>
      <w:r>
        <w:rPr>
          <w:rFonts w:cs="Segoe UI"/>
          <w:lang w:eastAsia="en-AU"/>
        </w:rPr>
        <w:t xml:space="preserve">The Department of </w:t>
      </w:r>
      <w:r w:rsidR="00122C1B">
        <w:rPr>
          <w:rFonts w:cs="Segoe UI"/>
          <w:lang w:eastAsia="en-AU"/>
        </w:rPr>
        <w:t>Transport (</w:t>
      </w:r>
      <w:r>
        <w:rPr>
          <w:rFonts w:cs="Segoe UI"/>
          <w:b/>
          <w:lang w:eastAsia="en-AU"/>
        </w:rPr>
        <w:t>DoT</w:t>
      </w:r>
      <w:r w:rsidR="00122C1B">
        <w:rPr>
          <w:rFonts w:cs="Segoe UI"/>
          <w:lang w:eastAsia="en-AU"/>
        </w:rPr>
        <w:t xml:space="preserve">) considers that the operation of the </w:t>
      </w:r>
      <w:r w:rsidR="00122C1B" w:rsidRPr="006A392A">
        <w:rPr>
          <w:rFonts w:cs="Segoe UI"/>
          <w:i/>
          <w:lang w:eastAsia="en-AU"/>
        </w:rPr>
        <w:t>RSA</w:t>
      </w:r>
      <w:r w:rsidR="00122C1B">
        <w:rPr>
          <w:rFonts w:cs="Segoe UI"/>
          <w:lang w:eastAsia="en-AU"/>
        </w:rPr>
        <w:t xml:space="preserve"> and the Victorian licensing system would be severely restricted, if the proposed Regulations are not made. Schedule 2 of the </w:t>
      </w:r>
      <w:r w:rsidR="00122C1B" w:rsidRPr="000E67D7">
        <w:rPr>
          <w:rFonts w:cs="Segoe UI"/>
          <w:i/>
          <w:lang w:eastAsia="en-AU"/>
        </w:rPr>
        <w:t>RSA</w:t>
      </w:r>
      <w:r w:rsidR="00122C1B">
        <w:rPr>
          <w:rFonts w:cs="Segoe UI"/>
          <w:lang w:eastAsia="en-AU"/>
        </w:rPr>
        <w:t xml:space="preserve"> lists the details left to be prescribed by regulation. These are outlined in </w:t>
      </w:r>
      <w:r w:rsidR="00122C1B">
        <w:rPr>
          <w:rFonts w:cs="Segoe UI"/>
          <w:lang w:eastAsia="en-AU"/>
        </w:rPr>
        <w:fldChar w:fldCharType="begin"/>
      </w:r>
      <w:r w:rsidR="00122C1B">
        <w:rPr>
          <w:rFonts w:cs="Segoe UI"/>
          <w:lang w:eastAsia="en-AU"/>
        </w:rPr>
        <w:instrText xml:space="preserve"> REF _Ref502672189 \h </w:instrText>
      </w:r>
      <w:r w:rsidR="00122C1B">
        <w:rPr>
          <w:rFonts w:cs="Segoe UI"/>
          <w:lang w:eastAsia="en-AU"/>
        </w:rPr>
      </w:r>
      <w:r w:rsidR="00122C1B">
        <w:rPr>
          <w:rFonts w:cs="Segoe UI"/>
          <w:lang w:eastAsia="en-AU"/>
        </w:rPr>
        <w:fldChar w:fldCharType="separate"/>
      </w:r>
      <w:r w:rsidR="00EB4B02" w:rsidRPr="00245CBA">
        <w:t xml:space="preserve">Table </w:t>
      </w:r>
      <w:r w:rsidR="00EB4B02">
        <w:rPr>
          <w:noProof/>
        </w:rPr>
        <w:t>5</w:t>
      </w:r>
      <w:r w:rsidR="00122C1B">
        <w:rPr>
          <w:rFonts w:cs="Segoe UI"/>
          <w:lang w:eastAsia="en-AU"/>
        </w:rPr>
        <w:fldChar w:fldCharType="end"/>
      </w:r>
      <w:r w:rsidR="00122C1B">
        <w:rPr>
          <w:rFonts w:cs="Segoe UI"/>
          <w:lang w:eastAsia="en-AU"/>
        </w:rPr>
        <w:t xml:space="preserve"> below.</w:t>
      </w:r>
    </w:p>
    <w:p w14:paraId="14A4D4F0" w14:textId="77777777" w:rsidR="00EB3965" w:rsidRDefault="00EB3965" w:rsidP="004E420D">
      <w:pPr>
        <w:pStyle w:val="TextPara"/>
        <w:rPr>
          <w:rFonts w:cs="Segoe UI"/>
          <w:lang w:eastAsia="en-AU"/>
        </w:rPr>
      </w:pPr>
    </w:p>
    <w:p w14:paraId="1289C00D" w14:textId="1C16F5DF" w:rsidR="00122C1B" w:rsidRPr="00245CBA" w:rsidRDefault="00122C1B" w:rsidP="00AA0BBA">
      <w:pPr>
        <w:pStyle w:val="Caption"/>
      </w:pPr>
      <w:bookmarkStart w:id="59" w:name="_Ref502672189"/>
      <w:bookmarkStart w:id="60" w:name="_Toc10703698"/>
      <w:r w:rsidRPr="00245CBA">
        <w:lastRenderedPageBreak/>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5</w:t>
      </w:r>
      <w:r w:rsidR="00BC6B2E">
        <w:rPr>
          <w:noProof/>
        </w:rPr>
        <w:fldChar w:fldCharType="end"/>
      </w:r>
      <w:bookmarkEnd w:id="59"/>
      <w:r w:rsidRPr="00245CBA">
        <w:t xml:space="preserve"> –</w:t>
      </w:r>
      <w:r>
        <w:t xml:space="preserve"> Licensing and related items listed in the </w:t>
      </w:r>
      <w:r w:rsidRPr="006E4CDA">
        <w:rPr>
          <w:i/>
        </w:rPr>
        <w:t>RSA</w:t>
      </w:r>
      <w:r>
        <w:t xml:space="preserve"> to be prescribed by regulation</w:t>
      </w:r>
      <w:bookmarkEnd w:id="60"/>
    </w:p>
    <w:tbl>
      <w:tblPr>
        <w:tblStyle w:val="RIS-Table2"/>
        <w:tblW w:w="9639" w:type="dxa"/>
        <w:tblInd w:w="-5" w:type="dxa"/>
        <w:tblLayout w:type="fixed"/>
        <w:tblLook w:val="04A0" w:firstRow="1" w:lastRow="0" w:firstColumn="1" w:lastColumn="0" w:noHBand="0" w:noVBand="1"/>
      </w:tblPr>
      <w:tblGrid>
        <w:gridCol w:w="1701"/>
        <w:gridCol w:w="7938"/>
      </w:tblGrid>
      <w:tr w:rsidR="00122C1B" w:rsidRPr="00117C96" w14:paraId="2E9923F7" w14:textId="77777777" w:rsidTr="005F60A7">
        <w:trPr>
          <w:cnfStyle w:val="100000000000" w:firstRow="1" w:lastRow="0" w:firstColumn="0" w:lastColumn="0" w:oddVBand="0" w:evenVBand="0" w:oddHBand="0" w:evenHBand="0" w:firstRowFirstColumn="0" w:firstRowLastColumn="0" w:lastRowFirstColumn="0" w:lastRowLastColumn="0"/>
        </w:trPr>
        <w:tc>
          <w:tcPr>
            <w:tcW w:w="1701" w:type="dxa"/>
            <w:tcBorders>
              <w:bottom w:val="single" w:sz="4" w:space="0" w:color="BFBFBF" w:themeColor="background1" w:themeShade="BF"/>
            </w:tcBorders>
          </w:tcPr>
          <w:p w14:paraId="4999636D" w14:textId="77777777" w:rsidR="00122C1B" w:rsidRPr="00117C96" w:rsidRDefault="00122C1B" w:rsidP="000525EB">
            <w:pPr>
              <w:pStyle w:val="TableHeaders"/>
            </w:pPr>
            <w:r>
              <w:t>Category</w:t>
            </w:r>
          </w:p>
        </w:tc>
        <w:tc>
          <w:tcPr>
            <w:tcW w:w="7938" w:type="dxa"/>
          </w:tcPr>
          <w:p w14:paraId="1C8828FD" w14:textId="77777777" w:rsidR="00122C1B" w:rsidRPr="00117C96" w:rsidRDefault="00122C1B" w:rsidP="000525EB">
            <w:pPr>
              <w:pStyle w:val="TableHeaders"/>
            </w:pPr>
            <w:r>
              <w:t>Details to be prescribed by regulation</w:t>
            </w:r>
          </w:p>
        </w:tc>
      </w:tr>
      <w:tr w:rsidR="00122C1B" w:rsidRPr="00117C96" w14:paraId="1A4F5AAF" w14:textId="77777777" w:rsidTr="005F60A7">
        <w:tc>
          <w:tcPr>
            <w:tcW w:w="1701" w:type="dxa"/>
            <w:tcBorders>
              <w:bottom w:val="nil"/>
            </w:tcBorders>
          </w:tcPr>
          <w:p w14:paraId="44057B18" w14:textId="77777777" w:rsidR="00122C1B" w:rsidRPr="00506D82" w:rsidRDefault="00122C1B" w:rsidP="000525EB">
            <w:pPr>
              <w:pStyle w:val="TableParagraph"/>
              <w:rPr>
                <w:b/>
              </w:rPr>
            </w:pPr>
            <w:r w:rsidRPr="00506D82">
              <w:rPr>
                <w:b/>
              </w:rPr>
              <w:t>Licensing of drivers</w:t>
            </w:r>
          </w:p>
        </w:tc>
        <w:tc>
          <w:tcPr>
            <w:tcW w:w="7938" w:type="dxa"/>
          </w:tcPr>
          <w:p w14:paraId="215022AF" w14:textId="77777777" w:rsidR="00122C1B" w:rsidRDefault="00122C1B" w:rsidP="000525EB">
            <w:pPr>
              <w:pStyle w:val="TableParagraph"/>
            </w:pPr>
            <w:r>
              <w:t xml:space="preserve">The information to be recorded and maintained in relation to any person who drives a motor vehicle on a highway. </w:t>
            </w:r>
          </w:p>
        </w:tc>
      </w:tr>
      <w:tr w:rsidR="00122C1B" w:rsidRPr="00117C96" w14:paraId="550CDC0E"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nil"/>
            </w:tcBorders>
          </w:tcPr>
          <w:p w14:paraId="7156AD82" w14:textId="77777777" w:rsidR="00122C1B" w:rsidRPr="00DB59AA" w:rsidRDefault="00122C1B" w:rsidP="000525EB">
            <w:pPr>
              <w:pStyle w:val="TableParagraph"/>
            </w:pPr>
          </w:p>
        </w:tc>
        <w:tc>
          <w:tcPr>
            <w:tcW w:w="7938" w:type="dxa"/>
          </w:tcPr>
          <w:p w14:paraId="254B4E70" w14:textId="77777777" w:rsidR="00122C1B" w:rsidRDefault="00122C1B" w:rsidP="000525EB">
            <w:pPr>
              <w:pStyle w:val="TableParagraph"/>
            </w:pPr>
            <w:r>
              <w:t xml:space="preserve">The categories of motor vehicles and trailers for licensing purposes and the corresponding categories of driver licences and learner permits. </w:t>
            </w:r>
          </w:p>
        </w:tc>
      </w:tr>
      <w:tr w:rsidR="00122C1B" w:rsidRPr="00117C96" w14:paraId="6795812F" w14:textId="77777777" w:rsidTr="005F60A7">
        <w:tc>
          <w:tcPr>
            <w:tcW w:w="1701" w:type="dxa"/>
            <w:tcBorders>
              <w:top w:val="nil"/>
              <w:bottom w:val="nil"/>
            </w:tcBorders>
          </w:tcPr>
          <w:p w14:paraId="6962D5DB" w14:textId="77777777" w:rsidR="00122C1B" w:rsidRPr="00F3692D" w:rsidRDefault="00122C1B" w:rsidP="000525EB">
            <w:pPr>
              <w:pStyle w:val="TableParagraph"/>
            </w:pPr>
          </w:p>
        </w:tc>
        <w:tc>
          <w:tcPr>
            <w:tcW w:w="7938" w:type="dxa"/>
          </w:tcPr>
          <w:p w14:paraId="0FB32B6C" w14:textId="77777777" w:rsidR="00122C1B" w:rsidRDefault="00122C1B" w:rsidP="000525EB">
            <w:pPr>
              <w:pStyle w:val="TableParagraph"/>
            </w:pPr>
            <w:r>
              <w:t xml:space="preserve">The circumstances where unlicensed drivers (under instruction or assessment) and drivers holding non-Victorian licences are authorised to drive, including any exceptions to such authorisations. </w:t>
            </w:r>
          </w:p>
        </w:tc>
      </w:tr>
      <w:tr w:rsidR="00122C1B" w:rsidRPr="00117C96" w14:paraId="035AC2E4"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nil"/>
            </w:tcBorders>
          </w:tcPr>
          <w:p w14:paraId="6D89D5B1" w14:textId="77777777" w:rsidR="00122C1B" w:rsidRPr="00F3692D" w:rsidRDefault="00122C1B" w:rsidP="000525EB">
            <w:pPr>
              <w:pStyle w:val="TableParagraph"/>
            </w:pPr>
          </w:p>
        </w:tc>
        <w:tc>
          <w:tcPr>
            <w:tcW w:w="7938" w:type="dxa"/>
          </w:tcPr>
          <w:p w14:paraId="5BD7DD89" w14:textId="77777777" w:rsidR="00122C1B" w:rsidRPr="00117C96" w:rsidRDefault="00122C1B" w:rsidP="000525EB">
            <w:pPr>
              <w:pStyle w:val="TableParagraph"/>
            </w:pPr>
            <w:r>
              <w:t xml:space="preserve">The requirements to be complied with before a driver licence or learner permit may be granted, varied or renewed. </w:t>
            </w:r>
          </w:p>
        </w:tc>
      </w:tr>
      <w:tr w:rsidR="00122C1B" w:rsidRPr="00117C96" w14:paraId="5765F258" w14:textId="77777777" w:rsidTr="005F60A7">
        <w:tc>
          <w:tcPr>
            <w:tcW w:w="1701" w:type="dxa"/>
            <w:tcBorders>
              <w:top w:val="nil"/>
              <w:bottom w:val="nil"/>
            </w:tcBorders>
          </w:tcPr>
          <w:p w14:paraId="4BF34A71" w14:textId="77777777" w:rsidR="00122C1B" w:rsidRPr="00F3692D" w:rsidRDefault="00122C1B" w:rsidP="000525EB">
            <w:pPr>
              <w:pStyle w:val="TableParagraph"/>
            </w:pPr>
          </w:p>
        </w:tc>
        <w:tc>
          <w:tcPr>
            <w:tcW w:w="7938" w:type="dxa"/>
          </w:tcPr>
          <w:p w14:paraId="4F7BB1EF" w14:textId="77777777" w:rsidR="00122C1B" w:rsidRPr="00117C96" w:rsidRDefault="00122C1B" w:rsidP="000525EB">
            <w:pPr>
              <w:pStyle w:val="TableParagraph"/>
            </w:pPr>
            <w:r>
              <w:t>The conditions on which a driver licence or learner permit may be granted, varied or renewed.</w:t>
            </w:r>
          </w:p>
        </w:tc>
      </w:tr>
      <w:tr w:rsidR="00122C1B" w:rsidRPr="00117C96" w14:paraId="639BA3AC"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nil"/>
            </w:tcBorders>
          </w:tcPr>
          <w:p w14:paraId="7D0EEF9C" w14:textId="77777777" w:rsidR="00122C1B" w:rsidRPr="00F3692D" w:rsidRDefault="00122C1B" w:rsidP="000525EB">
            <w:pPr>
              <w:pStyle w:val="TableParagraph"/>
            </w:pPr>
          </w:p>
        </w:tc>
        <w:tc>
          <w:tcPr>
            <w:tcW w:w="7938" w:type="dxa"/>
          </w:tcPr>
          <w:p w14:paraId="410B251D" w14:textId="77777777" w:rsidR="00122C1B" w:rsidRDefault="00122C1B" w:rsidP="000525EB">
            <w:pPr>
              <w:pStyle w:val="TableParagraph"/>
            </w:pPr>
            <w:r>
              <w:t xml:space="preserve">The procedures for a grant or variation of driver licence or learner permit. </w:t>
            </w:r>
          </w:p>
        </w:tc>
      </w:tr>
      <w:tr w:rsidR="00122C1B" w:rsidRPr="00117C96" w14:paraId="152BAD4A" w14:textId="77777777" w:rsidTr="005F60A7">
        <w:tc>
          <w:tcPr>
            <w:tcW w:w="1701" w:type="dxa"/>
            <w:tcBorders>
              <w:top w:val="nil"/>
              <w:bottom w:val="nil"/>
            </w:tcBorders>
          </w:tcPr>
          <w:p w14:paraId="64E2EB07" w14:textId="77777777" w:rsidR="00122C1B" w:rsidRPr="00F3692D" w:rsidRDefault="00122C1B" w:rsidP="000525EB">
            <w:pPr>
              <w:pStyle w:val="TableParagraph"/>
            </w:pPr>
          </w:p>
        </w:tc>
        <w:tc>
          <w:tcPr>
            <w:tcW w:w="7938" w:type="dxa"/>
          </w:tcPr>
          <w:p w14:paraId="705F5ACF" w14:textId="32748585" w:rsidR="00122C1B" w:rsidRPr="00117C96" w:rsidRDefault="00122C1B" w:rsidP="000525EB">
            <w:pPr>
              <w:pStyle w:val="TableParagraph"/>
            </w:pPr>
            <w:r>
              <w:t>The requirements for medical fitness-to-drive reviews and driving t</w:t>
            </w:r>
            <w:r w:rsidRPr="00573BE4">
              <w:t>ests or assessments and driver training</w:t>
            </w:r>
            <w:r>
              <w:t xml:space="preserve">. </w:t>
            </w:r>
          </w:p>
        </w:tc>
      </w:tr>
      <w:tr w:rsidR="00122C1B" w:rsidRPr="00117C96" w14:paraId="27F6FD3D"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nil"/>
            </w:tcBorders>
          </w:tcPr>
          <w:p w14:paraId="47A3AD8C" w14:textId="77777777" w:rsidR="00122C1B" w:rsidRPr="00F3692D" w:rsidRDefault="00122C1B" w:rsidP="000525EB">
            <w:pPr>
              <w:pStyle w:val="TableParagraph"/>
            </w:pPr>
          </w:p>
        </w:tc>
        <w:tc>
          <w:tcPr>
            <w:tcW w:w="7938" w:type="dxa"/>
          </w:tcPr>
          <w:p w14:paraId="6D45C081" w14:textId="77777777" w:rsidR="00122C1B" w:rsidRPr="00117C96" w:rsidRDefault="00122C1B" w:rsidP="000525EB">
            <w:pPr>
              <w:pStyle w:val="TableParagraph"/>
            </w:pPr>
            <w:r>
              <w:t xml:space="preserve">The details of applications for a driver licence or learner permit or for the variation, renewal or extension of a driver licence or learner permit. </w:t>
            </w:r>
          </w:p>
        </w:tc>
      </w:tr>
      <w:tr w:rsidR="00122C1B" w:rsidRPr="00117C96" w14:paraId="24F3B658" w14:textId="77777777" w:rsidTr="005F60A7">
        <w:tc>
          <w:tcPr>
            <w:tcW w:w="1701" w:type="dxa"/>
            <w:tcBorders>
              <w:top w:val="nil"/>
              <w:bottom w:val="nil"/>
            </w:tcBorders>
          </w:tcPr>
          <w:p w14:paraId="495DE80C" w14:textId="77777777" w:rsidR="00122C1B" w:rsidRPr="00F3692D" w:rsidRDefault="00122C1B" w:rsidP="000525EB">
            <w:pPr>
              <w:pStyle w:val="TableParagraph"/>
            </w:pPr>
          </w:p>
        </w:tc>
        <w:tc>
          <w:tcPr>
            <w:tcW w:w="7938" w:type="dxa"/>
          </w:tcPr>
          <w:p w14:paraId="329BFADD" w14:textId="77777777" w:rsidR="00122C1B" w:rsidRDefault="00122C1B" w:rsidP="000525EB">
            <w:pPr>
              <w:pStyle w:val="TableParagraph"/>
            </w:pPr>
            <w:r>
              <w:t>The dates by which applications must be made and the information and evidence to accompany applications.</w:t>
            </w:r>
          </w:p>
        </w:tc>
      </w:tr>
      <w:tr w:rsidR="00122C1B" w:rsidRPr="00117C96" w14:paraId="368678B2"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nil"/>
            </w:tcBorders>
          </w:tcPr>
          <w:p w14:paraId="34A72171" w14:textId="77777777" w:rsidR="00122C1B" w:rsidRPr="00F3692D" w:rsidRDefault="00122C1B" w:rsidP="000525EB">
            <w:pPr>
              <w:pStyle w:val="TableParagraph"/>
            </w:pPr>
          </w:p>
        </w:tc>
        <w:tc>
          <w:tcPr>
            <w:tcW w:w="7938" w:type="dxa"/>
          </w:tcPr>
          <w:p w14:paraId="0ABAACDE" w14:textId="77777777" w:rsidR="00122C1B" w:rsidRPr="00117C96" w:rsidRDefault="00122C1B" w:rsidP="000525EB">
            <w:pPr>
              <w:pStyle w:val="TableParagraph"/>
            </w:pPr>
            <w:r>
              <w:t>The requirements for the taking of photographs or making of digitised images for inclusion in driver licence documents.</w:t>
            </w:r>
          </w:p>
        </w:tc>
      </w:tr>
      <w:tr w:rsidR="00122C1B" w:rsidRPr="00117C96" w14:paraId="71159C97" w14:textId="77777777" w:rsidTr="005F60A7">
        <w:tc>
          <w:tcPr>
            <w:tcW w:w="1701" w:type="dxa"/>
            <w:tcBorders>
              <w:top w:val="nil"/>
              <w:bottom w:val="nil"/>
            </w:tcBorders>
          </w:tcPr>
          <w:p w14:paraId="5FD11968" w14:textId="77777777" w:rsidR="00122C1B" w:rsidRPr="00F3692D" w:rsidRDefault="00122C1B" w:rsidP="000525EB">
            <w:pPr>
              <w:pStyle w:val="TableParagraph"/>
            </w:pPr>
          </w:p>
        </w:tc>
        <w:tc>
          <w:tcPr>
            <w:tcW w:w="7938" w:type="dxa"/>
          </w:tcPr>
          <w:p w14:paraId="73C89554" w14:textId="77777777" w:rsidR="00122C1B" w:rsidRPr="00117C96" w:rsidRDefault="00122C1B" w:rsidP="000525EB">
            <w:pPr>
              <w:pStyle w:val="TableParagraph"/>
            </w:pPr>
            <w:r>
              <w:t>The date on which a driver licence or learner permit commences, the period for which it remains in force and the probationary period of a driver licence.</w:t>
            </w:r>
          </w:p>
        </w:tc>
      </w:tr>
      <w:tr w:rsidR="00122C1B" w:rsidRPr="00117C96" w14:paraId="5429728E"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nil"/>
            </w:tcBorders>
          </w:tcPr>
          <w:p w14:paraId="65254E68" w14:textId="77777777" w:rsidR="00122C1B" w:rsidRPr="00F3692D" w:rsidRDefault="00122C1B" w:rsidP="000525EB">
            <w:pPr>
              <w:pStyle w:val="TableParagraph"/>
            </w:pPr>
          </w:p>
        </w:tc>
        <w:tc>
          <w:tcPr>
            <w:tcW w:w="7938" w:type="dxa"/>
          </w:tcPr>
          <w:p w14:paraId="633DC7DE" w14:textId="77777777" w:rsidR="00122C1B" w:rsidRPr="00117C96" w:rsidRDefault="00122C1B" w:rsidP="000525EB">
            <w:pPr>
              <w:pStyle w:val="TableParagraph"/>
            </w:pPr>
            <w:r>
              <w:t>The rules regarding the issuing of replacement driver licence documents and learner permit documents.</w:t>
            </w:r>
          </w:p>
        </w:tc>
      </w:tr>
      <w:tr w:rsidR="00122C1B" w:rsidRPr="00117C96" w14:paraId="327EDB94" w14:textId="77777777" w:rsidTr="005F60A7">
        <w:tc>
          <w:tcPr>
            <w:tcW w:w="1701" w:type="dxa"/>
            <w:tcBorders>
              <w:top w:val="nil"/>
              <w:bottom w:val="nil"/>
            </w:tcBorders>
          </w:tcPr>
          <w:p w14:paraId="551C826F" w14:textId="77777777" w:rsidR="00122C1B" w:rsidRPr="00F3692D" w:rsidRDefault="00122C1B" w:rsidP="000525EB">
            <w:pPr>
              <w:pStyle w:val="TableParagraph"/>
            </w:pPr>
          </w:p>
        </w:tc>
        <w:tc>
          <w:tcPr>
            <w:tcW w:w="7938" w:type="dxa"/>
          </w:tcPr>
          <w:p w14:paraId="41C4B5CA" w14:textId="77777777" w:rsidR="00122C1B" w:rsidRPr="00117C96" w:rsidRDefault="00122C1B" w:rsidP="000525EB">
            <w:pPr>
              <w:pStyle w:val="TableParagraph"/>
            </w:pPr>
            <w:r>
              <w:t xml:space="preserve">The rules regarding the </w:t>
            </w:r>
            <w:r w:rsidRPr="002D1900">
              <w:t>exemption</w:t>
            </w:r>
            <w:r>
              <w:t xml:space="preserve"> of persons or classes of persons from the requirement to obtain a driver licence or learner permit.</w:t>
            </w:r>
          </w:p>
        </w:tc>
      </w:tr>
      <w:tr w:rsidR="00122C1B" w:rsidRPr="00117C96" w14:paraId="2053B825"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nil"/>
            </w:tcBorders>
          </w:tcPr>
          <w:p w14:paraId="47BA8466" w14:textId="77777777" w:rsidR="00122C1B" w:rsidRPr="00F3692D" w:rsidRDefault="00122C1B" w:rsidP="000525EB">
            <w:pPr>
              <w:pStyle w:val="TableParagraph"/>
            </w:pPr>
          </w:p>
        </w:tc>
        <w:tc>
          <w:tcPr>
            <w:tcW w:w="7938" w:type="dxa"/>
          </w:tcPr>
          <w:p w14:paraId="59760968" w14:textId="77777777" w:rsidR="00122C1B" w:rsidRPr="00117C96" w:rsidRDefault="00122C1B" w:rsidP="000525EB">
            <w:pPr>
              <w:pStyle w:val="TableParagraph"/>
            </w:pPr>
            <w:r>
              <w:t>The grounds on which a driver licence or learner permit may be cancelled, suspended or varied by VicRoads and the procedures to be followed in such cases.</w:t>
            </w:r>
          </w:p>
        </w:tc>
      </w:tr>
      <w:tr w:rsidR="00122C1B" w:rsidRPr="00117C96" w14:paraId="4AFBB43C" w14:textId="77777777" w:rsidTr="005F60A7">
        <w:tc>
          <w:tcPr>
            <w:tcW w:w="1701" w:type="dxa"/>
            <w:tcBorders>
              <w:top w:val="nil"/>
              <w:bottom w:val="nil"/>
            </w:tcBorders>
          </w:tcPr>
          <w:p w14:paraId="46CC235B" w14:textId="77777777" w:rsidR="00122C1B" w:rsidRPr="00F3692D" w:rsidRDefault="00122C1B" w:rsidP="000525EB">
            <w:pPr>
              <w:pStyle w:val="TableParagraph"/>
            </w:pPr>
          </w:p>
        </w:tc>
        <w:tc>
          <w:tcPr>
            <w:tcW w:w="7938" w:type="dxa"/>
          </w:tcPr>
          <w:p w14:paraId="20753194" w14:textId="77777777" w:rsidR="00122C1B" w:rsidRPr="00117C96" w:rsidRDefault="00122C1B" w:rsidP="000525EB">
            <w:pPr>
              <w:pStyle w:val="TableParagraph"/>
            </w:pPr>
            <w:r>
              <w:t>The circumstances in which VicRoads is required to cancel, suspend or vary a driver licence or learner permit or refuse an application for a driver licence, driver licence variation, learner permit or learner permit variation and the procedures to be followed in those cases.</w:t>
            </w:r>
          </w:p>
        </w:tc>
      </w:tr>
      <w:tr w:rsidR="00122C1B" w:rsidRPr="00117C96" w14:paraId="7A2B2307"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single" w:sz="4" w:space="0" w:color="BFBFBF" w:themeColor="background1" w:themeShade="BF"/>
            </w:tcBorders>
          </w:tcPr>
          <w:p w14:paraId="353E47DA" w14:textId="77777777" w:rsidR="00122C1B" w:rsidRPr="00F3692D" w:rsidRDefault="00122C1B" w:rsidP="000525EB">
            <w:pPr>
              <w:pStyle w:val="TableParagraph"/>
            </w:pPr>
          </w:p>
        </w:tc>
        <w:tc>
          <w:tcPr>
            <w:tcW w:w="7938" w:type="dxa"/>
          </w:tcPr>
          <w:p w14:paraId="315738CF" w14:textId="77777777" w:rsidR="00122C1B" w:rsidRPr="00117C96" w:rsidRDefault="00122C1B" w:rsidP="000525EB">
            <w:pPr>
              <w:pStyle w:val="TableParagraph"/>
            </w:pPr>
            <w:r>
              <w:t>The rules regarding the surrender of driver licence documents or learner permit documents if the driver licence or learner permit has been cancelled or suspended by VicRoads or by a court.</w:t>
            </w:r>
          </w:p>
        </w:tc>
      </w:tr>
      <w:tr w:rsidR="00122C1B" w:rsidRPr="00117C96" w14:paraId="60AE5887" w14:textId="77777777" w:rsidTr="005F60A7">
        <w:tc>
          <w:tcPr>
            <w:tcW w:w="1701" w:type="dxa"/>
            <w:tcBorders>
              <w:bottom w:val="nil"/>
            </w:tcBorders>
          </w:tcPr>
          <w:p w14:paraId="63EBCED5" w14:textId="77777777" w:rsidR="00122C1B" w:rsidRPr="00506D82" w:rsidRDefault="00122C1B" w:rsidP="000525EB">
            <w:pPr>
              <w:pStyle w:val="TableParagraph"/>
              <w:rPr>
                <w:b/>
              </w:rPr>
            </w:pPr>
            <w:r w:rsidRPr="00506D82">
              <w:rPr>
                <w:b/>
              </w:rPr>
              <w:t>Demerit Points</w:t>
            </w:r>
          </w:p>
        </w:tc>
        <w:tc>
          <w:tcPr>
            <w:tcW w:w="7938" w:type="dxa"/>
          </w:tcPr>
          <w:p w14:paraId="686AB4FE" w14:textId="77777777" w:rsidR="00122C1B" w:rsidRDefault="00122C1B" w:rsidP="000525EB">
            <w:pPr>
              <w:pStyle w:val="TableParagraph"/>
            </w:pPr>
            <w:r>
              <w:t xml:space="preserve">The details to be recorded in the Demerits Register. </w:t>
            </w:r>
          </w:p>
        </w:tc>
      </w:tr>
      <w:tr w:rsidR="00122C1B" w:rsidRPr="00117C96" w14:paraId="6EF1F659"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nil"/>
            </w:tcBorders>
          </w:tcPr>
          <w:p w14:paraId="1B870E3C" w14:textId="77777777" w:rsidR="00122C1B" w:rsidRPr="00506D82" w:rsidRDefault="00122C1B" w:rsidP="000525EB">
            <w:pPr>
              <w:pStyle w:val="TableParagraph"/>
              <w:rPr>
                <w:b/>
              </w:rPr>
            </w:pPr>
          </w:p>
        </w:tc>
        <w:tc>
          <w:tcPr>
            <w:tcW w:w="7938" w:type="dxa"/>
          </w:tcPr>
          <w:p w14:paraId="2739C973" w14:textId="77777777" w:rsidR="00122C1B" w:rsidRDefault="00122C1B" w:rsidP="0061276C">
            <w:pPr>
              <w:pStyle w:val="TableParagraph"/>
            </w:pPr>
            <w:r>
              <w:t>The circumstances in which demerit points are incurred and the number of points incurred in those circumstances.</w:t>
            </w:r>
          </w:p>
        </w:tc>
      </w:tr>
      <w:tr w:rsidR="00122C1B" w:rsidRPr="00117C96" w14:paraId="41AB4E4A" w14:textId="77777777" w:rsidTr="005F60A7">
        <w:tc>
          <w:tcPr>
            <w:tcW w:w="1701" w:type="dxa"/>
            <w:tcBorders>
              <w:top w:val="nil"/>
              <w:bottom w:val="nil"/>
            </w:tcBorders>
          </w:tcPr>
          <w:p w14:paraId="5384AFAA" w14:textId="77777777" w:rsidR="00122C1B" w:rsidRPr="00506D82" w:rsidRDefault="00122C1B" w:rsidP="000525EB">
            <w:pPr>
              <w:pStyle w:val="TableParagraph"/>
              <w:rPr>
                <w:b/>
              </w:rPr>
            </w:pPr>
          </w:p>
        </w:tc>
        <w:tc>
          <w:tcPr>
            <w:tcW w:w="7938" w:type="dxa"/>
          </w:tcPr>
          <w:p w14:paraId="2453E600" w14:textId="77777777" w:rsidR="00122C1B" w:rsidRDefault="00122C1B" w:rsidP="0061276C">
            <w:pPr>
              <w:pStyle w:val="TableParagraph"/>
            </w:pPr>
            <w:r>
              <w:t>The determination of the date on which demerit points are to be recorded as incurred.</w:t>
            </w:r>
          </w:p>
        </w:tc>
      </w:tr>
      <w:tr w:rsidR="00122C1B" w:rsidRPr="00117C96" w14:paraId="4D3465A8"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Borders>
              <w:top w:val="nil"/>
              <w:bottom w:val="nil"/>
            </w:tcBorders>
          </w:tcPr>
          <w:p w14:paraId="63E740E0" w14:textId="77777777" w:rsidR="00122C1B" w:rsidRDefault="00122C1B" w:rsidP="000525EB">
            <w:pPr>
              <w:pStyle w:val="TableParagraph"/>
            </w:pPr>
          </w:p>
        </w:tc>
        <w:tc>
          <w:tcPr>
            <w:tcW w:w="7938" w:type="dxa"/>
          </w:tcPr>
          <w:p w14:paraId="39B0C2F8" w14:textId="77777777" w:rsidR="00122C1B" w:rsidRDefault="00122C1B" w:rsidP="000525EB">
            <w:pPr>
              <w:pStyle w:val="TableParagraph"/>
            </w:pPr>
            <w:r>
              <w:t xml:space="preserve">The circumstances in which demerit points may be cancelled. </w:t>
            </w:r>
          </w:p>
        </w:tc>
      </w:tr>
      <w:tr w:rsidR="00122C1B" w:rsidRPr="00117C96" w14:paraId="2DFDE7A6" w14:textId="77777777" w:rsidTr="005F60A7">
        <w:tc>
          <w:tcPr>
            <w:tcW w:w="1701" w:type="dxa"/>
          </w:tcPr>
          <w:p w14:paraId="6E2CB565" w14:textId="77777777" w:rsidR="00122C1B" w:rsidRPr="00506D82" w:rsidRDefault="00122C1B" w:rsidP="000525EB">
            <w:pPr>
              <w:pStyle w:val="TableParagraph"/>
              <w:rPr>
                <w:b/>
              </w:rPr>
            </w:pPr>
            <w:r w:rsidRPr="00506D82">
              <w:rPr>
                <w:b/>
              </w:rPr>
              <w:t>Right of Appeal or Review</w:t>
            </w:r>
          </w:p>
        </w:tc>
        <w:tc>
          <w:tcPr>
            <w:tcW w:w="7938" w:type="dxa"/>
          </w:tcPr>
          <w:p w14:paraId="4437DBF4" w14:textId="77777777" w:rsidR="00122C1B" w:rsidRPr="00117C96" w:rsidRDefault="00122C1B" w:rsidP="000525EB">
            <w:pPr>
              <w:pStyle w:val="TableParagraph"/>
            </w:pPr>
            <w:r>
              <w:t xml:space="preserve">The conferment of a right of appeal or review to a specified court or tribunal against any decision of VicRoads and prescribing the procedures to be followed in those cases. </w:t>
            </w:r>
          </w:p>
        </w:tc>
      </w:tr>
      <w:tr w:rsidR="00122C1B" w:rsidRPr="00117C96" w14:paraId="1FBD6DAB" w14:textId="77777777" w:rsidTr="005F60A7">
        <w:trPr>
          <w:cnfStyle w:val="000000010000" w:firstRow="0" w:lastRow="0" w:firstColumn="0" w:lastColumn="0" w:oddVBand="0" w:evenVBand="0" w:oddHBand="0" w:evenHBand="1" w:firstRowFirstColumn="0" w:firstRowLastColumn="0" w:lastRowFirstColumn="0" w:lastRowLastColumn="0"/>
        </w:trPr>
        <w:tc>
          <w:tcPr>
            <w:tcW w:w="1701" w:type="dxa"/>
          </w:tcPr>
          <w:p w14:paraId="00AC9424" w14:textId="77777777" w:rsidR="00122C1B" w:rsidRPr="00506D82" w:rsidRDefault="00122C1B" w:rsidP="000525EB">
            <w:pPr>
              <w:pStyle w:val="TableParagraph"/>
              <w:rPr>
                <w:b/>
              </w:rPr>
            </w:pPr>
            <w:r w:rsidRPr="00506D82">
              <w:rPr>
                <w:b/>
              </w:rPr>
              <w:t>Alcohol interlock usage data requirements</w:t>
            </w:r>
          </w:p>
        </w:tc>
        <w:tc>
          <w:tcPr>
            <w:tcW w:w="7938" w:type="dxa"/>
          </w:tcPr>
          <w:p w14:paraId="77BBCB78" w14:textId="77777777" w:rsidR="00122C1B" w:rsidRDefault="00122C1B" w:rsidP="000525EB">
            <w:pPr>
              <w:pStyle w:val="TableParagraph"/>
            </w:pPr>
            <w:r>
              <w:t>The compliance requirements in relation to an approved alcohol interlock including—</w:t>
            </w:r>
          </w:p>
          <w:p w14:paraId="7A79A2BE" w14:textId="77777777" w:rsidR="00122C1B" w:rsidRDefault="00122C1B" w:rsidP="005F6F8B">
            <w:pPr>
              <w:pStyle w:val="TableList1"/>
            </w:pPr>
            <w:r>
              <w:t xml:space="preserve">the period during which the alcohol interlock is to be installed in a motor vehicle; </w:t>
            </w:r>
          </w:p>
          <w:p w14:paraId="27654AD6" w14:textId="77777777" w:rsidR="00122C1B" w:rsidRDefault="00122C1B" w:rsidP="00457BB1">
            <w:pPr>
              <w:pStyle w:val="TableList1"/>
            </w:pPr>
            <w:r>
              <w:t xml:space="preserve">the extent to which the alcohol interlock is to be used; </w:t>
            </w:r>
          </w:p>
          <w:p w14:paraId="73F4B84C" w14:textId="77777777" w:rsidR="00122C1B" w:rsidRDefault="00122C1B">
            <w:pPr>
              <w:pStyle w:val="TableList1"/>
            </w:pPr>
            <w:r>
              <w:lastRenderedPageBreak/>
              <w:t xml:space="preserve">attempts to start a motor vehicle in which the alcohol interlock is installed that fail because the alcohol interlock detects alcohol; </w:t>
            </w:r>
          </w:p>
          <w:p w14:paraId="0E4F4388" w14:textId="77777777" w:rsidR="00122C1B" w:rsidRDefault="00122C1B">
            <w:pPr>
              <w:pStyle w:val="TableList1"/>
            </w:pPr>
            <w:r>
              <w:t>the alcohol interlock not being tampered with; and</w:t>
            </w:r>
          </w:p>
          <w:p w14:paraId="11DE7F11" w14:textId="77777777" w:rsidR="00122C1B" w:rsidRPr="00117C96" w:rsidRDefault="00122C1B">
            <w:pPr>
              <w:pStyle w:val="TableList1"/>
            </w:pPr>
            <w:r>
              <w:t>the payment of cost recovery fees when due for payment.</w:t>
            </w:r>
          </w:p>
        </w:tc>
      </w:tr>
      <w:tr w:rsidR="00122C1B" w:rsidRPr="00117C96" w14:paraId="7269AEAA" w14:textId="77777777" w:rsidTr="005F60A7">
        <w:tc>
          <w:tcPr>
            <w:tcW w:w="1701" w:type="dxa"/>
          </w:tcPr>
          <w:p w14:paraId="4124FF54" w14:textId="77777777" w:rsidR="00122C1B" w:rsidRPr="00506D82" w:rsidRDefault="00122C1B" w:rsidP="000525EB">
            <w:pPr>
              <w:pStyle w:val="TableParagraph"/>
              <w:rPr>
                <w:b/>
              </w:rPr>
            </w:pPr>
            <w:r w:rsidRPr="00506D82">
              <w:rPr>
                <w:b/>
              </w:rPr>
              <w:lastRenderedPageBreak/>
              <w:t>Fees</w:t>
            </w:r>
          </w:p>
        </w:tc>
        <w:tc>
          <w:tcPr>
            <w:tcW w:w="7938" w:type="dxa"/>
          </w:tcPr>
          <w:p w14:paraId="43641AEC" w14:textId="77777777" w:rsidR="00122C1B" w:rsidRPr="00117C96" w:rsidRDefault="00122C1B" w:rsidP="000525EB">
            <w:pPr>
              <w:pStyle w:val="TableParagraph"/>
            </w:pPr>
            <w:r>
              <w:t>The matters for which fees are payable, the amount of those fees and the people by whom those fees are payable.</w:t>
            </w:r>
          </w:p>
        </w:tc>
      </w:tr>
    </w:tbl>
    <w:p w14:paraId="5B5EB547" w14:textId="77777777" w:rsidR="00122C1B" w:rsidRDefault="00122C1B" w:rsidP="004E420D">
      <w:pPr>
        <w:pStyle w:val="Source"/>
      </w:pPr>
      <w:r>
        <w:t xml:space="preserve">Source: </w:t>
      </w:r>
      <w:r w:rsidRPr="006A392A">
        <w:t>RSA</w:t>
      </w:r>
      <w:r>
        <w:t xml:space="preserve">, Schedule 2 </w:t>
      </w:r>
    </w:p>
    <w:p w14:paraId="5B5D5901" w14:textId="77777777" w:rsidR="00122C1B" w:rsidRDefault="00122C1B" w:rsidP="004E420D">
      <w:pPr>
        <w:pStyle w:val="TextPara"/>
      </w:pPr>
      <w:r>
        <w:t xml:space="preserve">If the proposed Regulations are not made, the consequences of the absence of such prescribed details would be significant. Various critical provisions of the </w:t>
      </w:r>
      <w:r w:rsidRPr="006A392A">
        <w:rPr>
          <w:i/>
        </w:rPr>
        <w:t>RSA</w:t>
      </w:r>
      <w:r>
        <w:t xml:space="preserve"> would be ineffective without having the corresponding regulations to give them effect. </w:t>
      </w:r>
    </w:p>
    <w:p w14:paraId="272C7101" w14:textId="77777777" w:rsidR="00122C1B" w:rsidRDefault="00122C1B" w:rsidP="004E420D">
      <w:pPr>
        <w:pStyle w:val="TextPara"/>
      </w:pPr>
      <w:r>
        <w:t>The following examples illustrate</w:t>
      </w:r>
      <w:r w:rsidRPr="003B661A">
        <w:t xml:space="preserve"> </w:t>
      </w:r>
      <w:r>
        <w:t>some of the significant consequences that would follow, if the proposed Regulations are not made:</w:t>
      </w:r>
    </w:p>
    <w:p w14:paraId="6EF7ED94" w14:textId="77777777" w:rsidR="00122C1B" w:rsidRDefault="00122C1B" w:rsidP="005F6F8B">
      <w:pPr>
        <w:pStyle w:val="Bullet1-Black"/>
      </w:pPr>
      <w:bookmarkStart w:id="61" w:name="_Hlk513018537"/>
      <w:r w:rsidRPr="004E6907">
        <w:rPr>
          <w:b/>
          <w:i/>
        </w:rPr>
        <w:t xml:space="preserve">Grant, renewal and refusal of driver licence and </w:t>
      </w:r>
      <w:r>
        <w:rPr>
          <w:b/>
          <w:i/>
        </w:rPr>
        <w:t xml:space="preserve">learner </w:t>
      </w:r>
      <w:r w:rsidRPr="004E6907">
        <w:rPr>
          <w:b/>
          <w:i/>
        </w:rPr>
        <w:t>permit applications</w:t>
      </w:r>
      <w:bookmarkEnd w:id="61"/>
      <w:r w:rsidRPr="003B661A">
        <w:rPr>
          <w:i/>
        </w:rPr>
        <w:t>.</w:t>
      </w:r>
      <w:r>
        <w:t xml:space="preserve"> A driver licence under section 19(4) and a learner permit under section 22(5) may be applied for, granted, renewed or refused “</w:t>
      </w:r>
      <w:r w:rsidRPr="00E2779F">
        <w:rPr>
          <w:u w:val="single"/>
        </w:rPr>
        <w:t>only</w:t>
      </w:r>
      <w:r>
        <w:t xml:space="preserve"> in accordance with the regulations”. The same applies under section 20(2) to the making, granting or refusal of applications for a licence variation. Without making corresponding regulations, VicRoads would be unable to grant, renew, or refuse applications for driver licences and learner permits, or grant or refuse applications for a licence variation.</w:t>
      </w:r>
    </w:p>
    <w:p w14:paraId="38624C24" w14:textId="3B3311BD" w:rsidR="00122C1B" w:rsidRDefault="00122C1B" w:rsidP="00457BB1">
      <w:pPr>
        <w:pStyle w:val="Bullet1-Black"/>
      </w:pPr>
      <w:r w:rsidRPr="004E6907">
        <w:rPr>
          <w:b/>
          <w:i/>
        </w:rPr>
        <w:t>Demerit points system</w:t>
      </w:r>
      <w:r w:rsidRPr="003B661A">
        <w:rPr>
          <w:i/>
        </w:rPr>
        <w:t>.</w:t>
      </w:r>
      <w:r>
        <w:t xml:space="preserve"> The </w:t>
      </w:r>
      <w:r w:rsidRPr="00A14200">
        <w:t>demerit points</w:t>
      </w:r>
      <w:r>
        <w:t xml:space="preserve"> system</w:t>
      </w:r>
      <w:r w:rsidRPr="00A14200">
        <w:t xml:space="preserve"> is designed to </w:t>
      </w:r>
      <w:r>
        <w:t xml:space="preserve">deter </w:t>
      </w:r>
      <w:r w:rsidRPr="00A14200">
        <w:t>illegal driv</w:t>
      </w:r>
      <w:r>
        <w:t xml:space="preserve">ing behaviour, which in turn </w:t>
      </w:r>
      <w:r w:rsidRPr="00A14200">
        <w:t>lead</w:t>
      </w:r>
      <w:r>
        <w:t>s</w:t>
      </w:r>
      <w:r w:rsidRPr="00A14200">
        <w:t xml:space="preserve"> to reduced frequency or severity of crashes</w:t>
      </w:r>
      <w:r>
        <w:t xml:space="preserve">. Specific infringements of traffic regulations by drivers incur one or more demerit points in addition to a fine. When the number of points reaches a threshold level, the driver’s licence may be suspended. Section 35(1) of the </w:t>
      </w:r>
      <w:r w:rsidRPr="006A392A">
        <w:rPr>
          <w:i/>
        </w:rPr>
        <w:t>RSA</w:t>
      </w:r>
      <w:r>
        <w:t xml:space="preserve"> mandates VicRoads to keep a Demerits Register. Without regulations prescribing the circumstances in which demerit points are incurred, the number of points incurred for various traffic offences, how to determine the date on which the demerit points are to be recorded, and the circumstances when the points are to be cancelled, such a register, and thus the whole demerit points system, would be rendered inoperable. </w:t>
      </w:r>
      <w:bookmarkStart w:id="62" w:name="_Hlk514152883"/>
      <w:r w:rsidR="0026454D">
        <w:t>I</w:t>
      </w:r>
      <w:r>
        <w:t>n such a scenario, drivers who repeatedly contravene traffic laws and regulations that attract demerit points would be more likely to continue their illegal driving behaviour leading to more crashes and loss of life on the roads and would not risk losing their licence as a result of these road safety offences.</w:t>
      </w:r>
      <w:bookmarkEnd w:id="62"/>
    </w:p>
    <w:p w14:paraId="2E0FC0D8" w14:textId="723708F7" w:rsidR="00122C1B" w:rsidRDefault="00122C1B">
      <w:pPr>
        <w:pStyle w:val="Bullet1-Black"/>
      </w:pPr>
      <w:r w:rsidRPr="004E6907">
        <w:rPr>
          <w:b/>
          <w:i/>
        </w:rPr>
        <w:t>Alcohol interlocks</w:t>
      </w:r>
      <w:r w:rsidRPr="004E6907">
        <w:rPr>
          <w:i/>
        </w:rPr>
        <w:t>.</w:t>
      </w:r>
      <w:r>
        <w:t xml:space="preserve"> </w:t>
      </w:r>
      <w:r w:rsidRPr="0060709A">
        <w:t xml:space="preserve">An alcohol </w:t>
      </w:r>
      <w:r w:rsidRPr="004E6907">
        <w:t>interlock</w:t>
      </w:r>
      <w:r w:rsidRPr="0060709A">
        <w:t xml:space="preserve"> is an electronic breath testing device that prevents a vehicle from starting if it detects alcohol. The alcohol interlock also </w:t>
      </w:r>
      <w:r>
        <w:t>requires</w:t>
      </w:r>
      <w:r w:rsidRPr="0060709A">
        <w:t xml:space="preserve"> breath tests during </w:t>
      </w:r>
      <w:r>
        <w:t>a</w:t>
      </w:r>
      <w:r w:rsidRPr="0060709A">
        <w:t xml:space="preserve"> trip. It records all breath tests requested and any attempts to drive with alcohol present on </w:t>
      </w:r>
      <w:r>
        <w:t>one’s</w:t>
      </w:r>
      <w:r w:rsidRPr="0060709A">
        <w:t xml:space="preserve"> breath.</w:t>
      </w:r>
      <w:r>
        <w:t xml:space="preserve"> The </w:t>
      </w:r>
      <w:r w:rsidRPr="004E6907">
        <w:rPr>
          <w:i/>
        </w:rPr>
        <w:t>RSA</w:t>
      </w:r>
      <w:r>
        <w:t xml:space="preserve"> prescribes an administrative scheme managed by VicRoads for the enforcement and removal of an alcohol interlock condition. However, without detailed regulations to prescribe</w:t>
      </w:r>
      <w:r w:rsidRPr="0060709A">
        <w:t xml:space="preserve"> </w:t>
      </w:r>
      <w:r>
        <w:t xml:space="preserve">compliance requirements, as described in </w:t>
      </w:r>
      <w:r>
        <w:fldChar w:fldCharType="begin"/>
      </w:r>
      <w:r>
        <w:instrText xml:space="preserve"> REF _Ref502672189 \h </w:instrText>
      </w:r>
      <w:r>
        <w:fldChar w:fldCharType="separate"/>
      </w:r>
      <w:r w:rsidR="00EB4B02" w:rsidRPr="00245CBA">
        <w:t xml:space="preserve">Table </w:t>
      </w:r>
      <w:r w:rsidR="00EB4B02">
        <w:rPr>
          <w:noProof/>
        </w:rPr>
        <w:t>5</w:t>
      </w:r>
      <w:r>
        <w:fldChar w:fldCharType="end"/>
      </w:r>
      <w:r>
        <w:t xml:space="preserve"> above, VicRoads would be unable to enforce </w:t>
      </w:r>
      <w:r w:rsidRPr="0060709A">
        <w:t>the interlock condition</w:t>
      </w:r>
      <w:r>
        <w:t xml:space="preserve"> and the whole interlock program would be</w:t>
      </w:r>
      <w:r w:rsidRPr="0060709A">
        <w:t xml:space="preserve"> </w:t>
      </w:r>
      <w:r>
        <w:t>ineffective and</w:t>
      </w:r>
      <w:r w:rsidRPr="00E82A57">
        <w:t xml:space="preserve"> </w:t>
      </w:r>
      <w:r>
        <w:t>unworkable.</w:t>
      </w:r>
      <w:r w:rsidRPr="0060709A">
        <w:t xml:space="preserve"> </w:t>
      </w:r>
      <w:r>
        <w:t xml:space="preserve">In road safety terms, this would mean that alcohol interlocks would not be installed in vehicles, resulting in a very high risk of offenders causing fatalities and serious injuries to other road users. </w:t>
      </w:r>
    </w:p>
    <w:p w14:paraId="2D65E80D" w14:textId="777EBB6E" w:rsidR="00122C1B" w:rsidRDefault="00122C1B" w:rsidP="00D0019C">
      <w:pPr>
        <w:pStyle w:val="Bullet1-Black"/>
        <w:numPr>
          <w:ilvl w:val="0"/>
          <w:numId w:val="0"/>
        </w:numPr>
        <w:ind w:left="387"/>
      </w:pPr>
      <w:r w:rsidRPr="00607246">
        <w:t>In 2016 VicRoads commissioned the Centre for Accident Research and Road Safety – Queensland (CARRS-Q)</w:t>
      </w:r>
      <w:r w:rsidRPr="00607246">
        <w:rPr>
          <w:rStyle w:val="EndnoteReference"/>
        </w:rPr>
        <w:endnoteReference w:id="46"/>
      </w:r>
      <w:r w:rsidRPr="00607246">
        <w:t xml:space="preserve"> </w:t>
      </w:r>
      <w:r>
        <w:t xml:space="preserve">to study </w:t>
      </w:r>
      <w:r w:rsidRPr="00DF14EE">
        <w:t>the effect of licence cancellation and alcohol interlock sanctions on Victorian drink-drivers offences and casualty crashes</w:t>
      </w:r>
      <w:r>
        <w:t xml:space="preserve">. That study found that </w:t>
      </w:r>
      <w:r w:rsidRPr="00DF14EE">
        <w:t>alcohol interlocks were effective in reducing offending while fitted.</w:t>
      </w:r>
      <w:bookmarkStart w:id="63" w:name="_Ref514157765"/>
      <w:r>
        <w:rPr>
          <w:rStyle w:val="EndnoteReference"/>
        </w:rPr>
        <w:endnoteReference w:id="47"/>
      </w:r>
      <w:bookmarkEnd w:id="63"/>
      <w:r>
        <w:t xml:space="preserve"> </w:t>
      </w:r>
      <w:r w:rsidRPr="00DF14EE">
        <w:t xml:space="preserve"> There was a 71% reduction in drink-driving offences</w:t>
      </w:r>
      <w:r>
        <w:t xml:space="preserve">. It also found that alcohol interlocks decreased </w:t>
      </w:r>
      <w:r w:rsidRPr="00DF14EE">
        <w:t>the rate of drink-driving offending</w:t>
      </w:r>
      <w:r>
        <w:t xml:space="preserve"> by young and </w:t>
      </w:r>
      <w:r w:rsidR="00E35CCA">
        <w:t>high-level</w:t>
      </w:r>
      <w:r>
        <w:t xml:space="preserve"> first-time drink-drivers by 26% over the entire licensing cycle (from detection of offence through to the licence being re-issued) and by 18% for the licence re-issued period (after completion of the alcohol interlock </w:t>
      </w:r>
      <w:r>
        <w:lastRenderedPageBreak/>
        <w:t xml:space="preserve">condition). </w:t>
      </w:r>
      <w:r w:rsidRPr="00DD7B43">
        <w:t>Alcohol interlocks, while fitted</w:t>
      </w:r>
      <w:r>
        <w:t>,</w:t>
      </w:r>
      <w:r w:rsidRPr="00DD7B43">
        <w:t xml:space="preserve"> were successful in reducing </w:t>
      </w:r>
      <w:r>
        <w:t xml:space="preserve">this cohort’s </w:t>
      </w:r>
      <w:r w:rsidRPr="00DD7B43">
        <w:t>drink-driving offending by 27%.</w:t>
      </w:r>
    </w:p>
    <w:p w14:paraId="3983FC6F" w14:textId="77777777" w:rsidR="00122C1B" w:rsidRDefault="00122C1B">
      <w:pPr>
        <w:pStyle w:val="Bullet1-Black"/>
      </w:pPr>
      <w:r w:rsidRPr="00426615">
        <w:rPr>
          <w:b/>
        </w:rPr>
        <w:t>Fees</w:t>
      </w:r>
      <w:r>
        <w:t xml:space="preserve">. </w:t>
      </w:r>
      <w:r w:rsidRPr="007B60BB">
        <w:t xml:space="preserve">There would be a significant financial deficit that would require funding </w:t>
      </w:r>
      <w:r>
        <w:t>from the Victorian Government through additional taxes or the re-deployment of funds from existing public services, if fees are not prescribed in the proposed Regulations. These fees include the administrative service fees (e.g. practical drive test</w:t>
      </w:r>
      <w:r w:rsidRPr="00DC1E2F">
        <w:t xml:space="preserve"> </w:t>
      </w:r>
      <w:r>
        <w:t>fees) and permission fees (e.g. learner permit fees).</w:t>
      </w:r>
    </w:p>
    <w:p w14:paraId="177813A1" w14:textId="77777777" w:rsidR="00122C1B" w:rsidRDefault="00122C1B" w:rsidP="00CD4501">
      <w:pPr>
        <w:pStyle w:val="TextPara"/>
      </w:pPr>
    </w:p>
    <w:p w14:paraId="7495D124" w14:textId="77777777" w:rsidR="00122C1B" w:rsidRDefault="00122C1B" w:rsidP="00CD4501">
      <w:pPr>
        <w:pStyle w:val="TextPara"/>
      </w:pPr>
    </w:p>
    <w:p w14:paraId="3285411F" w14:textId="77777777" w:rsidR="00910C49" w:rsidRDefault="00910C49" w:rsidP="00CD4501">
      <w:pPr>
        <w:pStyle w:val="TextPara"/>
        <w:sectPr w:rsidR="00910C49" w:rsidSect="00910C49">
          <w:headerReference w:type="even" r:id="rId24"/>
          <w:headerReference w:type="default" r:id="rId25"/>
          <w:headerReference w:type="first" r:id="rId26"/>
          <w:endnotePr>
            <w:numFmt w:val="decimal"/>
          </w:endnotePr>
          <w:pgSz w:w="11906" w:h="16838" w:code="9"/>
          <w:pgMar w:top="1418" w:right="1134" w:bottom="1418" w:left="1247" w:header="567" w:footer="397" w:gutter="0"/>
          <w:cols w:space="708"/>
          <w:docGrid w:linePitch="360"/>
        </w:sectPr>
      </w:pPr>
    </w:p>
    <w:p w14:paraId="3D202398" w14:textId="77777777" w:rsidR="00122C1B" w:rsidRPr="00117C96" w:rsidRDefault="00122C1B" w:rsidP="006713F9">
      <w:pPr>
        <w:pStyle w:val="Heading1"/>
      </w:pPr>
      <w:bookmarkStart w:id="64" w:name="_Toc10703398"/>
      <w:r>
        <w:lastRenderedPageBreak/>
        <w:t>Regulatory Impact Statement</w:t>
      </w:r>
      <w:r w:rsidRPr="00036BAF">
        <w:t xml:space="preserve"> </w:t>
      </w:r>
      <w:r w:rsidRPr="007C4CE1">
        <w:t>Approach</w:t>
      </w:r>
      <w:bookmarkEnd w:id="64"/>
    </w:p>
    <w:p w14:paraId="15025630" w14:textId="77777777" w:rsidR="00122C1B" w:rsidRPr="006601A7" w:rsidRDefault="00122C1B" w:rsidP="001A063E">
      <w:pPr>
        <w:pStyle w:val="Heading2"/>
        <w:rPr>
          <w:rStyle w:val="Strong"/>
          <w:b/>
          <w:bCs/>
          <w:color w:val="404040" w:themeColor="text1" w:themeTint="BF"/>
          <w:sz w:val="24"/>
          <w:szCs w:val="26"/>
        </w:rPr>
      </w:pPr>
      <w:bookmarkStart w:id="65" w:name="_Toc10703399"/>
      <w:r w:rsidRPr="006601A7">
        <w:rPr>
          <w:rStyle w:val="Strong"/>
          <w:b/>
          <w:bCs/>
          <w:color w:val="404040" w:themeColor="text1" w:themeTint="BF"/>
          <w:sz w:val="24"/>
          <w:szCs w:val="26"/>
        </w:rPr>
        <w:t>Review approach</w:t>
      </w:r>
      <w:bookmarkEnd w:id="65"/>
    </w:p>
    <w:p w14:paraId="15B12C5B" w14:textId="77777777" w:rsidR="00122C1B" w:rsidRDefault="00122C1B" w:rsidP="00BC4A2D">
      <w:pPr>
        <w:pStyle w:val="TextPara"/>
        <w:rPr>
          <w:rFonts w:cs="Segoe UI"/>
        </w:rPr>
      </w:pPr>
      <w:r>
        <w:rPr>
          <w:rFonts w:cs="Segoe UI"/>
        </w:rPr>
        <w:t xml:space="preserve">The review of the </w:t>
      </w:r>
      <w:r w:rsidRPr="00BB0059">
        <w:rPr>
          <w:rFonts w:cs="Segoe UI"/>
        </w:rPr>
        <w:t>Road Safety (Drivers) Regulations 2009</w:t>
      </w:r>
      <w:r>
        <w:rPr>
          <w:rFonts w:cs="Segoe UI"/>
        </w:rPr>
        <w:t xml:space="preserve"> was conducted with the following objectives in mind:</w:t>
      </w:r>
    </w:p>
    <w:p w14:paraId="48FF6C62" w14:textId="77777777" w:rsidR="00122C1B" w:rsidRPr="00652B92" w:rsidRDefault="00122C1B" w:rsidP="005F6F8B">
      <w:pPr>
        <w:pStyle w:val="Bullet1-Black"/>
      </w:pPr>
      <w:r w:rsidRPr="00652B92">
        <w:rPr>
          <w:i/>
        </w:rPr>
        <w:t>Currency</w:t>
      </w:r>
      <w:r w:rsidRPr="00652B92">
        <w:t xml:space="preserve"> – ensure the</w:t>
      </w:r>
      <w:r>
        <w:t xml:space="preserve"> proposed Regulations</w:t>
      </w:r>
      <w:r w:rsidRPr="00652B92">
        <w:t xml:space="preserve"> reflect the current environment and where possible provide flexibility for potential changes to the </w:t>
      </w:r>
      <w:r>
        <w:t>driver licencing</w:t>
      </w:r>
      <w:r w:rsidRPr="00652B92">
        <w:t xml:space="preserve"> environment </w:t>
      </w:r>
      <w:r>
        <w:t>for the next ten years.</w:t>
      </w:r>
    </w:p>
    <w:p w14:paraId="09EDD6D4" w14:textId="77777777" w:rsidR="00122C1B" w:rsidRPr="00652B92" w:rsidRDefault="00122C1B" w:rsidP="00457BB1">
      <w:pPr>
        <w:pStyle w:val="Bullet1-Black"/>
      </w:pPr>
      <w:r>
        <w:rPr>
          <w:i/>
        </w:rPr>
        <w:t>B</w:t>
      </w:r>
      <w:r w:rsidRPr="00652B92">
        <w:rPr>
          <w:i/>
        </w:rPr>
        <w:t>urden</w:t>
      </w:r>
      <w:r w:rsidRPr="00652B92">
        <w:t xml:space="preserve"> </w:t>
      </w:r>
      <w:r>
        <w:rPr>
          <w:i/>
        </w:rPr>
        <w:t>minimisation</w:t>
      </w:r>
      <w:r w:rsidRPr="00652B92">
        <w:rPr>
          <w:i/>
        </w:rPr>
        <w:t xml:space="preserve"> </w:t>
      </w:r>
      <w:r w:rsidRPr="00652B92">
        <w:t xml:space="preserve">– minimise the burden of the </w:t>
      </w:r>
      <w:r>
        <w:t>proposed Regulations</w:t>
      </w:r>
      <w:r w:rsidRPr="00652B92">
        <w:t xml:space="preserve"> on the public and business where possible, without compromis</w:t>
      </w:r>
      <w:r>
        <w:t>ing</w:t>
      </w:r>
      <w:r w:rsidRPr="00652B92">
        <w:t xml:space="preserve"> road safety</w:t>
      </w:r>
      <w:r>
        <w:t>.</w:t>
      </w:r>
    </w:p>
    <w:p w14:paraId="045733B9" w14:textId="77777777" w:rsidR="00122C1B" w:rsidRPr="00652B92" w:rsidRDefault="00122C1B">
      <w:pPr>
        <w:pStyle w:val="Bullet1-Black"/>
      </w:pPr>
      <w:r w:rsidRPr="00652B92">
        <w:rPr>
          <w:i/>
        </w:rPr>
        <w:t>Consistency and simplicity</w:t>
      </w:r>
      <w:r w:rsidRPr="00652B92">
        <w:t xml:space="preserve"> – ensure that</w:t>
      </w:r>
      <w:r>
        <w:t>,</w:t>
      </w:r>
      <w:r w:rsidRPr="00652B92">
        <w:t xml:space="preserve"> where </w:t>
      </w:r>
      <w:r>
        <w:t xml:space="preserve">proposed </w:t>
      </w:r>
      <w:r w:rsidRPr="00652B92">
        <w:t>regulatory requirements are similar in nature, they have a consistent approach, are predictable, equitable and have a common set of rules that enable ease of compliance</w:t>
      </w:r>
      <w:r>
        <w:t>.</w:t>
      </w:r>
    </w:p>
    <w:p w14:paraId="2067F63C" w14:textId="77777777" w:rsidR="00122C1B" w:rsidRPr="00652B92" w:rsidRDefault="00122C1B">
      <w:pPr>
        <w:pStyle w:val="Bullet1-Black"/>
      </w:pPr>
      <w:r w:rsidRPr="00652B92">
        <w:rPr>
          <w:i/>
        </w:rPr>
        <w:t>Efficiency</w:t>
      </w:r>
      <w:r w:rsidRPr="00652B92">
        <w:t xml:space="preserve"> – ensure that the cost of delivering the service to support the</w:t>
      </w:r>
      <w:r>
        <w:t xml:space="preserve"> proposed Regulations is as low </w:t>
      </w:r>
      <w:r w:rsidRPr="00652B92">
        <w:t>as possible without impact to service levels</w:t>
      </w:r>
      <w:r>
        <w:t>.</w:t>
      </w:r>
    </w:p>
    <w:p w14:paraId="4F5E0DD9" w14:textId="77777777" w:rsidR="00122C1B" w:rsidRPr="00652B92" w:rsidRDefault="00122C1B">
      <w:pPr>
        <w:pStyle w:val="Bullet1-Black"/>
      </w:pPr>
      <w:r w:rsidRPr="00652B92">
        <w:rPr>
          <w:i/>
        </w:rPr>
        <w:t>Essential for compliance</w:t>
      </w:r>
      <w:r w:rsidRPr="00652B92">
        <w:t xml:space="preserve"> – ensure that the regulations cover only matters essential for compliance and reduce the number of regulatory requirements, with non-essential components detailed in communicati</w:t>
      </w:r>
      <w:r>
        <w:t>ons material and business rules.</w:t>
      </w:r>
    </w:p>
    <w:p w14:paraId="6646248F" w14:textId="77777777" w:rsidR="00122C1B" w:rsidRDefault="00122C1B">
      <w:pPr>
        <w:pStyle w:val="Bullet1-Black"/>
      </w:pPr>
      <w:r w:rsidRPr="00652B92">
        <w:rPr>
          <w:i/>
        </w:rPr>
        <w:t>Promot</w:t>
      </w:r>
      <w:r>
        <w:rPr>
          <w:i/>
        </w:rPr>
        <w:t>ion of</w:t>
      </w:r>
      <w:r w:rsidRPr="00652B92">
        <w:rPr>
          <w:i/>
        </w:rPr>
        <w:t xml:space="preserve"> innovation and economic development</w:t>
      </w:r>
      <w:r w:rsidRPr="00652B92">
        <w:t xml:space="preserve"> – provide flexibility in the regulations to foster innovation and opportunities for business and employment</w:t>
      </w:r>
      <w:r>
        <w:t>.</w:t>
      </w:r>
    </w:p>
    <w:p w14:paraId="2BF55CEA" w14:textId="77777777" w:rsidR="00122C1B" w:rsidRPr="00117C96" w:rsidRDefault="00122C1B" w:rsidP="00BC4A2D">
      <w:pPr>
        <w:pStyle w:val="TextPara"/>
        <w:rPr>
          <w:rFonts w:cs="Segoe UI"/>
        </w:rPr>
      </w:pPr>
      <w:r w:rsidRPr="00117C96">
        <w:rPr>
          <w:rFonts w:cs="Segoe UI"/>
        </w:rPr>
        <w:t xml:space="preserve">The </w:t>
      </w:r>
      <w:r w:rsidRPr="00117C96">
        <w:rPr>
          <w:rFonts w:cs="Segoe UI"/>
          <w:i/>
        </w:rPr>
        <w:t>Subordinate Legislation Act 1994</w:t>
      </w:r>
      <w:r w:rsidRPr="00117C96">
        <w:rPr>
          <w:rFonts w:cs="Segoe UI"/>
        </w:rPr>
        <w:t xml:space="preserve"> </w:t>
      </w:r>
      <w:r>
        <w:rPr>
          <w:rFonts w:cs="Segoe UI"/>
        </w:rPr>
        <w:t>(</w:t>
      </w:r>
      <w:r w:rsidRPr="004D64D7">
        <w:rPr>
          <w:rFonts w:cs="Segoe UI"/>
          <w:b/>
          <w:i/>
        </w:rPr>
        <w:t>SLA</w:t>
      </w:r>
      <w:r>
        <w:rPr>
          <w:rFonts w:cs="Segoe UI"/>
        </w:rPr>
        <w:t xml:space="preserve">) </w:t>
      </w:r>
      <w:r w:rsidRPr="00117C96">
        <w:rPr>
          <w:rFonts w:cs="Segoe UI"/>
        </w:rPr>
        <w:t xml:space="preserve">sets out </w:t>
      </w:r>
      <w:r>
        <w:rPr>
          <w:rFonts w:cs="Segoe UI"/>
        </w:rPr>
        <w:t xml:space="preserve">the </w:t>
      </w:r>
      <w:r w:rsidRPr="00117C96">
        <w:rPr>
          <w:rFonts w:cs="Segoe UI"/>
        </w:rPr>
        <w:t xml:space="preserve">requirements and guidelines for the preparation of regulations. Where regulations impose a </w:t>
      </w:r>
      <w:r>
        <w:rPr>
          <w:rFonts w:cs="Segoe UI"/>
        </w:rPr>
        <w:t>significant</w:t>
      </w:r>
      <w:r w:rsidRPr="00117C96">
        <w:rPr>
          <w:rFonts w:cs="Segoe UI"/>
        </w:rPr>
        <w:t xml:space="preserve"> burden</w:t>
      </w:r>
      <w:r>
        <w:rPr>
          <w:rFonts w:cs="Segoe UI"/>
        </w:rPr>
        <w:t xml:space="preserve"> on a sector of the public</w:t>
      </w:r>
      <w:r w:rsidRPr="00117C96">
        <w:rPr>
          <w:rFonts w:cs="Segoe UI"/>
        </w:rPr>
        <w:t xml:space="preserve">, a </w:t>
      </w:r>
      <w:r>
        <w:rPr>
          <w:rFonts w:cs="Segoe UI"/>
        </w:rPr>
        <w:t>regulatory impact statement (</w:t>
      </w:r>
      <w:r w:rsidRPr="004D64D7">
        <w:rPr>
          <w:rFonts w:cs="Segoe UI"/>
          <w:b/>
        </w:rPr>
        <w:t>RIS</w:t>
      </w:r>
      <w:r>
        <w:rPr>
          <w:rFonts w:cs="Segoe UI"/>
        </w:rPr>
        <w:t>)</w:t>
      </w:r>
      <w:r w:rsidRPr="00117C96">
        <w:rPr>
          <w:rFonts w:cs="Segoe UI"/>
        </w:rPr>
        <w:t xml:space="preserve"> </w:t>
      </w:r>
      <w:r>
        <w:rPr>
          <w:rFonts w:cs="Segoe UI"/>
        </w:rPr>
        <w:t>must be</w:t>
      </w:r>
      <w:r w:rsidRPr="00117C96">
        <w:rPr>
          <w:rFonts w:cs="Segoe UI"/>
        </w:rPr>
        <w:t xml:space="preserve"> prepared. </w:t>
      </w:r>
      <w:r>
        <w:rPr>
          <w:rFonts w:cs="Segoe UI"/>
        </w:rPr>
        <w:t xml:space="preserve">In the context of </w:t>
      </w:r>
      <w:r w:rsidRPr="00117C96">
        <w:rPr>
          <w:rFonts w:cs="Segoe UI"/>
        </w:rPr>
        <w:t>the proposed Regulations</w:t>
      </w:r>
      <w:r>
        <w:rPr>
          <w:rFonts w:cs="Segoe UI"/>
        </w:rPr>
        <w:t>,</w:t>
      </w:r>
      <w:r w:rsidRPr="00117C96">
        <w:rPr>
          <w:rFonts w:cs="Segoe UI"/>
        </w:rPr>
        <w:t xml:space="preserve"> this requirement ensures that the restrictions </w:t>
      </w:r>
      <w:r>
        <w:rPr>
          <w:rFonts w:cs="Segoe UI"/>
        </w:rPr>
        <w:t xml:space="preserve">that the regulations </w:t>
      </w:r>
      <w:r w:rsidRPr="00117C96">
        <w:rPr>
          <w:rFonts w:cs="Segoe UI"/>
        </w:rPr>
        <w:t>impose are still necessary</w:t>
      </w:r>
      <w:r>
        <w:rPr>
          <w:rFonts w:cs="Segoe UI"/>
        </w:rPr>
        <w:t xml:space="preserve"> and proportionate,</w:t>
      </w:r>
      <w:r w:rsidRPr="00117C96">
        <w:rPr>
          <w:rFonts w:cs="Segoe UI"/>
        </w:rPr>
        <w:t xml:space="preserve"> </w:t>
      </w:r>
      <w:r>
        <w:rPr>
          <w:rFonts w:cs="Segoe UI"/>
        </w:rPr>
        <w:t>given</w:t>
      </w:r>
      <w:r w:rsidRPr="00117C96">
        <w:rPr>
          <w:rFonts w:cs="Segoe UI"/>
        </w:rPr>
        <w:t xml:space="preserve"> that:</w:t>
      </w:r>
    </w:p>
    <w:p w14:paraId="7EFA441C" w14:textId="77777777" w:rsidR="00122C1B" w:rsidRPr="00117C96" w:rsidRDefault="00122C1B" w:rsidP="005F6F8B">
      <w:pPr>
        <w:pStyle w:val="Bullet1-Black"/>
      </w:pPr>
      <w:r>
        <w:t>a problem exists</w:t>
      </w:r>
    </w:p>
    <w:p w14:paraId="6213F4D5" w14:textId="77777777" w:rsidR="00122C1B" w:rsidRPr="00117C96" w:rsidRDefault="00122C1B" w:rsidP="00457BB1">
      <w:pPr>
        <w:pStyle w:val="Bullet1-Black"/>
      </w:pPr>
      <w:r w:rsidRPr="00117C96">
        <w:t>Gov</w:t>
      </w:r>
      <w:r>
        <w:t>ernment action is justified</w:t>
      </w:r>
    </w:p>
    <w:p w14:paraId="32A48997" w14:textId="77777777" w:rsidR="00122C1B" w:rsidRPr="00117C96" w:rsidRDefault="00122C1B">
      <w:pPr>
        <w:pStyle w:val="Bullet1-Black"/>
      </w:pPr>
      <w:r w:rsidRPr="00117C96">
        <w:t xml:space="preserve">regulation is the best </w:t>
      </w:r>
      <w:r>
        <w:t>way to address the problem</w:t>
      </w:r>
      <w:r w:rsidRPr="00117C96">
        <w:t>.</w:t>
      </w:r>
    </w:p>
    <w:p w14:paraId="6D3F2325" w14:textId="77777777" w:rsidR="00122C1B" w:rsidRPr="00117C96" w:rsidRDefault="00122C1B" w:rsidP="00BC4A2D">
      <w:pPr>
        <w:pStyle w:val="TextPara"/>
        <w:rPr>
          <w:rFonts w:cs="Segoe UI"/>
        </w:rPr>
      </w:pPr>
      <w:r>
        <w:rPr>
          <w:rFonts w:cs="Segoe UI"/>
        </w:rPr>
        <w:t>Some</w:t>
      </w:r>
      <w:r w:rsidRPr="00117C96">
        <w:rPr>
          <w:rFonts w:cs="Segoe UI"/>
        </w:rPr>
        <w:t xml:space="preserve"> exemptions</w:t>
      </w:r>
      <w:r>
        <w:rPr>
          <w:rFonts w:cs="Segoe UI"/>
        </w:rPr>
        <w:t xml:space="preserve"> from the RIS are permitted,</w:t>
      </w:r>
      <w:r w:rsidRPr="00117C96">
        <w:rPr>
          <w:rStyle w:val="EndnoteReference"/>
          <w:rFonts w:cs="Segoe UI"/>
        </w:rPr>
        <w:endnoteReference w:id="48"/>
      </w:r>
      <w:r>
        <w:rPr>
          <w:rFonts w:cs="Segoe UI"/>
        </w:rPr>
        <w:t xml:space="preserve"> including</w:t>
      </w:r>
      <w:r w:rsidRPr="00117C96">
        <w:rPr>
          <w:rFonts w:cs="Segoe UI"/>
        </w:rPr>
        <w:t xml:space="preserve"> instances where the regulation or rule:</w:t>
      </w:r>
    </w:p>
    <w:p w14:paraId="2A34329C" w14:textId="77777777" w:rsidR="00122C1B" w:rsidRPr="00117C96" w:rsidRDefault="00122C1B" w:rsidP="005F6F8B">
      <w:pPr>
        <w:pStyle w:val="Bullet1-Black"/>
      </w:pPr>
      <w:r w:rsidRPr="00117C96">
        <w:t>would not impose a significant economic or social burden on a</w:t>
      </w:r>
      <w:r>
        <w:t>n identifiable</w:t>
      </w:r>
      <w:r w:rsidRPr="00117C96">
        <w:t xml:space="preserve"> sector of the public</w:t>
      </w:r>
    </w:p>
    <w:p w14:paraId="2F86615E" w14:textId="77777777" w:rsidR="00122C1B" w:rsidRDefault="00122C1B" w:rsidP="00457BB1">
      <w:pPr>
        <w:pStyle w:val="Bullet1-Black"/>
      </w:pPr>
      <w:r w:rsidRPr="00117C96">
        <w:t>is required under a national uniform legislation scheme and an assessment of costs and benefits has been undertaken under that scheme</w:t>
      </w:r>
    </w:p>
    <w:p w14:paraId="51520CB1" w14:textId="77777777" w:rsidR="00122C1B" w:rsidRPr="00117C96" w:rsidRDefault="00122C1B" w:rsidP="006601A7">
      <w:pPr>
        <w:pStyle w:val="Bullet1-Black"/>
        <w:numPr>
          <w:ilvl w:val="0"/>
          <w:numId w:val="0"/>
        </w:numPr>
        <w:ind w:left="387"/>
      </w:pPr>
      <w:r>
        <w:t>or</w:t>
      </w:r>
    </w:p>
    <w:p w14:paraId="53BDCF52" w14:textId="77777777" w:rsidR="0090465C" w:rsidRDefault="00122C1B" w:rsidP="0090465C">
      <w:pPr>
        <w:pStyle w:val="Bullet1-Black"/>
      </w:pPr>
      <w:r w:rsidRPr="00117C96">
        <w:t>is of a fundamentally declaratory or machinery nature.</w:t>
      </w:r>
    </w:p>
    <w:p w14:paraId="33C761A5" w14:textId="77777777" w:rsidR="00C40E2A" w:rsidRDefault="00122C1B" w:rsidP="009528D8">
      <w:pPr>
        <w:pStyle w:val="TextPara"/>
      </w:pPr>
      <w:r w:rsidRPr="00C93855">
        <w:t xml:space="preserve">Some of the </w:t>
      </w:r>
      <w:r>
        <w:t>proposed R</w:t>
      </w:r>
      <w:r w:rsidRPr="00C93855">
        <w:t>egulations are purely</w:t>
      </w:r>
      <w:r>
        <w:t xml:space="preserve"> declaratory or </w:t>
      </w:r>
      <w:r w:rsidRPr="00C93855">
        <w:t xml:space="preserve">machinery in nature. </w:t>
      </w:r>
      <w:r>
        <w:t>Regulations of a declaratory nature specify the instances to which they apply or declar</w:t>
      </w:r>
      <w:r w:rsidR="009B5BCC">
        <w:t>e</w:t>
      </w:r>
      <w:r>
        <w:t xml:space="preserve"> the circumstances that must exist for the regulation to apply (e.g. the regulation that prescribes an extension of a probationary licence specifies that it applies to P1 or P2 licence holders whose licence has been suspended). </w:t>
      </w:r>
      <w:r w:rsidRPr="00C93855">
        <w:t>Machinery type regulations refer to ‘housekeeping’ rules that clarify a provision, without changing procedural requirements (e.g. replacing an obsolete definition/reference, prescribing addresses for service).</w:t>
      </w:r>
      <w:r w:rsidRPr="00A64688">
        <w:t xml:space="preserve"> </w:t>
      </w:r>
    </w:p>
    <w:p w14:paraId="02F9BD27" w14:textId="761E3038" w:rsidR="00122C1B" w:rsidRDefault="00AC17A8" w:rsidP="00A64688">
      <w:pPr>
        <w:pStyle w:val="TextPara"/>
      </w:pPr>
      <w:r>
        <w:fldChar w:fldCharType="begin"/>
      </w:r>
      <w:r>
        <w:instrText xml:space="preserve"> REF _Ref501556627 \h </w:instrText>
      </w:r>
      <w:r>
        <w:fldChar w:fldCharType="separate"/>
      </w:r>
      <w:r w:rsidR="00EB4B02">
        <w:t xml:space="preserve">Table </w:t>
      </w:r>
      <w:r w:rsidR="00EB4B02">
        <w:rPr>
          <w:noProof/>
        </w:rPr>
        <w:t>76</w:t>
      </w:r>
      <w:r>
        <w:fldChar w:fldCharType="end"/>
      </w:r>
      <w:r w:rsidRPr="00C66B5D">
        <w:t xml:space="preserve"> </w:t>
      </w:r>
      <w:r>
        <w:t xml:space="preserve">in Appendix </w:t>
      </w:r>
      <w:r>
        <w:fldChar w:fldCharType="begin"/>
      </w:r>
      <w:r>
        <w:instrText xml:space="preserve"> REF _Ref501556658 \r \h </w:instrText>
      </w:r>
      <w:r>
        <w:fldChar w:fldCharType="separate"/>
      </w:r>
      <w:r w:rsidR="00EB4B02">
        <w:t>C</w:t>
      </w:r>
      <w:r>
        <w:fldChar w:fldCharType="end"/>
      </w:r>
      <w:r>
        <w:t xml:space="preserve"> </w:t>
      </w:r>
      <w:r w:rsidR="009528D8">
        <w:t>contains a list of the proposed Regulations and identifies the nature of each regulation and its relationship to national standards and frameworks.</w:t>
      </w:r>
    </w:p>
    <w:p w14:paraId="41DA3C36" w14:textId="77777777" w:rsidR="00122C1B" w:rsidRPr="006601A7" w:rsidRDefault="00122C1B" w:rsidP="001A063E">
      <w:pPr>
        <w:pStyle w:val="Heading2"/>
        <w:rPr>
          <w:rStyle w:val="Strong"/>
          <w:b/>
          <w:bCs/>
          <w:color w:val="404040" w:themeColor="text1" w:themeTint="BF"/>
          <w:sz w:val="24"/>
          <w:szCs w:val="26"/>
        </w:rPr>
      </w:pPr>
      <w:bookmarkStart w:id="66" w:name="_Toc514753715"/>
      <w:bookmarkStart w:id="67" w:name="_Toc514755094"/>
      <w:bookmarkStart w:id="68" w:name="_Toc514773969"/>
      <w:bookmarkStart w:id="69" w:name="_Toc515464717"/>
      <w:bookmarkStart w:id="70" w:name="_Toc515532794"/>
      <w:bookmarkStart w:id="71" w:name="_Toc10703400"/>
      <w:bookmarkEnd w:id="66"/>
      <w:bookmarkEnd w:id="67"/>
      <w:bookmarkEnd w:id="68"/>
      <w:bookmarkEnd w:id="69"/>
      <w:bookmarkEnd w:id="70"/>
      <w:r w:rsidRPr="006601A7">
        <w:rPr>
          <w:rStyle w:val="Strong"/>
          <w:b/>
          <w:bCs/>
          <w:color w:val="404040" w:themeColor="text1" w:themeTint="BF"/>
          <w:sz w:val="24"/>
          <w:szCs w:val="26"/>
        </w:rPr>
        <w:lastRenderedPageBreak/>
        <w:t>RIS structure</w:t>
      </w:r>
      <w:bookmarkEnd w:id="71"/>
    </w:p>
    <w:p w14:paraId="6C44C28D" w14:textId="77777777" w:rsidR="00122C1B" w:rsidRPr="00117C96" w:rsidRDefault="00122C1B" w:rsidP="00044EFB">
      <w:pPr>
        <w:pStyle w:val="TextPara"/>
        <w:keepNext/>
        <w:rPr>
          <w:rFonts w:cs="Segoe UI"/>
          <w:lang w:eastAsia="en-AU"/>
        </w:rPr>
      </w:pPr>
      <w:bookmarkStart w:id="72" w:name="_Ref501639105"/>
      <w:bookmarkStart w:id="73" w:name="_Ref501639124"/>
      <w:r>
        <w:rPr>
          <w:rFonts w:cs="Segoe UI"/>
          <w:lang w:eastAsia="en-AU"/>
        </w:rPr>
        <w:t>Th</w:t>
      </w:r>
      <w:r w:rsidRPr="00117C96">
        <w:rPr>
          <w:rFonts w:cs="Segoe UI"/>
          <w:lang w:eastAsia="en-AU"/>
        </w:rPr>
        <w:t xml:space="preserve">is RIS consists of </w:t>
      </w:r>
      <w:r>
        <w:rPr>
          <w:rFonts w:cs="Segoe UI"/>
          <w:lang w:eastAsia="en-AU"/>
        </w:rPr>
        <w:t>four</w:t>
      </w:r>
      <w:r w:rsidRPr="00117C96">
        <w:rPr>
          <w:rFonts w:cs="Segoe UI"/>
          <w:lang w:eastAsia="en-AU"/>
        </w:rPr>
        <w:t xml:space="preserve"> </w:t>
      </w:r>
      <w:r>
        <w:rPr>
          <w:rFonts w:cs="Segoe UI"/>
          <w:lang w:eastAsia="en-AU"/>
        </w:rPr>
        <w:t xml:space="preserve">main </w:t>
      </w:r>
      <w:r w:rsidRPr="00117C96">
        <w:rPr>
          <w:rFonts w:cs="Segoe UI"/>
          <w:lang w:eastAsia="en-AU"/>
        </w:rPr>
        <w:t>parts:</w:t>
      </w:r>
    </w:p>
    <w:p w14:paraId="24E89163" w14:textId="77777777" w:rsidR="00122C1B" w:rsidRDefault="00122C1B" w:rsidP="005F6F8B">
      <w:pPr>
        <w:pStyle w:val="Bullet1-Black"/>
      </w:pPr>
      <w:r w:rsidRPr="00117C96">
        <w:t xml:space="preserve">Part </w:t>
      </w:r>
      <w:r>
        <w:t>1</w:t>
      </w:r>
      <w:r w:rsidRPr="00117C96">
        <w:t xml:space="preserve"> –</w:t>
      </w:r>
      <w:r>
        <w:t xml:space="preserve"> Introduction</w:t>
      </w:r>
    </w:p>
    <w:p w14:paraId="091E47AE" w14:textId="77777777" w:rsidR="00122C1B" w:rsidRPr="00117C96" w:rsidRDefault="00122C1B" w:rsidP="00457BB1">
      <w:pPr>
        <w:pStyle w:val="Bullet1-Black"/>
      </w:pPr>
      <w:r w:rsidRPr="00117C96">
        <w:t xml:space="preserve">Part </w:t>
      </w:r>
      <w:r>
        <w:t>2</w:t>
      </w:r>
      <w:r w:rsidRPr="00117C96">
        <w:t xml:space="preserve"> – </w:t>
      </w:r>
      <w:r>
        <w:t>Proposed measures</w:t>
      </w:r>
    </w:p>
    <w:p w14:paraId="69B080FA" w14:textId="77777777" w:rsidR="00122C1B" w:rsidRDefault="00122C1B">
      <w:pPr>
        <w:pStyle w:val="Bullet1-Black"/>
      </w:pPr>
      <w:r w:rsidRPr="00117C96">
        <w:t xml:space="preserve">Part </w:t>
      </w:r>
      <w:r>
        <w:t>3</w:t>
      </w:r>
      <w:r w:rsidRPr="00117C96">
        <w:t xml:space="preserve"> –</w:t>
      </w:r>
      <w:r>
        <w:t xml:space="preserve"> </w:t>
      </w:r>
      <w:r w:rsidRPr="00117C96">
        <w:t>Procedures improvement and equitable distribution of road use costs</w:t>
      </w:r>
    </w:p>
    <w:p w14:paraId="3350DB73" w14:textId="77777777" w:rsidR="00122C1B" w:rsidRPr="00117C96" w:rsidRDefault="00122C1B">
      <w:pPr>
        <w:pStyle w:val="Bullet1-Black"/>
      </w:pPr>
      <w:r>
        <w:t>Part 4 – Implementation, evaluation and consultation.</w:t>
      </w:r>
    </w:p>
    <w:p w14:paraId="3FFFA272" w14:textId="766A496F" w:rsidR="00122C1B" w:rsidRDefault="000C33B0" w:rsidP="002611AD">
      <w:pPr>
        <w:pStyle w:val="TextPara"/>
        <w:rPr>
          <w:rFonts w:cs="Segoe UI"/>
        </w:rPr>
      </w:pPr>
      <w:r>
        <w:t>DoT</w:t>
      </w:r>
      <w:r w:rsidR="00122C1B" w:rsidRPr="005B118C">
        <w:t xml:space="preserve"> developed</w:t>
      </w:r>
      <w:r w:rsidR="00122C1B">
        <w:t xml:space="preserve"> a</w:t>
      </w:r>
      <w:r w:rsidR="00122C1B" w:rsidRPr="00117C96">
        <w:t xml:space="preserve"> functional framework</w:t>
      </w:r>
      <w:r w:rsidR="00122C1B">
        <w:t xml:space="preserve">, shown in the diagram in </w:t>
      </w:r>
      <w:r w:rsidR="00122C1B">
        <w:fldChar w:fldCharType="begin"/>
      </w:r>
      <w:r w:rsidR="00122C1B">
        <w:instrText xml:space="preserve"> REF _Ref505071016 \h </w:instrText>
      </w:r>
      <w:r w:rsidR="00122C1B">
        <w:fldChar w:fldCharType="separate"/>
      </w:r>
      <w:r w:rsidR="00EB4B02" w:rsidRPr="00117C96">
        <w:t xml:space="preserve">Figure </w:t>
      </w:r>
      <w:r w:rsidR="00EB4B02">
        <w:rPr>
          <w:noProof/>
        </w:rPr>
        <w:t>2</w:t>
      </w:r>
      <w:r w:rsidR="00122C1B">
        <w:fldChar w:fldCharType="end"/>
      </w:r>
      <w:r w:rsidR="00122C1B">
        <w:rPr>
          <w:rFonts w:cs="Segoe UI"/>
        </w:rPr>
        <w:t>,</w:t>
      </w:r>
      <w:r w:rsidR="00122C1B" w:rsidRPr="00117C96">
        <w:rPr>
          <w:rFonts w:cs="Segoe UI"/>
        </w:rPr>
        <w:t xml:space="preserve"> to illustrate the link between the purposes of the </w:t>
      </w:r>
      <w:r w:rsidR="00122C1B" w:rsidRPr="006A392A">
        <w:rPr>
          <w:rFonts w:cs="Segoe UI"/>
          <w:i/>
        </w:rPr>
        <w:t>RSA</w:t>
      </w:r>
      <w:r w:rsidR="00122C1B" w:rsidRPr="00117C96">
        <w:rPr>
          <w:rFonts w:cs="Segoe UI"/>
        </w:rPr>
        <w:t xml:space="preserve">, the key functions of VicRoads and the obligations of drivers and vehicle operators. </w:t>
      </w:r>
    </w:p>
    <w:p w14:paraId="4D07B6D2" w14:textId="7B134045" w:rsidR="00735185" w:rsidRPr="00117C96" w:rsidRDefault="00735185" w:rsidP="00735185">
      <w:pPr>
        <w:pStyle w:val="CaptionFigures"/>
        <w:rPr>
          <w:lang w:eastAsia="en-AU"/>
        </w:rPr>
      </w:pPr>
      <w:bookmarkStart w:id="74" w:name="_Ref505071016"/>
      <w:bookmarkStart w:id="75" w:name="_Ref505071030"/>
      <w:bookmarkStart w:id="76" w:name="_Toc10703647"/>
      <w:bookmarkStart w:id="77" w:name="_Ref502239667"/>
      <w:bookmarkStart w:id="78" w:name="_Ref502239659"/>
      <w:r w:rsidRPr="00117C96">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2</w:t>
      </w:r>
      <w:r w:rsidR="00BC6B2E">
        <w:rPr>
          <w:noProof/>
        </w:rPr>
        <w:fldChar w:fldCharType="end"/>
      </w:r>
      <w:bookmarkEnd w:id="74"/>
      <w:r w:rsidRPr="00117C96">
        <w:t xml:space="preserve"> –</w:t>
      </w:r>
      <w:r>
        <w:t xml:space="preserve"> VicRoads f</w:t>
      </w:r>
      <w:r w:rsidRPr="007C0728">
        <w:t>unctional</w:t>
      </w:r>
      <w:r w:rsidRPr="00117C96">
        <w:t xml:space="preserve"> framework</w:t>
      </w:r>
      <w:bookmarkEnd w:id="75"/>
      <w:bookmarkEnd w:id="76"/>
    </w:p>
    <w:p w14:paraId="3BFD741A" w14:textId="77777777" w:rsidR="00735185" w:rsidRDefault="00735185" w:rsidP="00735185">
      <w:pPr>
        <w:pStyle w:val="Picture"/>
        <w:spacing w:after="0"/>
        <w:ind w:left="0"/>
        <w:jc w:val="center"/>
        <w:rPr>
          <w:rFonts w:cs="Segoe UI"/>
        </w:rPr>
      </w:pPr>
      <w:r w:rsidRPr="00193355">
        <w:rPr>
          <w:lang w:val="en-GB" w:eastAsia="en-GB"/>
        </w:rPr>
        <w:drawing>
          <wp:inline distT="0" distB="0" distL="0" distR="0" wp14:anchorId="0577AFA5" wp14:editId="5B99F088">
            <wp:extent cx="6048375" cy="520636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5206365"/>
                    </a:xfrm>
                    <a:prstGeom prst="rect">
                      <a:avLst/>
                    </a:prstGeom>
                    <a:noFill/>
                    <a:ln>
                      <a:noFill/>
                    </a:ln>
                  </pic:spPr>
                </pic:pic>
              </a:graphicData>
            </a:graphic>
          </wp:inline>
        </w:drawing>
      </w:r>
    </w:p>
    <w:p w14:paraId="055BCCCF" w14:textId="77777777" w:rsidR="00735185" w:rsidRPr="00117C96" w:rsidRDefault="00735185" w:rsidP="00735185">
      <w:pPr>
        <w:pStyle w:val="Source"/>
        <w:tabs>
          <w:tab w:val="clear" w:pos="851"/>
        </w:tabs>
        <w:ind w:left="0" w:firstLine="0"/>
      </w:pPr>
      <w:r>
        <w:t>Source: VicRoads 2018</w:t>
      </w:r>
    </w:p>
    <w:p w14:paraId="2DCCDFFE" w14:textId="3A2DE05D" w:rsidR="00122C1B" w:rsidRDefault="00122C1B" w:rsidP="002611AD">
      <w:pPr>
        <w:pStyle w:val="TextPara"/>
        <w:rPr>
          <w:rFonts w:cs="Segoe UI"/>
        </w:rPr>
      </w:pPr>
      <w:r>
        <w:rPr>
          <w:rFonts w:cs="Segoe UI"/>
        </w:rPr>
        <w:t>The framework consists of two main blocks in the diagram relating to ‘</w:t>
      </w:r>
      <w:r w:rsidRPr="00A82045">
        <w:rPr>
          <w:rFonts w:cs="Segoe UI"/>
        </w:rPr>
        <w:t>Road Safety Delivery Functions</w:t>
      </w:r>
      <w:r>
        <w:rPr>
          <w:rFonts w:cs="Segoe UI"/>
        </w:rPr>
        <w:t>’</w:t>
      </w:r>
      <w:r>
        <w:rPr>
          <w:rFonts w:cs="Segoe UI"/>
          <w:i/>
        </w:rPr>
        <w:t xml:space="preserve"> </w:t>
      </w:r>
      <w:r w:rsidRPr="00C5495B">
        <w:rPr>
          <w:rFonts w:cs="Segoe UI"/>
        </w:rPr>
        <w:t>and</w:t>
      </w:r>
      <w:r>
        <w:rPr>
          <w:rFonts w:cs="Segoe UI"/>
          <w:i/>
        </w:rPr>
        <w:t xml:space="preserve"> ‘</w:t>
      </w:r>
      <w:r w:rsidRPr="00A82045">
        <w:rPr>
          <w:rFonts w:cs="Segoe UI"/>
        </w:rPr>
        <w:t>Road Safety Delivery Principles</w:t>
      </w:r>
      <w:r>
        <w:rPr>
          <w:rFonts w:cs="Segoe UI"/>
        </w:rPr>
        <w:t>’</w:t>
      </w:r>
      <w:r>
        <w:rPr>
          <w:rFonts w:cs="Segoe UI"/>
          <w:i/>
        </w:rPr>
        <w:t xml:space="preserve"> </w:t>
      </w:r>
      <w:r>
        <w:rPr>
          <w:rFonts w:cs="Segoe UI"/>
        </w:rPr>
        <w:t>respectively.</w:t>
      </w:r>
      <w:r>
        <w:rPr>
          <w:rFonts w:cs="Segoe UI"/>
          <w:i/>
        </w:rPr>
        <w:t xml:space="preserve"> </w:t>
      </w:r>
      <w:r w:rsidRPr="00117C96">
        <w:rPr>
          <w:rFonts w:cs="Segoe UI"/>
        </w:rPr>
        <w:t>VicRoads</w:t>
      </w:r>
      <w:r>
        <w:rPr>
          <w:rFonts w:cs="Segoe UI"/>
        </w:rPr>
        <w:t>’</w:t>
      </w:r>
      <w:r w:rsidRPr="00117C96">
        <w:rPr>
          <w:rFonts w:cs="Segoe UI"/>
        </w:rPr>
        <w:t xml:space="preserve"> functions </w:t>
      </w:r>
      <w:r>
        <w:rPr>
          <w:rFonts w:cs="Segoe UI"/>
        </w:rPr>
        <w:t xml:space="preserve">under the </w:t>
      </w:r>
      <w:r w:rsidRPr="006A392A">
        <w:rPr>
          <w:rFonts w:cs="Segoe UI"/>
          <w:i/>
        </w:rPr>
        <w:t>RSA</w:t>
      </w:r>
      <w:r>
        <w:rPr>
          <w:rFonts w:cs="Segoe UI"/>
        </w:rPr>
        <w:t xml:space="preserve"> are aimed at achieving </w:t>
      </w:r>
      <w:r w:rsidRPr="00117C96">
        <w:rPr>
          <w:rFonts w:cs="Segoe UI"/>
        </w:rPr>
        <w:t xml:space="preserve">the purposes defined in sections 1(a), 1(ab), and 1(c) </w:t>
      </w:r>
      <w:r>
        <w:rPr>
          <w:rFonts w:cs="Segoe UI"/>
        </w:rPr>
        <w:t xml:space="preserve">of the </w:t>
      </w:r>
      <w:r w:rsidRPr="006A392A">
        <w:rPr>
          <w:rFonts w:cs="Segoe UI"/>
          <w:i/>
        </w:rPr>
        <w:t>RSA</w:t>
      </w:r>
      <w:r>
        <w:rPr>
          <w:rFonts w:cs="Segoe UI"/>
          <w:i/>
        </w:rPr>
        <w:t xml:space="preserve"> </w:t>
      </w:r>
      <w:r w:rsidRPr="00C5495B">
        <w:rPr>
          <w:rFonts w:cs="Segoe UI"/>
        </w:rPr>
        <w:t xml:space="preserve">and are </w:t>
      </w:r>
      <w:r>
        <w:rPr>
          <w:rFonts w:cs="Segoe UI"/>
        </w:rPr>
        <w:t xml:space="preserve">grouped </w:t>
      </w:r>
      <w:r w:rsidRPr="00C5495B">
        <w:rPr>
          <w:rFonts w:cs="Segoe UI"/>
        </w:rPr>
        <w:t>i</w:t>
      </w:r>
      <w:r>
        <w:rPr>
          <w:rFonts w:cs="Segoe UI"/>
        </w:rPr>
        <w:t xml:space="preserve">n the framework diagram under </w:t>
      </w:r>
      <w:r w:rsidRPr="00A82045">
        <w:rPr>
          <w:rFonts w:cs="Segoe UI"/>
        </w:rPr>
        <w:t>Road Safety Delivery Functions</w:t>
      </w:r>
      <w:r>
        <w:rPr>
          <w:rFonts w:cs="Segoe UI"/>
          <w:i/>
        </w:rPr>
        <w:t xml:space="preserve">. </w:t>
      </w:r>
      <w:r>
        <w:rPr>
          <w:rFonts w:cs="Segoe UI"/>
        </w:rPr>
        <w:t>T</w:t>
      </w:r>
      <w:r w:rsidRPr="00117C96">
        <w:rPr>
          <w:rFonts w:cs="Segoe UI"/>
        </w:rPr>
        <w:t xml:space="preserve">he </w:t>
      </w:r>
      <w:r>
        <w:rPr>
          <w:rFonts w:cs="Segoe UI"/>
        </w:rPr>
        <w:t xml:space="preserve">principles that guide VicRoads in delivering the road safety functions are </w:t>
      </w:r>
      <w:r w:rsidRPr="00117C96">
        <w:rPr>
          <w:rFonts w:cs="Segoe UI"/>
        </w:rPr>
        <w:t>defined in sections 1(b) and 1(d)</w:t>
      </w:r>
      <w:r>
        <w:rPr>
          <w:rFonts w:cs="Segoe UI"/>
        </w:rPr>
        <w:t xml:space="preserve"> of the </w:t>
      </w:r>
      <w:r w:rsidRPr="006A392A">
        <w:rPr>
          <w:rFonts w:cs="Segoe UI"/>
          <w:i/>
        </w:rPr>
        <w:t>RSA</w:t>
      </w:r>
      <w:r w:rsidRPr="00CB01B0">
        <w:rPr>
          <w:rFonts w:cs="Segoe UI"/>
          <w:vertAlign w:val="superscript"/>
        </w:rPr>
        <w:t xml:space="preserve"> </w:t>
      </w:r>
      <w:r>
        <w:rPr>
          <w:rFonts w:cs="Segoe UI"/>
        </w:rPr>
        <w:t xml:space="preserve">and </w:t>
      </w:r>
      <w:r w:rsidRPr="00117C96">
        <w:rPr>
          <w:rFonts w:cs="Segoe UI"/>
        </w:rPr>
        <w:t xml:space="preserve">grouped </w:t>
      </w:r>
      <w:r>
        <w:rPr>
          <w:rFonts w:cs="Segoe UI"/>
        </w:rPr>
        <w:t>under the heading of</w:t>
      </w:r>
      <w:r w:rsidRPr="00117C96">
        <w:rPr>
          <w:rFonts w:cs="Segoe UI"/>
        </w:rPr>
        <w:t xml:space="preserve"> </w:t>
      </w:r>
      <w:r w:rsidRPr="00A82045">
        <w:rPr>
          <w:rFonts w:cs="Segoe UI"/>
        </w:rPr>
        <w:t>Road Safety Delivery Principles</w:t>
      </w:r>
      <w:r w:rsidRPr="00A012A1">
        <w:rPr>
          <w:rFonts w:cs="Segoe UI"/>
        </w:rPr>
        <w:t xml:space="preserve"> </w:t>
      </w:r>
      <w:r>
        <w:rPr>
          <w:rFonts w:cs="Segoe UI"/>
        </w:rPr>
        <w:t xml:space="preserve">in </w:t>
      </w:r>
      <w:r>
        <w:rPr>
          <w:rFonts w:cs="Segoe UI"/>
        </w:rPr>
        <w:fldChar w:fldCharType="begin"/>
      </w:r>
      <w:r>
        <w:rPr>
          <w:rFonts w:cs="Segoe UI"/>
        </w:rPr>
        <w:instrText xml:space="preserve"> REF _Ref505071016 \h </w:instrText>
      </w:r>
      <w:r>
        <w:rPr>
          <w:rFonts w:cs="Segoe UI"/>
        </w:rPr>
      </w:r>
      <w:r>
        <w:rPr>
          <w:rFonts w:cs="Segoe UI"/>
        </w:rPr>
        <w:fldChar w:fldCharType="separate"/>
      </w:r>
      <w:r w:rsidR="00EB4B02" w:rsidRPr="00117C96">
        <w:t xml:space="preserve">Figure </w:t>
      </w:r>
      <w:r w:rsidR="00EB4B02">
        <w:rPr>
          <w:noProof/>
        </w:rPr>
        <w:t>2</w:t>
      </w:r>
      <w:r>
        <w:rPr>
          <w:rFonts w:cs="Segoe UI"/>
        </w:rPr>
        <w:fldChar w:fldCharType="end"/>
      </w:r>
      <w:r>
        <w:rPr>
          <w:rFonts w:cs="Segoe UI"/>
        </w:rPr>
        <w:t>.</w:t>
      </w:r>
    </w:p>
    <w:p w14:paraId="27B9CEFE" w14:textId="77777777" w:rsidR="00122C1B" w:rsidRDefault="00122C1B" w:rsidP="009F032C">
      <w:pPr>
        <w:pStyle w:val="TextPara"/>
        <w:spacing w:after="0"/>
        <w:rPr>
          <w:rFonts w:cs="Segoe UI"/>
          <w:lang w:eastAsia="en-AU"/>
        </w:rPr>
      </w:pPr>
      <w:r w:rsidRPr="00117C96">
        <w:rPr>
          <w:rFonts w:cs="Segoe UI"/>
        </w:rPr>
        <w:lastRenderedPageBreak/>
        <w:t xml:space="preserve">The road safety delivery functions were then divided into two broad segments: </w:t>
      </w:r>
      <w:r w:rsidRPr="00117C96">
        <w:rPr>
          <w:rFonts w:cs="Segoe UI"/>
          <w:b/>
        </w:rPr>
        <w:t>Safe Drivers</w:t>
      </w:r>
      <w:r w:rsidRPr="00117C96">
        <w:rPr>
          <w:rFonts w:cs="Segoe UI"/>
        </w:rPr>
        <w:t xml:space="preserve"> and </w:t>
      </w:r>
      <w:r w:rsidRPr="00117C96">
        <w:rPr>
          <w:rFonts w:cs="Segoe UI"/>
          <w:b/>
        </w:rPr>
        <w:t>Safe Vehicles</w:t>
      </w:r>
      <w:r w:rsidRPr="00117C96">
        <w:rPr>
          <w:rFonts w:cs="Segoe UI"/>
        </w:rPr>
        <w:t xml:space="preserve">. These </w:t>
      </w:r>
      <w:r>
        <w:rPr>
          <w:rFonts w:cs="Segoe UI"/>
        </w:rPr>
        <w:t xml:space="preserve">mirror </w:t>
      </w:r>
      <w:r w:rsidRPr="00117C96">
        <w:rPr>
          <w:rFonts w:cs="Segoe UI"/>
        </w:rPr>
        <w:t xml:space="preserve">key components of the </w:t>
      </w:r>
      <w:r w:rsidRPr="00117C96">
        <w:rPr>
          <w:rFonts w:cs="Segoe UI"/>
          <w:lang w:eastAsia="en-AU"/>
        </w:rPr>
        <w:t>‘Towards Zero’ strategy</w:t>
      </w:r>
      <w:r>
        <w:rPr>
          <w:rFonts w:cs="Segoe UI"/>
          <w:lang w:eastAsia="en-AU"/>
        </w:rPr>
        <w:t>,</w:t>
      </w:r>
      <w:r>
        <w:rPr>
          <w:rStyle w:val="EndnoteReference"/>
          <w:rFonts w:cs="Segoe UI"/>
          <w:lang w:eastAsia="en-AU"/>
        </w:rPr>
        <w:endnoteReference w:id="49"/>
      </w:r>
      <w:r>
        <w:rPr>
          <w:rFonts w:cs="Segoe UI"/>
          <w:lang w:eastAsia="en-AU"/>
        </w:rPr>
        <w:t xml:space="preserve"> </w:t>
      </w:r>
      <w:r w:rsidRPr="00457864">
        <w:rPr>
          <w:rFonts w:cs="Segoe UI"/>
          <w:lang w:eastAsia="en-AU"/>
        </w:rPr>
        <w:t xml:space="preserve">which aims to develop a safe road system comprising safe roads, safe speeds, safe vehicles, and safe people and a vision for a future free of deaths and serious injuries on </w:t>
      </w:r>
      <w:r>
        <w:rPr>
          <w:rFonts w:cs="Segoe UI"/>
          <w:lang w:eastAsia="en-AU"/>
        </w:rPr>
        <w:t>Victorian</w:t>
      </w:r>
      <w:r w:rsidRPr="00457864">
        <w:rPr>
          <w:rFonts w:cs="Segoe UI"/>
          <w:lang w:eastAsia="en-AU"/>
        </w:rPr>
        <w:t xml:space="preserve"> roads.</w:t>
      </w:r>
      <w:r w:rsidRPr="009F032C">
        <w:rPr>
          <w:rFonts w:cs="Segoe UI"/>
          <w:lang w:eastAsia="en-AU"/>
        </w:rPr>
        <w:t xml:space="preserve"> </w:t>
      </w:r>
    </w:p>
    <w:p w14:paraId="1E46B733" w14:textId="77777777" w:rsidR="00122C1B" w:rsidRPr="00117C96" w:rsidRDefault="00122C1B" w:rsidP="009F032C">
      <w:pPr>
        <w:pStyle w:val="TextPara"/>
        <w:spacing w:after="0"/>
        <w:rPr>
          <w:rFonts w:cs="Segoe UI"/>
          <w:lang w:eastAsia="en-AU"/>
        </w:rPr>
      </w:pPr>
      <w:r w:rsidRPr="00117C96">
        <w:rPr>
          <w:rFonts w:cs="Segoe UI"/>
          <w:lang w:eastAsia="en-AU"/>
        </w:rPr>
        <w:t xml:space="preserve">The </w:t>
      </w:r>
      <w:r>
        <w:rPr>
          <w:rFonts w:cs="Segoe UI"/>
          <w:lang w:eastAsia="en-AU"/>
        </w:rPr>
        <w:t xml:space="preserve">key </w:t>
      </w:r>
      <w:r w:rsidRPr="00117C96">
        <w:rPr>
          <w:rFonts w:cs="Segoe UI"/>
          <w:lang w:eastAsia="en-AU"/>
        </w:rPr>
        <w:t>activities that are fundamental to safe drivers are</w:t>
      </w:r>
      <w:r>
        <w:rPr>
          <w:rFonts w:cs="Segoe UI"/>
          <w:lang w:eastAsia="en-AU"/>
        </w:rPr>
        <w:t xml:space="preserve"> grouped under the following main headings</w:t>
      </w:r>
      <w:r w:rsidRPr="00117C96">
        <w:rPr>
          <w:rFonts w:cs="Segoe UI"/>
          <w:lang w:eastAsia="en-AU"/>
        </w:rPr>
        <w:t>:</w:t>
      </w:r>
    </w:p>
    <w:p w14:paraId="19EED999" w14:textId="77777777" w:rsidR="00122C1B" w:rsidRPr="00117C96" w:rsidRDefault="00122C1B" w:rsidP="005F6F8B">
      <w:pPr>
        <w:pStyle w:val="Bullet1-Black"/>
      </w:pPr>
      <w:r>
        <w:t>Induct drivers into Victoria</w:t>
      </w:r>
    </w:p>
    <w:p w14:paraId="7B1E93A7" w14:textId="77777777" w:rsidR="00122C1B" w:rsidRPr="00117C96" w:rsidRDefault="00122C1B" w:rsidP="00457BB1">
      <w:pPr>
        <w:pStyle w:val="Bullet1-Black"/>
      </w:pPr>
      <w:r>
        <w:t>Ensure medical fitness to drive</w:t>
      </w:r>
    </w:p>
    <w:p w14:paraId="5F135C09" w14:textId="77777777" w:rsidR="00122C1B" w:rsidRPr="00117C96" w:rsidRDefault="00122C1B">
      <w:pPr>
        <w:pStyle w:val="Bullet1-Black"/>
      </w:pPr>
      <w:r>
        <w:t>Manage d</w:t>
      </w:r>
      <w:r w:rsidRPr="00117C96">
        <w:t>river behaviour.</w:t>
      </w:r>
    </w:p>
    <w:bookmarkEnd w:id="72"/>
    <w:bookmarkEnd w:id="73"/>
    <w:bookmarkEnd w:id="77"/>
    <w:bookmarkEnd w:id="78"/>
    <w:p w14:paraId="04BEB48B" w14:textId="77777777" w:rsidR="00122C1B" w:rsidRDefault="00122C1B" w:rsidP="002611AD">
      <w:pPr>
        <w:pStyle w:val="TextPara"/>
        <w:rPr>
          <w:rFonts w:cs="Segoe UI"/>
          <w:lang w:eastAsia="en-AU"/>
        </w:rPr>
      </w:pPr>
      <w:r w:rsidRPr="00117C96">
        <w:rPr>
          <w:rFonts w:cs="Segoe UI"/>
          <w:lang w:eastAsia="en-AU"/>
        </w:rPr>
        <w:t xml:space="preserve">The review of the </w:t>
      </w:r>
      <w:r w:rsidRPr="00BB0059">
        <w:rPr>
          <w:rFonts w:cs="Segoe UI"/>
          <w:lang w:eastAsia="en-AU"/>
        </w:rPr>
        <w:t>Road Safety (Drivers) Regulations 2009</w:t>
      </w:r>
      <w:r>
        <w:rPr>
          <w:rFonts w:cs="Segoe UI"/>
          <w:lang w:eastAsia="en-AU"/>
        </w:rPr>
        <w:t xml:space="preserve"> identified</w:t>
      </w:r>
      <w:r w:rsidRPr="00117C96">
        <w:rPr>
          <w:rFonts w:cs="Segoe UI"/>
          <w:lang w:eastAsia="en-AU"/>
        </w:rPr>
        <w:t xml:space="preserve"> </w:t>
      </w:r>
      <w:r>
        <w:rPr>
          <w:rFonts w:cs="Segoe UI"/>
          <w:lang w:eastAsia="en-AU"/>
        </w:rPr>
        <w:t>a</w:t>
      </w:r>
      <w:r w:rsidRPr="00117C96">
        <w:rPr>
          <w:rFonts w:cs="Segoe UI"/>
          <w:lang w:eastAsia="en-AU"/>
        </w:rPr>
        <w:t xml:space="preserve"> need for some </w:t>
      </w:r>
      <w:r>
        <w:rPr>
          <w:rFonts w:cs="Segoe UI"/>
          <w:lang w:eastAsia="en-AU"/>
        </w:rPr>
        <w:t xml:space="preserve">minor </w:t>
      </w:r>
      <w:r w:rsidRPr="00117C96">
        <w:rPr>
          <w:rFonts w:cs="Segoe UI"/>
          <w:lang w:eastAsia="en-AU"/>
        </w:rPr>
        <w:t xml:space="preserve">amendments to </w:t>
      </w:r>
      <w:r>
        <w:rPr>
          <w:rFonts w:cs="Segoe UI"/>
          <w:lang w:eastAsia="en-AU"/>
        </w:rPr>
        <w:t xml:space="preserve">be made to </w:t>
      </w:r>
      <w:r w:rsidRPr="00117C96">
        <w:rPr>
          <w:rFonts w:cs="Segoe UI"/>
          <w:lang w:eastAsia="en-AU"/>
        </w:rPr>
        <w:t xml:space="preserve">the </w:t>
      </w:r>
      <w:r w:rsidRPr="006A392A">
        <w:rPr>
          <w:rFonts w:cs="Segoe UI"/>
          <w:i/>
          <w:lang w:eastAsia="en-AU"/>
        </w:rPr>
        <w:t>RSA</w:t>
      </w:r>
      <w:r w:rsidRPr="00117C96">
        <w:rPr>
          <w:rFonts w:cs="Segoe UI"/>
          <w:lang w:eastAsia="en-AU"/>
        </w:rPr>
        <w:t xml:space="preserve"> to </w:t>
      </w:r>
      <w:r>
        <w:rPr>
          <w:rFonts w:cs="Segoe UI"/>
          <w:lang w:eastAsia="en-AU"/>
        </w:rPr>
        <w:t>improve</w:t>
      </w:r>
      <w:r w:rsidRPr="00117C96">
        <w:rPr>
          <w:rFonts w:cs="Segoe UI"/>
          <w:lang w:eastAsia="en-AU"/>
        </w:rPr>
        <w:t xml:space="preserve"> regulatory efficienc</w:t>
      </w:r>
      <w:r>
        <w:rPr>
          <w:rFonts w:cs="Segoe UI"/>
          <w:lang w:eastAsia="en-AU"/>
        </w:rPr>
        <w:t>y</w:t>
      </w:r>
      <w:r w:rsidRPr="00117C96">
        <w:rPr>
          <w:rFonts w:cs="Segoe UI"/>
          <w:lang w:eastAsia="en-AU"/>
        </w:rPr>
        <w:t>.</w:t>
      </w:r>
      <w:r>
        <w:rPr>
          <w:rFonts w:cs="Segoe UI"/>
          <w:lang w:eastAsia="en-AU"/>
        </w:rPr>
        <w:t xml:space="preserve"> The </w:t>
      </w:r>
      <w:r w:rsidRPr="009F032C">
        <w:rPr>
          <w:rFonts w:cs="Segoe UI"/>
          <w:i/>
          <w:lang w:eastAsia="en-AU"/>
        </w:rPr>
        <w:t>RSA</w:t>
      </w:r>
      <w:r>
        <w:rPr>
          <w:rFonts w:cs="Segoe UI"/>
          <w:lang w:eastAsia="en-AU"/>
        </w:rPr>
        <w:t xml:space="preserve"> amendments fall outside the scope of this RIS.</w:t>
      </w:r>
      <w:r>
        <w:rPr>
          <w:rStyle w:val="EndnoteReference"/>
          <w:rFonts w:cs="Segoe UI"/>
          <w:lang w:eastAsia="en-AU"/>
        </w:rPr>
        <w:endnoteReference w:id="50"/>
      </w:r>
      <w:r>
        <w:rPr>
          <w:rFonts w:cs="Segoe UI"/>
          <w:lang w:eastAsia="en-AU"/>
        </w:rPr>
        <w:t xml:space="preserve"> </w:t>
      </w:r>
    </w:p>
    <w:p w14:paraId="2320E1DC" w14:textId="77777777" w:rsidR="00122C1B" w:rsidRPr="006601A7" w:rsidRDefault="00122C1B" w:rsidP="001A063E">
      <w:pPr>
        <w:pStyle w:val="Heading2"/>
        <w:rPr>
          <w:rStyle w:val="Strong"/>
          <w:b/>
          <w:bCs/>
          <w:color w:val="404040" w:themeColor="text1" w:themeTint="BF"/>
          <w:sz w:val="24"/>
          <w:szCs w:val="26"/>
        </w:rPr>
      </w:pPr>
      <w:bookmarkStart w:id="79" w:name="_Toc10703401"/>
      <w:r w:rsidRPr="006601A7">
        <w:rPr>
          <w:rStyle w:val="Strong"/>
          <w:b/>
          <w:bCs/>
          <w:color w:val="404040" w:themeColor="text1" w:themeTint="BF"/>
          <w:sz w:val="24"/>
          <w:szCs w:val="26"/>
        </w:rPr>
        <w:t>RIS Scope</w:t>
      </w:r>
      <w:bookmarkEnd w:id="79"/>
    </w:p>
    <w:p w14:paraId="3F857297" w14:textId="173F898B" w:rsidR="00122C1B" w:rsidRPr="00117C96" w:rsidRDefault="00122C1B" w:rsidP="002611AD">
      <w:pPr>
        <w:pStyle w:val="TextPara"/>
        <w:rPr>
          <w:rFonts w:cs="Segoe UI"/>
        </w:rPr>
      </w:pPr>
      <w:r w:rsidRPr="00117C96">
        <w:rPr>
          <w:rFonts w:cs="Segoe UI"/>
        </w:rPr>
        <w:t xml:space="preserve">The scope of this document covers the </w:t>
      </w:r>
      <w:r w:rsidRPr="00117C96">
        <w:rPr>
          <w:rFonts w:cs="Segoe UI"/>
          <w:b/>
        </w:rPr>
        <w:t>Safe Drivers</w:t>
      </w:r>
      <w:r w:rsidRPr="00117C96">
        <w:rPr>
          <w:rFonts w:cs="Segoe UI"/>
        </w:rPr>
        <w:t xml:space="preserve"> segment of the functional framework </w:t>
      </w:r>
      <w:r>
        <w:rPr>
          <w:rFonts w:cs="Segoe UI"/>
        </w:rPr>
        <w:t xml:space="preserve">in </w:t>
      </w:r>
      <w:r>
        <w:rPr>
          <w:rFonts w:cs="Segoe UI"/>
        </w:rPr>
        <w:fldChar w:fldCharType="begin"/>
      </w:r>
      <w:r>
        <w:rPr>
          <w:rFonts w:cs="Segoe UI"/>
        </w:rPr>
        <w:instrText xml:space="preserve"> REF _Ref505071016 \h </w:instrText>
      </w:r>
      <w:r>
        <w:rPr>
          <w:rFonts w:cs="Segoe UI"/>
        </w:rPr>
      </w:r>
      <w:r>
        <w:rPr>
          <w:rFonts w:cs="Segoe UI"/>
        </w:rPr>
        <w:fldChar w:fldCharType="separate"/>
      </w:r>
      <w:r w:rsidR="00EB4B02" w:rsidRPr="00117C96">
        <w:t xml:space="preserve">Figure </w:t>
      </w:r>
      <w:r w:rsidR="00EB4B02">
        <w:rPr>
          <w:noProof/>
        </w:rPr>
        <w:t>2</w:t>
      </w:r>
      <w:r>
        <w:rPr>
          <w:rFonts w:cs="Segoe UI"/>
        </w:rPr>
        <w:fldChar w:fldCharType="end"/>
      </w:r>
      <w:r>
        <w:rPr>
          <w:rFonts w:cs="Segoe UI"/>
        </w:rPr>
        <w:t xml:space="preserve"> above </w:t>
      </w:r>
      <w:r w:rsidRPr="00117C96">
        <w:rPr>
          <w:rFonts w:cs="Segoe UI"/>
        </w:rPr>
        <w:t>and the key measures in the</w:t>
      </w:r>
      <w:r>
        <w:rPr>
          <w:rFonts w:cs="Segoe UI"/>
        </w:rPr>
        <w:t xml:space="preserve"> proposed</w:t>
      </w:r>
      <w:r w:rsidRPr="00117C96">
        <w:rPr>
          <w:rFonts w:cs="Segoe UI"/>
        </w:rPr>
        <w:t xml:space="preserve"> </w:t>
      </w:r>
      <w:r w:rsidRPr="00BB0059">
        <w:rPr>
          <w:rFonts w:cs="Segoe UI"/>
        </w:rPr>
        <w:t>Road Safety (Drivers) Regulations 2019</w:t>
      </w:r>
      <w:r w:rsidRPr="00117C96">
        <w:rPr>
          <w:rFonts w:cs="Segoe UI"/>
        </w:rPr>
        <w:t xml:space="preserve">. </w:t>
      </w:r>
    </w:p>
    <w:p w14:paraId="7D89D123" w14:textId="77777777" w:rsidR="00122C1B" w:rsidRDefault="00122C1B" w:rsidP="002611AD">
      <w:pPr>
        <w:pStyle w:val="TextPara"/>
        <w:rPr>
          <w:rFonts w:cs="Segoe UI"/>
          <w:lang w:eastAsia="en-AU"/>
        </w:rPr>
      </w:pPr>
      <w:r w:rsidRPr="00117C96">
        <w:rPr>
          <w:rFonts w:cs="Segoe UI"/>
          <w:lang w:eastAsia="en-AU"/>
        </w:rPr>
        <w:t xml:space="preserve">These elements </w:t>
      </w:r>
      <w:r>
        <w:rPr>
          <w:rFonts w:cs="Segoe UI"/>
          <w:lang w:eastAsia="en-AU"/>
        </w:rPr>
        <w:t xml:space="preserve">aim to </w:t>
      </w:r>
      <w:r w:rsidRPr="00117C96">
        <w:rPr>
          <w:rFonts w:cs="Segoe UI"/>
          <w:lang w:eastAsia="en-AU"/>
        </w:rPr>
        <w:t xml:space="preserve">ensure that drivers can obtain a valid licence that reflects their driving skills, knowledge and experience and, once they are licensed, that they are able to continue to drive a motor vehicle in a safe and lawful manner. </w:t>
      </w:r>
    </w:p>
    <w:p w14:paraId="2B291417" w14:textId="3E946854" w:rsidR="00122C1B" w:rsidRDefault="00122C1B" w:rsidP="008410F6">
      <w:pPr>
        <w:pStyle w:val="TextPara"/>
      </w:pPr>
      <w:r>
        <w:t xml:space="preserve">The proposed Regulations substantially remake the </w:t>
      </w:r>
      <w:r w:rsidRPr="00BB0059">
        <w:t>Road Safety (Drivers) Regulations 2009</w:t>
      </w:r>
      <w:r>
        <w:t xml:space="preserve">. The new Regulations have been re-numbered in accordance with current drafting practice and some regulations have been restructured for clarity. These amendments resulted from the sunsetting review </w:t>
      </w:r>
      <w:r w:rsidRPr="000322C4">
        <w:t xml:space="preserve">process. A summary of the key changes is set out in </w:t>
      </w:r>
      <w:r w:rsidRPr="000322C4">
        <w:fldChar w:fldCharType="begin"/>
      </w:r>
      <w:r w:rsidRPr="000322C4">
        <w:instrText xml:space="preserve"> REF _Ref503871303 \h  \* MERGEFORMAT </w:instrText>
      </w:r>
      <w:r w:rsidRPr="000322C4">
        <w:fldChar w:fldCharType="separate"/>
      </w:r>
      <w:r w:rsidR="00EB4B02">
        <w:t xml:space="preserve">Table </w:t>
      </w:r>
      <w:r w:rsidR="00EB4B02">
        <w:rPr>
          <w:noProof/>
        </w:rPr>
        <w:t>72</w:t>
      </w:r>
      <w:r w:rsidRPr="000322C4">
        <w:fldChar w:fldCharType="end"/>
      </w:r>
      <w:r w:rsidRPr="000322C4">
        <w:t xml:space="preserve"> on page </w:t>
      </w:r>
      <w:r w:rsidRPr="000322C4">
        <w:fldChar w:fldCharType="begin"/>
      </w:r>
      <w:r w:rsidRPr="000322C4">
        <w:instrText xml:space="preserve"> PAGEREF _Ref508727721 \h </w:instrText>
      </w:r>
      <w:r w:rsidRPr="000322C4">
        <w:fldChar w:fldCharType="separate"/>
      </w:r>
      <w:r w:rsidR="00EB4B02">
        <w:rPr>
          <w:noProof/>
        </w:rPr>
        <w:t>189</w:t>
      </w:r>
      <w:r w:rsidRPr="000322C4">
        <w:fldChar w:fldCharType="end"/>
      </w:r>
      <w:r w:rsidRPr="000322C4">
        <w:t>.</w:t>
      </w:r>
    </w:p>
    <w:p w14:paraId="61F4913E" w14:textId="77777777" w:rsidR="00122C1B" w:rsidRPr="006601A7" w:rsidRDefault="00122C1B" w:rsidP="001A063E">
      <w:pPr>
        <w:pStyle w:val="Heading2"/>
        <w:rPr>
          <w:rStyle w:val="Strong"/>
          <w:b/>
          <w:bCs/>
          <w:color w:val="404040" w:themeColor="text1" w:themeTint="BF"/>
          <w:sz w:val="24"/>
          <w:szCs w:val="26"/>
        </w:rPr>
      </w:pPr>
      <w:bookmarkStart w:id="80" w:name="_Toc10703402"/>
      <w:r w:rsidRPr="006601A7">
        <w:rPr>
          <w:rStyle w:val="Strong"/>
          <w:b/>
          <w:bCs/>
          <w:color w:val="404040" w:themeColor="text1" w:themeTint="BF"/>
          <w:sz w:val="24"/>
          <w:szCs w:val="26"/>
        </w:rPr>
        <w:t>Options identification</w:t>
      </w:r>
      <w:bookmarkEnd w:id="80"/>
    </w:p>
    <w:p w14:paraId="7E74DE06" w14:textId="52FEAE0A" w:rsidR="00122C1B" w:rsidRDefault="00122C1B" w:rsidP="003E1A86">
      <w:pPr>
        <w:pStyle w:val="TextPara"/>
      </w:pPr>
      <w:r>
        <w:t>The process for reviewing the current regulations started by inviting internal and external stakeholder groups</w:t>
      </w:r>
      <w:r>
        <w:rPr>
          <w:rStyle w:val="EndnoteReference"/>
        </w:rPr>
        <w:endnoteReference w:id="51"/>
      </w:r>
      <w:r>
        <w:t xml:space="preserve"> to submit ideas and issues for consideration to be addressed in the re-make of the regulations. Other inputs included issues raised and discussed at </w:t>
      </w:r>
      <w:r w:rsidR="0026454D">
        <w:t xml:space="preserve">an </w:t>
      </w:r>
      <w:r>
        <w:t xml:space="preserve">interdepartmental </w:t>
      </w:r>
      <w:r w:rsidR="0026454D">
        <w:t>working group for r</w:t>
      </w:r>
      <w:r>
        <w:t xml:space="preserve">oad </w:t>
      </w:r>
      <w:r w:rsidR="0026454D">
        <w:t>s</w:t>
      </w:r>
      <w:r>
        <w:t>afety and road safety initiatives that were under way. These submissions and inputs were discussed at workshops involving internal and external stakeholders to determine the appropriateness and feasibility of incorporating them in the proposed regulations by</w:t>
      </w:r>
      <w:r w:rsidRPr="00351271">
        <w:t xml:space="preserve"> </w:t>
      </w:r>
      <w:r>
        <w:t>analysing the nature, extent and implications of the problems identified.</w:t>
      </w:r>
    </w:p>
    <w:p w14:paraId="64767899" w14:textId="77777777" w:rsidR="00122C1B" w:rsidRDefault="00122C1B" w:rsidP="003E1A86">
      <w:pPr>
        <w:pStyle w:val="TextPara"/>
      </w:pPr>
      <w:r>
        <w:t xml:space="preserve">The outputs from the workshops were then categorised into those that required a policy change and those that did not. A comparison of potential solution options for the items that required a policy change was carried out and further discussed with relevant internal and external stakeholders, before the proposed solution was selected. </w:t>
      </w:r>
    </w:p>
    <w:p w14:paraId="2FFD7F7E" w14:textId="77777777" w:rsidR="00122C1B" w:rsidRPr="00F4115C" w:rsidRDefault="00122C1B" w:rsidP="001A063E">
      <w:pPr>
        <w:pStyle w:val="Heading2"/>
        <w:rPr>
          <w:rStyle w:val="Strong"/>
          <w:b/>
          <w:bCs/>
          <w:color w:val="404040" w:themeColor="text1" w:themeTint="BF"/>
          <w:sz w:val="24"/>
          <w:szCs w:val="26"/>
        </w:rPr>
      </w:pPr>
      <w:bookmarkStart w:id="81" w:name="_Toc10703403"/>
      <w:r w:rsidRPr="00F4115C">
        <w:rPr>
          <w:rStyle w:val="Strong"/>
          <w:b/>
          <w:bCs/>
          <w:color w:val="404040" w:themeColor="text1" w:themeTint="BF"/>
          <w:sz w:val="24"/>
          <w:szCs w:val="26"/>
        </w:rPr>
        <w:t>Options evaluation</w:t>
      </w:r>
      <w:bookmarkEnd w:id="81"/>
      <w:r w:rsidRPr="00F4115C">
        <w:rPr>
          <w:rStyle w:val="Strong"/>
          <w:b/>
          <w:bCs/>
          <w:color w:val="404040" w:themeColor="text1" w:themeTint="BF"/>
          <w:sz w:val="24"/>
          <w:szCs w:val="26"/>
        </w:rPr>
        <w:t xml:space="preserve"> </w:t>
      </w:r>
    </w:p>
    <w:p w14:paraId="2B10CC8E" w14:textId="77777777" w:rsidR="00122C1B" w:rsidRPr="00F4115C" w:rsidRDefault="00122C1B" w:rsidP="006713F9">
      <w:pPr>
        <w:pStyle w:val="Heading3"/>
        <w:rPr>
          <w:rStyle w:val="Strong"/>
          <w:b/>
          <w:bCs/>
          <w:color w:val="404040" w:themeColor="text1" w:themeTint="BF"/>
          <w:sz w:val="22"/>
          <w:szCs w:val="26"/>
        </w:rPr>
      </w:pPr>
      <w:bookmarkStart w:id="82" w:name="_Ref503366733"/>
      <w:bookmarkStart w:id="83" w:name="_Toc10703404"/>
      <w:r w:rsidRPr="00F4115C">
        <w:rPr>
          <w:rStyle w:val="Strong"/>
          <w:b/>
          <w:bCs/>
          <w:color w:val="404040" w:themeColor="text1" w:themeTint="BF"/>
          <w:sz w:val="22"/>
          <w:szCs w:val="26"/>
        </w:rPr>
        <w:t>Methodology</w:t>
      </w:r>
      <w:bookmarkEnd w:id="82"/>
      <w:bookmarkEnd w:id="83"/>
    </w:p>
    <w:p w14:paraId="3E843DE0" w14:textId="77777777" w:rsidR="00122C1B" w:rsidRDefault="00122C1B" w:rsidP="0063232B">
      <w:pPr>
        <w:pStyle w:val="TextPara"/>
        <w:rPr>
          <w:rFonts w:cs="Segoe UI"/>
        </w:rPr>
      </w:pPr>
      <w:r w:rsidRPr="00117C96">
        <w:rPr>
          <w:rFonts w:cs="Segoe UI"/>
        </w:rPr>
        <w:t xml:space="preserve">The methodology </w:t>
      </w:r>
      <w:r>
        <w:rPr>
          <w:rFonts w:cs="Segoe UI"/>
        </w:rPr>
        <w:t>that was applied</w:t>
      </w:r>
      <w:r w:rsidRPr="00117C96">
        <w:rPr>
          <w:rFonts w:cs="Segoe UI"/>
        </w:rPr>
        <w:t xml:space="preserve"> to compare </w:t>
      </w:r>
      <w:r>
        <w:rPr>
          <w:rFonts w:cs="Segoe UI"/>
        </w:rPr>
        <w:t>potential options involved the use of</w:t>
      </w:r>
      <w:r w:rsidRPr="00117C96">
        <w:rPr>
          <w:rFonts w:cs="Segoe UI"/>
        </w:rPr>
        <w:t xml:space="preserve"> multi-criteria analysis (MCA)</w:t>
      </w:r>
      <w:r>
        <w:rPr>
          <w:rFonts w:cs="Segoe UI"/>
        </w:rPr>
        <w:t>, as</w:t>
      </w:r>
      <w:r w:rsidRPr="00117C96">
        <w:rPr>
          <w:rFonts w:cs="Segoe UI"/>
        </w:rPr>
        <w:t xml:space="preserve"> </w:t>
      </w:r>
      <w:r w:rsidRPr="00E46162">
        <w:rPr>
          <w:rFonts w:cs="Segoe UI"/>
        </w:rPr>
        <w:t xml:space="preserve">it </w:t>
      </w:r>
      <w:r>
        <w:rPr>
          <w:rFonts w:cs="Segoe UI"/>
        </w:rPr>
        <w:t>was</w:t>
      </w:r>
      <w:r w:rsidRPr="00E46162">
        <w:rPr>
          <w:rFonts w:cs="Segoe UI"/>
        </w:rPr>
        <w:t xml:space="preserve"> not feasible to q</w:t>
      </w:r>
      <w:r>
        <w:rPr>
          <w:rFonts w:cs="Segoe UI"/>
        </w:rPr>
        <w:t>uantify all the impacts of</w:t>
      </w:r>
      <w:r w:rsidRPr="00E46162">
        <w:rPr>
          <w:rFonts w:cs="Segoe UI"/>
        </w:rPr>
        <w:t xml:space="preserve"> </w:t>
      </w:r>
      <w:r>
        <w:rPr>
          <w:rFonts w:cs="Segoe UI"/>
        </w:rPr>
        <w:t xml:space="preserve">the </w:t>
      </w:r>
      <w:r w:rsidRPr="00E46162">
        <w:rPr>
          <w:rFonts w:cs="Segoe UI"/>
        </w:rPr>
        <w:t>option</w:t>
      </w:r>
      <w:r>
        <w:rPr>
          <w:rFonts w:cs="Segoe UI"/>
        </w:rPr>
        <w:t>s considered. This approach requires making</w:t>
      </w:r>
      <w:r w:rsidRPr="00117C96">
        <w:rPr>
          <w:rFonts w:cs="Segoe UI"/>
        </w:rPr>
        <w:t xml:space="preserve"> judgement</w:t>
      </w:r>
      <w:r>
        <w:rPr>
          <w:rFonts w:cs="Segoe UI"/>
        </w:rPr>
        <w:t>s</w:t>
      </w:r>
      <w:r w:rsidRPr="00117C96">
        <w:rPr>
          <w:rFonts w:cs="Segoe UI"/>
        </w:rPr>
        <w:t xml:space="preserve"> about how proposed options </w:t>
      </w:r>
      <w:r w:rsidRPr="00E46162">
        <w:rPr>
          <w:rFonts w:cs="Segoe UI"/>
        </w:rPr>
        <w:t>will contribute to a series of criteria that are chosen to reflect the benefits and costs associated with the proposals</w:t>
      </w:r>
      <w:r>
        <w:rPr>
          <w:rFonts w:cs="Segoe UI"/>
        </w:rPr>
        <w:t xml:space="preserve">. </w:t>
      </w:r>
      <w:r w:rsidR="000C33B0">
        <w:rPr>
          <w:rFonts w:cs="Segoe UI"/>
        </w:rPr>
        <w:t>DoT</w:t>
      </w:r>
      <w:r>
        <w:rPr>
          <w:rFonts w:cs="Segoe UI"/>
        </w:rPr>
        <w:t xml:space="preserve"> considered it appropriate to use MCA as a decision tool because, in many instances,</w:t>
      </w:r>
      <w:r w:rsidRPr="000605E2">
        <w:rPr>
          <w:rFonts w:cs="Segoe UI"/>
        </w:rPr>
        <w:t xml:space="preserve"> </w:t>
      </w:r>
      <w:r>
        <w:rPr>
          <w:rFonts w:cs="Segoe UI"/>
        </w:rPr>
        <w:t>the</w:t>
      </w:r>
      <w:r w:rsidRPr="000605E2">
        <w:rPr>
          <w:rFonts w:cs="Segoe UI"/>
        </w:rPr>
        <w:t xml:space="preserve"> available data</w:t>
      </w:r>
      <w:r>
        <w:rPr>
          <w:rFonts w:cs="Segoe UI"/>
        </w:rPr>
        <w:t xml:space="preserve"> did not allow the costs and benefits of </w:t>
      </w:r>
      <w:r w:rsidRPr="000605E2">
        <w:rPr>
          <w:rFonts w:cs="Segoe UI"/>
        </w:rPr>
        <w:t xml:space="preserve">specific </w:t>
      </w:r>
      <w:r>
        <w:rPr>
          <w:rFonts w:cs="Segoe UI"/>
        </w:rPr>
        <w:t>elements</w:t>
      </w:r>
      <w:r w:rsidRPr="000605E2">
        <w:rPr>
          <w:rFonts w:cs="Segoe UI"/>
        </w:rPr>
        <w:t xml:space="preserve"> of the proposal to be isolated.</w:t>
      </w:r>
    </w:p>
    <w:p w14:paraId="72468F7E" w14:textId="77777777" w:rsidR="00122C1B" w:rsidRPr="00117C96" w:rsidRDefault="00122C1B" w:rsidP="00583CF7">
      <w:pPr>
        <w:pStyle w:val="TextPara"/>
        <w:keepNext/>
        <w:spacing w:after="0"/>
        <w:rPr>
          <w:rFonts w:cs="Segoe UI"/>
        </w:rPr>
      </w:pPr>
      <w:r w:rsidRPr="00117C96">
        <w:rPr>
          <w:rFonts w:cs="Segoe UI"/>
        </w:rPr>
        <w:lastRenderedPageBreak/>
        <w:t xml:space="preserve">The MCA involves: </w:t>
      </w:r>
    </w:p>
    <w:p w14:paraId="17FBBBCD" w14:textId="77777777" w:rsidR="00122C1B" w:rsidRDefault="00122C1B" w:rsidP="005F6F8B">
      <w:pPr>
        <w:pStyle w:val="Bullet1-Black"/>
      </w:pPr>
      <w:r>
        <w:t>s</w:t>
      </w:r>
      <w:r w:rsidRPr="00117C96">
        <w:t xml:space="preserve">pecifying </w:t>
      </w:r>
      <w:r>
        <w:t xml:space="preserve">a set of </w:t>
      </w:r>
      <w:r w:rsidRPr="00117C96">
        <w:t>assessment criteria</w:t>
      </w:r>
    </w:p>
    <w:p w14:paraId="2F607806" w14:textId="77777777" w:rsidR="00122C1B" w:rsidRDefault="00122C1B" w:rsidP="00457BB1">
      <w:pPr>
        <w:pStyle w:val="Bullet1-Black"/>
      </w:pPr>
      <w:r>
        <w:t>a</w:t>
      </w:r>
      <w:r w:rsidRPr="00117C96">
        <w:t xml:space="preserve">ssigning </w:t>
      </w:r>
      <w:r>
        <w:t>a weighting to each criterion</w:t>
      </w:r>
    </w:p>
    <w:p w14:paraId="22E93BC6" w14:textId="77777777" w:rsidR="00122C1B" w:rsidRPr="00117C96" w:rsidRDefault="00122C1B">
      <w:pPr>
        <w:pStyle w:val="Bullet1-Black"/>
      </w:pPr>
      <w:r>
        <w:t>setting a criterion rating scale</w:t>
      </w:r>
    </w:p>
    <w:p w14:paraId="68A6DA3E" w14:textId="77777777" w:rsidR="00122C1B" w:rsidRPr="00117C96" w:rsidRDefault="00122C1B">
      <w:pPr>
        <w:pStyle w:val="Bullet1-Black"/>
      </w:pPr>
      <w:r>
        <w:t>a</w:t>
      </w:r>
      <w:r w:rsidRPr="00117C96">
        <w:t xml:space="preserve">ssigning </w:t>
      </w:r>
      <w:r>
        <w:t xml:space="preserve">raw </w:t>
      </w:r>
      <w:r w:rsidRPr="00117C96">
        <w:t>scores for each optio</w:t>
      </w:r>
      <w:r>
        <w:t>n in relation to each criterion</w:t>
      </w:r>
    </w:p>
    <w:p w14:paraId="640F6905" w14:textId="77777777" w:rsidR="00122C1B" w:rsidRDefault="00122C1B">
      <w:pPr>
        <w:pStyle w:val="Bullet1-Black"/>
      </w:pPr>
      <w:r>
        <w:t>c</w:t>
      </w:r>
      <w:r w:rsidRPr="00117C96">
        <w:t xml:space="preserve">alculating a weighted score for each option. </w:t>
      </w:r>
    </w:p>
    <w:p w14:paraId="3E3CBF41" w14:textId="77777777" w:rsidR="00122C1B" w:rsidRPr="00D172D1" w:rsidRDefault="00122C1B" w:rsidP="0063232B">
      <w:pPr>
        <w:pStyle w:val="TextPara"/>
      </w:pPr>
      <w:r w:rsidRPr="00D172D1">
        <w:t xml:space="preserve">In cases where a policy </w:t>
      </w:r>
      <w:r>
        <w:t>deviation</w:t>
      </w:r>
      <w:r w:rsidRPr="00D172D1">
        <w:t xml:space="preserve"> from the application of the relevant national standards was proposed, solution options were identified and evaluated against the base </w:t>
      </w:r>
      <w:r>
        <w:rPr>
          <w:rFonts w:cs="Segoe UI"/>
        </w:rPr>
        <w:t>case,</w:t>
      </w:r>
      <w:r w:rsidRPr="001D5783">
        <w:rPr>
          <w:rFonts w:cs="Segoe UI"/>
        </w:rPr>
        <w:t xml:space="preserve"> </w:t>
      </w:r>
      <w:r>
        <w:rPr>
          <w:rFonts w:cs="Segoe UI"/>
        </w:rPr>
        <w:t xml:space="preserve">which </w:t>
      </w:r>
      <w:r w:rsidRPr="00E35617">
        <w:rPr>
          <w:rFonts w:cs="Segoe UI"/>
        </w:rPr>
        <w:t xml:space="preserve">consists of the </w:t>
      </w:r>
      <w:r w:rsidRPr="006A392A">
        <w:rPr>
          <w:rFonts w:cs="Segoe UI"/>
          <w:i/>
        </w:rPr>
        <w:t>RSA</w:t>
      </w:r>
      <w:r>
        <w:rPr>
          <w:rFonts w:cs="Segoe UI"/>
        </w:rPr>
        <w:t>, other legislation and regulations,</w:t>
      </w:r>
      <w:r w:rsidRPr="00E35617">
        <w:rPr>
          <w:rFonts w:cs="Segoe UI"/>
        </w:rPr>
        <w:t xml:space="preserve"> </w:t>
      </w:r>
      <w:r>
        <w:rPr>
          <w:rFonts w:cs="Segoe UI"/>
        </w:rPr>
        <w:t>and any applicable national standards, guidelines and policy frameworks.</w:t>
      </w:r>
      <w:r>
        <w:rPr>
          <w:rStyle w:val="EndnoteReference"/>
          <w:rFonts w:cs="Segoe UI"/>
        </w:rPr>
        <w:endnoteReference w:id="52"/>
      </w:r>
    </w:p>
    <w:p w14:paraId="3B8203AB" w14:textId="77777777" w:rsidR="00122C1B" w:rsidRPr="00C93855" w:rsidRDefault="00122C1B" w:rsidP="005E702A">
      <w:pPr>
        <w:pStyle w:val="TextPara"/>
      </w:pPr>
      <w:r w:rsidRPr="00C93855">
        <w:t xml:space="preserve">In cases where no policy deviation from the relevant base case was proposed, the reasons for taking such an approach, e.g. why it was not considered </w:t>
      </w:r>
      <w:r>
        <w:t>necessary</w:t>
      </w:r>
      <w:r w:rsidRPr="00C93855">
        <w:t xml:space="preserve"> to deviate from particular national standards</w:t>
      </w:r>
      <w:r>
        <w:t xml:space="preserve">, </w:t>
      </w:r>
      <w:r>
        <w:rPr>
          <w:rFonts w:cs="Segoe UI"/>
        </w:rPr>
        <w:t>guidelines and policy frameworks</w:t>
      </w:r>
      <w:r w:rsidRPr="00C93855">
        <w:t xml:space="preserve"> at this point, are discussed in the relevant section of the RIS. </w:t>
      </w:r>
    </w:p>
    <w:p w14:paraId="05D395E9" w14:textId="77777777" w:rsidR="00122C1B" w:rsidRDefault="00122C1B" w:rsidP="005E702A">
      <w:pPr>
        <w:pStyle w:val="TextPara"/>
      </w:pPr>
      <w:r w:rsidRPr="00C93855">
        <w:t>In all cases, the proposed Regulations were designed to improve their effectiveness, simplify their operation and</w:t>
      </w:r>
      <w:r>
        <w:t>/or</w:t>
      </w:r>
      <w:r w:rsidRPr="00C93855">
        <w:t xml:space="preserve"> avoid imposing a significant burden on a sector of the public. </w:t>
      </w:r>
    </w:p>
    <w:p w14:paraId="212AB681" w14:textId="77777777" w:rsidR="00122C1B" w:rsidRDefault="00122C1B" w:rsidP="006713F9">
      <w:pPr>
        <w:pStyle w:val="Heading3"/>
      </w:pPr>
      <w:bookmarkStart w:id="84" w:name="_Ref509482327"/>
      <w:bookmarkStart w:id="85" w:name="_Toc10703405"/>
      <w:r>
        <w:t>Base case</w:t>
      </w:r>
      <w:bookmarkEnd w:id="84"/>
      <w:bookmarkEnd w:id="85"/>
    </w:p>
    <w:p w14:paraId="7EA848CD" w14:textId="77777777" w:rsidR="00122C1B" w:rsidRDefault="00122C1B" w:rsidP="00EC797E">
      <w:pPr>
        <w:pStyle w:val="TextPara"/>
      </w:pPr>
      <w:r>
        <w:t xml:space="preserve">Where a statutory rule is made to replace an existing statutory rule that is automatically being revoked </w:t>
      </w:r>
      <w:r w:rsidR="002761B7">
        <w:t xml:space="preserve">(i.e. allowed to ‘sunset’) </w:t>
      </w:r>
      <w:r>
        <w:t xml:space="preserve">in accordance with section 5 of the </w:t>
      </w:r>
      <w:r w:rsidR="00114C82">
        <w:rPr>
          <w:i/>
        </w:rPr>
        <w:t>SLA</w:t>
      </w:r>
      <w:r>
        <w:t>,</w:t>
      </w:r>
      <w:r w:rsidRPr="004044C5">
        <w:t xml:space="preserve"> </w:t>
      </w:r>
      <w:r w:rsidRPr="006566CC">
        <w:t xml:space="preserve">the appropriate base case is </w:t>
      </w:r>
      <w:r>
        <w:t>no regulation.</w:t>
      </w:r>
      <w:r>
        <w:rPr>
          <w:rStyle w:val="EndnoteReference"/>
        </w:rPr>
        <w:endnoteReference w:id="53"/>
      </w:r>
    </w:p>
    <w:p w14:paraId="18FDEDCA" w14:textId="77777777" w:rsidR="00122C1B" w:rsidRDefault="00122C1B" w:rsidP="00EC797E">
      <w:pPr>
        <w:pStyle w:val="TextPara"/>
      </w:pPr>
      <w:r>
        <w:t xml:space="preserve">The base case provides the benchmark for estimating incremental costs and benefits of the proposed Regulations. </w:t>
      </w:r>
      <w:r w:rsidRPr="00FF7359">
        <w:t xml:space="preserve">In the case of sunsetting regulations, the term ‘base case’ refers to the situation that would exist if the existing regulations were allowed to expire without being replaced. </w:t>
      </w:r>
      <w:r>
        <w:t>It consists of:</w:t>
      </w:r>
    </w:p>
    <w:p w14:paraId="60982809" w14:textId="77777777" w:rsidR="00122C1B" w:rsidRDefault="00122C1B" w:rsidP="005F6F8B">
      <w:pPr>
        <w:pStyle w:val="Bullet1-Black"/>
      </w:pPr>
      <w:r>
        <w:t xml:space="preserve">relevant </w:t>
      </w:r>
      <w:r w:rsidRPr="00B8182E">
        <w:t>market</w:t>
      </w:r>
      <w:r>
        <w:t xml:space="preserve"> forces, that is, what stakeholders would normally do in the absence of regulations</w:t>
      </w:r>
    </w:p>
    <w:p w14:paraId="4844D050" w14:textId="77777777" w:rsidR="00122C1B" w:rsidRDefault="00122C1B" w:rsidP="00457BB1">
      <w:pPr>
        <w:pStyle w:val="Bullet1-Black"/>
      </w:pPr>
      <w:r>
        <w:t xml:space="preserve">the relevant provisions of the </w:t>
      </w:r>
      <w:r w:rsidRPr="006A392A">
        <w:rPr>
          <w:i/>
        </w:rPr>
        <w:t>RSA</w:t>
      </w:r>
    </w:p>
    <w:p w14:paraId="12F86E3F" w14:textId="77777777" w:rsidR="00122C1B" w:rsidRDefault="00122C1B">
      <w:pPr>
        <w:pStyle w:val="Bullet1-Black"/>
      </w:pPr>
      <w:r>
        <w:t xml:space="preserve">the relevant provisions of other legislation and regulations, such as the </w:t>
      </w:r>
      <w:r w:rsidRPr="00C05047">
        <w:rPr>
          <w:i/>
        </w:rPr>
        <w:t>Heavy Vehicle National Law Application Act 2013</w:t>
      </w:r>
      <w:r>
        <w:t xml:space="preserve">, the </w:t>
      </w:r>
      <w:r w:rsidRPr="00C05047">
        <w:rPr>
          <w:i/>
        </w:rPr>
        <w:t>Criminal Procedure Act 2009</w:t>
      </w:r>
      <w:r>
        <w:t xml:space="preserve">, the </w:t>
      </w:r>
      <w:r w:rsidRPr="00C05047">
        <w:rPr>
          <w:i/>
        </w:rPr>
        <w:t>Children, Youth and Families Act 2005</w:t>
      </w:r>
      <w:r>
        <w:t xml:space="preserve"> and the </w:t>
      </w:r>
      <w:r w:rsidRPr="001B30FB">
        <w:t>Road Safety Road Rules 2017</w:t>
      </w:r>
      <w:r w:rsidR="0068732E">
        <w:t>.</w:t>
      </w:r>
    </w:p>
    <w:p w14:paraId="5FAA30EA" w14:textId="77777777" w:rsidR="0068732E" w:rsidRDefault="0068732E" w:rsidP="005E4408">
      <w:pPr>
        <w:pStyle w:val="TextPara"/>
      </w:pPr>
      <w:r>
        <w:t xml:space="preserve">National standards, guidelines and policy frameworks, such as the NDLS, the GLS, and the National Standards on Assessing Fitness to Drive, do not form part of the base case as they do not have the force of law. However, their use as a reference point </w:t>
      </w:r>
      <w:r w:rsidRPr="00A67FDF">
        <w:t xml:space="preserve">for </w:t>
      </w:r>
      <w:r>
        <w:t xml:space="preserve">the </w:t>
      </w:r>
      <w:r w:rsidRPr="00A67FDF">
        <w:t>analysis</w:t>
      </w:r>
      <w:r>
        <w:t xml:space="preserve"> of options would be appropriate, if comparing options only with the base case would lead to an unreasonable scenario, given Victoria’s general commitment to implement them.</w:t>
      </w:r>
    </w:p>
    <w:p w14:paraId="1F236C88" w14:textId="77777777" w:rsidR="00122C1B" w:rsidRDefault="00122C1B" w:rsidP="006713F9">
      <w:pPr>
        <w:pStyle w:val="Heading3"/>
      </w:pPr>
      <w:bookmarkStart w:id="86" w:name="_Toc10703406"/>
      <w:r>
        <w:t>Options assessment criteria and scoring</w:t>
      </w:r>
      <w:bookmarkEnd w:id="86"/>
    </w:p>
    <w:p w14:paraId="2D0769FC" w14:textId="77777777" w:rsidR="00122C1B" w:rsidRPr="000019DB" w:rsidRDefault="00122C1B" w:rsidP="0063232B">
      <w:pPr>
        <w:pStyle w:val="TextPara"/>
      </w:pPr>
      <w:r>
        <w:rPr>
          <w:rFonts w:cs="Segoe UI"/>
        </w:rPr>
        <w:t>Options were compared with, and scored</w:t>
      </w:r>
      <w:r w:rsidRPr="00117C96">
        <w:rPr>
          <w:rFonts w:cs="Segoe UI"/>
        </w:rPr>
        <w:t xml:space="preserve"> by reference to</w:t>
      </w:r>
      <w:r>
        <w:rPr>
          <w:rFonts w:cs="Segoe UI"/>
        </w:rPr>
        <w:t>,</w:t>
      </w:r>
      <w:r w:rsidRPr="00117C96">
        <w:rPr>
          <w:rFonts w:cs="Segoe UI"/>
        </w:rPr>
        <w:t xml:space="preserve"> the base case</w:t>
      </w:r>
      <w:r>
        <w:rPr>
          <w:rFonts w:cs="Segoe UI"/>
        </w:rPr>
        <w:t xml:space="preserve"> </w:t>
      </w:r>
      <w:r w:rsidR="0068732E">
        <w:rPr>
          <w:rFonts w:cs="Segoe UI"/>
        </w:rPr>
        <w:t xml:space="preserve">and, where appropriate, to national </w:t>
      </w:r>
      <w:r w:rsidR="0068732E">
        <w:t>standards, guidelines and policy frameworks as a reference point</w:t>
      </w:r>
      <w:r w:rsidR="0068732E">
        <w:rPr>
          <w:rFonts w:cs="Segoe UI"/>
        </w:rPr>
        <w:t>,</w:t>
      </w:r>
      <w:r w:rsidR="00026C36">
        <w:rPr>
          <w:rFonts w:cs="Segoe UI"/>
        </w:rPr>
        <w:t xml:space="preserve"> </w:t>
      </w:r>
      <w:r>
        <w:rPr>
          <w:rFonts w:cs="Segoe UI"/>
        </w:rPr>
        <w:t>to assess</w:t>
      </w:r>
      <w:r w:rsidRPr="00117C96">
        <w:rPr>
          <w:rFonts w:cs="Segoe UI"/>
        </w:rPr>
        <w:t xml:space="preserve"> whether the expected outcome resulting from </w:t>
      </w:r>
      <w:r>
        <w:rPr>
          <w:rFonts w:cs="Segoe UI"/>
        </w:rPr>
        <w:t>each</w:t>
      </w:r>
      <w:r w:rsidRPr="00117C96">
        <w:rPr>
          <w:rFonts w:cs="Segoe UI"/>
        </w:rPr>
        <w:t xml:space="preserve"> option represent</w:t>
      </w:r>
      <w:r>
        <w:rPr>
          <w:rFonts w:cs="Segoe UI"/>
        </w:rPr>
        <w:t>s</w:t>
      </w:r>
      <w:r w:rsidRPr="00117C96">
        <w:rPr>
          <w:rFonts w:cs="Segoe UI"/>
        </w:rPr>
        <w:t xml:space="preserve"> a positive or negative change relative </w:t>
      </w:r>
      <w:r>
        <w:rPr>
          <w:rFonts w:cs="Segoe UI"/>
        </w:rPr>
        <w:t>to the base case</w:t>
      </w:r>
      <w:r w:rsidR="00026C36">
        <w:rPr>
          <w:rFonts w:cs="Segoe UI"/>
        </w:rPr>
        <w:t xml:space="preserve"> or, if applicable, the relevant reference point</w:t>
      </w:r>
      <w:r>
        <w:rPr>
          <w:rFonts w:cs="Segoe UI"/>
        </w:rPr>
        <w:t>.</w:t>
      </w:r>
    </w:p>
    <w:p w14:paraId="1079B474" w14:textId="77777777" w:rsidR="00122C1B" w:rsidRPr="00B8182E" w:rsidRDefault="00122C1B" w:rsidP="00EA637D">
      <w:pPr>
        <w:pStyle w:val="Heading4"/>
      </w:pPr>
      <w:bookmarkStart w:id="87" w:name="_Ref506558844"/>
      <w:r>
        <w:t>Multi-criteria assessment</w:t>
      </w:r>
      <w:bookmarkEnd w:id="87"/>
    </w:p>
    <w:p w14:paraId="280C79B1" w14:textId="77777777" w:rsidR="00122C1B" w:rsidRDefault="00122C1B" w:rsidP="0063232B">
      <w:pPr>
        <w:pStyle w:val="TextPara"/>
      </w:pPr>
      <w:r>
        <w:t>In the context of the proposed Regulations, six criteria were selected for assessment purposes: safety, equity, effectiveness,</w:t>
      </w:r>
      <w:r w:rsidRPr="0044411A">
        <w:t xml:space="preserve"> </w:t>
      </w:r>
      <w:r>
        <w:t>cost to government, cost to community, and</w:t>
      </w:r>
      <w:r w:rsidRPr="00BD53BB">
        <w:t xml:space="preserve"> </w:t>
      </w:r>
      <w:r>
        <w:t>c</w:t>
      </w:r>
      <w:r w:rsidR="00E84FD3">
        <w:t>omplex</w:t>
      </w:r>
      <w:r>
        <w:t xml:space="preserve">ity. These were weighted </w:t>
      </w:r>
      <w:r w:rsidRPr="004843BF">
        <w:t xml:space="preserve">according to their relative importance to the final </w:t>
      </w:r>
      <w:r>
        <w:t xml:space="preserve">outcome. To prevent bias and be consistent with the requirements of the </w:t>
      </w:r>
      <w:r w:rsidRPr="001858E8">
        <w:rPr>
          <w:i/>
        </w:rPr>
        <w:t>Victorian Guide to Regulation</w:t>
      </w:r>
      <w:r>
        <w:t>, n</w:t>
      </w:r>
      <w:r w:rsidRPr="000605E2">
        <w:t>eutral weights of 50</w:t>
      </w:r>
      <w:r>
        <w:t>% in total</w:t>
      </w:r>
      <w:r w:rsidRPr="000605E2">
        <w:t xml:space="preserve"> for </w:t>
      </w:r>
      <w:r>
        <w:t>benefits</w:t>
      </w:r>
      <w:r w:rsidRPr="000605E2">
        <w:t>-related criteria and 50</w:t>
      </w:r>
      <w:r>
        <w:t>%</w:t>
      </w:r>
      <w:r w:rsidRPr="000605E2">
        <w:t xml:space="preserve"> </w:t>
      </w:r>
      <w:r>
        <w:t xml:space="preserve">in total </w:t>
      </w:r>
      <w:r w:rsidRPr="000605E2">
        <w:t xml:space="preserve">for </w:t>
      </w:r>
      <w:r>
        <w:t>costs</w:t>
      </w:r>
      <w:r w:rsidRPr="000605E2">
        <w:t xml:space="preserve">-related criteria </w:t>
      </w:r>
      <w:r>
        <w:t>were</w:t>
      </w:r>
      <w:r w:rsidRPr="000605E2">
        <w:t xml:space="preserve"> applied</w:t>
      </w:r>
      <w:r>
        <w:t>.</w:t>
      </w:r>
    </w:p>
    <w:p w14:paraId="01A553F2" w14:textId="77777777" w:rsidR="00122C1B" w:rsidRDefault="00122C1B" w:rsidP="0063232B">
      <w:pPr>
        <w:pStyle w:val="TextPara"/>
      </w:pPr>
      <w:r>
        <w:lastRenderedPageBreak/>
        <w:t xml:space="preserve">On the benefits side of the equation, </w:t>
      </w:r>
      <w:r w:rsidRPr="006A2FA0">
        <w:rPr>
          <w:i/>
        </w:rPr>
        <w:t>Safety</w:t>
      </w:r>
      <w:r>
        <w:t xml:space="preserve"> was considered to be the paramount criterion and assigned the highest weighting (40%). </w:t>
      </w:r>
      <w:r w:rsidRPr="006A2FA0">
        <w:rPr>
          <w:i/>
        </w:rPr>
        <w:t>Equity</w:t>
      </w:r>
      <w:r>
        <w:t xml:space="preserve"> and </w:t>
      </w:r>
      <w:r w:rsidRPr="006A2FA0">
        <w:rPr>
          <w:i/>
        </w:rPr>
        <w:t>Effectiveness</w:t>
      </w:r>
      <w:r>
        <w:rPr>
          <w:i/>
        </w:rPr>
        <w:t xml:space="preserve"> </w:t>
      </w:r>
      <w:r w:rsidRPr="008F75F0">
        <w:t>were assigned</w:t>
      </w:r>
      <w:r w:rsidRPr="007D7E41">
        <w:t xml:space="preserve"> </w:t>
      </w:r>
      <w:r>
        <w:t xml:space="preserve">the remaining 10%, which was split equally between them </w:t>
      </w:r>
      <w:bookmarkStart w:id="88" w:name="_Hlk514164144"/>
      <w:r>
        <w:t xml:space="preserve">as, while both were deemed relevant criteria, neither of them was considered to be more important than the other. </w:t>
      </w:r>
      <w:bookmarkEnd w:id="88"/>
      <w:r>
        <w:t xml:space="preserve">On the costs side, </w:t>
      </w:r>
      <w:r w:rsidRPr="006A2FA0">
        <w:rPr>
          <w:i/>
        </w:rPr>
        <w:t>Cost to Government</w:t>
      </w:r>
      <w:r>
        <w:t xml:space="preserve"> and </w:t>
      </w:r>
      <w:r w:rsidRPr="006A2FA0">
        <w:rPr>
          <w:i/>
        </w:rPr>
        <w:t>Cost to Community</w:t>
      </w:r>
      <w:r w:rsidRPr="008F75F0">
        <w:t>,</w:t>
      </w:r>
      <w:r>
        <w:t xml:space="preserve"> were deemed to be </w:t>
      </w:r>
      <w:r w:rsidRPr="008F75F0">
        <w:t>the paramount criteria</w:t>
      </w:r>
      <w:r>
        <w:t xml:space="preserve"> and assigned a combined weighting of 40%, split equally between them</w:t>
      </w:r>
      <w:r w:rsidRPr="00B676CD">
        <w:t xml:space="preserve"> </w:t>
      </w:r>
      <w:r>
        <w:t xml:space="preserve">in order to balance the cost of administering the proposed regulations with the burden of compliance to be borne by the community. The remaining 10% was assigned to </w:t>
      </w:r>
      <w:r w:rsidR="00E84FD3">
        <w:rPr>
          <w:i/>
        </w:rPr>
        <w:t>Complex</w:t>
      </w:r>
      <w:r w:rsidR="00E84FD3" w:rsidRPr="006A2FA0">
        <w:rPr>
          <w:i/>
        </w:rPr>
        <w:t>ity</w:t>
      </w:r>
      <w:r>
        <w:t>.</w:t>
      </w:r>
    </w:p>
    <w:p w14:paraId="3E9219D2" w14:textId="7F638342" w:rsidR="00122C1B" w:rsidRPr="00117C96" w:rsidRDefault="00122C1B" w:rsidP="0063232B">
      <w:pPr>
        <w:pStyle w:val="TextPara"/>
        <w:rPr>
          <w:rFonts w:cs="Segoe UI"/>
        </w:rPr>
      </w:pPr>
      <w:r>
        <w:rPr>
          <w:rFonts w:cs="Segoe UI"/>
        </w:rPr>
        <w:fldChar w:fldCharType="begin"/>
      </w:r>
      <w:r>
        <w:rPr>
          <w:rFonts w:cs="Segoe UI"/>
        </w:rPr>
        <w:instrText xml:space="preserve"> REF _Ref500247713 \h </w:instrText>
      </w:r>
      <w:r>
        <w:rPr>
          <w:rFonts w:cs="Segoe UI"/>
        </w:rPr>
      </w:r>
      <w:r>
        <w:rPr>
          <w:rFonts w:cs="Segoe UI"/>
        </w:rPr>
        <w:fldChar w:fldCharType="separate"/>
      </w:r>
      <w:r w:rsidR="00EB4B02" w:rsidRPr="00245CBA">
        <w:t xml:space="preserve">Table </w:t>
      </w:r>
      <w:r w:rsidR="00EB4B02">
        <w:rPr>
          <w:noProof/>
        </w:rPr>
        <w:t>6</w:t>
      </w:r>
      <w:r>
        <w:rPr>
          <w:rFonts w:cs="Segoe UI"/>
        </w:rPr>
        <w:fldChar w:fldCharType="end"/>
      </w:r>
      <w:r>
        <w:rPr>
          <w:rFonts w:cs="Segoe UI"/>
        </w:rPr>
        <w:t xml:space="preserve"> </w:t>
      </w:r>
      <w:r w:rsidRPr="00117C96">
        <w:rPr>
          <w:rFonts w:cs="Segoe UI"/>
        </w:rPr>
        <w:t xml:space="preserve">lists the set of assessment criteria </w:t>
      </w:r>
      <w:r>
        <w:rPr>
          <w:rFonts w:cs="Segoe UI"/>
        </w:rPr>
        <w:t xml:space="preserve">with their relative weightings and definitions that was </w:t>
      </w:r>
      <w:r w:rsidRPr="00117C96">
        <w:rPr>
          <w:rFonts w:cs="Segoe UI"/>
        </w:rPr>
        <w:t>used to compare options.</w:t>
      </w:r>
    </w:p>
    <w:p w14:paraId="05F55BE5" w14:textId="393D2A27" w:rsidR="00122C1B" w:rsidRPr="00245CBA" w:rsidRDefault="00122C1B" w:rsidP="00AA0BBA">
      <w:pPr>
        <w:pStyle w:val="Caption"/>
      </w:pPr>
      <w:bookmarkStart w:id="89" w:name="_Ref500247713"/>
      <w:bookmarkStart w:id="90" w:name="_Toc9193403"/>
      <w:bookmarkStart w:id="91" w:name="_Toc10703699"/>
      <w:r w:rsidRPr="00245CBA">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6</w:t>
      </w:r>
      <w:r w:rsidR="00BC6B2E">
        <w:rPr>
          <w:noProof/>
        </w:rPr>
        <w:fldChar w:fldCharType="end"/>
      </w:r>
      <w:bookmarkEnd w:id="89"/>
      <w:r w:rsidRPr="00245CBA">
        <w:t xml:space="preserve"> –</w:t>
      </w:r>
      <w:r>
        <w:t xml:space="preserve"> O</w:t>
      </w:r>
      <w:r w:rsidRPr="00245CBA">
        <w:t>ptions assessment criteria</w:t>
      </w:r>
      <w:bookmarkEnd w:id="90"/>
      <w:bookmarkEnd w:id="91"/>
    </w:p>
    <w:tbl>
      <w:tblPr>
        <w:tblStyle w:val="RIS-Table"/>
        <w:tblW w:w="9498" w:type="dxa"/>
        <w:tblInd w:w="-5" w:type="dxa"/>
        <w:tblLayout w:type="fixed"/>
        <w:tblLook w:val="04A0" w:firstRow="1" w:lastRow="0" w:firstColumn="1" w:lastColumn="0" w:noHBand="0" w:noVBand="1"/>
      </w:tblPr>
      <w:tblGrid>
        <w:gridCol w:w="1985"/>
        <w:gridCol w:w="1134"/>
        <w:gridCol w:w="6379"/>
      </w:tblGrid>
      <w:tr w:rsidR="00122C1B" w:rsidRPr="00117C96" w14:paraId="5D298550" w14:textId="77777777" w:rsidTr="005F60A7">
        <w:trPr>
          <w:cnfStyle w:val="100000000000" w:firstRow="1" w:lastRow="0" w:firstColumn="0" w:lastColumn="0" w:oddVBand="0" w:evenVBand="0" w:oddHBand="0" w:evenHBand="0" w:firstRowFirstColumn="0" w:firstRowLastColumn="0" w:lastRowFirstColumn="0" w:lastRowLastColumn="0"/>
        </w:trPr>
        <w:tc>
          <w:tcPr>
            <w:tcW w:w="1985" w:type="dxa"/>
          </w:tcPr>
          <w:p w14:paraId="30D30D86" w14:textId="77777777" w:rsidR="00122C1B" w:rsidRPr="00117C96" w:rsidRDefault="00122C1B" w:rsidP="002C08AB">
            <w:pPr>
              <w:pStyle w:val="TableHeaders"/>
            </w:pPr>
            <w:r w:rsidRPr="00117C96">
              <w:t>Criterion</w:t>
            </w:r>
          </w:p>
        </w:tc>
        <w:tc>
          <w:tcPr>
            <w:tcW w:w="1134" w:type="dxa"/>
          </w:tcPr>
          <w:p w14:paraId="2BBAA366" w14:textId="77777777" w:rsidR="00122C1B" w:rsidRPr="00117C96" w:rsidRDefault="00122C1B" w:rsidP="002C08AB">
            <w:pPr>
              <w:pStyle w:val="TableHeaders"/>
            </w:pPr>
            <w:r w:rsidRPr="00117C96">
              <w:t>Weighting</w:t>
            </w:r>
          </w:p>
        </w:tc>
        <w:tc>
          <w:tcPr>
            <w:tcW w:w="6379" w:type="dxa"/>
          </w:tcPr>
          <w:p w14:paraId="321B521A" w14:textId="77777777" w:rsidR="00122C1B" w:rsidRPr="00117C96" w:rsidRDefault="00122C1B" w:rsidP="002C08AB">
            <w:pPr>
              <w:pStyle w:val="TableHeaders"/>
            </w:pPr>
            <w:r>
              <w:t>Definition</w:t>
            </w:r>
          </w:p>
        </w:tc>
      </w:tr>
      <w:tr w:rsidR="00122C1B" w:rsidRPr="00660D8B" w14:paraId="2BAF4FFD" w14:textId="77777777" w:rsidTr="009B381C">
        <w:tc>
          <w:tcPr>
            <w:tcW w:w="9498" w:type="dxa"/>
            <w:gridSpan w:val="3"/>
            <w:shd w:val="clear" w:color="auto" w:fill="DDE8F4" w:themeFill="text2" w:themeFillTint="1A"/>
          </w:tcPr>
          <w:p w14:paraId="1CEC2E0C" w14:textId="77777777" w:rsidR="00122C1B" w:rsidRPr="00660D8B" w:rsidRDefault="00122C1B" w:rsidP="002C08AB">
            <w:pPr>
              <w:pStyle w:val="TableParagraph"/>
            </w:pPr>
            <w:r w:rsidRPr="006B1CC5">
              <w:rPr>
                <w:b/>
                <w:i/>
              </w:rPr>
              <w:t>BENEFITS</w:t>
            </w:r>
          </w:p>
        </w:tc>
      </w:tr>
      <w:tr w:rsidR="00122C1B" w:rsidRPr="00117C96" w14:paraId="0813B7EF" w14:textId="77777777" w:rsidTr="009A0FEE">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auto"/>
          </w:tcPr>
          <w:p w14:paraId="7F9C5747" w14:textId="77777777" w:rsidR="00122C1B" w:rsidRPr="00853632" w:rsidRDefault="00122C1B" w:rsidP="002C08AB">
            <w:pPr>
              <w:pStyle w:val="TableParagraph"/>
              <w:rPr>
                <w:b/>
              </w:rPr>
            </w:pPr>
            <w:r w:rsidRPr="00853632">
              <w:rPr>
                <w:b/>
              </w:rPr>
              <w:t>Safety</w:t>
            </w:r>
          </w:p>
        </w:tc>
        <w:tc>
          <w:tcPr>
            <w:tcW w:w="1134" w:type="dxa"/>
            <w:shd w:val="clear" w:color="auto" w:fill="auto"/>
          </w:tcPr>
          <w:p w14:paraId="2BCD2BBE" w14:textId="77777777" w:rsidR="00122C1B" w:rsidRPr="00117C96" w:rsidRDefault="00122C1B" w:rsidP="002C08AB">
            <w:pPr>
              <w:pStyle w:val="TableParagraph"/>
              <w:ind w:right="179"/>
              <w:jc w:val="right"/>
            </w:pPr>
            <w:r>
              <w:t>40</w:t>
            </w:r>
            <w:r w:rsidRPr="00117C96">
              <w:t>%</w:t>
            </w:r>
          </w:p>
        </w:tc>
        <w:tc>
          <w:tcPr>
            <w:tcW w:w="6379" w:type="dxa"/>
            <w:shd w:val="clear" w:color="auto" w:fill="auto"/>
          </w:tcPr>
          <w:p w14:paraId="7913CFB1" w14:textId="77777777" w:rsidR="00122C1B" w:rsidRPr="00117C96" w:rsidRDefault="00122C1B" w:rsidP="002C08AB">
            <w:pPr>
              <w:pStyle w:val="TableParagraph"/>
            </w:pPr>
            <w:r w:rsidRPr="00117C96">
              <w:t xml:space="preserve">The degree to which a solution </w:t>
            </w:r>
            <w:r>
              <w:t xml:space="preserve">promotes safety in road usage and </w:t>
            </w:r>
            <w:r w:rsidRPr="00117C96">
              <w:t>supports the achievement of reducti</w:t>
            </w:r>
            <w:r>
              <w:t>ons in road deaths and injuries.</w:t>
            </w:r>
          </w:p>
        </w:tc>
      </w:tr>
      <w:tr w:rsidR="00122C1B" w:rsidRPr="00117C96" w14:paraId="2C1E5D6A" w14:textId="77777777" w:rsidTr="009A0FEE">
        <w:tc>
          <w:tcPr>
            <w:tcW w:w="1985" w:type="dxa"/>
            <w:tcBorders>
              <w:bottom w:val="single" w:sz="4" w:space="0" w:color="BFBFBF" w:themeColor="background1" w:themeShade="BF"/>
            </w:tcBorders>
            <w:shd w:val="clear" w:color="auto" w:fill="auto"/>
          </w:tcPr>
          <w:p w14:paraId="7783FE66" w14:textId="77777777" w:rsidR="00122C1B" w:rsidRPr="00853632" w:rsidRDefault="00122C1B" w:rsidP="002C08AB">
            <w:pPr>
              <w:pStyle w:val="TableParagraph"/>
              <w:rPr>
                <w:b/>
              </w:rPr>
            </w:pPr>
            <w:r w:rsidRPr="00853632">
              <w:rPr>
                <w:b/>
              </w:rPr>
              <w:t xml:space="preserve">Equity </w:t>
            </w:r>
          </w:p>
        </w:tc>
        <w:tc>
          <w:tcPr>
            <w:tcW w:w="1134" w:type="dxa"/>
            <w:tcBorders>
              <w:bottom w:val="single" w:sz="4" w:space="0" w:color="BFBFBF" w:themeColor="background1" w:themeShade="BF"/>
            </w:tcBorders>
            <w:shd w:val="clear" w:color="auto" w:fill="auto"/>
          </w:tcPr>
          <w:p w14:paraId="1DC38033" w14:textId="77777777" w:rsidR="00122C1B" w:rsidRPr="00117C96" w:rsidRDefault="00122C1B" w:rsidP="002C08AB">
            <w:pPr>
              <w:pStyle w:val="TableParagraph"/>
              <w:ind w:right="179"/>
              <w:jc w:val="right"/>
            </w:pPr>
            <w:r>
              <w:t>5</w:t>
            </w:r>
            <w:r w:rsidRPr="00117C96">
              <w:t>%</w:t>
            </w:r>
          </w:p>
        </w:tc>
        <w:tc>
          <w:tcPr>
            <w:tcW w:w="6379" w:type="dxa"/>
            <w:tcBorders>
              <w:bottom w:val="single" w:sz="4" w:space="0" w:color="BFBFBF" w:themeColor="background1" w:themeShade="BF"/>
            </w:tcBorders>
            <w:shd w:val="clear" w:color="auto" w:fill="auto"/>
          </w:tcPr>
          <w:p w14:paraId="7019E2CA" w14:textId="77777777" w:rsidR="00122C1B" w:rsidRPr="00117C96" w:rsidRDefault="00122C1B" w:rsidP="002C08AB">
            <w:pPr>
              <w:pStyle w:val="TableParagraph"/>
            </w:pPr>
            <w:r w:rsidRPr="00117C96">
              <w:t xml:space="preserve">The degree to which </w:t>
            </w:r>
            <w:r>
              <w:t xml:space="preserve">a solution </w:t>
            </w:r>
            <w:r w:rsidR="00165758">
              <w:t>can be applied</w:t>
            </w:r>
            <w:r w:rsidR="00D75219">
              <w:t xml:space="preserve"> fairly, </w:t>
            </w:r>
            <w:r w:rsidR="00165758">
              <w:t xml:space="preserve">equitably </w:t>
            </w:r>
            <w:r w:rsidR="00D75219">
              <w:t xml:space="preserve">and impartially </w:t>
            </w:r>
            <w:r w:rsidR="00A75E0F">
              <w:t xml:space="preserve">across all groups (horizontal equity) </w:t>
            </w:r>
            <w:r w:rsidR="00D75219">
              <w:t xml:space="preserve">and </w:t>
            </w:r>
            <w:r w:rsidR="00165758">
              <w:t xml:space="preserve">without </w:t>
            </w:r>
            <w:r>
              <w:t>unfairly disadvantag</w:t>
            </w:r>
            <w:r w:rsidR="00165758">
              <w:t>ing</w:t>
            </w:r>
            <w:r>
              <w:t xml:space="preserve"> lower socio-economic groups</w:t>
            </w:r>
            <w:r w:rsidR="00D4629F">
              <w:t xml:space="preserve"> </w:t>
            </w:r>
            <w:r w:rsidR="00A75E0F">
              <w:t>(vertical equity)</w:t>
            </w:r>
            <w:r w:rsidRPr="00117C96">
              <w:t>.</w:t>
            </w:r>
          </w:p>
        </w:tc>
      </w:tr>
      <w:tr w:rsidR="00122C1B" w:rsidRPr="00117C96" w14:paraId="71B5ECDC" w14:textId="77777777" w:rsidTr="009A0FEE">
        <w:trPr>
          <w:cnfStyle w:val="000000010000" w:firstRow="0" w:lastRow="0" w:firstColumn="0" w:lastColumn="0" w:oddVBand="0" w:evenVBand="0" w:oddHBand="0" w:evenHBand="1" w:firstRowFirstColumn="0" w:firstRowLastColumn="0" w:lastRowFirstColumn="0" w:lastRowLastColumn="0"/>
        </w:trPr>
        <w:tc>
          <w:tcPr>
            <w:tcW w:w="1985" w:type="dxa"/>
            <w:tcBorders>
              <w:bottom w:val="single" w:sz="4" w:space="0" w:color="BFBFBF" w:themeColor="background1" w:themeShade="BF"/>
            </w:tcBorders>
            <w:shd w:val="clear" w:color="auto" w:fill="auto"/>
          </w:tcPr>
          <w:p w14:paraId="23F27311" w14:textId="77777777" w:rsidR="00122C1B" w:rsidRPr="00853632" w:rsidRDefault="00122C1B" w:rsidP="002C08AB">
            <w:pPr>
              <w:pStyle w:val="TableParagraph"/>
              <w:rPr>
                <w:b/>
              </w:rPr>
            </w:pPr>
            <w:r w:rsidRPr="00853632">
              <w:rPr>
                <w:b/>
              </w:rPr>
              <w:t xml:space="preserve">Effectiveness </w:t>
            </w:r>
          </w:p>
        </w:tc>
        <w:tc>
          <w:tcPr>
            <w:tcW w:w="1134" w:type="dxa"/>
            <w:tcBorders>
              <w:bottom w:val="single" w:sz="4" w:space="0" w:color="BFBFBF" w:themeColor="background1" w:themeShade="BF"/>
            </w:tcBorders>
            <w:shd w:val="clear" w:color="auto" w:fill="auto"/>
          </w:tcPr>
          <w:p w14:paraId="27351890" w14:textId="77777777" w:rsidR="00122C1B" w:rsidRPr="00117C96" w:rsidRDefault="00122C1B" w:rsidP="002C08AB">
            <w:pPr>
              <w:pStyle w:val="TableParagraph"/>
              <w:ind w:right="179"/>
              <w:jc w:val="right"/>
            </w:pPr>
            <w:r>
              <w:t>5</w:t>
            </w:r>
            <w:r w:rsidRPr="00117C96">
              <w:t>%</w:t>
            </w:r>
          </w:p>
        </w:tc>
        <w:tc>
          <w:tcPr>
            <w:tcW w:w="6379" w:type="dxa"/>
            <w:tcBorders>
              <w:bottom w:val="single" w:sz="4" w:space="0" w:color="BFBFBF" w:themeColor="background1" w:themeShade="BF"/>
            </w:tcBorders>
            <w:shd w:val="clear" w:color="auto" w:fill="auto"/>
          </w:tcPr>
          <w:p w14:paraId="3AFC076E" w14:textId="77777777" w:rsidR="00122C1B" w:rsidRPr="00117C96" w:rsidRDefault="00122C1B" w:rsidP="002C08AB">
            <w:pPr>
              <w:pStyle w:val="TableParagraph"/>
            </w:pPr>
            <w:r w:rsidRPr="00117C96">
              <w:t xml:space="preserve">The degree to which a solution is likely to succeed in resolving the </w:t>
            </w:r>
            <w:r>
              <w:t>problem</w:t>
            </w:r>
            <w:r w:rsidRPr="00117C96">
              <w:t xml:space="preserve"> being addressed</w:t>
            </w:r>
            <w:r>
              <w:t xml:space="preserve"> </w:t>
            </w:r>
            <w:r w:rsidRPr="0044117F">
              <w:t>other than road safety (e.g. ease of access to facilities, ease of adherence to rules, and speed of delivery)</w:t>
            </w:r>
            <w:r>
              <w:t>.</w:t>
            </w:r>
          </w:p>
        </w:tc>
      </w:tr>
      <w:tr w:rsidR="00122C1B" w:rsidRPr="00660D8B" w14:paraId="78D4FF4D" w14:textId="77777777" w:rsidTr="009B381C">
        <w:tc>
          <w:tcPr>
            <w:tcW w:w="9498" w:type="dxa"/>
            <w:gridSpan w:val="3"/>
            <w:tcBorders>
              <w:bottom w:val="single" w:sz="4" w:space="0" w:color="BFBFBF" w:themeColor="background1" w:themeShade="BF"/>
            </w:tcBorders>
            <w:shd w:val="clear" w:color="auto" w:fill="DDE8F4" w:themeFill="text2" w:themeFillTint="1A"/>
          </w:tcPr>
          <w:p w14:paraId="6B4CB552" w14:textId="77777777" w:rsidR="00122C1B" w:rsidRPr="00660D8B" w:rsidRDefault="00122C1B" w:rsidP="0001061C">
            <w:pPr>
              <w:pStyle w:val="TableParagraph"/>
              <w:keepNext/>
            </w:pPr>
            <w:r w:rsidRPr="007F373D">
              <w:rPr>
                <w:b/>
                <w:i/>
              </w:rPr>
              <w:t>COSTS</w:t>
            </w:r>
          </w:p>
        </w:tc>
      </w:tr>
      <w:tr w:rsidR="00122C1B" w:rsidRPr="00EC7BBF" w14:paraId="13FDF6BF" w14:textId="77777777" w:rsidTr="009A0FE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BFBFBF" w:themeColor="background1" w:themeShade="BF"/>
            </w:tcBorders>
            <w:shd w:val="clear" w:color="auto" w:fill="auto"/>
          </w:tcPr>
          <w:p w14:paraId="1E531833" w14:textId="77777777" w:rsidR="00122C1B" w:rsidRPr="00853632" w:rsidRDefault="00122C1B" w:rsidP="00F64525">
            <w:pPr>
              <w:pStyle w:val="TableParagraph"/>
              <w:rPr>
                <w:b/>
              </w:rPr>
            </w:pPr>
            <w:r w:rsidRPr="00853632">
              <w:rPr>
                <w:b/>
              </w:rPr>
              <w:t xml:space="preserve">Cost </w:t>
            </w:r>
            <w:r>
              <w:rPr>
                <w:b/>
              </w:rPr>
              <w:t>to Government</w:t>
            </w:r>
          </w:p>
        </w:tc>
        <w:tc>
          <w:tcPr>
            <w:tcW w:w="1134" w:type="dxa"/>
            <w:tcBorders>
              <w:top w:val="single" w:sz="2" w:space="0" w:color="BFBFBF" w:themeColor="background1" w:themeShade="BF"/>
            </w:tcBorders>
            <w:shd w:val="clear" w:color="auto" w:fill="auto"/>
          </w:tcPr>
          <w:p w14:paraId="74D40D4E" w14:textId="77777777" w:rsidR="00122C1B" w:rsidRPr="00EC7BBF" w:rsidRDefault="00122C1B" w:rsidP="00F64525">
            <w:pPr>
              <w:pStyle w:val="TableParagraph"/>
              <w:ind w:right="179"/>
              <w:jc w:val="right"/>
            </w:pPr>
            <w:r w:rsidRPr="00EC7BBF">
              <w:t>2</w:t>
            </w:r>
            <w:r>
              <w:t>0</w:t>
            </w:r>
            <w:r w:rsidRPr="00EC7BBF">
              <w:t>%</w:t>
            </w:r>
          </w:p>
        </w:tc>
        <w:tc>
          <w:tcPr>
            <w:tcW w:w="6379" w:type="dxa"/>
            <w:tcBorders>
              <w:top w:val="single" w:sz="2" w:space="0" w:color="BFBFBF" w:themeColor="background1" w:themeShade="BF"/>
            </w:tcBorders>
            <w:shd w:val="clear" w:color="auto" w:fill="auto"/>
          </w:tcPr>
          <w:p w14:paraId="060F4CB2" w14:textId="77777777" w:rsidR="00122C1B" w:rsidRPr="00EC7BBF" w:rsidRDefault="00122C1B" w:rsidP="00F64525">
            <w:pPr>
              <w:pStyle w:val="TableParagraph"/>
            </w:pPr>
            <w:r w:rsidRPr="00EC7BBF">
              <w:t>The cost of a solution to Government in terms of net administration costs for the provision of services.</w:t>
            </w:r>
          </w:p>
        </w:tc>
      </w:tr>
      <w:tr w:rsidR="00122C1B" w:rsidRPr="00117C96" w14:paraId="3C651185" w14:textId="77777777" w:rsidTr="009A0FEE">
        <w:tc>
          <w:tcPr>
            <w:tcW w:w="1985" w:type="dxa"/>
            <w:tcBorders>
              <w:bottom w:val="single" w:sz="4" w:space="0" w:color="BFBFBF" w:themeColor="background1" w:themeShade="BF"/>
            </w:tcBorders>
            <w:shd w:val="clear" w:color="auto" w:fill="auto"/>
          </w:tcPr>
          <w:p w14:paraId="10EFCC11" w14:textId="77777777" w:rsidR="00122C1B" w:rsidRPr="00853632" w:rsidRDefault="00122C1B" w:rsidP="00F64525">
            <w:pPr>
              <w:pStyle w:val="TableParagraph"/>
              <w:rPr>
                <w:b/>
              </w:rPr>
            </w:pPr>
            <w:r>
              <w:rPr>
                <w:b/>
              </w:rPr>
              <w:t>Cost to Community</w:t>
            </w:r>
          </w:p>
        </w:tc>
        <w:tc>
          <w:tcPr>
            <w:tcW w:w="1134" w:type="dxa"/>
            <w:shd w:val="clear" w:color="auto" w:fill="auto"/>
          </w:tcPr>
          <w:p w14:paraId="5A745103" w14:textId="77777777" w:rsidR="00122C1B" w:rsidRPr="00117C96" w:rsidRDefault="00122C1B" w:rsidP="00F64525">
            <w:pPr>
              <w:pStyle w:val="TableParagraph"/>
              <w:ind w:right="179"/>
              <w:jc w:val="right"/>
            </w:pPr>
            <w:r>
              <w:t>20%</w:t>
            </w:r>
          </w:p>
        </w:tc>
        <w:tc>
          <w:tcPr>
            <w:tcW w:w="6379" w:type="dxa"/>
            <w:tcBorders>
              <w:bottom w:val="single" w:sz="4" w:space="0" w:color="BFBFBF" w:themeColor="background1" w:themeShade="BF"/>
            </w:tcBorders>
            <w:shd w:val="clear" w:color="auto" w:fill="auto"/>
          </w:tcPr>
          <w:p w14:paraId="3B54B9B4" w14:textId="77777777" w:rsidR="00122C1B" w:rsidRPr="00117C96" w:rsidRDefault="00122C1B" w:rsidP="00F64525">
            <w:pPr>
              <w:pStyle w:val="TableParagraph"/>
            </w:pPr>
            <w:r w:rsidRPr="00117C96">
              <w:t xml:space="preserve">The </w:t>
            </w:r>
            <w:r>
              <w:t>cost of</w:t>
            </w:r>
            <w:r w:rsidRPr="00117C96">
              <w:t xml:space="preserve"> a solution </w:t>
            </w:r>
            <w:r>
              <w:t>to the community in terms of financial and time cost to VicRoads customers and other regulated parties.</w:t>
            </w:r>
          </w:p>
        </w:tc>
      </w:tr>
      <w:tr w:rsidR="00122C1B" w:rsidRPr="00117C96" w14:paraId="77E8159E" w14:textId="77777777" w:rsidTr="009A0FE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4" w:space="0" w:color="BFBFBF" w:themeColor="background1" w:themeShade="BF"/>
              <w:bottom w:val="single" w:sz="2" w:space="0" w:color="BFBFBF" w:themeColor="background1" w:themeShade="BF"/>
            </w:tcBorders>
            <w:shd w:val="clear" w:color="auto" w:fill="auto"/>
          </w:tcPr>
          <w:p w14:paraId="0C5E0113" w14:textId="77777777" w:rsidR="00122C1B" w:rsidRPr="00853632" w:rsidRDefault="00090172" w:rsidP="00990C99">
            <w:pPr>
              <w:pStyle w:val="TableParagraph"/>
              <w:rPr>
                <w:b/>
              </w:rPr>
            </w:pPr>
            <w:r>
              <w:rPr>
                <w:b/>
              </w:rPr>
              <w:t>Complex</w:t>
            </w:r>
            <w:r w:rsidR="00122C1B" w:rsidRPr="00853632">
              <w:rPr>
                <w:b/>
              </w:rPr>
              <w:t xml:space="preserve">ity </w:t>
            </w:r>
          </w:p>
        </w:tc>
        <w:tc>
          <w:tcPr>
            <w:tcW w:w="1134" w:type="dxa"/>
            <w:tcBorders>
              <w:top w:val="single" w:sz="4" w:space="0" w:color="BFBFBF" w:themeColor="background1" w:themeShade="BF"/>
              <w:bottom w:val="single" w:sz="2" w:space="0" w:color="BFBFBF" w:themeColor="background1" w:themeShade="BF"/>
            </w:tcBorders>
            <w:shd w:val="clear" w:color="auto" w:fill="auto"/>
          </w:tcPr>
          <w:p w14:paraId="0D5BDCA5" w14:textId="77777777" w:rsidR="00122C1B" w:rsidRPr="00117C96" w:rsidRDefault="00122C1B" w:rsidP="00990C99">
            <w:pPr>
              <w:pStyle w:val="TableParagraph"/>
              <w:ind w:right="179"/>
              <w:jc w:val="right"/>
            </w:pPr>
            <w:r>
              <w:t>10</w:t>
            </w:r>
            <w:r w:rsidRPr="00117C96">
              <w:t>%</w:t>
            </w:r>
          </w:p>
        </w:tc>
        <w:tc>
          <w:tcPr>
            <w:tcW w:w="6379" w:type="dxa"/>
            <w:tcBorders>
              <w:top w:val="single" w:sz="4" w:space="0" w:color="BFBFBF" w:themeColor="background1" w:themeShade="BF"/>
              <w:bottom w:val="single" w:sz="2" w:space="0" w:color="BFBFBF" w:themeColor="background1" w:themeShade="BF"/>
            </w:tcBorders>
            <w:shd w:val="clear" w:color="auto" w:fill="auto"/>
          </w:tcPr>
          <w:p w14:paraId="182C55E6" w14:textId="77777777" w:rsidR="00122C1B" w:rsidRPr="00117C96" w:rsidRDefault="00122C1B" w:rsidP="00990C99">
            <w:pPr>
              <w:pStyle w:val="TableParagraph"/>
            </w:pPr>
            <w:r w:rsidRPr="00117C96">
              <w:t>The degree to which a solution is easy to understand</w:t>
            </w:r>
            <w:r>
              <w:t>,</w:t>
            </w:r>
            <w:r w:rsidRPr="00117C96">
              <w:t xml:space="preserve"> implement</w:t>
            </w:r>
            <w:r>
              <w:t xml:space="preserve"> and operate</w:t>
            </w:r>
            <w:r w:rsidRPr="00117C96">
              <w:t>, and plain or uncomplicated in form and design.</w:t>
            </w:r>
          </w:p>
        </w:tc>
      </w:tr>
      <w:tr w:rsidR="00122C1B" w:rsidRPr="00117C96" w14:paraId="5395DC3E" w14:textId="77777777" w:rsidTr="0053099B">
        <w:tc>
          <w:tcPr>
            <w:tcW w:w="1985" w:type="dxa"/>
            <w:tcBorders>
              <w:left w:val="nil"/>
              <w:bottom w:val="nil"/>
            </w:tcBorders>
            <w:shd w:val="clear" w:color="auto" w:fill="auto"/>
          </w:tcPr>
          <w:p w14:paraId="1D925007" w14:textId="77777777" w:rsidR="00122C1B" w:rsidRPr="00117C96" w:rsidRDefault="00122C1B" w:rsidP="002C08AB">
            <w:pPr>
              <w:pStyle w:val="Default"/>
              <w:spacing w:before="60" w:after="60"/>
              <w:rPr>
                <w:rFonts w:ascii="Segoe UI" w:hAnsi="Segoe UI" w:cs="Segoe UI"/>
                <w:bCs/>
                <w:sz w:val="18"/>
                <w:szCs w:val="20"/>
              </w:rPr>
            </w:pPr>
          </w:p>
        </w:tc>
        <w:tc>
          <w:tcPr>
            <w:tcW w:w="1134" w:type="dxa"/>
            <w:shd w:val="clear" w:color="auto" w:fill="DDE8F4" w:themeFill="text2" w:themeFillTint="1A"/>
          </w:tcPr>
          <w:p w14:paraId="1114D950" w14:textId="77777777" w:rsidR="00122C1B" w:rsidRPr="006A2FA0" w:rsidRDefault="00122C1B" w:rsidP="002C08AB">
            <w:pPr>
              <w:pStyle w:val="TableParagraph"/>
              <w:ind w:right="179"/>
              <w:jc w:val="right"/>
              <w:rPr>
                <w:b/>
              </w:rPr>
            </w:pPr>
            <w:r w:rsidRPr="006A2FA0">
              <w:rPr>
                <w:b/>
              </w:rPr>
              <w:t>100%</w:t>
            </w:r>
          </w:p>
        </w:tc>
        <w:tc>
          <w:tcPr>
            <w:tcW w:w="6379" w:type="dxa"/>
            <w:tcBorders>
              <w:bottom w:val="nil"/>
              <w:right w:val="nil"/>
            </w:tcBorders>
            <w:shd w:val="clear" w:color="auto" w:fill="auto"/>
          </w:tcPr>
          <w:p w14:paraId="67E19173" w14:textId="77777777" w:rsidR="00122C1B" w:rsidRPr="00117C96" w:rsidRDefault="00122C1B" w:rsidP="002C08AB">
            <w:pPr>
              <w:pStyle w:val="Default"/>
              <w:spacing w:before="60" w:after="60"/>
              <w:rPr>
                <w:rFonts w:ascii="Segoe UI" w:hAnsi="Segoe UI" w:cs="Segoe UI"/>
                <w:sz w:val="18"/>
                <w:szCs w:val="20"/>
              </w:rPr>
            </w:pPr>
          </w:p>
        </w:tc>
      </w:tr>
    </w:tbl>
    <w:p w14:paraId="372F0CD7" w14:textId="77777777" w:rsidR="00122C1B" w:rsidRDefault="00122C1B" w:rsidP="00EA637D">
      <w:pPr>
        <w:pStyle w:val="Heading4"/>
      </w:pPr>
      <w:r>
        <w:t>Criteria scoring</w:t>
      </w:r>
    </w:p>
    <w:p w14:paraId="230C778A" w14:textId="14716645" w:rsidR="00122C1B" w:rsidRDefault="00122C1B" w:rsidP="0063232B">
      <w:pPr>
        <w:pStyle w:val="TextPara"/>
        <w:rPr>
          <w:rFonts w:cs="Segoe UI"/>
        </w:rPr>
      </w:pPr>
      <w:r>
        <w:rPr>
          <w:rFonts w:cs="Segoe UI"/>
        </w:rPr>
        <w:t>A qualitative score was assigned to each option against each criterion</w:t>
      </w:r>
      <w:r w:rsidRPr="0002533B">
        <w:rPr>
          <w:rFonts w:cs="Segoe UI"/>
        </w:rPr>
        <w:t xml:space="preserve"> </w:t>
      </w:r>
      <w:r w:rsidRPr="00117C96">
        <w:rPr>
          <w:rFonts w:cs="Segoe UI"/>
        </w:rPr>
        <w:t>listed in</w:t>
      </w:r>
      <w:r>
        <w:rPr>
          <w:rFonts w:cs="Segoe UI"/>
        </w:rPr>
        <w:t xml:space="preserve"> </w:t>
      </w:r>
      <w:r>
        <w:rPr>
          <w:rFonts w:cs="Segoe UI"/>
        </w:rPr>
        <w:fldChar w:fldCharType="begin"/>
      </w:r>
      <w:r>
        <w:rPr>
          <w:rFonts w:cs="Segoe UI"/>
        </w:rPr>
        <w:instrText xml:space="preserve"> REF _Ref500247713 \h </w:instrText>
      </w:r>
      <w:r>
        <w:rPr>
          <w:rFonts w:cs="Segoe UI"/>
        </w:rPr>
      </w:r>
      <w:r>
        <w:rPr>
          <w:rFonts w:cs="Segoe UI"/>
        </w:rPr>
        <w:fldChar w:fldCharType="separate"/>
      </w:r>
      <w:r w:rsidR="00EB4B02" w:rsidRPr="00245CBA">
        <w:t xml:space="preserve">Table </w:t>
      </w:r>
      <w:r w:rsidR="00EB4B02">
        <w:rPr>
          <w:noProof/>
        </w:rPr>
        <w:t>6</w:t>
      </w:r>
      <w:r>
        <w:rPr>
          <w:rFonts w:cs="Segoe UI"/>
        </w:rPr>
        <w:fldChar w:fldCharType="end"/>
      </w:r>
      <w:r w:rsidRPr="00982036">
        <w:rPr>
          <w:rFonts w:cs="Segoe UI"/>
        </w:rPr>
        <w:t xml:space="preserve">, depending on the impact of the option on the </w:t>
      </w:r>
      <w:r>
        <w:rPr>
          <w:rFonts w:cs="Segoe UI"/>
        </w:rPr>
        <w:t xml:space="preserve">relevant </w:t>
      </w:r>
      <w:r w:rsidRPr="00982036">
        <w:rPr>
          <w:rFonts w:cs="Segoe UI"/>
        </w:rPr>
        <w:t>criteri</w:t>
      </w:r>
      <w:r>
        <w:rPr>
          <w:rFonts w:cs="Segoe UI"/>
        </w:rPr>
        <w:t>on</w:t>
      </w:r>
      <w:r w:rsidRPr="00982036">
        <w:rPr>
          <w:rFonts w:cs="Segoe UI"/>
        </w:rPr>
        <w:t xml:space="preserve"> </w:t>
      </w:r>
      <w:r>
        <w:rPr>
          <w:rFonts w:cs="Segoe UI"/>
        </w:rPr>
        <w:t>measured relative to the base case</w:t>
      </w:r>
      <w:r w:rsidR="00026C36" w:rsidRPr="002A5E91">
        <w:rPr>
          <w:rFonts w:cs="Segoe UI"/>
        </w:rPr>
        <w:t xml:space="preserve"> </w:t>
      </w:r>
      <w:r w:rsidR="00026C36">
        <w:rPr>
          <w:rFonts w:cs="Segoe UI"/>
        </w:rPr>
        <w:t>or, if applicable, the relevant reference point</w:t>
      </w:r>
      <w:r w:rsidRPr="00982036">
        <w:rPr>
          <w:rFonts w:cs="Segoe UI"/>
        </w:rPr>
        <w:t xml:space="preserve">. A </w:t>
      </w:r>
      <w:r w:rsidRPr="00B901FE">
        <w:rPr>
          <w:rFonts w:cs="Segoe UI"/>
        </w:rPr>
        <w:t xml:space="preserve">symmetric </w:t>
      </w:r>
      <w:r w:rsidRPr="00982036">
        <w:rPr>
          <w:rFonts w:cs="Segoe UI"/>
        </w:rPr>
        <w:t xml:space="preserve">criterion rating scale from -10 to </w:t>
      </w:r>
      <w:r>
        <w:rPr>
          <w:rFonts w:cs="Segoe UI"/>
        </w:rPr>
        <w:t>+</w:t>
      </w:r>
      <w:r w:rsidRPr="00982036">
        <w:rPr>
          <w:rFonts w:cs="Segoe UI"/>
        </w:rPr>
        <w:t xml:space="preserve">10 </w:t>
      </w:r>
      <w:r>
        <w:rPr>
          <w:rFonts w:cs="Segoe UI"/>
        </w:rPr>
        <w:t xml:space="preserve">(as shown in </w:t>
      </w:r>
      <w:r>
        <w:fldChar w:fldCharType="begin"/>
      </w:r>
      <w:r>
        <w:instrText xml:space="preserve"> REF _Ref501378090 \h </w:instrText>
      </w:r>
      <w:r>
        <w:fldChar w:fldCharType="separate"/>
      </w:r>
      <w:r w:rsidR="00EB4B02" w:rsidRPr="00117C96">
        <w:t xml:space="preserve">Table </w:t>
      </w:r>
      <w:r w:rsidR="00EB4B02">
        <w:rPr>
          <w:noProof/>
        </w:rPr>
        <w:t>7</w:t>
      </w:r>
      <w:r>
        <w:fldChar w:fldCharType="end"/>
      </w:r>
      <w:r>
        <w:rPr>
          <w:rFonts w:cs="Segoe UI"/>
        </w:rPr>
        <w:t xml:space="preserve">) was applied </w:t>
      </w:r>
      <w:r w:rsidRPr="00117C96">
        <w:rPr>
          <w:rFonts w:cs="Segoe UI"/>
        </w:rPr>
        <w:t>against each criterion</w:t>
      </w:r>
      <w:r>
        <w:rPr>
          <w:rFonts w:cs="Segoe UI"/>
        </w:rPr>
        <w:t xml:space="preserve"> listed in </w:t>
      </w:r>
      <w:r>
        <w:rPr>
          <w:rFonts w:cs="Segoe UI"/>
        </w:rPr>
        <w:fldChar w:fldCharType="begin"/>
      </w:r>
      <w:r>
        <w:rPr>
          <w:rFonts w:cs="Segoe UI"/>
        </w:rPr>
        <w:instrText xml:space="preserve"> REF _Ref500247713 \h </w:instrText>
      </w:r>
      <w:r>
        <w:rPr>
          <w:rFonts w:cs="Segoe UI"/>
        </w:rPr>
      </w:r>
      <w:r>
        <w:rPr>
          <w:rFonts w:cs="Segoe UI"/>
        </w:rPr>
        <w:fldChar w:fldCharType="separate"/>
      </w:r>
      <w:r w:rsidR="00EB4B02" w:rsidRPr="00245CBA">
        <w:t xml:space="preserve">Table </w:t>
      </w:r>
      <w:r w:rsidR="00EB4B02">
        <w:rPr>
          <w:noProof/>
        </w:rPr>
        <w:t>6</w:t>
      </w:r>
      <w:r>
        <w:rPr>
          <w:rFonts w:cs="Segoe UI"/>
        </w:rPr>
        <w:fldChar w:fldCharType="end"/>
      </w:r>
      <w:r>
        <w:rPr>
          <w:rFonts w:cs="Segoe UI"/>
        </w:rPr>
        <w:t xml:space="preserve">, </w:t>
      </w:r>
      <w:r w:rsidRPr="0075078E">
        <w:rPr>
          <w:rFonts w:cs="Segoe UI"/>
        </w:rPr>
        <w:t>as such a scale facilitates the inclusion of more information on the choices made, and results in a greater understanding of the proposal</w:t>
      </w:r>
      <w:r w:rsidRPr="00982036">
        <w:rPr>
          <w:rFonts w:cs="Segoe UI"/>
        </w:rPr>
        <w:t>.</w:t>
      </w:r>
      <w:r w:rsidRPr="00034698">
        <w:rPr>
          <w:rFonts w:cs="Segoe UI"/>
        </w:rPr>
        <w:t xml:space="preserve"> </w:t>
      </w:r>
      <w:r w:rsidRPr="00117C96">
        <w:rPr>
          <w:rFonts w:cs="Segoe UI"/>
        </w:rPr>
        <w:t xml:space="preserve">The base case </w:t>
      </w:r>
      <w:r>
        <w:rPr>
          <w:rFonts w:cs="Segoe UI"/>
        </w:rPr>
        <w:t>was</w:t>
      </w:r>
      <w:r w:rsidRPr="00117C96">
        <w:rPr>
          <w:rFonts w:cs="Segoe UI"/>
        </w:rPr>
        <w:t xml:space="preserve"> given a zero score </w:t>
      </w:r>
      <w:r>
        <w:rPr>
          <w:rFonts w:cs="Segoe UI"/>
        </w:rPr>
        <w:t>on all criteria.</w:t>
      </w:r>
    </w:p>
    <w:p w14:paraId="30529E09" w14:textId="768810E4" w:rsidR="00122C1B" w:rsidRPr="00117C96" w:rsidRDefault="00122C1B" w:rsidP="00AA0BBA">
      <w:pPr>
        <w:pStyle w:val="Caption"/>
      </w:pPr>
      <w:bookmarkStart w:id="92" w:name="_Ref501378090"/>
      <w:bookmarkStart w:id="93" w:name="_Toc10703700"/>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7</w:t>
      </w:r>
      <w:r w:rsidR="00BC6B2E">
        <w:rPr>
          <w:noProof/>
        </w:rPr>
        <w:fldChar w:fldCharType="end"/>
      </w:r>
      <w:bookmarkEnd w:id="92"/>
      <w:r w:rsidRPr="00117C96">
        <w:t xml:space="preserve"> – </w:t>
      </w:r>
      <w:r>
        <w:t>O</w:t>
      </w:r>
      <w:r w:rsidRPr="00117C96">
        <w:t>ptions assessment criteria ratings</w:t>
      </w:r>
      <w:bookmarkEnd w:id="93"/>
    </w:p>
    <w:tbl>
      <w:tblPr>
        <w:tblStyle w:val="RIS-Table2"/>
        <w:tblW w:w="0" w:type="auto"/>
        <w:tblLook w:val="04A0" w:firstRow="1" w:lastRow="0" w:firstColumn="1" w:lastColumn="0" w:noHBand="0" w:noVBand="1"/>
      </w:tblPr>
      <w:tblGrid>
        <w:gridCol w:w="2668"/>
        <w:gridCol w:w="1448"/>
        <w:gridCol w:w="1276"/>
        <w:gridCol w:w="1276"/>
        <w:gridCol w:w="1530"/>
        <w:gridCol w:w="1305"/>
      </w:tblGrid>
      <w:tr w:rsidR="00122C1B" w:rsidRPr="00117C96" w14:paraId="07C1D387" w14:textId="77777777" w:rsidTr="0053099B">
        <w:trPr>
          <w:cnfStyle w:val="100000000000" w:firstRow="1" w:lastRow="0" w:firstColumn="0" w:lastColumn="0" w:oddVBand="0" w:evenVBand="0" w:oddHBand="0" w:evenHBand="0" w:firstRowFirstColumn="0" w:firstRowLastColumn="0" w:lastRowFirstColumn="0" w:lastRowLastColumn="0"/>
        </w:trPr>
        <w:tc>
          <w:tcPr>
            <w:tcW w:w="2668" w:type="dxa"/>
          </w:tcPr>
          <w:p w14:paraId="6C857BE2" w14:textId="77777777" w:rsidR="00122C1B" w:rsidRPr="00117C96" w:rsidRDefault="00122C1B" w:rsidP="00D842C2">
            <w:pPr>
              <w:pStyle w:val="TableHeaders"/>
            </w:pPr>
            <w:r w:rsidRPr="00117C96">
              <w:t>Outcome</w:t>
            </w:r>
          </w:p>
        </w:tc>
        <w:tc>
          <w:tcPr>
            <w:tcW w:w="1448" w:type="dxa"/>
          </w:tcPr>
          <w:p w14:paraId="57EE8B48" w14:textId="77777777" w:rsidR="00122C1B" w:rsidRPr="00117C96" w:rsidRDefault="00122C1B" w:rsidP="00D842C2">
            <w:pPr>
              <w:pStyle w:val="TableHeaders"/>
            </w:pPr>
            <w:r w:rsidRPr="00117C96">
              <w:t xml:space="preserve">Insignificant </w:t>
            </w:r>
          </w:p>
        </w:tc>
        <w:tc>
          <w:tcPr>
            <w:tcW w:w="1276" w:type="dxa"/>
          </w:tcPr>
          <w:p w14:paraId="75621E7F" w14:textId="77777777" w:rsidR="00122C1B" w:rsidRPr="00117C96" w:rsidRDefault="00122C1B" w:rsidP="00D842C2">
            <w:pPr>
              <w:pStyle w:val="TableHeaders"/>
            </w:pPr>
            <w:r w:rsidRPr="00117C96">
              <w:t xml:space="preserve">Small </w:t>
            </w:r>
          </w:p>
        </w:tc>
        <w:tc>
          <w:tcPr>
            <w:tcW w:w="1276" w:type="dxa"/>
          </w:tcPr>
          <w:p w14:paraId="5038EA11" w14:textId="77777777" w:rsidR="00122C1B" w:rsidRPr="00117C96" w:rsidRDefault="00122C1B" w:rsidP="00D842C2">
            <w:pPr>
              <w:pStyle w:val="TableHeaders"/>
            </w:pPr>
            <w:r w:rsidRPr="00117C96">
              <w:t xml:space="preserve">Moderate </w:t>
            </w:r>
          </w:p>
        </w:tc>
        <w:tc>
          <w:tcPr>
            <w:tcW w:w="1530" w:type="dxa"/>
          </w:tcPr>
          <w:p w14:paraId="327878CD" w14:textId="77777777" w:rsidR="00122C1B" w:rsidRPr="00117C96" w:rsidRDefault="00122C1B" w:rsidP="00D842C2">
            <w:pPr>
              <w:pStyle w:val="TableHeaders"/>
            </w:pPr>
            <w:r w:rsidRPr="00117C96">
              <w:t xml:space="preserve">Significant </w:t>
            </w:r>
          </w:p>
        </w:tc>
        <w:tc>
          <w:tcPr>
            <w:tcW w:w="1305" w:type="dxa"/>
          </w:tcPr>
          <w:p w14:paraId="52BF1628" w14:textId="77777777" w:rsidR="00122C1B" w:rsidRPr="00117C96" w:rsidRDefault="00122C1B" w:rsidP="00D842C2">
            <w:pPr>
              <w:pStyle w:val="TableHeaders"/>
            </w:pPr>
            <w:r w:rsidRPr="00117C96">
              <w:t xml:space="preserve">Strong </w:t>
            </w:r>
          </w:p>
        </w:tc>
      </w:tr>
      <w:tr w:rsidR="00122C1B" w:rsidRPr="00117C96" w14:paraId="16C3099B" w14:textId="77777777" w:rsidTr="0053099B">
        <w:tc>
          <w:tcPr>
            <w:tcW w:w="2668" w:type="dxa"/>
          </w:tcPr>
          <w:p w14:paraId="31DC9119" w14:textId="77777777" w:rsidR="00122C1B" w:rsidRPr="00853632" w:rsidRDefault="00122C1B" w:rsidP="00D842C2">
            <w:pPr>
              <w:pStyle w:val="TableParagraph"/>
              <w:rPr>
                <w:b/>
              </w:rPr>
            </w:pPr>
            <w:r w:rsidRPr="00853632">
              <w:rPr>
                <w:b/>
              </w:rPr>
              <w:t xml:space="preserve">Negative change </w:t>
            </w:r>
          </w:p>
        </w:tc>
        <w:tc>
          <w:tcPr>
            <w:tcW w:w="1448" w:type="dxa"/>
          </w:tcPr>
          <w:p w14:paraId="75B7489E" w14:textId="77777777" w:rsidR="00122C1B" w:rsidRPr="00117C96" w:rsidRDefault="00122C1B" w:rsidP="00D842C2">
            <w:pPr>
              <w:pStyle w:val="TableParagraph"/>
              <w:jc w:val="center"/>
            </w:pPr>
            <w:r w:rsidRPr="00117C96">
              <w:t>-1</w:t>
            </w:r>
          </w:p>
        </w:tc>
        <w:tc>
          <w:tcPr>
            <w:tcW w:w="1276" w:type="dxa"/>
          </w:tcPr>
          <w:p w14:paraId="1369BBC1" w14:textId="77777777" w:rsidR="00122C1B" w:rsidRPr="00117C96" w:rsidRDefault="00122C1B" w:rsidP="00D842C2">
            <w:pPr>
              <w:pStyle w:val="TableParagraph"/>
              <w:jc w:val="center"/>
            </w:pPr>
            <w:r w:rsidRPr="00117C96">
              <w:t>-3</w:t>
            </w:r>
          </w:p>
        </w:tc>
        <w:tc>
          <w:tcPr>
            <w:tcW w:w="1276" w:type="dxa"/>
          </w:tcPr>
          <w:p w14:paraId="5A549362" w14:textId="77777777" w:rsidR="00122C1B" w:rsidRPr="00117C96" w:rsidRDefault="00122C1B" w:rsidP="00D842C2">
            <w:pPr>
              <w:pStyle w:val="TableParagraph"/>
              <w:jc w:val="center"/>
            </w:pPr>
            <w:r w:rsidRPr="00117C96">
              <w:t>-5</w:t>
            </w:r>
          </w:p>
        </w:tc>
        <w:tc>
          <w:tcPr>
            <w:tcW w:w="1530" w:type="dxa"/>
          </w:tcPr>
          <w:p w14:paraId="79A7003F" w14:textId="77777777" w:rsidR="00122C1B" w:rsidRPr="00117C96" w:rsidRDefault="00122C1B" w:rsidP="00D842C2">
            <w:pPr>
              <w:pStyle w:val="TableParagraph"/>
              <w:jc w:val="center"/>
            </w:pPr>
            <w:r w:rsidRPr="00117C96">
              <w:t>-7</w:t>
            </w:r>
          </w:p>
        </w:tc>
        <w:tc>
          <w:tcPr>
            <w:tcW w:w="1305" w:type="dxa"/>
          </w:tcPr>
          <w:p w14:paraId="16C17570" w14:textId="77777777" w:rsidR="00122C1B" w:rsidRPr="00117C96" w:rsidRDefault="00122C1B" w:rsidP="00D842C2">
            <w:pPr>
              <w:pStyle w:val="TableParagraph"/>
              <w:jc w:val="center"/>
            </w:pPr>
            <w:r w:rsidRPr="00117C96">
              <w:t>-10</w:t>
            </w:r>
          </w:p>
        </w:tc>
      </w:tr>
      <w:tr w:rsidR="00122C1B" w:rsidRPr="00117C96" w14:paraId="5F390916" w14:textId="77777777" w:rsidTr="009A0FEE">
        <w:trPr>
          <w:cnfStyle w:val="000000010000" w:firstRow="0" w:lastRow="0" w:firstColumn="0" w:lastColumn="0" w:oddVBand="0" w:evenVBand="0" w:oddHBand="0" w:evenHBand="1" w:firstRowFirstColumn="0" w:firstRowLastColumn="0" w:lastRowFirstColumn="0" w:lastRowLastColumn="0"/>
        </w:trPr>
        <w:tc>
          <w:tcPr>
            <w:tcW w:w="2668" w:type="dxa"/>
            <w:shd w:val="clear" w:color="auto" w:fill="auto"/>
          </w:tcPr>
          <w:p w14:paraId="53543076" w14:textId="77777777" w:rsidR="00122C1B" w:rsidRPr="00853632" w:rsidRDefault="00122C1B" w:rsidP="00D842C2">
            <w:pPr>
              <w:pStyle w:val="TableParagraph"/>
              <w:rPr>
                <w:b/>
              </w:rPr>
            </w:pPr>
            <w:r w:rsidRPr="00853632">
              <w:rPr>
                <w:b/>
              </w:rPr>
              <w:t xml:space="preserve">No change </w:t>
            </w:r>
            <w:r>
              <w:rPr>
                <w:b/>
              </w:rPr>
              <w:t>from Base Case</w:t>
            </w:r>
          </w:p>
        </w:tc>
        <w:tc>
          <w:tcPr>
            <w:tcW w:w="1448" w:type="dxa"/>
            <w:shd w:val="clear" w:color="auto" w:fill="auto"/>
          </w:tcPr>
          <w:p w14:paraId="5FD3FEB3" w14:textId="77777777" w:rsidR="00122C1B" w:rsidRPr="00117C96" w:rsidRDefault="00122C1B" w:rsidP="00D842C2">
            <w:pPr>
              <w:pStyle w:val="TableParagraph"/>
              <w:jc w:val="center"/>
            </w:pPr>
            <w:r w:rsidRPr="00117C96">
              <w:t>0</w:t>
            </w:r>
          </w:p>
        </w:tc>
        <w:tc>
          <w:tcPr>
            <w:tcW w:w="1276" w:type="dxa"/>
            <w:shd w:val="clear" w:color="auto" w:fill="auto"/>
          </w:tcPr>
          <w:p w14:paraId="62DEFF14" w14:textId="77777777" w:rsidR="00122C1B" w:rsidRPr="00117C96" w:rsidRDefault="00122C1B" w:rsidP="00D842C2">
            <w:pPr>
              <w:pStyle w:val="TableParagraph"/>
              <w:jc w:val="center"/>
            </w:pPr>
            <w:r w:rsidRPr="00117C96">
              <w:t>0</w:t>
            </w:r>
          </w:p>
        </w:tc>
        <w:tc>
          <w:tcPr>
            <w:tcW w:w="1276" w:type="dxa"/>
            <w:shd w:val="clear" w:color="auto" w:fill="auto"/>
          </w:tcPr>
          <w:p w14:paraId="1FEC8B3E" w14:textId="77777777" w:rsidR="00122C1B" w:rsidRPr="00117C96" w:rsidRDefault="00122C1B" w:rsidP="00D842C2">
            <w:pPr>
              <w:pStyle w:val="TableParagraph"/>
              <w:jc w:val="center"/>
            </w:pPr>
            <w:r w:rsidRPr="00117C96">
              <w:t>0</w:t>
            </w:r>
          </w:p>
        </w:tc>
        <w:tc>
          <w:tcPr>
            <w:tcW w:w="1530" w:type="dxa"/>
            <w:shd w:val="clear" w:color="auto" w:fill="auto"/>
          </w:tcPr>
          <w:p w14:paraId="50A68F5B" w14:textId="77777777" w:rsidR="00122C1B" w:rsidRPr="00117C96" w:rsidRDefault="00122C1B" w:rsidP="00D842C2">
            <w:pPr>
              <w:pStyle w:val="TableParagraph"/>
              <w:jc w:val="center"/>
            </w:pPr>
            <w:r w:rsidRPr="00117C96">
              <w:t>0</w:t>
            </w:r>
          </w:p>
        </w:tc>
        <w:tc>
          <w:tcPr>
            <w:tcW w:w="1305" w:type="dxa"/>
            <w:shd w:val="clear" w:color="auto" w:fill="auto"/>
          </w:tcPr>
          <w:p w14:paraId="20D67AFD" w14:textId="77777777" w:rsidR="00122C1B" w:rsidRPr="00117C96" w:rsidRDefault="00122C1B" w:rsidP="00D842C2">
            <w:pPr>
              <w:pStyle w:val="TableParagraph"/>
              <w:jc w:val="center"/>
            </w:pPr>
            <w:r w:rsidRPr="00117C96">
              <w:t>0</w:t>
            </w:r>
          </w:p>
        </w:tc>
      </w:tr>
      <w:tr w:rsidR="00122C1B" w:rsidRPr="00117C96" w14:paraId="5D485E5A" w14:textId="77777777" w:rsidTr="0053099B">
        <w:tc>
          <w:tcPr>
            <w:tcW w:w="2668" w:type="dxa"/>
          </w:tcPr>
          <w:p w14:paraId="2A1E6E48" w14:textId="77777777" w:rsidR="00122C1B" w:rsidRPr="00853632" w:rsidRDefault="00122C1B" w:rsidP="00D842C2">
            <w:pPr>
              <w:pStyle w:val="TableParagraph"/>
              <w:rPr>
                <w:b/>
              </w:rPr>
            </w:pPr>
            <w:r w:rsidRPr="00853632">
              <w:rPr>
                <w:b/>
              </w:rPr>
              <w:t xml:space="preserve">Positive change </w:t>
            </w:r>
          </w:p>
        </w:tc>
        <w:tc>
          <w:tcPr>
            <w:tcW w:w="1448" w:type="dxa"/>
          </w:tcPr>
          <w:p w14:paraId="6C797919" w14:textId="77777777" w:rsidR="00122C1B" w:rsidRPr="00117C96" w:rsidRDefault="00122C1B" w:rsidP="00D842C2">
            <w:pPr>
              <w:pStyle w:val="TableParagraph"/>
              <w:jc w:val="center"/>
            </w:pPr>
            <w:r w:rsidRPr="00117C96">
              <w:t>+1</w:t>
            </w:r>
          </w:p>
        </w:tc>
        <w:tc>
          <w:tcPr>
            <w:tcW w:w="1276" w:type="dxa"/>
          </w:tcPr>
          <w:p w14:paraId="0B27B616" w14:textId="77777777" w:rsidR="00122C1B" w:rsidRPr="00117C96" w:rsidRDefault="00122C1B" w:rsidP="00D842C2">
            <w:pPr>
              <w:pStyle w:val="TableParagraph"/>
              <w:jc w:val="center"/>
            </w:pPr>
            <w:r w:rsidRPr="00117C96">
              <w:t>+3</w:t>
            </w:r>
          </w:p>
        </w:tc>
        <w:tc>
          <w:tcPr>
            <w:tcW w:w="1276" w:type="dxa"/>
          </w:tcPr>
          <w:p w14:paraId="0D81232A" w14:textId="77777777" w:rsidR="00122C1B" w:rsidRPr="00117C96" w:rsidRDefault="00122C1B" w:rsidP="00D842C2">
            <w:pPr>
              <w:pStyle w:val="TableParagraph"/>
              <w:jc w:val="center"/>
            </w:pPr>
            <w:r w:rsidRPr="00117C96">
              <w:t>+5</w:t>
            </w:r>
          </w:p>
        </w:tc>
        <w:tc>
          <w:tcPr>
            <w:tcW w:w="1530" w:type="dxa"/>
          </w:tcPr>
          <w:p w14:paraId="2E2ECC70" w14:textId="77777777" w:rsidR="00122C1B" w:rsidRPr="00117C96" w:rsidRDefault="00122C1B" w:rsidP="00D842C2">
            <w:pPr>
              <w:pStyle w:val="TableParagraph"/>
              <w:jc w:val="center"/>
            </w:pPr>
            <w:r w:rsidRPr="00117C96">
              <w:t>+7</w:t>
            </w:r>
          </w:p>
        </w:tc>
        <w:tc>
          <w:tcPr>
            <w:tcW w:w="1305" w:type="dxa"/>
          </w:tcPr>
          <w:p w14:paraId="5465B7C8" w14:textId="77777777" w:rsidR="00122C1B" w:rsidRPr="00117C96" w:rsidRDefault="00122C1B" w:rsidP="00D842C2">
            <w:pPr>
              <w:pStyle w:val="TableParagraph"/>
              <w:jc w:val="center"/>
            </w:pPr>
            <w:r w:rsidRPr="00117C96">
              <w:t>+10</w:t>
            </w:r>
          </w:p>
        </w:tc>
      </w:tr>
    </w:tbl>
    <w:p w14:paraId="3C5895B6" w14:textId="77777777" w:rsidR="00122C1B" w:rsidRDefault="00122C1B" w:rsidP="005F60A7">
      <w:pPr>
        <w:pStyle w:val="TextPara"/>
        <w:spacing w:before="240"/>
        <w:rPr>
          <w:rFonts w:cs="Segoe UI"/>
        </w:rPr>
      </w:pPr>
      <w:r>
        <w:rPr>
          <w:rFonts w:cs="Segoe UI"/>
        </w:rPr>
        <w:lastRenderedPageBreak/>
        <w:t xml:space="preserve">Where </w:t>
      </w:r>
      <w:r w:rsidR="000C33B0">
        <w:rPr>
          <w:rFonts w:cs="Segoe UI"/>
        </w:rPr>
        <w:t>DoT</w:t>
      </w:r>
      <w:r>
        <w:rPr>
          <w:rFonts w:cs="Segoe UI"/>
        </w:rPr>
        <w:t xml:space="preserve"> considered it would be useful to compare options with the </w:t>
      </w:r>
      <w:r w:rsidRPr="003D083B">
        <w:rPr>
          <w:rFonts w:cs="Segoe UI"/>
        </w:rPr>
        <w:t>situation</w:t>
      </w:r>
      <w:r>
        <w:rPr>
          <w:rFonts w:cs="Segoe UI"/>
        </w:rPr>
        <w:t xml:space="preserve"> under the current Regulations, the current approach was included as a separate option and compared with the base case</w:t>
      </w:r>
      <w:r w:rsidR="00026C36" w:rsidRPr="002A5E91">
        <w:rPr>
          <w:rFonts w:cs="Segoe UI"/>
        </w:rPr>
        <w:t xml:space="preserve"> </w:t>
      </w:r>
      <w:r w:rsidR="00026C36">
        <w:rPr>
          <w:rFonts w:cs="Segoe UI"/>
        </w:rPr>
        <w:t>or, if applicable, the relevant reference point</w:t>
      </w:r>
      <w:r>
        <w:rPr>
          <w:rFonts w:cs="Segoe UI"/>
        </w:rPr>
        <w:t xml:space="preserve">. </w:t>
      </w:r>
    </w:p>
    <w:p w14:paraId="2D7439FD" w14:textId="77777777" w:rsidR="00122C1B" w:rsidRPr="00117C96" w:rsidRDefault="00122C1B" w:rsidP="0063232B">
      <w:pPr>
        <w:pStyle w:val="TextPara"/>
        <w:rPr>
          <w:rFonts w:cs="Segoe UI"/>
        </w:rPr>
      </w:pPr>
      <w:r>
        <w:rPr>
          <w:rFonts w:cs="Segoe UI"/>
        </w:rPr>
        <w:t>Options we</w:t>
      </w:r>
      <w:r w:rsidRPr="00117C96">
        <w:rPr>
          <w:rFonts w:cs="Segoe UI"/>
        </w:rPr>
        <w:t>re then</w:t>
      </w:r>
      <w:r>
        <w:rPr>
          <w:rFonts w:cs="Segoe UI"/>
        </w:rPr>
        <w:t xml:space="preserve"> compared and </w:t>
      </w:r>
      <w:r w:rsidRPr="00117C96">
        <w:rPr>
          <w:rFonts w:cs="Segoe UI"/>
        </w:rPr>
        <w:t>rated by reference to whether the expected outcome resulting from the option represent</w:t>
      </w:r>
      <w:r>
        <w:rPr>
          <w:rFonts w:cs="Segoe UI"/>
        </w:rPr>
        <w:t>ed</w:t>
      </w:r>
      <w:r w:rsidRPr="00117C96">
        <w:rPr>
          <w:rFonts w:cs="Segoe UI"/>
        </w:rPr>
        <w:t xml:space="preserve"> a positive or negative change relative to the base case. To arrive at the weighted scores f</w:t>
      </w:r>
      <w:r>
        <w:rPr>
          <w:rFonts w:cs="Segoe UI"/>
        </w:rPr>
        <w:t>or each option, the raw scores we</w:t>
      </w:r>
      <w:r w:rsidRPr="00117C96">
        <w:rPr>
          <w:rFonts w:cs="Segoe UI"/>
        </w:rPr>
        <w:t>re multiplied by their allocated we</w:t>
      </w:r>
      <w:r>
        <w:rPr>
          <w:rFonts w:cs="Segoe UI"/>
        </w:rPr>
        <w:t xml:space="preserve">ighting to give a </w:t>
      </w:r>
      <w:r w:rsidRPr="00117C96">
        <w:rPr>
          <w:rFonts w:cs="Segoe UI"/>
        </w:rPr>
        <w:t>weighted score.</w:t>
      </w:r>
    </w:p>
    <w:p w14:paraId="5EE174B4" w14:textId="77777777" w:rsidR="00E4479F" w:rsidRDefault="00E4479F" w:rsidP="006713F9">
      <w:pPr>
        <w:pStyle w:val="Heading1"/>
        <w:sectPr w:rsidR="00E4479F" w:rsidSect="00910C49">
          <w:headerReference w:type="even" r:id="rId28"/>
          <w:headerReference w:type="default" r:id="rId29"/>
          <w:headerReference w:type="first" r:id="rId30"/>
          <w:endnotePr>
            <w:numFmt w:val="decimal"/>
          </w:endnotePr>
          <w:pgSz w:w="11906" w:h="16838" w:code="9"/>
          <w:pgMar w:top="1418" w:right="1134" w:bottom="1418" w:left="1247" w:header="567" w:footer="397" w:gutter="0"/>
          <w:cols w:space="708"/>
          <w:docGrid w:linePitch="360"/>
        </w:sectPr>
      </w:pPr>
    </w:p>
    <w:p w14:paraId="0A46F669" w14:textId="77777777" w:rsidR="00122C1B" w:rsidRDefault="00122C1B" w:rsidP="006713F9">
      <w:pPr>
        <w:pStyle w:val="Heading1"/>
      </w:pPr>
      <w:bookmarkStart w:id="94" w:name="_Toc10703407"/>
      <w:r>
        <w:lastRenderedPageBreak/>
        <w:t>Nature and extent of problem</w:t>
      </w:r>
      <w:bookmarkEnd w:id="94"/>
    </w:p>
    <w:p w14:paraId="5F67C587" w14:textId="77777777" w:rsidR="00122C1B" w:rsidRPr="00BC735D" w:rsidRDefault="00122C1B" w:rsidP="001A063E">
      <w:pPr>
        <w:pStyle w:val="Heading2"/>
      </w:pPr>
      <w:bookmarkStart w:id="95" w:name="_Ref515357178"/>
      <w:bookmarkStart w:id="96" w:name="_Toc10703408"/>
      <w:r>
        <w:t>Nature of the problem</w:t>
      </w:r>
      <w:bookmarkEnd w:id="95"/>
      <w:bookmarkEnd w:id="96"/>
    </w:p>
    <w:p w14:paraId="2B11AC67" w14:textId="77777777" w:rsidR="00122C1B" w:rsidRDefault="00122C1B" w:rsidP="00204937">
      <w:pPr>
        <w:pStyle w:val="TextPara"/>
      </w:pPr>
      <w:r>
        <w:t>Road safety</w:t>
      </w:r>
      <w:r w:rsidRPr="00BC735D">
        <w:t xml:space="preserve"> </w:t>
      </w:r>
      <w:r>
        <w:t xml:space="preserve">risk </w:t>
      </w:r>
      <w:r w:rsidRPr="00BC735D">
        <w:t>factors</w:t>
      </w:r>
      <w:r>
        <w:t xml:space="preserve"> resulting from driver behaviour</w:t>
      </w:r>
      <w:r w:rsidRPr="00BC735D">
        <w:t xml:space="preserve">, </w:t>
      </w:r>
      <w:r>
        <w:t>such as</w:t>
      </w:r>
      <w:r w:rsidRPr="00BC735D">
        <w:t xml:space="preserve"> speeding, driver fatigue, drink/drug</w:t>
      </w:r>
      <w:r>
        <w:t>-</w:t>
      </w:r>
      <w:r w:rsidRPr="00BC735D">
        <w:t xml:space="preserve">driving, non-wearing of </w:t>
      </w:r>
      <w:r>
        <w:t>seat belt</w:t>
      </w:r>
      <w:r w:rsidRPr="00BC735D">
        <w:t>, mobile phone</w:t>
      </w:r>
      <w:r>
        <w:t xml:space="preserve"> use, distracted driving and night driving,</w:t>
      </w:r>
      <w:r w:rsidRPr="008F68D4">
        <w:t xml:space="preserve"> are known to be </w:t>
      </w:r>
      <w:r>
        <w:t>common</w:t>
      </w:r>
      <w:r w:rsidRPr="008F68D4">
        <w:t xml:space="preserve"> contributor</w:t>
      </w:r>
      <w:r>
        <w:t>s</w:t>
      </w:r>
      <w:r w:rsidRPr="008F68D4">
        <w:t xml:space="preserve"> to </w:t>
      </w:r>
      <w:r>
        <w:t xml:space="preserve">road </w:t>
      </w:r>
      <w:r w:rsidRPr="008F68D4">
        <w:t>fatalities</w:t>
      </w:r>
      <w:r>
        <w:t xml:space="preserve"> and</w:t>
      </w:r>
      <w:r w:rsidRPr="008F68D4">
        <w:t xml:space="preserve"> serious injuries</w:t>
      </w:r>
      <w:r>
        <w:t>. In the case of young novice drivers,</w:t>
      </w:r>
      <w:r w:rsidRPr="008F68D4">
        <w:t xml:space="preserve"> </w:t>
      </w:r>
      <w:r>
        <w:t xml:space="preserve">there are other leading risk factors, such as </w:t>
      </w:r>
      <w:r w:rsidRPr="008F68D4">
        <w:t>driving inexperience</w:t>
      </w:r>
      <w:r>
        <w:t>, having multiple passengers in the car and driving an older and less safe vehicle. Motorcyclists face additional road safety risks, such as p</w:t>
      </w:r>
      <w:r w:rsidRPr="003E4BD1">
        <w:t>oor visibility</w:t>
      </w:r>
      <w:r>
        <w:t xml:space="preserve"> of </w:t>
      </w:r>
      <w:r w:rsidRPr="003E4BD1">
        <w:t>motorcycle</w:t>
      </w:r>
      <w:r>
        <w:t>s</w:t>
      </w:r>
      <w:r w:rsidRPr="003E4BD1">
        <w:t xml:space="preserve"> </w:t>
      </w:r>
      <w:r>
        <w:t>by car drivers, inadequate</w:t>
      </w:r>
      <w:r w:rsidRPr="003E4BD1">
        <w:t xml:space="preserve"> </w:t>
      </w:r>
      <w:r>
        <w:t xml:space="preserve">body </w:t>
      </w:r>
      <w:r w:rsidRPr="003E4BD1">
        <w:t>protection</w:t>
      </w:r>
      <w:r>
        <w:t xml:space="preserve"> and low vehicle stability. </w:t>
      </w:r>
    </w:p>
    <w:p w14:paraId="600FB585" w14:textId="3FBD625D" w:rsidR="00122C1B" w:rsidRPr="005E7A9D" w:rsidRDefault="00122C1B" w:rsidP="00204937">
      <w:pPr>
        <w:pStyle w:val="TextPara"/>
      </w:pPr>
      <w:r>
        <w:t xml:space="preserve">The purpose of the proposed Regulations is to supplement and support the objectives and provisions of the </w:t>
      </w:r>
      <w:r w:rsidRPr="009C0640">
        <w:rPr>
          <w:i/>
        </w:rPr>
        <w:t>RSA</w:t>
      </w:r>
      <w:r>
        <w:t xml:space="preserve"> and minimise any potential adverse impact of these risk factors</w:t>
      </w:r>
      <w:r w:rsidRPr="00F9109D">
        <w:t xml:space="preserve"> </w:t>
      </w:r>
      <w:r>
        <w:t>on the number of lives lost on Victorian roads.</w:t>
      </w:r>
      <w:r w:rsidR="000E0BDD">
        <w:t xml:space="preserve"> As discussed in </w:t>
      </w:r>
      <w:r w:rsidR="001F3E98">
        <w:t xml:space="preserve">section </w:t>
      </w:r>
      <w:r w:rsidR="001F3E98">
        <w:fldChar w:fldCharType="begin"/>
      </w:r>
      <w:r w:rsidR="001F3E98">
        <w:instrText xml:space="preserve"> REF _Ref513018801 \r \h </w:instrText>
      </w:r>
      <w:r w:rsidR="001F3E98">
        <w:fldChar w:fldCharType="separate"/>
      </w:r>
      <w:r w:rsidR="00EB4B02">
        <w:t>1.3.2</w:t>
      </w:r>
      <w:r w:rsidR="001F3E98">
        <w:fldChar w:fldCharType="end"/>
      </w:r>
      <w:r w:rsidR="001F3E98">
        <w:t xml:space="preserve"> above</w:t>
      </w:r>
      <w:r w:rsidR="000E0BDD">
        <w:t xml:space="preserve">, much of the intent of the </w:t>
      </w:r>
      <w:r w:rsidR="000E0BDD" w:rsidRPr="00566939">
        <w:rPr>
          <w:i/>
        </w:rPr>
        <w:t>RSA</w:t>
      </w:r>
      <w:r w:rsidR="000E0BDD">
        <w:t xml:space="preserve"> could not be achieved if the regulations were not remade. While the </w:t>
      </w:r>
      <w:r w:rsidR="000E0BDD" w:rsidRPr="00566939">
        <w:rPr>
          <w:i/>
        </w:rPr>
        <w:t>RSA</w:t>
      </w:r>
      <w:r w:rsidR="000E0BDD">
        <w:t xml:space="preserve"> </w:t>
      </w:r>
      <w:r w:rsidR="00566939">
        <w:t>contains</w:t>
      </w:r>
      <w:r w:rsidR="000E0BDD">
        <w:t xml:space="preserve"> important </w:t>
      </w:r>
      <w:r w:rsidR="00566939">
        <w:t>provisions</w:t>
      </w:r>
      <w:r w:rsidR="000459C7">
        <w:t xml:space="preserve"> including</w:t>
      </w:r>
      <w:r w:rsidR="00A22FEF">
        <w:t xml:space="preserve"> the learner permit and driver licensing </w:t>
      </w:r>
      <w:r w:rsidR="00BB5B45">
        <w:t xml:space="preserve">minimum </w:t>
      </w:r>
      <w:r w:rsidR="00A22FEF">
        <w:t xml:space="preserve">age, </w:t>
      </w:r>
      <w:r w:rsidR="00BB5B45">
        <w:t>the definition of licence categories</w:t>
      </w:r>
      <w:r w:rsidR="005F0DDA">
        <w:t>,</w:t>
      </w:r>
      <w:r w:rsidR="00BB5B45">
        <w:t xml:space="preserve"> </w:t>
      </w:r>
      <w:r w:rsidR="00A22FEF">
        <w:t>the creation of the demerit points register</w:t>
      </w:r>
      <w:r w:rsidR="005F0DDA">
        <w:t xml:space="preserve"> and the setting of the demerit points thresholds</w:t>
      </w:r>
      <w:r w:rsidR="00BB5B45">
        <w:t>,</w:t>
      </w:r>
      <w:r w:rsidR="00A22FEF">
        <w:t xml:space="preserve"> </w:t>
      </w:r>
      <w:r w:rsidR="000459C7">
        <w:t xml:space="preserve">other critical safety </w:t>
      </w:r>
      <w:r w:rsidR="005B36D4">
        <w:t>features including</w:t>
      </w:r>
      <w:r w:rsidR="00BB5B45">
        <w:t xml:space="preserve"> the n</w:t>
      </w:r>
      <w:r w:rsidR="00BB5B45" w:rsidRPr="00BB5B45">
        <w:t>umber of hours of supervised driving that learners must complete</w:t>
      </w:r>
      <w:r w:rsidR="00BB5B45">
        <w:t xml:space="preserve">, the </w:t>
      </w:r>
      <w:r w:rsidR="00BB5B45" w:rsidRPr="00BB5B45">
        <w:t>duration</w:t>
      </w:r>
      <w:r w:rsidR="00BB5B45">
        <w:t xml:space="preserve"> of the p</w:t>
      </w:r>
      <w:r w:rsidR="00BB5B45" w:rsidRPr="00BB5B45">
        <w:t>robationary period</w:t>
      </w:r>
      <w:r w:rsidR="00601C7C">
        <w:t xml:space="preserve"> and setting the number of demerit points applicable to relevant offences</w:t>
      </w:r>
      <w:r w:rsidR="00BB5B45" w:rsidRPr="00BB5B45">
        <w:t xml:space="preserve"> </w:t>
      </w:r>
      <w:r w:rsidR="005B36D4">
        <w:t>would not be in place with</w:t>
      </w:r>
      <w:r w:rsidR="00601C7C">
        <w:t>out</w:t>
      </w:r>
      <w:r w:rsidR="005B36D4">
        <w:t xml:space="preserve"> the proposed </w:t>
      </w:r>
      <w:r w:rsidR="00601C7C">
        <w:t>Regulations</w:t>
      </w:r>
      <w:r w:rsidR="005B36D4">
        <w:t>.</w:t>
      </w:r>
    </w:p>
    <w:p w14:paraId="55B3A1CE" w14:textId="77777777" w:rsidR="00122C1B" w:rsidRPr="005E7A9D" w:rsidRDefault="00122C1B" w:rsidP="006713F9">
      <w:pPr>
        <w:pStyle w:val="Heading3"/>
      </w:pPr>
      <w:bookmarkStart w:id="97" w:name="_Toc10703409"/>
      <w:r w:rsidRPr="005E7A9D">
        <w:t>Risk factors affecting all drivers and motorcyclists</w:t>
      </w:r>
      <w:bookmarkEnd w:id="97"/>
    </w:p>
    <w:p w14:paraId="67534AA7" w14:textId="38440BA7" w:rsidR="00122C1B" w:rsidRDefault="00122C1B" w:rsidP="00204937">
      <w:pPr>
        <w:pStyle w:val="TextPara"/>
        <w:rPr>
          <w:rFonts w:cs="Segoe UI"/>
        </w:rPr>
      </w:pPr>
      <w:r w:rsidRPr="00117C96">
        <w:rPr>
          <w:rFonts w:cs="Segoe UI"/>
        </w:rPr>
        <w:t xml:space="preserve">The key road safety </w:t>
      </w:r>
      <w:r>
        <w:rPr>
          <w:rFonts w:cs="Segoe UI"/>
        </w:rPr>
        <w:t>factors</w:t>
      </w:r>
      <w:r w:rsidRPr="00117C96">
        <w:rPr>
          <w:rFonts w:cs="Segoe UI"/>
        </w:rPr>
        <w:t xml:space="preserve"> </w:t>
      </w:r>
      <w:r>
        <w:rPr>
          <w:rFonts w:cs="Segoe UI"/>
        </w:rPr>
        <w:t xml:space="preserve">relevant to all drivers and their corresponding impact </w:t>
      </w:r>
      <w:r w:rsidRPr="00117C96">
        <w:rPr>
          <w:rFonts w:cs="Segoe UI"/>
        </w:rPr>
        <w:t>are described in</w:t>
      </w:r>
      <w:r>
        <w:rPr>
          <w:rFonts w:cs="Segoe UI"/>
        </w:rPr>
        <w:t xml:space="preserve"> </w:t>
      </w:r>
      <w:r>
        <w:rPr>
          <w:rFonts w:cs="Segoe UI"/>
        </w:rPr>
        <w:fldChar w:fldCharType="begin"/>
      </w:r>
      <w:r>
        <w:rPr>
          <w:rFonts w:cs="Segoe UI"/>
        </w:rPr>
        <w:instrText xml:space="preserve"> REF _Ref500513525 \h </w:instrText>
      </w:r>
      <w:r>
        <w:rPr>
          <w:rFonts w:cs="Segoe UI"/>
        </w:rPr>
      </w:r>
      <w:r>
        <w:rPr>
          <w:rFonts w:cs="Segoe UI"/>
        </w:rPr>
        <w:fldChar w:fldCharType="separate"/>
      </w:r>
      <w:r w:rsidR="00EB4B02" w:rsidRPr="00117C96">
        <w:t xml:space="preserve">Table </w:t>
      </w:r>
      <w:r w:rsidR="00EB4B02">
        <w:rPr>
          <w:noProof/>
        </w:rPr>
        <w:t>8</w:t>
      </w:r>
      <w:r>
        <w:rPr>
          <w:rFonts w:cs="Segoe UI"/>
        </w:rPr>
        <w:fldChar w:fldCharType="end"/>
      </w:r>
      <w:r w:rsidRPr="00117C96">
        <w:rPr>
          <w:rFonts w:cs="Segoe UI"/>
        </w:rPr>
        <w:t>.</w:t>
      </w:r>
    </w:p>
    <w:p w14:paraId="0163DB50" w14:textId="40BDF293" w:rsidR="00122C1B" w:rsidRPr="00117C96" w:rsidRDefault="00122C1B" w:rsidP="00AA0BBA">
      <w:pPr>
        <w:pStyle w:val="Caption"/>
      </w:pPr>
      <w:bookmarkStart w:id="98" w:name="_Ref500513525"/>
      <w:bookmarkStart w:id="99" w:name="_Toc10703701"/>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8</w:t>
      </w:r>
      <w:r w:rsidR="00BC6B2E">
        <w:rPr>
          <w:noProof/>
        </w:rPr>
        <w:fldChar w:fldCharType="end"/>
      </w:r>
      <w:bookmarkEnd w:id="98"/>
      <w:r w:rsidRPr="00117C96">
        <w:t xml:space="preserve"> </w:t>
      </w:r>
      <w:r>
        <w:rPr>
          <w:noProof/>
        </w:rPr>
        <w:t>–</w:t>
      </w:r>
      <w:r w:rsidRPr="00117C96">
        <w:t xml:space="preserve"> Key road safety </w:t>
      </w:r>
      <w:r>
        <w:t xml:space="preserve">risk </w:t>
      </w:r>
      <w:r w:rsidRPr="00117C96">
        <w:t xml:space="preserve">factors </w:t>
      </w:r>
      <w:r>
        <w:t>affecting all drivers and motorcyclists</w:t>
      </w:r>
      <w:bookmarkEnd w:id="99"/>
    </w:p>
    <w:tbl>
      <w:tblPr>
        <w:tblStyle w:val="RIS-Table2"/>
        <w:tblW w:w="9498" w:type="dxa"/>
        <w:tblLook w:val="04A0" w:firstRow="1" w:lastRow="0" w:firstColumn="1" w:lastColumn="0" w:noHBand="0" w:noVBand="1"/>
      </w:tblPr>
      <w:tblGrid>
        <w:gridCol w:w="1906"/>
        <w:gridCol w:w="4048"/>
        <w:gridCol w:w="3544"/>
      </w:tblGrid>
      <w:tr w:rsidR="00122C1B" w:rsidRPr="00117C96" w14:paraId="3AF98C0D" w14:textId="77777777" w:rsidTr="009B381C">
        <w:trPr>
          <w:cnfStyle w:val="100000000000" w:firstRow="1" w:lastRow="0" w:firstColumn="0" w:lastColumn="0" w:oddVBand="0" w:evenVBand="0" w:oddHBand="0" w:evenHBand="0" w:firstRowFirstColumn="0" w:firstRowLastColumn="0" w:lastRowFirstColumn="0" w:lastRowLastColumn="0"/>
          <w:trHeight w:val="300"/>
        </w:trPr>
        <w:tc>
          <w:tcPr>
            <w:tcW w:w="1906" w:type="dxa"/>
            <w:noWrap/>
            <w:hideMark/>
          </w:tcPr>
          <w:p w14:paraId="6EE13C17" w14:textId="77777777" w:rsidR="00122C1B" w:rsidRPr="00BC38EB" w:rsidRDefault="00122C1B" w:rsidP="00204937">
            <w:pPr>
              <w:spacing w:after="40"/>
              <w:rPr>
                <w:rFonts w:ascii="Segoe UI" w:eastAsia="Times New Roman" w:hAnsi="Segoe UI" w:cs="Segoe UI"/>
                <w:sz w:val="18"/>
                <w:szCs w:val="18"/>
              </w:rPr>
            </w:pPr>
            <w:r w:rsidRPr="00BC38EB">
              <w:rPr>
                <w:rFonts w:ascii="Segoe UI" w:eastAsia="Times New Roman" w:hAnsi="Segoe UI" w:cs="Segoe UI"/>
                <w:sz w:val="18"/>
                <w:szCs w:val="18"/>
              </w:rPr>
              <w:t>Factor</w:t>
            </w:r>
          </w:p>
        </w:tc>
        <w:tc>
          <w:tcPr>
            <w:tcW w:w="4048" w:type="dxa"/>
            <w:noWrap/>
            <w:hideMark/>
          </w:tcPr>
          <w:p w14:paraId="51CB28C1" w14:textId="77777777" w:rsidR="00122C1B" w:rsidRPr="00117C96" w:rsidRDefault="00122C1B" w:rsidP="00204937">
            <w:pPr>
              <w:spacing w:after="40"/>
              <w:rPr>
                <w:rFonts w:ascii="Segoe UI" w:eastAsia="Times New Roman" w:hAnsi="Segoe UI" w:cs="Segoe UI"/>
                <w:sz w:val="18"/>
                <w:szCs w:val="18"/>
              </w:rPr>
            </w:pPr>
            <w:r>
              <w:rPr>
                <w:rFonts w:ascii="Segoe UI" w:eastAsia="Times New Roman" w:hAnsi="Segoe UI" w:cs="Segoe UI"/>
                <w:sz w:val="18"/>
                <w:szCs w:val="18"/>
              </w:rPr>
              <w:t>Description</w:t>
            </w:r>
          </w:p>
        </w:tc>
        <w:tc>
          <w:tcPr>
            <w:tcW w:w="3544" w:type="dxa"/>
          </w:tcPr>
          <w:p w14:paraId="79E756CA" w14:textId="77777777" w:rsidR="00122C1B" w:rsidRDefault="00122C1B" w:rsidP="00204937">
            <w:pPr>
              <w:spacing w:after="40"/>
              <w:rPr>
                <w:rFonts w:ascii="Segoe UI" w:eastAsia="Times New Roman" w:hAnsi="Segoe UI" w:cs="Segoe UI"/>
                <w:sz w:val="18"/>
                <w:szCs w:val="18"/>
              </w:rPr>
            </w:pPr>
            <w:r>
              <w:rPr>
                <w:rFonts w:ascii="Segoe UI" w:eastAsia="Times New Roman" w:hAnsi="Segoe UI" w:cs="Segoe UI"/>
                <w:sz w:val="18"/>
                <w:szCs w:val="18"/>
              </w:rPr>
              <w:t>Impact</w:t>
            </w:r>
          </w:p>
        </w:tc>
      </w:tr>
      <w:tr w:rsidR="00122C1B" w:rsidRPr="00117C96" w14:paraId="4A8CAC36" w14:textId="77777777" w:rsidTr="009B381C">
        <w:trPr>
          <w:trHeight w:val="300"/>
        </w:trPr>
        <w:tc>
          <w:tcPr>
            <w:tcW w:w="1906" w:type="dxa"/>
            <w:noWrap/>
          </w:tcPr>
          <w:p w14:paraId="127EB48E" w14:textId="77777777" w:rsidR="00122C1B" w:rsidRPr="00E50108" w:rsidRDefault="00122C1B" w:rsidP="00204937">
            <w:pPr>
              <w:pStyle w:val="TableParagraph"/>
              <w:rPr>
                <w:b/>
              </w:rPr>
            </w:pPr>
            <w:r w:rsidRPr="00E50108">
              <w:rPr>
                <w:b/>
              </w:rPr>
              <w:t>Speeding</w:t>
            </w:r>
          </w:p>
        </w:tc>
        <w:tc>
          <w:tcPr>
            <w:tcW w:w="4048" w:type="dxa"/>
            <w:noWrap/>
          </w:tcPr>
          <w:p w14:paraId="21E1594B" w14:textId="77777777" w:rsidR="00122C1B" w:rsidRDefault="00122C1B" w:rsidP="00204937">
            <w:pPr>
              <w:pStyle w:val="TableParagraph"/>
            </w:pPr>
            <w:r w:rsidRPr="00697B79">
              <w:t>Speed</w:t>
            </w:r>
            <w:r>
              <w:t>ing</w:t>
            </w:r>
            <w:r w:rsidRPr="00697B79">
              <w:t xml:space="preserve"> is one of the major factors contributing to </w:t>
            </w:r>
            <w:r w:rsidRPr="00BF1CCA">
              <w:t>road crashes</w:t>
            </w:r>
            <w:r w:rsidRPr="00697B79">
              <w:t xml:space="preserve"> on Victoria's roads</w:t>
            </w:r>
            <w:r>
              <w:t>.</w:t>
            </w:r>
            <w:r w:rsidRPr="00BF1CCA">
              <w:t xml:space="preserve"> </w:t>
            </w:r>
          </w:p>
          <w:p w14:paraId="5D2B6471" w14:textId="77777777" w:rsidR="00122C1B" w:rsidRDefault="00122C1B" w:rsidP="00204937">
            <w:pPr>
              <w:pStyle w:val="TableParagraph"/>
              <w:spacing w:before="0"/>
            </w:pPr>
            <w:r>
              <w:t>There are three categories of speed:</w:t>
            </w:r>
          </w:p>
          <w:p w14:paraId="64B926DA" w14:textId="77777777" w:rsidR="00122C1B" w:rsidRDefault="00122C1B" w:rsidP="005F6F8B">
            <w:pPr>
              <w:pStyle w:val="TableList1"/>
            </w:pPr>
            <w:r w:rsidRPr="00CA5A13">
              <w:rPr>
                <w:i/>
              </w:rPr>
              <w:t>excessive</w:t>
            </w:r>
            <w:r>
              <w:t xml:space="preserve"> – where speeding is deliberate and substantially over the speed limit</w:t>
            </w:r>
          </w:p>
          <w:p w14:paraId="2E14774D" w14:textId="77777777" w:rsidR="00122C1B" w:rsidRDefault="00122C1B" w:rsidP="00457BB1">
            <w:pPr>
              <w:pStyle w:val="TableList1"/>
            </w:pPr>
            <w:r w:rsidRPr="00CA5A13">
              <w:rPr>
                <w:i/>
              </w:rPr>
              <w:t>low level</w:t>
            </w:r>
            <w:r>
              <w:t xml:space="preserve"> – where the driver travels at a speed marginally over the posted speed limit, typically by 5km/h (research shows most motorists engage in low level speeding)</w:t>
            </w:r>
          </w:p>
          <w:p w14:paraId="62319359" w14:textId="77777777" w:rsidR="00122C1B" w:rsidRDefault="00122C1B">
            <w:pPr>
              <w:pStyle w:val="TableList1"/>
            </w:pPr>
            <w:r w:rsidRPr="00CA5A13">
              <w:rPr>
                <w:i/>
              </w:rPr>
              <w:t>inappropriate</w:t>
            </w:r>
            <w:r>
              <w:t xml:space="preserve"> – where the driver travels at a speed that is inappropriate for the conditions, such as travelling at the speed limit when the road is wet.</w:t>
            </w:r>
          </w:p>
          <w:p w14:paraId="22EE9706" w14:textId="77777777" w:rsidR="00122C1B" w:rsidRDefault="00122C1B" w:rsidP="009511F1">
            <w:pPr>
              <w:pStyle w:val="TableParagraph"/>
              <w:rPr>
                <w:rStyle w:val="EndnoteReference"/>
              </w:rPr>
            </w:pPr>
            <w:r>
              <w:t xml:space="preserve">All categories of speeding are dangerous, reduce the time drivers have to avoid crashes and increase the risk of crashing and </w:t>
            </w:r>
            <w:r w:rsidRPr="00BF1CCA">
              <w:t>the severity of injuries to all road users involved in a crash</w:t>
            </w:r>
            <w:r>
              <w:t>.</w:t>
            </w:r>
            <w:r>
              <w:rPr>
                <w:rStyle w:val="EndnoteReference"/>
              </w:rPr>
              <w:endnoteReference w:id="54"/>
            </w:r>
            <w:r w:rsidRPr="00BF1CCA">
              <w:rPr>
                <w:rStyle w:val="EndnoteReference"/>
              </w:rPr>
              <w:t xml:space="preserve"> </w:t>
            </w:r>
          </w:p>
          <w:p w14:paraId="362484EA" w14:textId="77777777" w:rsidR="00122C1B" w:rsidRDefault="00122C1B" w:rsidP="00B46081">
            <w:pPr>
              <w:pStyle w:val="TableParagraph"/>
              <w:rPr>
                <w:rStyle w:val="BalloonTextChar"/>
                <w:rFonts w:ascii="Segoe UI" w:hAnsi="Segoe UI" w:cstheme="minorBidi"/>
                <w:sz w:val="18"/>
                <w:szCs w:val="20"/>
              </w:rPr>
            </w:pPr>
            <w:r>
              <w:t>A</w:t>
            </w:r>
            <w:r w:rsidRPr="009511F1">
              <w:rPr>
                <w:rStyle w:val="EndnoteReference"/>
                <w:vertAlign w:val="baseline"/>
              </w:rPr>
              <w:t xml:space="preserve"> very strong statistical relationship between speed and road</w:t>
            </w:r>
            <w:r>
              <w:rPr>
                <w:rStyle w:val="EndnoteReference"/>
                <w:vertAlign w:val="baseline"/>
              </w:rPr>
              <w:t xml:space="preserve"> </w:t>
            </w:r>
            <w:r w:rsidRPr="009511F1">
              <w:rPr>
                <w:rStyle w:val="EndnoteReference"/>
                <w:vertAlign w:val="baseline"/>
              </w:rPr>
              <w:t>safety</w:t>
            </w:r>
            <w:r>
              <w:t xml:space="preserve"> exists and possibly no </w:t>
            </w:r>
            <w:r w:rsidRPr="009511F1">
              <w:rPr>
                <w:rStyle w:val="EndnoteReference"/>
                <w:vertAlign w:val="baseline"/>
              </w:rPr>
              <w:t>other risk factor has a more</w:t>
            </w:r>
            <w:r>
              <w:rPr>
                <w:rStyle w:val="EndnoteReference"/>
                <w:vertAlign w:val="baseline"/>
              </w:rPr>
              <w:t xml:space="preserve"> </w:t>
            </w:r>
            <w:r w:rsidRPr="009511F1">
              <w:rPr>
                <w:rStyle w:val="EndnoteReference"/>
                <w:vertAlign w:val="baseline"/>
              </w:rPr>
              <w:t xml:space="preserve">powerful impact on </w:t>
            </w:r>
            <w:r>
              <w:rPr>
                <w:rStyle w:val="EndnoteReference"/>
                <w:vertAlign w:val="baseline"/>
              </w:rPr>
              <w:t>cras</w:t>
            </w:r>
            <w:r>
              <w:t>hes</w:t>
            </w:r>
            <w:r w:rsidRPr="009511F1">
              <w:rPr>
                <w:rStyle w:val="EndnoteReference"/>
                <w:vertAlign w:val="baseline"/>
              </w:rPr>
              <w:t xml:space="preserve"> or injuries than speed</w:t>
            </w:r>
            <w:r>
              <w:t xml:space="preserve">. </w:t>
            </w:r>
            <w:r w:rsidRPr="00BF1CCA">
              <w:t>In essence – the faster the crash, the harder the collision,</w:t>
            </w:r>
            <w:r w:rsidRPr="00BF1CCA">
              <w:rPr>
                <w:vertAlign w:val="superscript"/>
              </w:rPr>
              <w:t xml:space="preserve"> </w:t>
            </w:r>
            <w:r w:rsidRPr="00BF1CCA">
              <w:t xml:space="preserve">and the harder the impact, the greater the likelihood that severe injury </w:t>
            </w:r>
            <w:r>
              <w:t>or</w:t>
            </w:r>
            <w:r w:rsidRPr="00BF1CCA">
              <w:t xml:space="preserve"> death will result.</w:t>
            </w:r>
            <w:r w:rsidRPr="00BF1CCA">
              <w:rPr>
                <w:rStyle w:val="BalloonTextChar"/>
                <w:rFonts w:ascii="Segoe UI" w:hAnsi="Segoe UI" w:cstheme="minorBidi"/>
                <w:sz w:val="18"/>
                <w:szCs w:val="20"/>
              </w:rPr>
              <w:t xml:space="preserve"> </w:t>
            </w:r>
          </w:p>
          <w:p w14:paraId="320BE6A4" w14:textId="77777777" w:rsidR="00122C1B" w:rsidRDefault="00122C1B" w:rsidP="00B46081">
            <w:pPr>
              <w:pStyle w:val="TableParagraph"/>
              <w:rPr>
                <w:rStyle w:val="BalloonTextChar"/>
                <w:rFonts w:ascii="Segoe UI" w:hAnsi="Segoe UI" w:cstheme="minorBidi"/>
                <w:sz w:val="18"/>
                <w:szCs w:val="20"/>
              </w:rPr>
            </w:pPr>
            <w:r>
              <w:t xml:space="preserve">One overseas study concluded that ‘there is a law-like and causal relationship between speed </w:t>
            </w:r>
            <w:r>
              <w:lastRenderedPageBreak/>
              <w:t>and road safety [and,] if government wants to develop a road transport system in which nobody is killed or permanently injured, speed is the most important factor to regulate’.</w:t>
            </w:r>
            <w:r w:rsidRPr="00BF1CCA">
              <w:rPr>
                <w:rStyle w:val="EndnoteReference"/>
              </w:rPr>
              <w:endnoteReference w:id="55"/>
            </w:r>
            <w:r>
              <w:t xml:space="preserve"> </w:t>
            </w:r>
          </w:p>
          <w:p w14:paraId="0D9BEF0F" w14:textId="77777777" w:rsidR="00122C1B" w:rsidRPr="00BF1CCA" w:rsidRDefault="00122C1B" w:rsidP="00C60596">
            <w:pPr>
              <w:pStyle w:val="TableParagraph"/>
            </w:pPr>
            <w:r w:rsidRPr="00BF1CCA">
              <w:rPr>
                <w:rStyle w:val="BalloonTextChar"/>
                <w:rFonts w:ascii="Segoe UI" w:hAnsi="Segoe UI" w:cstheme="minorBidi"/>
                <w:sz w:val="18"/>
                <w:szCs w:val="20"/>
              </w:rPr>
              <w:t xml:space="preserve">Speeding is also a </w:t>
            </w:r>
            <w:r>
              <w:rPr>
                <w:rStyle w:val="BalloonTextChar"/>
                <w:rFonts w:ascii="Segoe UI" w:hAnsi="Segoe UI" w:cstheme="minorBidi"/>
                <w:sz w:val="18"/>
                <w:szCs w:val="20"/>
              </w:rPr>
              <w:t>significant</w:t>
            </w:r>
            <w:r w:rsidRPr="00BF1CCA">
              <w:rPr>
                <w:rStyle w:val="BalloonTextChar"/>
                <w:rFonts w:ascii="Segoe UI" w:hAnsi="Segoe UI" w:cstheme="minorBidi"/>
                <w:sz w:val="18"/>
                <w:szCs w:val="20"/>
              </w:rPr>
              <w:t xml:space="preserve"> problem for vulnerable road users (</w:t>
            </w:r>
            <w:r>
              <w:rPr>
                <w:rStyle w:val="BalloonTextChar"/>
                <w:rFonts w:ascii="Segoe UI" w:hAnsi="Segoe UI" w:cstheme="minorBidi"/>
                <w:sz w:val="18"/>
                <w:szCs w:val="20"/>
              </w:rPr>
              <w:t>i.e. p</w:t>
            </w:r>
            <w:r w:rsidRPr="00BF1CCA">
              <w:rPr>
                <w:rStyle w:val="BalloonTextChar"/>
                <w:rFonts w:ascii="Segoe UI" w:hAnsi="Segoe UI" w:cstheme="minorBidi"/>
                <w:sz w:val="18"/>
                <w:szCs w:val="20"/>
              </w:rPr>
              <w:t>edestrians, cyclists and motorcyclists). Their lack of protection means the risk of fatal injury increases substantially with increasing speed and the increase commences at a lower impact speed than for vehicle occupants.</w:t>
            </w:r>
            <w:r>
              <w:rPr>
                <w:rStyle w:val="BalloonTextChar"/>
                <w:rFonts w:ascii="Segoe UI" w:hAnsi="Segoe UI" w:cstheme="minorBidi"/>
                <w:sz w:val="18"/>
                <w:szCs w:val="20"/>
              </w:rPr>
              <w:t xml:space="preserve"> </w:t>
            </w:r>
            <w:r w:rsidRPr="00117C96">
              <w:t>In urban areas, with high concentrations of pedestrians and cyclists, measures to reduce speed are critical to the safety of these road users.</w:t>
            </w:r>
            <w:r w:rsidRPr="00117C96">
              <w:rPr>
                <w:rStyle w:val="EndnoteReference"/>
                <w:rFonts w:cs="Segoe UI"/>
              </w:rPr>
              <w:endnoteReference w:id="56"/>
            </w:r>
          </w:p>
        </w:tc>
        <w:tc>
          <w:tcPr>
            <w:tcW w:w="3544" w:type="dxa"/>
          </w:tcPr>
          <w:p w14:paraId="322EBEE2" w14:textId="77777777" w:rsidR="00122C1B" w:rsidRDefault="00122C1B" w:rsidP="009E43AB">
            <w:pPr>
              <w:pStyle w:val="TableParagraph"/>
            </w:pPr>
            <w:r>
              <w:lastRenderedPageBreak/>
              <w:t>According to a 2015 VicRoads study,</w:t>
            </w:r>
            <w:r>
              <w:rPr>
                <w:rStyle w:val="EndnoteReference"/>
              </w:rPr>
              <w:endnoteReference w:id="57"/>
            </w:r>
            <w:r>
              <w:t xml:space="preserve"> speed was: </w:t>
            </w:r>
          </w:p>
          <w:p w14:paraId="465DB2ED" w14:textId="77777777" w:rsidR="00122C1B" w:rsidRDefault="00122C1B" w:rsidP="006D06E5">
            <w:pPr>
              <w:pStyle w:val="TableList1"/>
            </w:pPr>
            <w:r>
              <w:t>a contributing factor in 23% of fatal crashes and 4% of serious injury crashes.</w:t>
            </w:r>
          </w:p>
          <w:p w14:paraId="13A60B3D" w14:textId="77777777" w:rsidR="00122C1B" w:rsidRDefault="00122C1B" w:rsidP="006D06E5">
            <w:pPr>
              <w:pStyle w:val="TableList1"/>
            </w:pPr>
            <w:r>
              <w:t>more frequently suspected in multiple fatalities compared with single fatalities in metropolitan Victoria (56% versus 41%)</w:t>
            </w:r>
          </w:p>
          <w:p w14:paraId="6409CE2B" w14:textId="77777777" w:rsidR="00122C1B" w:rsidRDefault="00122C1B" w:rsidP="006D06E5">
            <w:pPr>
              <w:pStyle w:val="TableList1"/>
            </w:pPr>
            <w:r>
              <w:t xml:space="preserve">more frequently suspected in single fatalities compared with multiple fatalities in rural Victoria (26% versus 15%).  </w:t>
            </w:r>
          </w:p>
          <w:p w14:paraId="67372B80" w14:textId="77777777" w:rsidR="00122C1B" w:rsidRPr="00697B79" w:rsidRDefault="00122C1B" w:rsidP="000206CC">
            <w:pPr>
              <w:pStyle w:val="TableParagraph"/>
            </w:pPr>
            <w:r>
              <w:t>In terms of crash risk, a 1% increase in average speed results in approximately a 2% increase in injury crash frequency, a 3% increase in severe crash frequency, and a 4% increase in fatal crash frequency.</w:t>
            </w:r>
            <w:r>
              <w:rPr>
                <w:rStyle w:val="EndnoteReference"/>
              </w:rPr>
              <w:endnoteReference w:id="58"/>
            </w:r>
            <w:r>
              <w:t xml:space="preserve"> In a 60 km/h speed limit area, the risk of involvement in a casualty crash doubles with each 5 km/h increase in travelling speed above 60 km/h.</w:t>
            </w:r>
            <w:r>
              <w:rPr>
                <w:rStyle w:val="EndnoteReference"/>
              </w:rPr>
              <w:endnoteReference w:id="59"/>
            </w:r>
          </w:p>
        </w:tc>
      </w:tr>
      <w:tr w:rsidR="00122C1B" w:rsidRPr="00117C96" w14:paraId="68614A2B"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906" w:type="dxa"/>
            <w:shd w:val="clear" w:color="auto" w:fill="auto"/>
            <w:noWrap/>
          </w:tcPr>
          <w:p w14:paraId="11B75DE0" w14:textId="77777777" w:rsidR="00122C1B" w:rsidRPr="00E50108" w:rsidRDefault="00122C1B" w:rsidP="00204937">
            <w:pPr>
              <w:pStyle w:val="TableParagraph"/>
              <w:rPr>
                <w:b/>
              </w:rPr>
            </w:pPr>
            <w:r>
              <w:rPr>
                <w:b/>
              </w:rPr>
              <w:t>Driver fatigue</w:t>
            </w:r>
          </w:p>
        </w:tc>
        <w:tc>
          <w:tcPr>
            <w:tcW w:w="4048" w:type="dxa"/>
            <w:shd w:val="clear" w:color="auto" w:fill="auto"/>
            <w:noWrap/>
          </w:tcPr>
          <w:p w14:paraId="42990E13" w14:textId="77777777" w:rsidR="00122C1B" w:rsidRDefault="00122C1B" w:rsidP="00204937">
            <w:pPr>
              <w:pStyle w:val="TableParagraph"/>
            </w:pPr>
            <w:r w:rsidRPr="00697B79">
              <w:t>Fatigue</w:t>
            </w:r>
            <w:r>
              <w:t xml:space="preserve"> (or sleepiness) may be defined as</w:t>
            </w:r>
            <w:r w:rsidRPr="00697B79">
              <w:t xml:space="preserve"> extreme tiredness brought about by not </w:t>
            </w:r>
            <w:r>
              <w:t xml:space="preserve">having </w:t>
            </w:r>
            <w:r w:rsidRPr="00697B79">
              <w:t>enough rest over a period of time</w:t>
            </w:r>
            <w:r>
              <w:t>. Fatigue is largely dependent on circadian rhythms and the circadian cycle is a potentially valuable indicator of when fatigue is likely to occur.</w:t>
            </w:r>
          </w:p>
          <w:p w14:paraId="04BDD57C" w14:textId="77777777" w:rsidR="00122C1B" w:rsidRDefault="00122C1B" w:rsidP="00204937">
            <w:pPr>
              <w:pStyle w:val="TableParagraph"/>
            </w:pPr>
            <w:r>
              <w:t>One dangerous consequence of fatigue is known as "microsleeps" – brief 4 to 5 second sleep periods of which one is usually not aware that they are occurring.</w:t>
            </w:r>
            <w:r w:rsidRPr="00697B79">
              <w:t xml:space="preserve"> If a driver falls asleep for just four seconds while travelling at a speed of 100 km/h the car will have gone 111 metres without a driver in control.</w:t>
            </w:r>
            <w:r>
              <w:rPr>
                <w:rStyle w:val="EndnoteReference"/>
              </w:rPr>
              <w:endnoteReference w:id="60"/>
            </w:r>
          </w:p>
          <w:p w14:paraId="01B39CB7" w14:textId="77777777" w:rsidR="00122C1B" w:rsidRPr="00117C96" w:rsidRDefault="00122C1B" w:rsidP="00826F18">
            <w:pPr>
              <w:pStyle w:val="TableParagraph"/>
            </w:pPr>
            <w:r w:rsidRPr="00697B79">
              <w:t xml:space="preserve">At high speed, a crash is likely with a high risk of death or severe injury. </w:t>
            </w:r>
            <w:r>
              <w:t xml:space="preserve">The groups of drivers considered at greatest risk of being involved in a fatigue-related accident are young drivers, shift workers (including heavy vehicle drivers) and </w:t>
            </w:r>
            <w:r w:rsidRPr="002F5EA4">
              <w:t>drivers</w:t>
            </w:r>
            <w:r>
              <w:t xml:space="preserve"> with sleep disorders.</w:t>
            </w:r>
          </w:p>
        </w:tc>
        <w:tc>
          <w:tcPr>
            <w:tcW w:w="3544" w:type="dxa"/>
            <w:shd w:val="clear" w:color="auto" w:fill="auto"/>
          </w:tcPr>
          <w:p w14:paraId="628FC177" w14:textId="77777777" w:rsidR="00122C1B" w:rsidRDefault="00122C1B" w:rsidP="00826F18">
            <w:pPr>
              <w:pStyle w:val="TableParagraph"/>
            </w:pPr>
            <w:r>
              <w:t xml:space="preserve">The </w:t>
            </w:r>
            <w:r w:rsidRPr="00C0593B">
              <w:t>Adelaide Centre for Sleep Research</w:t>
            </w:r>
            <w:r>
              <w:t xml:space="preserve"> has quantified the impact of fatigue on driving ability as follows:</w:t>
            </w:r>
            <w:r>
              <w:rPr>
                <w:rStyle w:val="EndnoteReference"/>
              </w:rPr>
              <w:endnoteReference w:id="61"/>
            </w:r>
          </w:p>
          <w:p w14:paraId="3FFDD9C9" w14:textId="77777777" w:rsidR="00122C1B" w:rsidRDefault="00122C1B" w:rsidP="005F6F8B">
            <w:pPr>
              <w:pStyle w:val="TableList1"/>
            </w:pPr>
            <w:r>
              <w:t xml:space="preserve">A person </w:t>
            </w:r>
            <w:r w:rsidRPr="007D4904">
              <w:t>who</w:t>
            </w:r>
            <w:r>
              <w:t xml:space="preserve"> has been awake for 17 hours faces the same risk of a crash as a person who has a BAC reading of 0.05 g/100ml. They are, therefore, twice as likely to have an accident as a person with a zero blood or breath alcohol concentration who is not fatigued.</w:t>
            </w:r>
          </w:p>
          <w:p w14:paraId="0898BF8D" w14:textId="77777777" w:rsidR="00122C1B" w:rsidRDefault="00122C1B" w:rsidP="00457BB1">
            <w:pPr>
              <w:pStyle w:val="TableList1"/>
            </w:pPr>
            <w:r>
              <w:t>Drivers who have been awake for 24 hours will have a driving performance similar to a person who has a BAC of 0.1 g/100ml. They are seven times more likely to have an accident.</w:t>
            </w:r>
          </w:p>
          <w:p w14:paraId="66F93B4B" w14:textId="77777777" w:rsidR="00122C1B" w:rsidRDefault="00122C1B" w:rsidP="00826F18">
            <w:pPr>
              <w:pStyle w:val="TableParagraph"/>
            </w:pPr>
            <w:r>
              <w:t>In Australia, fatigue has been recognised as the primary contributing factor in approximately 6% of all crashes and 15% of all fatal crashes.</w:t>
            </w:r>
            <w:r>
              <w:rPr>
                <w:rStyle w:val="EndnoteReference"/>
              </w:rPr>
              <w:endnoteReference w:id="62"/>
            </w:r>
          </w:p>
          <w:p w14:paraId="0264997F" w14:textId="36F8E107" w:rsidR="00122C1B" w:rsidRPr="00697B79" w:rsidRDefault="00122C1B" w:rsidP="00204937">
            <w:pPr>
              <w:pStyle w:val="TableParagraph"/>
            </w:pPr>
            <w:r w:rsidRPr="00697B79">
              <w:t xml:space="preserve">Fatigue is a major cause of crashes in Victoria resulting in some 50 deaths and </w:t>
            </w:r>
            <w:r>
              <w:t>about</w:t>
            </w:r>
            <w:r w:rsidRPr="00697B79">
              <w:t xml:space="preserve"> 300 serious injuries each year.</w:t>
            </w:r>
            <w:bookmarkStart w:id="100" w:name="_Ref507689751"/>
            <w:r>
              <w:rPr>
                <w:rStyle w:val="EndnoteReference"/>
              </w:rPr>
              <w:endnoteReference w:id="63"/>
            </w:r>
            <w:bookmarkEnd w:id="100"/>
            <w:r>
              <w:t xml:space="preserve"> Put another way, about</w:t>
            </w:r>
            <w:r w:rsidRPr="00DB3661">
              <w:t xml:space="preserve"> 20</w:t>
            </w:r>
            <w:r>
              <w:t>%</w:t>
            </w:r>
            <w:r w:rsidRPr="00DB3661">
              <w:t xml:space="preserve"> of fatal road accidents involve driver fatigue.</w:t>
            </w:r>
            <w:r w:rsidRPr="007364AE">
              <w:rPr>
                <w:vertAlign w:val="superscript"/>
              </w:rPr>
              <w:fldChar w:fldCharType="begin"/>
            </w:r>
            <w:r w:rsidRPr="007364AE">
              <w:rPr>
                <w:vertAlign w:val="superscript"/>
              </w:rPr>
              <w:instrText xml:space="preserve"> NOTEREF _Ref507689751 \h </w:instrText>
            </w:r>
            <w:r>
              <w:rPr>
                <w:vertAlign w:val="superscript"/>
              </w:rPr>
              <w:instrText xml:space="preserve"> \* MERGEFORMAT </w:instrText>
            </w:r>
            <w:r w:rsidRPr="007364AE">
              <w:rPr>
                <w:vertAlign w:val="superscript"/>
              </w:rPr>
            </w:r>
            <w:r w:rsidRPr="007364AE">
              <w:rPr>
                <w:vertAlign w:val="superscript"/>
              </w:rPr>
              <w:fldChar w:fldCharType="separate"/>
            </w:r>
            <w:r w:rsidR="00EB4B02">
              <w:rPr>
                <w:vertAlign w:val="superscript"/>
              </w:rPr>
              <w:t>62</w:t>
            </w:r>
            <w:r w:rsidRPr="007364AE">
              <w:rPr>
                <w:vertAlign w:val="superscript"/>
              </w:rPr>
              <w:fldChar w:fldCharType="end"/>
            </w:r>
          </w:p>
        </w:tc>
      </w:tr>
      <w:tr w:rsidR="00122C1B" w:rsidRPr="00117C96" w14:paraId="4926CE9C" w14:textId="77777777" w:rsidTr="009B381C">
        <w:trPr>
          <w:trHeight w:val="300"/>
        </w:trPr>
        <w:tc>
          <w:tcPr>
            <w:tcW w:w="1906" w:type="dxa"/>
            <w:noWrap/>
          </w:tcPr>
          <w:p w14:paraId="776733D4" w14:textId="77777777" w:rsidR="00122C1B" w:rsidRPr="00E50108" w:rsidRDefault="00122C1B" w:rsidP="00204937">
            <w:pPr>
              <w:pStyle w:val="TableParagraph"/>
              <w:rPr>
                <w:b/>
              </w:rPr>
            </w:pPr>
            <w:r>
              <w:rPr>
                <w:b/>
              </w:rPr>
              <w:t>Drink-</w:t>
            </w:r>
            <w:r w:rsidRPr="00E50108">
              <w:rPr>
                <w:b/>
              </w:rPr>
              <w:t>driving</w:t>
            </w:r>
          </w:p>
        </w:tc>
        <w:tc>
          <w:tcPr>
            <w:tcW w:w="4048" w:type="dxa"/>
            <w:noWrap/>
          </w:tcPr>
          <w:p w14:paraId="4D3C458D" w14:textId="77777777" w:rsidR="00122C1B" w:rsidRDefault="00122C1B" w:rsidP="00204937">
            <w:pPr>
              <w:pStyle w:val="TableParagraph"/>
            </w:pPr>
            <w:r w:rsidRPr="00117C96">
              <w:t>Drink</w:t>
            </w:r>
            <w:r>
              <w:t>-</w:t>
            </w:r>
            <w:r w:rsidRPr="00117C96">
              <w:t xml:space="preserve">driving increases both the risk of causing a crash and the severity of resulting injuries. Driving impairment starts at very low levels of alcohol consumption, with the crash risk growing rapidly as consumption increases. </w:t>
            </w:r>
          </w:p>
          <w:p w14:paraId="1C44FDAE" w14:textId="77777777" w:rsidR="00122C1B" w:rsidRDefault="00122C1B" w:rsidP="00204937">
            <w:pPr>
              <w:pStyle w:val="TableParagraph"/>
            </w:pPr>
            <w:r w:rsidRPr="00117C96">
              <w:t>The vast majority of adult drivers are affected or impaired on reaching a blood</w:t>
            </w:r>
            <w:r>
              <w:t xml:space="preserve"> or breath</w:t>
            </w:r>
            <w:r w:rsidRPr="00117C96">
              <w:t xml:space="preserve"> alcohol concentration (BAC)</w:t>
            </w:r>
            <w:r w:rsidRPr="00117C96">
              <w:rPr>
                <w:sz w:val="12"/>
                <w:szCs w:val="12"/>
              </w:rPr>
              <w:t xml:space="preserve"> </w:t>
            </w:r>
            <w:r w:rsidRPr="00117C96">
              <w:t>of 0.05 g/dl</w:t>
            </w:r>
            <w:r>
              <w:t>.</w:t>
            </w:r>
            <w:r w:rsidRPr="00117C96">
              <w:rPr>
                <w:rStyle w:val="EndnoteReference"/>
                <w:rFonts w:cs="Segoe UI"/>
              </w:rPr>
              <w:endnoteReference w:id="64"/>
            </w:r>
            <w:r w:rsidRPr="00117C96">
              <w:t xml:space="preserve"> </w:t>
            </w:r>
          </w:p>
          <w:p w14:paraId="1DC4AC51" w14:textId="77777777" w:rsidR="00122C1B" w:rsidRDefault="00122C1B" w:rsidP="00204937">
            <w:pPr>
              <w:pStyle w:val="TableParagraph"/>
            </w:pPr>
            <w:bookmarkStart w:id="101" w:name="_Ref531955696"/>
            <w:r>
              <w:t>Driving ability deteriorates as the BAC level increases:</w:t>
            </w:r>
            <w:r>
              <w:rPr>
                <w:rStyle w:val="EndnoteReference"/>
              </w:rPr>
              <w:endnoteReference w:id="65"/>
            </w:r>
            <w:bookmarkEnd w:id="101"/>
          </w:p>
          <w:p w14:paraId="1D136A6E" w14:textId="77777777" w:rsidR="00122C1B" w:rsidRDefault="00122C1B" w:rsidP="005F6F8B">
            <w:pPr>
              <w:pStyle w:val="TableList1"/>
            </w:pPr>
            <w:r>
              <w:t>At 0.02 to 0.05 BAC - the ability to see or locate moving lights and to judge distances correctly is diminished. The tendency to take risks is increased, and the ability to respond to several stimuli is decreased.</w:t>
            </w:r>
            <w:r w:rsidRPr="003244AA">
              <w:t xml:space="preserve"> </w:t>
            </w:r>
          </w:p>
          <w:p w14:paraId="0CE6D0FC" w14:textId="77777777" w:rsidR="00122C1B" w:rsidRDefault="00122C1B" w:rsidP="00457BB1">
            <w:pPr>
              <w:pStyle w:val="TableList1"/>
            </w:pPr>
            <w:r>
              <w:lastRenderedPageBreak/>
              <w:t xml:space="preserve">At 0.05 to 0.08 BAC - the ability to judge distances is reduced, sensitivity to red lights is impaired, reactions are slower and concentration span shorter. </w:t>
            </w:r>
          </w:p>
          <w:p w14:paraId="0DEC10EB" w14:textId="77777777" w:rsidR="00122C1B" w:rsidRDefault="00122C1B">
            <w:pPr>
              <w:pStyle w:val="TableList1"/>
            </w:pPr>
            <w:r>
              <w:t xml:space="preserve">At 0.08 to 0.12 BAC - euphoria sets in, overestimation of one's abilities leads to reckless driving, peripheral vision is impaired (resulting in accidents due to hitting vehicles in passing) and perception of obstacles is impaired. </w:t>
            </w:r>
          </w:p>
          <w:p w14:paraId="3451B1C8" w14:textId="77777777" w:rsidR="00122C1B" w:rsidRPr="00117C96" w:rsidRDefault="00122C1B" w:rsidP="00204937">
            <w:pPr>
              <w:pStyle w:val="TableParagraph"/>
            </w:pPr>
            <w:r w:rsidRPr="006971F9">
              <w:t>The main countermeasures used to address drink-driving are fines, licence bans, alcohol interlocks</w:t>
            </w:r>
            <w:r>
              <w:t>,</w:t>
            </w:r>
            <w:r w:rsidRPr="006971F9">
              <w:t xml:space="preserve"> and alcohol education and treatment programs.</w:t>
            </w:r>
          </w:p>
        </w:tc>
        <w:tc>
          <w:tcPr>
            <w:tcW w:w="3544" w:type="dxa"/>
          </w:tcPr>
          <w:p w14:paraId="3D1E1827" w14:textId="77777777" w:rsidR="00122C1B" w:rsidRDefault="00122C1B" w:rsidP="00460448">
            <w:pPr>
              <w:pStyle w:val="TableParagraph"/>
            </w:pPr>
            <w:r w:rsidRPr="00F63569">
              <w:lastRenderedPageBreak/>
              <w:t>Alcohol-related crashes are one of the leading causes of death on the roads with 32% of Victorian driver fatalities between 2008 and 2011 having a BAC over zero</w:t>
            </w:r>
            <w:r>
              <w:t>.</w:t>
            </w:r>
            <w:r>
              <w:rPr>
                <w:rStyle w:val="EndnoteReference"/>
              </w:rPr>
              <w:endnoteReference w:id="66"/>
            </w:r>
          </w:p>
          <w:p w14:paraId="4691697B" w14:textId="77777777" w:rsidR="00122C1B" w:rsidRDefault="00122C1B" w:rsidP="00204937">
            <w:pPr>
              <w:pStyle w:val="TableParagraph"/>
            </w:pPr>
            <w:r w:rsidRPr="00C70655">
              <w:t>In 2016, alcohol was a contributing factor in approximately</w:t>
            </w:r>
            <w:r>
              <w:t xml:space="preserve"> 23% of all driver fatalities. </w:t>
            </w:r>
            <w:r w:rsidRPr="003244AA">
              <w:t>Repeat offenders account for 20% of drink-drivers detected by police and up to 30% of drink-drivers involved in fatal crashes.</w:t>
            </w:r>
          </w:p>
          <w:p w14:paraId="5388814E" w14:textId="43B83075" w:rsidR="00122C1B" w:rsidRDefault="00122C1B" w:rsidP="00336D0B">
            <w:pPr>
              <w:pStyle w:val="TableParagraph"/>
            </w:pPr>
            <w:r>
              <w:t xml:space="preserve">The </w:t>
            </w:r>
            <w:r w:rsidR="00D25B8E">
              <w:t>Transport Accident Commission</w:t>
            </w:r>
            <w:r>
              <w:t xml:space="preserve"> reports that </w:t>
            </w:r>
            <w:r w:rsidRPr="00647B04">
              <w:t xml:space="preserve">99.7% of drivers and riders tested are under the legal BAC limit. However almost one in five (19%) drivers </w:t>
            </w:r>
            <w:r w:rsidRPr="00647B04">
              <w:lastRenderedPageBreak/>
              <w:t>and riders killed in the past five years had a BAC greater than 0.05.</w:t>
            </w:r>
            <w:r>
              <w:fldChar w:fldCharType="begin"/>
            </w:r>
            <w:r>
              <w:instrText xml:space="preserve"> NOTEREF _Ref531955696 \f \h </w:instrText>
            </w:r>
            <w:r>
              <w:fldChar w:fldCharType="separate"/>
            </w:r>
            <w:r w:rsidR="00EB4B02" w:rsidRPr="00EB4B02">
              <w:rPr>
                <w:rStyle w:val="EndnoteReference"/>
              </w:rPr>
              <w:t>64</w:t>
            </w:r>
            <w:r>
              <w:fldChar w:fldCharType="end"/>
            </w:r>
          </w:p>
          <w:p w14:paraId="36D55D36" w14:textId="77777777" w:rsidR="00122C1B" w:rsidRDefault="00122C1B" w:rsidP="00336D0B">
            <w:pPr>
              <w:pStyle w:val="TableParagraph"/>
            </w:pPr>
            <w:r>
              <w:t>A recent review of US data</w:t>
            </w:r>
            <w:r>
              <w:rPr>
                <w:rStyle w:val="EndnoteReference"/>
              </w:rPr>
              <w:endnoteReference w:id="67"/>
            </w:r>
            <w:r>
              <w:t xml:space="preserve"> found that crash risk grows exponentially with increasing BAC:</w:t>
            </w:r>
          </w:p>
          <w:p w14:paraId="3265AC39" w14:textId="77777777" w:rsidR="00122C1B" w:rsidRDefault="00122C1B" w:rsidP="005F6F8B">
            <w:pPr>
              <w:pStyle w:val="TableList1"/>
            </w:pPr>
            <w:r w:rsidRPr="003244AA">
              <w:t>At a BAC of 0.05</w:t>
            </w:r>
            <w:r w:rsidRPr="00117C96">
              <w:t xml:space="preserve"> g/dl</w:t>
            </w:r>
            <w:r w:rsidRPr="003244AA">
              <w:t xml:space="preserve">, the risk of being involved in a crash </w:t>
            </w:r>
            <w:r>
              <w:t xml:space="preserve">is </w:t>
            </w:r>
            <w:r w:rsidRPr="003244AA">
              <w:t xml:space="preserve">two times greater than a zero </w:t>
            </w:r>
            <w:r>
              <w:t xml:space="preserve">BAC. </w:t>
            </w:r>
          </w:p>
          <w:p w14:paraId="018CC4C0" w14:textId="77777777" w:rsidR="00122C1B" w:rsidRDefault="00122C1B" w:rsidP="00457BB1">
            <w:pPr>
              <w:pStyle w:val="TableList1"/>
            </w:pPr>
            <w:r>
              <w:t xml:space="preserve">At 0.10 BAC drivers are five and a half times more likely to have an accident than before they started drinking. </w:t>
            </w:r>
          </w:p>
          <w:p w14:paraId="1064BC84" w14:textId="77777777" w:rsidR="00122C1B" w:rsidRDefault="00122C1B">
            <w:pPr>
              <w:pStyle w:val="TableList1"/>
            </w:pPr>
            <w:r>
              <w:t>At</w:t>
            </w:r>
            <w:r w:rsidRPr="00117C96">
              <w:t xml:space="preserve"> 0.1</w:t>
            </w:r>
            <w:r>
              <w:t>5</w:t>
            </w:r>
            <w:r w:rsidRPr="00117C96">
              <w:t xml:space="preserve"> BAC the crash risk jumps to about </w:t>
            </w:r>
            <w:r>
              <w:t>12</w:t>
            </w:r>
            <w:r w:rsidRPr="00117C96">
              <w:t xml:space="preserve"> times that of someone with a </w:t>
            </w:r>
            <w:r>
              <w:t xml:space="preserve">zero </w:t>
            </w:r>
            <w:r w:rsidRPr="00117C96">
              <w:t>BAC</w:t>
            </w:r>
            <w:r>
              <w:t>.</w:t>
            </w:r>
          </w:p>
          <w:p w14:paraId="03A0C15D" w14:textId="77777777" w:rsidR="00122C1B" w:rsidRPr="00555CC6" w:rsidRDefault="00122C1B">
            <w:pPr>
              <w:pStyle w:val="TableList1"/>
            </w:pPr>
            <w:r>
              <w:t>A</w:t>
            </w:r>
            <w:r w:rsidRPr="003244AA">
              <w:t>t 0.</w:t>
            </w:r>
            <w:r>
              <w:t xml:space="preserve">20+ </w:t>
            </w:r>
            <w:r w:rsidRPr="003244AA">
              <w:t xml:space="preserve">BAC </w:t>
            </w:r>
            <w:r w:rsidRPr="00117C96">
              <w:t xml:space="preserve">the crash risk </w:t>
            </w:r>
            <w:r>
              <w:t xml:space="preserve">increases to </w:t>
            </w:r>
            <w:r w:rsidRPr="003244AA">
              <w:t>more than 2</w:t>
            </w:r>
            <w:r>
              <w:t>3</w:t>
            </w:r>
            <w:r w:rsidRPr="003244AA">
              <w:t xml:space="preserve"> times greater than a </w:t>
            </w:r>
            <w:r>
              <w:t xml:space="preserve">zero </w:t>
            </w:r>
            <w:r w:rsidRPr="003244AA">
              <w:t>BAC.</w:t>
            </w:r>
          </w:p>
        </w:tc>
      </w:tr>
      <w:tr w:rsidR="00122C1B" w:rsidRPr="00117C96" w14:paraId="5E95AB15"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906" w:type="dxa"/>
            <w:shd w:val="clear" w:color="auto" w:fill="auto"/>
            <w:noWrap/>
          </w:tcPr>
          <w:p w14:paraId="70D1133E" w14:textId="77777777" w:rsidR="00122C1B" w:rsidRDefault="00122C1B" w:rsidP="00204937">
            <w:pPr>
              <w:pStyle w:val="TableParagraph"/>
              <w:rPr>
                <w:b/>
              </w:rPr>
            </w:pPr>
            <w:r>
              <w:rPr>
                <w:b/>
              </w:rPr>
              <w:lastRenderedPageBreak/>
              <w:t>Drug-driving</w:t>
            </w:r>
          </w:p>
        </w:tc>
        <w:tc>
          <w:tcPr>
            <w:tcW w:w="4048" w:type="dxa"/>
            <w:shd w:val="clear" w:color="auto" w:fill="auto"/>
            <w:noWrap/>
          </w:tcPr>
          <w:p w14:paraId="1FDC2E82" w14:textId="77777777" w:rsidR="00122C1B" w:rsidRDefault="00122C1B" w:rsidP="00204937">
            <w:pPr>
              <w:pStyle w:val="TableParagraph"/>
            </w:pPr>
            <w:r w:rsidRPr="00B51F8C">
              <w:t>Drug</w:t>
            </w:r>
            <w:r>
              <w:t>-</w:t>
            </w:r>
            <w:r w:rsidRPr="00B51F8C">
              <w:t>driving is a serious road safety issue.</w:t>
            </w:r>
            <w:r>
              <w:t xml:space="preserve"> Like alcohol, many drugs reduce a driver's ability to have full control of a motor vehicle. Drugs have different and profound effects on a person's mood and behaviour depending on the type of drug involved.</w:t>
            </w:r>
          </w:p>
          <w:p w14:paraId="5CF0E3CD" w14:textId="6F2D6698" w:rsidR="00122C1B" w:rsidRDefault="00122C1B" w:rsidP="00204937">
            <w:pPr>
              <w:pStyle w:val="TableParagraph"/>
            </w:pPr>
            <w:r>
              <w:t>The following is a list of some of the illegal drugs and their effect on driving:</w:t>
            </w:r>
            <w:r w:rsidRPr="00602B15">
              <w:rPr>
                <w:vertAlign w:val="superscript"/>
              </w:rPr>
              <w:fldChar w:fldCharType="begin"/>
            </w:r>
            <w:r w:rsidRPr="00602B15">
              <w:rPr>
                <w:vertAlign w:val="superscript"/>
              </w:rPr>
              <w:instrText xml:space="preserve"> NOTEREF _Ref508032443 \h </w:instrText>
            </w:r>
            <w:r>
              <w:rPr>
                <w:vertAlign w:val="superscript"/>
              </w:rPr>
              <w:instrText xml:space="preserve"> \* MERGEFORMAT </w:instrText>
            </w:r>
            <w:r w:rsidRPr="00602B15">
              <w:rPr>
                <w:vertAlign w:val="superscript"/>
              </w:rPr>
            </w:r>
            <w:r w:rsidRPr="00602B15">
              <w:rPr>
                <w:vertAlign w:val="superscript"/>
              </w:rPr>
              <w:fldChar w:fldCharType="separate"/>
            </w:r>
            <w:r w:rsidR="00EB4B02">
              <w:rPr>
                <w:vertAlign w:val="superscript"/>
              </w:rPr>
              <w:t>67</w:t>
            </w:r>
            <w:r w:rsidRPr="00602B15">
              <w:rPr>
                <w:vertAlign w:val="superscript"/>
              </w:rPr>
              <w:fldChar w:fldCharType="end"/>
            </w:r>
          </w:p>
          <w:p w14:paraId="2060209E" w14:textId="77777777" w:rsidR="00122C1B" w:rsidRDefault="00122C1B" w:rsidP="005F6F8B">
            <w:pPr>
              <w:pStyle w:val="TableList1"/>
            </w:pPr>
            <w:r w:rsidRPr="00602B15">
              <w:rPr>
                <w:i/>
              </w:rPr>
              <w:t>Cannabis</w:t>
            </w:r>
            <w:r>
              <w:t xml:space="preserve"> - can slow down a person's reaction time, distort perception of speed and distance and reduce concentration and coordination when driving.</w:t>
            </w:r>
          </w:p>
          <w:p w14:paraId="22D00B84" w14:textId="77777777" w:rsidR="00122C1B" w:rsidRDefault="00122C1B" w:rsidP="00457BB1">
            <w:pPr>
              <w:pStyle w:val="TableList1"/>
            </w:pPr>
            <w:r w:rsidRPr="00602B15">
              <w:rPr>
                <w:i/>
              </w:rPr>
              <w:t>Heroin</w:t>
            </w:r>
            <w:r>
              <w:t xml:space="preserve"> - users are usually drowsy for several hours; mental function is clouded; heart function slows down; and breathing is also severely slowed, sometimes enough to be life-threatening. Spatial awareness and cognitive impairment can impact the driver’s ability to perform the complex task of driving.</w:t>
            </w:r>
          </w:p>
          <w:p w14:paraId="225690AF" w14:textId="77777777" w:rsidR="00122C1B" w:rsidRDefault="00122C1B">
            <w:pPr>
              <w:pStyle w:val="TableList1"/>
            </w:pPr>
            <w:r w:rsidRPr="00602B15">
              <w:rPr>
                <w:i/>
              </w:rPr>
              <w:t>Methamphetamine (ICE)</w:t>
            </w:r>
            <w:r>
              <w:t xml:space="preserve">, </w:t>
            </w:r>
            <w:r w:rsidRPr="00F34EC0">
              <w:rPr>
                <w:i/>
              </w:rPr>
              <w:t>ecstasy</w:t>
            </w:r>
            <w:r>
              <w:t xml:space="preserve">, </w:t>
            </w:r>
            <w:r w:rsidRPr="00F34EC0">
              <w:rPr>
                <w:i/>
              </w:rPr>
              <w:t>cocaine</w:t>
            </w:r>
            <w:r>
              <w:t xml:space="preserve"> - can lead to over-confidence, rash decision making and risk taking. Insomnia caused by ICE and cocaine use can affect a driver's reflex and concentration. </w:t>
            </w:r>
            <w:r w:rsidRPr="001253B5">
              <w:t xml:space="preserve">The </w:t>
            </w:r>
            <w:r>
              <w:t xml:space="preserve">adverse road </w:t>
            </w:r>
            <w:r w:rsidRPr="001253B5">
              <w:t>safety consequences occur when its effects wear off</w:t>
            </w:r>
            <w:r>
              <w:t>. This</w:t>
            </w:r>
            <w:r w:rsidRPr="001253B5">
              <w:t xml:space="preserve"> happens rapidly causing the driver to fall asleep behind the wheel.</w:t>
            </w:r>
          </w:p>
          <w:p w14:paraId="6DF95938" w14:textId="77777777" w:rsidR="00122C1B" w:rsidRDefault="00122C1B">
            <w:pPr>
              <w:pStyle w:val="TableList1"/>
            </w:pPr>
            <w:r w:rsidRPr="00602B15">
              <w:rPr>
                <w:i/>
              </w:rPr>
              <w:t>Hallucinogens</w:t>
            </w:r>
            <w:r>
              <w:t xml:space="preserve"> - affect hearing and sight as well as the perception of time, distance and movement, and they can make a person sense things that do not exist.</w:t>
            </w:r>
          </w:p>
          <w:p w14:paraId="11E0BCC5" w14:textId="77777777" w:rsidR="00122C1B" w:rsidRPr="00D67A65" w:rsidRDefault="00122C1B" w:rsidP="002219A5">
            <w:pPr>
              <w:pStyle w:val="TableParagraph"/>
            </w:pPr>
            <w:r w:rsidRPr="00C47A24">
              <w:t>Multiple drug use</w:t>
            </w:r>
            <w:r>
              <w:t>,</w:t>
            </w:r>
            <w:r w:rsidRPr="00C47A24">
              <w:t xml:space="preserve"> using a combination of drugs</w:t>
            </w:r>
            <w:r>
              <w:t>,</w:t>
            </w:r>
            <w:r w:rsidRPr="00C47A24">
              <w:t xml:space="preserve"> can lead to extreme and varied effects such as dramatically slowed reaction times, visual distortion, inability to judge speeds and distances, and risk taking.</w:t>
            </w:r>
          </w:p>
        </w:tc>
        <w:tc>
          <w:tcPr>
            <w:tcW w:w="3544" w:type="dxa"/>
            <w:shd w:val="clear" w:color="auto" w:fill="auto"/>
          </w:tcPr>
          <w:p w14:paraId="75B69C1E" w14:textId="2E714F3A" w:rsidR="00122C1B" w:rsidRDefault="00122C1B" w:rsidP="00204937">
            <w:pPr>
              <w:pStyle w:val="TableParagraph"/>
              <w:rPr>
                <w:vertAlign w:val="superscript"/>
              </w:rPr>
            </w:pPr>
            <w:r w:rsidRPr="00B51F8C">
              <w:t xml:space="preserve">In the last five years </w:t>
            </w:r>
            <w:r>
              <w:t>in Victoria about</w:t>
            </w:r>
            <w:r w:rsidRPr="00B51F8C">
              <w:t xml:space="preserve"> 41% of all drivers and motorcyclists killed</w:t>
            </w:r>
            <w:r>
              <w:t>,</w:t>
            </w:r>
            <w:r w:rsidRPr="00B51F8C">
              <w:t xml:space="preserve"> who were tested, had drugs in their system, with cannabis and stimulants the most common substances detected.</w:t>
            </w:r>
            <w:bookmarkStart w:id="102" w:name="_Ref508032443"/>
            <w:r>
              <w:rPr>
                <w:rStyle w:val="EndnoteReference"/>
              </w:rPr>
              <w:endnoteReference w:id="68"/>
            </w:r>
            <w:bookmarkEnd w:id="102"/>
            <w:r w:rsidRPr="00B51F8C">
              <w:t xml:space="preserve"> One in four Victorians who use drugs admit to driving under the influence of recreational drugs.</w:t>
            </w:r>
            <w:r w:rsidRPr="00B51F8C">
              <w:rPr>
                <w:vertAlign w:val="superscript"/>
              </w:rPr>
              <w:fldChar w:fldCharType="begin"/>
            </w:r>
            <w:r w:rsidRPr="00B51F8C">
              <w:rPr>
                <w:vertAlign w:val="superscript"/>
              </w:rPr>
              <w:instrText xml:space="preserve"> NOTEREF _Ref508032443 \h </w:instrText>
            </w:r>
            <w:r>
              <w:rPr>
                <w:vertAlign w:val="superscript"/>
              </w:rPr>
              <w:instrText xml:space="preserve"> \* MERGEFORMAT </w:instrText>
            </w:r>
            <w:r w:rsidRPr="00B51F8C">
              <w:rPr>
                <w:vertAlign w:val="superscript"/>
              </w:rPr>
            </w:r>
            <w:r w:rsidRPr="00B51F8C">
              <w:rPr>
                <w:vertAlign w:val="superscript"/>
              </w:rPr>
              <w:fldChar w:fldCharType="separate"/>
            </w:r>
            <w:r w:rsidR="00EB4B02">
              <w:rPr>
                <w:vertAlign w:val="superscript"/>
              </w:rPr>
              <w:t>67</w:t>
            </w:r>
            <w:r w:rsidRPr="00B51F8C">
              <w:rPr>
                <w:vertAlign w:val="superscript"/>
              </w:rPr>
              <w:fldChar w:fldCharType="end"/>
            </w:r>
          </w:p>
          <w:p w14:paraId="799020D5" w14:textId="77777777" w:rsidR="00122C1B" w:rsidRDefault="00122C1B" w:rsidP="00204937">
            <w:pPr>
              <w:pStyle w:val="TableParagraph"/>
            </w:pPr>
            <w:r>
              <w:t>In 2015, 32 drivers killed in crashes and 494 injured were affected by drugs. Over the same period, alcohol contributed to the deaths of 22 drivers and seriously injured 506.</w:t>
            </w:r>
            <w:r>
              <w:rPr>
                <w:rStyle w:val="EndnoteReference"/>
              </w:rPr>
              <w:endnoteReference w:id="69"/>
            </w:r>
          </w:p>
          <w:p w14:paraId="294887FD" w14:textId="77777777" w:rsidR="00122C1B" w:rsidRPr="000D7E0A" w:rsidRDefault="00122C1B" w:rsidP="00204937">
            <w:pPr>
              <w:pStyle w:val="TableParagraph"/>
            </w:pPr>
            <w:r>
              <w:t>Based on random roadside drug testing of 25,273 drivers conducted by the police in Victoria in 2005 and 2006, 395 car drivers out of 18,121 (2.2%) and 108 heavy vehicle drivers out of 7,152 (1.5%) were confirmed to have one or more of the target drugs present.</w:t>
            </w:r>
            <w:r>
              <w:rPr>
                <w:rStyle w:val="EndnoteReference"/>
              </w:rPr>
              <w:endnoteReference w:id="70"/>
            </w:r>
            <w:r>
              <w:t xml:space="preserve"> The profile of these offenders shows that car drivers had an average age of 26 years, 70% males and 87% were first offenders, while heavy vehicle drivers’ average age was 38 years (range 18 to 60), 99% were males and 85% were first offenders. </w:t>
            </w:r>
          </w:p>
        </w:tc>
      </w:tr>
      <w:tr w:rsidR="00122C1B" w:rsidRPr="00117C96" w14:paraId="42421B92" w14:textId="77777777" w:rsidTr="009B381C">
        <w:tc>
          <w:tcPr>
            <w:tcW w:w="1906" w:type="dxa"/>
            <w:noWrap/>
          </w:tcPr>
          <w:p w14:paraId="2ED12AFB" w14:textId="77777777" w:rsidR="00122C1B" w:rsidRDefault="00122C1B" w:rsidP="00204937">
            <w:pPr>
              <w:pStyle w:val="TableParagraph"/>
              <w:rPr>
                <w:b/>
              </w:rPr>
            </w:pPr>
            <w:r>
              <w:rPr>
                <w:b/>
              </w:rPr>
              <w:lastRenderedPageBreak/>
              <w:t>Non-wearing of seat belt</w:t>
            </w:r>
          </w:p>
        </w:tc>
        <w:tc>
          <w:tcPr>
            <w:tcW w:w="4048" w:type="dxa"/>
            <w:noWrap/>
          </w:tcPr>
          <w:p w14:paraId="296ABDAB" w14:textId="77777777" w:rsidR="00122C1B" w:rsidRDefault="00122C1B" w:rsidP="00204937">
            <w:pPr>
              <w:pStyle w:val="TableParagraph"/>
            </w:pPr>
            <w:r>
              <w:t xml:space="preserve">Failure to wear a seat belt is another leading cause of road crash fatalities. </w:t>
            </w:r>
            <w:r w:rsidRPr="0017508F">
              <w:t xml:space="preserve">Seat belts are designed to </w:t>
            </w:r>
            <w:r>
              <w:t>keep</w:t>
            </w:r>
            <w:r w:rsidRPr="0017508F">
              <w:t xml:space="preserve"> </w:t>
            </w:r>
            <w:r>
              <w:t>occupants</w:t>
            </w:r>
            <w:r w:rsidRPr="0017508F">
              <w:t xml:space="preserve"> in their </w:t>
            </w:r>
            <w:r>
              <w:t xml:space="preserve">car </w:t>
            </w:r>
            <w:r w:rsidRPr="0017508F">
              <w:t>seats during a crash</w:t>
            </w:r>
            <w:r>
              <w:t xml:space="preserve"> to</w:t>
            </w:r>
            <w:r w:rsidRPr="0017508F">
              <w:t xml:space="preserve"> prevent or reduce injuries. They minimise contact between occupant</w:t>
            </w:r>
            <w:r>
              <w:t>s</w:t>
            </w:r>
            <w:r w:rsidRPr="0017508F">
              <w:t xml:space="preserve"> and</w:t>
            </w:r>
            <w:r>
              <w:t xml:space="preserve"> the</w:t>
            </w:r>
            <w:r w:rsidRPr="0017508F">
              <w:t xml:space="preserve"> interior </w:t>
            </w:r>
            <w:r>
              <w:t xml:space="preserve">of the </w:t>
            </w:r>
            <w:r w:rsidRPr="0017508F">
              <w:t xml:space="preserve">vehicle and </w:t>
            </w:r>
            <w:r>
              <w:t>considerably</w:t>
            </w:r>
            <w:r w:rsidRPr="0017508F">
              <w:t xml:space="preserve"> reduce the risk of being ejected from the vehicle.</w:t>
            </w:r>
          </w:p>
          <w:p w14:paraId="7EFB24D4" w14:textId="77777777" w:rsidR="00122C1B" w:rsidRDefault="00122C1B" w:rsidP="00204937">
            <w:pPr>
              <w:pStyle w:val="TableParagraph"/>
            </w:pPr>
            <w:r>
              <w:t>While wearing a seat belt does not prevent a crash, it does affect potential injury. I</w:t>
            </w:r>
            <w:r w:rsidRPr="007F528A">
              <w:t xml:space="preserve">n modern vehicles, seat belts </w:t>
            </w:r>
            <w:r>
              <w:t>are an important part of broader</w:t>
            </w:r>
            <w:r w:rsidRPr="007F528A">
              <w:t xml:space="preserve"> injury prevention measures and safety systems, </w:t>
            </w:r>
            <w:r>
              <w:t>such as</w:t>
            </w:r>
            <w:r w:rsidRPr="007F528A">
              <w:t xml:space="preserve"> airbags and head restraints, which </w:t>
            </w:r>
            <w:r>
              <w:t xml:space="preserve">are more </w:t>
            </w:r>
            <w:r w:rsidRPr="007F528A">
              <w:t>effective in reducing the risk of injury</w:t>
            </w:r>
            <w:r>
              <w:t xml:space="preserve"> if an occupant </w:t>
            </w:r>
            <w:r w:rsidRPr="007F528A">
              <w:t>wear</w:t>
            </w:r>
            <w:r>
              <w:t>s</w:t>
            </w:r>
            <w:r w:rsidRPr="007F528A">
              <w:t xml:space="preserve"> a seat belt</w:t>
            </w:r>
            <w:r>
              <w:t>.</w:t>
            </w:r>
          </w:p>
          <w:p w14:paraId="03C0E5CF" w14:textId="77777777" w:rsidR="00122C1B" w:rsidRPr="002F5EA4" w:rsidRDefault="00122C1B" w:rsidP="00EF0B55">
            <w:pPr>
              <w:pStyle w:val="TableParagraph"/>
              <w:widowControl w:val="0"/>
            </w:pPr>
            <w:r>
              <w:t>Wearing a properly adjusted seat belt reduces the risk of fatal or serious injury by up to 50%. Unrestrained drivers and passengers are 8 times more likely to be killed in a road crash.</w:t>
            </w:r>
            <w:r>
              <w:rPr>
                <w:rStyle w:val="EndnoteReference"/>
              </w:rPr>
              <w:endnoteReference w:id="71"/>
            </w:r>
            <w:r>
              <w:t xml:space="preserve"> Passengers not wearing a seat belt can potentially kill other vehicle occupants on impact. Studies show that drivers and front-seat passengers are at 5-times greater risk of dying in a car crash, if the rear passengers are not wearing seat belts. This is particularly the case in head-on collisions.</w:t>
            </w:r>
            <w:r>
              <w:rPr>
                <w:rStyle w:val="EndnoteReference"/>
              </w:rPr>
              <w:endnoteReference w:id="72"/>
            </w:r>
          </w:p>
        </w:tc>
        <w:tc>
          <w:tcPr>
            <w:tcW w:w="3544" w:type="dxa"/>
          </w:tcPr>
          <w:p w14:paraId="1A3CF55E" w14:textId="77777777" w:rsidR="00122C1B" w:rsidRDefault="00122C1B" w:rsidP="00204937">
            <w:pPr>
              <w:pStyle w:val="TableParagraph"/>
            </w:pPr>
            <w:r>
              <w:t>The widespread use of seat belts after it become mandatory in 1970 is regarded as having had a large and significant positive impact on road safety, helping reduce the number of lives lost on the road in Victoria from 1,061 in 1970 to 258 in 2017.</w:t>
            </w:r>
          </w:p>
          <w:p w14:paraId="2F9DCF59" w14:textId="77777777" w:rsidR="00122C1B" w:rsidRDefault="00122C1B" w:rsidP="00FE5607">
            <w:pPr>
              <w:pStyle w:val="TableParagraph"/>
              <w:widowControl w:val="0"/>
            </w:pPr>
            <w:r>
              <w:t>In Australia, approximately 20% of drivers and passengers killed in crashes (where seat belt use is known) are not wearing seat belts.</w:t>
            </w:r>
            <w:bookmarkStart w:id="103" w:name="_Ref525117076"/>
            <w:r>
              <w:rPr>
                <w:rStyle w:val="EndnoteReference"/>
              </w:rPr>
              <w:endnoteReference w:id="73"/>
            </w:r>
            <w:bookmarkEnd w:id="103"/>
            <w:r>
              <w:t xml:space="preserve"> On average around 150 people die nationally every year from this cause.</w:t>
            </w:r>
          </w:p>
          <w:p w14:paraId="542845A6" w14:textId="341681D3" w:rsidR="00122C1B" w:rsidRDefault="00122C1B" w:rsidP="00E33240">
            <w:pPr>
              <w:pStyle w:val="TableParagraph"/>
            </w:pPr>
            <w:r w:rsidRPr="00555CC6">
              <w:t xml:space="preserve">In 2015, </w:t>
            </w:r>
            <w:r>
              <w:t xml:space="preserve">in Victoria </w:t>
            </w:r>
            <w:r w:rsidRPr="00555CC6">
              <w:t xml:space="preserve">31 drivers and passengers who lost their lives were </w:t>
            </w:r>
            <w:r>
              <w:t>not wearing a seat belt.</w:t>
            </w:r>
            <w:r>
              <w:fldChar w:fldCharType="begin"/>
            </w:r>
            <w:r>
              <w:instrText xml:space="preserve"> NOTEREF _Ref525117076 \f \h  \* MERGEFORMAT </w:instrText>
            </w:r>
            <w:r>
              <w:fldChar w:fldCharType="separate"/>
            </w:r>
            <w:r w:rsidR="00EB4B02" w:rsidRPr="00EB4B02">
              <w:rPr>
                <w:rStyle w:val="EndnoteReference"/>
              </w:rPr>
              <w:t>72</w:t>
            </w:r>
            <w:r>
              <w:fldChar w:fldCharType="end"/>
            </w:r>
            <w:r>
              <w:t xml:space="preserve"> </w:t>
            </w:r>
          </w:p>
          <w:p w14:paraId="2804D39D" w14:textId="5680EEA0" w:rsidR="00122C1B" w:rsidRDefault="00122C1B" w:rsidP="00E33240">
            <w:pPr>
              <w:pStyle w:val="TableParagraph"/>
            </w:pPr>
            <w:r>
              <w:t>Research studies found that, for drivers, seat belts reduce fatalities by 50%, serious injuries by 45% and minor injuries by 25%.</w:t>
            </w:r>
            <w:bookmarkStart w:id="104" w:name="_Ref525305101"/>
            <w:r>
              <w:rPr>
                <w:rStyle w:val="EndnoteReference"/>
              </w:rPr>
              <w:endnoteReference w:id="74"/>
            </w:r>
            <w:bookmarkEnd w:id="104"/>
            <w:r>
              <w:t xml:space="preserve"> For front seat passengers, seat belts reduce fatalities or serious injuries by 45%, and minor injuries by 20%.</w:t>
            </w:r>
            <w:r>
              <w:fldChar w:fldCharType="begin"/>
            </w:r>
            <w:r>
              <w:instrText xml:space="preserve"> NOTEREF _Ref525305101 \f \h </w:instrText>
            </w:r>
            <w:r>
              <w:fldChar w:fldCharType="separate"/>
            </w:r>
            <w:r w:rsidR="00EB4B02" w:rsidRPr="00EB4B02">
              <w:rPr>
                <w:rStyle w:val="EndnoteReference"/>
              </w:rPr>
              <w:t>73</w:t>
            </w:r>
            <w:r>
              <w:fldChar w:fldCharType="end"/>
            </w:r>
          </w:p>
          <w:p w14:paraId="5C36ED7F" w14:textId="1CB87030" w:rsidR="00122C1B" w:rsidRPr="00555CC6" w:rsidRDefault="00122C1B" w:rsidP="009C4755">
            <w:pPr>
              <w:pStyle w:val="TableParagraph"/>
            </w:pPr>
            <w:r>
              <w:t>Rear seat belts were found to be less effective, reducing fatalities by 25%, serious injuries also by 25%, and minor injuries by 20%.</w:t>
            </w:r>
            <w:r>
              <w:fldChar w:fldCharType="begin"/>
            </w:r>
            <w:r>
              <w:instrText xml:space="preserve"> NOTEREF _Ref525305101 \f \h </w:instrText>
            </w:r>
            <w:r>
              <w:fldChar w:fldCharType="separate"/>
            </w:r>
            <w:r w:rsidR="00EB4B02" w:rsidRPr="00EB4B02">
              <w:rPr>
                <w:rStyle w:val="EndnoteReference"/>
              </w:rPr>
              <w:t>73</w:t>
            </w:r>
            <w:r>
              <w:fldChar w:fldCharType="end"/>
            </w:r>
          </w:p>
        </w:tc>
      </w:tr>
      <w:tr w:rsidR="00122C1B" w:rsidRPr="00117C96" w14:paraId="0D5AA472"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906" w:type="dxa"/>
            <w:shd w:val="clear" w:color="auto" w:fill="auto"/>
            <w:noWrap/>
          </w:tcPr>
          <w:p w14:paraId="7D28823B" w14:textId="77777777" w:rsidR="00122C1B" w:rsidRPr="00E50108" w:rsidRDefault="00122C1B" w:rsidP="00204937">
            <w:pPr>
              <w:pStyle w:val="TableParagraph"/>
              <w:rPr>
                <w:b/>
              </w:rPr>
            </w:pPr>
            <w:r>
              <w:rPr>
                <w:b/>
              </w:rPr>
              <w:t>Distracted</w:t>
            </w:r>
            <w:r w:rsidRPr="00E50108">
              <w:rPr>
                <w:b/>
              </w:rPr>
              <w:t xml:space="preserve"> driving</w:t>
            </w:r>
          </w:p>
        </w:tc>
        <w:tc>
          <w:tcPr>
            <w:tcW w:w="4048" w:type="dxa"/>
            <w:shd w:val="clear" w:color="auto" w:fill="auto"/>
            <w:noWrap/>
          </w:tcPr>
          <w:p w14:paraId="16191B9B" w14:textId="77777777" w:rsidR="00122C1B" w:rsidRDefault="00122C1B" w:rsidP="00447655">
            <w:pPr>
              <w:pStyle w:val="TableParagraph"/>
            </w:pPr>
            <w:r w:rsidRPr="00945690">
              <w:t>Distracted driving is widely acknowledged as a significant threat to the safety of all road users</w:t>
            </w:r>
            <w:r>
              <w:t>.</w:t>
            </w:r>
            <w:r>
              <w:rPr>
                <w:rStyle w:val="EndnoteReference"/>
              </w:rPr>
              <w:endnoteReference w:id="75"/>
            </w:r>
            <w:r>
              <w:t xml:space="preserve"> Driver distraction is the diversion of attention away from activities critical for safe driving toward a competing activity.</w:t>
            </w:r>
            <w:r>
              <w:rPr>
                <w:rStyle w:val="EndnoteReference"/>
              </w:rPr>
              <w:endnoteReference w:id="76"/>
            </w:r>
            <w:r>
              <w:t xml:space="preserve"> Physical, visual and cognitive distractions result in slower reactions, slower and less controlled braking, riskier decision making, wandering out of lane and being less aware of surroundings.</w:t>
            </w:r>
          </w:p>
          <w:p w14:paraId="5C44BAAF" w14:textId="77777777" w:rsidR="00122C1B" w:rsidRDefault="00122C1B" w:rsidP="00447655">
            <w:pPr>
              <w:pStyle w:val="TableParagraph"/>
            </w:pPr>
            <w:r>
              <w:t>Distracted drivers have a high crash risk. T</w:t>
            </w:r>
            <w:r w:rsidRPr="00A62B23">
              <w:t>h</w:t>
            </w:r>
            <w:r>
              <w:t>e Australian National Crash In-D</w:t>
            </w:r>
            <w:r w:rsidRPr="00A62B23">
              <w:t>epth Study</w:t>
            </w:r>
            <w:r>
              <w:t xml:space="preserve"> that investigated 340 </w:t>
            </w:r>
            <w:r w:rsidRPr="00A62B23">
              <w:t>crash</w:t>
            </w:r>
            <w:r>
              <w:t>es where a vehicle occupant was admitted to hospital for at least 24 hours found driver distraction was present in 16% of these crashes</w:t>
            </w:r>
            <w:r w:rsidRPr="00A62B23">
              <w:t>. Internal distractions such as feel</w:t>
            </w:r>
            <w:r>
              <w:t>ing stressed were present in 4%</w:t>
            </w:r>
            <w:r w:rsidRPr="00A62B23">
              <w:t xml:space="preserve"> of these crashes and in-vehicle distractions</w:t>
            </w:r>
            <w:r>
              <w:t xml:space="preserve"> were</w:t>
            </w:r>
            <w:r w:rsidRPr="00A62B23">
              <w:t xml:space="preserve"> present in </w:t>
            </w:r>
            <w:r>
              <w:t>9%</w:t>
            </w:r>
            <w:r w:rsidRPr="00A62B23">
              <w:t xml:space="preserve"> of these crashes. </w:t>
            </w:r>
            <w:r>
              <w:t>T</w:t>
            </w:r>
            <w:r w:rsidRPr="00A62B23">
              <w:t xml:space="preserve">he most frequent sources of in-vehicle distractions </w:t>
            </w:r>
            <w:r>
              <w:t>were</w:t>
            </w:r>
            <w:r w:rsidRPr="00A62B23">
              <w:t xml:space="preserve"> interactions with passengers and mobile phones.</w:t>
            </w:r>
            <w:r>
              <w:rPr>
                <w:rStyle w:val="EndnoteReference"/>
              </w:rPr>
              <w:endnoteReference w:id="77"/>
            </w:r>
            <w:r>
              <w:t xml:space="preserve"> </w:t>
            </w:r>
          </w:p>
          <w:p w14:paraId="53BAC050" w14:textId="77777777" w:rsidR="00122C1B" w:rsidRDefault="00122C1B" w:rsidP="00943877">
            <w:pPr>
              <w:pStyle w:val="TableParagraph"/>
            </w:pPr>
            <w:r>
              <w:t>While the focus is often on mobile phone use (hands-free talking, texting, playing games and other phone functionality), using devices, such as heating/cooling air-conditioners,</w:t>
            </w:r>
            <w:r w:rsidRPr="006922C0">
              <w:t xml:space="preserve"> </w:t>
            </w:r>
            <w:r>
              <w:t xml:space="preserve">MP3 players, video players, radios/CD players and GPS units while driving is also likely to be a significant source of driver distraction. </w:t>
            </w:r>
          </w:p>
          <w:p w14:paraId="3E7096C1" w14:textId="77777777" w:rsidR="00122C1B" w:rsidRDefault="00122C1B" w:rsidP="00CE5D2F">
            <w:pPr>
              <w:pStyle w:val="TableParagraph"/>
              <w:spacing w:after="0"/>
            </w:pPr>
            <w:r>
              <w:lastRenderedPageBreak/>
              <w:t>Studies have found the following driver distractions linked to crash risk:</w:t>
            </w:r>
          </w:p>
          <w:p w14:paraId="00542DDA" w14:textId="77777777" w:rsidR="00122C1B" w:rsidRDefault="00122C1B" w:rsidP="005F6F8B">
            <w:pPr>
              <w:pStyle w:val="TableList1"/>
            </w:pPr>
            <w:r w:rsidRPr="00A53F08">
              <w:t>interacting with the Visual Display Unit or info</w:t>
            </w:r>
            <w:r>
              <w:t>t</w:t>
            </w:r>
            <w:r w:rsidRPr="00A53F08">
              <w:t>ainment system – 4.6 time</w:t>
            </w:r>
            <w:r>
              <w:t>s</w:t>
            </w:r>
            <w:r w:rsidRPr="00A53F08">
              <w:t xml:space="preserve"> more likely to crash</w:t>
            </w:r>
            <w:r>
              <w:rPr>
                <w:rStyle w:val="EndnoteReference"/>
              </w:rPr>
              <w:endnoteReference w:id="78"/>
            </w:r>
          </w:p>
          <w:p w14:paraId="386FBF77" w14:textId="2C768F46" w:rsidR="00122C1B" w:rsidRDefault="00122C1B" w:rsidP="00457BB1">
            <w:pPr>
              <w:pStyle w:val="TableList1"/>
            </w:pPr>
            <w:r>
              <w:t>u</w:t>
            </w:r>
            <w:r w:rsidRPr="006922C0">
              <w:t>sing the radio</w:t>
            </w:r>
            <w:r>
              <w:t xml:space="preserve"> or heating/cooling air-conditioner</w:t>
            </w:r>
            <w:r w:rsidRPr="006922C0">
              <w:t xml:space="preserve"> </w:t>
            </w:r>
            <w:r>
              <w:t xml:space="preserve">– </w:t>
            </w:r>
            <w:r w:rsidRPr="006922C0">
              <w:t>more than double</w:t>
            </w:r>
            <w:r>
              <w:t>s crash risk</w:t>
            </w:r>
            <w:r w:rsidRPr="006922C0">
              <w:t xml:space="preserve"> for drivers aged under 30 years</w:t>
            </w:r>
            <w:bookmarkStart w:id="105" w:name="_Ref524606106"/>
            <w:r>
              <w:rPr>
                <w:rStyle w:val="EndnoteReference"/>
              </w:rPr>
              <w:endnoteReference w:id="79"/>
            </w:r>
            <w:bookmarkEnd w:id="105"/>
            <w:r>
              <w:t xml:space="preserve"> </w:t>
            </w:r>
          </w:p>
          <w:p w14:paraId="321105B5" w14:textId="77777777" w:rsidR="00122C1B" w:rsidRDefault="00122C1B">
            <w:pPr>
              <w:pStyle w:val="TableList1"/>
            </w:pPr>
            <w:r>
              <w:t>taking one’s eyes off the road for two seconds or more – doubles crash risk.</w:t>
            </w:r>
            <w:r>
              <w:rPr>
                <w:rStyle w:val="EndnoteReference"/>
              </w:rPr>
              <w:endnoteReference w:id="80"/>
            </w:r>
          </w:p>
          <w:p w14:paraId="5214D1EF" w14:textId="2CFA5E82" w:rsidR="00122C1B" w:rsidRPr="00AF16A4" w:rsidRDefault="00122C1B" w:rsidP="00AF16A4">
            <w:pPr>
              <w:pStyle w:val="TableParagraph"/>
            </w:pPr>
            <w:r>
              <w:t>The Australian Naturalistic Driving Study (ANDS) on distracted driving</w:t>
            </w:r>
            <w:r>
              <w:rPr>
                <w:rStyle w:val="EndnoteReference"/>
              </w:rPr>
              <w:endnoteReference w:id="81"/>
            </w:r>
            <w:r>
              <w:t xml:space="preserve"> conducted in Victoria and </w:t>
            </w:r>
            <w:r w:rsidRPr="00467BFF">
              <w:t>New South Wales</w:t>
            </w:r>
            <w:r>
              <w:t xml:space="preserve"> in 2018 found that driver engagement in secondary tasks occurred every 96 seconds on average. </w:t>
            </w:r>
            <w:r w:rsidRPr="005A2A24">
              <w:t xml:space="preserve">A secondary task is </w:t>
            </w:r>
            <w:r>
              <w:t xml:space="preserve">defined as </w:t>
            </w:r>
            <w:r w:rsidRPr="005A2A24">
              <w:t>a discretionary task, perf</w:t>
            </w:r>
            <w:r>
              <w:t>ormed concurrently with driving</w:t>
            </w:r>
            <w:r w:rsidRPr="005A2A24">
              <w:t xml:space="preserve"> but is not critical to the primary driving task</w:t>
            </w:r>
            <w:r>
              <w:t>. The study also found that it</w:t>
            </w:r>
            <w:r w:rsidRPr="005A2A24">
              <w:t xml:space="preserve"> is not unusual for drivers to engage in multiple tasks at once</w:t>
            </w:r>
            <w:r>
              <w:t xml:space="preserve">. However, only 5.9% </w:t>
            </w:r>
            <w:r w:rsidRPr="007E285B">
              <w:t xml:space="preserve">of the secondary task events were associated with a </w:t>
            </w:r>
            <w:r>
              <w:t>safety-related</w:t>
            </w:r>
            <w:r w:rsidRPr="007E285B">
              <w:t xml:space="preserve"> incident</w:t>
            </w:r>
            <w:r>
              <w:t xml:space="preserve">. </w:t>
            </w:r>
          </w:p>
        </w:tc>
        <w:tc>
          <w:tcPr>
            <w:tcW w:w="3544" w:type="dxa"/>
            <w:shd w:val="clear" w:color="auto" w:fill="auto"/>
          </w:tcPr>
          <w:p w14:paraId="03C6AE38" w14:textId="77777777" w:rsidR="00122C1B" w:rsidRDefault="00122C1B" w:rsidP="00204937">
            <w:pPr>
              <w:pStyle w:val="TableParagraph"/>
            </w:pPr>
            <w:r>
              <w:lastRenderedPageBreak/>
              <w:t xml:space="preserve">During the 2015-2016 financial year, </w:t>
            </w:r>
            <w:r w:rsidRPr="00A62B23">
              <w:t>Victoria Police report</w:t>
            </w:r>
            <w:r>
              <w:t>ed</w:t>
            </w:r>
            <w:r w:rsidRPr="00A62B23">
              <w:t xml:space="preserve"> </w:t>
            </w:r>
            <w:r>
              <w:t>drivers and riders</w:t>
            </w:r>
            <w:r w:rsidRPr="00A62B23">
              <w:t xml:space="preserve"> injured in crashes invol</w:t>
            </w:r>
            <w:r>
              <w:t>ving distraction account for 8</w:t>
            </w:r>
            <w:r w:rsidRPr="00A62B23">
              <w:t xml:space="preserve">% of </w:t>
            </w:r>
            <w:r>
              <w:t>fatalities</w:t>
            </w:r>
            <w:r w:rsidRPr="00A62B23">
              <w:t xml:space="preserve"> a</w:t>
            </w:r>
            <w:r>
              <w:t xml:space="preserve">nd 7% of serious injuries. </w:t>
            </w:r>
            <w:r w:rsidRPr="00A62B23">
              <w:t xml:space="preserve">However, </w:t>
            </w:r>
            <w:r>
              <w:t>it is accepted that distraction is under-reported. International r</w:t>
            </w:r>
            <w:r w:rsidRPr="00A62B23">
              <w:t xml:space="preserve">esearch </w:t>
            </w:r>
            <w:r>
              <w:t>suggests that driver distraction is involved in up to 14</w:t>
            </w:r>
            <w:r w:rsidRPr="00A62B23">
              <w:t>% of crashe</w:t>
            </w:r>
            <w:r>
              <w:t>s.</w:t>
            </w:r>
            <w:r>
              <w:rPr>
                <w:rStyle w:val="EndnoteReference"/>
              </w:rPr>
              <w:endnoteReference w:id="82"/>
            </w:r>
          </w:p>
          <w:p w14:paraId="78165F80" w14:textId="77777777" w:rsidR="00122C1B" w:rsidRPr="00117C96" w:rsidRDefault="00122C1B" w:rsidP="00204937">
            <w:pPr>
              <w:pStyle w:val="TableParagraph"/>
            </w:pPr>
          </w:p>
        </w:tc>
      </w:tr>
      <w:tr w:rsidR="00122C1B" w:rsidRPr="00117C96" w14:paraId="69BCF852" w14:textId="77777777" w:rsidTr="009B381C">
        <w:trPr>
          <w:trHeight w:val="300"/>
        </w:trPr>
        <w:tc>
          <w:tcPr>
            <w:tcW w:w="1906" w:type="dxa"/>
            <w:noWrap/>
          </w:tcPr>
          <w:p w14:paraId="69634F1A" w14:textId="77777777" w:rsidR="00122C1B" w:rsidRDefault="00122C1B" w:rsidP="00204937">
            <w:pPr>
              <w:pStyle w:val="TableParagraph"/>
              <w:rPr>
                <w:b/>
              </w:rPr>
            </w:pPr>
            <w:r>
              <w:rPr>
                <w:b/>
              </w:rPr>
              <w:t>Mobile phone use while driving</w:t>
            </w:r>
          </w:p>
        </w:tc>
        <w:tc>
          <w:tcPr>
            <w:tcW w:w="4048" w:type="dxa"/>
            <w:noWrap/>
          </w:tcPr>
          <w:p w14:paraId="21DE804C" w14:textId="77777777" w:rsidR="00122C1B" w:rsidRDefault="00122C1B" w:rsidP="005A2C59">
            <w:pPr>
              <w:pStyle w:val="TableParagraph"/>
            </w:pPr>
            <w:r>
              <w:t>W</w:t>
            </w:r>
            <w:r w:rsidRPr="00117C96">
              <w:t xml:space="preserve">hen </w:t>
            </w:r>
            <w:r>
              <w:t xml:space="preserve">drivers are </w:t>
            </w:r>
            <w:r w:rsidRPr="00117C96">
              <w:t>talking on a mobile phone</w:t>
            </w:r>
            <w:r>
              <w:t>, their a</w:t>
            </w:r>
            <w:r w:rsidRPr="00117C96">
              <w:t>nticipation of hazards is delayed</w:t>
            </w:r>
            <w:r>
              <w:t>, as they spend less time looking at the road, and their control of the vehicle is less consistent</w:t>
            </w:r>
            <w:r w:rsidRPr="00117C96">
              <w:t>.</w:t>
            </w:r>
            <w:r>
              <w:rPr>
                <w:rStyle w:val="EndnoteReference"/>
              </w:rPr>
              <w:endnoteReference w:id="83"/>
            </w:r>
          </w:p>
          <w:p w14:paraId="6FECB401" w14:textId="77777777" w:rsidR="00122C1B" w:rsidRDefault="00122C1B" w:rsidP="000231C6">
            <w:pPr>
              <w:pStyle w:val="TableParagraph"/>
            </w:pPr>
            <w:r>
              <w:t>Mobile phones are ubiquitous. A survey of 473 Victorians in 2015 found that nearly 82% owned a smartphone, 46% used it while driving, and 21% did so regularly.</w:t>
            </w:r>
            <w:r>
              <w:rPr>
                <w:rStyle w:val="EndnoteReference"/>
              </w:rPr>
              <w:endnoteReference w:id="84"/>
            </w:r>
            <w:r>
              <w:t xml:space="preserve"> A survey based on </w:t>
            </w:r>
            <w:r w:rsidRPr="00E04F73">
              <w:t xml:space="preserve">a nationally representative sample </w:t>
            </w:r>
            <w:r>
              <w:t xml:space="preserve">of 2,000 consumers in Australia aged 18-75, conducted online during May and June 2017 found that 88% of Australians </w:t>
            </w:r>
            <w:r w:rsidRPr="002039DB">
              <w:t xml:space="preserve">now own </w:t>
            </w:r>
            <w:r>
              <w:t>a smartphone.</w:t>
            </w:r>
            <w:r>
              <w:rPr>
                <w:rStyle w:val="EndnoteReference"/>
              </w:rPr>
              <w:endnoteReference w:id="85"/>
            </w:r>
            <w:r>
              <w:t xml:space="preserve"> </w:t>
            </w:r>
          </w:p>
          <w:p w14:paraId="66C286BE" w14:textId="77777777" w:rsidR="00122C1B" w:rsidRDefault="00122C1B" w:rsidP="005A2C59">
            <w:pPr>
              <w:pStyle w:val="TableParagraph"/>
            </w:pPr>
            <w:r>
              <w:t xml:space="preserve">While research shows clear links between mobile phone use and crashes, there is limited crash data which records driver mobile phone use as a contributory factor. Research confirms that mobile phone use during driving increases crash risk, with texting while driving being especially dangerous. </w:t>
            </w:r>
          </w:p>
          <w:p w14:paraId="4FB814F1" w14:textId="77777777" w:rsidR="00122C1B" w:rsidRDefault="00122C1B" w:rsidP="00CE5D2F">
            <w:pPr>
              <w:pStyle w:val="TableParagraph"/>
            </w:pPr>
            <w:r>
              <w:t>However, various naturalistic driving research studies, including the latest meta-analysis of mobile phone use, indicate the following crash risks for various distracting activities:</w:t>
            </w:r>
          </w:p>
          <w:p w14:paraId="64084D4C" w14:textId="77777777" w:rsidR="00122C1B" w:rsidRPr="00A55AA1" w:rsidRDefault="00122C1B" w:rsidP="005F6F8B">
            <w:pPr>
              <w:pStyle w:val="TableList1"/>
            </w:pPr>
            <w:r w:rsidRPr="00A55AA1">
              <w:t xml:space="preserve">looking at a phone – nearly </w:t>
            </w:r>
            <w:r>
              <w:t>three times risk of crashing</w:t>
            </w:r>
            <w:r>
              <w:rPr>
                <w:rStyle w:val="EndnoteReference"/>
              </w:rPr>
              <w:endnoteReference w:id="86"/>
            </w:r>
          </w:p>
          <w:p w14:paraId="2D8A3E18" w14:textId="77777777" w:rsidR="00122C1B" w:rsidRDefault="00122C1B" w:rsidP="00457BB1">
            <w:pPr>
              <w:pStyle w:val="TableList1"/>
            </w:pPr>
            <w:r>
              <w:t>dialling on a handheld phone – four times</w:t>
            </w:r>
            <w:bookmarkStart w:id="106" w:name="_Ref524604868"/>
            <w:r>
              <w:rPr>
                <w:rStyle w:val="EndnoteReference"/>
              </w:rPr>
              <w:endnoteReference w:id="87"/>
            </w:r>
            <w:bookmarkEnd w:id="106"/>
          </w:p>
          <w:p w14:paraId="2B7CDE42" w14:textId="2FA46572" w:rsidR="00122C1B" w:rsidRPr="00B0728B" w:rsidRDefault="00122C1B">
            <w:pPr>
              <w:pStyle w:val="TableList1"/>
            </w:pPr>
            <w:r w:rsidRPr="00B0728B">
              <w:t>locat</w:t>
            </w:r>
            <w:r>
              <w:t>ing</w:t>
            </w:r>
            <w:r w:rsidRPr="00B0728B">
              <w:t xml:space="preserve"> </w:t>
            </w:r>
            <w:r>
              <w:t xml:space="preserve">handheld </w:t>
            </w:r>
            <w:r w:rsidRPr="00B0728B">
              <w:t>phone and answer – four times</w:t>
            </w:r>
            <w:r>
              <w:fldChar w:fldCharType="begin"/>
            </w:r>
            <w:r>
              <w:instrText xml:space="preserve"> NOTEREF _Ref524604868 \f \h </w:instrText>
            </w:r>
            <w:r>
              <w:fldChar w:fldCharType="separate"/>
            </w:r>
            <w:r w:rsidR="00EB4B02" w:rsidRPr="00EB4B02">
              <w:rPr>
                <w:rStyle w:val="EndnoteReference"/>
              </w:rPr>
              <w:t>86</w:t>
            </w:r>
            <w:r>
              <w:fldChar w:fldCharType="end"/>
            </w:r>
          </w:p>
          <w:p w14:paraId="70676503" w14:textId="04857849" w:rsidR="00122C1B" w:rsidRPr="006922C0" w:rsidRDefault="00122C1B">
            <w:pPr>
              <w:pStyle w:val="TableList1"/>
            </w:pPr>
            <w:r w:rsidRPr="006922C0">
              <w:t>texting, browsing, emailing – ten times</w:t>
            </w:r>
            <w:r>
              <w:fldChar w:fldCharType="begin"/>
            </w:r>
            <w:r>
              <w:instrText xml:space="preserve"> NOTEREF _Ref524604868 \f \h  \* MERGEFORMAT </w:instrText>
            </w:r>
            <w:r>
              <w:fldChar w:fldCharType="separate"/>
            </w:r>
            <w:r w:rsidR="00EB4B02" w:rsidRPr="00EB4B02">
              <w:rPr>
                <w:rStyle w:val="EndnoteReference"/>
              </w:rPr>
              <w:t>86</w:t>
            </w:r>
            <w:r>
              <w:fldChar w:fldCharType="end"/>
            </w:r>
          </w:p>
          <w:p w14:paraId="499B1887" w14:textId="1E7133D7" w:rsidR="00122C1B" w:rsidRPr="006922C0" w:rsidRDefault="00122C1B">
            <w:pPr>
              <w:pStyle w:val="TableList1"/>
            </w:pPr>
            <w:r w:rsidRPr="006922C0">
              <w:t xml:space="preserve">talking on a handheld </w:t>
            </w:r>
            <w:r>
              <w:t xml:space="preserve">phone </w:t>
            </w:r>
            <w:r w:rsidRPr="006922C0">
              <w:t>– no effect</w:t>
            </w:r>
            <w:r>
              <w:t xml:space="preserve"> (for those aged 30 years and above) and double the crash risk for those aged 16-20 years and </w:t>
            </w:r>
            <w:r>
              <w:lastRenderedPageBreak/>
              <w:t>triple the crash risk for those aged 21-30 years</w:t>
            </w:r>
            <w:r>
              <w:fldChar w:fldCharType="begin"/>
            </w:r>
            <w:r>
              <w:instrText xml:space="preserve"> NOTEREF _Ref524606106 \f \h </w:instrText>
            </w:r>
            <w:r>
              <w:fldChar w:fldCharType="separate"/>
            </w:r>
            <w:r w:rsidR="00EB4B02" w:rsidRPr="00EB4B02">
              <w:rPr>
                <w:rStyle w:val="EndnoteReference"/>
              </w:rPr>
              <w:t>78</w:t>
            </w:r>
            <w:r>
              <w:fldChar w:fldCharType="end"/>
            </w:r>
            <w:r w:rsidRPr="00CE5D2F">
              <w:rPr>
                <w:vertAlign w:val="superscript"/>
              </w:rPr>
              <w:t>,</w:t>
            </w:r>
            <w:r>
              <w:rPr>
                <w:vertAlign w:val="superscript"/>
              </w:rPr>
              <w:t xml:space="preserve"> </w:t>
            </w:r>
            <w:r>
              <w:rPr>
                <w:vertAlign w:val="superscript"/>
              </w:rPr>
              <w:fldChar w:fldCharType="begin"/>
            </w:r>
            <w:r>
              <w:rPr>
                <w:vertAlign w:val="superscript"/>
              </w:rPr>
              <w:instrText xml:space="preserve"> NOTEREF _Ref524604868 \f \h </w:instrText>
            </w:r>
            <w:r>
              <w:rPr>
                <w:vertAlign w:val="superscript"/>
              </w:rPr>
            </w:r>
            <w:r>
              <w:rPr>
                <w:vertAlign w:val="superscript"/>
              </w:rPr>
              <w:fldChar w:fldCharType="separate"/>
            </w:r>
            <w:r w:rsidR="00EB4B02" w:rsidRPr="00EB4B02">
              <w:rPr>
                <w:rStyle w:val="EndnoteReference"/>
              </w:rPr>
              <w:t>86</w:t>
            </w:r>
            <w:r>
              <w:rPr>
                <w:vertAlign w:val="superscript"/>
              </w:rPr>
              <w:fldChar w:fldCharType="end"/>
            </w:r>
            <w:r>
              <w:t xml:space="preserve"> </w:t>
            </w:r>
          </w:p>
          <w:p w14:paraId="5E08D75F" w14:textId="77777777" w:rsidR="00122C1B" w:rsidRPr="00A55AA1" w:rsidRDefault="00122C1B">
            <w:pPr>
              <w:pStyle w:val="TableList1"/>
            </w:pPr>
            <w:r>
              <w:t xml:space="preserve">talking on a </w:t>
            </w:r>
            <w:r w:rsidRPr="006922C0">
              <w:t>hands-free phone – no effect</w:t>
            </w:r>
            <w:r>
              <w:rPr>
                <w:rStyle w:val="EndnoteReference"/>
              </w:rPr>
              <w:endnoteReference w:id="88"/>
            </w:r>
          </w:p>
          <w:p w14:paraId="143B39AC" w14:textId="2FEC411E" w:rsidR="00122C1B" w:rsidRDefault="00122C1B">
            <w:pPr>
              <w:pStyle w:val="TableList1"/>
            </w:pPr>
            <w:r w:rsidRPr="003236BB">
              <w:t>any handheld phone use – nearly three times.</w:t>
            </w:r>
            <w:r>
              <w:fldChar w:fldCharType="begin"/>
            </w:r>
            <w:r>
              <w:instrText xml:space="preserve"> NOTEREF _Ref524604868 \f \h </w:instrText>
            </w:r>
            <w:r>
              <w:fldChar w:fldCharType="separate"/>
            </w:r>
            <w:r w:rsidR="00EB4B02" w:rsidRPr="00EB4B02">
              <w:rPr>
                <w:rStyle w:val="EndnoteReference"/>
              </w:rPr>
              <w:t>86</w:t>
            </w:r>
            <w:r>
              <w:fldChar w:fldCharType="end"/>
            </w:r>
          </w:p>
          <w:p w14:paraId="3F202D03" w14:textId="77777777" w:rsidR="00122C1B" w:rsidRPr="00E22A0C" w:rsidRDefault="00122C1B" w:rsidP="00A05FCA">
            <w:pPr>
              <w:pStyle w:val="TableParagraph"/>
            </w:pPr>
            <w:r>
              <w:t>The 2018 ANDS study</w:t>
            </w:r>
            <w:r>
              <w:rPr>
                <w:rStyle w:val="EndnoteReference"/>
              </w:rPr>
              <w:endnoteReference w:id="89"/>
            </w:r>
            <w:r>
              <w:t xml:space="preserve"> found that j</w:t>
            </w:r>
            <w:r w:rsidRPr="0022126D">
              <w:t>ust under one quarter (23.2%) of the incidents observed occurred while the driver was using a mobile phone (hand-held or hands-free).</w:t>
            </w:r>
            <w:r>
              <w:t xml:space="preserve"> </w:t>
            </w:r>
            <w:r w:rsidRPr="00467BFF">
              <w:t>Hand-held phone use was more common than hands-free (82.1% of phone tasks) despite being illegal in both Victoria and N</w:t>
            </w:r>
            <w:r w:rsidR="00423E5D">
              <w:t xml:space="preserve">ew </w:t>
            </w:r>
            <w:r>
              <w:t>S</w:t>
            </w:r>
            <w:r w:rsidR="00423E5D">
              <w:t xml:space="preserve">outh </w:t>
            </w:r>
            <w:r>
              <w:t>W</w:t>
            </w:r>
            <w:r w:rsidR="00423E5D">
              <w:t>ales</w:t>
            </w:r>
            <w:r w:rsidRPr="00467BFF">
              <w:t>.</w:t>
            </w:r>
          </w:p>
        </w:tc>
        <w:tc>
          <w:tcPr>
            <w:tcW w:w="3544" w:type="dxa"/>
          </w:tcPr>
          <w:p w14:paraId="506BA867" w14:textId="77777777" w:rsidR="00122C1B" w:rsidRPr="00E9579F" w:rsidRDefault="00122C1B" w:rsidP="00396556">
            <w:pPr>
              <w:pStyle w:val="TableParagraph"/>
              <w:spacing w:after="0"/>
              <w:rPr>
                <w:b/>
              </w:rPr>
            </w:pPr>
            <w:r>
              <w:lastRenderedPageBreak/>
              <w:t>A 2017</w:t>
            </w:r>
            <w:r w:rsidRPr="00E9579F">
              <w:t xml:space="preserve"> </w:t>
            </w:r>
            <w:r>
              <w:t>TAC</w:t>
            </w:r>
            <w:r w:rsidRPr="00E9579F">
              <w:t xml:space="preserve"> survey</w:t>
            </w:r>
            <w:r>
              <w:rPr>
                <w:rStyle w:val="EndnoteReference"/>
              </w:rPr>
              <w:endnoteReference w:id="90"/>
            </w:r>
            <w:r w:rsidRPr="00E9579F">
              <w:t xml:space="preserve"> of </w:t>
            </w:r>
            <w:r>
              <w:t>1,</w:t>
            </w:r>
            <w:r w:rsidRPr="00BE5F40">
              <w:t>742</w:t>
            </w:r>
            <w:r w:rsidRPr="00E9579F">
              <w:t xml:space="preserve"> Victorian drivers found</w:t>
            </w:r>
            <w:r>
              <w:t xml:space="preserve"> that</w:t>
            </w:r>
            <w:r w:rsidRPr="00E9579F">
              <w:t>:</w:t>
            </w:r>
          </w:p>
          <w:p w14:paraId="4D2848DD" w14:textId="77777777" w:rsidR="00122C1B" w:rsidRDefault="00122C1B" w:rsidP="005F6F8B">
            <w:pPr>
              <w:pStyle w:val="TableList1"/>
            </w:pPr>
            <w:r>
              <w:t xml:space="preserve">34% used a mobile phone whilst driving (45% for those aged 18-25 years, 52% </w:t>
            </w:r>
            <w:r w:rsidR="00D25B8E">
              <w:t xml:space="preserve">for those </w:t>
            </w:r>
            <w:r>
              <w:t xml:space="preserve">aged 26-39 </w:t>
            </w:r>
            <w:r w:rsidRPr="005A2C59">
              <w:t>years</w:t>
            </w:r>
            <w:r>
              <w:t xml:space="preserve">, 33% </w:t>
            </w:r>
            <w:r w:rsidR="00D25B8E">
              <w:t xml:space="preserve">for those </w:t>
            </w:r>
            <w:r>
              <w:t>aged 40-60 years, 7</w:t>
            </w:r>
            <w:r w:rsidRPr="00E9579F">
              <w:t xml:space="preserve">% </w:t>
            </w:r>
            <w:r w:rsidR="00D25B8E">
              <w:t xml:space="preserve">for those </w:t>
            </w:r>
            <w:r w:rsidRPr="00E9579F">
              <w:t>aged 61-90 years)</w:t>
            </w:r>
            <w:r>
              <w:t>.</w:t>
            </w:r>
          </w:p>
          <w:p w14:paraId="1D803123" w14:textId="77777777" w:rsidR="00122C1B" w:rsidRPr="00E9579F" w:rsidRDefault="00122C1B" w:rsidP="00457BB1">
            <w:pPr>
              <w:pStyle w:val="TableList1"/>
            </w:pPr>
            <w:r>
              <w:t>26</w:t>
            </w:r>
            <w:r w:rsidRPr="00E9579F">
              <w:t>% read a</w:t>
            </w:r>
            <w:r>
              <w:t xml:space="preserve"> text message whilst driving (36% for those aged 18-25 years, 41% </w:t>
            </w:r>
            <w:r w:rsidR="00D25B8E">
              <w:t xml:space="preserve">for those </w:t>
            </w:r>
            <w:r>
              <w:t xml:space="preserve">aged 26-39 years, 25% </w:t>
            </w:r>
            <w:r w:rsidR="00D25B8E">
              <w:t xml:space="preserve">for those </w:t>
            </w:r>
            <w:r>
              <w:t>aged 40-60 years, 5</w:t>
            </w:r>
            <w:r w:rsidRPr="00E9579F">
              <w:t xml:space="preserve">% </w:t>
            </w:r>
            <w:r w:rsidR="00D25B8E">
              <w:t xml:space="preserve">for those </w:t>
            </w:r>
            <w:r w:rsidRPr="00E9579F">
              <w:t>aged 61-90 years)</w:t>
            </w:r>
            <w:r>
              <w:t>.</w:t>
            </w:r>
          </w:p>
          <w:p w14:paraId="59E9BFF0" w14:textId="77777777" w:rsidR="00122C1B" w:rsidRDefault="00122C1B">
            <w:pPr>
              <w:pStyle w:val="TableList1"/>
            </w:pPr>
            <w:r w:rsidRPr="00E9579F">
              <w:t xml:space="preserve">12% write and send </w:t>
            </w:r>
            <w:r>
              <w:t xml:space="preserve">a text message while driving (20% for those aged 18-25 years, 21% </w:t>
            </w:r>
            <w:r w:rsidR="00D25B8E">
              <w:t xml:space="preserve">for those </w:t>
            </w:r>
            <w:r>
              <w:t xml:space="preserve">aged 26-39 years, 9% </w:t>
            </w:r>
            <w:r w:rsidR="00D25B8E">
              <w:t xml:space="preserve">for those </w:t>
            </w:r>
            <w:r>
              <w:t>aged 40-60 years, 1</w:t>
            </w:r>
            <w:r w:rsidRPr="00E9579F">
              <w:t>% aged 61-90 years)</w:t>
            </w:r>
            <w:r>
              <w:t>.</w:t>
            </w:r>
          </w:p>
          <w:p w14:paraId="77754B2D" w14:textId="77777777" w:rsidR="00122C1B" w:rsidRPr="00E9579F" w:rsidRDefault="00122C1B">
            <w:pPr>
              <w:pStyle w:val="TableList1"/>
            </w:pPr>
            <w:r>
              <w:t>17</w:t>
            </w:r>
            <w:r w:rsidRPr="00E9579F">
              <w:t xml:space="preserve">% answer a call with a hand-held phone while driving </w:t>
            </w:r>
            <w:r>
              <w:t xml:space="preserve">(26% for those aged 18-25 years, 25% </w:t>
            </w:r>
            <w:r w:rsidR="00D25B8E">
              <w:t xml:space="preserve">for those </w:t>
            </w:r>
            <w:r>
              <w:t xml:space="preserve">aged 26-39 years, 17% </w:t>
            </w:r>
            <w:r w:rsidR="00D25B8E">
              <w:t xml:space="preserve">for those </w:t>
            </w:r>
            <w:r>
              <w:t>aged 40-60 years, 3</w:t>
            </w:r>
            <w:r w:rsidRPr="00E9579F">
              <w:t>%</w:t>
            </w:r>
            <w:r w:rsidR="00D25B8E">
              <w:t xml:space="preserve"> for those</w:t>
            </w:r>
            <w:r w:rsidRPr="00E9579F">
              <w:t xml:space="preserve"> aged 61-90 years)</w:t>
            </w:r>
            <w:r>
              <w:t>.</w:t>
            </w:r>
          </w:p>
          <w:p w14:paraId="69D1FA40" w14:textId="77777777" w:rsidR="00122C1B" w:rsidRPr="00E9579F" w:rsidRDefault="00122C1B">
            <w:pPr>
              <w:pStyle w:val="TableList1"/>
            </w:pPr>
            <w:r>
              <w:t>12</w:t>
            </w:r>
            <w:r w:rsidRPr="00E9579F">
              <w:t xml:space="preserve">% make a call with a hand-held phone while driving </w:t>
            </w:r>
            <w:r>
              <w:t xml:space="preserve">(17% for those aged 18-25 years, 20% </w:t>
            </w:r>
            <w:r w:rsidR="00D25B8E">
              <w:t xml:space="preserve">for those </w:t>
            </w:r>
            <w:r>
              <w:t xml:space="preserve">aged 26-39 years, 10% </w:t>
            </w:r>
            <w:r w:rsidR="00D25B8E">
              <w:t xml:space="preserve">for those </w:t>
            </w:r>
            <w:r>
              <w:t>aged 40-60 years, 2</w:t>
            </w:r>
            <w:r w:rsidRPr="00E9579F">
              <w:t xml:space="preserve">% </w:t>
            </w:r>
            <w:r w:rsidR="00D25B8E">
              <w:t xml:space="preserve">for those </w:t>
            </w:r>
            <w:r w:rsidRPr="00E9579F">
              <w:t>aged 61-90 years)</w:t>
            </w:r>
            <w:r>
              <w:t>.</w:t>
            </w:r>
          </w:p>
          <w:p w14:paraId="377A61A9" w14:textId="77777777" w:rsidR="00122C1B" w:rsidRDefault="00122C1B">
            <w:pPr>
              <w:pStyle w:val="TableList1"/>
            </w:pPr>
            <w:r>
              <w:t>47</w:t>
            </w:r>
            <w:r w:rsidRPr="00E9579F">
              <w:t>% believe it is easy</w:t>
            </w:r>
            <w:r>
              <w:t xml:space="preserve"> </w:t>
            </w:r>
            <w:r w:rsidRPr="00E9579F">
              <w:t xml:space="preserve">to avoid being caught while using a mobile phone without hands-free </w:t>
            </w:r>
            <w:r>
              <w:t>(versus 23% who do not) (30</w:t>
            </w:r>
            <w:r w:rsidRPr="00E9579F">
              <w:t>% thought it would be neither easy nor difficult)</w:t>
            </w:r>
            <w:r>
              <w:t>.</w:t>
            </w:r>
          </w:p>
          <w:p w14:paraId="6D016643" w14:textId="77777777" w:rsidR="00122C1B" w:rsidRDefault="00122C1B" w:rsidP="00BC6E4C">
            <w:pPr>
              <w:pStyle w:val="TableParagraph"/>
            </w:pPr>
            <w:r w:rsidRPr="00BC6E4C">
              <w:lastRenderedPageBreak/>
              <w:t>From 2008, Victoria Police issued on average 54,000 infringement notices per year for the illegal use of mobile phones. Since 2014 this figure has fallen to around 36,000.</w:t>
            </w:r>
            <w:r>
              <w:rPr>
                <w:rStyle w:val="EndnoteReference"/>
              </w:rPr>
              <w:endnoteReference w:id="91"/>
            </w:r>
          </w:p>
        </w:tc>
      </w:tr>
      <w:tr w:rsidR="00122C1B" w:rsidRPr="00117C96" w14:paraId="50466107"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906" w:type="dxa"/>
            <w:shd w:val="clear" w:color="auto" w:fill="auto"/>
            <w:noWrap/>
          </w:tcPr>
          <w:p w14:paraId="118F55DB" w14:textId="77777777" w:rsidR="00122C1B" w:rsidRPr="00E50108" w:rsidRDefault="00122C1B" w:rsidP="00204937">
            <w:pPr>
              <w:pStyle w:val="TableParagraph"/>
              <w:rPr>
                <w:b/>
              </w:rPr>
            </w:pPr>
            <w:r>
              <w:rPr>
                <w:b/>
              </w:rPr>
              <w:lastRenderedPageBreak/>
              <w:t>N</w:t>
            </w:r>
            <w:r w:rsidRPr="00E50108">
              <w:rPr>
                <w:b/>
              </w:rPr>
              <w:t>ight driving</w:t>
            </w:r>
          </w:p>
        </w:tc>
        <w:tc>
          <w:tcPr>
            <w:tcW w:w="4048" w:type="dxa"/>
            <w:shd w:val="clear" w:color="auto" w:fill="auto"/>
            <w:noWrap/>
          </w:tcPr>
          <w:p w14:paraId="42DD73E5" w14:textId="77777777" w:rsidR="00122C1B" w:rsidRDefault="00122C1B" w:rsidP="00204937">
            <w:pPr>
              <w:pStyle w:val="TableParagraph"/>
            </w:pPr>
            <w:r w:rsidRPr="00E22A0C">
              <w:t>Night driving is riskier than driving during the day, as visibility is limited and the ability to detect and respond to potential dangers is reduced.</w:t>
            </w:r>
            <w:bookmarkStart w:id="107" w:name="_Ref525115881"/>
            <w:r>
              <w:rPr>
                <w:rStyle w:val="EndnoteReference"/>
              </w:rPr>
              <w:endnoteReference w:id="92"/>
            </w:r>
            <w:bookmarkEnd w:id="107"/>
          </w:p>
          <w:p w14:paraId="44B40104" w14:textId="0A78D995" w:rsidR="00122C1B" w:rsidRDefault="00122C1B" w:rsidP="00204937">
            <w:pPr>
              <w:pStyle w:val="TableParagraph"/>
            </w:pPr>
            <w:r w:rsidRPr="00E22A0C">
              <w:t>Night driving often involves driving to and from social functions, where people might be drinking alcoho</w:t>
            </w:r>
            <w:r>
              <w:t>l or taking drugs. M</w:t>
            </w:r>
            <w:r w:rsidRPr="00E22A0C">
              <w:t>ost night driving coincides with high alcohol times, which is when there is a greater likelihood of intoxicated drivers being on the roads.</w:t>
            </w:r>
            <w:r>
              <w:fldChar w:fldCharType="begin"/>
            </w:r>
            <w:r>
              <w:instrText xml:space="preserve"> NOTEREF _Ref525115881 \f \h  \* MERGEFORMAT </w:instrText>
            </w:r>
            <w:r>
              <w:fldChar w:fldCharType="separate"/>
            </w:r>
            <w:r w:rsidR="00EB4B02" w:rsidRPr="00EB4B02">
              <w:rPr>
                <w:rStyle w:val="EndnoteReference"/>
              </w:rPr>
              <w:t>91</w:t>
            </w:r>
            <w:r>
              <w:fldChar w:fldCharType="end"/>
            </w:r>
          </w:p>
          <w:p w14:paraId="4897D4B6" w14:textId="77777777" w:rsidR="00122C1B" w:rsidRPr="00117C96" w:rsidRDefault="00122C1B" w:rsidP="00204937">
            <w:pPr>
              <w:pStyle w:val="TableParagraph"/>
            </w:pPr>
            <w:r>
              <w:t>Statistics analysed in one overseas study</w:t>
            </w:r>
            <w:r>
              <w:rPr>
                <w:rStyle w:val="EndnoteReference"/>
              </w:rPr>
              <w:endnoteReference w:id="93"/>
            </w:r>
            <w:r>
              <w:t xml:space="preserve"> showed that reduced lighting, as well as other factors, such as </w:t>
            </w:r>
            <w:r w:rsidRPr="00170560">
              <w:t>fatigue</w:t>
            </w:r>
            <w:r>
              <w:t>, alcohol, or traffic density, contribute to the impaired ability of drivers to avoid collisions at night.</w:t>
            </w:r>
          </w:p>
        </w:tc>
        <w:tc>
          <w:tcPr>
            <w:tcW w:w="3544" w:type="dxa"/>
            <w:shd w:val="clear" w:color="auto" w:fill="auto"/>
          </w:tcPr>
          <w:p w14:paraId="03C8374B" w14:textId="77777777" w:rsidR="00122C1B" w:rsidRDefault="00122C1B" w:rsidP="00204937">
            <w:pPr>
              <w:pStyle w:val="TableParagraph"/>
            </w:pPr>
            <w:r>
              <w:t>In a 7-year period between 2011 and 2017 in Victoria, on average, 25% of fatality crashes occurred between 9.00 pm and 6.00 am.</w:t>
            </w:r>
            <w:r>
              <w:rPr>
                <w:rStyle w:val="EndnoteReference"/>
              </w:rPr>
              <w:endnoteReference w:id="94"/>
            </w:r>
            <w:r>
              <w:t xml:space="preserve"> </w:t>
            </w:r>
          </w:p>
          <w:p w14:paraId="32FDDE50" w14:textId="77777777" w:rsidR="00122C1B" w:rsidRPr="00E22A0C" w:rsidRDefault="00122C1B" w:rsidP="00BB3798">
            <w:pPr>
              <w:pStyle w:val="TableParagraph"/>
            </w:pPr>
            <w:r>
              <w:t>VicRoads daily vehicle movements data</w:t>
            </w:r>
            <w:r>
              <w:rPr>
                <w:rStyle w:val="EndnoteReference"/>
              </w:rPr>
              <w:endnoteReference w:id="95"/>
            </w:r>
            <w:r>
              <w:t xml:space="preserve"> for 2018 indicates that night movements </w:t>
            </w:r>
            <w:r w:rsidRPr="00CF19BC">
              <w:t xml:space="preserve">between 9.00 pm and 6.00 am </w:t>
            </w:r>
            <w:r>
              <w:t>constitute 12% of total movements. This means that fatality crashes at night are over-represented by more than 100%.</w:t>
            </w:r>
          </w:p>
        </w:tc>
      </w:tr>
      <w:tr w:rsidR="00122C1B" w:rsidRPr="00117C96" w14:paraId="08EF9B05" w14:textId="77777777" w:rsidTr="009B381C">
        <w:trPr>
          <w:trHeight w:val="300"/>
        </w:trPr>
        <w:tc>
          <w:tcPr>
            <w:tcW w:w="1906" w:type="dxa"/>
            <w:noWrap/>
          </w:tcPr>
          <w:p w14:paraId="37052BB3" w14:textId="77777777" w:rsidR="00122C1B" w:rsidRPr="00D11F79" w:rsidDel="009C2925" w:rsidRDefault="00122C1B" w:rsidP="00171A80">
            <w:pPr>
              <w:pStyle w:val="TableParagraph"/>
              <w:rPr>
                <w:b/>
              </w:rPr>
            </w:pPr>
            <w:r>
              <w:rPr>
                <w:b/>
              </w:rPr>
              <w:t xml:space="preserve">Medical </w:t>
            </w:r>
            <w:r w:rsidRPr="00D11F79">
              <w:rPr>
                <w:b/>
              </w:rPr>
              <w:t>fitness to drive</w:t>
            </w:r>
          </w:p>
        </w:tc>
        <w:tc>
          <w:tcPr>
            <w:tcW w:w="4048" w:type="dxa"/>
            <w:noWrap/>
          </w:tcPr>
          <w:p w14:paraId="5C6A49EB" w14:textId="77777777" w:rsidR="00510F74" w:rsidRPr="00884B59" w:rsidRDefault="00122C1B" w:rsidP="00510F74">
            <w:pPr>
              <w:pStyle w:val="TableParagraph"/>
              <w:widowControl w:val="0"/>
            </w:pPr>
            <w:r w:rsidRPr="00CE5D2F">
              <w:rPr>
                <w:i/>
              </w:rPr>
              <w:t>Crash Risk</w:t>
            </w:r>
            <w:r>
              <w:rPr>
                <w:i/>
              </w:rPr>
              <w:t xml:space="preserve">. </w:t>
            </w:r>
            <w:r w:rsidRPr="00C338DE">
              <w:t>Recent Australian road safety data reveals that</w:t>
            </w:r>
            <w:r>
              <w:t>,</w:t>
            </w:r>
            <w:r w:rsidRPr="00C338DE">
              <w:t xml:space="preserve"> whil</w:t>
            </w:r>
            <w:r>
              <w:t>e</w:t>
            </w:r>
            <w:r w:rsidRPr="00C338DE">
              <w:t xml:space="preserve"> reductions in deaths of younger people have been realised, there are flat trends and recent increases in deaths of older road users – mainly in driver </w:t>
            </w:r>
            <w:r>
              <w:t>and motorcyclist fatalities. It is noteworthy though that</w:t>
            </w:r>
            <w:r w:rsidRPr="00C338DE">
              <w:t xml:space="preserve">, hospitalisation data (to 2009) demonstrates increasing trends for all age </w:t>
            </w:r>
            <w:r w:rsidR="00510F74" w:rsidRPr="00C338DE">
              <w:t>groups.</w:t>
            </w:r>
            <w:r w:rsidR="00510F74">
              <w:rPr>
                <w:rStyle w:val="EndnoteReference"/>
              </w:rPr>
              <w:endnoteReference w:id="96"/>
            </w:r>
          </w:p>
          <w:p w14:paraId="74A298AE" w14:textId="77777777" w:rsidR="00510F74" w:rsidRPr="00884B59" w:rsidRDefault="00510F74" w:rsidP="00510F74">
            <w:pPr>
              <w:pStyle w:val="TableParagraph"/>
              <w:widowControl w:val="0"/>
            </w:pPr>
            <w:r w:rsidRPr="00C338DE">
              <w:t>An Austroads investigation into older road users identified that “</w:t>
            </w:r>
            <w:r>
              <w:t>o</w:t>
            </w:r>
            <w:r w:rsidRPr="00C338DE">
              <w:t>lder road users are progressively comprising a larger proportion of road trauma but their contribution to crash numbers is still a small one” (p. 48). The authors propose</w:t>
            </w:r>
            <w:r>
              <w:t>d</w:t>
            </w:r>
            <w:r w:rsidRPr="00C338DE">
              <w:t xml:space="preserve"> that an ageing population and incre</w:t>
            </w:r>
            <w:r>
              <w:t>ased rates of older adult licens</w:t>
            </w:r>
            <w:r w:rsidRPr="00C338DE">
              <w:t>ing was associated with increases in older road user trauma</w:t>
            </w:r>
            <w:r>
              <w:t>.</w:t>
            </w:r>
            <w:r>
              <w:rPr>
                <w:rStyle w:val="EndnoteReference"/>
              </w:rPr>
              <w:endnoteReference w:id="97"/>
            </w:r>
            <w:r w:rsidRPr="00884B59">
              <w:t xml:space="preserve"> Other researchers </w:t>
            </w:r>
            <w:r>
              <w:t>point out that</w:t>
            </w:r>
            <w:r w:rsidRPr="00884B59">
              <w:t xml:space="preserve"> over-representation can be attributed to older d</w:t>
            </w:r>
            <w:r w:rsidRPr="00C338DE">
              <w:t>rivers’ reduced tolerance to injury and their greater physical frailty: both associated with the consequences of ageing</w:t>
            </w:r>
            <w:r>
              <w:t>.</w:t>
            </w:r>
            <w:r>
              <w:rPr>
                <w:rStyle w:val="EndnoteReference"/>
              </w:rPr>
              <w:endnoteReference w:id="98"/>
            </w:r>
          </w:p>
          <w:p w14:paraId="1CC84306" w14:textId="77777777" w:rsidR="00510F74" w:rsidRPr="00884B59" w:rsidRDefault="00510F74" w:rsidP="00510F74">
            <w:pPr>
              <w:pStyle w:val="TableList1"/>
            </w:pPr>
            <w:r w:rsidRPr="00884B59">
              <w:t>Furthermore, an</w:t>
            </w:r>
            <w:r w:rsidRPr="00C338DE">
              <w:t xml:space="preserve"> Australian study</w:t>
            </w:r>
            <w:r w:rsidRPr="00884B59">
              <w:rPr>
                <w:rStyle w:val="EndnoteReference"/>
              </w:rPr>
              <w:endnoteReference w:id="99"/>
            </w:r>
            <w:r w:rsidRPr="00884B59">
              <w:t xml:space="preserve">  identified the role of </w:t>
            </w:r>
            <w:r w:rsidRPr="00C338DE">
              <w:t>“low mileage bias” as contributing to understanding older driver crash rates. Researchers compared crash rates of</w:t>
            </w:r>
            <w:r>
              <w:t xml:space="preserve"> </w:t>
            </w:r>
            <w:r w:rsidRPr="00C338DE">
              <w:t xml:space="preserve">drivers of different ages after being matched for </w:t>
            </w:r>
            <w:r w:rsidRPr="00C338DE">
              <w:lastRenderedPageBreak/>
              <w:t>yearly driving distance. They found that most drivers aged 75 years and above were indicatively safer than all other drivers. Only older drivers travelling less than 3,000 km annually (just over 10 percent of all older drivers in the survey) gave any indication of elevated crash rates</w:t>
            </w:r>
            <w:r>
              <w:t>.</w:t>
            </w:r>
          </w:p>
          <w:p w14:paraId="49C001BD" w14:textId="77777777" w:rsidR="00510F74" w:rsidRPr="00884B59" w:rsidRDefault="00510F74" w:rsidP="00510F74">
            <w:pPr>
              <w:pStyle w:val="TableParagraph"/>
              <w:widowControl w:val="0"/>
            </w:pPr>
            <w:r w:rsidRPr="00CE5D2F">
              <w:rPr>
                <w:i/>
              </w:rPr>
              <w:t>Medical conditions</w:t>
            </w:r>
            <w:r>
              <w:rPr>
                <w:i/>
              </w:rPr>
              <w:t xml:space="preserve">. </w:t>
            </w:r>
            <w:r>
              <w:t>It is accepted that a</w:t>
            </w:r>
            <w:r w:rsidRPr="00C338DE">
              <w:t xml:space="preserve"> range of medical conditions, disabilities and treatments</w:t>
            </w:r>
            <w:r>
              <w:t>,</w:t>
            </w:r>
            <w:r w:rsidRPr="00C338DE">
              <w:t xml:space="preserve"> </w:t>
            </w:r>
            <w:r>
              <w:t xml:space="preserve">which affect people across their lifespan, </w:t>
            </w:r>
            <w:r w:rsidRPr="00C338DE">
              <w:t xml:space="preserve">may influence critical driving prerequisites, </w:t>
            </w:r>
            <w:r>
              <w:t>such as</w:t>
            </w:r>
            <w:r w:rsidRPr="00C338DE">
              <w:t xml:space="preserve"> cognition and perception, proper judgement, adequate response time and appropriate physical capability</w:t>
            </w:r>
            <w:r>
              <w:t>.</w:t>
            </w:r>
            <w:r>
              <w:rPr>
                <w:rStyle w:val="EndnoteReference"/>
              </w:rPr>
              <w:endnoteReference w:id="100"/>
            </w:r>
            <w:r w:rsidRPr="00884B59">
              <w:t xml:space="preserve"> </w:t>
            </w:r>
            <w:r>
              <w:t>The majority of these</w:t>
            </w:r>
            <w:r w:rsidRPr="00884B59">
              <w:t xml:space="preserve"> impairments may </w:t>
            </w:r>
            <w:r w:rsidRPr="00C338DE">
              <w:t>adversely affect driving ability, possibly resulting in a crash causing fatalities and serious injuries</w:t>
            </w:r>
            <w:r>
              <w:t>.</w:t>
            </w:r>
            <w:r>
              <w:rPr>
                <w:rStyle w:val="EndnoteReference"/>
              </w:rPr>
              <w:endnoteReference w:id="101"/>
            </w:r>
            <w:r w:rsidRPr="00884B59">
              <w:t xml:space="preserve"> </w:t>
            </w:r>
          </w:p>
          <w:p w14:paraId="660F9137" w14:textId="77777777" w:rsidR="00510F74" w:rsidRPr="00884B59" w:rsidRDefault="00510F74" w:rsidP="00510F74">
            <w:pPr>
              <w:pStyle w:val="TableParagraph"/>
              <w:widowControl w:val="0"/>
            </w:pPr>
            <w:r>
              <w:t>While</w:t>
            </w:r>
            <w:r w:rsidRPr="00C338DE">
              <w:t xml:space="preserve"> motor vehicle crashes may be associated with multiple causal factors, the extent to which medical conditions contribute to vehicle crashes can be difficult to assess. However, the potential for certain disabilities, health conditions and/or their treatments to cause serious impairments is well recognised and these conditions comprise the main content of the national Assessing Fitness to Drive resource</w:t>
            </w:r>
            <w:r>
              <w:t>.</w:t>
            </w:r>
            <w:r>
              <w:rPr>
                <w:rStyle w:val="EndnoteReference"/>
              </w:rPr>
              <w:endnoteReference w:id="102"/>
            </w:r>
          </w:p>
          <w:p w14:paraId="7E42D7D9" w14:textId="77777777" w:rsidR="00510F74" w:rsidRPr="00884B59" w:rsidRDefault="00510F74" w:rsidP="00510F74">
            <w:pPr>
              <w:pStyle w:val="TableParagraph"/>
              <w:widowControl w:val="0"/>
            </w:pPr>
            <w:r w:rsidRPr="00CE5D2F">
              <w:rPr>
                <w:i/>
              </w:rPr>
              <w:t>Ageing</w:t>
            </w:r>
            <w:r>
              <w:rPr>
                <w:i/>
              </w:rPr>
              <w:t xml:space="preserve">. </w:t>
            </w:r>
            <w:r w:rsidRPr="005714BF">
              <w:t>There are many individual differences in the ageing process and most older adults are likely to experience some level of functional decline in sensory, physical and cognitive areas over the years.</w:t>
            </w:r>
            <w:r w:rsidRPr="00CE5D2F">
              <w:rPr>
                <w:rStyle w:val="EndnoteReference"/>
              </w:rPr>
              <w:endnoteReference w:id="103"/>
            </w:r>
          </w:p>
          <w:p w14:paraId="655F9D1C" w14:textId="77777777" w:rsidR="00510F74" w:rsidRPr="00884B59" w:rsidRDefault="00510F74" w:rsidP="00510F74">
            <w:pPr>
              <w:pStyle w:val="TableParagraph"/>
            </w:pPr>
            <w:r w:rsidRPr="00C338DE">
              <w:t>Regardless of the underlying medical conditions, the loss of sensory, cognitive and/or motor skills associated with ageing would</w:t>
            </w:r>
            <w:r w:rsidRPr="00884B59">
              <w:t xml:space="preserve"> intuitively be expected to impact older driver behaviour in traffic</w:t>
            </w:r>
            <w:r w:rsidRPr="00C338DE">
              <w:t xml:space="preserve">. </w:t>
            </w:r>
          </w:p>
          <w:p w14:paraId="201B2FFD" w14:textId="77777777" w:rsidR="00122C1B" w:rsidRPr="00CE5D2F" w:rsidRDefault="00510F74" w:rsidP="00510F74">
            <w:pPr>
              <w:pStyle w:val="TableParagraph"/>
              <w:widowControl w:val="0"/>
              <w:rPr>
                <w:i/>
              </w:rPr>
            </w:pPr>
            <w:r w:rsidRPr="00C338DE">
              <w:t>However, for the most part, older people continue to drive safely and compensate for age-related declines by adopting self-regulatory or compensatory behaviours to limit the threatened increase in crash risk</w:t>
            </w:r>
            <w:r>
              <w:t>.</w:t>
            </w:r>
            <w:r>
              <w:rPr>
                <w:rStyle w:val="EndnoteReference"/>
              </w:rPr>
              <w:endnoteReference w:id="104"/>
            </w:r>
            <w:r w:rsidRPr="00C338DE">
              <w:t xml:space="preserve"> </w:t>
            </w:r>
            <w:r w:rsidRPr="00884B59">
              <w:t>They change their behaviour</w:t>
            </w:r>
            <w:r w:rsidRPr="00C338DE">
              <w:t xml:space="preserve">s to counteract their declining abilities and adjust their lifestyle choices, typically choosing to reduce their exposure e.g. by </w:t>
            </w:r>
            <w:r w:rsidRPr="00884B59">
              <w:t xml:space="preserve">limiting driving during wet weather, </w:t>
            </w:r>
            <w:r w:rsidRPr="00C338DE">
              <w:t>peak hour or at night</w:t>
            </w:r>
            <w:r>
              <w:t>.</w:t>
            </w:r>
            <w:r>
              <w:rPr>
                <w:rStyle w:val="EndnoteReference"/>
              </w:rPr>
              <w:endnoteReference w:id="105"/>
            </w:r>
          </w:p>
        </w:tc>
        <w:tc>
          <w:tcPr>
            <w:tcW w:w="3544" w:type="dxa"/>
          </w:tcPr>
          <w:p w14:paraId="4E0CB734" w14:textId="77777777" w:rsidR="00122C1B" w:rsidRDefault="00122C1B" w:rsidP="00171A80">
            <w:pPr>
              <w:pStyle w:val="TableParagraph"/>
            </w:pPr>
            <w:r>
              <w:lastRenderedPageBreak/>
              <w:t>A 2010 study</w:t>
            </w:r>
            <w:r>
              <w:rPr>
                <w:rStyle w:val="EndnoteReference"/>
              </w:rPr>
              <w:endnoteReference w:id="106"/>
            </w:r>
            <w:r>
              <w:t xml:space="preserve"> on the influence of drivers’ chronic illness on crash involvement listed the following illnesses as having a high crash risk:</w:t>
            </w:r>
          </w:p>
          <w:p w14:paraId="58DD2BDE" w14:textId="77777777" w:rsidR="00A006CD" w:rsidRDefault="00122C1B" w:rsidP="00510F74">
            <w:pPr>
              <w:pStyle w:val="TableList1"/>
            </w:pPr>
            <w:r>
              <w:t>Alcohol abuse and dependence (0.82% prevalence in the general population in Australia</w:t>
            </w:r>
            <w:r>
              <w:rPr>
                <w:rStyle w:val="EndnoteReference"/>
              </w:rPr>
              <w:endnoteReference w:id="107"/>
            </w:r>
            <w:r>
              <w:t xml:space="preserve"> with 2.1 to 5 times crash risk) </w:t>
            </w:r>
          </w:p>
          <w:p w14:paraId="37E8C5A8" w14:textId="77777777" w:rsidR="00510F74" w:rsidRDefault="00510F74" w:rsidP="00510F74">
            <w:pPr>
              <w:pStyle w:val="TableList1"/>
            </w:pPr>
            <w:r>
              <w:t xml:space="preserve">Dementia (1% of the general population with 2.1 to 5 times crash risk) </w:t>
            </w:r>
          </w:p>
          <w:p w14:paraId="77F387FB" w14:textId="77777777" w:rsidR="00510F74" w:rsidRDefault="00510F74" w:rsidP="00510F74">
            <w:pPr>
              <w:pStyle w:val="TableList1"/>
            </w:pPr>
            <w:r>
              <w:t xml:space="preserve">Epilepsy (0.7% of the general population with 1.1 to more than 5 times crash risk) </w:t>
            </w:r>
          </w:p>
          <w:p w14:paraId="54B4B31A" w14:textId="77777777" w:rsidR="00510F74" w:rsidRDefault="00510F74" w:rsidP="00510F74">
            <w:pPr>
              <w:pStyle w:val="TableList1"/>
            </w:pPr>
            <w:r>
              <w:t>Multiple sclerosis (0.03% of the general population with 2.1 to 5 times crash risk)</w:t>
            </w:r>
          </w:p>
          <w:p w14:paraId="3347BD4B" w14:textId="77777777" w:rsidR="00510F74" w:rsidRDefault="00510F74" w:rsidP="00510F74">
            <w:pPr>
              <w:pStyle w:val="TableList1"/>
            </w:pPr>
            <w:r>
              <w:t>Psychiatric disorders (0.4% of licensed drivers and 25% of general population at some time in life, including substance abuse, with 1.1 to 5 times crash risk)</w:t>
            </w:r>
          </w:p>
          <w:p w14:paraId="6235BFB5" w14:textId="77777777" w:rsidR="00510F74" w:rsidRDefault="00510F74" w:rsidP="00510F74">
            <w:pPr>
              <w:pStyle w:val="TableList1"/>
            </w:pPr>
            <w:r>
              <w:t>Schizophrenia (1% of general population with 2.1 to 5 times crash risk)</w:t>
            </w:r>
          </w:p>
          <w:p w14:paraId="43087E50" w14:textId="77777777" w:rsidR="00510F74" w:rsidRDefault="00510F74" w:rsidP="00510F74">
            <w:pPr>
              <w:pStyle w:val="TableList1"/>
            </w:pPr>
            <w:r>
              <w:lastRenderedPageBreak/>
              <w:t>Sleep apnoea (0.3%-7.5% of the general population with 2.1 to more than 5 times crash risk)</w:t>
            </w:r>
          </w:p>
          <w:p w14:paraId="37E28AB2" w14:textId="77777777" w:rsidR="00122C1B" w:rsidRDefault="00510F74" w:rsidP="00B05A40">
            <w:pPr>
              <w:pStyle w:val="TableList1"/>
            </w:pPr>
            <w:r>
              <w:t>Cataracts (2%-5% [40 to 49-year-olds] of the general population with 2.1 to 5 times crash risk)</w:t>
            </w:r>
          </w:p>
        </w:tc>
      </w:tr>
    </w:tbl>
    <w:p w14:paraId="6B1AC5D0" w14:textId="77777777" w:rsidR="00122C1B" w:rsidRDefault="00122C1B" w:rsidP="006713F9">
      <w:pPr>
        <w:pStyle w:val="Heading3"/>
      </w:pPr>
      <w:bookmarkStart w:id="108" w:name="_Ref507160512"/>
      <w:bookmarkStart w:id="109" w:name="_Ref515358205"/>
      <w:bookmarkStart w:id="110" w:name="_Toc10703410"/>
      <w:r>
        <w:lastRenderedPageBreak/>
        <w:t>Risk factors affecting young and novice drivers</w:t>
      </w:r>
      <w:bookmarkEnd w:id="108"/>
      <w:r>
        <w:t xml:space="preserve"> and motorcyclists</w:t>
      </w:r>
      <w:bookmarkEnd w:id="109"/>
      <w:bookmarkEnd w:id="110"/>
    </w:p>
    <w:p w14:paraId="7D23A2D6" w14:textId="77777777" w:rsidR="00122C1B" w:rsidRDefault="00122C1B" w:rsidP="00204937">
      <w:pPr>
        <w:pStyle w:val="TextPara"/>
        <w:rPr>
          <w:rFonts w:cs="Segoe UI"/>
        </w:rPr>
      </w:pPr>
      <w:r w:rsidRPr="00117C96">
        <w:rPr>
          <w:rFonts w:cs="Segoe UI"/>
        </w:rPr>
        <w:t xml:space="preserve">Driving is a complex and </w:t>
      </w:r>
      <w:r>
        <w:rPr>
          <w:rFonts w:cs="Segoe UI"/>
        </w:rPr>
        <w:t xml:space="preserve">potentially </w:t>
      </w:r>
      <w:r w:rsidRPr="00117C96">
        <w:rPr>
          <w:rFonts w:cs="Segoe UI"/>
        </w:rPr>
        <w:t xml:space="preserve">dangerous activity that takes time and experience to master. Mistakes by young, inexperienced drivers can have fatal consequences, as shown by their </w:t>
      </w:r>
      <w:r w:rsidR="00FD0961">
        <w:rPr>
          <w:rFonts w:cs="Segoe UI"/>
        </w:rPr>
        <w:t>disproportionately</w:t>
      </w:r>
      <w:r w:rsidRPr="00117C96">
        <w:rPr>
          <w:rFonts w:cs="Segoe UI"/>
        </w:rPr>
        <w:t xml:space="preserve"> h</w:t>
      </w:r>
      <w:r>
        <w:rPr>
          <w:rFonts w:cs="Segoe UI"/>
        </w:rPr>
        <w:t xml:space="preserve">igh involvement in road deaths. While the road safety factors described in the previous section apply also to young drivers, there are other factors that affect them more specifically. </w:t>
      </w:r>
    </w:p>
    <w:p w14:paraId="5B2AE9B2" w14:textId="77777777" w:rsidR="00122C1B" w:rsidRDefault="00122C1B" w:rsidP="00204937">
      <w:pPr>
        <w:pStyle w:val="TextPara"/>
        <w:rPr>
          <w:rFonts w:cs="Segoe UI"/>
        </w:rPr>
      </w:pPr>
      <w:r w:rsidRPr="009B559F">
        <w:rPr>
          <w:rFonts w:cs="Segoe UI"/>
        </w:rPr>
        <w:t xml:space="preserve">Motorcycle riders </w:t>
      </w:r>
      <w:r>
        <w:rPr>
          <w:rFonts w:cs="Segoe UI"/>
        </w:rPr>
        <w:t xml:space="preserve">are exposed to </w:t>
      </w:r>
      <w:r w:rsidRPr="009B559F">
        <w:rPr>
          <w:rFonts w:cs="Segoe UI"/>
        </w:rPr>
        <w:t xml:space="preserve">a much higher risk of </w:t>
      </w:r>
      <w:r>
        <w:rPr>
          <w:rFonts w:cs="Segoe UI"/>
        </w:rPr>
        <w:t xml:space="preserve">being </w:t>
      </w:r>
      <w:r w:rsidRPr="009B559F">
        <w:rPr>
          <w:rFonts w:cs="Segoe UI"/>
        </w:rPr>
        <w:t>fatal</w:t>
      </w:r>
      <w:r>
        <w:rPr>
          <w:rFonts w:cs="Segoe UI"/>
        </w:rPr>
        <w:t>ly</w:t>
      </w:r>
      <w:r w:rsidRPr="009B559F">
        <w:rPr>
          <w:rFonts w:cs="Segoe UI"/>
        </w:rPr>
        <w:t xml:space="preserve"> or serious</w:t>
      </w:r>
      <w:r>
        <w:rPr>
          <w:rFonts w:cs="Segoe UI"/>
        </w:rPr>
        <w:t>ly</w:t>
      </w:r>
      <w:r w:rsidRPr="009B559F">
        <w:rPr>
          <w:rFonts w:cs="Segoe UI"/>
        </w:rPr>
        <w:t xml:space="preserve"> injur</w:t>
      </w:r>
      <w:r>
        <w:rPr>
          <w:rFonts w:cs="Segoe UI"/>
        </w:rPr>
        <w:t>ed</w:t>
      </w:r>
      <w:r w:rsidRPr="009B559F">
        <w:rPr>
          <w:rFonts w:cs="Segoe UI"/>
        </w:rPr>
        <w:t xml:space="preserve"> in a crash </w:t>
      </w:r>
      <w:r>
        <w:rPr>
          <w:rFonts w:cs="Segoe UI"/>
        </w:rPr>
        <w:t>than car drivers</w:t>
      </w:r>
      <w:r w:rsidRPr="009B559F">
        <w:rPr>
          <w:rFonts w:cs="Segoe UI"/>
        </w:rPr>
        <w:t xml:space="preserve"> </w:t>
      </w:r>
      <w:r>
        <w:rPr>
          <w:rFonts w:cs="Segoe UI"/>
        </w:rPr>
        <w:t>r</w:t>
      </w:r>
      <w:r w:rsidRPr="009B559F">
        <w:rPr>
          <w:rFonts w:cs="Segoe UI"/>
        </w:rPr>
        <w:t xml:space="preserve">egardless of the cause </w:t>
      </w:r>
      <w:r>
        <w:rPr>
          <w:rFonts w:cs="Segoe UI"/>
        </w:rPr>
        <w:t xml:space="preserve">of the </w:t>
      </w:r>
      <w:r w:rsidRPr="009B559F">
        <w:rPr>
          <w:rFonts w:cs="Segoe UI"/>
        </w:rPr>
        <w:t xml:space="preserve">crash. While helmets and protective clothing can reduce the severity </w:t>
      </w:r>
      <w:r w:rsidRPr="009B559F">
        <w:rPr>
          <w:rFonts w:cs="Segoe UI"/>
        </w:rPr>
        <w:lastRenderedPageBreak/>
        <w:t>of injuries, riders are more directly exposed to the massive forces of a collision</w:t>
      </w:r>
      <w:r>
        <w:rPr>
          <w:rFonts w:cs="Segoe UI"/>
        </w:rPr>
        <w:t>. I</w:t>
      </w:r>
      <w:r w:rsidRPr="009B559F">
        <w:rPr>
          <w:rFonts w:cs="Segoe UI"/>
        </w:rPr>
        <w:t>ndependent research</w:t>
      </w:r>
      <w:r>
        <w:rPr>
          <w:rFonts w:cs="Segoe UI"/>
        </w:rPr>
        <w:t xml:space="preserve"> by the</w:t>
      </w:r>
      <w:r w:rsidRPr="009B559F">
        <w:rPr>
          <w:rFonts w:cs="Segoe UI"/>
        </w:rPr>
        <w:t xml:space="preserve"> </w:t>
      </w:r>
      <w:r w:rsidRPr="00B81BE3">
        <w:rPr>
          <w:rFonts w:cs="Segoe UI"/>
        </w:rPr>
        <w:t xml:space="preserve">Australian Institute of Health and Welfare </w:t>
      </w:r>
      <w:r w:rsidRPr="009B559F">
        <w:rPr>
          <w:rFonts w:cs="Segoe UI"/>
        </w:rPr>
        <w:t xml:space="preserve">based on serious injury per distance travelled throughout Australia shows </w:t>
      </w:r>
      <w:r>
        <w:rPr>
          <w:rFonts w:cs="Segoe UI"/>
        </w:rPr>
        <w:t xml:space="preserve">motorcycle </w:t>
      </w:r>
      <w:r w:rsidRPr="009B559F">
        <w:rPr>
          <w:rFonts w:cs="Segoe UI"/>
        </w:rPr>
        <w:t>riders are 37 times more likely to be se</w:t>
      </w:r>
      <w:r>
        <w:rPr>
          <w:rFonts w:cs="Segoe UI"/>
        </w:rPr>
        <w:t>riously injured than motorists.</w:t>
      </w:r>
      <w:r>
        <w:rPr>
          <w:rStyle w:val="EndnoteReference"/>
          <w:rFonts w:cs="Segoe UI"/>
        </w:rPr>
        <w:endnoteReference w:id="108"/>
      </w:r>
      <w:r>
        <w:rPr>
          <w:rFonts w:cs="Segoe UI"/>
        </w:rPr>
        <w:t xml:space="preserve"> </w:t>
      </w:r>
    </w:p>
    <w:p w14:paraId="1854388B" w14:textId="6BFEC04D" w:rsidR="00122C1B" w:rsidRDefault="00122C1B" w:rsidP="00204937">
      <w:pPr>
        <w:pStyle w:val="TextPara"/>
        <w:rPr>
          <w:rFonts w:cs="Segoe UI"/>
        </w:rPr>
      </w:pPr>
      <w:r>
        <w:rPr>
          <w:rFonts w:cs="Segoe UI"/>
        </w:rPr>
        <w:t>All of the additional road safety risk factors</w:t>
      </w:r>
      <w:r w:rsidRPr="00AC3515">
        <w:rPr>
          <w:rFonts w:cs="Segoe UI"/>
        </w:rPr>
        <w:t xml:space="preserve"> </w:t>
      </w:r>
      <w:r w:rsidRPr="00117C96">
        <w:rPr>
          <w:rFonts w:cs="Segoe UI"/>
        </w:rPr>
        <w:t>described in</w:t>
      </w:r>
      <w:r>
        <w:rPr>
          <w:rFonts w:cs="Segoe UI"/>
        </w:rPr>
        <w:t xml:space="preserve"> </w:t>
      </w:r>
      <w:r>
        <w:rPr>
          <w:rFonts w:cs="Segoe UI"/>
        </w:rPr>
        <w:fldChar w:fldCharType="begin"/>
      </w:r>
      <w:r>
        <w:rPr>
          <w:rFonts w:cs="Segoe UI"/>
        </w:rPr>
        <w:instrText xml:space="preserve"> REF _Ref507688584 \h </w:instrText>
      </w:r>
      <w:r>
        <w:rPr>
          <w:rFonts w:cs="Segoe UI"/>
        </w:rPr>
      </w:r>
      <w:r>
        <w:rPr>
          <w:rFonts w:cs="Segoe UI"/>
        </w:rPr>
        <w:fldChar w:fldCharType="separate"/>
      </w:r>
      <w:r w:rsidR="00EB4B02" w:rsidRPr="00117C96">
        <w:t xml:space="preserve">Table </w:t>
      </w:r>
      <w:r w:rsidR="00EB4B02">
        <w:rPr>
          <w:noProof/>
        </w:rPr>
        <w:t>9</w:t>
      </w:r>
      <w:r>
        <w:rPr>
          <w:rFonts w:cs="Segoe UI"/>
        </w:rPr>
        <w:fldChar w:fldCharType="end"/>
      </w:r>
      <w:r>
        <w:rPr>
          <w:rFonts w:cs="Segoe UI"/>
        </w:rPr>
        <w:t xml:space="preserve"> apply to young drivers and most of them also apply to young motorcycle riders</w:t>
      </w:r>
      <w:r w:rsidRPr="00117C96">
        <w:rPr>
          <w:rFonts w:cs="Segoe UI"/>
        </w:rPr>
        <w:t>.</w:t>
      </w:r>
    </w:p>
    <w:p w14:paraId="7209EF08" w14:textId="1D8CAAC7" w:rsidR="00122C1B" w:rsidRPr="00117C96" w:rsidRDefault="00122C1B" w:rsidP="00AA0BBA">
      <w:pPr>
        <w:pStyle w:val="Caption"/>
      </w:pPr>
      <w:bookmarkStart w:id="111" w:name="_Ref507688584"/>
      <w:bookmarkStart w:id="112" w:name="_Toc10703702"/>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9</w:t>
      </w:r>
      <w:r w:rsidR="00BC6B2E">
        <w:rPr>
          <w:noProof/>
        </w:rPr>
        <w:fldChar w:fldCharType="end"/>
      </w:r>
      <w:bookmarkEnd w:id="111"/>
      <w:r>
        <w:t xml:space="preserve"> </w:t>
      </w:r>
      <w:r>
        <w:rPr>
          <w:noProof/>
        </w:rPr>
        <w:t>–</w:t>
      </w:r>
      <w:r>
        <w:t xml:space="preserve"> Key road safety risk factors affecting young and novice drivers and motorcyclists</w:t>
      </w:r>
      <w:bookmarkEnd w:id="112"/>
    </w:p>
    <w:tbl>
      <w:tblPr>
        <w:tblStyle w:val="RIS-Table2"/>
        <w:tblW w:w="9781" w:type="dxa"/>
        <w:tblLook w:val="04A0" w:firstRow="1" w:lastRow="0" w:firstColumn="1" w:lastColumn="0" w:noHBand="0" w:noVBand="1"/>
      </w:tblPr>
      <w:tblGrid>
        <w:gridCol w:w="1843"/>
        <w:gridCol w:w="4961"/>
        <w:gridCol w:w="2977"/>
      </w:tblGrid>
      <w:tr w:rsidR="00122C1B" w:rsidRPr="00117C96" w14:paraId="29B0F20C" w14:textId="77777777" w:rsidTr="009B381C">
        <w:trPr>
          <w:cnfStyle w:val="100000000000" w:firstRow="1" w:lastRow="0" w:firstColumn="0" w:lastColumn="0" w:oddVBand="0" w:evenVBand="0" w:oddHBand="0" w:evenHBand="0" w:firstRowFirstColumn="0" w:firstRowLastColumn="0" w:lastRowFirstColumn="0" w:lastRowLastColumn="0"/>
          <w:trHeight w:val="300"/>
        </w:trPr>
        <w:tc>
          <w:tcPr>
            <w:tcW w:w="1843" w:type="dxa"/>
            <w:noWrap/>
            <w:hideMark/>
          </w:tcPr>
          <w:p w14:paraId="0223EB23" w14:textId="77777777" w:rsidR="00122C1B" w:rsidRPr="00BC38EB" w:rsidRDefault="00122C1B" w:rsidP="00204937">
            <w:pPr>
              <w:spacing w:after="40"/>
              <w:rPr>
                <w:rFonts w:ascii="Segoe UI" w:eastAsia="Times New Roman" w:hAnsi="Segoe UI" w:cs="Segoe UI"/>
                <w:sz w:val="18"/>
                <w:szCs w:val="18"/>
              </w:rPr>
            </w:pPr>
            <w:r w:rsidRPr="00BC38EB">
              <w:rPr>
                <w:rFonts w:ascii="Segoe UI" w:eastAsia="Times New Roman" w:hAnsi="Segoe UI" w:cs="Segoe UI"/>
                <w:sz w:val="18"/>
                <w:szCs w:val="18"/>
              </w:rPr>
              <w:t>Factor</w:t>
            </w:r>
          </w:p>
        </w:tc>
        <w:tc>
          <w:tcPr>
            <w:tcW w:w="4961" w:type="dxa"/>
          </w:tcPr>
          <w:p w14:paraId="3700607A" w14:textId="77777777" w:rsidR="00122C1B" w:rsidRPr="00117C96" w:rsidRDefault="00122C1B" w:rsidP="00204937">
            <w:pPr>
              <w:spacing w:after="40"/>
              <w:rPr>
                <w:rFonts w:ascii="Segoe UI" w:eastAsia="Times New Roman" w:hAnsi="Segoe UI" w:cs="Segoe UI"/>
                <w:sz w:val="18"/>
                <w:szCs w:val="18"/>
              </w:rPr>
            </w:pPr>
            <w:r>
              <w:rPr>
                <w:rFonts w:ascii="Segoe UI" w:eastAsia="Times New Roman" w:hAnsi="Segoe UI" w:cs="Segoe UI"/>
                <w:sz w:val="18"/>
                <w:szCs w:val="18"/>
              </w:rPr>
              <w:t>Description</w:t>
            </w:r>
          </w:p>
        </w:tc>
        <w:tc>
          <w:tcPr>
            <w:tcW w:w="2977" w:type="dxa"/>
          </w:tcPr>
          <w:p w14:paraId="2481FC18" w14:textId="77777777" w:rsidR="00122C1B" w:rsidRDefault="00122C1B" w:rsidP="00204937">
            <w:pPr>
              <w:spacing w:after="40"/>
              <w:rPr>
                <w:rFonts w:ascii="Segoe UI" w:eastAsia="Times New Roman" w:hAnsi="Segoe UI" w:cs="Segoe UI"/>
                <w:sz w:val="18"/>
                <w:szCs w:val="18"/>
              </w:rPr>
            </w:pPr>
            <w:r>
              <w:rPr>
                <w:rFonts w:ascii="Segoe UI" w:eastAsia="Times New Roman" w:hAnsi="Segoe UI" w:cs="Segoe UI"/>
                <w:sz w:val="18"/>
                <w:szCs w:val="18"/>
              </w:rPr>
              <w:t>Impact</w:t>
            </w:r>
          </w:p>
        </w:tc>
      </w:tr>
      <w:tr w:rsidR="00122C1B" w:rsidRPr="00117C96" w14:paraId="1B4961FB" w14:textId="77777777" w:rsidTr="009B381C">
        <w:trPr>
          <w:trHeight w:val="300"/>
        </w:trPr>
        <w:tc>
          <w:tcPr>
            <w:tcW w:w="1843" w:type="dxa"/>
            <w:noWrap/>
          </w:tcPr>
          <w:p w14:paraId="04427B39" w14:textId="77777777" w:rsidR="00122C1B" w:rsidRPr="00E50108" w:rsidRDefault="00122C1B" w:rsidP="002F3CC9">
            <w:pPr>
              <w:pStyle w:val="TableParagraph"/>
              <w:rPr>
                <w:b/>
              </w:rPr>
            </w:pPr>
            <w:r>
              <w:rPr>
                <w:b/>
              </w:rPr>
              <w:t>Insufficient</w:t>
            </w:r>
            <w:r w:rsidRPr="00E50108">
              <w:rPr>
                <w:b/>
              </w:rPr>
              <w:t xml:space="preserve"> driving competence</w:t>
            </w:r>
            <w:r>
              <w:rPr>
                <w:b/>
              </w:rPr>
              <w:t xml:space="preserve"> and experience</w:t>
            </w:r>
          </w:p>
        </w:tc>
        <w:tc>
          <w:tcPr>
            <w:tcW w:w="4961" w:type="dxa"/>
          </w:tcPr>
          <w:p w14:paraId="057DEA6A" w14:textId="77777777" w:rsidR="00122C1B" w:rsidRDefault="00122C1B" w:rsidP="002F3CC9">
            <w:pPr>
              <w:pStyle w:val="TableParagraph"/>
            </w:pPr>
            <w:r>
              <w:t>While the term ‘young drivers’ indicates age is a contributing factor, inexperience plays a more significant role, with novices of older ages also facing increased risk when first transitioning from a learner to independent licensed driver.</w:t>
            </w:r>
            <w:r>
              <w:rPr>
                <w:rStyle w:val="EndnoteReference"/>
              </w:rPr>
              <w:endnoteReference w:id="109"/>
            </w:r>
          </w:p>
          <w:p w14:paraId="4A969A88" w14:textId="1E57B2F0" w:rsidR="00122C1B" w:rsidRDefault="00122C1B" w:rsidP="002F3CC9">
            <w:pPr>
              <w:pStyle w:val="TableParagraph"/>
            </w:pPr>
            <w:r>
              <w:t xml:space="preserve">A lack of driving competence and </w:t>
            </w:r>
            <w:r w:rsidRPr="00117C96">
              <w:t xml:space="preserve">experience is the most significant contributing factor </w:t>
            </w:r>
            <w:r>
              <w:t>in</w:t>
            </w:r>
            <w:r w:rsidRPr="00117C96">
              <w:t xml:space="preserve"> crashes </w:t>
            </w:r>
            <w:r>
              <w:t xml:space="preserve">involving </w:t>
            </w:r>
            <w:r w:rsidRPr="00117C96">
              <w:t>young driver</w:t>
            </w:r>
            <w:r>
              <w:t>s</w:t>
            </w:r>
            <w:r w:rsidRPr="00117C96">
              <w:t xml:space="preserve">. </w:t>
            </w:r>
            <w:r>
              <w:t>Such c</w:t>
            </w:r>
            <w:r w:rsidRPr="00117C96">
              <w:t xml:space="preserve">rashes are most likely to occur in the first six months of </w:t>
            </w:r>
            <w:r>
              <w:t xml:space="preserve">solo </w:t>
            </w:r>
            <w:r w:rsidRPr="00117C96">
              <w:t>driving</w:t>
            </w:r>
            <w:r>
              <w:t>.</w:t>
            </w:r>
            <w:r w:rsidRPr="00117C96">
              <w:t xml:space="preserve"> Crash risk in the first year of driving is several times greater than in subsequent years</w:t>
            </w:r>
            <w:r>
              <w:t xml:space="preserve"> (see </w:t>
            </w:r>
            <w:r>
              <w:fldChar w:fldCharType="begin"/>
            </w:r>
            <w:r>
              <w:instrText xml:space="preserve"> REF _Ref500758827 \h </w:instrText>
            </w:r>
            <w:r>
              <w:fldChar w:fldCharType="separate"/>
            </w:r>
            <w:r w:rsidR="00EB4B02" w:rsidRPr="00117C96">
              <w:t xml:space="preserve">Figure </w:t>
            </w:r>
            <w:r w:rsidR="00EB4B02">
              <w:rPr>
                <w:noProof/>
              </w:rPr>
              <w:t>3</w:t>
            </w:r>
            <w:r>
              <w:fldChar w:fldCharType="end"/>
            </w:r>
            <w:r>
              <w:t xml:space="preserve"> on page </w:t>
            </w:r>
            <w:r>
              <w:fldChar w:fldCharType="begin"/>
            </w:r>
            <w:r>
              <w:instrText xml:space="preserve"> PAGEREF _Ref507689152 \h </w:instrText>
            </w:r>
            <w:r>
              <w:fldChar w:fldCharType="separate"/>
            </w:r>
            <w:r w:rsidR="00EB4B02">
              <w:rPr>
                <w:noProof/>
              </w:rPr>
              <w:t>50</w:t>
            </w:r>
            <w:r>
              <w:fldChar w:fldCharType="end"/>
            </w:r>
            <w:r>
              <w:t>)</w:t>
            </w:r>
            <w:r w:rsidRPr="00117C96">
              <w:t>.</w:t>
            </w:r>
          </w:p>
          <w:p w14:paraId="0EB32BD3" w14:textId="77777777" w:rsidR="00122C1B" w:rsidRDefault="00122C1B" w:rsidP="002F3CC9">
            <w:pPr>
              <w:pStyle w:val="TableParagraph"/>
            </w:pPr>
            <w:r w:rsidRPr="00117C96">
              <w:t>N</w:t>
            </w:r>
            <w:r>
              <w:t>ovice</w:t>
            </w:r>
            <w:r w:rsidRPr="00117C96">
              <w:t xml:space="preserve"> drivers lack several critical driving skills, including the ability to observe and make sense of the road and traffic environment, to anticipate emerging hazards and recogni</w:t>
            </w:r>
            <w:r>
              <w:t>s</w:t>
            </w:r>
            <w:r w:rsidRPr="00117C96">
              <w:t xml:space="preserve">e danger, and to make accurate assessments and decisions quickly to avoid hazards. New drivers often find it difficult to cope with the high level of information they need to process and the </w:t>
            </w:r>
            <w:r w:rsidRPr="0061524B">
              <w:t>complexity</w:t>
            </w:r>
            <w:r w:rsidRPr="00117C96">
              <w:t xml:space="preserve"> of the driving task. It takes lots of experience to adequately judge, anticipate, and compensate for hazardous conditions and the behaviour of other road users</w:t>
            </w:r>
            <w:r>
              <w:t>.</w:t>
            </w:r>
          </w:p>
          <w:p w14:paraId="0AA4FE05" w14:textId="77777777" w:rsidR="00122C1B" w:rsidRPr="00117C96" w:rsidRDefault="00122C1B" w:rsidP="002F3CC9">
            <w:pPr>
              <w:pStyle w:val="TableParagraph"/>
            </w:pPr>
            <w:r>
              <w:t>Research indicates that, when learning how to drive, what matters i</w:t>
            </w:r>
            <w:r w:rsidRPr="000049EA">
              <w:t xml:space="preserve">s the extent to which </w:t>
            </w:r>
            <w:r>
              <w:t>learners</w:t>
            </w:r>
            <w:r w:rsidRPr="000049EA">
              <w:t xml:space="preserve"> practi</w:t>
            </w:r>
            <w:r>
              <w:t>s</w:t>
            </w:r>
            <w:r w:rsidRPr="000049EA">
              <w:t>e under multiple diverse road conditions</w:t>
            </w:r>
            <w:r>
              <w:t>.</w:t>
            </w:r>
            <w:r>
              <w:rPr>
                <w:rStyle w:val="EndnoteReference"/>
              </w:rPr>
              <w:endnoteReference w:id="110"/>
            </w:r>
            <w:r>
              <w:t xml:space="preserve"> T</w:t>
            </w:r>
            <w:r w:rsidRPr="000049EA">
              <w:t xml:space="preserve">he learner stage </w:t>
            </w:r>
            <w:r>
              <w:t xml:space="preserve">should be viewed </w:t>
            </w:r>
            <w:r w:rsidRPr="000049EA">
              <w:t xml:space="preserve">as an opportunity to </w:t>
            </w:r>
            <w:r>
              <w:t>develop the mental schema required for driving solo</w:t>
            </w:r>
            <w:r w:rsidRPr="000049EA">
              <w:t xml:space="preserve"> that can </w:t>
            </w:r>
            <w:r>
              <w:t xml:space="preserve">be </w:t>
            </w:r>
            <w:r w:rsidRPr="000049EA">
              <w:t>draw</w:t>
            </w:r>
            <w:r>
              <w:t>n</w:t>
            </w:r>
            <w:r w:rsidRPr="000049EA">
              <w:t xml:space="preserve"> </w:t>
            </w:r>
            <w:r>
              <w:t>up</w:t>
            </w:r>
            <w:r w:rsidRPr="000049EA">
              <w:t xml:space="preserve">on when driving </w:t>
            </w:r>
            <w:r>
              <w:t>solo</w:t>
            </w:r>
            <w:r w:rsidRPr="00117C96">
              <w:t>.</w:t>
            </w:r>
            <w:r>
              <w:rPr>
                <w:rStyle w:val="EndnoteReference"/>
              </w:rPr>
              <w:endnoteReference w:id="111"/>
            </w:r>
            <w:r>
              <w:t xml:space="preserve"> </w:t>
            </w:r>
          </w:p>
        </w:tc>
        <w:tc>
          <w:tcPr>
            <w:tcW w:w="2977" w:type="dxa"/>
          </w:tcPr>
          <w:p w14:paraId="76B1BA6A" w14:textId="77777777" w:rsidR="00122C1B" w:rsidRDefault="00122C1B" w:rsidP="002F3CC9">
            <w:pPr>
              <w:pStyle w:val="TableParagraph"/>
            </w:pPr>
            <w:r>
              <w:t>Available evidence shows that learners with 120 hours supervised practice have a 35% lower crash risk in the first two years of licensed driving than learners with around 40 hours practice.</w:t>
            </w:r>
            <w:r>
              <w:rPr>
                <w:rStyle w:val="EndnoteReference"/>
              </w:rPr>
              <w:endnoteReference w:id="112"/>
            </w:r>
            <w:r>
              <w:t xml:space="preserve"> </w:t>
            </w:r>
          </w:p>
        </w:tc>
      </w:tr>
      <w:tr w:rsidR="00122C1B" w:rsidRPr="00117C96" w14:paraId="03A2DBC1"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843" w:type="dxa"/>
            <w:shd w:val="clear" w:color="auto" w:fill="auto"/>
            <w:noWrap/>
          </w:tcPr>
          <w:p w14:paraId="69409C31" w14:textId="77777777" w:rsidR="00122C1B" w:rsidRPr="00E50108" w:rsidRDefault="00122C1B" w:rsidP="00204937">
            <w:pPr>
              <w:pStyle w:val="TableParagraph"/>
              <w:rPr>
                <w:b/>
              </w:rPr>
            </w:pPr>
            <w:r>
              <w:rPr>
                <w:b/>
              </w:rPr>
              <w:t>Adolescent brain development</w:t>
            </w:r>
          </w:p>
        </w:tc>
        <w:tc>
          <w:tcPr>
            <w:tcW w:w="4961" w:type="dxa"/>
            <w:shd w:val="clear" w:color="auto" w:fill="auto"/>
          </w:tcPr>
          <w:p w14:paraId="6EB504FA" w14:textId="77777777" w:rsidR="00122C1B" w:rsidRDefault="00122C1B" w:rsidP="00204937">
            <w:pPr>
              <w:pStyle w:val="TableParagraph"/>
            </w:pPr>
            <w:r w:rsidRPr="00145B96">
              <w:t>A</w:t>
            </w:r>
            <w:r w:rsidRPr="00145B96">
              <w:rPr>
                <w:rFonts w:cs="Segoe UI"/>
              </w:rPr>
              <w:t xml:space="preserve"> key contributing factor to road crashes involving young drivers</w:t>
            </w:r>
            <w:r>
              <w:rPr>
                <w:rFonts w:cs="Segoe UI"/>
              </w:rPr>
              <w:t>,</w:t>
            </w:r>
            <w:r w:rsidRPr="00145B96">
              <w:rPr>
                <w:rFonts w:cs="Segoe UI"/>
              </w:rPr>
              <w:t xml:space="preserve"> </w:t>
            </w:r>
            <w:r>
              <w:rPr>
                <w:rFonts w:cs="Segoe UI"/>
              </w:rPr>
              <w:t>well documented</w:t>
            </w:r>
            <w:r w:rsidRPr="00145B96">
              <w:t xml:space="preserve"> in the research literature</w:t>
            </w:r>
            <w:r>
              <w:t>,</w:t>
            </w:r>
            <w:r w:rsidRPr="00145B96">
              <w:t xml:space="preserve"> relates to the neurobiological development process predisposing young drivers to greater crash risk</w:t>
            </w:r>
            <w:r w:rsidRPr="00145B96">
              <w:rPr>
                <w:rFonts w:cs="Segoe UI"/>
              </w:rPr>
              <w:t>.</w:t>
            </w:r>
            <w:r w:rsidRPr="00145B96">
              <w:t xml:space="preserve"> </w:t>
            </w:r>
          </w:p>
          <w:p w14:paraId="318CCA5B" w14:textId="1648F8EE" w:rsidR="00122C1B" w:rsidRDefault="00122C1B" w:rsidP="00204937">
            <w:pPr>
              <w:pStyle w:val="TableParagraph"/>
            </w:pPr>
            <w:r w:rsidRPr="00145B96">
              <w:t>While developmental changes to the brain occur throughout childhood, significant changes to the frontal cortex take place during the middle adolescent years,</w:t>
            </w:r>
            <w:bookmarkStart w:id="113" w:name="_Ref506997370"/>
            <w:r>
              <w:rPr>
                <w:rStyle w:val="EndnoteReference"/>
              </w:rPr>
              <w:endnoteReference w:id="113"/>
            </w:r>
            <w:bookmarkEnd w:id="113"/>
            <w:r w:rsidRPr="00145B96">
              <w:t xml:space="preserve"> coinciding with the legal minimum age for driving. The frontal cortex is the part of the brain associated with functions</w:t>
            </w:r>
            <w:r>
              <w:t>, such as</w:t>
            </w:r>
            <w:r w:rsidRPr="00145B96">
              <w:t xml:space="preserve"> th</w:t>
            </w:r>
            <w:r>
              <w:t>ose</w:t>
            </w:r>
            <w:r w:rsidRPr="00145B96">
              <w:t xml:space="preserve"> regulat</w:t>
            </w:r>
            <w:r>
              <w:t>ing impulsivity, over</w:t>
            </w:r>
            <w:r w:rsidRPr="00145B96">
              <w:t>rid</w:t>
            </w:r>
            <w:r>
              <w:t>ing</w:t>
            </w:r>
            <w:r w:rsidRPr="00145B96">
              <w:t xml:space="preserve"> emotional arousal and anticipat</w:t>
            </w:r>
            <w:r>
              <w:t>ing</w:t>
            </w:r>
            <w:r w:rsidRPr="00145B96">
              <w:t xml:space="preserve"> consequences – all critically important functions for safe driving and yet only reach</w:t>
            </w:r>
            <w:r>
              <w:t>ing</w:t>
            </w:r>
            <w:r w:rsidRPr="00145B96">
              <w:t xml:space="preserve"> maturity in the early to mid-20s.</w:t>
            </w:r>
            <w:r w:rsidRPr="00151127">
              <w:rPr>
                <w:vertAlign w:val="superscript"/>
              </w:rPr>
              <w:fldChar w:fldCharType="begin"/>
            </w:r>
            <w:r w:rsidRPr="00151127">
              <w:rPr>
                <w:vertAlign w:val="superscript"/>
              </w:rPr>
              <w:instrText xml:space="preserve"> NOTEREF _Ref506997370 \h </w:instrText>
            </w:r>
            <w:r>
              <w:rPr>
                <w:vertAlign w:val="superscript"/>
              </w:rPr>
              <w:instrText xml:space="preserve"> \* MERGEFORMAT </w:instrText>
            </w:r>
            <w:r w:rsidRPr="00151127">
              <w:rPr>
                <w:vertAlign w:val="superscript"/>
              </w:rPr>
            </w:r>
            <w:r w:rsidRPr="00151127">
              <w:rPr>
                <w:vertAlign w:val="superscript"/>
              </w:rPr>
              <w:fldChar w:fldCharType="separate"/>
            </w:r>
            <w:r w:rsidR="00EB4B02">
              <w:rPr>
                <w:vertAlign w:val="superscript"/>
              </w:rPr>
              <w:t>112</w:t>
            </w:r>
            <w:r w:rsidRPr="00151127">
              <w:rPr>
                <w:vertAlign w:val="superscript"/>
              </w:rPr>
              <w:fldChar w:fldCharType="end"/>
            </w:r>
            <w:r w:rsidRPr="00145B96">
              <w:t xml:space="preserve"> </w:t>
            </w:r>
          </w:p>
          <w:p w14:paraId="013BCF51" w14:textId="77777777" w:rsidR="00122C1B" w:rsidRDefault="00122C1B" w:rsidP="00A978DC">
            <w:pPr>
              <w:pStyle w:val="TableParagraph"/>
            </w:pPr>
            <w:r>
              <w:t>Neurological evidence suggests that anatomical and physiological characteristics of regions of the brain governing impulse control, prioritization, and strategy (the dorsal lateral prefrontal cortex) do not develop fully until the age of about 25 years.</w:t>
            </w:r>
            <w:r>
              <w:rPr>
                <w:rStyle w:val="EndnoteReference"/>
              </w:rPr>
              <w:endnoteReference w:id="114"/>
            </w:r>
            <w:r>
              <w:t xml:space="preserve"> </w:t>
            </w:r>
          </w:p>
          <w:p w14:paraId="6E8D0A20" w14:textId="77777777" w:rsidR="00122C1B" w:rsidRDefault="00122C1B" w:rsidP="00A978DC">
            <w:pPr>
              <w:pStyle w:val="TableParagraph"/>
            </w:pPr>
            <w:r>
              <w:lastRenderedPageBreak/>
              <w:t>This area of the brain relates to the inhibiting of impulses, poor judgement, the ability to weigh the consequences of decisions, and elevated emotionality; thus, substantial time is required before mature judgement clearly impacts driving safety.</w:t>
            </w:r>
            <w:r>
              <w:rPr>
                <w:rStyle w:val="EndnoteReference"/>
              </w:rPr>
              <w:endnoteReference w:id="115"/>
            </w:r>
            <w:r>
              <w:t xml:space="preserve"> Moreover, overconfidence is a potential factor in crash involvement for young drivers, as they tend to relatively underestimate the risk of crash involvement and overestimate their own driving skills.</w:t>
            </w:r>
            <w:r>
              <w:rPr>
                <w:rStyle w:val="EndnoteReference"/>
              </w:rPr>
              <w:endnoteReference w:id="116"/>
            </w:r>
          </w:p>
          <w:p w14:paraId="33CA5434" w14:textId="77777777" w:rsidR="00122C1B" w:rsidRDefault="00122C1B" w:rsidP="00204937">
            <w:pPr>
              <w:pStyle w:val="TableParagraph"/>
            </w:pPr>
            <w:r w:rsidRPr="00145B96">
              <w:t xml:space="preserve">Changes that delay the release of melatonin and increase sleep needs also result in a high risk of fatigue – </w:t>
            </w:r>
            <w:r>
              <w:t xml:space="preserve">widely acknowledged as </w:t>
            </w:r>
            <w:r w:rsidRPr="00145B96">
              <w:t>another significant contributor to crash risk.</w:t>
            </w:r>
            <w:r>
              <w:rPr>
                <w:rStyle w:val="EndnoteReference"/>
              </w:rPr>
              <w:endnoteReference w:id="117"/>
            </w:r>
            <w:r w:rsidRPr="00145B96">
              <w:t xml:space="preserve"> These factors contribute to young novice drivers being more prone to distractions (e.g. from passengers or mobile phones) and more disposed to experience fatigue morning and afternoon, </w:t>
            </w:r>
            <w:r>
              <w:t xml:space="preserve">and </w:t>
            </w:r>
            <w:r w:rsidRPr="00145B96">
              <w:t>not only at night.</w:t>
            </w:r>
            <w:r>
              <w:rPr>
                <w:rStyle w:val="EndnoteReference"/>
              </w:rPr>
              <w:endnoteReference w:id="118"/>
            </w:r>
          </w:p>
          <w:p w14:paraId="740D2787" w14:textId="77777777" w:rsidR="00122C1B" w:rsidRDefault="00122C1B" w:rsidP="00204937">
            <w:pPr>
              <w:pStyle w:val="TableParagraph"/>
            </w:pPr>
            <w:r>
              <w:t>Young drivers are thought to lack the perceptual and cognitive skills necessary to safely interact with the driving environment, and find it difficult to translate these skills into safe driving, mainly due to under-developed perceptual and cognitive skills necessary to safely interact with the driving environment.</w:t>
            </w:r>
            <w:r>
              <w:rPr>
                <w:rStyle w:val="EndnoteReference"/>
              </w:rPr>
              <w:endnoteReference w:id="119"/>
            </w:r>
            <w:r>
              <w:t xml:space="preserve"> Translation of skills into safe driving requires complex strategies, expertise, and concentration, with errors in execution often resulting in serious injuries, even fatal outcomes.</w:t>
            </w:r>
            <w:bookmarkStart w:id="114" w:name="_Ref508110422"/>
            <w:r>
              <w:rPr>
                <w:rStyle w:val="EndnoteReference"/>
              </w:rPr>
              <w:endnoteReference w:id="120"/>
            </w:r>
            <w:bookmarkEnd w:id="114"/>
          </w:p>
          <w:p w14:paraId="37B261AD" w14:textId="11A83634" w:rsidR="00122C1B" w:rsidRDefault="00122C1B" w:rsidP="00204937">
            <w:pPr>
              <w:pStyle w:val="TableParagraph"/>
            </w:pPr>
            <w:r>
              <w:t>Although adolescents are generally able to acquire lower order driving skills, they are not cognitively mature enough to fully execute safe driving skills.</w:t>
            </w:r>
            <w:r w:rsidRPr="00C55BD3">
              <w:rPr>
                <w:vertAlign w:val="superscript"/>
              </w:rPr>
              <w:fldChar w:fldCharType="begin"/>
            </w:r>
            <w:r w:rsidRPr="00C55BD3">
              <w:rPr>
                <w:vertAlign w:val="superscript"/>
              </w:rPr>
              <w:instrText xml:space="preserve"> NOTEREF _Ref508110422 \h </w:instrText>
            </w:r>
            <w:r>
              <w:rPr>
                <w:vertAlign w:val="superscript"/>
              </w:rPr>
              <w:instrText xml:space="preserve"> \* MERGEFORMAT </w:instrText>
            </w:r>
            <w:r w:rsidRPr="00C55BD3">
              <w:rPr>
                <w:vertAlign w:val="superscript"/>
              </w:rPr>
            </w:r>
            <w:r w:rsidRPr="00C55BD3">
              <w:rPr>
                <w:vertAlign w:val="superscript"/>
              </w:rPr>
              <w:fldChar w:fldCharType="separate"/>
            </w:r>
            <w:r w:rsidR="00EB4B02">
              <w:rPr>
                <w:vertAlign w:val="superscript"/>
              </w:rPr>
              <w:t>119</w:t>
            </w:r>
            <w:r w:rsidRPr="00C55BD3">
              <w:rPr>
                <w:vertAlign w:val="superscript"/>
              </w:rPr>
              <w:fldChar w:fldCharType="end"/>
            </w:r>
          </w:p>
        </w:tc>
        <w:tc>
          <w:tcPr>
            <w:tcW w:w="2977" w:type="dxa"/>
            <w:shd w:val="clear" w:color="auto" w:fill="auto"/>
          </w:tcPr>
          <w:p w14:paraId="5159F899" w14:textId="0BA9D321" w:rsidR="00122C1B" w:rsidRPr="00AC3B36" w:rsidRDefault="00122C1B" w:rsidP="00AC3B36">
            <w:pPr>
              <w:pStyle w:val="TableParagraph"/>
            </w:pPr>
            <w:r w:rsidRPr="00AC3B36">
              <w:lastRenderedPageBreak/>
              <w:t>Young people (under 25) are involved in proportionally more car crashes than any other age group</w:t>
            </w:r>
            <w:r>
              <w:t xml:space="preserve"> (see </w:t>
            </w:r>
            <w:r>
              <w:fldChar w:fldCharType="begin"/>
            </w:r>
            <w:r>
              <w:instrText xml:space="preserve"> REF _Ref500758827 \h </w:instrText>
            </w:r>
            <w:r w:rsidR="00C26A40">
              <w:instrText xml:space="preserve"> \* MERGEFORMAT </w:instrText>
            </w:r>
            <w:r>
              <w:fldChar w:fldCharType="separate"/>
            </w:r>
            <w:r w:rsidR="00EB4B02" w:rsidRPr="00117C96">
              <w:t xml:space="preserve">Figure </w:t>
            </w:r>
            <w:r w:rsidR="00EB4B02">
              <w:rPr>
                <w:noProof/>
              </w:rPr>
              <w:t>3</w:t>
            </w:r>
            <w:r>
              <w:fldChar w:fldCharType="end"/>
            </w:r>
            <w:r>
              <w:t xml:space="preserve"> on page </w:t>
            </w:r>
            <w:r>
              <w:fldChar w:fldCharType="begin"/>
            </w:r>
            <w:r>
              <w:instrText xml:space="preserve"> PAGEREF _Ref507689152 \h </w:instrText>
            </w:r>
            <w:r>
              <w:fldChar w:fldCharType="separate"/>
            </w:r>
            <w:r w:rsidR="00EB4B02">
              <w:rPr>
                <w:noProof/>
              </w:rPr>
              <w:t>50</w:t>
            </w:r>
            <w:r>
              <w:fldChar w:fldCharType="end"/>
            </w:r>
            <w:r>
              <w:t>)</w:t>
            </w:r>
            <w:r w:rsidRPr="00AC3B36">
              <w:t>.</w:t>
            </w:r>
          </w:p>
        </w:tc>
      </w:tr>
      <w:tr w:rsidR="00122C1B" w:rsidRPr="00117C96" w14:paraId="3E16D2B9" w14:textId="77777777" w:rsidTr="009B381C">
        <w:trPr>
          <w:trHeight w:val="300"/>
        </w:trPr>
        <w:tc>
          <w:tcPr>
            <w:tcW w:w="1843" w:type="dxa"/>
            <w:noWrap/>
          </w:tcPr>
          <w:p w14:paraId="19D52A3F" w14:textId="77777777" w:rsidR="00122C1B" w:rsidRDefault="00122C1B" w:rsidP="002D121B">
            <w:pPr>
              <w:pStyle w:val="TableParagraph"/>
              <w:rPr>
                <w:b/>
              </w:rPr>
            </w:pPr>
            <w:r>
              <w:rPr>
                <w:b/>
              </w:rPr>
              <w:t>Adolescent s</w:t>
            </w:r>
            <w:r w:rsidRPr="003D7577">
              <w:rPr>
                <w:b/>
              </w:rPr>
              <w:t>ocial development</w:t>
            </w:r>
          </w:p>
        </w:tc>
        <w:tc>
          <w:tcPr>
            <w:tcW w:w="4961" w:type="dxa"/>
          </w:tcPr>
          <w:p w14:paraId="21C27008" w14:textId="77777777" w:rsidR="00122C1B" w:rsidRDefault="00122C1B" w:rsidP="00A978DC">
            <w:pPr>
              <w:pStyle w:val="TableParagraph"/>
            </w:pPr>
            <w:r>
              <w:t xml:space="preserve">There is emerging evidence to suggest a link between age-related behaviour and continued maturation, and thus between behavioural immaturity and crash risk. </w:t>
            </w:r>
          </w:p>
          <w:p w14:paraId="3B509EC6" w14:textId="77777777" w:rsidR="00122C1B" w:rsidRDefault="00122C1B" w:rsidP="00D73A88">
            <w:pPr>
              <w:pStyle w:val="TableParagraph"/>
            </w:pPr>
            <w:r w:rsidRPr="006956A1">
              <w:t>Social interactions with peers</w:t>
            </w:r>
            <w:r>
              <w:t>, which are so important to adolescents, influence their behaviours and raise the levels of road safety risks for young drivers and their passengers.</w:t>
            </w:r>
            <w:r w:rsidRPr="00D73A88">
              <w:rPr>
                <w:rStyle w:val="EndnoteReference"/>
                <w:rFonts w:ascii="Comic Sans MS" w:hAnsi="Comic Sans MS" w:cs="Segoe UI"/>
              </w:rPr>
              <w:endnoteReference w:id="121"/>
            </w:r>
            <w:r w:rsidRPr="00D73A88">
              <w:t xml:space="preserve"> </w:t>
            </w:r>
            <w:r w:rsidRPr="001873A0">
              <w:t>Teen</w:t>
            </w:r>
            <w:r>
              <w:t>ager</w:t>
            </w:r>
            <w:r w:rsidRPr="001873A0">
              <w:t xml:space="preserve">s are more </w:t>
            </w:r>
            <w:r>
              <w:t>inclined</w:t>
            </w:r>
            <w:r w:rsidRPr="001873A0">
              <w:t xml:space="preserve"> to thrill-seeking than adults</w:t>
            </w:r>
            <w:r>
              <w:t>. T</w:t>
            </w:r>
            <w:r w:rsidRPr="001873A0">
              <w:t xml:space="preserve">heir </w:t>
            </w:r>
            <w:r>
              <w:t>strong need</w:t>
            </w:r>
            <w:r w:rsidRPr="001873A0">
              <w:t xml:space="preserve"> to </w:t>
            </w:r>
            <w:r>
              <w:t>appear</w:t>
            </w:r>
            <w:r w:rsidRPr="001873A0">
              <w:t xml:space="preserve"> mature</w:t>
            </w:r>
            <w:r>
              <w:t xml:space="preserve"> and become more independent often</w:t>
            </w:r>
            <w:r w:rsidRPr="001873A0">
              <w:t xml:space="preserve"> lead</w:t>
            </w:r>
            <w:r>
              <w:t>s</w:t>
            </w:r>
            <w:r w:rsidRPr="001873A0">
              <w:t xml:space="preserve"> them to take </w:t>
            </w:r>
            <w:r>
              <w:t xml:space="preserve">more </w:t>
            </w:r>
            <w:r w:rsidRPr="001873A0">
              <w:t xml:space="preserve">risks. </w:t>
            </w:r>
          </w:p>
          <w:p w14:paraId="1EE7F0CB" w14:textId="77777777" w:rsidR="00122C1B" w:rsidRPr="00D73A88" w:rsidRDefault="00122C1B" w:rsidP="00D73A88">
            <w:pPr>
              <w:pStyle w:val="TableParagraph"/>
            </w:pPr>
            <w:r>
              <w:t>The</w:t>
            </w:r>
            <w:r w:rsidRPr="001873A0">
              <w:t xml:space="preserve"> </w:t>
            </w:r>
            <w:r>
              <w:t>desire</w:t>
            </w:r>
            <w:r w:rsidRPr="001873A0">
              <w:t xml:space="preserve"> </w:t>
            </w:r>
            <w:r>
              <w:t xml:space="preserve">of adolescents </w:t>
            </w:r>
            <w:r w:rsidRPr="001873A0">
              <w:t xml:space="preserve">for social acceptance </w:t>
            </w:r>
            <w:r>
              <w:t xml:space="preserve">and their </w:t>
            </w:r>
            <w:r w:rsidRPr="001873A0">
              <w:t xml:space="preserve">inexperience in handling </w:t>
            </w:r>
            <w:r>
              <w:t xml:space="preserve">peer group </w:t>
            </w:r>
            <w:r w:rsidRPr="001873A0">
              <w:t xml:space="preserve">pressure </w:t>
            </w:r>
            <w:r>
              <w:t>combine to render</w:t>
            </w:r>
            <w:r w:rsidRPr="001873A0">
              <w:t xml:space="preserve"> teen</w:t>
            </w:r>
            <w:r>
              <w:t>ager</w:t>
            </w:r>
            <w:r w:rsidRPr="001873A0">
              <w:t xml:space="preserve">s </w:t>
            </w:r>
            <w:r>
              <w:t xml:space="preserve">more </w:t>
            </w:r>
            <w:r w:rsidRPr="001873A0">
              <w:t>vulnerable to negative peer influences.</w:t>
            </w:r>
            <w:r>
              <w:t xml:space="preserve"> T</w:t>
            </w:r>
            <w:r w:rsidRPr="001873A0">
              <w:t>een</w:t>
            </w:r>
            <w:r>
              <w:t>ager</w:t>
            </w:r>
            <w:r w:rsidRPr="001873A0">
              <w:t>s</w:t>
            </w:r>
            <w:r>
              <w:t>,</w:t>
            </w:r>
            <w:r w:rsidRPr="001873A0">
              <w:t xml:space="preserve"> </w:t>
            </w:r>
            <w:r>
              <w:t xml:space="preserve">who are popular in their peer group, have been found to be </w:t>
            </w:r>
            <w:r w:rsidRPr="001873A0">
              <w:t>more likely to engage in risky behaviour at younger ages</w:t>
            </w:r>
            <w:r w:rsidRPr="00D73A88">
              <w:t xml:space="preserve">, to increase that behaviour quickly, and </w:t>
            </w:r>
            <w:r>
              <w:t xml:space="preserve">to </w:t>
            </w:r>
            <w:r w:rsidRPr="00D73A88">
              <w:t>maintain it.</w:t>
            </w:r>
            <w:r w:rsidRPr="00D73A88">
              <w:rPr>
                <w:rStyle w:val="EndnoteReference"/>
                <w:rFonts w:ascii="Comic Sans MS" w:hAnsi="Comic Sans MS" w:cs="Segoe UI"/>
              </w:rPr>
              <w:endnoteReference w:id="122"/>
            </w:r>
            <w:r w:rsidRPr="00D73A88">
              <w:t xml:space="preserve"> Their influence on those in their group, who are social followers and eager to improve their social status by associati</w:t>
            </w:r>
            <w:r>
              <w:t>ng</w:t>
            </w:r>
            <w:r w:rsidRPr="00D73A88">
              <w:t xml:space="preserve"> with more popular peers, is particularly strong.</w:t>
            </w:r>
            <w:r w:rsidRPr="00D73A88">
              <w:rPr>
                <w:rStyle w:val="EndnoteReference"/>
                <w:rFonts w:ascii="Comic Sans MS" w:hAnsi="Comic Sans MS" w:cs="Segoe UI"/>
              </w:rPr>
              <w:endnoteReference w:id="123"/>
            </w:r>
          </w:p>
          <w:p w14:paraId="430D4D93" w14:textId="77777777" w:rsidR="00122C1B" w:rsidRDefault="00122C1B" w:rsidP="00D73A88">
            <w:pPr>
              <w:pStyle w:val="TableParagraph"/>
            </w:pPr>
            <w:r>
              <w:t>As a high-risk</w:t>
            </w:r>
            <w:r w:rsidRPr="001873A0">
              <w:t xml:space="preserve"> activity for </w:t>
            </w:r>
            <w:r>
              <w:t>most</w:t>
            </w:r>
            <w:r w:rsidRPr="001873A0">
              <w:t xml:space="preserve"> </w:t>
            </w:r>
            <w:r>
              <w:t>adolescents, d</w:t>
            </w:r>
            <w:r w:rsidRPr="001873A0">
              <w:t>riving</w:t>
            </w:r>
            <w:r>
              <w:t xml:space="preserve"> </w:t>
            </w:r>
            <w:r w:rsidRPr="001873A0">
              <w:t xml:space="preserve">can play an important role in peer interactions. </w:t>
            </w:r>
            <w:r>
              <w:t xml:space="preserve">It enables one </w:t>
            </w:r>
            <w:r w:rsidRPr="001873A0">
              <w:t xml:space="preserve">to drive friends around </w:t>
            </w:r>
            <w:r>
              <w:t xml:space="preserve">thereby allowing them to </w:t>
            </w:r>
            <w:r w:rsidRPr="001873A0">
              <w:t xml:space="preserve">pursue important social goals, for example, by </w:t>
            </w:r>
            <w:r>
              <w:t xml:space="preserve">providing them with opportunities </w:t>
            </w:r>
            <w:r w:rsidRPr="001873A0">
              <w:t xml:space="preserve">to </w:t>
            </w:r>
            <w:r>
              <w:t>show</w:t>
            </w:r>
            <w:r w:rsidRPr="001873A0">
              <w:t xml:space="preserve"> maturity, return favours, </w:t>
            </w:r>
            <w:r>
              <w:t>improve</w:t>
            </w:r>
            <w:r w:rsidRPr="001873A0">
              <w:t xml:space="preserve"> their status, </w:t>
            </w:r>
            <w:r>
              <w:t>strengthen</w:t>
            </w:r>
            <w:r w:rsidRPr="001873A0">
              <w:t xml:space="preserve"> </w:t>
            </w:r>
            <w:r>
              <w:t xml:space="preserve">peer group </w:t>
            </w:r>
            <w:r w:rsidRPr="001873A0">
              <w:t xml:space="preserve">membership, or host </w:t>
            </w:r>
            <w:r>
              <w:t xml:space="preserve">a </w:t>
            </w:r>
            <w:r w:rsidRPr="001873A0">
              <w:t xml:space="preserve">car </w:t>
            </w:r>
            <w:r>
              <w:t>outing as</w:t>
            </w:r>
            <w:r w:rsidRPr="001873A0">
              <w:t xml:space="preserve"> </w:t>
            </w:r>
            <w:r>
              <w:t xml:space="preserve">a </w:t>
            </w:r>
            <w:r w:rsidRPr="001873A0">
              <w:t>social event</w:t>
            </w:r>
            <w:r>
              <w:t>.</w:t>
            </w:r>
          </w:p>
          <w:p w14:paraId="7065D239" w14:textId="77777777" w:rsidR="00122C1B" w:rsidRPr="00D73A88" w:rsidRDefault="00122C1B" w:rsidP="00A978DC">
            <w:pPr>
              <w:pStyle w:val="TableParagraph"/>
            </w:pPr>
            <w:r>
              <w:lastRenderedPageBreak/>
              <w:t>I</w:t>
            </w:r>
            <w:r w:rsidRPr="00C43A87">
              <w:t xml:space="preserve">n terms of </w:t>
            </w:r>
            <w:r>
              <w:t>road</w:t>
            </w:r>
            <w:r w:rsidRPr="00C43A87">
              <w:t xml:space="preserve"> safety</w:t>
            </w:r>
            <w:r>
              <w:t xml:space="preserve">, driving with </w:t>
            </w:r>
            <w:r w:rsidRPr="00C43A87">
              <w:t>peer</w:t>
            </w:r>
            <w:r>
              <w:t xml:space="preserve"> passengers</w:t>
            </w:r>
            <w:r w:rsidRPr="00C43A87">
              <w:t xml:space="preserve"> </w:t>
            </w:r>
            <w:r>
              <w:t xml:space="preserve">requires young drivers to carry out </w:t>
            </w:r>
            <w:r w:rsidRPr="00C43A87">
              <w:t xml:space="preserve">two separate, challenging, and complex tasks: </w:t>
            </w:r>
            <w:r>
              <w:t xml:space="preserve">engaging in </w:t>
            </w:r>
            <w:r w:rsidRPr="00C43A87">
              <w:t xml:space="preserve">interactions </w:t>
            </w:r>
            <w:r>
              <w:t>with</w:t>
            </w:r>
            <w:r w:rsidRPr="00C43A87">
              <w:t xml:space="preserve"> their peers</w:t>
            </w:r>
            <w:r>
              <w:t>,</w:t>
            </w:r>
            <w:r w:rsidRPr="00C43A87">
              <w:t xml:space="preserve"> while also operating the vehicle and </w:t>
            </w:r>
            <w:r>
              <w:t>concentrating on</w:t>
            </w:r>
            <w:r w:rsidRPr="00C43A87">
              <w:t xml:space="preserve"> road and traffic conditions. From a developmental </w:t>
            </w:r>
            <w:r>
              <w:t>angle</w:t>
            </w:r>
            <w:r w:rsidRPr="00C43A87">
              <w:t>, expect</w:t>
            </w:r>
            <w:r>
              <w:t>ing</w:t>
            </w:r>
            <w:r w:rsidRPr="00C43A87">
              <w:t xml:space="preserve"> </w:t>
            </w:r>
            <w:r>
              <w:t>them</w:t>
            </w:r>
            <w:r w:rsidRPr="00C43A87">
              <w:t xml:space="preserve"> to tune out their peer passengers and </w:t>
            </w:r>
            <w:r>
              <w:t>focus fully on</w:t>
            </w:r>
            <w:r w:rsidRPr="00C43A87">
              <w:t xml:space="preserve"> the task of driving</w:t>
            </w:r>
            <w:r>
              <w:t xml:space="preserve"> is simply not </w:t>
            </w:r>
            <w:r w:rsidRPr="00D73A88">
              <w:t>realistic.</w:t>
            </w:r>
            <w:r w:rsidRPr="00D73A88">
              <w:rPr>
                <w:rStyle w:val="EndnoteReference"/>
                <w:rFonts w:ascii="Comic Sans MS" w:hAnsi="Comic Sans MS" w:cs="Segoe UI"/>
              </w:rPr>
              <w:endnoteReference w:id="124"/>
            </w:r>
          </w:p>
          <w:p w14:paraId="0D3EBC09" w14:textId="77777777" w:rsidR="00122C1B" w:rsidRPr="00145B96" w:rsidRDefault="00122C1B" w:rsidP="00A978DC">
            <w:pPr>
              <w:pStyle w:val="TableParagraph"/>
            </w:pPr>
            <w:r>
              <w:t>When in social and peer contexts that activate strong feelings, adolescents are more prone to risk-taking in such situations.</w:t>
            </w:r>
            <w:r>
              <w:rPr>
                <w:rStyle w:val="EndnoteReference"/>
              </w:rPr>
              <w:endnoteReference w:id="125"/>
            </w:r>
            <w:r>
              <w:t xml:space="preserve"> </w:t>
            </w:r>
          </w:p>
        </w:tc>
        <w:tc>
          <w:tcPr>
            <w:tcW w:w="2977" w:type="dxa"/>
          </w:tcPr>
          <w:p w14:paraId="3AC06B54" w14:textId="77777777" w:rsidR="00122C1B" w:rsidRDefault="00122C1B" w:rsidP="00D73A88">
            <w:pPr>
              <w:pStyle w:val="TableParagraph"/>
            </w:pPr>
            <w:r>
              <w:lastRenderedPageBreak/>
              <w:t>One</w:t>
            </w:r>
            <w:r w:rsidRPr="006956A1">
              <w:t xml:space="preserve"> </w:t>
            </w:r>
            <w:r>
              <w:t xml:space="preserve">overseas </w:t>
            </w:r>
            <w:r w:rsidRPr="006956A1">
              <w:t>study</w:t>
            </w:r>
            <w:r w:rsidRPr="00D73A88">
              <w:rPr>
                <w:rStyle w:val="EndnoteReference"/>
                <w:rFonts w:ascii="Comic Sans MS" w:hAnsi="Comic Sans MS" w:cs="Segoe UI"/>
              </w:rPr>
              <w:endnoteReference w:id="126"/>
            </w:r>
            <w:r w:rsidRPr="00D73A88">
              <w:t xml:space="preserve"> f</w:t>
            </w:r>
            <w:r>
              <w:t>ound</w:t>
            </w:r>
            <w:r w:rsidRPr="006956A1">
              <w:t xml:space="preserve"> that teen</w:t>
            </w:r>
            <w:r>
              <w:t>ager</w:t>
            </w:r>
            <w:r w:rsidRPr="006956A1">
              <w:t>s typically initiate dangerous behaviours with peers—approximately 25</w:t>
            </w:r>
            <w:r>
              <w:t>%</w:t>
            </w:r>
            <w:r w:rsidRPr="006956A1">
              <w:t xml:space="preserve"> of all deaths </w:t>
            </w:r>
            <w:r>
              <w:t xml:space="preserve">in the USA </w:t>
            </w:r>
            <w:r w:rsidRPr="006956A1">
              <w:t>are the result of activities that are initiated with peers during adolescence.</w:t>
            </w:r>
          </w:p>
          <w:p w14:paraId="02E248FD" w14:textId="77777777" w:rsidR="00122C1B" w:rsidRPr="00D5594C" w:rsidRDefault="00122C1B" w:rsidP="002D121B">
            <w:pPr>
              <w:pStyle w:val="TableParagraph"/>
            </w:pPr>
          </w:p>
        </w:tc>
      </w:tr>
      <w:tr w:rsidR="00122C1B" w:rsidRPr="00117C96" w14:paraId="68DB87D6"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843" w:type="dxa"/>
            <w:shd w:val="clear" w:color="auto" w:fill="auto"/>
            <w:noWrap/>
          </w:tcPr>
          <w:p w14:paraId="0C9EE19F" w14:textId="77777777" w:rsidR="00122C1B" w:rsidRPr="00E50108" w:rsidRDefault="00122C1B" w:rsidP="002D121B">
            <w:pPr>
              <w:pStyle w:val="TableParagraph"/>
              <w:rPr>
                <w:b/>
              </w:rPr>
            </w:pPr>
            <w:r w:rsidRPr="00E50108">
              <w:rPr>
                <w:b/>
              </w:rPr>
              <w:t>Speeding</w:t>
            </w:r>
          </w:p>
        </w:tc>
        <w:tc>
          <w:tcPr>
            <w:tcW w:w="4961" w:type="dxa"/>
            <w:shd w:val="clear" w:color="auto" w:fill="auto"/>
          </w:tcPr>
          <w:p w14:paraId="46425625" w14:textId="77777777" w:rsidR="00122C1B" w:rsidRDefault="00122C1B" w:rsidP="002D121B">
            <w:pPr>
              <w:pStyle w:val="TableParagraph"/>
            </w:pPr>
            <w:r>
              <w:t>S</w:t>
            </w:r>
            <w:r w:rsidRPr="00AD1DCB">
              <w:t>peeding</w:t>
            </w:r>
            <w:r>
              <w:t xml:space="preserve"> has been found to be th</w:t>
            </w:r>
            <w:r w:rsidRPr="00AD1DCB">
              <w:t>e biggest killer of young drivers</w:t>
            </w:r>
            <w:r>
              <w:t>.</w:t>
            </w:r>
            <w:r w:rsidRPr="00AD1DCB">
              <w:t xml:space="preserve"> </w:t>
            </w:r>
            <w:r>
              <w:t>Speeding</w:t>
            </w:r>
            <w:r w:rsidRPr="003E31EF">
              <w:t xml:space="preserve"> </w:t>
            </w:r>
            <w:r>
              <w:t xml:space="preserve">adversely impacts </w:t>
            </w:r>
            <w:r w:rsidRPr="003E31EF">
              <w:t>an individual's ability to drive safely, by affecting their ability to react to unexpected road events and take evasive action if required.</w:t>
            </w:r>
            <w:r>
              <w:rPr>
                <w:rStyle w:val="EndnoteReference"/>
              </w:rPr>
              <w:endnoteReference w:id="127"/>
            </w:r>
          </w:p>
          <w:p w14:paraId="79EFAAEB" w14:textId="77777777" w:rsidR="00122C1B" w:rsidRDefault="00122C1B" w:rsidP="002D121B">
            <w:pPr>
              <w:pStyle w:val="TableParagraph"/>
            </w:pPr>
            <w:r>
              <w:t>Speeding by young drivers, like several other risky road behaviours, is explained by many factors, among which personality traits, such as sensation seeking and anger, play a significant role. However, unlike some other risky road behaviours studied in previous research, speeding is predicted by sensation seeking more than by anger.</w:t>
            </w:r>
            <w:r>
              <w:rPr>
                <w:rStyle w:val="EndnoteReference"/>
              </w:rPr>
              <w:endnoteReference w:id="128"/>
            </w:r>
          </w:p>
          <w:p w14:paraId="7A7D05A2" w14:textId="77777777" w:rsidR="00122C1B" w:rsidRDefault="00122C1B" w:rsidP="002D121B">
            <w:pPr>
              <w:pStyle w:val="TableParagraph"/>
            </w:pPr>
            <w:r>
              <w:t>S</w:t>
            </w:r>
            <w:r w:rsidRPr="00145B96">
              <w:t>ensation seeking</w:t>
            </w:r>
            <w:r>
              <w:t xml:space="preserve"> is prevalent among some young drivers, </w:t>
            </w:r>
            <w:r w:rsidRPr="00145B96">
              <w:t>particularly young males</w:t>
            </w:r>
            <w:r>
              <w:t>.</w:t>
            </w:r>
            <w:r>
              <w:rPr>
                <w:rStyle w:val="EndnoteReference"/>
              </w:rPr>
              <w:endnoteReference w:id="129"/>
            </w:r>
            <w:r w:rsidRPr="00145B96">
              <w:t xml:space="preserve"> </w:t>
            </w:r>
            <w:r>
              <w:t xml:space="preserve">It is </w:t>
            </w:r>
            <w:r w:rsidRPr="00145B96">
              <w:t>a trait disposition towards varied, novel, complex and intense sensations and experiences, including willingness to take risks for such experiences</w:t>
            </w:r>
            <w:r>
              <w:t>.</w:t>
            </w:r>
            <w:r>
              <w:rPr>
                <w:rStyle w:val="EndnoteReference"/>
              </w:rPr>
              <w:endnoteReference w:id="130"/>
            </w:r>
            <w:r>
              <w:t xml:space="preserve"> This is </w:t>
            </w:r>
            <w:r w:rsidRPr="00145B96">
              <w:t>associated with greater intentional risk taking</w:t>
            </w:r>
            <w:r>
              <w:t xml:space="preserve"> and </w:t>
            </w:r>
            <w:r w:rsidRPr="00145B96">
              <w:t>speeding</w:t>
            </w:r>
            <w:r>
              <w:t xml:space="preserve"> is how sensation seeking is typically manifested.</w:t>
            </w:r>
          </w:p>
          <w:p w14:paraId="294E1941" w14:textId="0625F744" w:rsidR="00122C1B" w:rsidRDefault="00122C1B" w:rsidP="002D121B">
            <w:pPr>
              <w:pStyle w:val="TableParagraph"/>
            </w:pPr>
            <w:r>
              <w:t>It has been argued that, as children enter adolescence, the rates of delinquent activity, such as speeding, increase tenfold and remain high across the following decade.</w:t>
            </w:r>
            <w:r>
              <w:rPr>
                <w:rStyle w:val="EndnoteReference"/>
              </w:rPr>
              <w:t xml:space="preserve"> </w:t>
            </w:r>
            <w:bookmarkStart w:id="115" w:name="_Ref508116194"/>
            <w:r>
              <w:rPr>
                <w:rStyle w:val="EndnoteReference"/>
              </w:rPr>
              <w:endnoteReference w:id="131"/>
            </w:r>
            <w:bookmarkEnd w:id="115"/>
            <w:r>
              <w:t xml:space="preserve"> In addition to seeking thrills, adolescents are trying to find ways to establish that they are no longer children and undertaking risky behaviours is one such means.</w:t>
            </w:r>
            <w:r w:rsidRPr="00552900">
              <w:rPr>
                <w:vertAlign w:val="superscript"/>
              </w:rPr>
              <w:fldChar w:fldCharType="begin"/>
            </w:r>
            <w:r w:rsidRPr="00552900">
              <w:rPr>
                <w:vertAlign w:val="superscript"/>
              </w:rPr>
              <w:instrText xml:space="preserve"> NOTEREF _Ref508116194 \h </w:instrText>
            </w:r>
            <w:r>
              <w:rPr>
                <w:vertAlign w:val="superscript"/>
              </w:rPr>
              <w:instrText xml:space="preserve"> \* MERGEFORMAT </w:instrText>
            </w:r>
            <w:r w:rsidRPr="00552900">
              <w:rPr>
                <w:vertAlign w:val="superscript"/>
              </w:rPr>
            </w:r>
            <w:r w:rsidRPr="00552900">
              <w:rPr>
                <w:vertAlign w:val="superscript"/>
              </w:rPr>
              <w:fldChar w:fldCharType="separate"/>
            </w:r>
            <w:r w:rsidR="00EB4B02">
              <w:rPr>
                <w:vertAlign w:val="superscript"/>
              </w:rPr>
              <w:t>130</w:t>
            </w:r>
            <w:r w:rsidRPr="00552900">
              <w:rPr>
                <w:vertAlign w:val="superscript"/>
              </w:rPr>
              <w:fldChar w:fldCharType="end"/>
            </w:r>
          </w:p>
          <w:p w14:paraId="342BA0C4" w14:textId="77777777" w:rsidR="00122C1B" w:rsidRDefault="00122C1B" w:rsidP="002D121B">
            <w:pPr>
              <w:pStyle w:val="TableParagraph"/>
            </w:pPr>
            <w:r w:rsidRPr="00117C96">
              <w:t xml:space="preserve">Interventions to reduce speed can lead to significant reductions in road traffic injuries. </w:t>
            </w:r>
            <w:r>
              <w:t>Probationary prohibited vehicle restrictions help prevent probationary drivers from driving high powered vehicles and reduce this risky driving behaviour.</w:t>
            </w:r>
          </w:p>
        </w:tc>
        <w:tc>
          <w:tcPr>
            <w:tcW w:w="2977" w:type="dxa"/>
            <w:shd w:val="clear" w:color="auto" w:fill="auto"/>
          </w:tcPr>
          <w:p w14:paraId="08C343FE" w14:textId="77777777" w:rsidR="00122C1B" w:rsidRDefault="00122C1B" w:rsidP="002D121B">
            <w:pPr>
              <w:pStyle w:val="TableParagraph"/>
            </w:pPr>
            <w:r w:rsidRPr="00D5594C">
              <w:t>The drivers that are most likely to commit speedin</w:t>
            </w:r>
            <w:r>
              <w:t>g offences are males aged 17-25</w:t>
            </w:r>
            <w:r w:rsidRPr="00D5594C">
              <w:t xml:space="preserve"> and they account for </w:t>
            </w:r>
            <w:r>
              <w:t>33%</w:t>
            </w:r>
            <w:r w:rsidRPr="00D5594C">
              <w:t xml:space="preserve"> of all sp</w:t>
            </w:r>
            <w:r>
              <w:t>eeding drivers involved in fatal crashes.</w:t>
            </w:r>
            <w:bookmarkStart w:id="116" w:name="_Ref508100537"/>
            <w:r>
              <w:rPr>
                <w:rStyle w:val="EndnoteReference"/>
              </w:rPr>
              <w:endnoteReference w:id="132"/>
            </w:r>
            <w:bookmarkEnd w:id="116"/>
          </w:p>
          <w:p w14:paraId="46141102" w14:textId="7E3DE42B" w:rsidR="00122C1B" w:rsidRDefault="00122C1B" w:rsidP="002D121B">
            <w:pPr>
              <w:pStyle w:val="TableParagraph"/>
            </w:pPr>
            <w:r>
              <w:t>A</w:t>
            </w:r>
            <w:r w:rsidRPr="00AD1DCB">
              <w:t>round 80</w:t>
            </w:r>
            <w:r>
              <w:t>%</w:t>
            </w:r>
            <w:r w:rsidRPr="00AD1DCB">
              <w:t xml:space="preserve"> of those killed </w:t>
            </w:r>
            <w:r>
              <w:t xml:space="preserve">in speeding crashes in Victoria </w:t>
            </w:r>
            <w:r w:rsidRPr="00AD1DCB">
              <w:t>are male</w:t>
            </w:r>
            <w:r>
              <w:t>.</w:t>
            </w:r>
            <w:r w:rsidRPr="00D5594C">
              <w:rPr>
                <w:vertAlign w:val="superscript"/>
              </w:rPr>
              <w:fldChar w:fldCharType="begin"/>
            </w:r>
            <w:r w:rsidRPr="00D5594C">
              <w:rPr>
                <w:vertAlign w:val="superscript"/>
              </w:rPr>
              <w:instrText xml:space="preserve"> NOTEREF _Ref508100537 \h </w:instrText>
            </w:r>
            <w:r>
              <w:rPr>
                <w:vertAlign w:val="superscript"/>
              </w:rPr>
              <w:instrText xml:space="preserve"> \* MERGEFORMAT </w:instrText>
            </w:r>
            <w:r w:rsidRPr="00D5594C">
              <w:rPr>
                <w:vertAlign w:val="superscript"/>
              </w:rPr>
            </w:r>
            <w:r w:rsidRPr="00D5594C">
              <w:rPr>
                <w:vertAlign w:val="superscript"/>
              </w:rPr>
              <w:fldChar w:fldCharType="separate"/>
            </w:r>
            <w:r w:rsidR="00EB4B02">
              <w:rPr>
                <w:vertAlign w:val="superscript"/>
              </w:rPr>
              <w:t>131</w:t>
            </w:r>
            <w:r w:rsidRPr="00D5594C">
              <w:rPr>
                <w:vertAlign w:val="superscript"/>
              </w:rPr>
              <w:fldChar w:fldCharType="end"/>
            </w:r>
          </w:p>
          <w:p w14:paraId="0ADD5A3D" w14:textId="77777777" w:rsidR="00122C1B" w:rsidRDefault="00122C1B" w:rsidP="002D121B">
            <w:pPr>
              <w:pStyle w:val="TableParagraph"/>
            </w:pPr>
            <w:r>
              <w:t>Young drivers who commit traffic offences, especially speeding offences, have an increased risk of subsequent crash involvement of up to 65% compared to young drivers who do not.</w:t>
            </w:r>
            <w:r>
              <w:rPr>
                <w:rStyle w:val="EndnoteReference"/>
              </w:rPr>
              <w:endnoteReference w:id="133"/>
            </w:r>
            <w:r>
              <w:t xml:space="preserve"> </w:t>
            </w:r>
          </w:p>
        </w:tc>
      </w:tr>
      <w:tr w:rsidR="00122C1B" w:rsidRPr="00117C96" w14:paraId="5FBA34B1" w14:textId="77777777" w:rsidTr="009B381C">
        <w:trPr>
          <w:trHeight w:val="300"/>
        </w:trPr>
        <w:tc>
          <w:tcPr>
            <w:tcW w:w="1843" w:type="dxa"/>
            <w:noWrap/>
          </w:tcPr>
          <w:p w14:paraId="48F706FE" w14:textId="77777777" w:rsidR="00122C1B" w:rsidRPr="00E50108" w:rsidRDefault="00122C1B" w:rsidP="002D121B">
            <w:pPr>
              <w:pStyle w:val="TableParagraph"/>
              <w:rPr>
                <w:b/>
              </w:rPr>
            </w:pPr>
            <w:r>
              <w:rPr>
                <w:b/>
              </w:rPr>
              <w:t>Driver fatigue</w:t>
            </w:r>
          </w:p>
        </w:tc>
        <w:tc>
          <w:tcPr>
            <w:tcW w:w="4961" w:type="dxa"/>
          </w:tcPr>
          <w:p w14:paraId="47D4077A" w14:textId="77777777" w:rsidR="00122C1B" w:rsidRDefault="00122C1B" w:rsidP="002D121B">
            <w:pPr>
              <w:pStyle w:val="TableParagraph"/>
            </w:pPr>
            <w:r>
              <w:t xml:space="preserve">Young drivers are one of the groups of drivers considered at greatest risk of being involved in a fatigue-related accident </w:t>
            </w:r>
            <w:r w:rsidRPr="00E22620">
              <w:t>during the night‐time hours between midnight and 7.00am.</w:t>
            </w:r>
            <w:r w:rsidRPr="00E22620">
              <w:rPr>
                <w:rStyle w:val="EndnoteReference"/>
              </w:rPr>
              <w:endnoteReference w:id="134"/>
            </w:r>
            <w:r w:rsidRPr="00E22620">
              <w:t xml:space="preserve">  </w:t>
            </w:r>
          </w:p>
          <w:p w14:paraId="2C2FBEEB" w14:textId="77777777" w:rsidR="00122C1B" w:rsidRDefault="00122C1B" w:rsidP="002D121B">
            <w:pPr>
              <w:pStyle w:val="TableParagraph"/>
            </w:pPr>
            <w:r>
              <w:t>With regard to sleep habits, sleepiness and circadian rhythms of youth and adolescents, there is growing evidence that many young people obtain insufficient sleep – particularly on school nights.</w:t>
            </w:r>
            <w:r>
              <w:rPr>
                <w:rStyle w:val="EndnoteReference"/>
              </w:rPr>
              <w:endnoteReference w:id="135"/>
            </w:r>
            <w:r>
              <w:t xml:space="preserve"> Sleep deprivation adversely affects attention regulation, reaction time, judgment, and emotion regulation. There is considerable evidence that a majority of adolescents do not get enough sleep for optimal functioning during the day.</w:t>
            </w:r>
            <w:bookmarkStart w:id="117" w:name="_Ref508112977"/>
            <w:r>
              <w:rPr>
                <w:rStyle w:val="EndnoteReference"/>
              </w:rPr>
              <w:endnoteReference w:id="136"/>
            </w:r>
            <w:bookmarkEnd w:id="117"/>
          </w:p>
          <w:p w14:paraId="3EBC10EB" w14:textId="77777777" w:rsidR="00122C1B" w:rsidRDefault="00122C1B" w:rsidP="002D121B">
            <w:pPr>
              <w:pStyle w:val="TableParagraph"/>
              <w:spacing w:after="0"/>
            </w:pPr>
            <w:r>
              <w:t>Three areas of normal developmental changes render adolescents more susceptible to sleep problems:</w:t>
            </w:r>
            <w:r>
              <w:rPr>
                <w:rStyle w:val="EndnoteReference"/>
              </w:rPr>
              <w:endnoteReference w:id="137"/>
            </w:r>
            <w:r>
              <w:t xml:space="preserve"> </w:t>
            </w:r>
          </w:p>
          <w:p w14:paraId="4FE1CF27" w14:textId="77777777" w:rsidR="00122C1B" w:rsidRDefault="00122C1B" w:rsidP="005F6F8B">
            <w:pPr>
              <w:pStyle w:val="TableList1"/>
            </w:pPr>
            <w:r>
              <w:lastRenderedPageBreak/>
              <w:t>night-time sleep becoming lighter and more prone to external disruptions;</w:t>
            </w:r>
          </w:p>
          <w:p w14:paraId="24D4E575" w14:textId="77777777" w:rsidR="00122C1B" w:rsidRDefault="00122C1B" w:rsidP="00457BB1">
            <w:pPr>
              <w:pStyle w:val="TableList1"/>
            </w:pPr>
            <w:r>
              <w:t xml:space="preserve">daytime sleepiness increasing during puberty, probably reflecting an increased need for sleep during this period of rapid physical growth, cognitive development, and emotional changes; and </w:t>
            </w:r>
          </w:p>
          <w:p w14:paraId="16738EA0" w14:textId="77777777" w:rsidR="00122C1B" w:rsidRDefault="00122C1B">
            <w:pPr>
              <w:pStyle w:val="TableList1"/>
            </w:pPr>
            <w:r>
              <w:t>biological changes in the circadian system at puberty shift sleep timing preferences in the direction of delayed-sleep phase, that is, a developmental shift in the tendency to prefer later bedtimes and later rising times.</w:t>
            </w:r>
          </w:p>
          <w:p w14:paraId="6A3350C9" w14:textId="77777777" w:rsidR="00122C1B" w:rsidRDefault="00122C1B" w:rsidP="002D121B">
            <w:pPr>
              <w:pStyle w:val="TableParagraph"/>
            </w:pPr>
            <w:r>
              <w:t>Sleep changes influence alcohol tolerance and produces and/or aggravates emotional difficulties, including clinical problems with aggression, anger, and impulse control.</w:t>
            </w:r>
            <w:r>
              <w:rPr>
                <w:rStyle w:val="EndnoteReference"/>
              </w:rPr>
              <w:endnoteReference w:id="138"/>
            </w:r>
            <w:r>
              <w:t xml:space="preserve"> </w:t>
            </w:r>
          </w:p>
          <w:p w14:paraId="4DAF25DB" w14:textId="77777777" w:rsidR="00122C1B" w:rsidRDefault="00122C1B" w:rsidP="002D121B">
            <w:pPr>
              <w:pStyle w:val="TableParagraph"/>
              <w:spacing w:after="0"/>
            </w:pPr>
            <w:r>
              <w:t>As a result, a lack of sleep in adolescents may contribute to driving risks in at least four ways:</w:t>
            </w:r>
            <w:r>
              <w:rPr>
                <w:rStyle w:val="EndnoteReference"/>
              </w:rPr>
              <w:endnoteReference w:id="139"/>
            </w:r>
            <w:r>
              <w:t xml:space="preserve"> </w:t>
            </w:r>
          </w:p>
          <w:p w14:paraId="534C1F8B" w14:textId="77777777" w:rsidR="00122C1B" w:rsidRDefault="00122C1B" w:rsidP="005F6F8B">
            <w:pPr>
              <w:pStyle w:val="TableList1"/>
            </w:pPr>
            <w:r>
              <w:t>lapses in attention or falling asleep while driving leading to crashes;</w:t>
            </w:r>
          </w:p>
          <w:p w14:paraId="2A63014C" w14:textId="77777777" w:rsidR="00122C1B" w:rsidRDefault="00122C1B" w:rsidP="00457BB1">
            <w:pPr>
              <w:pStyle w:val="TableList1"/>
            </w:pPr>
            <w:r>
              <w:t>impaired judgment and decision-making leading to impulsive and risky behaviour;</w:t>
            </w:r>
          </w:p>
          <w:p w14:paraId="3335865E" w14:textId="77777777" w:rsidR="00122C1B" w:rsidRDefault="00122C1B">
            <w:pPr>
              <w:pStyle w:val="TableList1"/>
            </w:pPr>
            <w:r>
              <w:t xml:space="preserve">a negative synergy of alcohol and sleep deprivation; and </w:t>
            </w:r>
          </w:p>
          <w:p w14:paraId="2770A21C" w14:textId="77777777" w:rsidR="00122C1B" w:rsidRDefault="00122C1B">
            <w:pPr>
              <w:pStyle w:val="TableList1"/>
            </w:pPr>
            <w:r>
              <w:t>increased reactive aggression that could increase risk of impulsive or reckless actions in response to anger.</w:t>
            </w:r>
          </w:p>
          <w:p w14:paraId="2707DD79" w14:textId="662CBEB5" w:rsidR="00122C1B" w:rsidRPr="00117C96" w:rsidRDefault="00122C1B" w:rsidP="002D121B">
            <w:pPr>
              <w:pStyle w:val="TableParagraph"/>
            </w:pPr>
            <w:r w:rsidRPr="00E22620">
              <w:t xml:space="preserve">Concerns </w:t>
            </w:r>
            <w:r>
              <w:t>have been</w:t>
            </w:r>
            <w:r w:rsidRPr="00E22620">
              <w:t xml:space="preserve"> raised regarding the vulnerability of adolescents to risks associated with driving while fatigued due to their hazard perception and lifestyle. It has been noted that younger drivers tend to perceive hazardous situations, </w:t>
            </w:r>
            <w:r>
              <w:t>such as</w:t>
            </w:r>
            <w:r w:rsidRPr="00E22620">
              <w:t xml:space="preserve"> </w:t>
            </w:r>
            <w:r w:rsidR="008143FB" w:rsidRPr="00E22620">
              <w:t>late-night</w:t>
            </w:r>
            <w:r w:rsidRPr="00E22620">
              <w:t xml:space="preserve"> driving while sleepy, as less risky than older drivers.</w:t>
            </w:r>
            <w:r w:rsidRPr="00E22620">
              <w:rPr>
                <w:rStyle w:val="EndnoteReference"/>
              </w:rPr>
              <w:endnoteReference w:id="140"/>
            </w:r>
            <w:r>
              <w:t xml:space="preserve"> </w:t>
            </w:r>
            <w:r w:rsidRPr="00E22620">
              <w:t>Due to social and lifestyle factors, young drivers may also engage in more driving in the early morning hours than older adults.</w:t>
            </w:r>
            <w:r w:rsidRPr="00E22620">
              <w:rPr>
                <w:rStyle w:val="EndnoteReference"/>
              </w:rPr>
              <w:endnoteReference w:id="141"/>
            </w:r>
          </w:p>
        </w:tc>
        <w:tc>
          <w:tcPr>
            <w:tcW w:w="2977" w:type="dxa"/>
          </w:tcPr>
          <w:p w14:paraId="73C82181" w14:textId="77777777" w:rsidR="00122C1B" w:rsidRDefault="00122C1B" w:rsidP="002D121B">
            <w:pPr>
              <w:pStyle w:val="TableParagraph"/>
            </w:pPr>
            <w:r>
              <w:lastRenderedPageBreak/>
              <w:t>It is estimated that almost two-thirds of fatigue-related crashes involve young drivers.</w:t>
            </w:r>
            <w:r>
              <w:rPr>
                <w:rStyle w:val="EndnoteReference"/>
              </w:rPr>
              <w:endnoteReference w:id="142"/>
            </w:r>
          </w:p>
        </w:tc>
      </w:tr>
      <w:tr w:rsidR="00122C1B" w:rsidRPr="00117C96" w14:paraId="13B6CECA"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843" w:type="dxa"/>
            <w:shd w:val="clear" w:color="auto" w:fill="auto"/>
            <w:noWrap/>
          </w:tcPr>
          <w:p w14:paraId="05845A9F" w14:textId="77777777" w:rsidR="00122C1B" w:rsidRPr="00E50108" w:rsidRDefault="00122C1B" w:rsidP="002D121B">
            <w:pPr>
              <w:pStyle w:val="TableParagraph"/>
              <w:widowControl w:val="0"/>
              <w:rPr>
                <w:b/>
              </w:rPr>
            </w:pPr>
            <w:r w:rsidRPr="00E50108">
              <w:rPr>
                <w:b/>
              </w:rPr>
              <w:t>Drink</w:t>
            </w:r>
            <w:r>
              <w:rPr>
                <w:b/>
              </w:rPr>
              <w:t>-</w:t>
            </w:r>
            <w:r w:rsidRPr="00E50108">
              <w:rPr>
                <w:b/>
              </w:rPr>
              <w:t>driving</w:t>
            </w:r>
          </w:p>
        </w:tc>
        <w:tc>
          <w:tcPr>
            <w:tcW w:w="4961" w:type="dxa"/>
            <w:shd w:val="clear" w:color="auto" w:fill="auto"/>
          </w:tcPr>
          <w:p w14:paraId="419543F4" w14:textId="77777777" w:rsidR="00122C1B" w:rsidRDefault="00122C1B" w:rsidP="002D121B">
            <w:pPr>
              <w:pStyle w:val="TableParagraph"/>
              <w:widowControl w:val="0"/>
            </w:pPr>
            <w:r w:rsidRPr="00117C96">
              <w:t>Young and novice drivers who drink and drive have a greatly increased risk of a crash compared to more experienced drivers.</w:t>
            </w:r>
            <w:r w:rsidRPr="00117C96">
              <w:rPr>
                <w:rStyle w:val="EndnoteReference"/>
                <w:rFonts w:cs="Segoe UI"/>
              </w:rPr>
              <w:endnoteReference w:id="143"/>
            </w:r>
            <w:r w:rsidRPr="00117C96">
              <w:t xml:space="preserve"> The effects of alcohol impairment are magnified when combined with fatigue.</w:t>
            </w:r>
            <w:r w:rsidRPr="00117C96">
              <w:rPr>
                <w:rStyle w:val="EndnoteReference"/>
                <w:rFonts w:cs="Segoe UI"/>
              </w:rPr>
              <w:endnoteReference w:id="144"/>
            </w:r>
          </w:p>
          <w:p w14:paraId="165CB857" w14:textId="77777777" w:rsidR="00122C1B" w:rsidRPr="00117C96" w:rsidRDefault="00122C1B" w:rsidP="002D121B">
            <w:pPr>
              <w:pStyle w:val="TableParagraph"/>
              <w:widowControl w:val="0"/>
            </w:pPr>
            <w:r>
              <w:t>One study conducted in the USA</w:t>
            </w:r>
            <w:r>
              <w:rPr>
                <w:rStyle w:val="EndnoteReference"/>
              </w:rPr>
              <w:endnoteReference w:id="145"/>
            </w:r>
            <w:r>
              <w:t xml:space="preserve"> found that, while teenagers are less likely to be involved in alcohol-related crashes than in other types of crashes, when they did drink and drive, teens were more likely than adults to experience an alcohol-related crash, and that the presence of peer passengers and speeding was the factor that contributed most to an increased likelihood of an alcohol-related crash resulting in a casualty. Moreover, it found that that the risk of teens crashing in such circumstances is twice as high as that of adults.</w:t>
            </w:r>
            <w:r>
              <w:br/>
            </w:r>
          </w:p>
        </w:tc>
        <w:tc>
          <w:tcPr>
            <w:tcW w:w="2977" w:type="dxa"/>
            <w:shd w:val="clear" w:color="auto" w:fill="auto"/>
          </w:tcPr>
          <w:p w14:paraId="7E18AD21" w14:textId="77777777" w:rsidR="00122C1B" w:rsidRPr="00117C96" w:rsidRDefault="00122C1B" w:rsidP="002D121B">
            <w:pPr>
              <w:pStyle w:val="TableParagraph"/>
              <w:widowControl w:val="0"/>
            </w:pPr>
            <w:r>
              <w:t>Victorian data suggests that about 36% of all fatal alcohol-related crashes involve drivers aged 18-25 years, even though they only represent around 13% of licence holders. Most of these drivers are in the 21-25 years age bracket.</w:t>
            </w:r>
            <w:r>
              <w:rPr>
                <w:rStyle w:val="EndnoteReference"/>
              </w:rPr>
              <w:endnoteReference w:id="146"/>
            </w:r>
          </w:p>
        </w:tc>
      </w:tr>
      <w:tr w:rsidR="00122C1B" w:rsidRPr="00117C96" w14:paraId="00E97EA3" w14:textId="77777777" w:rsidTr="009B381C">
        <w:trPr>
          <w:trHeight w:val="300"/>
        </w:trPr>
        <w:tc>
          <w:tcPr>
            <w:tcW w:w="1843" w:type="dxa"/>
            <w:noWrap/>
          </w:tcPr>
          <w:p w14:paraId="6727E256" w14:textId="77777777" w:rsidR="00122C1B" w:rsidRPr="00E50108" w:rsidRDefault="00122C1B" w:rsidP="002D121B">
            <w:pPr>
              <w:pStyle w:val="TableParagraph"/>
              <w:rPr>
                <w:b/>
              </w:rPr>
            </w:pPr>
            <w:r>
              <w:rPr>
                <w:b/>
              </w:rPr>
              <w:t>Drug-driving</w:t>
            </w:r>
          </w:p>
        </w:tc>
        <w:tc>
          <w:tcPr>
            <w:tcW w:w="4961" w:type="dxa"/>
          </w:tcPr>
          <w:p w14:paraId="0022FDF9" w14:textId="77777777" w:rsidR="00122C1B" w:rsidRDefault="00122C1B" w:rsidP="002D121B">
            <w:pPr>
              <w:pStyle w:val="TableParagraph"/>
            </w:pPr>
            <w:r w:rsidRPr="00B51F8C">
              <w:t>Drug driving is a serious road safety issue.</w:t>
            </w:r>
            <w:r>
              <w:t xml:space="preserve"> Like alcohol, many drugs reduce a driver's ability to have full control of a motor vehicle. Drugs have different and profound effects on a person's mood and behaviour depending on the type of drug involved.</w:t>
            </w:r>
          </w:p>
          <w:p w14:paraId="5975EF2E" w14:textId="77777777" w:rsidR="00122C1B" w:rsidRDefault="00122C1B" w:rsidP="002D121B">
            <w:pPr>
              <w:pStyle w:val="TableParagraph"/>
            </w:pPr>
          </w:p>
        </w:tc>
        <w:tc>
          <w:tcPr>
            <w:tcW w:w="2977" w:type="dxa"/>
          </w:tcPr>
          <w:p w14:paraId="1C659A9F" w14:textId="77777777" w:rsidR="00122C1B" w:rsidRDefault="00122C1B" w:rsidP="002D121B">
            <w:pPr>
              <w:pStyle w:val="TableParagraph"/>
            </w:pPr>
            <w:r>
              <w:t>Based on random roadside drug testing of 25,273 drivers conducted by the police in Victoria in 2005 and 2006, 395 car drivers out of 18,121 (2.2%) were confirmed to have one or more of the target drugs present.</w:t>
            </w:r>
            <w:r>
              <w:rPr>
                <w:rStyle w:val="EndnoteReference"/>
              </w:rPr>
              <w:endnoteReference w:id="147"/>
            </w:r>
            <w:r>
              <w:t xml:space="preserve"> The profile of these offenders shows that car drivers had an average </w:t>
            </w:r>
            <w:r>
              <w:lastRenderedPageBreak/>
              <w:t xml:space="preserve">age of 26 years, </w:t>
            </w:r>
            <w:r w:rsidR="00553BB2">
              <w:t xml:space="preserve">and that </w:t>
            </w:r>
            <w:r>
              <w:t xml:space="preserve">70% males and 87% were first offenders. </w:t>
            </w:r>
          </w:p>
        </w:tc>
      </w:tr>
      <w:tr w:rsidR="00122C1B" w:rsidRPr="00117C96" w14:paraId="41F98C84"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843" w:type="dxa"/>
            <w:shd w:val="clear" w:color="auto" w:fill="auto"/>
            <w:noWrap/>
          </w:tcPr>
          <w:p w14:paraId="18ABE186" w14:textId="77777777" w:rsidR="00122C1B" w:rsidRPr="00E50108" w:rsidRDefault="00122C1B" w:rsidP="002D121B">
            <w:pPr>
              <w:pStyle w:val="TableParagraph"/>
              <w:rPr>
                <w:b/>
              </w:rPr>
            </w:pPr>
            <w:r w:rsidRPr="00E50108">
              <w:rPr>
                <w:b/>
              </w:rPr>
              <w:lastRenderedPageBreak/>
              <w:t>Mobile phone use while driving</w:t>
            </w:r>
          </w:p>
        </w:tc>
        <w:tc>
          <w:tcPr>
            <w:tcW w:w="4961" w:type="dxa"/>
            <w:shd w:val="clear" w:color="auto" w:fill="auto"/>
          </w:tcPr>
          <w:p w14:paraId="14F78EE6" w14:textId="77777777" w:rsidR="00122C1B" w:rsidRDefault="00122C1B" w:rsidP="002D121B">
            <w:pPr>
              <w:pStyle w:val="TableParagraph"/>
            </w:pPr>
            <w:r>
              <w:t>It is well known that the younger generations are the highest users of mobile technology: they tend to be early adopters and aggressive users of new technology.</w:t>
            </w:r>
            <w:r>
              <w:rPr>
                <w:rStyle w:val="EndnoteReference"/>
              </w:rPr>
              <w:endnoteReference w:id="148"/>
            </w:r>
          </w:p>
          <w:p w14:paraId="7831DBE4" w14:textId="77777777" w:rsidR="00122C1B" w:rsidRDefault="00122C1B" w:rsidP="002D121B">
            <w:pPr>
              <w:pStyle w:val="TableParagraph"/>
            </w:pPr>
            <w:r>
              <w:t>Driver age appears to be an important factor moderating drivers’ engagement in distracting activities. Young drivers are more willing to engage in distracting tasks while driving.</w:t>
            </w:r>
            <w:r>
              <w:rPr>
                <w:rStyle w:val="EndnoteReference"/>
              </w:rPr>
              <w:endnoteReference w:id="149"/>
            </w:r>
          </w:p>
          <w:p w14:paraId="2BCDA337" w14:textId="77777777" w:rsidR="00122C1B" w:rsidRDefault="00122C1B" w:rsidP="002D121B">
            <w:pPr>
              <w:pStyle w:val="TableParagraph"/>
            </w:pPr>
            <w:r w:rsidRPr="008F32EB">
              <w:t>Young drivers more often have a mobile phone in the vehicle when driving and have it switched on, compared with other drivers</w:t>
            </w:r>
            <w:r>
              <w:t>.</w:t>
            </w:r>
            <w:r>
              <w:rPr>
                <w:rStyle w:val="EndnoteReference"/>
              </w:rPr>
              <w:endnoteReference w:id="150"/>
            </w:r>
            <w:r>
              <w:t xml:space="preserve"> Mobile phone use, including hands free, increases crash risk by 25% and fatality risk by 4-9 times.</w:t>
            </w:r>
            <w:r>
              <w:rPr>
                <w:rStyle w:val="EndnoteReference"/>
              </w:rPr>
              <w:endnoteReference w:id="151"/>
            </w:r>
          </w:p>
          <w:p w14:paraId="0AFB4E13" w14:textId="77777777" w:rsidR="00122C1B" w:rsidRDefault="00122C1B" w:rsidP="002D121B">
            <w:pPr>
              <w:pStyle w:val="TableParagraph"/>
            </w:pPr>
            <w:r w:rsidRPr="00117C96">
              <w:t>Research shows that distracting devices</w:t>
            </w:r>
            <w:r>
              <w:t>,</w:t>
            </w:r>
            <w:r w:rsidRPr="00117C96">
              <w:t xml:space="preserve"> </w:t>
            </w:r>
            <w:r>
              <w:t>such as</w:t>
            </w:r>
            <w:r w:rsidRPr="00117C96">
              <w:t xml:space="preserve"> mobile phones</w:t>
            </w:r>
            <w:r>
              <w:t>,</w:t>
            </w:r>
            <w:r w:rsidRPr="00117C96">
              <w:t xml:space="preserve"> have a greater impact on the driving of novice drivers, in that they spend less time looking at the road and have more lateral displacement of the vehicle.</w:t>
            </w:r>
            <w:r w:rsidRPr="00117C96">
              <w:rPr>
                <w:rStyle w:val="EndnoteReference"/>
                <w:rFonts w:cs="Segoe UI"/>
              </w:rPr>
              <w:endnoteReference w:id="152"/>
            </w:r>
            <w:r w:rsidRPr="00117C96">
              <w:t xml:space="preserve"> </w:t>
            </w:r>
          </w:p>
          <w:p w14:paraId="65EEE141" w14:textId="77777777" w:rsidR="00122C1B" w:rsidRDefault="00122C1B" w:rsidP="002D121B">
            <w:pPr>
              <w:pStyle w:val="TableParagraph"/>
            </w:pPr>
            <w:r w:rsidRPr="00117C96">
              <w:t xml:space="preserve">The distraction of mobile phone use for inexperienced drivers poses a serious safety risk, given their hazard perception skills are underdeveloped, much of their driving is not yet automated and they </w:t>
            </w:r>
            <w:r>
              <w:t>find it difficult to</w:t>
            </w:r>
            <w:r w:rsidRPr="00117C96">
              <w:t xml:space="preserve"> concurrently juggl</w:t>
            </w:r>
            <w:r>
              <w:t>e</w:t>
            </w:r>
            <w:r w:rsidRPr="00117C96">
              <w:t xml:space="preserve"> the many perceptual, mental and physical driving tasks.</w:t>
            </w:r>
            <w:r>
              <w:t xml:space="preserve"> </w:t>
            </w:r>
          </w:p>
          <w:p w14:paraId="184456DA" w14:textId="77777777" w:rsidR="00122C1B" w:rsidRDefault="00122C1B" w:rsidP="002D121B">
            <w:pPr>
              <w:pStyle w:val="TableParagraph"/>
            </w:pPr>
            <w:r>
              <w:t>Texting while driving was found to result in an even greater decrease in driving performance compared with mobile phone conversations while driving.</w:t>
            </w:r>
            <w:r>
              <w:rPr>
                <w:rStyle w:val="EndnoteReference"/>
              </w:rPr>
              <w:endnoteReference w:id="153"/>
            </w:r>
            <w:r>
              <w:t xml:space="preserve"> A simulation showed the amount of time young texters spend not looking at the road while driving was about 4 times greater than older drivers.</w:t>
            </w:r>
            <w:r>
              <w:rPr>
                <w:rStyle w:val="EndnoteReference"/>
              </w:rPr>
              <w:endnoteReference w:id="154"/>
            </w:r>
          </w:p>
          <w:p w14:paraId="10C4B3AD" w14:textId="77777777" w:rsidR="00122C1B" w:rsidRDefault="00122C1B" w:rsidP="003F6606">
            <w:pPr>
              <w:pStyle w:val="TableParagraph"/>
            </w:pPr>
            <w:r>
              <w:t xml:space="preserve">A recent study on the effects of age on crash risk associated with driver distraction found that distraction by performing competing tasks not related to driving, such as using a mobile phone or </w:t>
            </w:r>
            <w:r w:rsidRPr="00DB1037">
              <w:t>adjusting ra</w:t>
            </w:r>
            <w:r>
              <w:t>d</w:t>
            </w:r>
            <w:r w:rsidRPr="00DB1037">
              <w:t>io and climate control</w:t>
            </w:r>
            <w:r>
              <w:t>, imposes a higher crash risk for teenage and young adult drivers compared with middle aged drivers.</w:t>
            </w:r>
            <w:r>
              <w:rPr>
                <w:rStyle w:val="EndnoteReference"/>
              </w:rPr>
              <w:endnoteReference w:id="155"/>
            </w:r>
            <w:r>
              <w:t xml:space="preserve"> </w:t>
            </w:r>
          </w:p>
          <w:p w14:paraId="652DBC74" w14:textId="77777777" w:rsidR="00122C1B" w:rsidRPr="00117C96" w:rsidRDefault="00122C1B" w:rsidP="002D121B">
            <w:pPr>
              <w:pStyle w:val="TableParagraph"/>
            </w:pPr>
            <w:r>
              <w:t>One study of 8,335 cars systematically observed at traffic lights and 9,520 cars in moving traffic (each at three different locations in Wellington, NZ) showed that younger drivers (&lt;25 years) were almost three times more likely to use their mobile phones while driving compared to older drivers, especially in moving traffic.</w:t>
            </w:r>
            <w:r>
              <w:rPr>
                <w:rStyle w:val="EndnoteReference"/>
              </w:rPr>
              <w:endnoteReference w:id="156"/>
            </w:r>
          </w:p>
        </w:tc>
        <w:tc>
          <w:tcPr>
            <w:tcW w:w="2977" w:type="dxa"/>
            <w:shd w:val="clear" w:color="auto" w:fill="auto"/>
          </w:tcPr>
          <w:p w14:paraId="26A3885B" w14:textId="77777777" w:rsidR="00122C1B" w:rsidRDefault="00122C1B" w:rsidP="002D121B">
            <w:pPr>
              <w:pStyle w:val="TableParagraph"/>
            </w:pPr>
            <w:r w:rsidRPr="008F32EB">
              <w:t xml:space="preserve">A number of young driver fatal crashes in Victoria have occurred while using mobile phones or sending </w:t>
            </w:r>
            <w:r>
              <w:t>text</w:t>
            </w:r>
            <w:r w:rsidRPr="008F32EB">
              <w:t xml:space="preserve"> messages.</w:t>
            </w:r>
            <w:r>
              <w:rPr>
                <w:rStyle w:val="EndnoteReference"/>
              </w:rPr>
              <w:endnoteReference w:id="157"/>
            </w:r>
          </w:p>
          <w:p w14:paraId="6AB2D935" w14:textId="77777777" w:rsidR="00122C1B" w:rsidRDefault="00122C1B" w:rsidP="002D121B">
            <w:pPr>
              <w:pStyle w:val="TableParagraph"/>
            </w:pPr>
            <w:r>
              <w:t>Although the risks of mobile phone use and their potential effect on young driver crash involvement are known, very little research has been undertaken addressing this issue.</w:t>
            </w:r>
            <w:r>
              <w:rPr>
                <w:rStyle w:val="EndnoteReference"/>
              </w:rPr>
              <w:endnoteReference w:id="158"/>
            </w:r>
          </w:p>
          <w:p w14:paraId="6A43B166" w14:textId="77777777" w:rsidR="00122C1B" w:rsidRPr="00117C96" w:rsidRDefault="00122C1B" w:rsidP="002D121B">
            <w:pPr>
              <w:pStyle w:val="TableParagraph"/>
            </w:pPr>
          </w:p>
        </w:tc>
      </w:tr>
      <w:tr w:rsidR="00122C1B" w:rsidRPr="00117C96" w14:paraId="5AB28E45" w14:textId="77777777" w:rsidTr="009B381C">
        <w:trPr>
          <w:trHeight w:val="300"/>
        </w:trPr>
        <w:tc>
          <w:tcPr>
            <w:tcW w:w="1843" w:type="dxa"/>
            <w:noWrap/>
          </w:tcPr>
          <w:p w14:paraId="1D908477" w14:textId="77777777" w:rsidR="00122C1B" w:rsidRPr="00E50108" w:rsidRDefault="00122C1B" w:rsidP="002D121B">
            <w:pPr>
              <w:pStyle w:val="TableParagraph"/>
              <w:rPr>
                <w:b/>
              </w:rPr>
            </w:pPr>
            <w:r w:rsidRPr="00E50108">
              <w:rPr>
                <w:b/>
              </w:rPr>
              <w:t>Poor vehicle safety</w:t>
            </w:r>
          </w:p>
        </w:tc>
        <w:tc>
          <w:tcPr>
            <w:tcW w:w="4961" w:type="dxa"/>
          </w:tcPr>
          <w:p w14:paraId="4C367AE8" w14:textId="77777777" w:rsidR="00122C1B" w:rsidRDefault="00122C1B" w:rsidP="002D121B">
            <w:pPr>
              <w:pStyle w:val="TableParagraph"/>
            </w:pPr>
            <w:r w:rsidRPr="00117C96">
              <w:t>Young drivers are more likely to drive smaller, older cars which offer less crash protection and have fewer important safety features than newer vehicles. This puts them and their passengers at greater risk of serious injury or dying in a crash. New vehicle safety technology has the potential to support safer driving behaviour.</w:t>
            </w:r>
          </w:p>
          <w:p w14:paraId="61160087" w14:textId="77777777" w:rsidR="00122C1B" w:rsidRPr="00117C96" w:rsidRDefault="00122C1B" w:rsidP="002D121B">
            <w:pPr>
              <w:pStyle w:val="TableParagraph"/>
            </w:pPr>
            <w:r>
              <w:t>A 2009 study</w:t>
            </w:r>
            <w:bookmarkStart w:id="119" w:name="_Ref522029623"/>
            <w:r>
              <w:rPr>
                <w:rStyle w:val="EndnoteReference"/>
              </w:rPr>
              <w:endnoteReference w:id="159"/>
            </w:r>
            <w:bookmarkEnd w:id="119"/>
            <w:r>
              <w:t xml:space="preserve"> based on Police-reported crashes from five Australian states and New Zealand established a critical link between young driver road trauma and the safety of their crashed vehicle. The study showed that, compared with experienced drivers (i.e. drivers aged 25 years or above), </w:t>
            </w:r>
            <w:r>
              <w:lastRenderedPageBreak/>
              <w:t xml:space="preserve">novice drivers aged 16-25 years were more likely to drive older vehicles, young females were more likely to drive small cars whereas young males were more likely to drive large cars, and the crashworthiness (i.e., the ability of the vehicle to protect occupants in the event of a crash) of young drivers’ vehicle choice was inferior to vehicles driven by experienced drivers within each vehicle age group. This meant that young drivers were crashing in vehicles of poor crashworthiness regardless of the age of the vehicle. </w:t>
            </w:r>
          </w:p>
        </w:tc>
        <w:tc>
          <w:tcPr>
            <w:tcW w:w="2977" w:type="dxa"/>
          </w:tcPr>
          <w:p w14:paraId="241F2A9D" w14:textId="42166892" w:rsidR="00122C1B" w:rsidRPr="00117C96" w:rsidRDefault="00122C1B" w:rsidP="004A6BD0">
            <w:pPr>
              <w:pStyle w:val="TableParagraph"/>
            </w:pPr>
            <w:r>
              <w:lastRenderedPageBreak/>
              <w:t>In the same 2009 study</w:t>
            </w:r>
            <w:r>
              <w:fldChar w:fldCharType="begin"/>
            </w:r>
            <w:r>
              <w:instrText xml:space="preserve"> NOTEREF _Ref522029623 \f \h  \* MERGEFORMAT </w:instrText>
            </w:r>
            <w:r>
              <w:fldChar w:fldCharType="separate"/>
            </w:r>
            <w:r w:rsidR="00EB4B02" w:rsidRPr="00EB4B02">
              <w:rPr>
                <w:rStyle w:val="EndnoteReference"/>
              </w:rPr>
              <w:t>158</w:t>
            </w:r>
            <w:r>
              <w:fldChar w:fldCharType="end"/>
            </w:r>
            <w:r>
              <w:t xml:space="preserve"> it was estimated that, had the young novice drivers crashed in a vehicle with the best possible crashworthiness from the same vehicle market group and same year of manufacture, it would have resulted in a 20% reduction in fatalities and serious injuries among drivers aged 18-20 years. If the safest alternative vehicle was </w:t>
            </w:r>
            <w:r>
              <w:lastRenderedPageBreak/>
              <w:t>chosen to be of the same age but from any market group, serious trauma reductions of over 60% were estimated.</w:t>
            </w:r>
          </w:p>
        </w:tc>
      </w:tr>
      <w:tr w:rsidR="00122C1B" w:rsidRPr="00117C96" w14:paraId="38EC0D1A"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843" w:type="dxa"/>
            <w:shd w:val="clear" w:color="auto" w:fill="auto"/>
            <w:noWrap/>
          </w:tcPr>
          <w:p w14:paraId="0F08C09D" w14:textId="77777777" w:rsidR="00122C1B" w:rsidRPr="00E50108" w:rsidRDefault="00122C1B" w:rsidP="002D121B">
            <w:pPr>
              <w:pStyle w:val="TableParagraph"/>
              <w:rPr>
                <w:b/>
              </w:rPr>
            </w:pPr>
            <w:r w:rsidRPr="00E50108">
              <w:rPr>
                <w:b/>
              </w:rPr>
              <w:lastRenderedPageBreak/>
              <w:t>Late night driving</w:t>
            </w:r>
          </w:p>
        </w:tc>
        <w:tc>
          <w:tcPr>
            <w:tcW w:w="4961" w:type="dxa"/>
            <w:shd w:val="clear" w:color="auto" w:fill="auto"/>
          </w:tcPr>
          <w:p w14:paraId="5DD20ED1" w14:textId="77777777" w:rsidR="00122C1B" w:rsidRPr="00117C96" w:rsidRDefault="00122C1B" w:rsidP="002D121B">
            <w:pPr>
              <w:pStyle w:val="TableParagraph"/>
            </w:pPr>
            <w:r w:rsidRPr="00117C96">
              <w:t>Novice drivers, who have difficulty recognising danger during the day, when visibility is good, are bound to struggle when vision is compromised by darkness.</w:t>
            </w:r>
            <w:r w:rsidRPr="00117C96">
              <w:rPr>
                <w:rStyle w:val="EndnoteReference"/>
                <w:rFonts w:cs="Segoe UI"/>
              </w:rPr>
              <w:endnoteReference w:id="160"/>
            </w:r>
            <w:r w:rsidRPr="00117C96">
              <w:t xml:space="preserve"> Late night driving substantially increases the risk of an inexperienced driver crashing. Late night driving may also involve speed</w:t>
            </w:r>
            <w:r>
              <w:t>ing</w:t>
            </w:r>
            <w:r w:rsidRPr="00117C96">
              <w:t>, driving when fatigued</w:t>
            </w:r>
            <w:r>
              <w:t xml:space="preserve"> (e.g. after a day of study or participating in sport)</w:t>
            </w:r>
            <w:r w:rsidRPr="00117C96">
              <w:t>, and with peer</w:t>
            </w:r>
            <w:r>
              <w:t xml:space="preserve"> passengers,</w:t>
            </w:r>
            <w:r w:rsidRPr="00117C96">
              <w:t xml:space="preserve"> who can distract the driver and encourage more risk-taking behaviour. </w:t>
            </w:r>
          </w:p>
        </w:tc>
        <w:tc>
          <w:tcPr>
            <w:tcW w:w="2977" w:type="dxa"/>
            <w:shd w:val="clear" w:color="auto" w:fill="auto"/>
          </w:tcPr>
          <w:p w14:paraId="5E8F4236" w14:textId="77777777" w:rsidR="00122C1B" w:rsidRPr="00117C96" w:rsidRDefault="00122C1B" w:rsidP="002D121B">
            <w:pPr>
              <w:pStyle w:val="TableParagraph"/>
            </w:pPr>
            <w:r>
              <w:t xml:space="preserve">Between 2011 and 2013, on average one quarter </w:t>
            </w:r>
            <w:r w:rsidRPr="00E35285">
              <w:t xml:space="preserve">of </w:t>
            </w:r>
            <w:r>
              <w:t xml:space="preserve">fatality </w:t>
            </w:r>
            <w:r w:rsidRPr="00E35285">
              <w:t xml:space="preserve">crashes </w:t>
            </w:r>
            <w:r>
              <w:t xml:space="preserve">and one-fifth of serious injury crashes </w:t>
            </w:r>
            <w:r w:rsidRPr="00E35285">
              <w:t>involving a probationary driver</w:t>
            </w:r>
            <w:r>
              <w:t xml:space="preserve"> occurred between 10pm and 6am.</w:t>
            </w:r>
            <w:r>
              <w:rPr>
                <w:rStyle w:val="EndnoteReference"/>
              </w:rPr>
              <w:endnoteReference w:id="161"/>
            </w:r>
            <w:r>
              <w:t xml:space="preserve"> </w:t>
            </w:r>
          </w:p>
        </w:tc>
      </w:tr>
      <w:tr w:rsidR="00122C1B" w:rsidRPr="00117C96" w14:paraId="595A1C05" w14:textId="77777777" w:rsidTr="009B381C">
        <w:trPr>
          <w:trHeight w:val="300"/>
        </w:trPr>
        <w:tc>
          <w:tcPr>
            <w:tcW w:w="1843" w:type="dxa"/>
            <w:noWrap/>
          </w:tcPr>
          <w:p w14:paraId="52BF5F1C" w14:textId="77777777" w:rsidR="00122C1B" w:rsidRPr="00E50108" w:rsidRDefault="00122C1B" w:rsidP="002D121B">
            <w:pPr>
              <w:pStyle w:val="TableParagraph"/>
              <w:rPr>
                <w:b/>
              </w:rPr>
            </w:pPr>
            <w:r w:rsidRPr="00E50108">
              <w:rPr>
                <w:b/>
              </w:rPr>
              <w:t>Multiple passengers</w:t>
            </w:r>
          </w:p>
        </w:tc>
        <w:tc>
          <w:tcPr>
            <w:tcW w:w="4961" w:type="dxa"/>
          </w:tcPr>
          <w:p w14:paraId="12B085A6" w14:textId="222A018C" w:rsidR="00122C1B" w:rsidRDefault="00122C1B" w:rsidP="002D121B">
            <w:pPr>
              <w:pStyle w:val="TableParagraph"/>
            </w:pPr>
            <w:r>
              <w:t>There is a strong relationship between the presence of passengers and driving behaviour and crash involvement.</w:t>
            </w:r>
            <w:bookmarkStart w:id="120" w:name="_Ref508118690"/>
            <w:r>
              <w:rPr>
                <w:rStyle w:val="EndnoteReference"/>
              </w:rPr>
              <w:endnoteReference w:id="162"/>
            </w:r>
            <w:bookmarkEnd w:id="120"/>
            <w:r>
              <w:t xml:space="preserve"> Numerous studies show that the presence of peer passengers increases the likelihood of a crash. The risk increases incrementally with each additional same-aged passenger to around four times the risk with two or more teenage peers compared with driving alone.</w:t>
            </w:r>
            <w:r w:rsidRPr="00C255AA">
              <w:rPr>
                <w:vertAlign w:val="superscript"/>
              </w:rPr>
              <w:fldChar w:fldCharType="begin"/>
            </w:r>
            <w:r w:rsidRPr="00C255AA">
              <w:rPr>
                <w:vertAlign w:val="superscript"/>
              </w:rPr>
              <w:instrText xml:space="preserve"> NOTEREF _Ref508118690 \h </w:instrText>
            </w:r>
            <w:r>
              <w:rPr>
                <w:vertAlign w:val="superscript"/>
              </w:rPr>
              <w:instrText xml:space="preserve"> \* MERGEFORMAT </w:instrText>
            </w:r>
            <w:r w:rsidRPr="00C255AA">
              <w:rPr>
                <w:vertAlign w:val="superscript"/>
              </w:rPr>
            </w:r>
            <w:r w:rsidRPr="00C255AA">
              <w:rPr>
                <w:vertAlign w:val="superscript"/>
              </w:rPr>
              <w:fldChar w:fldCharType="separate"/>
            </w:r>
            <w:r w:rsidR="00EB4B02">
              <w:rPr>
                <w:vertAlign w:val="superscript"/>
              </w:rPr>
              <w:t>161</w:t>
            </w:r>
            <w:r w:rsidRPr="00C255AA">
              <w:rPr>
                <w:vertAlign w:val="superscript"/>
              </w:rPr>
              <w:fldChar w:fldCharType="end"/>
            </w:r>
          </w:p>
          <w:p w14:paraId="1903E7EE" w14:textId="77777777" w:rsidR="00122C1B" w:rsidRDefault="00122C1B" w:rsidP="002D121B">
            <w:pPr>
              <w:pStyle w:val="TableParagraph"/>
            </w:pPr>
            <w:r w:rsidRPr="00117C96">
              <w:t xml:space="preserve">Multiple passengers significantly increase the risk of an inexperienced driver causing a crash. A group of alcohol affected peer passengers, pose a dangerous distraction for an inexperienced driver – even when the young driver is sober. Distractions increase mental workload which impairs the ability of drivers to detect changes in the environment, increasing the chance of collision. </w:t>
            </w:r>
          </w:p>
          <w:p w14:paraId="45E558E5" w14:textId="0AFE72A0" w:rsidR="00122C1B" w:rsidRPr="005F4FFA" w:rsidRDefault="00122C1B" w:rsidP="002D121B">
            <w:pPr>
              <w:pStyle w:val="TableParagraph"/>
            </w:pPr>
            <w:r w:rsidRPr="00117C96">
              <w:t>The rate of fatal and serious injury crashes is elevated when probationary drivers carry two or more p</w:t>
            </w:r>
            <w:r>
              <w:t>assengers, either day or night.</w:t>
            </w:r>
            <w:r w:rsidRPr="00117C96">
              <w:t xml:space="preserve"> Multiple peer passengers can also directly and indirectly encourage more risk-taking behaviour.</w:t>
            </w:r>
            <w:r w:rsidRPr="009A471E">
              <w:rPr>
                <w:vertAlign w:val="superscript"/>
              </w:rPr>
              <w:fldChar w:fldCharType="begin"/>
            </w:r>
            <w:r w:rsidRPr="009A471E">
              <w:rPr>
                <w:vertAlign w:val="superscript"/>
              </w:rPr>
              <w:instrText xml:space="preserve"> NOTEREF _Ref508118690 \h </w:instrText>
            </w:r>
            <w:r>
              <w:rPr>
                <w:vertAlign w:val="superscript"/>
              </w:rPr>
              <w:instrText xml:space="preserve"> \* MERGEFORMAT </w:instrText>
            </w:r>
            <w:r w:rsidRPr="009A471E">
              <w:rPr>
                <w:vertAlign w:val="superscript"/>
              </w:rPr>
            </w:r>
            <w:r w:rsidRPr="009A471E">
              <w:rPr>
                <w:vertAlign w:val="superscript"/>
              </w:rPr>
              <w:fldChar w:fldCharType="separate"/>
            </w:r>
            <w:r w:rsidR="00EB4B02">
              <w:rPr>
                <w:vertAlign w:val="superscript"/>
              </w:rPr>
              <w:t>161</w:t>
            </w:r>
            <w:r w:rsidRPr="009A471E">
              <w:rPr>
                <w:vertAlign w:val="superscript"/>
              </w:rPr>
              <w:fldChar w:fldCharType="end"/>
            </w:r>
            <w:r>
              <w:rPr>
                <w:vertAlign w:val="superscript"/>
              </w:rPr>
              <w:t xml:space="preserve"> </w:t>
            </w:r>
          </w:p>
        </w:tc>
        <w:tc>
          <w:tcPr>
            <w:tcW w:w="2977" w:type="dxa"/>
          </w:tcPr>
          <w:p w14:paraId="0A903551" w14:textId="77777777" w:rsidR="00122C1B" w:rsidRPr="00117C96" w:rsidRDefault="00122C1B" w:rsidP="002D121B">
            <w:pPr>
              <w:pStyle w:val="TableParagraph"/>
            </w:pPr>
            <w:r w:rsidRPr="00117C96">
              <w:t>26</w:t>
            </w:r>
            <w:r>
              <w:t>%</w:t>
            </w:r>
            <w:r w:rsidRPr="00117C96">
              <w:t xml:space="preserve"> of first year probationary dri</w:t>
            </w:r>
            <w:r>
              <w:t xml:space="preserve">vers involved in fatal crashes </w:t>
            </w:r>
            <w:r w:rsidRPr="00117C96">
              <w:t>carry two or more passengers, yet only 9</w:t>
            </w:r>
            <w:r>
              <w:t>%</w:t>
            </w:r>
            <w:r w:rsidRPr="00117C96">
              <w:t xml:space="preserve"> of their total driving </w:t>
            </w:r>
            <w:r>
              <w:t>have</w:t>
            </w:r>
            <w:r w:rsidRPr="00117C96">
              <w:t xml:space="preserve"> multiple passengers.</w:t>
            </w:r>
            <w:r>
              <w:rPr>
                <w:rStyle w:val="EndnoteReference"/>
              </w:rPr>
              <w:endnoteReference w:id="163"/>
            </w:r>
            <w:r w:rsidRPr="00117C96">
              <w:t xml:space="preserve"> </w:t>
            </w:r>
          </w:p>
        </w:tc>
      </w:tr>
      <w:tr w:rsidR="00122C1B" w:rsidRPr="00117C96" w14:paraId="576E0895" w14:textId="77777777" w:rsidTr="009B381C">
        <w:trPr>
          <w:cnfStyle w:val="000000010000" w:firstRow="0" w:lastRow="0" w:firstColumn="0" w:lastColumn="0" w:oddVBand="0" w:evenVBand="0" w:oddHBand="0" w:evenHBand="1" w:firstRowFirstColumn="0" w:firstRowLastColumn="0" w:lastRowFirstColumn="0" w:lastRowLastColumn="0"/>
          <w:trHeight w:val="300"/>
        </w:trPr>
        <w:tc>
          <w:tcPr>
            <w:tcW w:w="1843" w:type="dxa"/>
            <w:noWrap/>
          </w:tcPr>
          <w:p w14:paraId="70F1E379" w14:textId="77777777" w:rsidR="00122C1B" w:rsidRPr="00E50108" w:rsidRDefault="00122C1B" w:rsidP="002D121B">
            <w:pPr>
              <w:pStyle w:val="TableParagraph"/>
              <w:rPr>
                <w:b/>
              </w:rPr>
            </w:pPr>
            <w:r w:rsidRPr="00E50108">
              <w:rPr>
                <w:b/>
              </w:rPr>
              <w:t>Towing</w:t>
            </w:r>
          </w:p>
        </w:tc>
        <w:tc>
          <w:tcPr>
            <w:tcW w:w="4961" w:type="dxa"/>
          </w:tcPr>
          <w:p w14:paraId="0AB09C3C" w14:textId="77777777" w:rsidR="00122C1B" w:rsidRDefault="00122C1B" w:rsidP="002D121B">
            <w:pPr>
              <w:pStyle w:val="TableParagraph"/>
            </w:pPr>
            <w:r>
              <w:t>Towing increases the complexity of the driving task and presents a source of distraction for inexperienced drivers, who are less able to split their attention between the driving task and additional activities such as towing a trailer or another vehicle.</w:t>
            </w:r>
            <w:r>
              <w:rPr>
                <w:rStyle w:val="EndnoteReference"/>
              </w:rPr>
              <w:endnoteReference w:id="164"/>
            </w:r>
            <w:r>
              <w:t xml:space="preserve"> </w:t>
            </w:r>
          </w:p>
        </w:tc>
        <w:tc>
          <w:tcPr>
            <w:tcW w:w="2977" w:type="dxa"/>
          </w:tcPr>
          <w:p w14:paraId="34666644" w14:textId="77777777" w:rsidR="00122C1B" w:rsidRDefault="00122C1B" w:rsidP="002D121B">
            <w:pPr>
              <w:pStyle w:val="TableParagraph"/>
            </w:pPr>
            <w:r>
              <w:t>Since the amount of driving involving towing is small and given the variable nature and quality of police reported crash data, reliable estimates of the incidence of towing in crashes are not available, although anecdotal evidence and information uncovered during investigations into crashes have found crashes have occurred while young drivers have been towing.</w:t>
            </w:r>
          </w:p>
        </w:tc>
      </w:tr>
    </w:tbl>
    <w:p w14:paraId="334C19B7" w14:textId="77777777" w:rsidR="00122C1B" w:rsidRDefault="00122C1B" w:rsidP="00204937">
      <w:pPr>
        <w:pStyle w:val="Source"/>
      </w:pPr>
      <w:r>
        <w:t>Source: VicRoads 2018</w:t>
      </w:r>
    </w:p>
    <w:p w14:paraId="0983564E" w14:textId="77777777" w:rsidR="00DA1DC2" w:rsidRDefault="00DA1DC2" w:rsidP="00204937">
      <w:pPr>
        <w:pStyle w:val="TextPara"/>
        <w:rPr>
          <w:lang w:eastAsia="en-AU"/>
        </w:rPr>
      </w:pPr>
    </w:p>
    <w:p w14:paraId="0E929321" w14:textId="3318E61C" w:rsidR="00122C1B" w:rsidRDefault="008E5BFE" w:rsidP="00204937">
      <w:pPr>
        <w:pStyle w:val="TextPara"/>
        <w:rPr>
          <w:lang w:eastAsia="en-AU"/>
        </w:rPr>
      </w:pPr>
      <w:r>
        <w:rPr>
          <w:lang w:eastAsia="en-AU"/>
        </w:rPr>
        <w:fldChar w:fldCharType="begin"/>
      </w:r>
      <w:r>
        <w:rPr>
          <w:lang w:eastAsia="en-AU"/>
        </w:rPr>
        <w:instrText xml:space="preserve"> REF _Ref499731720 \h </w:instrText>
      </w:r>
      <w:r>
        <w:rPr>
          <w:lang w:eastAsia="en-AU"/>
        </w:rPr>
      </w:r>
      <w:r>
        <w:rPr>
          <w:lang w:eastAsia="en-AU"/>
        </w:rPr>
        <w:fldChar w:fldCharType="separate"/>
      </w:r>
      <w:r w:rsidR="00EB4B02" w:rsidRPr="00117C96">
        <w:t xml:space="preserve">Table </w:t>
      </w:r>
      <w:r w:rsidR="00EB4B02">
        <w:rPr>
          <w:noProof/>
        </w:rPr>
        <w:t>10</w:t>
      </w:r>
      <w:r>
        <w:rPr>
          <w:lang w:eastAsia="en-AU"/>
        </w:rPr>
        <w:fldChar w:fldCharType="end"/>
      </w:r>
      <w:r>
        <w:rPr>
          <w:lang w:eastAsia="en-AU"/>
        </w:rPr>
        <w:t xml:space="preserve"> </w:t>
      </w:r>
      <w:r w:rsidRPr="00117C96">
        <w:rPr>
          <w:lang w:eastAsia="en-AU"/>
        </w:rPr>
        <w:t xml:space="preserve">shows </w:t>
      </w:r>
      <w:r w:rsidR="00BB336E">
        <w:rPr>
          <w:lang w:eastAsia="en-AU"/>
        </w:rPr>
        <w:t>a breakdown of</w:t>
      </w:r>
      <w:r>
        <w:rPr>
          <w:lang w:eastAsia="en-AU"/>
        </w:rPr>
        <w:t xml:space="preserve"> </w:t>
      </w:r>
      <w:r w:rsidR="00122C1B">
        <w:rPr>
          <w:lang w:eastAsia="en-AU"/>
        </w:rPr>
        <w:t>the driver and motorcyclist population</w:t>
      </w:r>
      <w:r w:rsidR="00BB336E">
        <w:rPr>
          <w:lang w:eastAsia="en-AU"/>
        </w:rPr>
        <w:t xml:space="preserve"> by</w:t>
      </w:r>
      <w:r w:rsidR="000D6A14">
        <w:rPr>
          <w:lang w:eastAsia="en-AU"/>
        </w:rPr>
        <w:t xml:space="preserve"> </w:t>
      </w:r>
      <w:r w:rsidR="00BB336E">
        <w:rPr>
          <w:lang w:eastAsia="en-AU"/>
        </w:rPr>
        <w:t xml:space="preserve">licence </w:t>
      </w:r>
      <w:r w:rsidR="000D6A14">
        <w:rPr>
          <w:lang w:eastAsia="en-AU"/>
        </w:rPr>
        <w:t>and</w:t>
      </w:r>
      <w:r w:rsidR="00BB336E">
        <w:rPr>
          <w:lang w:eastAsia="en-AU"/>
        </w:rPr>
        <w:t xml:space="preserve"> permit</w:t>
      </w:r>
      <w:r w:rsidR="000D6A14">
        <w:rPr>
          <w:lang w:eastAsia="en-AU"/>
        </w:rPr>
        <w:t xml:space="preserve"> type</w:t>
      </w:r>
      <w:r w:rsidR="00122C1B">
        <w:rPr>
          <w:lang w:eastAsia="en-AU"/>
        </w:rPr>
        <w:t xml:space="preserve"> in Victoria</w:t>
      </w:r>
      <w:r w:rsidR="00BB336E">
        <w:rPr>
          <w:lang w:eastAsia="en-AU"/>
        </w:rPr>
        <w:t>, which</w:t>
      </w:r>
      <w:r w:rsidR="00122C1B">
        <w:rPr>
          <w:lang w:eastAsia="en-AU"/>
        </w:rPr>
        <w:t xml:space="preserve"> stood at </w:t>
      </w:r>
      <w:r>
        <w:rPr>
          <w:lang w:eastAsia="en-AU"/>
        </w:rPr>
        <w:t>4.7 million</w:t>
      </w:r>
      <w:r w:rsidR="00514DD7" w:rsidRPr="00514DD7">
        <w:rPr>
          <w:lang w:eastAsia="en-AU"/>
        </w:rPr>
        <w:t xml:space="preserve"> </w:t>
      </w:r>
      <w:r w:rsidR="00514DD7" w:rsidRPr="00117C96">
        <w:rPr>
          <w:lang w:eastAsia="en-AU"/>
        </w:rPr>
        <w:t>at 3</w:t>
      </w:r>
      <w:r w:rsidR="00514DD7">
        <w:rPr>
          <w:lang w:eastAsia="en-AU"/>
        </w:rPr>
        <w:t>1 December 2018</w:t>
      </w:r>
      <w:r w:rsidR="00122C1B">
        <w:rPr>
          <w:lang w:eastAsia="en-AU"/>
        </w:rPr>
        <w:t xml:space="preserve">. Of these, </w:t>
      </w:r>
      <w:r w:rsidR="00227C9B">
        <w:rPr>
          <w:lang w:eastAsia="en-AU"/>
        </w:rPr>
        <w:t>63</w:t>
      </w:r>
      <w:r w:rsidR="000D420D">
        <w:rPr>
          <w:lang w:eastAsia="en-AU"/>
        </w:rPr>
        <w:t>3</w:t>
      </w:r>
      <w:r w:rsidR="00227C9B">
        <w:rPr>
          <w:lang w:eastAsia="en-AU"/>
        </w:rPr>
        <w:t>,</w:t>
      </w:r>
      <w:r w:rsidR="000D420D">
        <w:rPr>
          <w:lang w:eastAsia="en-AU"/>
        </w:rPr>
        <w:t>9</w:t>
      </w:r>
      <w:r w:rsidR="00A01183">
        <w:rPr>
          <w:lang w:eastAsia="en-AU"/>
        </w:rPr>
        <w:t>47</w:t>
      </w:r>
      <w:r w:rsidR="00122C1B" w:rsidRPr="00117C96">
        <w:rPr>
          <w:lang w:eastAsia="en-AU"/>
        </w:rPr>
        <w:t xml:space="preserve"> </w:t>
      </w:r>
      <w:r w:rsidR="00227C9B">
        <w:rPr>
          <w:lang w:eastAsia="en-AU"/>
        </w:rPr>
        <w:t>drivers</w:t>
      </w:r>
      <w:r w:rsidR="00122C1B" w:rsidRPr="00117C96">
        <w:rPr>
          <w:lang w:eastAsia="en-AU"/>
        </w:rPr>
        <w:t xml:space="preserve"> (13.4% of total current </w:t>
      </w:r>
      <w:r w:rsidR="00514DD7">
        <w:rPr>
          <w:lang w:eastAsia="en-AU"/>
        </w:rPr>
        <w:lastRenderedPageBreak/>
        <w:t xml:space="preserve">permit and </w:t>
      </w:r>
      <w:r w:rsidR="00122C1B" w:rsidRPr="00117C96">
        <w:rPr>
          <w:lang w:eastAsia="en-AU"/>
        </w:rPr>
        <w:t xml:space="preserve">licence holders) were covered </w:t>
      </w:r>
      <w:r w:rsidR="00122C1B">
        <w:rPr>
          <w:lang w:eastAsia="en-AU"/>
        </w:rPr>
        <w:t>under</w:t>
      </w:r>
      <w:r w:rsidR="00122C1B" w:rsidRPr="00117C96">
        <w:rPr>
          <w:lang w:eastAsia="en-AU"/>
        </w:rPr>
        <w:t xml:space="preserve"> the GLS</w:t>
      </w:r>
      <w:r w:rsidR="00122C1B">
        <w:rPr>
          <w:lang w:eastAsia="en-AU"/>
        </w:rPr>
        <w:t>,</w:t>
      </w:r>
      <w:r w:rsidR="00122C1B" w:rsidRPr="00117C96">
        <w:rPr>
          <w:lang w:eastAsia="en-AU"/>
        </w:rPr>
        <w:t xml:space="preserve"> </w:t>
      </w:r>
      <w:r w:rsidR="00DC0804">
        <w:rPr>
          <w:lang w:eastAsia="en-AU"/>
        </w:rPr>
        <w:t xml:space="preserve">consisting of </w:t>
      </w:r>
      <w:r w:rsidR="004320F5">
        <w:rPr>
          <w:lang w:eastAsia="en-AU"/>
        </w:rPr>
        <w:t xml:space="preserve">327,592 learners </w:t>
      </w:r>
      <w:r w:rsidR="00122C1B">
        <w:rPr>
          <w:lang w:eastAsia="en-AU"/>
        </w:rPr>
        <w:t>and</w:t>
      </w:r>
      <w:r w:rsidR="004320F5">
        <w:rPr>
          <w:lang w:eastAsia="en-AU"/>
        </w:rPr>
        <w:t xml:space="preserve"> 306,35</w:t>
      </w:r>
      <w:r w:rsidR="0076363D">
        <w:rPr>
          <w:lang w:eastAsia="en-AU"/>
        </w:rPr>
        <w:t>5</w:t>
      </w:r>
      <w:r w:rsidR="004320F5">
        <w:rPr>
          <w:lang w:eastAsia="en-AU"/>
        </w:rPr>
        <w:t xml:space="preserve"> probationary drivers</w:t>
      </w:r>
      <w:r w:rsidR="00BB336E">
        <w:rPr>
          <w:lang w:eastAsia="en-AU"/>
        </w:rPr>
        <w:t>.</w:t>
      </w:r>
    </w:p>
    <w:p w14:paraId="45777CEC" w14:textId="5BEE38C3" w:rsidR="00122C1B" w:rsidRPr="00117C96" w:rsidRDefault="00122C1B" w:rsidP="00AA0BBA">
      <w:pPr>
        <w:pStyle w:val="Caption"/>
      </w:pPr>
      <w:bookmarkStart w:id="122" w:name="_Ref499731720"/>
      <w:bookmarkStart w:id="123" w:name="_Toc499655028"/>
      <w:bookmarkStart w:id="124" w:name="_Toc10703703"/>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10</w:t>
      </w:r>
      <w:r w:rsidR="00BC6B2E">
        <w:rPr>
          <w:noProof/>
        </w:rPr>
        <w:fldChar w:fldCharType="end"/>
      </w:r>
      <w:bookmarkEnd w:id="122"/>
      <w:r w:rsidR="00FE34C4">
        <w:t xml:space="preserve"> – </w:t>
      </w:r>
      <w:r w:rsidR="00CB596C">
        <w:t>Current</w:t>
      </w:r>
      <w:r w:rsidR="00FE34C4">
        <w:t xml:space="preserve"> </w:t>
      </w:r>
      <w:r w:rsidR="005855CA">
        <w:t xml:space="preserve">car and motorcycle </w:t>
      </w:r>
      <w:r w:rsidRPr="00117C96">
        <w:t>licences and lear</w:t>
      </w:r>
      <w:r>
        <w:t>ner permits in Victoria as at 31</w:t>
      </w:r>
      <w:r w:rsidRPr="00117C96">
        <w:t xml:space="preserve"> </w:t>
      </w:r>
      <w:r>
        <w:t>December</w:t>
      </w:r>
      <w:r w:rsidRPr="00117C96">
        <w:t xml:space="preserve"> </w:t>
      </w:r>
      <w:bookmarkEnd w:id="123"/>
      <w:r w:rsidR="005855CA" w:rsidRPr="00117C96">
        <w:t>201</w:t>
      </w:r>
      <w:r w:rsidR="005855CA">
        <w:t>8</w:t>
      </w:r>
      <w:bookmarkEnd w:id="124"/>
    </w:p>
    <w:tbl>
      <w:tblPr>
        <w:tblW w:w="6936" w:type="dxa"/>
        <w:tblLook w:val="04A0" w:firstRow="1" w:lastRow="0" w:firstColumn="1" w:lastColumn="0" w:noHBand="0" w:noVBand="1"/>
      </w:tblPr>
      <w:tblGrid>
        <w:gridCol w:w="4200"/>
        <w:gridCol w:w="1500"/>
        <w:gridCol w:w="1236"/>
      </w:tblGrid>
      <w:tr w:rsidR="00A2783D" w:rsidRPr="00A2783D" w14:paraId="0BE63E8B" w14:textId="77777777" w:rsidTr="007063F4">
        <w:trPr>
          <w:trHeight w:val="315"/>
        </w:trPr>
        <w:tc>
          <w:tcPr>
            <w:tcW w:w="4200" w:type="dxa"/>
            <w:tcBorders>
              <w:top w:val="single" w:sz="8" w:space="0" w:color="BFBFBF"/>
              <w:left w:val="single" w:sz="8" w:space="0" w:color="BFBFBF"/>
              <w:bottom w:val="single" w:sz="8" w:space="0" w:color="BFBFBF"/>
              <w:right w:val="single" w:sz="8" w:space="0" w:color="BFBFBF"/>
            </w:tcBorders>
            <w:shd w:val="clear" w:color="000000" w:fill="0A1F3F"/>
            <w:noWrap/>
            <w:vAlign w:val="center"/>
            <w:hideMark/>
          </w:tcPr>
          <w:p w14:paraId="14003531" w14:textId="77777777" w:rsidR="00A2783D" w:rsidRPr="00A2783D" w:rsidRDefault="00A2783D" w:rsidP="00A2783D">
            <w:pPr>
              <w:spacing w:after="0" w:line="240" w:lineRule="auto"/>
              <w:jc w:val="center"/>
              <w:rPr>
                <w:rFonts w:ascii="Segoe UI" w:eastAsia="Times New Roman" w:hAnsi="Segoe UI" w:cs="Segoe UI"/>
                <w:b/>
                <w:bCs/>
                <w:color w:val="FFFFFF"/>
                <w:sz w:val="18"/>
                <w:szCs w:val="18"/>
                <w:lang w:eastAsia="en-AU"/>
              </w:rPr>
            </w:pPr>
            <w:r w:rsidRPr="00A2783D">
              <w:rPr>
                <w:rFonts w:ascii="Segoe UI" w:eastAsia="Times New Roman" w:hAnsi="Segoe UI" w:cs="Segoe UI"/>
                <w:b/>
                <w:bCs/>
                <w:color w:val="FFFFFF"/>
                <w:sz w:val="18"/>
                <w:szCs w:val="18"/>
                <w:lang w:eastAsia="en-AU"/>
              </w:rPr>
              <w:t>Licence &amp; Permit Type</w:t>
            </w:r>
          </w:p>
        </w:tc>
        <w:tc>
          <w:tcPr>
            <w:tcW w:w="1500" w:type="dxa"/>
            <w:tcBorders>
              <w:top w:val="single" w:sz="8" w:space="0" w:color="BFBFBF"/>
              <w:left w:val="nil"/>
              <w:bottom w:val="single" w:sz="8" w:space="0" w:color="BFBFBF"/>
              <w:right w:val="single" w:sz="8" w:space="0" w:color="BFBFBF"/>
            </w:tcBorders>
            <w:shd w:val="clear" w:color="000000" w:fill="0A1F3F"/>
            <w:noWrap/>
            <w:vAlign w:val="center"/>
            <w:hideMark/>
          </w:tcPr>
          <w:p w14:paraId="670548E7" w14:textId="77777777" w:rsidR="00A2783D" w:rsidRPr="00A2783D" w:rsidRDefault="00A2783D" w:rsidP="00A2783D">
            <w:pPr>
              <w:spacing w:after="0" w:line="240" w:lineRule="auto"/>
              <w:jc w:val="center"/>
              <w:rPr>
                <w:rFonts w:ascii="Segoe UI" w:eastAsia="Times New Roman" w:hAnsi="Segoe UI" w:cs="Segoe UI"/>
                <w:b/>
                <w:bCs/>
                <w:color w:val="FFFFFF"/>
                <w:sz w:val="18"/>
                <w:szCs w:val="18"/>
                <w:lang w:eastAsia="en-AU"/>
              </w:rPr>
            </w:pPr>
            <w:r w:rsidRPr="00A2783D">
              <w:rPr>
                <w:rFonts w:ascii="Segoe UI" w:eastAsia="Times New Roman" w:hAnsi="Segoe UI" w:cs="Segoe UI"/>
                <w:b/>
                <w:bCs/>
                <w:color w:val="FFFFFF"/>
                <w:sz w:val="18"/>
                <w:szCs w:val="18"/>
                <w:lang w:eastAsia="en-AU"/>
              </w:rPr>
              <w:t>No.</w:t>
            </w:r>
          </w:p>
        </w:tc>
        <w:tc>
          <w:tcPr>
            <w:tcW w:w="1236" w:type="dxa"/>
            <w:tcBorders>
              <w:top w:val="single" w:sz="8" w:space="0" w:color="BFBFBF"/>
              <w:left w:val="nil"/>
              <w:bottom w:val="single" w:sz="8" w:space="0" w:color="BFBFBF"/>
              <w:right w:val="single" w:sz="8" w:space="0" w:color="BFBFBF"/>
            </w:tcBorders>
            <w:shd w:val="clear" w:color="000000" w:fill="0A1F3F"/>
            <w:vAlign w:val="center"/>
            <w:hideMark/>
          </w:tcPr>
          <w:p w14:paraId="50CAB749" w14:textId="77777777" w:rsidR="00A2783D" w:rsidRPr="00A2783D" w:rsidRDefault="00A2783D" w:rsidP="00A2783D">
            <w:pPr>
              <w:spacing w:after="0" w:line="240" w:lineRule="auto"/>
              <w:jc w:val="center"/>
              <w:rPr>
                <w:rFonts w:ascii="Segoe UI" w:eastAsia="Times New Roman" w:hAnsi="Segoe UI" w:cs="Segoe UI"/>
                <w:b/>
                <w:bCs/>
                <w:color w:val="FFFFFF"/>
                <w:sz w:val="18"/>
                <w:szCs w:val="18"/>
                <w:lang w:eastAsia="en-AU"/>
              </w:rPr>
            </w:pPr>
            <w:r w:rsidRPr="00A2783D">
              <w:rPr>
                <w:rFonts w:ascii="Segoe UI" w:eastAsia="Times New Roman" w:hAnsi="Segoe UI" w:cs="Segoe UI"/>
                <w:b/>
                <w:bCs/>
                <w:color w:val="FFFFFF"/>
                <w:sz w:val="18"/>
                <w:szCs w:val="18"/>
                <w:lang w:eastAsia="en-AU"/>
              </w:rPr>
              <w:t>%</w:t>
            </w:r>
          </w:p>
        </w:tc>
      </w:tr>
      <w:tr w:rsidR="00A2783D" w:rsidRPr="00A2783D" w14:paraId="1B8E643B" w14:textId="77777777" w:rsidTr="007063F4">
        <w:trPr>
          <w:trHeight w:val="315"/>
        </w:trPr>
        <w:tc>
          <w:tcPr>
            <w:tcW w:w="4200" w:type="dxa"/>
            <w:tcBorders>
              <w:top w:val="nil"/>
              <w:left w:val="single" w:sz="8" w:space="0" w:color="BFBFBF"/>
              <w:bottom w:val="single" w:sz="8" w:space="0" w:color="BFBFBF"/>
              <w:right w:val="single" w:sz="8" w:space="0" w:color="BFBFBF"/>
            </w:tcBorders>
            <w:shd w:val="clear" w:color="auto" w:fill="auto"/>
            <w:noWrap/>
            <w:vAlign w:val="center"/>
            <w:hideMark/>
          </w:tcPr>
          <w:p w14:paraId="1AFA17DD" w14:textId="77777777" w:rsidR="00A2783D" w:rsidRPr="00A2783D" w:rsidRDefault="00A2783D" w:rsidP="00A2783D">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Car - Learner Permit</w:t>
            </w:r>
          </w:p>
        </w:tc>
        <w:tc>
          <w:tcPr>
            <w:tcW w:w="1500" w:type="dxa"/>
            <w:tcBorders>
              <w:top w:val="nil"/>
              <w:left w:val="nil"/>
              <w:bottom w:val="single" w:sz="8" w:space="0" w:color="BFBFBF"/>
              <w:right w:val="single" w:sz="8" w:space="0" w:color="BFBFBF"/>
            </w:tcBorders>
            <w:shd w:val="clear" w:color="auto" w:fill="auto"/>
            <w:noWrap/>
            <w:vAlign w:val="center"/>
            <w:hideMark/>
          </w:tcPr>
          <w:p w14:paraId="07724A10" w14:textId="77777777" w:rsidR="00A2783D" w:rsidRPr="00A2783D" w:rsidRDefault="00A2783D" w:rsidP="00A2783D">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327,5</w:t>
            </w:r>
            <w:r w:rsidR="00F206DF">
              <w:rPr>
                <w:rFonts w:ascii="Segoe UI" w:eastAsia="Times New Roman" w:hAnsi="Segoe UI" w:cs="Segoe UI"/>
                <w:sz w:val="18"/>
                <w:szCs w:val="18"/>
                <w:lang w:eastAsia="en-AU"/>
              </w:rPr>
              <w:t>34</w:t>
            </w:r>
          </w:p>
        </w:tc>
        <w:tc>
          <w:tcPr>
            <w:tcW w:w="1236" w:type="dxa"/>
            <w:tcBorders>
              <w:top w:val="nil"/>
              <w:left w:val="nil"/>
              <w:bottom w:val="single" w:sz="8" w:space="0" w:color="BFBFBF"/>
              <w:right w:val="single" w:sz="8" w:space="0" w:color="BFBFBF"/>
            </w:tcBorders>
            <w:shd w:val="clear" w:color="auto" w:fill="auto"/>
            <w:vAlign w:val="center"/>
            <w:hideMark/>
          </w:tcPr>
          <w:p w14:paraId="468FF3F2" w14:textId="77777777" w:rsidR="00A2783D" w:rsidRPr="00A2783D" w:rsidRDefault="00A2783D" w:rsidP="00A2783D">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6.9</w:t>
            </w:r>
            <w:r w:rsidR="00F206DF">
              <w:rPr>
                <w:rFonts w:ascii="Segoe UI" w:eastAsia="Times New Roman" w:hAnsi="Segoe UI" w:cs="Segoe UI"/>
                <w:sz w:val="18"/>
                <w:szCs w:val="18"/>
                <w:lang w:eastAsia="en-AU"/>
              </w:rPr>
              <w:t>2</w:t>
            </w:r>
            <w:r w:rsidRPr="00A2783D">
              <w:rPr>
                <w:rFonts w:ascii="Segoe UI" w:eastAsia="Times New Roman" w:hAnsi="Segoe UI" w:cs="Segoe UI"/>
                <w:sz w:val="18"/>
                <w:szCs w:val="18"/>
                <w:lang w:eastAsia="en-AU"/>
              </w:rPr>
              <w:t>%</w:t>
            </w:r>
          </w:p>
        </w:tc>
      </w:tr>
      <w:tr w:rsidR="00A2783D" w:rsidRPr="00A2783D" w14:paraId="4C5853AE" w14:textId="77777777" w:rsidTr="007063F4">
        <w:trPr>
          <w:trHeight w:val="315"/>
        </w:trPr>
        <w:tc>
          <w:tcPr>
            <w:tcW w:w="4200" w:type="dxa"/>
            <w:tcBorders>
              <w:top w:val="single" w:sz="8" w:space="0" w:color="BFBFBF"/>
              <w:left w:val="single" w:sz="8" w:space="0" w:color="BFBFBF"/>
              <w:bottom w:val="single" w:sz="18" w:space="0" w:color="BFBFBF"/>
              <w:right w:val="single" w:sz="8" w:space="0" w:color="BFBFBF"/>
            </w:tcBorders>
            <w:shd w:val="clear" w:color="auto" w:fill="auto"/>
            <w:noWrap/>
            <w:vAlign w:val="center"/>
            <w:hideMark/>
          </w:tcPr>
          <w:p w14:paraId="40A7F2B1" w14:textId="77777777" w:rsidR="00A2783D" w:rsidRPr="00A2783D" w:rsidRDefault="00A2783D" w:rsidP="00A2783D">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Motorcycle - Learner Permit</w:t>
            </w:r>
          </w:p>
        </w:tc>
        <w:tc>
          <w:tcPr>
            <w:tcW w:w="1500" w:type="dxa"/>
            <w:tcBorders>
              <w:top w:val="single" w:sz="8" w:space="0" w:color="BFBFBF"/>
              <w:left w:val="nil"/>
              <w:bottom w:val="single" w:sz="18" w:space="0" w:color="BFBFBF"/>
              <w:right w:val="single" w:sz="8" w:space="0" w:color="BFBFBF"/>
            </w:tcBorders>
            <w:shd w:val="clear" w:color="auto" w:fill="auto"/>
            <w:noWrap/>
            <w:vAlign w:val="center"/>
            <w:hideMark/>
          </w:tcPr>
          <w:p w14:paraId="0616402E" w14:textId="77777777" w:rsidR="00A2783D" w:rsidRPr="00A2783D" w:rsidRDefault="00A2783D" w:rsidP="00A2783D">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58</w:t>
            </w:r>
          </w:p>
        </w:tc>
        <w:tc>
          <w:tcPr>
            <w:tcW w:w="1236" w:type="dxa"/>
            <w:tcBorders>
              <w:top w:val="single" w:sz="8" w:space="0" w:color="BFBFBF"/>
              <w:left w:val="nil"/>
              <w:bottom w:val="single" w:sz="18" w:space="0" w:color="BFBFBF"/>
              <w:right w:val="single" w:sz="8" w:space="0" w:color="BFBFBF"/>
            </w:tcBorders>
            <w:shd w:val="clear" w:color="auto" w:fill="auto"/>
            <w:vAlign w:val="center"/>
            <w:hideMark/>
          </w:tcPr>
          <w:p w14:paraId="1EA8C9F4" w14:textId="77777777" w:rsidR="00A2783D" w:rsidRPr="00A2783D" w:rsidRDefault="00A2783D" w:rsidP="00A2783D">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0.001%</w:t>
            </w:r>
          </w:p>
        </w:tc>
      </w:tr>
      <w:tr w:rsidR="00A2783D" w:rsidRPr="00A2783D" w14:paraId="232F70F6" w14:textId="77777777" w:rsidTr="007063F4">
        <w:trPr>
          <w:trHeight w:val="315"/>
        </w:trPr>
        <w:tc>
          <w:tcPr>
            <w:tcW w:w="4200" w:type="dxa"/>
            <w:tcBorders>
              <w:top w:val="single" w:sz="18" w:space="0" w:color="BFBFBF"/>
              <w:left w:val="single" w:sz="8" w:space="0" w:color="BFBFBF"/>
              <w:bottom w:val="single" w:sz="8" w:space="0" w:color="BFBFBF"/>
              <w:right w:val="single" w:sz="8" w:space="0" w:color="BFBFBF"/>
            </w:tcBorders>
            <w:shd w:val="clear" w:color="auto" w:fill="auto"/>
            <w:noWrap/>
            <w:vAlign w:val="center"/>
            <w:hideMark/>
          </w:tcPr>
          <w:p w14:paraId="738F2355" w14:textId="77777777" w:rsidR="00A2783D" w:rsidRPr="00A2783D" w:rsidRDefault="00A2783D" w:rsidP="00A2783D">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 xml:space="preserve">Car licence - Full </w:t>
            </w:r>
          </w:p>
        </w:tc>
        <w:tc>
          <w:tcPr>
            <w:tcW w:w="1500" w:type="dxa"/>
            <w:tcBorders>
              <w:top w:val="single" w:sz="18" w:space="0" w:color="BFBFBF"/>
              <w:left w:val="nil"/>
              <w:bottom w:val="single" w:sz="8" w:space="0" w:color="BFBFBF"/>
              <w:right w:val="single" w:sz="8" w:space="0" w:color="BFBFBF"/>
            </w:tcBorders>
            <w:shd w:val="clear" w:color="auto" w:fill="auto"/>
            <w:noWrap/>
            <w:vAlign w:val="center"/>
            <w:hideMark/>
          </w:tcPr>
          <w:p w14:paraId="554B6E03" w14:textId="77777777" w:rsidR="00A2783D" w:rsidRPr="00A2783D" w:rsidRDefault="00A2783D" w:rsidP="00A2783D">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3,68</w:t>
            </w:r>
            <w:r w:rsidR="00F206DF">
              <w:rPr>
                <w:rFonts w:ascii="Segoe UI" w:eastAsia="Times New Roman" w:hAnsi="Segoe UI" w:cs="Segoe UI"/>
                <w:sz w:val="18"/>
                <w:szCs w:val="18"/>
                <w:lang w:eastAsia="en-AU"/>
              </w:rPr>
              <w:t>2</w:t>
            </w:r>
            <w:r w:rsidRPr="00A2783D">
              <w:rPr>
                <w:rFonts w:ascii="Segoe UI" w:eastAsia="Times New Roman" w:hAnsi="Segoe UI" w:cs="Segoe UI"/>
                <w:sz w:val="18"/>
                <w:szCs w:val="18"/>
                <w:lang w:eastAsia="en-AU"/>
              </w:rPr>
              <w:t>,</w:t>
            </w:r>
            <w:r w:rsidR="00F206DF">
              <w:rPr>
                <w:rFonts w:ascii="Segoe UI" w:eastAsia="Times New Roman" w:hAnsi="Segoe UI" w:cs="Segoe UI"/>
                <w:sz w:val="18"/>
                <w:szCs w:val="18"/>
                <w:lang w:eastAsia="en-AU"/>
              </w:rPr>
              <w:t>588</w:t>
            </w:r>
          </w:p>
        </w:tc>
        <w:tc>
          <w:tcPr>
            <w:tcW w:w="1236" w:type="dxa"/>
            <w:tcBorders>
              <w:top w:val="single" w:sz="18" w:space="0" w:color="BFBFBF"/>
              <w:left w:val="nil"/>
              <w:bottom w:val="single" w:sz="8" w:space="0" w:color="BFBFBF"/>
              <w:right w:val="single" w:sz="8" w:space="0" w:color="BFBFBF"/>
            </w:tcBorders>
            <w:shd w:val="clear" w:color="auto" w:fill="auto"/>
            <w:vAlign w:val="center"/>
            <w:hideMark/>
          </w:tcPr>
          <w:p w14:paraId="49C845ED" w14:textId="77777777" w:rsidR="00A2783D" w:rsidRPr="00A2783D" w:rsidRDefault="00A2783D" w:rsidP="00A2783D">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77.</w:t>
            </w:r>
            <w:r w:rsidR="00BF21CD">
              <w:rPr>
                <w:rFonts w:ascii="Segoe UI" w:eastAsia="Times New Roman" w:hAnsi="Segoe UI" w:cs="Segoe UI"/>
                <w:sz w:val="18"/>
                <w:szCs w:val="18"/>
                <w:lang w:eastAsia="en-AU"/>
              </w:rPr>
              <w:t>80</w:t>
            </w:r>
            <w:r w:rsidRPr="00A2783D">
              <w:rPr>
                <w:rFonts w:ascii="Segoe UI" w:eastAsia="Times New Roman" w:hAnsi="Segoe UI" w:cs="Segoe UI"/>
                <w:sz w:val="18"/>
                <w:szCs w:val="18"/>
                <w:lang w:eastAsia="en-AU"/>
              </w:rPr>
              <w:t>%</w:t>
            </w:r>
          </w:p>
        </w:tc>
      </w:tr>
      <w:tr w:rsidR="005C70BA" w:rsidRPr="00A2783D" w14:paraId="78A72798" w14:textId="77777777" w:rsidTr="00514DD7">
        <w:trPr>
          <w:trHeight w:val="315"/>
        </w:trPr>
        <w:tc>
          <w:tcPr>
            <w:tcW w:w="4200" w:type="dxa"/>
            <w:tcBorders>
              <w:top w:val="nil"/>
              <w:left w:val="single" w:sz="8" w:space="0" w:color="BFBFBF"/>
              <w:bottom w:val="single" w:sz="8" w:space="0" w:color="BFBFBF"/>
              <w:right w:val="single" w:sz="8" w:space="0" w:color="BFBFBF"/>
            </w:tcBorders>
            <w:shd w:val="clear" w:color="auto" w:fill="auto"/>
            <w:noWrap/>
            <w:vAlign w:val="center"/>
          </w:tcPr>
          <w:p w14:paraId="6E0D5B5D" w14:textId="77777777" w:rsidR="005C70BA" w:rsidRPr="00A2783D" w:rsidRDefault="005C70BA" w:rsidP="005C70BA">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Dual car &amp; motorcycle licence – Full</w:t>
            </w:r>
          </w:p>
        </w:tc>
        <w:tc>
          <w:tcPr>
            <w:tcW w:w="1500" w:type="dxa"/>
            <w:tcBorders>
              <w:top w:val="nil"/>
              <w:left w:val="nil"/>
              <w:bottom w:val="single" w:sz="8" w:space="0" w:color="BFBFBF"/>
              <w:right w:val="single" w:sz="8" w:space="0" w:color="BFBFBF"/>
            </w:tcBorders>
            <w:shd w:val="clear" w:color="auto" w:fill="auto"/>
            <w:noWrap/>
            <w:vAlign w:val="center"/>
          </w:tcPr>
          <w:p w14:paraId="1177025D" w14:textId="77777777" w:rsidR="005C70BA" w:rsidRPr="00A2783D" w:rsidRDefault="005C70BA" w:rsidP="005C70B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415,561</w:t>
            </w:r>
          </w:p>
        </w:tc>
        <w:tc>
          <w:tcPr>
            <w:tcW w:w="1236" w:type="dxa"/>
            <w:tcBorders>
              <w:top w:val="nil"/>
              <w:left w:val="nil"/>
              <w:bottom w:val="single" w:sz="8" w:space="0" w:color="BFBFBF"/>
              <w:right w:val="single" w:sz="8" w:space="0" w:color="BFBFBF"/>
            </w:tcBorders>
            <w:shd w:val="clear" w:color="auto" w:fill="auto"/>
            <w:vAlign w:val="center"/>
          </w:tcPr>
          <w:p w14:paraId="1DA25BC4" w14:textId="77777777" w:rsidR="005C70BA" w:rsidRPr="00A2783D" w:rsidRDefault="005C70BA" w:rsidP="005C70B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8.7</w:t>
            </w:r>
            <w:r>
              <w:rPr>
                <w:rFonts w:ascii="Segoe UI" w:eastAsia="Times New Roman" w:hAnsi="Segoe UI" w:cs="Segoe UI"/>
                <w:sz w:val="18"/>
                <w:szCs w:val="18"/>
                <w:lang w:eastAsia="en-AU"/>
              </w:rPr>
              <w:t>8</w:t>
            </w:r>
            <w:r w:rsidRPr="00A2783D">
              <w:rPr>
                <w:rFonts w:ascii="Segoe UI" w:eastAsia="Times New Roman" w:hAnsi="Segoe UI" w:cs="Segoe UI"/>
                <w:sz w:val="18"/>
                <w:szCs w:val="18"/>
                <w:lang w:eastAsia="en-AU"/>
              </w:rPr>
              <w:t>%</w:t>
            </w:r>
          </w:p>
        </w:tc>
      </w:tr>
      <w:tr w:rsidR="005C70BA" w:rsidRPr="00A2783D" w14:paraId="35FCAFCB" w14:textId="77777777" w:rsidTr="005C70BA">
        <w:trPr>
          <w:trHeight w:val="315"/>
        </w:trPr>
        <w:tc>
          <w:tcPr>
            <w:tcW w:w="4200" w:type="dxa"/>
            <w:tcBorders>
              <w:top w:val="single" w:sz="8" w:space="0" w:color="BFBFBF"/>
              <w:left w:val="single" w:sz="8" w:space="0" w:color="BFBFBF"/>
              <w:bottom w:val="single" w:sz="18" w:space="0" w:color="BFBFBF"/>
              <w:right w:val="single" w:sz="8" w:space="0" w:color="BFBFBF"/>
            </w:tcBorders>
            <w:shd w:val="clear" w:color="auto" w:fill="auto"/>
            <w:noWrap/>
            <w:vAlign w:val="center"/>
          </w:tcPr>
          <w:p w14:paraId="3FA6F7AB" w14:textId="77777777" w:rsidR="005C70BA" w:rsidRPr="00A2783D" w:rsidRDefault="005C70BA" w:rsidP="005C70BA">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Motorcycle licence</w:t>
            </w:r>
            <w:r>
              <w:rPr>
                <w:rFonts w:ascii="Segoe UI" w:eastAsia="Times New Roman" w:hAnsi="Segoe UI" w:cs="Segoe UI"/>
                <w:sz w:val="18"/>
                <w:szCs w:val="18"/>
                <w:lang w:eastAsia="en-AU"/>
              </w:rPr>
              <w:t xml:space="preserve"> only</w:t>
            </w:r>
            <w:r w:rsidRPr="00A2783D">
              <w:rPr>
                <w:rFonts w:ascii="Segoe UI" w:eastAsia="Times New Roman" w:hAnsi="Segoe UI" w:cs="Segoe UI"/>
                <w:sz w:val="18"/>
                <w:szCs w:val="18"/>
                <w:lang w:eastAsia="en-AU"/>
              </w:rPr>
              <w:t xml:space="preserve"> - Full</w:t>
            </w:r>
          </w:p>
        </w:tc>
        <w:tc>
          <w:tcPr>
            <w:tcW w:w="1500" w:type="dxa"/>
            <w:tcBorders>
              <w:top w:val="single" w:sz="8" w:space="0" w:color="BFBFBF"/>
              <w:left w:val="nil"/>
              <w:bottom w:val="single" w:sz="18" w:space="0" w:color="BFBFBF"/>
              <w:right w:val="single" w:sz="8" w:space="0" w:color="BFBFBF"/>
            </w:tcBorders>
            <w:shd w:val="clear" w:color="auto" w:fill="auto"/>
            <w:noWrap/>
            <w:vAlign w:val="center"/>
          </w:tcPr>
          <w:p w14:paraId="037821EF" w14:textId="77777777" w:rsidR="005C70BA" w:rsidRPr="00A2783D" w:rsidRDefault="005C70BA" w:rsidP="005C70B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1,594</w:t>
            </w:r>
          </w:p>
        </w:tc>
        <w:tc>
          <w:tcPr>
            <w:tcW w:w="1236" w:type="dxa"/>
            <w:tcBorders>
              <w:top w:val="single" w:sz="8" w:space="0" w:color="BFBFBF"/>
              <w:left w:val="nil"/>
              <w:bottom w:val="single" w:sz="18" w:space="0" w:color="BFBFBF"/>
              <w:right w:val="single" w:sz="8" w:space="0" w:color="BFBFBF"/>
            </w:tcBorders>
            <w:shd w:val="clear" w:color="auto" w:fill="auto"/>
            <w:vAlign w:val="center"/>
          </w:tcPr>
          <w:p w14:paraId="32BA73E4" w14:textId="77777777" w:rsidR="005C70BA" w:rsidRPr="00A2783D" w:rsidRDefault="005C70BA" w:rsidP="005C70B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0.03%</w:t>
            </w:r>
          </w:p>
        </w:tc>
      </w:tr>
      <w:tr w:rsidR="005C70BA" w:rsidRPr="00A2783D" w14:paraId="1ACF6D0A" w14:textId="77777777" w:rsidTr="007063F4">
        <w:trPr>
          <w:trHeight w:val="315"/>
        </w:trPr>
        <w:tc>
          <w:tcPr>
            <w:tcW w:w="4200" w:type="dxa"/>
            <w:tcBorders>
              <w:top w:val="single" w:sz="18" w:space="0" w:color="BFBFBF"/>
              <w:left w:val="single" w:sz="8" w:space="0" w:color="BFBFBF"/>
              <w:bottom w:val="single" w:sz="8" w:space="0" w:color="BFBFBF"/>
              <w:right w:val="single" w:sz="8" w:space="0" w:color="BFBFBF"/>
            </w:tcBorders>
            <w:shd w:val="clear" w:color="000000" w:fill="FFFFFF"/>
            <w:noWrap/>
            <w:vAlign w:val="center"/>
            <w:hideMark/>
          </w:tcPr>
          <w:p w14:paraId="39F0E0E7" w14:textId="77777777" w:rsidR="005C70BA" w:rsidRPr="00A2783D" w:rsidRDefault="005C70BA" w:rsidP="005C70BA">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 xml:space="preserve">Car licence - Probationary P1 </w:t>
            </w:r>
          </w:p>
        </w:tc>
        <w:tc>
          <w:tcPr>
            <w:tcW w:w="1500" w:type="dxa"/>
            <w:tcBorders>
              <w:top w:val="single" w:sz="18" w:space="0" w:color="BFBFBF"/>
              <w:left w:val="nil"/>
              <w:bottom w:val="single" w:sz="8" w:space="0" w:color="BFBFBF"/>
              <w:right w:val="single" w:sz="8" w:space="0" w:color="BFBFBF"/>
            </w:tcBorders>
            <w:shd w:val="clear" w:color="000000" w:fill="FFFFFF"/>
            <w:noWrap/>
            <w:vAlign w:val="center"/>
            <w:hideMark/>
          </w:tcPr>
          <w:p w14:paraId="68F0D5CF" w14:textId="77777777" w:rsidR="005C70BA" w:rsidRPr="00A2783D" w:rsidRDefault="005C70BA" w:rsidP="005C70BA">
            <w:pPr>
              <w:spacing w:after="0" w:line="240" w:lineRule="auto"/>
              <w:jc w:val="right"/>
              <w:rPr>
                <w:rFonts w:ascii="Segoe UI" w:eastAsia="Times New Roman" w:hAnsi="Segoe UI" w:cs="Segoe UI"/>
                <w:sz w:val="18"/>
                <w:szCs w:val="18"/>
                <w:lang w:eastAsia="en-AU"/>
              </w:rPr>
            </w:pPr>
            <w:r>
              <w:rPr>
                <w:rFonts w:ascii="Segoe UI" w:eastAsia="Times New Roman" w:hAnsi="Segoe UI" w:cs="Segoe UI"/>
                <w:sz w:val="18"/>
                <w:szCs w:val="18"/>
                <w:lang w:eastAsia="en-AU"/>
              </w:rPr>
              <w:t>52,675</w:t>
            </w:r>
          </w:p>
        </w:tc>
        <w:tc>
          <w:tcPr>
            <w:tcW w:w="1236" w:type="dxa"/>
            <w:tcBorders>
              <w:top w:val="single" w:sz="18" w:space="0" w:color="BFBFBF"/>
              <w:left w:val="nil"/>
              <w:bottom w:val="single" w:sz="8" w:space="0" w:color="BFBFBF"/>
              <w:right w:val="single" w:sz="8" w:space="0" w:color="BFBFBF"/>
            </w:tcBorders>
            <w:shd w:val="clear" w:color="auto" w:fill="auto"/>
            <w:vAlign w:val="center"/>
            <w:hideMark/>
          </w:tcPr>
          <w:p w14:paraId="7A474282" w14:textId="77777777" w:rsidR="005C70BA" w:rsidRPr="00A2783D" w:rsidRDefault="005C70BA" w:rsidP="005C70B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1.11%</w:t>
            </w:r>
          </w:p>
        </w:tc>
      </w:tr>
      <w:tr w:rsidR="005C70BA" w:rsidRPr="00A2783D" w14:paraId="4DA08661" w14:textId="77777777" w:rsidTr="00514DD7">
        <w:trPr>
          <w:trHeight w:val="315"/>
        </w:trPr>
        <w:tc>
          <w:tcPr>
            <w:tcW w:w="4200" w:type="dxa"/>
            <w:tcBorders>
              <w:top w:val="nil"/>
              <w:left w:val="single" w:sz="8" w:space="0" w:color="BFBFBF"/>
              <w:bottom w:val="single" w:sz="8" w:space="0" w:color="BFBFBF"/>
              <w:right w:val="single" w:sz="8" w:space="0" w:color="BFBFBF"/>
            </w:tcBorders>
            <w:shd w:val="clear" w:color="auto" w:fill="auto"/>
            <w:noWrap/>
            <w:vAlign w:val="center"/>
          </w:tcPr>
          <w:p w14:paraId="2296DD32" w14:textId="77777777" w:rsidR="005C70BA" w:rsidRPr="00A2783D" w:rsidRDefault="005C70BA" w:rsidP="005C70BA">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Dual car &amp; motorcycle licence - Probationary P1</w:t>
            </w:r>
          </w:p>
        </w:tc>
        <w:tc>
          <w:tcPr>
            <w:tcW w:w="1500" w:type="dxa"/>
            <w:tcBorders>
              <w:top w:val="nil"/>
              <w:left w:val="nil"/>
              <w:bottom w:val="single" w:sz="8" w:space="0" w:color="BFBFBF"/>
              <w:right w:val="single" w:sz="8" w:space="0" w:color="BFBFBF"/>
            </w:tcBorders>
            <w:shd w:val="clear" w:color="auto" w:fill="auto"/>
            <w:noWrap/>
            <w:vAlign w:val="center"/>
          </w:tcPr>
          <w:p w14:paraId="10B0825C" w14:textId="77777777" w:rsidR="005C70BA" w:rsidRPr="00A2783D" w:rsidRDefault="005C70BA" w:rsidP="005C70B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102</w:t>
            </w:r>
          </w:p>
        </w:tc>
        <w:tc>
          <w:tcPr>
            <w:tcW w:w="1236" w:type="dxa"/>
            <w:tcBorders>
              <w:top w:val="nil"/>
              <w:left w:val="nil"/>
              <w:bottom w:val="single" w:sz="8" w:space="0" w:color="BFBFBF"/>
              <w:right w:val="single" w:sz="8" w:space="0" w:color="BFBFBF"/>
            </w:tcBorders>
            <w:shd w:val="clear" w:color="auto" w:fill="auto"/>
            <w:vAlign w:val="center"/>
          </w:tcPr>
          <w:p w14:paraId="5E85C9EE" w14:textId="77777777" w:rsidR="005C70BA" w:rsidRPr="00A2783D" w:rsidRDefault="005C70BA" w:rsidP="005C70B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0.002%</w:t>
            </w:r>
          </w:p>
        </w:tc>
      </w:tr>
      <w:tr w:rsidR="00F6746A" w:rsidRPr="00A2783D" w14:paraId="1D41923F" w14:textId="77777777" w:rsidTr="005C70BA">
        <w:trPr>
          <w:trHeight w:val="315"/>
        </w:trPr>
        <w:tc>
          <w:tcPr>
            <w:tcW w:w="4200" w:type="dxa"/>
            <w:tcBorders>
              <w:top w:val="single" w:sz="8" w:space="0" w:color="BFBFBF"/>
              <w:left w:val="single" w:sz="8" w:space="0" w:color="BFBFBF"/>
              <w:bottom w:val="single" w:sz="18" w:space="0" w:color="BFBFBF"/>
              <w:right w:val="single" w:sz="8" w:space="0" w:color="BFBFBF"/>
            </w:tcBorders>
            <w:shd w:val="clear" w:color="000000" w:fill="FFFFFF"/>
            <w:noWrap/>
            <w:vAlign w:val="center"/>
          </w:tcPr>
          <w:p w14:paraId="225005B1" w14:textId="77777777" w:rsidR="00F6746A" w:rsidRPr="00A2783D" w:rsidRDefault="00F6746A" w:rsidP="00F6746A">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 xml:space="preserve">Motorcycle licence </w:t>
            </w:r>
            <w:r>
              <w:rPr>
                <w:rFonts w:ascii="Segoe UI" w:eastAsia="Times New Roman" w:hAnsi="Segoe UI" w:cs="Segoe UI"/>
                <w:sz w:val="18"/>
                <w:szCs w:val="18"/>
                <w:lang w:eastAsia="en-AU"/>
              </w:rPr>
              <w:t xml:space="preserve">only </w:t>
            </w:r>
            <w:r w:rsidRPr="00A2783D">
              <w:rPr>
                <w:rFonts w:ascii="Segoe UI" w:eastAsia="Times New Roman" w:hAnsi="Segoe UI" w:cs="Segoe UI"/>
                <w:sz w:val="18"/>
                <w:szCs w:val="18"/>
                <w:lang w:eastAsia="en-AU"/>
              </w:rPr>
              <w:t xml:space="preserve">- Probationary P1 </w:t>
            </w:r>
          </w:p>
        </w:tc>
        <w:tc>
          <w:tcPr>
            <w:tcW w:w="1500" w:type="dxa"/>
            <w:tcBorders>
              <w:top w:val="single" w:sz="8" w:space="0" w:color="BFBFBF"/>
              <w:left w:val="nil"/>
              <w:bottom w:val="single" w:sz="18" w:space="0" w:color="BFBFBF"/>
              <w:right w:val="single" w:sz="8" w:space="0" w:color="BFBFBF"/>
            </w:tcBorders>
            <w:shd w:val="clear" w:color="000000" w:fill="FFFFFF"/>
            <w:noWrap/>
            <w:vAlign w:val="center"/>
          </w:tcPr>
          <w:p w14:paraId="72F71198" w14:textId="77777777" w:rsidR="00F6746A" w:rsidRPr="00A2783D" w:rsidRDefault="00F6746A" w:rsidP="00F6746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147</w:t>
            </w:r>
          </w:p>
        </w:tc>
        <w:tc>
          <w:tcPr>
            <w:tcW w:w="1236" w:type="dxa"/>
            <w:tcBorders>
              <w:top w:val="single" w:sz="8" w:space="0" w:color="BFBFBF"/>
              <w:left w:val="nil"/>
              <w:bottom w:val="single" w:sz="18" w:space="0" w:color="BFBFBF"/>
              <w:right w:val="single" w:sz="8" w:space="0" w:color="BFBFBF"/>
            </w:tcBorders>
            <w:shd w:val="clear" w:color="auto" w:fill="auto"/>
            <w:vAlign w:val="center"/>
          </w:tcPr>
          <w:p w14:paraId="0B6ADA33" w14:textId="77777777" w:rsidR="00F6746A" w:rsidRPr="00A2783D" w:rsidRDefault="00F6746A" w:rsidP="00F6746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0.003%</w:t>
            </w:r>
          </w:p>
        </w:tc>
      </w:tr>
      <w:tr w:rsidR="00F6746A" w:rsidRPr="00A2783D" w14:paraId="131BCAFA" w14:textId="77777777" w:rsidTr="007063F4">
        <w:trPr>
          <w:trHeight w:val="315"/>
        </w:trPr>
        <w:tc>
          <w:tcPr>
            <w:tcW w:w="4200" w:type="dxa"/>
            <w:tcBorders>
              <w:top w:val="single" w:sz="18" w:space="0" w:color="BFBFBF"/>
              <w:left w:val="single" w:sz="8" w:space="0" w:color="BFBFBF"/>
              <w:bottom w:val="single" w:sz="8" w:space="0" w:color="BFBFBF"/>
              <w:right w:val="single" w:sz="8" w:space="0" w:color="BFBFBF"/>
            </w:tcBorders>
            <w:shd w:val="clear" w:color="auto" w:fill="auto"/>
            <w:noWrap/>
            <w:vAlign w:val="center"/>
            <w:hideMark/>
          </w:tcPr>
          <w:p w14:paraId="77944BCE" w14:textId="77777777" w:rsidR="00F6746A" w:rsidRPr="00A2783D" w:rsidRDefault="00F6746A" w:rsidP="00F6746A">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Car licence - Probationary P2</w:t>
            </w:r>
          </w:p>
        </w:tc>
        <w:tc>
          <w:tcPr>
            <w:tcW w:w="1500" w:type="dxa"/>
            <w:tcBorders>
              <w:top w:val="single" w:sz="18" w:space="0" w:color="BFBFBF"/>
              <w:left w:val="nil"/>
              <w:bottom w:val="single" w:sz="8" w:space="0" w:color="BFBFBF"/>
              <w:right w:val="single" w:sz="8" w:space="0" w:color="BFBFBF"/>
            </w:tcBorders>
            <w:shd w:val="clear" w:color="auto" w:fill="auto"/>
            <w:noWrap/>
            <w:vAlign w:val="center"/>
            <w:hideMark/>
          </w:tcPr>
          <w:p w14:paraId="0F2D24A3" w14:textId="77777777" w:rsidR="0076363D" w:rsidRPr="00A2783D" w:rsidRDefault="00F6746A" w:rsidP="0076363D">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24</w:t>
            </w:r>
            <w:r>
              <w:rPr>
                <w:rFonts w:ascii="Segoe UI" w:eastAsia="Times New Roman" w:hAnsi="Segoe UI" w:cs="Segoe UI"/>
                <w:sz w:val="18"/>
                <w:szCs w:val="18"/>
                <w:lang w:eastAsia="en-AU"/>
              </w:rPr>
              <w:t>8</w:t>
            </w:r>
            <w:r w:rsidRPr="00A2783D">
              <w:rPr>
                <w:rFonts w:ascii="Segoe UI" w:eastAsia="Times New Roman" w:hAnsi="Segoe UI" w:cs="Segoe UI"/>
                <w:sz w:val="18"/>
                <w:szCs w:val="18"/>
                <w:lang w:eastAsia="en-AU"/>
              </w:rPr>
              <w:t>,</w:t>
            </w:r>
            <w:r>
              <w:rPr>
                <w:rFonts w:ascii="Segoe UI" w:eastAsia="Times New Roman" w:hAnsi="Segoe UI" w:cs="Segoe UI"/>
                <w:sz w:val="18"/>
                <w:szCs w:val="18"/>
                <w:lang w:eastAsia="en-AU"/>
              </w:rPr>
              <w:t>99</w:t>
            </w:r>
            <w:r w:rsidR="0076363D">
              <w:rPr>
                <w:rFonts w:ascii="Segoe UI" w:eastAsia="Times New Roman" w:hAnsi="Segoe UI" w:cs="Segoe UI"/>
                <w:sz w:val="18"/>
                <w:szCs w:val="18"/>
                <w:lang w:eastAsia="en-AU"/>
              </w:rPr>
              <w:t>2</w:t>
            </w:r>
          </w:p>
        </w:tc>
        <w:tc>
          <w:tcPr>
            <w:tcW w:w="1236" w:type="dxa"/>
            <w:tcBorders>
              <w:top w:val="single" w:sz="18" w:space="0" w:color="BFBFBF"/>
              <w:left w:val="nil"/>
              <w:bottom w:val="single" w:sz="8" w:space="0" w:color="BFBFBF"/>
              <w:right w:val="single" w:sz="8" w:space="0" w:color="BFBFBF"/>
            </w:tcBorders>
            <w:shd w:val="clear" w:color="auto" w:fill="auto"/>
            <w:vAlign w:val="center"/>
            <w:hideMark/>
          </w:tcPr>
          <w:p w14:paraId="51E32C00" w14:textId="77777777" w:rsidR="00F6746A" w:rsidRPr="00A2783D" w:rsidRDefault="00F6746A" w:rsidP="00F6746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5.2</w:t>
            </w:r>
            <w:r>
              <w:rPr>
                <w:rFonts w:ascii="Segoe UI" w:eastAsia="Times New Roman" w:hAnsi="Segoe UI" w:cs="Segoe UI"/>
                <w:sz w:val="18"/>
                <w:szCs w:val="18"/>
                <w:lang w:eastAsia="en-AU"/>
              </w:rPr>
              <w:t>6</w:t>
            </w:r>
            <w:r w:rsidRPr="00A2783D">
              <w:rPr>
                <w:rFonts w:ascii="Segoe UI" w:eastAsia="Times New Roman" w:hAnsi="Segoe UI" w:cs="Segoe UI"/>
                <w:sz w:val="18"/>
                <w:szCs w:val="18"/>
                <w:lang w:eastAsia="en-AU"/>
              </w:rPr>
              <w:t>%</w:t>
            </w:r>
          </w:p>
        </w:tc>
      </w:tr>
      <w:tr w:rsidR="00F6746A" w:rsidRPr="00A2783D" w14:paraId="7A5D67B8" w14:textId="77777777" w:rsidTr="00514DD7">
        <w:trPr>
          <w:trHeight w:val="315"/>
        </w:trPr>
        <w:tc>
          <w:tcPr>
            <w:tcW w:w="4200" w:type="dxa"/>
            <w:tcBorders>
              <w:top w:val="nil"/>
              <w:left w:val="single" w:sz="8" w:space="0" w:color="BFBFBF"/>
              <w:bottom w:val="single" w:sz="8" w:space="0" w:color="BFBFBF"/>
              <w:right w:val="single" w:sz="8" w:space="0" w:color="BFBFBF"/>
            </w:tcBorders>
            <w:shd w:val="clear" w:color="auto" w:fill="auto"/>
            <w:noWrap/>
            <w:vAlign w:val="center"/>
          </w:tcPr>
          <w:p w14:paraId="2C469D88" w14:textId="77777777" w:rsidR="00F6746A" w:rsidRPr="00A2783D" w:rsidRDefault="00F6746A" w:rsidP="00F6746A">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 xml:space="preserve">Dual car &amp; motorcycle licence - Probationary P2 </w:t>
            </w:r>
          </w:p>
        </w:tc>
        <w:tc>
          <w:tcPr>
            <w:tcW w:w="1500" w:type="dxa"/>
            <w:tcBorders>
              <w:top w:val="nil"/>
              <w:left w:val="nil"/>
              <w:bottom w:val="single" w:sz="8" w:space="0" w:color="BFBFBF"/>
              <w:right w:val="single" w:sz="8" w:space="0" w:color="BFBFBF"/>
            </w:tcBorders>
            <w:shd w:val="clear" w:color="auto" w:fill="auto"/>
            <w:noWrap/>
            <w:vAlign w:val="center"/>
          </w:tcPr>
          <w:p w14:paraId="2C16338A" w14:textId="77777777" w:rsidR="00F6746A" w:rsidRPr="00A2783D" w:rsidRDefault="00F6746A" w:rsidP="00F6746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3,756</w:t>
            </w:r>
          </w:p>
        </w:tc>
        <w:tc>
          <w:tcPr>
            <w:tcW w:w="1236" w:type="dxa"/>
            <w:tcBorders>
              <w:top w:val="nil"/>
              <w:left w:val="nil"/>
              <w:bottom w:val="single" w:sz="8" w:space="0" w:color="BFBFBF"/>
              <w:right w:val="single" w:sz="8" w:space="0" w:color="BFBFBF"/>
            </w:tcBorders>
            <w:shd w:val="clear" w:color="auto" w:fill="auto"/>
            <w:vAlign w:val="center"/>
          </w:tcPr>
          <w:p w14:paraId="6AC3F365" w14:textId="77777777" w:rsidR="00F6746A" w:rsidRDefault="00F6746A" w:rsidP="00F6746A">
            <w:pPr>
              <w:spacing w:after="0" w:line="240" w:lineRule="auto"/>
              <w:jc w:val="right"/>
              <w:rPr>
                <w:rFonts w:ascii="Segoe UI" w:eastAsia="Times New Roman" w:hAnsi="Segoe UI" w:cs="Segoe UI"/>
                <w:sz w:val="18"/>
                <w:szCs w:val="18"/>
                <w:lang w:eastAsia="en-AU"/>
              </w:rPr>
            </w:pPr>
            <w:r>
              <w:rPr>
                <w:rFonts w:ascii="Segoe UI" w:eastAsia="Times New Roman" w:hAnsi="Segoe UI" w:cs="Segoe UI"/>
                <w:sz w:val="18"/>
                <w:szCs w:val="18"/>
                <w:lang w:eastAsia="en-AU"/>
              </w:rPr>
              <w:t>0.08</w:t>
            </w:r>
            <w:r w:rsidRPr="00A2783D">
              <w:rPr>
                <w:rFonts w:ascii="Segoe UI" w:eastAsia="Times New Roman" w:hAnsi="Segoe UI" w:cs="Segoe UI"/>
                <w:sz w:val="18"/>
                <w:szCs w:val="18"/>
                <w:lang w:eastAsia="en-AU"/>
              </w:rPr>
              <w:t>%</w:t>
            </w:r>
          </w:p>
        </w:tc>
      </w:tr>
      <w:tr w:rsidR="00F6746A" w:rsidRPr="00A2783D" w14:paraId="7163C9B6" w14:textId="77777777" w:rsidTr="00F6746A">
        <w:trPr>
          <w:trHeight w:val="315"/>
        </w:trPr>
        <w:tc>
          <w:tcPr>
            <w:tcW w:w="4200" w:type="dxa"/>
            <w:tcBorders>
              <w:top w:val="single" w:sz="8" w:space="0" w:color="BFBFBF"/>
              <w:left w:val="single" w:sz="8" w:space="0" w:color="BFBFBF"/>
              <w:bottom w:val="single" w:sz="18" w:space="0" w:color="BFBFBF"/>
              <w:right w:val="single" w:sz="8" w:space="0" w:color="BFBFBF"/>
            </w:tcBorders>
            <w:shd w:val="clear" w:color="auto" w:fill="auto"/>
            <w:noWrap/>
            <w:vAlign w:val="center"/>
          </w:tcPr>
          <w:p w14:paraId="6C60EB9C" w14:textId="77777777" w:rsidR="00F6746A" w:rsidRPr="00A2783D" w:rsidRDefault="00F6746A" w:rsidP="00F6746A">
            <w:pPr>
              <w:spacing w:after="0" w:line="240" w:lineRule="auto"/>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Motorcycle licence</w:t>
            </w:r>
            <w:r>
              <w:rPr>
                <w:rFonts w:ascii="Segoe UI" w:eastAsia="Times New Roman" w:hAnsi="Segoe UI" w:cs="Segoe UI"/>
                <w:sz w:val="18"/>
                <w:szCs w:val="18"/>
                <w:lang w:eastAsia="en-AU"/>
              </w:rPr>
              <w:t xml:space="preserve"> only</w:t>
            </w:r>
            <w:r w:rsidRPr="00A2783D">
              <w:rPr>
                <w:rFonts w:ascii="Segoe UI" w:eastAsia="Times New Roman" w:hAnsi="Segoe UI" w:cs="Segoe UI"/>
                <w:sz w:val="18"/>
                <w:szCs w:val="18"/>
                <w:lang w:eastAsia="en-AU"/>
              </w:rPr>
              <w:t xml:space="preserve"> - Probationary P2</w:t>
            </w:r>
          </w:p>
        </w:tc>
        <w:tc>
          <w:tcPr>
            <w:tcW w:w="1500" w:type="dxa"/>
            <w:tcBorders>
              <w:top w:val="single" w:sz="8" w:space="0" w:color="BFBFBF"/>
              <w:left w:val="nil"/>
              <w:bottom w:val="single" w:sz="18" w:space="0" w:color="BFBFBF"/>
              <w:right w:val="single" w:sz="8" w:space="0" w:color="BFBFBF"/>
            </w:tcBorders>
            <w:shd w:val="clear" w:color="auto" w:fill="auto"/>
            <w:noWrap/>
            <w:vAlign w:val="center"/>
          </w:tcPr>
          <w:p w14:paraId="5D3BC3EB" w14:textId="77777777" w:rsidR="00F6746A" w:rsidRPr="00A2783D" w:rsidRDefault="00F6746A" w:rsidP="00F6746A">
            <w:pPr>
              <w:spacing w:after="0" w:line="240" w:lineRule="auto"/>
              <w:jc w:val="right"/>
              <w:rPr>
                <w:rFonts w:ascii="Segoe UI" w:eastAsia="Times New Roman" w:hAnsi="Segoe UI" w:cs="Segoe UI"/>
                <w:sz w:val="18"/>
                <w:szCs w:val="18"/>
                <w:lang w:eastAsia="en-AU"/>
              </w:rPr>
            </w:pPr>
            <w:r w:rsidRPr="00A2783D">
              <w:rPr>
                <w:rFonts w:ascii="Segoe UI" w:eastAsia="Times New Roman" w:hAnsi="Segoe UI" w:cs="Segoe UI"/>
                <w:sz w:val="18"/>
                <w:szCs w:val="18"/>
                <w:lang w:eastAsia="en-AU"/>
              </w:rPr>
              <w:t>683</w:t>
            </w:r>
          </w:p>
        </w:tc>
        <w:tc>
          <w:tcPr>
            <w:tcW w:w="1236" w:type="dxa"/>
            <w:tcBorders>
              <w:top w:val="single" w:sz="8" w:space="0" w:color="BFBFBF"/>
              <w:left w:val="nil"/>
              <w:bottom w:val="single" w:sz="18" w:space="0" w:color="BFBFBF"/>
              <w:right w:val="single" w:sz="8" w:space="0" w:color="BFBFBF"/>
            </w:tcBorders>
            <w:shd w:val="clear" w:color="auto" w:fill="auto"/>
            <w:vAlign w:val="center"/>
          </w:tcPr>
          <w:p w14:paraId="58D7FF23" w14:textId="77777777" w:rsidR="00F6746A" w:rsidRPr="00A2783D" w:rsidRDefault="00F6746A" w:rsidP="00F6746A">
            <w:pPr>
              <w:spacing w:after="0" w:line="240" w:lineRule="auto"/>
              <w:jc w:val="right"/>
              <w:rPr>
                <w:rFonts w:ascii="Segoe UI" w:eastAsia="Times New Roman" w:hAnsi="Segoe UI" w:cs="Segoe UI"/>
                <w:sz w:val="18"/>
                <w:szCs w:val="18"/>
                <w:lang w:eastAsia="en-AU"/>
              </w:rPr>
            </w:pPr>
            <w:r>
              <w:rPr>
                <w:rFonts w:ascii="Segoe UI" w:eastAsia="Times New Roman" w:hAnsi="Segoe UI" w:cs="Segoe UI"/>
                <w:sz w:val="18"/>
                <w:szCs w:val="18"/>
                <w:lang w:eastAsia="en-AU"/>
              </w:rPr>
              <w:t>0.01</w:t>
            </w:r>
            <w:r w:rsidRPr="00A2783D">
              <w:rPr>
                <w:rFonts w:ascii="Segoe UI" w:eastAsia="Times New Roman" w:hAnsi="Segoe UI" w:cs="Segoe UI"/>
                <w:sz w:val="18"/>
                <w:szCs w:val="18"/>
                <w:lang w:eastAsia="en-AU"/>
              </w:rPr>
              <w:t>%</w:t>
            </w:r>
          </w:p>
        </w:tc>
      </w:tr>
      <w:tr w:rsidR="00F6746A" w:rsidRPr="00A2783D" w14:paraId="2EFBFA42" w14:textId="77777777" w:rsidTr="007063F4">
        <w:trPr>
          <w:trHeight w:val="315"/>
        </w:trPr>
        <w:tc>
          <w:tcPr>
            <w:tcW w:w="4200" w:type="dxa"/>
            <w:tcBorders>
              <w:top w:val="single" w:sz="18" w:space="0" w:color="BFBFBF"/>
              <w:left w:val="single" w:sz="8" w:space="0" w:color="BFBFBF"/>
              <w:bottom w:val="single" w:sz="8" w:space="0" w:color="BFBFBF"/>
              <w:right w:val="single" w:sz="8" w:space="0" w:color="BFBFBF"/>
            </w:tcBorders>
            <w:shd w:val="clear" w:color="auto" w:fill="auto"/>
            <w:noWrap/>
            <w:vAlign w:val="center"/>
            <w:hideMark/>
          </w:tcPr>
          <w:p w14:paraId="1C3E4FD1" w14:textId="77777777" w:rsidR="00F6746A" w:rsidRPr="00A2783D" w:rsidRDefault="00F6746A" w:rsidP="00F6746A">
            <w:pPr>
              <w:spacing w:after="0" w:line="240" w:lineRule="auto"/>
              <w:rPr>
                <w:rFonts w:ascii="Segoe UI" w:eastAsia="Times New Roman" w:hAnsi="Segoe UI" w:cs="Segoe UI"/>
                <w:b/>
                <w:bCs/>
                <w:color w:val="000000"/>
                <w:sz w:val="18"/>
                <w:szCs w:val="18"/>
                <w:lang w:eastAsia="en-AU"/>
              </w:rPr>
            </w:pPr>
            <w:r w:rsidRPr="00A2783D">
              <w:rPr>
                <w:rFonts w:ascii="Segoe UI" w:eastAsia="Times New Roman" w:hAnsi="Segoe UI" w:cs="Segoe UI"/>
                <w:b/>
                <w:bCs/>
                <w:color w:val="000000"/>
                <w:sz w:val="18"/>
                <w:szCs w:val="18"/>
                <w:lang w:eastAsia="en-AU"/>
              </w:rPr>
              <w:t>TOTAL</w:t>
            </w:r>
          </w:p>
        </w:tc>
        <w:tc>
          <w:tcPr>
            <w:tcW w:w="1500" w:type="dxa"/>
            <w:tcBorders>
              <w:top w:val="single" w:sz="18" w:space="0" w:color="BFBFBF"/>
              <w:left w:val="nil"/>
              <w:bottom w:val="single" w:sz="8" w:space="0" w:color="BFBFBF"/>
              <w:right w:val="single" w:sz="8" w:space="0" w:color="BFBFBF"/>
            </w:tcBorders>
            <w:shd w:val="clear" w:color="auto" w:fill="auto"/>
            <w:noWrap/>
            <w:vAlign w:val="center"/>
            <w:hideMark/>
          </w:tcPr>
          <w:p w14:paraId="1D88D2C7" w14:textId="77777777" w:rsidR="00F6746A" w:rsidRPr="00A2783D" w:rsidRDefault="00F6746A" w:rsidP="00F6746A">
            <w:pPr>
              <w:spacing w:after="0" w:line="240" w:lineRule="auto"/>
              <w:jc w:val="right"/>
              <w:rPr>
                <w:rFonts w:ascii="Segoe UI" w:eastAsia="Times New Roman" w:hAnsi="Segoe UI" w:cs="Segoe UI"/>
                <w:b/>
                <w:bCs/>
                <w:color w:val="000000"/>
                <w:sz w:val="18"/>
                <w:szCs w:val="18"/>
                <w:lang w:eastAsia="en-AU"/>
              </w:rPr>
            </w:pPr>
            <w:r w:rsidRPr="00A2783D">
              <w:rPr>
                <w:rFonts w:ascii="Segoe UI" w:eastAsia="Times New Roman" w:hAnsi="Segoe UI" w:cs="Segoe UI"/>
                <w:b/>
                <w:bCs/>
                <w:color w:val="000000"/>
                <w:sz w:val="18"/>
                <w:szCs w:val="18"/>
                <w:lang w:eastAsia="en-AU"/>
              </w:rPr>
              <w:t>4,73</w:t>
            </w:r>
            <w:r>
              <w:rPr>
                <w:rFonts w:ascii="Segoe UI" w:eastAsia="Times New Roman" w:hAnsi="Segoe UI" w:cs="Segoe UI"/>
                <w:b/>
                <w:bCs/>
                <w:color w:val="000000"/>
                <w:sz w:val="18"/>
                <w:szCs w:val="18"/>
                <w:lang w:eastAsia="en-AU"/>
              </w:rPr>
              <w:t>3</w:t>
            </w:r>
            <w:r w:rsidRPr="00A2783D">
              <w:rPr>
                <w:rFonts w:ascii="Segoe UI" w:eastAsia="Times New Roman" w:hAnsi="Segoe UI" w:cs="Segoe UI"/>
                <w:b/>
                <w:bCs/>
                <w:color w:val="000000"/>
                <w:sz w:val="18"/>
                <w:szCs w:val="18"/>
                <w:lang w:eastAsia="en-AU"/>
              </w:rPr>
              <w:t>,</w:t>
            </w:r>
            <w:r>
              <w:rPr>
                <w:rFonts w:ascii="Segoe UI" w:eastAsia="Times New Roman" w:hAnsi="Segoe UI" w:cs="Segoe UI"/>
                <w:b/>
                <w:bCs/>
                <w:color w:val="000000"/>
                <w:sz w:val="18"/>
                <w:szCs w:val="18"/>
                <w:lang w:eastAsia="en-AU"/>
              </w:rPr>
              <w:t>69</w:t>
            </w:r>
            <w:r w:rsidR="0076363D">
              <w:rPr>
                <w:rFonts w:ascii="Segoe UI" w:eastAsia="Times New Roman" w:hAnsi="Segoe UI" w:cs="Segoe UI"/>
                <w:b/>
                <w:bCs/>
                <w:color w:val="000000"/>
                <w:sz w:val="18"/>
                <w:szCs w:val="18"/>
                <w:lang w:eastAsia="en-AU"/>
              </w:rPr>
              <w:t>0</w:t>
            </w:r>
          </w:p>
        </w:tc>
        <w:tc>
          <w:tcPr>
            <w:tcW w:w="1236" w:type="dxa"/>
            <w:tcBorders>
              <w:top w:val="single" w:sz="18" w:space="0" w:color="BFBFBF"/>
              <w:left w:val="nil"/>
              <w:bottom w:val="single" w:sz="8" w:space="0" w:color="BFBFBF"/>
              <w:right w:val="single" w:sz="8" w:space="0" w:color="BFBFBF"/>
            </w:tcBorders>
            <w:shd w:val="clear" w:color="auto" w:fill="auto"/>
            <w:vAlign w:val="center"/>
            <w:hideMark/>
          </w:tcPr>
          <w:p w14:paraId="250AEB92" w14:textId="77777777" w:rsidR="00F6746A" w:rsidRPr="00A2783D" w:rsidRDefault="00F6746A" w:rsidP="00F6746A">
            <w:pPr>
              <w:spacing w:after="0" w:line="240" w:lineRule="auto"/>
              <w:jc w:val="right"/>
              <w:rPr>
                <w:rFonts w:ascii="Segoe UI" w:eastAsia="Times New Roman" w:hAnsi="Segoe UI" w:cs="Segoe UI"/>
                <w:b/>
                <w:bCs/>
                <w:color w:val="000000"/>
                <w:sz w:val="18"/>
                <w:szCs w:val="18"/>
                <w:lang w:eastAsia="en-AU"/>
              </w:rPr>
            </w:pPr>
            <w:r>
              <w:rPr>
                <w:rFonts w:ascii="Segoe UI" w:eastAsia="Times New Roman" w:hAnsi="Segoe UI" w:cs="Segoe UI"/>
                <w:b/>
                <w:bCs/>
                <w:color w:val="000000"/>
                <w:sz w:val="18"/>
                <w:szCs w:val="18"/>
                <w:lang w:eastAsia="en-AU"/>
              </w:rPr>
              <w:t>100</w:t>
            </w:r>
            <w:r w:rsidRPr="00A2783D">
              <w:rPr>
                <w:rFonts w:ascii="Segoe UI" w:eastAsia="Times New Roman" w:hAnsi="Segoe UI" w:cs="Segoe UI"/>
                <w:b/>
                <w:bCs/>
                <w:color w:val="000000"/>
                <w:sz w:val="18"/>
                <w:szCs w:val="18"/>
                <w:lang w:eastAsia="en-AU"/>
              </w:rPr>
              <w:t>%</w:t>
            </w:r>
          </w:p>
        </w:tc>
      </w:tr>
    </w:tbl>
    <w:p w14:paraId="13BC94FD" w14:textId="2295D8F0" w:rsidR="00A2783D" w:rsidRDefault="00A2783D" w:rsidP="00A2783D">
      <w:pPr>
        <w:pStyle w:val="Source"/>
      </w:pPr>
      <w:r w:rsidRPr="00117C96">
        <w:t>Source</w:t>
      </w:r>
      <w:r>
        <w:t>:</w:t>
      </w:r>
      <w:r w:rsidRPr="00117C96">
        <w:t xml:space="preserve"> VicRoads DLS</w:t>
      </w:r>
      <w:r>
        <w:t>, 2019</w:t>
      </w:r>
    </w:p>
    <w:p w14:paraId="69B03D09" w14:textId="77777777" w:rsidR="00641E98" w:rsidRDefault="00641E98" w:rsidP="004E5E19">
      <w:pPr>
        <w:pStyle w:val="Source"/>
      </w:pPr>
    </w:p>
    <w:p w14:paraId="25F84F6E" w14:textId="0F6DEFDF" w:rsidR="00122C1B" w:rsidRDefault="00122C1B" w:rsidP="00204937">
      <w:pPr>
        <w:pStyle w:val="TextPara"/>
        <w:rPr>
          <w:rFonts w:cs="Segoe UI"/>
          <w:lang w:eastAsia="en-AU"/>
        </w:rPr>
      </w:pPr>
      <w:r>
        <w:rPr>
          <w:rFonts w:cs="Segoe UI"/>
          <w:lang w:eastAsia="en-AU"/>
        </w:rPr>
        <w:fldChar w:fldCharType="begin"/>
      </w:r>
      <w:r>
        <w:rPr>
          <w:rFonts w:cs="Segoe UI"/>
          <w:lang w:eastAsia="en-AU"/>
        </w:rPr>
        <w:instrText xml:space="preserve"> REF _Ref499905804 \h </w:instrText>
      </w:r>
      <w:r>
        <w:rPr>
          <w:rFonts w:cs="Segoe UI"/>
          <w:lang w:eastAsia="en-AU"/>
        </w:rPr>
      </w:r>
      <w:r>
        <w:rPr>
          <w:rFonts w:cs="Segoe UI"/>
          <w:lang w:eastAsia="en-AU"/>
        </w:rPr>
        <w:fldChar w:fldCharType="separate"/>
      </w:r>
      <w:r w:rsidR="00EB4B02" w:rsidRPr="00117C96">
        <w:t xml:space="preserve">Table </w:t>
      </w:r>
      <w:r w:rsidR="00EB4B02">
        <w:rPr>
          <w:noProof/>
        </w:rPr>
        <w:t>11</w:t>
      </w:r>
      <w:r>
        <w:rPr>
          <w:rFonts w:cs="Segoe UI"/>
          <w:lang w:eastAsia="en-AU"/>
        </w:rPr>
        <w:fldChar w:fldCharType="end"/>
      </w:r>
      <w:r>
        <w:rPr>
          <w:rFonts w:cs="Segoe UI"/>
          <w:lang w:eastAsia="en-AU"/>
        </w:rPr>
        <w:t xml:space="preserve"> provides a profile </w:t>
      </w:r>
      <w:r w:rsidR="0092794B">
        <w:rPr>
          <w:rFonts w:cs="Segoe UI"/>
          <w:lang w:eastAsia="en-AU"/>
        </w:rPr>
        <w:t xml:space="preserve">of learners and probationary drivers </w:t>
      </w:r>
      <w:r>
        <w:rPr>
          <w:rFonts w:cs="Segoe UI"/>
          <w:lang w:eastAsia="en-AU"/>
        </w:rPr>
        <w:t xml:space="preserve">by </w:t>
      </w:r>
      <w:r w:rsidRPr="00117C96">
        <w:rPr>
          <w:rFonts w:cs="Segoe UI"/>
          <w:lang w:eastAsia="en-AU"/>
        </w:rPr>
        <w:t>age</w:t>
      </w:r>
      <w:r w:rsidR="0092794B">
        <w:rPr>
          <w:rFonts w:cs="Segoe UI"/>
          <w:lang w:eastAsia="en-AU"/>
        </w:rPr>
        <w:t xml:space="preserve"> at</w:t>
      </w:r>
      <w:r w:rsidR="002C7F3C">
        <w:rPr>
          <w:rFonts w:cs="Segoe UI"/>
          <w:lang w:eastAsia="en-AU"/>
        </w:rPr>
        <w:t xml:space="preserve"> the</w:t>
      </w:r>
      <w:r w:rsidR="0092794B">
        <w:rPr>
          <w:rFonts w:cs="Segoe UI"/>
          <w:lang w:eastAsia="en-AU"/>
        </w:rPr>
        <w:t xml:space="preserve"> time of issuing of the </w:t>
      </w:r>
      <w:r w:rsidR="002C7F3C">
        <w:rPr>
          <w:rFonts w:cs="Segoe UI"/>
          <w:lang w:eastAsia="en-AU"/>
        </w:rPr>
        <w:t xml:space="preserve">learner </w:t>
      </w:r>
      <w:r w:rsidR="0092794B">
        <w:rPr>
          <w:rFonts w:cs="Segoe UI"/>
          <w:lang w:eastAsia="en-AU"/>
        </w:rPr>
        <w:t>permit or</w:t>
      </w:r>
      <w:r w:rsidRPr="00117C96">
        <w:rPr>
          <w:rFonts w:cs="Segoe UI"/>
          <w:lang w:eastAsia="en-AU"/>
        </w:rPr>
        <w:t xml:space="preserve"> probationary licence in Victoria </w:t>
      </w:r>
      <w:r w:rsidR="0092794B">
        <w:rPr>
          <w:rFonts w:cs="Segoe UI"/>
          <w:lang w:eastAsia="en-AU"/>
        </w:rPr>
        <w:t>as at 31 December 2018</w:t>
      </w:r>
      <w:r w:rsidRPr="00117C96">
        <w:rPr>
          <w:rFonts w:cs="Segoe UI"/>
          <w:lang w:eastAsia="en-AU"/>
        </w:rPr>
        <w:t>.</w:t>
      </w:r>
      <w:r>
        <w:rPr>
          <w:rFonts w:cs="Segoe UI"/>
          <w:lang w:eastAsia="en-AU"/>
        </w:rPr>
        <w:t xml:space="preserve"> </w:t>
      </w:r>
      <w:r w:rsidR="00407411">
        <w:rPr>
          <w:rFonts w:cs="Segoe UI"/>
          <w:lang w:eastAsia="en-AU"/>
        </w:rPr>
        <w:t>56</w:t>
      </w:r>
      <w:r w:rsidR="002C7F3C">
        <w:rPr>
          <w:rFonts w:cs="Segoe UI"/>
          <w:lang w:eastAsia="en-AU"/>
        </w:rPr>
        <w:t>% of learners were aged between 16 and 21 years and 58% of probationary drivers between 18 and 21 years</w:t>
      </w:r>
      <w:r>
        <w:rPr>
          <w:rFonts w:cs="Segoe UI"/>
          <w:lang w:eastAsia="en-AU"/>
        </w:rPr>
        <w:t>.</w:t>
      </w:r>
    </w:p>
    <w:p w14:paraId="420BF0AC" w14:textId="0D32D3FC" w:rsidR="00122C1B" w:rsidRPr="00117C96" w:rsidRDefault="00122C1B" w:rsidP="00AA0BBA">
      <w:pPr>
        <w:pStyle w:val="Caption"/>
      </w:pPr>
      <w:bookmarkStart w:id="125" w:name="_Ref499905804"/>
      <w:bookmarkStart w:id="126" w:name="_Toc10703704"/>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11</w:t>
      </w:r>
      <w:r w:rsidR="00BC6B2E">
        <w:rPr>
          <w:noProof/>
        </w:rPr>
        <w:fldChar w:fldCharType="end"/>
      </w:r>
      <w:bookmarkEnd w:id="125"/>
      <w:r w:rsidRPr="00117C96">
        <w:t xml:space="preserve"> – </w:t>
      </w:r>
      <w:r w:rsidR="00391180">
        <w:t xml:space="preserve">GLS </w:t>
      </w:r>
      <w:r w:rsidR="00391180" w:rsidRPr="00117C96">
        <w:t xml:space="preserve">driver </w:t>
      </w:r>
      <w:r w:rsidRPr="00117C96">
        <w:t>profile by age</w:t>
      </w:r>
      <w:r w:rsidR="00D171E3">
        <w:t xml:space="preserve"> group: </w:t>
      </w:r>
      <w:r w:rsidR="00CB596C">
        <w:t>current</w:t>
      </w:r>
      <w:r w:rsidR="00391180" w:rsidRPr="00117C96">
        <w:t xml:space="preserve"> </w:t>
      </w:r>
      <w:r w:rsidRPr="00117C96">
        <w:t xml:space="preserve">Victorian </w:t>
      </w:r>
      <w:r w:rsidR="00412C3B">
        <w:t>learner permit</w:t>
      </w:r>
      <w:r w:rsidR="00D171E3">
        <w:t>s</w:t>
      </w:r>
      <w:r w:rsidR="00412C3B">
        <w:t xml:space="preserve"> and </w:t>
      </w:r>
      <w:r>
        <w:t xml:space="preserve">probationary </w:t>
      </w:r>
      <w:r w:rsidRPr="00117C96">
        <w:t>licence</w:t>
      </w:r>
      <w:r w:rsidR="00D171E3">
        <w:t>s</w:t>
      </w:r>
      <w:r w:rsidRPr="00117C96">
        <w:t xml:space="preserve"> </w:t>
      </w:r>
      <w:r w:rsidR="00412C3B">
        <w:t>as at</w:t>
      </w:r>
      <w:r w:rsidR="00565FD7">
        <w:t xml:space="preserve"> </w:t>
      </w:r>
      <w:r w:rsidR="00412C3B">
        <w:t>31</w:t>
      </w:r>
      <w:r w:rsidR="00565FD7">
        <w:t xml:space="preserve"> </w:t>
      </w:r>
      <w:r w:rsidR="00412C3B">
        <w:t>December 2018</w:t>
      </w:r>
      <w:bookmarkEnd w:id="126"/>
    </w:p>
    <w:tbl>
      <w:tblPr>
        <w:tblW w:w="10065" w:type="dxa"/>
        <w:tblInd w:w="-10" w:type="dxa"/>
        <w:tblLook w:val="04A0" w:firstRow="1" w:lastRow="0" w:firstColumn="1" w:lastColumn="0" w:noHBand="0" w:noVBand="1"/>
      </w:tblPr>
      <w:tblGrid>
        <w:gridCol w:w="1843"/>
        <w:gridCol w:w="836"/>
        <w:gridCol w:w="897"/>
        <w:gridCol w:w="874"/>
        <w:gridCol w:w="836"/>
        <w:gridCol w:w="836"/>
        <w:gridCol w:w="824"/>
        <w:gridCol w:w="851"/>
        <w:gridCol w:w="732"/>
        <w:gridCol w:w="732"/>
        <w:gridCol w:w="946"/>
      </w:tblGrid>
      <w:tr w:rsidR="00B40919" w:rsidRPr="00F067A7" w14:paraId="3E43AE50" w14:textId="77777777" w:rsidTr="008E724D">
        <w:trPr>
          <w:trHeight w:val="315"/>
        </w:trPr>
        <w:tc>
          <w:tcPr>
            <w:tcW w:w="1843" w:type="dxa"/>
            <w:vMerge w:val="restart"/>
            <w:tcBorders>
              <w:top w:val="single" w:sz="8" w:space="0" w:color="BFBFBF"/>
              <w:left w:val="single" w:sz="8" w:space="0" w:color="BFBFBF"/>
              <w:bottom w:val="single" w:sz="8" w:space="0" w:color="BFBFBF"/>
              <w:right w:val="single" w:sz="8" w:space="0" w:color="BFBFBF"/>
            </w:tcBorders>
            <w:shd w:val="clear" w:color="000000" w:fill="0A1F3F"/>
            <w:noWrap/>
            <w:vAlign w:val="center"/>
            <w:hideMark/>
          </w:tcPr>
          <w:p w14:paraId="5F1CDBC9"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Licence &amp; Permit Type</w:t>
            </w:r>
          </w:p>
        </w:tc>
        <w:tc>
          <w:tcPr>
            <w:tcW w:w="8222" w:type="dxa"/>
            <w:gridSpan w:val="10"/>
            <w:tcBorders>
              <w:top w:val="single" w:sz="8" w:space="0" w:color="BFBFBF"/>
              <w:left w:val="nil"/>
              <w:bottom w:val="single" w:sz="8" w:space="0" w:color="BFBFBF"/>
              <w:right w:val="single" w:sz="8" w:space="0" w:color="BFBFBF"/>
            </w:tcBorders>
            <w:shd w:val="clear" w:color="000000" w:fill="0A1F3F"/>
            <w:noWrap/>
            <w:vAlign w:val="center"/>
            <w:hideMark/>
          </w:tcPr>
          <w:p w14:paraId="71289E09"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 xml:space="preserve">Age </w:t>
            </w:r>
            <w:r>
              <w:rPr>
                <w:rFonts w:ascii="Segoe UI" w:eastAsia="Times New Roman" w:hAnsi="Segoe UI" w:cs="Segoe UI"/>
                <w:b/>
                <w:bCs/>
                <w:color w:val="FFFFFF"/>
                <w:sz w:val="18"/>
                <w:szCs w:val="18"/>
                <w:lang w:eastAsia="en-AU"/>
              </w:rPr>
              <w:t xml:space="preserve">Group </w:t>
            </w:r>
            <w:r w:rsidRPr="00F067A7">
              <w:rPr>
                <w:rFonts w:ascii="Segoe UI" w:eastAsia="Times New Roman" w:hAnsi="Segoe UI" w:cs="Segoe UI"/>
                <w:b/>
                <w:bCs/>
                <w:color w:val="FFFFFF"/>
                <w:sz w:val="18"/>
                <w:szCs w:val="18"/>
                <w:lang w:eastAsia="en-AU"/>
              </w:rPr>
              <w:t>(years) </w:t>
            </w:r>
          </w:p>
        </w:tc>
      </w:tr>
      <w:tr w:rsidR="00B40919" w:rsidRPr="00F067A7" w14:paraId="5DBD2976" w14:textId="77777777" w:rsidTr="008E724D">
        <w:trPr>
          <w:trHeight w:val="315"/>
        </w:trPr>
        <w:tc>
          <w:tcPr>
            <w:tcW w:w="1843" w:type="dxa"/>
            <w:vMerge/>
            <w:tcBorders>
              <w:top w:val="single" w:sz="8" w:space="0" w:color="BFBFBF"/>
              <w:left w:val="single" w:sz="8" w:space="0" w:color="BFBFBF"/>
              <w:bottom w:val="single" w:sz="8" w:space="0" w:color="BFBFBF"/>
              <w:right w:val="single" w:sz="8" w:space="0" w:color="BFBFBF"/>
            </w:tcBorders>
            <w:vAlign w:val="center"/>
            <w:hideMark/>
          </w:tcPr>
          <w:p w14:paraId="45831465" w14:textId="77777777" w:rsidR="00F067A7" w:rsidRPr="00F067A7" w:rsidRDefault="00F067A7" w:rsidP="00F067A7">
            <w:pPr>
              <w:spacing w:after="0" w:line="240" w:lineRule="auto"/>
              <w:rPr>
                <w:rFonts w:ascii="Segoe UI" w:eastAsia="Times New Roman" w:hAnsi="Segoe UI" w:cs="Segoe UI"/>
                <w:b/>
                <w:bCs/>
                <w:color w:val="FFFFFF"/>
                <w:sz w:val="18"/>
                <w:szCs w:val="18"/>
                <w:lang w:eastAsia="en-AU"/>
              </w:rPr>
            </w:pPr>
          </w:p>
        </w:tc>
        <w:tc>
          <w:tcPr>
            <w:tcW w:w="694" w:type="dxa"/>
            <w:tcBorders>
              <w:top w:val="nil"/>
              <w:left w:val="nil"/>
              <w:bottom w:val="single" w:sz="8" w:space="0" w:color="BFBFBF"/>
              <w:right w:val="single" w:sz="8" w:space="0" w:color="BFBFBF"/>
            </w:tcBorders>
            <w:shd w:val="clear" w:color="000000" w:fill="0A1F3F"/>
            <w:noWrap/>
            <w:vAlign w:val="center"/>
            <w:hideMark/>
          </w:tcPr>
          <w:p w14:paraId="50B23EA8"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16-17</w:t>
            </w:r>
          </w:p>
        </w:tc>
        <w:tc>
          <w:tcPr>
            <w:tcW w:w="897" w:type="dxa"/>
            <w:tcBorders>
              <w:top w:val="nil"/>
              <w:left w:val="nil"/>
              <w:bottom w:val="single" w:sz="8" w:space="0" w:color="BFBFBF"/>
              <w:right w:val="single" w:sz="8" w:space="0" w:color="BFBFBF"/>
            </w:tcBorders>
            <w:shd w:val="clear" w:color="000000" w:fill="0A1F3F"/>
            <w:noWrap/>
            <w:vAlign w:val="center"/>
            <w:hideMark/>
          </w:tcPr>
          <w:p w14:paraId="611A964F"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18-21</w:t>
            </w:r>
          </w:p>
        </w:tc>
        <w:tc>
          <w:tcPr>
            <w:tcW w:w="874" w:type="dxa"/>
            <w:tcBorders>
              <w:top w:val="nil"/>
              <w:left w:val="nil"/>
              <w:bottom w:val="single" w:sz="8" w:space="0" w:color="BFBFBF"/>
              <w:right w:val="single" w:sz="8" w:space="0" w:color="BFBFBF"/>
            </w:tcBorders>
            <w:shd w:val="clear" w:color="000000" w:fill="0A1F3F"/>
            <w:noWrap/>
            <w:vAlign w:val="center"/>
            <w:hideMark/>
          </w:tcPr>
          <w:p w14:paraId="54054863"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22-25</w:t>
            </w:r>
          </w:p>
        </w:tc>
        <w:tc>
          <w:tcPr>
            <w:tcW w:w="836" w:type="dxa"/>
            <w:tcBorders>
              <w:top w:val="nil"/>
              <w:left w:val="nil"/>
              <w:bottom w:val="single" w:sz="8" w:space="0" w:color="BFBFBF"/>
              <w:right w:val="single" w:sz="8" w:space="0" w:color="BFBFBF"/>
            </w:tcBorders>
            <w:shd w:val="clear" w:color="000000" w:fill="0A1F3F"/>
            <w:noWrap/>
            <w:vAlign w:val="center"/>
            <w:hideMark/>
          </w:tcPr>
          <w:p w14:paraId="69B6E92F"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26-30</w:t>
            </w:r>
          </w:p>
        </w:tc>
        <w:tc>
          <w:tcPr>
            <w:tcW w:w="836" w:type="dxa"/>
            <w:tcBorders>
              <w:top w:val="nil"/>
              <w:left w:val="nil"/>
              <w:bottom w:val="single" w:sz="8" w:space="0" w:color="BFBFBF"/>
              <w:right w:val="single" w:sz="8" w:space="0" w:color="BFBFBF"/>
            </w:tcBorders>
            <w:shd w:val="clear" w:color="000000" w:fill="0A1F3F"/>
            <w:noWrap/>
            <w:vAlign w:val="center"/>
            <w:hideMark/>
          </w:tcPr>
          <w:p w14:paraId="291CAD82"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31-50</w:t>
            </w:r>
          </w:p>
        </w:tc>
        <w:tc>
          <w:tcPr>
            <w:tcW w:w="824" w:type="dxa"/>
            <w:tcBorders>
              <w:top w:val="nil"/>
              <w:left w:val="nil"/>
              <w:bottom w:val="single" w:sz="8" w:space="0" w:color="BFBFBF"/>
              <w:right w:val="single" w:sz="8" w:space="0" w:color="BFBFBF"/>
            </w:tcBorders>
            <w:shd w:val="clear" w:color="000000" w:fill="0A1F3F"/>
            <w:noWrap/>
            <w:vAlign w:val="center"/>
            <w:hideMark/>
          </w:tcPr>
          <w:p w14:paraId="4C390A40"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51-70</w:t>
            </w:r>
          </w:p>
        </w:tc>
        <w:tc>
          <w:tcPr>
            <w:tcW w:w="851" w:type="dxa"/>
            <w:tcBorders>
              <w:top w:val="nil"/>
              <w:left w:val="nil"/>
              <w:bottom w:val="single" w:sz="8" w:space="0" w:color="BFBFBF"/>
              <w:right w:val="single" w:sz="8" w:space="0" w:color="BFBFBF"/>
            </w:tcBorders>
            <w:shd w:val="clear" w:color="000000" w:fill="0A1F3F"/>
            <w:noWrap/>
            <w:vAlign w:val="center"/>
            <w:hideMark/>
          </w:tcPr>
          <w:p w14:paraId="434B11AA"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71-80</w:t>
            </w:r>
          </w:p>
        </w:tc>
        <w:tc>
          <w:tcPr>
            <w:tcW w:w="732" w:type="dxa"/>
            <w:tcBorders>
              <w:top w:val="nil"/>
              <w:left w:val="nil"/>
              <w:bottom w:val="single" w:sz="8" w:space="0" w:color="BFBFBF"/>
              <w:right w:val="single" w:sz="8" w:space="0" w:color="BFBFBF"/>
            </w:tcBorders>
            <w:shd w:val="clear" w:color="000000" w:fill="0A1F3F"/>
            <w:noWrap/>
            <w:vAlign w:val="center"/>
            <w:hideMark/>
          </w:tcPr>
          <w:p w14:paraId="31F18D7C"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81-90</w:t>
            </w:r>
          </w:p>
        </w:tc>
        <w:tc>
          <w:tcPr>
            <w:tcW w:w="732" w:type="dxa"/>
            <w:tcBorders>
              <w:top w:val="nil"/>
              <w:left w:val="nil"/>
              <w:bottom w:val="single" w:sz="8" w:space="0" w:color="BFBFBF"/>
              <w:right w:val="single" w:sz="8" w:space="0" w:color="BFBFBF"/>
            </w:tcBorders>
            <w:shd w:val="clear" w:color="000000" w:fill="0A1F3F"/>
            <w:noWrap/>
            <w:vAlign w:val="center"/>
            <w:hideMark/>
          </w:tcPr>
          <w:p w14:paraId="1ACDA903" w14:textId="77777777" w:rsidR="00F067A7" w:rsidRPr="00F067A7" w:rsidRDefault="00F067A7" w:rsidP="00F067A7">
            <w:pPr>
              <w:spacing w:after="0" w:line="240" w:lineRule="auto"/>
              <w:jc w:val="center"/>
              <w:rPr>
                <w:rFonts w:ascii="Segoe UI" w:eastAsia="Times New Roman" w:hAnsi="Segoe UI" w:cs="Segoe UI"/>
                <w:b/>
                <w:bCs/>
                <w:color w:val="FFFFFF"/>
                <w:sz w:val="18"/>
                <w:szCs w:val="18"/>
                <w:lang w:eastAsia="en-AU"/>
              </w:rPr>
            </w:pPr>
            <w:r w:rsidRPr="00F067A7">
              <w:rPr>
                <w:rFonts w:ascii="Segoe UI" w:eastAsia="Times New Roman" w:hAnsi="Segoe UI" w:cs="Segoe UI"/>
                <w:b/>
                <w:bCs/>
                <w:color w:val="FFFFFF"/>
                <w:sz w:val="18"/>
                <w:szCs w:val="18"/>
                <w:lang w:eastAsia="en-AU"/>
              </w:rPr>
              <w:t>91+</w:t>
            </w:r>
          </w:p>
        </w:tc>
        <w:tc>
          <w:tcPr>
            <w:tcW w:w="946" w:type="dxa"/>
            <w:tcBorders>
              <w:top w:val="nil"/>
              <w:left w:val="nil"/>
              <w:bottom w:val="single" w:sz="8" w:space="0" w:color="BFBFBF"/>
              <w:right w:val="single" w:sz="8" w:space="0" w:color="BFBFBF"/>
            </w:tcBorders>
            <w:shd w:val="clear" w:color="000000" w:fill="0A1F3F"/>
            <w:noWrap/>
            <w:vAlign w:val="center"/>
            <w:hideMark/>
          </w:tcPr>
          <w:p w14:paraId="5ED99F32" w14:textId="77777777" w:rsidR="00F067A7" w:rsidRPr="00F067A7" w:rsidRDefault="00F067A7" w:rsidP="00F067A7">
            <w:pPr>
              <w:spacing w:after="0" w:line="240" w:lineRule="auto"/>
              <w:jc w:val="center"/>
              <w:rPr>
                <w:rFonts w:ascii="Segoe UI" w:eastAsia="Times New Roman" w:hAnsi="Segoe UI" w:cs="Segoe UI"/>
                <w:b/>
                <w:bCs/>
                <w:color w:val="FFFFFF" w:themeColor="background1"/>
                <w:sz w:val="18"/>
                <w:szCs w:val="18"/>
                <w:lang w:eastAsia="en-AU"/>
              </w:rPr>
            </w:pPr>
            <w:r w:rsidRPr="00F067A7">
              <w:rPr>
                <w:rFonts w:ascii="Segoe UI" w:eastAsia="Times New Roman" w:hAnsi="Segoe UI" w:cs="Segoe UI"/>
                <w:b/>
                <w:bCs/>
                <w:color w:val="FFFFFF" w:themeColor="background1"/>
                <w:sz w:val="18"/>
                <w:szCs w:val="18"/>
                <w:lang w:eastAsia="en-AU"/>
              </w:rPr>
              <w:t>Total</w:t>
            </w:r>
          </w:p>
        </w:tc>
      </w:tr>
      <w:tr w:rsidR="00B40919" w:rsidRPr="00F067A7" w14:paraId="2EAF0692" w14:textId="77777777" w:rsidTr="00C26A40">
        <w:trPr>
          <w:trHeight w:val="315"/>
        </w:trPr>
        <w:tc>
          <w:tcPr>
            <w:tcW w:w="1843" w:type="dxa"/>
            <w:tcBorders>
              <w:top w:val="nil"/>
              <w:left w:val="single" w:sz="8" w:space="0" w:color="BFBFBF"/>
              <w:bottom w:val="single" w:sz="8" w:space="0" w:color="BFBFBF"/>
              <w:right w:val="single" w:sz="8" w:space="0" w:color="BFBFBF"/>
            </w:tcBorders>
            <w:shd w:val="clear" w:color="auto" w:fill="auto"/>
            <w:noWrap/>
            <w:vAlign w:val="center"/>
            <w:hideMark/>
          </w:tcPr>
          <w:p w14:paraId="3CEC8E13" w14:textId="77777777" w:rsidR="00F067A7" w:rsidRPr="00F067A7" w:rsidRDefault="00F067A7" w:rsidP="00F067A7">
            <w:pPr>
              <w:spacing w:after="0" w:line="240" w:lineRule="auto"/>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Learner Permit</w:t>
            </w:r>
          </w:p>
        </w:tc>
        <w:tc>
          <w:tcPr>
            <w:tcW w:w="694" w:type="dxa"/>
            <w:tcBorders>
              <w:top w:val="nil"/>
              <w:left w:val="nil"/>
              <w:bottom w:val="single" w:sz="8" w:space="0" w:color="BFBFBF"/>
              <w:right w:val="single" w:sz="8" w:space="0" w:color="BFBFBF"/>
            </w:tcBorders>
            <w:shd w:val="clear" w:color="auto" w:fill="auto"/>
            <w:noWrap/>
            <w:vAlign w:val="center"/>
            <w:hideMark/>
          </w:tcPr>
          <w:p w14:paraId="5A13528E"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94,539</w:t>
            </w:r>
          </w:p>
        </w:tc>
        <w:tc>
          <w:tcPr>
            <w:tcW w:w="897" w:type="dxa"/>
            <w:tcBorders>
              <w:top w:val="nil"/>
              <w:left w:val="nil"/>
              <w:bottom w:val="single" w:sz="8" w:space="0" w:color="BFBFBF"/>
              <w:right w:val="single" w:sz="8" w:space="0" w:color="BFBFBF"/>
            </w:tcBorders>
            <w:shd w:val="clear" w:color="auto" w:fill="auto"/>
            <w:noWrap/>
            <w:vAlign w:val="center"/>
            <w:hideMark/>
          </w:tcPr>
          <w:p w14:paraId="325301C1"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88,852</w:t>
            </w:r>
          </w:p>
        </w:tc>
        <w:tc>
          <w:tcPr>
            <w:tcW w:w="874" w:type="dxa"/>
            <w:tcBorders>
              <w:top w:val="nil"/>
              <w:left w:val="nil"/>
              <w:bottom w:val="single" w:sz="8" w:space="0" w:color="BFBFBF"/>
              <w:right w:val="single" w:sz="8" w:space="0" w:color="BFBFBF"/>
            </w:tcBorders>
            <w:shd w:val="clear" w:color="auto" w:fill="auto"/>
            <w:noWrap/>
            <w:vAlign w:val="center"/>
            <w:hideMark/>
          </w:tcPr>
          <w:p w14:paraId="35771FBB"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40,799</w:t>
            </w:r>
          </w:p>
        </w:tc>
        <w:tc>
          <w:tcPr>
            <w:tcW w:w="836" w:type="dxa"/>
            <w:tcBorders>
              <w:top w:val="nil"/>
              <w:left w:val="nil"/>
              <w:bottom w:val="single" w:sz="8" w:space="0" w:color="BFBFBF"/>
              <w:right w:val="single" w:sz="8" w:space="0" w:color="BFBFBF"/>
            </w:tcBorders>
            <w:shd w:val="clear" w:color="auto" w:fill="auto"/>
            <w:noWrap/>
            <w:vAlign w:val="center"/>
            <w:hideMark/>
          </w:tcPr>
          <w:p w14:paraId="360921E0"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36,666</w:t>
            </w:r>
          </w:p>
        </w:tc>
        <w:tc>
          <w:tcPr>
            <w:tcW w:w="836" w:type="dxa"/>
            <w:tcBorders>
              <w:top w:val="nil"/>
              <w:left w:val="nil"/>
              <w:bottom w:val="single" w:sz="8" w:space="0" w:color="BFBFBF"/>
              <w:right w:val="single" w:sz="8" w:space="0" w:color="BFBFBF"/>
            </w:tcBorders>
            <w:shd w:val="clear" w:color="auto" w:fill="auto"/>
            <w:noWrap/>
            <w:vAlign w:val="center"/>
            <w:hideMark/>
          </w:tcPr>
          <w:p w14:paraId="17655928"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56,302</w:t>
            </w:r>
          </w:p>
        </w:tc>
        <w:tc>
          <w:tcPr>
            <w:tcW w:w="824" w:type="dxa"/>
            <w:tcBorders>
              <w:top w:val="nil"/>
              <w:left w:val="nil"/>
              <w:bottom w:val="single" w:sz="8" w:space="0" w:color="BFBFBF"/>
              <w:right w:val="single" w:sz="8" w:space="0" w:color="BFBFBF"/>
            </w:tcBorders>
            <w:shd w:val="clear" w:color="auto" w:fill="auto"/>
            <w:noWrap/>
            <w:vAlign w:val="center"/>
            <w:hideMark/>
          </w:tcPr>
          <w:p w14:paraId="261A11A6"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9,671</w:t>
            </w:r>
          </w:p>
        </w:tc>
        <w:tc>
          <w:tcPr>
            <w:tcW w:w="851" w:type="dxa"/>
            <w:tcBorders>
              <w:top w:val="nil"/>
              <w:left w:val="nil"/>
              <w:bottom w:val="single" w:sz="8" w:space="0" w:color="BFBFBF"/>
              <w:right w:val="single" w:sz="8" w:space="0" w:color="BFBFBF"/>
            </w:tcBorders>
            <w:shd w:val="clear" w:color="auto" w:fill="auto"/>
            <w:noWrap/>
            <w:vAlign w:val="center"/>
            <w:hideMark/>
          </w:tcPr>
          <w:p w14:paraId="5123D709"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661</w:t>
            </w:r>
          </w:p>
        </w:tc>
        <w:tc>
          <w:tcPr>
            <w:tcW w:w="732" w:type="dxa"/>
            <w:tcBorders>
              <w:top w:val="nil"/>
              <w:left w:val="nil"/>
              <w:bottom w:val="single" w:sz="8" w:space="0" w:color="BFBFBF"/>
              <w:right w:val="single" w:sz="8" w:space="0" w:color="BFBFBF"/>
            </w:tcBorders>
            <w:shd w:val="clear" w:color="auto" w:fill="auto"/>
            <w:noWrap/>
            <w:vAlign w:val="center"/>
            <w:hideMark/>
          </w:tcPr>
          <w:p w14:paraId="66FD43EB"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88</w:t>
            </w:r>
          </w:p>
        </w:tc>
        <w:tc>
          <w:tcPr>
            <w:tcW w:w="732" w:type="dxa"/>
            <w:tcBorders>
              <w:top w:val="nil"/>
              <w:left w:val="nil"/>
              <w:bottom w:val="single" w:sz="8" w:space="0" w:color="BFBFBF"/>
              <w:right w:val="single" w:sz="8" w:space="0" w:color="BFBFBF"/>
            </w:tcBorders>
            <w:shd w:val="clear" w:color="auto" w:fill="auto"/>
            <w:noWrap/>
            <w:vAlign w:val="center"/>
            <w:hideMark/>
          </w:tcPr>
          <w:p w14:paraId="1D236B6F"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14</w:t>
            </w:r>
          </w:p>
        </w:tc>
        <w:tc>
          <w:tcPr>
            <w:tcW w:w="946" w:type="dxa"/>
            <w:tcBorders>
              <w:top w:val="nil"/>
              <w:left w:val="nil"/>
              <w:bottom w:val="single" w:sz="8" w:space="0" w:color="BFBFBF"/>
              <w:right w:val="single" w:sz="8" w:space="0" w:color="BFBFBF"/>
            </w:tcBorders>
            <w:shd w:val="clear" w:color="auto" w:fill="auto"/>
            <w:noWrap/>
            <w:vAlign w:val="center"/>
            <w:hideMark/>
          </w:tcPr>
          <w:p w14:paraId="72DD4BBA" w14:textId="77777777" w:rsidR="00F067A7" w:rsidRPr="00F067A7" w:rsidRDefault="00F067A7" w:rsidP="00F067A7">
            <w:pPr>
              <w:spacing w:after="0" w:line="240" w:lineRule="auto"/>
              <w:jc w:val="right"/>
              <w:rPr>
                <w:rFonts w:ascii="Segoe UI" w:eastAsia="Times New Roman" w:hAnsi="Segoe UI" w:cs="Segoe UI"/>
                <w:color w:val="000000"/>
                <w:sz w:val="18"/>
                <w:szCs w:val="18"/>
                <w:lang w:eastAsia="en-AU"/>
              </w:rPr>
            </w:pPr>
            <w:r w:rsidRPr="00F067A7">
              <w:rPr>
                <w:rFonts w:ascii="Segoe UI" w:eastAsia="Times New Roman" w:hAnsi="Segoe UI" w:cs="Segoe UI"/>
                <w:color w:val="000000"/>
                <w:sz w:val="18"/>
                <w:szCs w:val="18"/>
                <w:lang w:eastAsia="en-AU"/>
              </w:rPr>
              <w:t>327,592</w:t>
            </w:r>
          </w:p>
        </w:tc>
      </w:tr>
      <w:tr w:rsidR="00B40919" w:rsidRPr="00F067A7" w14:paraId="002F3AD1" w14:textId="77777777" w:rsidTr="008E724D">
        <w:trPr>
          <w:trHeight w:val="315"/>
        </w:trPr>
        <w:tc>
          <w:tcPr>
            <w:tcW w:w="1843" w:type="dxa"/>
            <w:tcBorders>
              <w:top w:val="single" w:sz="8" w:space="0" w:color="BFBFBF"/>
              <w:left w:val="single" w:sz="8" w:space="0" w:color="BFBFBF"/>
              <w:bottom w:val="single" w:sz="18" w:space="0" w:color="BFBFBF"/>
              <w:right w:val="single" w:sz="8" w:space="0" w:color="BFBFBF"/>
            </w:tcBorders>
            <w:shd w:val="clear" w:color="auto" w:fill="auto"/>
            <w:noWrap/>
            <w:vAlign w:val="center"/>
            <w:hideMark/>
          </w:tcPr>
          <w:p w14:paraId="0B9BED61" w14:textId="77777777" w:rsidR="00F067A7" w:rsidRPr="00F067A7" w:rsidRDefault="00F067A7" w:rsidP="00F067A7">
            <w:pPr>
              <w:spacing w:after="0" w:line="240" w:lineRule="auto"/>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Proportion %</w:t>
            </w:r>
          </w:p>
        </w:tc>
        <w:tc>
          <w:tcPr>
            <w:tcW w:w="694" w:type="dxa"/>
            <w:tcBorders>
              <w:top w:val="single" w:sz="8" w:space="0" w:color="BFBFBF"/>
              <w:left w:val="nil"/>
              <w:bottom w:val="single" w:sz="18" w:space="0" w:color="BFBFBF"/>
              <w:right w:val="single" w:sz="8" w:space="0" w:color="BFBFBF"/>
            </w:tcBorders>
            <w:shd w:val="clear" w:color="auto" w:fill="auto"/>
            <w:noWrap/>
            <w:vAlign w:val="center"/>
            <w:hideMark/>
          </w:tcPr>
          <w:p w14:paraId="77EE49A6"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28.86%</w:t>
            </w:r>
          </w:p>
        </w:tc>
        <w:tc>
          <w:tcPr>
            <w:tcW w:w="897" w:type="dxa"/>
            <w:tcBorders>
              <w:top w:val="single" w:sz="8" w:space="0" w:color="BFBFBF"/>
              <w:left w:val="nil"/>
              <w:bottom w:val="single" w:sz="18" w:space="0" w:color="BFBFBF"/>
              <w:right w:val="single" w:sz="8" w:space="0" w:color="BFBFBF"/>
            </w:tcBorders>
            <w:shd w:val="clear" w:color="auto" w:fill="auto"/>
            <w:noWrap/>
            <w:vAlign w:val="center"/>
            <w:hideMark/>
          </w:tcPr>
          <w:p w14:paraId="0B8C53FA"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27.12%</w:t>
            </w:r>
          </w:p>
        </w:tc>
        <w:tc>
          <w:tcPr>
            <w:tcW w:w="874" w:type="dxa"/>
            <w:tcBorders>
              <w:top w:val="single" w:sz="8" w:space="0" w:color="BFBFBF"/>
              <w:left w:val="nil"/>
              <w:bottom w:val="single" w:sz="18" w:space="0" w:color="BFBFBF"/>
              <w:right w:val="single" w:sz="8" w:space="0" w:color="BFBFBF"/>
            </w:tcBorders>
            <w:shd w:val="clear" w:color="auto" w:fill="auto"/>
            <w:noWrap/>
            <w:vAlign w:val="center"/>
            <w:hideMark/>
          </w:tcPr>
          <w:p w14:paraId="217E5C3D"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12.45%</w:t>
            </w:r>
          </w:p>
        </w:tc>
        <w:tc>
          <w:tcPr>
            <w:tcW w:w="836" w:type="dxa"/>
            <w:tcBorders>
              <w:top w:val="single" w:sz="8" w:space="0" w:color="BFBFBF"/>
              <w:left w:val="nil"/>
              <w:bottom w:val="single" w:sz="18" w:space="0" w:color="BFBFBF"/>
              <w:right w:val="single" w:sz="8" w:space="0" w:color="BFBFBF"/>
            </w:tcBorders>
            <w:shd w:val="clear" w:color="auto" w:fill="auto"/>
            <w:noWrap/>
            <w:vAlign w:val="center"/>
            <w:hideMark/>
          </w:tcPr>
          <w:p w14:paraId="07A54F67"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11.19%</w:t>
            </w:r>
          </w:p>
        </w:tc>
        <w:tc>
          <w:tcPr>
            <w:tcW w:w="836" w:type="dxa"/>
            <w:tcBorders>
              <w:top w:val="single" w:sz="8" w:space="0" w:color="BFBFBF"/>
              <w:left w:val="nil"/>
              <w:bottom w:val="single" w:sz="18" w:space="0" w:color="BFBFBF"/>
              <w:right w:val="single" w:sz="8" w:space="0" w:color="BFBFBF"/>
            </w:tcBorders>
            <w:shd w:val="clear" w:color="auto" w:fill="auto"/>
            <w:noWrap/>
            <w:vAlign w:val="center"/>
            <w:hideMark/>
          </w:tcPr>
          <w:p w14:paraId="6BE3E195"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17.19%</w:t>
            </w:r>
          </w:p>
        </w:tc>
        <w:tc>
          <w:tcPr>
            <w:tcW w:w="824" w:type="dxa"/>
            <w:tcBorders>
              <w:top w:val="single" w:sz="8" w:space="0" w:color="BFBFBF"/>
              <w:left w:val="nil"/>
              <w:bottom w:val="single" w:sz="18" w:space="0" w:color="BFBFBF"/>
              <w:right w:val="single" w:sz="8" w:space="0" w:color="BFBFBF"/>
            </w:tcBorders>
            <w:shd w:val="clear" w:color="auto" w:fill="auto"/>
            <w:noWrap/>
            <w:vAlign w:val="center"/>
            <w:hideMark/>
          </w:tcPr>
          <w:p w14:paraId="2051EFB1"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2.95%</w:t>
            </w:r>
          </w:p>
        </w:tc>
        <w:tc>
          <w:tcPr>
            <w:tcW w:w="851" w:type="dxa"/>
            <w:tcBorders>
              <w:top w:val="single" w:sz="8" w:space="0" w:color="BFBFBF"/>
              <w:left w:val="nil"/>
              <w:bottom w:val="single" w:sz="18" w:space="0" w:color="BFBFBF"/>
              <w:right w:val="single" w:sz="8" w:space="0" w:color="BFBFBF"/>
            </w:tcBorders>
            <w:shd w:val="clear" w:color="auto" w:fill="auto"/>
            <w:noWrap/>
            <w:vAlign w:val="center"/>
            <w:hideMark/>
          </w:tcPr>
          <w:p w14:paraId="026515C6"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0.20%</w:t>
            </w:r>
          </w:p>
        </w:tc>
        <w:tc>
          <w:tcPr>
            <w:tcW w:w="732" w:type="dxa"/>
            <w:tcBorders>
              <w:top w:val="single" w:sz="8" w:space="0" w:color="BFBFBF"/>
              <w:left w:val="nil"/>
              <w:bottom w:val="single" w:sz="18" w:space="0" w:color="BFBFBF"/>
              <w:right w:val="single" w:sz="8" w:space="0" w:color="BFBFBF"/>
            </w:tcBorders>
            <w:shd w:val="clear" w:color="auto" w:fill="auto"/>
            <w:noWrap/>
            <w:vAlign w:val="center"/>
            <w:hideMark/>
          </w:tcPr>
          <w:p w14:paraId="7B00F071"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0.03%</w:t>
            </w:r>
          </w:p>
        </w:tc>
        <w:tc>
          <w:tcPr>
            <w:tcW w:w="732" w:type="dxa"/>
            <w:tcBorders>
              <w:top w:val="single" w:sz="8" w:space="0" w:color="BFBFBF"/>
              <w:left w:val="nil"/>
              <w:bottom w:val="single" w:sz="18" w:space="0" w:color="BFBFBF"/>
              <w:right w:val="single" w:sz="8" w:space="0" w:color="BFBFBF"/>
            </w:tcBorders>
            <w:shd w:val="clear" w:color="auto" w:fill="auto"/>
            <w:noWrap/>
            <w:vAlign w:val="center"/>
            <w:hideMark/>
          </w:tcPr>
          <w:p w14:paraId="6E152300"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0.00%</w:t>
            </w:r>
          </w:p>
        </w:tc>
        <w:tc>
          <w:tcPr>
            <w:tcW w:w="946" w:type="dxa"/>
            <w:tcBorders>
              <w:top w:val="single" w:sz="8" w:space="0" w:color="BFBFBF"/>
              <w:left w:val="nil"/>
              <w:bottom w:val="single" w:sz="18" w:space="0" w:color="BFBFBF"/>
              <w:right w:val="single" w:sz="8" w:space="0" w:color="BFBFBF"/>
            </w:tcBorders>
            <w:shd w:val="clear" w:color="auto" w:fill="auto"/>
            <w:noWrap/>
            <w:vAlign w:val="center"/>
            <w:hideMark/>
          </w:tcPr>
          <w:p w14:paraId="3BECA2D3"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100.00%</w:t>
            </w:r>
          </w:p>
        </w:tc>
      </w:tr>
      <w:tr w:rsidR="00B40919" w:rsidRPr="00F067A7" w14:paraId="7D27BBA6" w14:textId="77777777" w:rsidTr="00C26A40">
        <w:trPr>
          <w:trHeight w:val="315"/>
        </w:trPr>
        <w:tc>
          <w:tcPr>
            <w:tcW w:w="1843" w:type="dxa"/>
            <w:tcBorders>
              <w:top w:val="single" w:sz="18" w:space="0" w:color="BFBFBF"/>
              <w:left w:val="single" w:sz="8" w:space="0" w:color="BFBFBF"/>
              <w:bottom w:val="single" w:sz="8" w:space="0" w:color="BFBFBF"/>
              <w:right w:val="single" w:sz="8" w:space="0" w:color="BFBFBF"/>
            </w:tcBorders>
            <w:shd w:val="clear" w:color="auto" w:fill="auto"/>
            <w:noWrap/>
            <w:vAlign w:val="center"/>
          </w:tcPr>
          <w:p w14:paraId="2EF02650" w14:textId="77777777" w:rsidR="00B40919" w:rsidRPr="00F067A7" w:rsidRDefault="00B40919" w:rsidP="00B40919">
            <w:pPr>
              <w:spacing w:after="0" w:line="240" w:lineRule="auto"/>
              <w:rPr>
                <w:rFonts w:ascii="Segoe UI" w:eastAsia="Times New Roman" w:hAnsi="Segoe UI" w:cs="Segoe UI"/>
                <w:b/>
                <w:bCs/>
                <w:color w:val="000000"/>
                <w:sz w:val="18"/>
                <w:szCs w:val="18"/>
                <w:lang w:eastAsia="en-AU"/>
              </w:rPr>
            </w:pPr>
            <w:r>
              <w:rPr>
                <w:rFonts w:ascii="Segoe UI" w:hAnsi="Segoe UI" w:cs="Segoe UI"/>
                <w:color w:val="000000"/>
                <w:sz w:val="18"/>
                <w:szCs w:val="18"/>
              </w:rPr>
              <w:t xml:space="preserve">Probationary P1 </w:t>
            </w:r>
          </w:p>
        </w:tc>
        <w:tc>
          <w:tcPr>
            <w:tcW w:w="694" w:type="dxa"/>
            <w:tcBorders>
              <w:top w:val="single" w:sz="18" w:space="0" w:color="BFBFBF"/>
              <w:left w:val="nil"/>
              <w:bottom w:val="single" w:sz="8" w:space="0" w:color="BFBFBF"/>
              <w:right w:val="single" w:sz="8" w:space="0" w:color="BFBFBF"/>
            </w:tcBorders>
            <w:shd w:val="clear" w:color="auto" w:fill="auto"/>
            <w:noWrap/>
            <w:vAlign w:val="center"/>
          </w:tcPr>
          <w:p w14:paraId="4DFAA25B"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 </w:t>
            </w:r>
          </w:p>
        </w:tc>
        <w:tc>
          <w:tcPr>
            <w:tcW w:w="897" w:type="dxa"/>
            <w:tcBorders>
              <w:top w:val="single" w:sz="18" w:space="0" w:color="BFBFBF"/>
              <w:left w:val="nil"/>
              <w:bottom w:val="single" w:sz="8" w:space="0" w:color="BFBFBF"/>
              <w:right w:val="single" w:sz="8" w:space="0" w:color="BFBFBF"/>
            </w:tcBorders>
            <w:shd w:val="clear" w:color="auto" w:fill="auto"/>
            <w:noWrap/>
            <w:vAlign w:val="center"/>
          </w:tcPr>
          <w:p w14:paraId="23335660"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52,318</w:t>
            </w:r>
          </w:p>
        </w:tc>
        <w:tc>
          <w:tcPr>
            <w:tcW w:w="874" w:type="dxa"/>
            <w:tcBorders>
              <w:top w:val="single" w:sz="18" w:space="0" w:color="BFBFBF"/>
              <w:left w:val="nil"/>
              <w:bottom w:val="single" w:sz="8" w:space="0" w:color="BFBFBF"/>
              <w:right w:val="single" w:sz="8" w:space="0" w:color="BFBFBF"/>
            </w:tcBorders>
            <w:shd w:val="clear" w:color="auto" w:fill="auto"/>
            <w:noWrap/>
            <w:vAlign w:val="center"/>
          </w:tcPr>
          <w:p w14:paraId="03856823"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490</w:t>
            </w:r>
          </w:p>
        </w:tc>
        <w:tc>
          <w:tcPr>
            <w:tcW w:w="836" w:type="dxa"/>
            <w:tcBorders>
              <w:top w:val="single" w:sz="18" w:space="0" w:color="BFBFBF"/>
              <w:left w:val="nil"/>
              <w:bottom w:val="single" w:sz="8" w:space="0" w:color="BFBFBF"/>
              <w:right w:val="single" w:sz="8" w:space="0" w:color="BFBFBF"/>
            </w:tcBorders>
            <w:shd w:val="clear" w:color="auto" w:fill="auto"/>
            <w:noWrap/>
            <w:vAlign w:val="center"/>
          </w:tcPr>
          <w:p w14:paraId="2FF8B03A"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110</w:t>
            </w:r>
          </w:p>
        </w:tc>
        <w:tc>
          <w:tcPr>
            <w:tcW w:w="836" w:type="dxa"/>
            <w:tcBorders>
              <w:top w:val="single" w:sz="18" w:space="0" w:color="BFBFBF"/>
              <w:left w:val="nil"/>
              <w:bottom w:val="single" w:sz="8" w:space="0" w:color="BFBFBF"/>
              <w:right w:val="single" w:sz="8" w:space="0" w:color="BFBFBF"/>
            </w:tcBorders>
            <w:shd w:val="clear" w:color="auto" w:fill="auto"/>
            <w:noWrap/>
            <w:vAlign w:val="center"/>
          </w:tcPr>
          <w:p w14:paraId="728D6CAC"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5</w:t>
            </w:r>
          </w:p>
        </w:tc>
        <w:tc>
          <w:tcPr>
            <w:tcW w:w="824" w:type="dxa"/>
            <w:tcBorders>
              <w:top w:val="single" w:sz="18" w:space="0" w:color="BFBFBF"/>
              <w:left w:val="nil"/>
              <w:bottom w:val="single" w:sz="8" w:space="0" w:color="BFBFBF"/>
              <w:right w:val="single" w:sz="8" w:space="0" w:color="BFBFBF"/>
            </w:tcBorders>
            <w:shd w:val="clear" w:color="auto" w:fill="auto"/>
            <w:noWrap/>
            <w:vAlign w:val="center"/>
          </w:tcPr>
          <w:p w14:paraId="368EE6E4"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0</w:t>
            </w:r>
          </w:p>
        </w:tc>
        <w:tc>
          <w:tcPr>
            <w:tcW w:w="851" w:type="dxa"/>
            <w:tcBorders>
              <w:top w:val="single" w:sz="18" w:space="0" w:color="BFBFBF"/>
              <w:left w:val="nil"/>
              <w:bottom w:val="single" w:sz="8" w:space="0" w:color="BFBFBF"/>
              <w:right w:val="single" w:sz="8" w:space="0" w:color="BFBFBF"/>
            </w:tcBorders>
            <w:shd w:val="clear" w:color="auto" w:fill="auto"/>
            <w:noWrap/>
            <w:vAlign w:val="center"/>
          </w:tcPr>
          <w:p w14:paraId="233C7B97"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0</w:t>
            </w:r>
          </w:p>
        </w:tc>
        <w:tc>
          <w:tcPr>
            <w:tcW w:w="732" w:type="dxa"/>
            <w:tcBorders>
              <w:top w:val="single" w:sz="18" w:space="0" w:color="BFBFBF"/>
              <w:left w:val="nil"/>
              <w:bottom w:val="single" w:sz="8" w:space="0" w:color="BFBFBF"/>
              <w:right w:val="single" w:sz="8" w:space="0" w:color="BFBFBF"/>
            </w:tcBorders>
            <w:shd w:val="clear" w:color="auto" w:fill="auto"/>
            <w:noWrap/>
            <w:vAlign w:val="center"/>
          </w:tcPr>
          <w:p w14:paraId="625E23A0"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0</w:t>
            </w:r>
          </w:p>
        </w:tc>
        <w:tc>
          <w:tcPr>
            <w:tcW w:w="732" w:type="dxa"/>
            <w:tcBorders>
              <w:top w:val="single" w:sz="18" w:space="0" w:color="BFBFBF"/>
              <w:left w:val="nil"/>
              <w:bottom w:val="single" w:sz="8" w:space="0" w:color="BFBFBF"/>
              <w:right w:val="single" w:sz="8" w:space="0" w:color="BFBFBF"/>
            </w:tcBorders>
            <w:shd w:val="clear" w:color="auto" w:fill="auto"/>
            <w:noWrap/>
            <w:vAlign w:val="center"/>
          </w:tcPr>
          <w:p w14:paraId="50898DD0"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1</w:t>
            </w:r>
          </w:p>
        </w:tc>
        <w:tc>
          <w:tcPr>
            <w:tcW w:w="946" w:type="dxa"/>
            <w:tcBorders>
              <w:top w:val="single" w:sz="18" w:space="0" w:color="BFBFBF"/>
              <w:left w:val="nil"/>
              <w:bottom w:val="single" w:sz="8" w:space="0" w:color="BFBFBF"/>
              <w:right w:val="single" w:sz="8" w:space="0" w:color="BFBFBF"/>
            </w:tcBorders>
            <w:shd w:val="clear" w:color="auto" w:fill="auto"/>
            <w:noWrap/>
            <w:vAlign w:val="center"/>
          </w:tcPr>
          <w:p w14:paraId="4812327D"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52,924</w:t>
            </w:r>
          </w:p>
        </w:tc>
      </w:tr>
      <w:tr w:rsidR="00B40919" w:rsidRPr="00F067A7" w14:paraId="1C7B73E4" w14:textId="77777777" w:rsidTr="00C26A40">
        <w:trPr>
          <w:trHeight w:val="315"/>
        </w:trPr>
        <w:tc>
          <w:tcPr>
            <w:tcW w:w="1843" w:type="dxa"/>
            <w:tcBorders>
              <w:top w:val="nil"/>
              <w:left w:val="single" w:sz="8" w:space="0" w:color="BFBFBF"/>
              <w:bottom w:val="single" w:sz="8" w:space="0" w:color="BFBFBF"/>
              <w:right w:val="single" w:sz="8" w:space="0" w:color="BFBFBF"/>
            </w:tcBorders>
            <w:shd w:val="clear" w:color="auto" w:fill="auto"/>
            <w:noWrap/>
            <w:vAlign w:val="center"/>
          </w:tcPr>
          <w:p w14:paraId="7856D220" w14:textId="77777777" w:rsidR="00B40919" w:rsidRPr="00F067A7" w:rsidRDefault="00B40919" w:rsidP="00B40919">
            <w:pPr>
              <w:spacing w:after="0" w:line="240" w:lineRule="auto"/>
              <w:rPr>
                <w:rFonts w:ascii="Segoe UI" w:eastAsia="Times New Roman" w:hAnsi="Segoe UI" w:cs="Segoe UI"/>
                <w:b/>
                <w:bCs/>
                <w:color w:val="000000"/>
                <w:sz w:val="18"/>
                <w:szCs w:val="18"/>
                <w:lang w:eastAsia="en-AU"/>
              </w:rPr>
            </w:pPr>
            <w:r>
              <w:rPr>
                <w:rFonts w:ascii="Segoe UI" w:hAnsi="Segoe UI" w:cs="Segoe UI"/>
                <w:color w:val="000000"/>
                <w:sz w:val="18"/>
                <w:szCs w:val="18"/>
              </w:rPr>
              <w:t>Probationary P2</w:t>
            </w:r>
          </w:p>
        </w:tc>
        <w:tc>
          <w:tcPr>
            <w:tcW w:w="694" w:type="dxa"/>
            <w:tcBorders>
              <w:top w:val="nil"/>
              <w:left w:val="nil"/>
              <w:bottom w:val="single" w:sz="8" w:space="0" w:color="BFBFBF"/>
              <w:right w:val="single" w:sz="8" w:space="0" w:color="BFBFBF"/>
            </w:tcBorders>
            <w:shd w:val="clear" w:color="auto" w:fill="auto"/>
            <w:noWrap/>
            <w:vAlign w:val="center"/>
          </w:tcPr>
          <w:p w14:paraId="35C81B86"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 </w:t>
            </w:r>
          </w:p>
        </w:tc>
        <w:tc>
          <w:tcPr>
            <w:tcW w:w="897" w:type="dxa"/>
            <w:tcBorders>
              <w:top w:val="nil"/>
              <w:left w:val="nil"/>
              <w:bottom w:val="single" w:sz="8" w:space="0" w:color="BFBFBF"/>
              <w:right w:val="single" w:sz="8" w:space="0" w:color="BFBFBF"/>
            </w:tcBorders>
            <w:shd w:val="clear" w:color="auto" w:fill="auto"/>
            <w:noWrap/>
            <w:vAlign w:val="center"/>
          </w:tcPr>
          <w:p w14:paraId="58D4ADEF"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123,928</w:t>
            </w:r>
          </w:p>
        </w:tc>
        <w:tc>
          <w:tcPr>
            <w:tcW w:w="874" w:type="dxa"/>
            <w:tcBorders>
              <w:top w:val="nil"/>
              <w:left w:val="nil"/>
              <w:bottom w:val="single" w:sz="8" w:space="0" w:color="BFBFBF"/>
              <w:right w:val="single" w:sz="8" w:space="0" w:color="BFBFBF"/>
            </w:tcBorders>
            <w:shd w:val="clear" w:color="auto" w:fill="auto"/>
            <w:noWrap/>
            <w:vAlign w:val="center"/>
          </w:tcPr>
          <w:p w14:paraId="722183E3"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74,332</w:t>
            </w:r>
          </w:p>
        </w:tc>
        <w:tc>
          <w:tcPr>
            <w:tcW w:w="836" w:type="dxa"/>
            <w:tcBorders>
              <w:top w:val="nil"/>
              <w:left w:val="nil"/>
              <w:bottom w:val="single" w:sz="8" w:space="0" w:color="BFBFBF"/>
              <w:right w:val="single" w:sz="8" w:space="0" w:color="BFBFBF"/>
            </w:tcBorders>
            <w:shd w:val="clear" w:color="auto" w:fill="auto"/>
            <w:noWrap/>
            <w:vAlign w:val="center"/>
          </w:tcPr>
          <w:p w14:paraId="0ACD820C"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25,052</w:t>
            </w:r>
          </w:p>
        </w:tc>
        <w:tc>
          <w:tcPr>
            <w:tcW w:w="836" w:type="dxa"/>
            <w:tcBorders>
              <w:top w:val="nil"/>
              <w:left w:val="nil"/>
              <w:bottom w:val="single" w:sz="8" w:space="0" w:color="BFBFBF"/>
              <w:right w:val="single" w:sz="8" w:space="0" w:color="BFBFBF"/>
            </w:tcBorders>
            <w:shd w:val="clear" w:color="auto" w:fill="auto"/>
            <w:noWrap/>
            <w:vAlign w:val="center"/>
          </w:tcPr>
          <w:p w14:paraId="0902AD1A"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27,941</w:t>
            </w:r>
          </w:p>
        </w:tc>
        <w:tc>
          <w:tcPr>
            <w:tcW w:w="824" w:type="dxa"/>
            <w:tcBorders>
              <w:top w:val="nil"/>
              <w:left w:val="nil"/>
              <w:bottom w:val="single" w:sz="8" w:space="0" w:color="BFBFBF"/>
              <w:right w:val="single" w:sz="8" w:space="0" w:color="BFBFBF"/>
            </w:tcBorders>
            <w:shd w:val="clear" w:color="auto" w:fill="auto"/>
            <w:noWrap/>
            <w:vAlign w:val="center"/>
          </w:tcPr>
          <w:p w14:paraId="46B76E66"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2,126</w:t>
            </w:r>
          </w:p>
        </w:tc>
        <w:tc>
          <w:tcPr>
            <w:tcW w:w="851" w:type="dxa"/>
            <w:tcBorders>
              <w:top w:val="nil"/>
              <w:left w:val="nil"/>
              <w:bottom w:val="single" w:sz="8" w:space="0" w:color="BFBFBF"/>
              <w:right w:val="single" w:sz="8" w:space="0" w:color="BFBFBF"/>
            </w:tcBorders>
            <w:shd w:val="clear" w:color="auto" w:fill="auto"/>
            <w:noWrap/>
            <w:vAlign w:val="center"/>
          </w:tcPr>
          <w:p w14:paraId="0613227D"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49</w:t>
            </w:r>
          </w:p>
        </w:tc>
        <w:tc>
          <w:tcPr>
            <w:tcW w:w="732" w:type="dxa"/>
            <w:tcBorders>
              <w:top w:val="nil"/>
              <w:left w:val="nil"/>
              <w:bottom w:val="single" w:sz="8" w:space="0" w:color="BFBFBF"/>
              <w:right w:val="single" w:sz="8" w:space="0" w:color="BFBFBF"/>
            </w:tcBorders>
            <w:shd w:val="clear" w:color="auto" w:fill="auto"/>
            <w:noWrap/>
            <w:vAlign w:val="center"/>
          </w:tcPr>
          <w:p w14:paraId="271ECA50"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3</w:t>
            </w:r>
          </w:p>
        </w:tc>
        <w:tc>
          <w:tcPr>
            <w:tcW w:w="732" w:type="dxa"/>
            <w:tcBorders>
              <w:top w:val="nil"/>
              <w:left w:val="nil"/>
              <w:bottom w:val="single" w:sz="8" w:space="0" w:color="BFBFBF"/>
              <w:right w:val="single" w:sz="8" w:space="0" w:color="BFBFBF"/>
            </w:tcBorders>
            <w:shd w:val="clear" w:color="auto" w:fill="auto"/>
            <w:noWrap/>
            <w:vAlign w:val="center"/>
          </w:tcPr>
          <w:p w14:paraId="63441BAD" w14:textId="77777777" w:rsidR="00B40919" w:rsidRPr="00F067A7" w:rsidRDefault="00B40919"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0</w:t>
            </w:r>
          </w:p>
        </w:tc>
        <w:tc>
          <w:tcPr>
            <w:tcW w:w="946" w:type="dxa"/>
            <w:tcBorders>
              <w:top w:val="nil"/>
              <w:left w:val="nil"/>
              <w:bottom w:val="single" w:sz="8" w:space="0" w:color="BFBFBF"/>
              <w:right w:val="single" w:sz="8" w:space="0" w:color="BFBFBF"/>
            </w:tcBorders>
            <w:shd w:val="clear" w:color="auto" w:fill="auto"/>
            <w:noWrap/>
            <w:vAlign w:val="center"/>
          </w:tcPr>
          <w:p w14:paraId="46E6BA07" w14:textId="77777777" w:rsidR="00B40919" w:rsidRPr="00F067A7" w:rsidRDefault="005274A1" w:rsidP="00B40919">
            <w:pPr>
              <w:spacing w:after="0" w:line="240" w:lineRule="auto"/>
              <w:jc w:val="right"/>
              <w:rPr>
                <w:rFonts w:ascii="Segoe UI" w:eastAsia="Times New Roman" w:hAnsi="Segoe UI" w:cs="Segoe UI"/>
                <w:b/>
                <w:bCs/>
                <w:color w:val="000000"/>
                <w:sz w:val="18"/>
                <w:szCs w:val="18"/>
                <w:lang w:eastAsia="en-AU"/>
              </w:rPr>
            </w:pPr>
            <w:r>
              <w:rPr>
                <w:rFonts w:ascii="Segoe UI" w:hAnsi="Segoe UI" w:cs="Segoe UI"/>
                <w:color w:val="000000"/>
                <w:sz w:val="18"/>
                <w:szCs w:val="18"/>
              </w:rPr>
              <w:t>253,431</w:t>
            </w:r>
          </w:p>
        </w:tc>
      </w:tr>
      <w:tr w:rsidR="00DC76B1" w:rsidRPr="008E724D" w14:paraId="602FC6D9" w14:textId="77777777" w:rsidTr="00C26A40">
        <w:trPr>
          <w:trHeight w:val="315"/>
        </w:trPr>
        <w:tc>
          <w:tcPr>
            <w:tcW w:w="1843" w:type="dxa"/>
            <w:tcBorders>
              <w:top w:val="nil"/>
              <w:left w:val="single" w:sz="8" w:space="0" w:color="BFBFBF"/>
              <w:bottom w:val="single" w:sz="8" w:space="0" w:color="BFBFBF"/>
              <w:right w:val="single" w:sz="8" w:space="0" w:color="BFBFBF"/>
            </w:tcBorders>
            <w:shd w:val="clear" w:color="auto" w:fill="auto"/>
            <w:noWrap/>
            <w:vAlign w:val="center"/>
            <w:hideMark/>
          </w:tcPr>
          <w:p w14:paraId="4719A108" w14:textId="77777777" w:rsidR="00F067A7" w:rsidRPr="00F067A7" w:rsidRDefault="00F067A7" w:rsidP="00F067A7">
            <w:pPr>
              <w:spacing w:after="0" w:line="240" w:lineRule="auto"/>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Probationary</w:t>
            </w:r>
            <w:r w:rsidR="00B40919" w:rsidRPr="008E724D">
              <w:rPr>
                <w:rFonts w:ascii="Segoe UI" w:eastAsia="Times New Roman" w:hAnsi="Segoe UI" w:cs="Segoe UI"/>
                <w:b/>
                <w:color w:val="000000"/>
                <w:sz w:val="18"/>
                <w:szCs w:val="18"/>
                <w:lang w:eastAsia="en-AU"/>
              </w:rPr>
              <w:t xml:space="preserve"> Total</w:t>
            </w:r>
          </w:p>
        </w:tc>
        <w:tc>
          <w:tcPr>
            <w:tcW w:w="694" w:type="dxa"/>
            <w:tcBorders>
              <w:top w:val="nil"/>
              <w:left w:val="nil"/>
              <w:bottom w:val="single" w:sz="8" w:space="0" w:color="BFBFBF"/>
              <w:right w:val="single" w:sz="8" w:space="0" w:color="BFBFBF"/>
            </w:tcBorders>
            <w:shd w:val="clear" w:color="auto" w:fill="auto"/>
            <w:noWrap/>
            <w:vAlign w:val="center"/>
            <w:hideMark/>
          </w:tcPr>
          <w:p w14:paraId="3D439A61"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 </w:t>
            </w:r>
          </w:p>
        </w:tc>
        <w:tc>
          <w:tcPr>
            <w:tcW w:w="897" w:type="dxa"/>
            <w:tcBorders>
              <w:top w:val="nil"/>
              <w:left w:val="nil"/>
              <w:bottom w:val="single" w:sz="8" w:space="0" w:color="BFBFBF"/>
              <w:right w:val="single" w:sz="8" w:space="0" w:color="BFBFBF"/>
            </w:tcBorders>
            <w:shd w:val="clear" w:color="auto" w:fill="auto"/>
            <w:noWrap/>
            <w:vAlign w:val="center"/>
            <w:hideMark/>
          </w:tcPr>
          <w:p w14:paraId="65865959"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176,246</w:t>
            </w:r>
          </w:p>
        </w:tc>
        <w:tc>
          <w:tcPr>
            <w:tcW w:w="874" w:type="dxa"/>
            <w:tcBorders>
              <w:top w:val="nil"/>
              <w:left w:val="nil"/>
              <w:bottom w:val="single" w:sz="8" w:space="0" w:color="BFBFBF"/>
              <w:right w:val="single" w:sz="8" w:space="0" w:color="BFBFBF"/>
            </w:tcBorders>
            <w:shd w:val="clear" w:color="auto" w:fill="auto"/>
            <w:noWrap/>
            <w:vAlign w:val="center"/>
            <w:hideMark/>
          </w:tcPr>
          <w:p w14:paraId="6E1E8A90"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74,822</w:t>
            </w:r>
          </w:p>
        </w:tc>
        <w:tc>
          <w:tcPr>
            <w:tcW w:w="836" w:type="dxa"/>
            <w:tcBorders>
              <w:top w:val="nil"/>
              <w:left w:val="nil"/>
              <w:bottom w:val="single" w:sz="8" w:space="0" w:color="BFBFBF"/>
              <w:right w:val="single" w:sz="8" w:space="0" w:color="BFBFBF"/>
            </w:tcBorders>
            <w:shd w:val="clear" w:color="auto" w:fill="auto"/>
            <w:noWrap/>
            <w:vAlign w:val="center"/>
            <w:hideMark/>
          </w:tcPr>
          <w:p w14:paraId="24B6B159"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25,162</w:t>
            </w:r>
          </w:p>
        </w:tc>
        <w:tc>
          <w:tcPr>
            <w:tcW w:w="836" w:type="dxa"/>
            <w:tcBorders>
              <w:top w:val="nil"/>
              <w:left w:val="nil"/>
              <w:bottom w:val="single" w:sz="8" w:space="0" w:color="BFBFBF"/>
              <w:right w:val="single" w:sz="8" w:space="0" w:color="BFBFBF"/>
            </w:tcBorders>
            <w:shd w:val="clear" w:color="auto" w:fill="auto"/>
            <w:noWrap/>
            <w:vAlign w:val="center"/>
            <w:hideMark/>
          </w:tcPr>
          <w:p w14:paraId="0FBE60B4"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27,946</w:t>
            </w:r>
          </w:p>
        </w:tc>
        <w:tc>
          <w:tcPr>
            <w:tcW w:w="824" w:type="dxa"/>
            <w:tcBorders>
              <w:top w:val="nil"/>
              <w:left w:val="nil"/>
              <w:bottom w:val="single" w:sz="8" w:space="0" w:color="BFBFBF"/>
              <w:right w:val="single" w:sz="8" w:space="0" w:color="BFBFBF"/>
            </w:tcBorders>
            <w:shd w:val="clear" w:color="auto" w:fill="auto"/>
            <w:noWrap/>
            <w:vAlign w:val="center"/>
            <w:hideMark/>
          </w:tcPr>
          <w:p w14:paraId="159083CE"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2,126</w:t>
            </w:r>
          </w:p>
        </w:tc>
        <w:tc>
          <w:tcPr>
            <w:tcW w:w="851" w:type="dxa"/>
            <w:tcBorders>
              <w:top w:val="nil"/>
              <w:left w:val="nil"/>
              <w:bottom w:val="single" w:sz="8" w:space="0" w:color="BFBFBF"/>
              <w:right w:val="single" w:sz="8" w:space="0" w:color="BFBFBF"/>
            </w:tcBorders>
            <w:shd w:val="clear" w:color="auto" w:fill="auto"/>
            <w:noWrap/>
            <w:vAlign w:val="center"/>
            <w:hideMark/>
          </w:tcPr>
          <w:p w14:paraId="641D21F8"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49</w:t>
            </w:r>
          </w:p>
        </w:tc>
        <w:tc>
          <w:tcPr>
            <w:tcW w:w="732" w:type="dxa"/>
            <w:tcBorders>
              <w:top w:val="nil"/>
              <w:left w:val="nil"/>
              <w:bottom w:val="single" w:sz="8" w:space="0" w:color="BFBFBF"/>
              <w:right w:val="single" w:sz="8" w:space="0" w:color="BFBFBF"/>
            </w:tcBorders>
            <w:shd w:val="clear" w:color="auto" w:fill="auto"/>
            <w:noWrap/>
            <w:vAlign w:val="center"/>
            <w:hideMark/>
          </w:tcPr>
          <w:p w14:paraId="4CAD0068"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3</w:t>
            </w:r>
          </w:p>
        </w:tc>
        <w:tc>
          <w:tcPr>
            <w:tcW w:w="732" w:type="dxa"/>
            <w:tcBorders>
              <w:top w:val="nil"/>
              <w:left w:val="nil"/>
              <w:bottom w:val="single" w:sz="8" w:space="0" w:color="BFBFBF"/>
              <w:right w:val="single" w:sz="8" w:space="0" w:color="BFBFBF"/>
            </w:tcBorders>
            <w:shd w:val="clear" w:color="auto" w:fill="auto"/>
            <w:noWrap/>
            <w:vAlign w:val="center"/>
            <w:hideMark/>
          </w:tcPr>
          <w:p w14:paraId="23F58367"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1</w:t>
            </w:r>
          </w:p>
        </w:tc>
        <w:tc>
          <w:tcPr>
            <w:tcW w:w="946" w:type="dxa"/>
            <w:tcBorders>
              <w:top w:val="nil"/>
              <w:left w:val="nil"/>
              <w:bottom w:val="single" w:sz="8" w:space="0" w:color="BFBFBF"/>
              <w:right w:val="single" w:sz="8" w:space="0" w:color="BFBFBF"/>
            </w:tcBorders>
            <w:shd w:val="clear" w:color="auto" w:fill="auto"/>
            <w:noWrap/>
            <w:vAlign w:val="center"/>
            <w:hideMark/>
          </w:tcPr>
          <w:p w14:paraId="1CBED64B" w14:textId="77777777" w:rsidR="00F067A7" w:rsidRPr="00F067A7" w:rsidRDefault="00F067A7" w:rsidP="00F067A7">
            <w:pPr>
              <w:spacing w:after="0" w:line="240" w:lineRule="auto"/>
              <w:jc w:val="right"/>
              <w:rPr>
                <w:rFonts w:ascii="Segoe UI" w:eastAsia="Times New Roman" w:hAnsi="Segoe UI" w:cs="Segoe UI"/>
                <w:b/>
                <w:color w:val="000000"/>
                <w:sz w:val="18"/>
                <w:szCs w:val="18"/>
                <w:lang w:eastAsia="en-AU"/>
              </w:rPr>
            </w:pPr>
            <w:r w:rsidRPr="00F067A7">
              <w:rPr>
                <w:rFonts w:ascii="Segoe UI" w:eastAsia="Times New Roman" w:hAnsi="Segoe UI" w:cs="Segoe UI"/>
                <w:b/>
                <w:color w:val="000000"/>
                <w:sz w:val="18"/>
                <w:szCs w:val="18"/>
                <w:lang w:eastAsia="en-AU"/>
              </w:rPr>
              <w:t>306,355</w:t>
            </w:r>
          </w:p>
        </w:tc>
      </w:tr>
      <w:tr w:rsidR="00B40919" w:rsidRPr="00F067A7" w14:paraId="7328F5F1" w14:textId="77777777" w:rsidTr="00C26A40">
        <w:trPr>
          <w:trHeight w:val="315"/>
        </w:trPr>
        <w:tc>
          <w:tcPr>
            <w:tcW w:w="1843" w:type="dxa"/>
            <w:tcBorders>
              <w:top w:val="nil"/>
              <w:left w:val="single" w:sz="8" w:space="0" w:color="BFBFBF"/>
              <w:bottom w:val="single" w:sz="8" w:space="0" w:color="BFBFBF"/>
              <w:right w:val="single" w:sz="8" w:space="0" w:color="BFBFBF"/>
            </w:tcBorders>
            <w:shd w:val="clear" w:color="auto" w:fill="auto"/>
            <w:noWrap/>
            <w:vAlign w:val="center"/>
            <w:hideMark/>
          </w:tcPr>
          <w:p w14:paraId="23EC573D" w14:textId="77777777" w:rsidR="00F067A7" w:rsidRPr="00F067A7" w:rsidRDefault="00F067A7" w:rsidP="00F067A7">
            <w:pPr>
              <w:spacing w:after="0" w:line="240" w:lineRule="auto"/>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Proportion %</w:t>
            </w:r>
          </w:p>
        </w:tc>
        <w:tc>
          <w:tcPr>
            <w:tcW w:w="694" w:type="dxa"/>
            <w:tcBorders>
              <w:top w:val="nil"/>
              <w:left w:val="nil"/>
              <w:bottom w:val="single" w:sz="8" w:space="0" w:color="BFBFBF"/>
              <w:right w:val="single" w:sz="8" w:space="0" w:color="BFBFBF"/>
            </w:tcBorders>
            <w:shd w:val="clear" w:color="auto" w:fill="auto"/>
            <w:noWrap/>
            <w:vAlign w:val="center"/>
            <w:hideMark/>
          </w:tcPr>
          <w:p w14:paraId="3CDB81EC"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 </w:t>
            </w:r>
          </w:p>
        </w:tc>
        <w:tc>
          <w:tcPr>
            <w:tcW w:w="897" w:type="dxa"/>
            <w:tcBorders>
              <w:top w:val="nil"/>
              <w:left w:val="nil"/>
              <w:bottom w:val="single" w:sz="8" w:space="0" w:color="BFBFBF"/>
              <w:right w:val="single" w:sz="8" w:space="0" w:color="BFBFBF"/>
            </w:tcBorders>
            <w:shd w:val="clear" w:color="auto" w:fill="auto"/>
            <w:noWrap/>
            <w:vAlign w:val="center"/>
            <w:hideMark/>
          </w:tcPr>
          <w:p w14:paraId="4C140E81"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57.53%</w:t>
            </w:r>
          </w:p>
        </w:tc>
        <w:tc>
          <w:tcPr>
            <w:tcW w:w="874" w:type="dxa"/>
            <w:tcBorders>
              <w:top w:val="nil"/>
              <w:left w:val="nil"/>
              <w:bottom w:val="single" w:sz="8" w:space="0" w:color="BFBFBF"/>
              <w:right w:val="single" w:sz="8" w:space="0" w:color="BFBFBF"/>
            </w:tcBorders>
            <w:shd w:val="clear" w:color="auto" w:fill="auto"/>
            <w:noWrap/>
            <w:vAlign w:val="center"/>
            <w:hideMark/>
          </w:tcPr>
          <w:p w14:paraId="387D478D"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24.42%</w:t>
            </w:r>
          </w:p>
        </w:tc>
        <w:tc>
          <w:tcPr>
            <w:tcW w:w="836" w:type="dxa"/>
            <w:tcBorders>
              <w:top w:val="nil"/>
              <w:left w:val="nil"/>
              <w:bottom w:val="single" w:sz="8" w:space="0" w:color="BFBFBF"/>
              <w:right w:val="single" w:sz="8" w:space="0" w:color="BFBFBF"/>
            </w:tcBorders>
            <w:shd w:val="clear" w:color="auto" w:fill="auto"/>
            <w:noWrap/>
            <w:vAlign w:val="center"/>
            <w:hideMark/>
          </w:tcPr>
          <w:p w14:paraId="392EBA26"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8.21%</w:t>
            </w:r>
          </w:p>
        </w:tc>
        <w:tc>
          <w:tcPr>
            <w:tcW w:w="836" w:type="dxa"/>
            <w:tcBorders>
              <w:top w:val="nil"/>
              <w:left w:val="nil"/>
              <w:bottom w:val="single" w:sz="8" w:space="0" w:color="BFBFBF"/>
              <w:right w:val="single" w:sz="8" w:space="0" w:color="BFBFBF"/>
            </w:tcBorders>
            <w:shd w:val="clear" w:color="auto" w:fill="auto"/>
            <w:noWrap/>
            <w:vAlign w:val="center"/>
            <w:hideMark/>
          </w:tcPr>
          <w:p w14:paraId="50A81A0C"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9.12%</w:t>
            </w:r>
          </w:p>
        </w:tc>
        <w:tc>
          <w:tcPr>
            <w:tcW w:w="824" w:type="dxa"/>
            <w:tcBorders>
              <w:top w:val="nil"/>
              <w:left w:val="nil"/>
              <w:bottom w:val="single" w:sz="8" w:space="0" w:color="BFBFBF"/>
              <w:right w:val="single" w:sz="8" w:space="0" w:color="BFBFBF"/>
            </w:tcBorders>
            <w:shd w:val="clear" w:color="auto" w:fill="auto"/>
            <w:noWrap/>
            <w:vAlign w:val="center"/>
            <w:hideMark/>
          </w:tcPr>
          <w:p w14:paraId="5BFC1AD2"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0.69%</w:t>
            </w:r>
          </w:p>
        </w:tc>
        <w:tc>
          <w:tcPr>
            <w:tcW w:w="851" w:type="dxa"/>
            <w:tcBorders>
              <w:top w:val="nil"/>
              <w:left w:val="nil"/>
              <w:bottom w:val="single" w:sz="8" w:space="0" w:color="BFBFBF"/>
              <w:right w:val="single" w:sz="8" w:space="0" w:color="BFBFBF"/>
            </w:tcBorders>
            <w:shd w:val="clear" w:color="auto" w:fill="auto"/>
            <w:noWrap/>
            <w:vAlign w:val="center"/>
            <w:hideMark/>
          </w:tcPr>
          <w:p w14:paraId="719DC9AC"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0.02%</w:t>
            </w:r>
          </w:p>
        </w:tc>
        <w:tc>
          <w:tcPr>
            <w:tcW w:w="732" w:type="dxa"/>
            <w:tcBorders>
              <w:top w:val="nil"/>
              <w:left w:val="nil"/>
              <w:bottom w:val="single" w:sz="8" w:space="0" w:color="BFBFBF"/>
              <w:right w:val="single" w:sz="8" w:space="0" w:color="BFBFBF"/>
            </w:tcBorders>
            <w:shd w:val="clear" w:color="auto" w:fill="auto"/>
            <w:noWrap/>
            <w:vAlign w:val="center"/>
            <w:hideMark/>
          </w:tcPr>
          <w:p w14:paraId="4D4EAE17"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0.00%</w:t>
            </w:r>
          </w:p>
        </w:tc>
        <w:tc>
          <w:tcPr>
            <w:tcW w:w="732" w:type="dxa"/>
            <w:tcBorders>
              <w:top w:val="nil"/>
              <w:left w:val="nil"/>
              <w:bottom w:val="single" w:sz="8" w:space="0" w:color="BFBFBF"/>
              <w:right w:val="single" w:sz="8" w:space="0" w:color="BFBFBF"/>
            </w:tcBorders>
            <w:shd w:val="clear" w:color="auto" w:fill="auto"/>
            <w:noWrap/>
            <w:vAlign w:val="center"/>
            <w:hideMark/>
          </w:tcPr>
          <w:p w14:paraId="5E7983B1"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0.00%</w:t>
            </w:r>
          </w:p>
        </w:tc>
        <w:tc>
          <w:tcPr>
            <w:tcW w:w="946" w:type="dxa"/>
            <w:tcBorders>
              <w:top w:val="nil"/>
              <w:left w:val="nil"/>
              <w:bottom w:val="single" w:sz="8" w:space="0" w:color="BFBFBF"/>
              <w:right w:val="single" w:sz="8" w:space="0" w:color="BFBFBF"/>
            </w:tcBorders>
            <w:shd w:val="clear" w:color="auto" w:fill="auto"/>
            <w:noWrap/>
            <w:vAlign w:val="center"/>
            <w:hideMark/>
          </w:tcPr>
          <w:p w14:paraId="76BE073F" w14:textId="77777777" w:rsidR="00F067A7" w:rsidRPr="00F067A7" w:rsidRDefault="00F067A7" w:rsidP="00F067A7">
            <w:pPr>
              <w:spacing w:after="0" w:line="240" w:lineRule="auto"/>
              <w:jc w:val="right"/>
              <w:rPr>
                <w:rFonts w:ascii="Segoe UI" w:eastAsia="Times New Roman" w:hAnsi="Segoe UI" w:cs="Segoe UI"/>
                <w:b/>
                <w:bCs/>
                <w:color w:val="000000"/>
                <w:sz w:val="18"/>
                <w:szCs w:val="18"/>
                <w:lang w:eastAsia="en-AU"/>
              </w:rPr>
            </w:pPr>
            <w:r w:rsidRPr="00F067A7">
              <w:rPr>
                <w:rFonts w:ascii="Segoe UI" w:eastAsia="Times New Roman" w:hAnsi="Segoe UI" w:cs="Segoe UI"/>
                <w:b/>
                <w:bCs/>
                <w:color w:val="000000"/>
                <w:sz w:val="18"/>
                <w:szCs w:val="18"/>
                <w:lang w:eastAsia="en-AU"/>
              </w:rPr>
              <w:t>100.00%</w:t>
            </w:r>
          </w:p>
        </w:tc>
      </w:tr>
    </w:tbl>
    <w:p w14:paraId="05701AB6" w14:textId="70348A76" w:rsidR="00547ECE" w:rsidRDefault="00F067A7" w:rsidP="00F067A7">
      <w:pPr>
        <w:pStyle w:val="Source"/>
      </w:pPr>
      <w:r w:rsidRPr="00117C96">
        <w:t>Source: VicRoads DLS</w:t>
      </w:r>
      <w:r>
        <w:t>, 2019</w:t>
      </w:r>
    </w:p>
    <w:p w14:paraId="2AB0C47C" w14:textId="77777777" w:rsidR="00641E98" w:rsidRDefault="00641E98" w:rsidP="00F067A7">
      <w:pPr>
        <w:pStyle w:val="Source"/>
      </w:pPr>
    </w:p>
    <w:p w14:paraId="38BD6AD8" w14:textId="1AF53593" w:rsidR="00122C1B" w:rsidRPr="00117C96" w:rsidRDefault="00122C1B" w:rsidP="00204937">
      <w:pPr>
        <w:pStyle w:val="TextPara"/>
        <w:rPr>
          <w:rFonts w:cs="Segoe UI"/>
          <w:lang w:eastAsia="en-AU"/>
        </w:rPr>
      </w:pPr>
      <w:r>
        <w:rPr>
          <w:rFonts w:cs="Segoe UI"/>
          <w:lang w:eastAsia="en-AU"/>
        </w:rPr>
        <w:fldChar w:fldCharType="begin"/>
      </w:r>
      <w:r>
        <w:rPr>
          <w:rFonts w:cs="Segoe UI"/>
          <w:lang w:eastAsia="en-AU"/>
        </w:rPr>
        <w:instrText xml:space="preserve"> REF _Ref500758827 \h </w:instrText>
      </w:r>
      <w:r>
        <w:rPr>
          <w:rFonts w:cs="Segoe UI"/>
          <w:lang w:eastAsia="en-AU"/>
        </w:rPr>
      </w:r>
      <w:r>
        <w:rPr>
          <w:rFonts w:cs="Segoe UI"/>
          <w:lang w:eastAsia="en-AU"/>
        </w:rPr>
        <w:fldChar w:fldCharType="separate"/>
      </w:r>
      <w:r w:rsidR="00EB4B02" w:rsidRPr="00117C96">
        <w:t xml:space="preserve">Figure </w:t>
      </w:r>
      <w:r w:rsidR="00EB4B02">
        <w:rPr>
          <w:noProof/>
        </w:rPr>
        <w:t>3</w:t>
      </w:r>
      <w:r>
        <w:rPr>
          <w:rFonts w:cs="Segoe UI"/>
          <w:lang w:eastAsia="en-AU"/>
        </w:rPr>
        <w:fldChar w:fldCharType="end"/>
      </w:r>
      <w:r>
        <w:rPr>
          <w:rFonts w:cs="Segoe UI"/>
          <w:lang w:eastAsia="en-AU"/>
        </w:rPr>
        <w:t xml:space="preserve"> </w:t>
      </w:r>
      <w:r w:rsidRPr="00117C96">
        <w:rPr>
          <w:rFonts w:cs="Segoe UI"/>
          <w:lang w:eastAsia="en-AU"/>
        </w:rPr>
        <w:t>shows that the highest risk of crashing occurs in the first year after obtaining a licence. The risk slowly decreases for many years after that. It is important to note that older novice drivers (above 21 years) do not contribute quite as many crashes to the overall young d</w:t>
      </w:r>
      <w:r w:rsidR="00407411">
        <w:rPr>
          <w:rFonts w:cs="Segoe UI"/>
          <w:lang w:eastAsia="en-AU"/>
        </w:rPr>
        <w:t>river crash problem as 18 to 20-</w:t>
      </w:r>
      <w:r w:rsidR="00342649">
        <w:rPr>
          <w:rFonts w:cs="Segoe UI"/>
          <w:lang w:eastAsia="en-AU"/>
        </w:rPr>
        <w:t>year-</w:t>
      </w:r>
      <w:r w:rsidRPr="00117C96">
        <w:rPr>
          <w:rFonts w:cs="Segoe UI"/>
          <w:lang w:eastAsia="en-AU"/>
        </w:rPr>
        <w:t>olds.</w:t>
      </w:r>
    </w:p>
    <w:p w14:paraId="55B8B92F" w14:textId="327C41F5" w:rsidR="00122C1B" w:rsidRPr="00117C96" w:rsidRDefault="00122C1B" w:rsidP="00AA0BBA">
      <w:pPr>
        <w:pStyle w:val="CaptionFigures"/>
      </w:pPr>
      <w:bookmarkStart w:id="127" w:name="_Ref500758827"/>
      <w:bookmarkStart w:id="128" w:name="_Ref507689152"/>
      <w:bookmarkStart w:id="129" w:name="_Toc10703648"/>
      <w:r w:rsidRPr="00117C96">
        <w:lastRenderedPageBreak/>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3</w:t>
      </w:r>
      <w:r w:rsidR="00BC6B2E">
        <w:rPr>
          <w:noProof/>
        </w:rPr>
        <w:fldChar w:fldCharType="end"/>
      </w:r>
      <w:bookmarkEnd w:id="127"/>
      <w:r w:rsidRPr="00117C96">
        <w:t xml:space="preserve"> – Victorian drivers in casualty crashes 2012 to 2014</w:t>
      </w:r>
      <w:bookmarkEnd w:id="128"/>
      <w:bookmarkEnd w:id="129"/>
    </w:p>
    <w:p w14:paraId="2AA51C50" w14:textId="77777777" w:rsidR="00122C1B" w:rsidRPr="00117C96" w:rsidRDefault="00122C1B" w:rsidP="00204937">
      <w:pPr>
        <w:pStyle w:val="Picture"/>
        <w:rPr>
          <w:rFonts w:cs="Segoe UI"/>
        </w:rPr>
      </w:pPr>
      <w:r w:rsidRPr="00117C96">
        <w:rPr>
          <w:rFonts w:cs="Segoe UI"/>
          <w:lang w:val="en-GB" w:eastAsia="en-GB"/>
        </w:rPr>
        <w:drawing>
          <wp:inline distT="0" distB="0" distL="0" distR="0" wp14:anchorId="3BAD75F6" wp14:editId="08932F12">
            <wp:extent cx="5720706" cy="3211373"/>
            <wp:effectExtent l="0" t="0" r="0" b="825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818053" cy="3266019"/>
                    </a:xfrm>
                    <a:prstGeom prst="rect">
                      <a:avLst/>
                    </a:prstGeom>
                    <a:noFill/>
                    <a:ln w="9525">
                      <a:noFill/>
                      <a:miter lim="800000"/>
                      <a:headEnd/>
                      <a:tailEnd/>
                    </a:ln>
                  </pic:spPr>
                </pic:pic>
              </a:graphicData>
            </a:graphic>
          </wp:inline>
        </w:drawing>
      </w:r>
    </w:p>
    <w:p w14:paraId="1B3BF38B" w14:textId="77777777" w:rsidR="00122C1B" w:rsidRPr="00117C96" w:rsidRDefault="00122C1B" w:rsidP="00204937">
      <w:pPr>
        <w:pStyle w:val="Source"/>
        <w:rPr>
          <w:rFonts w:cs="Segoe UI"/>
          <w:i w:val="0"/>
        </w:rPr>
      </w:pPr>
      <w:r w:rsidRPr="00117C96">
        <w:rPr>
          <w:rFonts w:cs="Segoe UI"/>
          <w:i w:val="0"/>
        </w:rPr>
        <w:t xml:space="preserve">Source: </w:t>
      </w:r>
      <w:r w:rsidRPr="00117C96">
        <w:rPr>
          <w:rFonts w:cs="Segoe UI"/>
          <w:i w:val="0"/>
        </w:rPr>
        <w:tab/>
        <w:t>VicRoads</w:t>
      </w:r>
      <w:r>
        <w:rPr>
          <w:rFonts w:cs="Segoe UI"/>
          <w:i w:val="0"/>
        </w:rPr>
        <w:t xml:space="preserve"> 2017</w:t>
      </w:r>
      <w:r w:rsidRPr="00117C96">
        <w:rPr>
          <w:rStyle w:val="EndnoteReference"/>
          <w:rFonts w:cs="Segoe UI"/>
          <w:i w:val="0"/>
        </w:rPr>
        <w:endnoteReference w:id="165"/>
      </w:r>
    </w:p>
    <w:p w14:paraId="65FAE41A" w14:textId="1FC72BA9" w:rsidR="00122C1B" w:rsidRDefault="00122C1B" w:rsidP="00204937">
      <w:pPr>
        <w:pStyle w:val="TextPara"/>
        <w:rPr>
          <w:rFonts w:cs="Segoe UI"/>
          <w:lang w:eastAsia="en-AU"/>
        </w:rPr>
      </w:pPr>
      <w:r>
        <w:rPr>
          <w:rFonts w:cs="Segoe UI"/>
          <w:lang w:eastAsia="en-AU"/>
        </w:rPr>
        <w:t>I</w:t>
      </w:r>
      <w:r w:rsidRPr="00117C96">
        <w:rPr>
          <w:rFonts w:cs="Segoe UI"/>
          <w:lang w:eastAsia="en-AU"/>
        </w:rPr>
        <w:t xml:space="preserve">n the </w:t>
      </w:r>
      <w:r>
        <w:rPr>
          <w:rFonts w:cs="Segoe UI"/>
          <w:lang w:eastAsia="en-AU"/>
        </w:rPr>
        <w:t xml:space="preserve">last </w:t>
      </w:r>
      <w:r w:rsidRPr="00117C96">
        <w:rPr>
          <w:rFonts w:cs="Segoe UI"/>
          <w:lang w:eastAsia="en-AU"/>
        </w:rPr>
        <w:t>10 years</w:t>
      </w:r>
      <w:r>
        <w:rPr>
          <w:rFonts w:cs="Segoe UI"/>
          <w:lang w:eastAsia="en-AU"/>
        </w:rPr>
        <w:t>,</w:t>
      </w:r>
      <w:r w:rsidRPr="00117C96">
        <w:rPr>
          <w:rFonts w:cs="Segoe UI"/>
          <w:lang w:eastAsia="en-AU"/>
        </w:rPr>
        <w:t xml:space="preserve"> </w:t>
      </w:r>
      <w:r>
        <w:rPr>
          <w:rFonts w:cs="Segoe UI"/>
          <w:lang w:eastAsia="en-AU"/>
        </w:rPr>
        <w:t>307</w:t>
      </w:r>
      <w:r w:rsidRPr="00117C96">
        <w:rPr>
          <w:rFonts w:cs="Segoe UI"/>
          <w:lang w:eastAsia="en-AU"/>
        </w:rPr>
        <w:t xml:space="preserve"> young drivers aged 18 to 25 lost</w:t>
      </w:r>
      <w:r w:rsidR="00E92718">
        <w:rPr>
          <w:rFonts w:cs="Segoe UI"/>
          <w:lang w:eastAsia="en-AU"/>
        </w:rPr>
        <w:t xml:space="preserve"> their lives o</w:t>
      </w:r>
      <w:r w:rsidRPr="00117C96">
        <w:rPr>
          <w:rFonts w:cs="Segoe UI"/>
          <w:lang w:eastAsia="en-AU"/>
        </w:rPr>
        <w:t>n Victoria</w:t>
      </w:r>
      <w:r w:rsidR="00E92718">
        <w:rPr>
          <w:rFonts w:cs="Segoe UI"/>
          <w:lang w:eastAsia="en-AU"/>
        </w:rPr>
        <w:t xml:space="preserve">n roads </w:t>
      </w:r>
      <w:r w:rsidRPr="00117C96">
        <w:rPr>
          <w:rFonts w:cs="Segoe UI"/>
          <w:lang w:eastAsia="en-AU"/>
        </w:rPr>
        <w:t xml:space="preserve">– representing </w:t>
      </w:r>
      <w:r>
        <w:rPr>
          <w:rFonts w:cs="Segoe UI"/>
          <w:lang w:eastAsia="en-AU"/>
        </w:rPr>
        <w:t xml:space="preserve">almost </w:t>
      </w:r>
      <w:r w:rsidRPr="00117C96">
        <w:rPr>
          <w:rFonts w:cs="Segoe UI"/>
          <w:lang w:eastAsia="en-AU"/>
        </w:rPr>
        <w:t>one in four or 2</w:t>
      </w:r>
      <w:r>
        <w:rPr>
          <w:rFonts w:cs="Segoe UI"/>
          <w:lang w:eastAsia="en-AU"/>
        </w:rPr>
        <w:t>4</w:t>
      </w:r>
      <w:r w:rsidRPr="00117C96">
        <w:rPr>
          <w:rFonts w:cs="Segoe UI"/>
          <w:lang w:eastAsia="en-AU"/>
        </w:rPr>
        <w:t>% of drivers lives lost in Vict</w:t>
      </w:r>
      <w:r>
        <w:rPr>
          <w:rFonts w:cs="Segoe UI"/>
          <w:lang w:eastAsia="en-AU"/>
        </w:rPr>
        <w:t>oria in this period. In 2017</w:t>
      </w:r>
      <w:r w:rsidRPr="00117C96">
        <w:rPr>
          <w:rFonts w:cs="Segoe UI"/>
          <w:lang w:eastAsia="en-AU"/>
        </w:rPr>
        <w:t xml:space="preserve">, </w:t>
      </w:r>
      <w:r>
        <w:rPr>
          <w:rFonts w:cs="Segoe UI"/>
          <w:lang w:eastAsia="en-AU"/>
        </w:rPr>
        <w:t>this increased to almost one in three (31%) bearing in mind that the</w:t>
      </w:r>
      <w:r w:rsidR="00B21180">
        <w:rPr>
          <w:rFonts w:cs="Segoe UI"/>
          <w:lang w:eastAsia="en-AU"/>
        </w:rPr>
        <w:t xml:space="preserve"> </w:t>
      </w:r>
      <w:r w:rsidRPr="00117C96">
        <w:rPr>
          <w:rFonts w:cs="Segoe UI"/>
          <w:lang w:eastAsia="en-AU"/>
        </w:rPr>
        <w:t xml:space="preserve">18 </w:t>
      </w:r>
      <w:r>
        <w:rPr>
          <w:rFonts w:cs="Segoe UI"/>
          <w:lang w:eastAsia="en-AU"/>
        </w:rPr>
        <w:t>to</w:t>
      </w:r>
      <w:r w:rsidRPr="00117C96">
        <w:rPr>
          <w:rFonts w:cs="Segoe UI"/>
          <w:lang w:eastAsia="en-AU"/>
        </w:rPr>
        <w:t xml:space="preserve"> 25 year</w:t>
      </w:r>
      <w:r>
        <w:rPr>
          <w:rFonts w:cs="Segoe UI"/>
          <w:lang w:eastAsia="en-AU"/>
        </w:rPr>
        <w:t xml:space="preserve">s </w:t>
      </w:r>
      <w:r w:rsidRPr="00117C96">
        <w:rPr>
          <w:rFonts w:cs="Segoe UI"/>
          <w:lang w:eastAsia="en-AU"/>
        </w:rPr>
        <w:t>age group only represent</w:t>
      </w:r>
      <w:r>
        <w:rPr>
          <w:rFonts w:cs="Segoe UI"/>
          <w:lang w:eastAsia="en-AU"/>
        </w:rPr>
        <w:t>s</w:t>
      </w:r>
      <w:r w:rsidRPr="00117C96">
        <w:rPr>
          <w:rFonts w:cs="Segoe UI"/>
          <w:lang w:eastAsia="en-AU"/>
        </w:rPr>
        <w:t xml:space="preserve"> around 10% of Victorian licence holders.</w:t>
      </w:r>
    </w:p>
    <w:p w14:paraId="650D93A8" w14:textId="77777777" w:rsidR="00122C1B" w:rsidRDefault="00122C1B" w:rsidP="006713F9">
      <w:pPr>
        <w:pStyle w:val="Heading3"/>
      </w:pPr>
      <w:bookmarkStart w:id="130" w:name="_Toc10703411"/>
      <w:r>
        <w:t>Risk factors affecting motorcyclists specifically</w:t>
      </w:r>
      <w:bookmarkEnd w:id="130"/>
    </w:p>
    <w:p w14:paraId="54E6888B" w14:textId="12941760" w:rsidR="00122C1B" w:rsidRDefault="00122C1B" w:rsidP="00204937">
      <w:pPr>
        <w:pStyle w:val="TextPara"/>
        <w:rPr>
          <w:lang w:eastAsia="en-AU"/>
        </w:rPr>
      </w:pPr>
      <w:r>
        <w:rPr>
          <w:lang w:eastAsia="en-AU"/>
        </w:rPr>
        <w:t xml:space="preserve">In addition to the road safety risks described in </w:t>
      </w:r>
      <w:r>
        <w:rPr>
          <w:lang w:eastAsia="en-AU"/>
        </w:rPr>
        <w:fldChar w:fldCharType="begin"/>
      </w:r>
      <w:r>
        <w:rPr>
          <w:lang w:eastAsia="en-AU"/>
        </w:rPr>
        <w:instrText xml:space="preserve"> REF _Ref500513525 \h </w:instrText>
      </w:r>
      <w:r>
        <w:rPr>
          <w:lang w:eastAsia="en-AU"/>
        </w:rPr>
      </w:r>
      <w:r>
        <w:rPr>
          <w:lang w:eastAsia="en-AU"/>
        </w:rPr>
        <w:fldChar w:fldCharType="separate"/>
      </w:r>
      <w:r w:rsidR="00EB4B02" w:rsidRPr="00117C96">
        <w:t xml:space="preserve">Table </w:t>
      </w:r>
      <w:r w:rsidR="00EB4B02">
        <w:rPr>
          <w:noProof/>
        </w:rPr>
        <w:t>8</w:t>
      </w:r>
      <w:r>
        <w:rPr>
          <w:lang w:eastAsia="en-AU"/>
        </w:rPr>
        <w:fldChar w:fldCharType="end"/>
      </w:r>
      <w:r>
        <w:rPr>
          <w:lang w:eastAsia="en-AU"/>
        </w:rPr>
        <w:t xml:space="preserve"> and </w:t>
      </w:r>
      <w:r>
        <w:rPr>
          <w:lang w:eastAsia="en-AU"/>
        </w:rPr>
        <w:fldChar w:fldCharType="begin"/>
      </w:r>
      <w:r>
        <w:rPr>
          <w:lang w:eastAsia="en-AU"/>
        </w:rPr>
        <w:instrText xml:space="preserve"> REF _Ref507688584 \h </w:instrText>
      </w:r>
      <w:r>
        <w:rPr>
          <w:lang w:eastAsia="en-AU"/>
        </w:rPr>
      </w:r>
      <w:r>
        <w:rPr>
          <w:lang w:eastAsia="en-AU"/>
        </w:rPr>
        <w:fldChar w:fldCharType="separate"/>
      </w:r>
      <w:r w:rsidR="00EB4B02" w:rsidRPr="00117C96">
        <w:t xml:space="preserve">Table </w:t>
      </w:r>
      <w:r w:rsidR="00EB4B02">
        <w:rPr>
          <w:noProof/>
        </w:rPr>
        <w:t>9</w:t>
      </w:r>
      <w:r>
        <w:rPr>
          <w:lang w:eastAsia="en-AU"/>
        </w:rPr>
        <w:fldChar w:fldCharType="end"/>
      </w:r>
      <w:r>
        <w:rPr>
          <w:lang w:eastAsia="en-AU"/>
        </w:rPr>
        <w:t xml:space="preserve"> above, there are other crash risks that specifically relate to motorcyclists. </w:t>
      </w:r>
    </w:p>
    <w:p w14:paraId="2B1127A5" w14:textId="2D31B8A0" w:rsidR="00122C1B" w:rsidRPr="00117C96" w:rsidRDefault="00122C1B" w:rsidP="00AA0BBA">
      <w:pPr>
        <w:pStyle w:val="Caption"/>
      </w:pPr>
      <w:bookmarkStart w:id="131" w:name="_Toc10703705"/>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12</w:t>
      </w:r>
      <w:r w:rsidR="00BC6B2E">
        <w:rPr>
          <w:noProof/>
        </w:rPr>
        <w:fldChar w:fldCharType="end"/>
      </w:r>
      <w:r>
        <w:t xml:space="preserve"> </w:t>
      </w:r>
      <w:r>
        <w:rPr>
          <w:noProof/>
        </w:rPr>
        <w:t>–</w:t>
      </w:r>
      <w:r>
        <w:t xml:space="preserve"> Key road safety risk factors affecting motorcyclists specifically</w:t>
      </w:r>
      <w:bookmarkEnd w:id="131"/>
    </w:p>
    <w:tbl>
      <w:tblPr>
        <w:tblStyle w:val="RIS-Table2"/>
        <w:tblW w:w="9498" w:type="dxa"/>
        <w:tblLook w:val="04A0" w:firstRow="1" w:lastRow="0" w:firstColumn="1" w:lastColumn="0" w:noHBand="0" w:noVBand="1"/>
      </w:tblPr>
      <w:tblGrid>
        <w:gridCol w:w="1843"/>
        <w:gridCol w:w="4111"/>
        <w:gridCol w:w="3544"/>
      </w:tblGrid>
      <w:tr w:rsidR="00122C1B" w:rsidRPr="00117C96" w14:paraId="2A267B26" w14:textId="77777777" w:rsidTr="009B381C">
        <w:trPr>
          <w:cnfStyle w:val="100000000000" w:firstRow="1" w:lastRow="0" w:firstColumn="0" w:lastColumn="0" w:oddVBand="0" w:evenVBand="0" w:oddHBand="0" w:evenHBand="0" w:firstRowFirstColumn="0" w:firstRowLastColumn="0" w:lastRowFirstColumn="0" w:lastRowLastColumn="0"/>
          <w:trHeight w:val="300"/>
        </w:trPr>
        <w:tc>
          <w:tcPr>
            <w:tcW w:w="1843" w:type="dxa"/>
            <w:noWrap/>
            <w:hideMark/>
          </w:tcPr>
          <w:p w14:paraId="4C2AB50A" w14:textId="77777777" w:rsidR="00122C1B" w:rsidRPr="00BC38EB" w:rsidRDefault="00122C1B" w:rsidP="00204937">
            <w:pPr>
              <w:spacing w:after="40"/>
              <w:rPr>
                <w:rFonts w:ascii="Segoe UI" w:eastAsia="Times New Roman" w:hAnsi="Segoe UI" w:cs="Segoe UI"/>
                <w:sz w:val="18"/>
                <w:szCs w:val="18"/>
              </w:rPr>
            </w:pPr>
            <w:r w:rsidRPr="00BC38EB">
              <w:rPr>
                <w:rFonts w:ascii="Segoe UI" w:eastAsia="Times New Roman" w:hAnsi="Segoe UI" w:cs="Segoe UI"/>
                <w:sz w:val="18"/>
                <w:szCs w:val="18"/>
              </w:rPr>
              <w:t>Factor</w:t>
            </w:r>
          </w:p>
        </w:tc>
        <w:tc>
          <w:tcPr>
            <w:tcW w:w="4111" w:type="dxa"/>
          </w:tcPr>
          <w:p w14:paraId="1D702125" w14:textId="77777777" w:rsidR="00122C1B" w:rsidRPr="00117C96" w:rsidRDefault="00122C1B" w:rsidP="00204937">
            <w:pPr>
              <w:spacing w:after="40"/>
              <w:rPr>
                <w:rFonts w:ascii="Segoe UI" w:eastAsia="Times New Roman" w:hAnsi="Segoe UI" w:cs="Segoe UI"/>
                <w:sz w:val="18"/>
                <w:szCs w:val="18"/>
              </w:rPr>
            </w:pPr>
            <w:r>
              <w:rPr>
                <w:rFonts w:ascii="Segoe UI" w:eastAsia="Times New Roman" w:hAnsi="Segoe UI" w:cs="Segoe UI"/>
                <w:sz w:val="18"/>
                <w:szCs w:val="18"/>
              </w:rPr>
              <w:t>Description</w:t>
            </w:r>
          </w:p>
        </w:tc>
        <w:tc>
          <w:tcPr>
            <w:tcW w:w="3544" w:type="dxa"/>
          </w:tcPr>
          <w:p w14:paraId="71B43A1E" w14:textId="77777777" w:rsidR="00122C1B" w:rsidRDefault="00122C1B" w:rsidP="00204937">
            <w:pPr>
              <w:spacing w:after="40"/>
              <w:rPr>
                <w:rFonts w:ascii="Segoe UI" w:eastAsia="Times New Roman" w:hAnsi="Segoe UI" w:cs="Segoe UI"/>
                <w:sz w:val="18"/>
                <w:szCs w:val="18"/>
              </w:rPr>
            </w:pPr>
            <w:r>
              <w:rPr>
                <w:rFonts w:ascii="Segoe UI" w:eastAsia="Times New Roman" w:hAnsi="Segoe UI" w:cs="Segoe UI"/>
                <w:sz w:val="18"/>
                <w:szCs w:val="18"/>
              </w:rPr>
              <w:t>Impact</w:t>
            </w:r>
          </w:p>
        </w:tc>
      </w:tr>
      <w:tr w:rsidR="00122C1B" w:rsidRPr="00117C96" w14:paraId="1EF45C4B" w14:textId="77777777" w:rsidTr="009B381C">
        <w:trPr>
          <w:trHeight w:val="300"/>
        </w:trPr>
        <w:tc>
          <w:tcPr>
            <w:tcW w:w="1843" w:type="dxa"/>
            <w:noWrap/>
          </w:tcPr>
          <w:p w14:paraId="214F2A29" w14:textId="77777777" w:rsidR="00122C1B" w:rsidRPr="00E50108" w:rsidRDefault="00122C1B" w:rsidP="00204937">
            <w:pPr>
              <w:pStyle w:val="TableParagraph"/>
              <w:rPr>
                <w:b/>
              </w:rPr>
            </w:pPr>
            <w:r>
              <w:rPr>
                <w:b/>
              </w:rPr>
              <w:t>Other drivers’ poor visibility of motorcyclists</w:t>
            </w:r>
          </w:p>
        </w:tc>
        <w:tc>
          <w:tcPr>
            <w:tcW w:w="4111" w:type="dxa"/>
          </w:tcPr>
          <w:p w14:paraId="75113A10" w14:textId="77777777" w:rsidR="00122C1B" w:rsidRDefault="00122C1B" w:rsidP="00204937">
            <w:pPr>
              <w:pStyle w:val="TableParagraph"/>
            </w:pPr>
            <w:r>
              <w:t xml:space="preserve">Other drivers may fail to perceive motorcyclists adequately when driving, because of riders’ </w:t>
            </w:r>
            <w:r w:rsidRPr="00F25757">
              <w:t xml:space="preserve">dark </w:t>
            </w:r>
            <w:r>
              <w:t>clothing, riding in blind spots</w:t>
            </w:r>
            <w:r w:rsidRPr="00F25757">
              <w:t>, other drivers</w:t>
            </w:r>
            <w:r>
              <w:t>’</w:t>
            </w:r>
            <w:r w:rsidRPr="00F25757">
              <w:t xml:space="preserve"> inability to judge speed</w:t>
            </w:r>
            <w:r>
              <w:t xml:space="preserve"> and </w:t>
            </w:r>
            <w:r w:rsidRPr="00F25757">
              <w:t>distance, and riders choosing poor lane positions</w:t>
            </w:r>
            <w:r>
              <w:t>. The risk increases with driver distractions, such as using phone, listening to radio and viewing directions on GPS satnav screen. Riders are generally harder to see in traffic due to size, colour, manoeuvrability, lack of predictability and travelling at varying speeds compared to the rest of the traffic, even during daylight hours.</w:t>
            </w:r>
          </w:p>
        </w:tc>
        <w:tc>
          <w:tcPr>
            <w:tcW w:w="3544" w:type="dxa"/>
          </w:tcPr>
          <w:p w14:paraId="30ED697B" w14:textId="77777777" w:rsidR="00122C1B" w:rsidRPr="00D5594C" w:rsidRDefault="00122C1B" w:rsidP="00204937">
            <w:pPr>
              <w:pStyle w:val="TableParagraph"/>
            </w:pPr>
            <w:r>
              <w:t>An Australian study noted that about 19% of drivers reported failing to see motorcycles with which they collided.</w:t>
            </w:r>
            <w:bookmarkStart w:id="132" w:name="_Ref511926179"/>
            <w:r>
              <w:rPr>
                <w:rStyle w:val="EndnoteReference"/>
              </w:rPr>
              <w:endnoteReference w:id="166"/>
            </w:r>
            <w:bookmarkEnd w:id="132"/>
          </w:p>
        </w:tc>
      </w:tr>
      <w:tr w:rsidR="00122C1B" w:rsidRPr="00117C96" w14:paraId="7147A5A6" w14:textId="77777777" w:rsidTr="00C26A40">
        <w:trPr>
          <w:cnfStyle w:val="000000010000" w:firstRow="0" w:lastRow="0" w:firstColumn="0" w:lastColumn="0" w:oddVBand="0" w:evenVBand="0" w:oddHBand="0" w:evenHBand="1" w:firstRowFirstColumn="0" w:firstRowLastColumn="0" w:lastRowFirstColumn="0" w:lastRowLastColumn="0"/>
          <w:trHeight w:val="300"/>
        </w:trPr>
        <w:tc>
          <w:tcPr>
            <w:tcW w:w="1843" w:type="dxa"/>
            <w:shd w:val="clear" w:color="auto" w:fill="auto"/>
            <w:noWrap/>
          </w:tcPr>
          <w:p w14:paraId="1F855D19" w14:textId="77777777" w:rsidR="00122C1B" w:rsidRDefault="00122C1B" w:rsidP="00204937">
            <w:pPr>
              <w:pStyle w:val="TableParagraph"/>
              <w:rPr>
                <w:b/>
              </w:rPr>
            </w:pPr>
            <w:r>
              <w:rPr>
                <w:b/>
              </w:rPr>
              <w:t>Inadequate body protection</w:t>
            </w:r>
          </w:p>
        </w:tc>
        <w:tc>
          <w:tcPr>
            <w:tcW w:w="4111" w:type="dxa"/>
            <w:shd w:val="clear" w:color="auto" w:fill="auto"/>
          </w:tcPr>
          <w:p w14:paraId="5A51563B" w14:textId="14A8D37C" w:rsidR="00122C1B" w:rsidRDefault="00122C1B" w:rsidP="007F373D">
            <w:pPr>
              <w:pStyle w:val="TableParagraph"/>
              <w:keepNext/>
            </w:pPr>
            <w:r>
              <w:t>Motorcyclists are at a higher risk of death or serious injury due to the lack of protection. They lack protection in the event of a collision with other vehicles, roadside objects or impact with the road surface.</w:t>
            </w:r>
            <w:bookmarkStart w:id="133" w:name="_Ref511926216"/>
            <w:r>
              <w:rPr>
                <w:rStyle w:val="EndnoteReference"/>
              </w:rPr>
              <w:t xml:space="preserve"> </w:t>
            </w:r>
            <w:r>
              <w:rPr>
                <w:rStyle w:val="EndnoteReference"/>
              </w:rPr>
              <w:endnoteReference w:id="167"/>
            </w:r>
            <w:bookmarkEnd w:id="133"/>
            <w:r w:rsidRPr="00390664">
              <w:rPr>
                <w:vertAlign w:val="superscript"/>
              </w:rPr>
              <w:t>,</w:t>
            </w:r>
            <w:r>
              <w:fldChar w:fldCharType="begin"/>
            </w:r>
            <w:r>
              <w:instrText xml:space="preserve"> NOTEREF _Ref511926179 \f \h  \* MERGEFORMAT </w:instrText>
            </w:r>
            <w:r>
              <w:fldChar w:fldCharType="separate"/>
            </w:r>
            <w:r w:rsidR="00EB4B02" w:rsidRPr="00EB4B02">
              <w:rPr>
                <w:rStyle w:val="EndnoteReference"/>
              </w:rPr>
              <w:t>165</w:t>
            </w:r>
            <w:r>
              <w:fldChar w:fldCharType="end"/>
            </w:r>
            <w:r>
              <w:t xml:space="preserve"> This leads to multiple injuries to the head, chest and legs together with abrasion injuries from contact with the road surface.</w:t>
            </w:r>
            <w:r>
              <w:fldChar w:fldCharType="begin"/>
            </w:r>
            <w:r>
              <w:instrText xml:space="preserve"> NOTEREF _Ref511926216 \f \h  \* MERGEFORMAT </w:instrText>
            </w:r>
            <w:r>
              <w:fldChar w:fldCharType="separate"/>
            </w:r>
            <w:r w:rsidR="00EB4B02" w:rsidRPr="00EB4B02">
              <w:rPr>
                <w:rStyle w:val="EndnoteReference"/>
              </w:rPr>
              <w:t>166</w:t>
            </w:r>
            <w:r>
              <w:fldChar w:fldCharType="end"/>
            </w:r>
            <w:r>
              <w:t xml:space="preserve"> Such injuries are often serious and </w:t>
            </w:r>
            <w:r>
              <w:lastRenderedPageBreak/>
              <w:t>require hospitalisation and rehabilitation treatment, placing a burden on the rider and health and medical resources.</w:t>
            </w:r>
          </w:p>
        </w:tc>
        <w:tc>
          <w:tcPr>
            <w:tcW w:w="3544" w:type="dxa"/>
            <w:shd w:val="clear" w:color="auto" w:fill="auto"/>
          </w:tcPr>
          <w:p w14:paraId="7D660094" w14:textId="77777777" w:rsidR="00122C1B" w:rsidRDefault="00122C1B" w:rsidP="00204937">
            <w:pPr>
              <w:pStyle w:val="TableParagraph"/>
            </w:pPr>
            <w:r>
              <w:lastRenderedPageBreak/>
              <w:t>Research suggests that protective clothing can significantly reduce the risk of soft tissue injuries and the human costs of non-fatal motorcycle crashes.</w:t>
            </w:r>
            <w:r>
              <w:rPr>
                <w:rStyle w:val="EndnoteReference"/>
              </w:rPr>
              <w:endnoteReference w:id="168"/>
            </w:r>
          </w:p>
          <w:p w14:paraId="4D31243A" w14:textId="77777777" w:rsidR="00122C1B" w:rsidRPr="00D5594C" w:rsidRDefault="00122C1B" w:rsidP="00204937">
            <w:pPr>
              <w:pStyle w:val="TableParagraph"/>
            </w:pPr>
            <w:r>
              <w:t xml:space="preserve">In a survey of motorcyclists conducted for the TAC in 2010, more than 9 in 10 riders own protective clothing and 4 in 5 </w:t>
            </w:r>
            <w:r w:rsidR="00CB71AB">
              <w:t xml:space="preserve">riders </w:t>
            </w:r>
            <w:r>
              <w:t>claim to wear it when riding.</w:t>
            </w:r>
            <w:r>
              <w:rPr>
                <w:rStyle w:val="EndnoteReference"/>
              </w:rPr>
              <w:endnoteReference w:id="169"/>
            </w:r>
            <w:r>
              <w:t xml:space="preserve"> Another </w:t>
            </w:r>
            <w:r>
              <w:lastRenderedPageBreak/>
              <w:t xml:space="preserve">survey conducted in 2013 found that 97% were particularly likely to agree that motorcycle clothing provides protection in the event of a crash and 67% that it </w:t>
            </w:r>
            <w:r w:rsidRPr="00DF711A">
              <w:t>should be compulsory for motorcyclists to wear a full set of protective gear while riding</w:t>
            </w:r>
            <w:r>
              <w:t>.</w:t>
            </w:r>
            <w:r>
              <w:rPr>
                <w:rStyle w:val="EndnoteReference"/>
              </w:rPr>
              <w:endnoteReference w:id="170"/>
            </w:r>
            <w:r>
              <w:t xml:space="preserve"> </w:t>
            </w:r>
          </w:p>
        </w:tc>
      </w:tr>
      <w:tr w:rsidR="00122C1B" w:rsidRPr="00117C96" w14:paraId="6D476AE6" w14:textId="77777777" w:rsidTr="009B381C">
        <w:trPr>
          <w:trHeight w:val="300"/>
        </w:trPr>
        <w:tc>
          <w:tcPr>
            <w:tcW w:w="1843" w:type="dxa"/>
            <w:noWrap/>
          </w:tcPr>
          <w:p w14:paraId="64AAD6AD" w14:textId="77777777" w:rsidR="00122C1B" w:rsidRDefault="00122C1B" w:rsidP="00204937">
            <w:pPr>
              <w:pStyle w:val="TableParagraph"/>
              <w:rPr>
                <w:b/>
              </w:rPr>
            </w:pPr>
            <w:r>
              <w:rPr>
                <w:b/>
              </w:rPr>
              <w:lastRenderedPageBreak/>
              <w:t>Low Vehicle stability</w:t>
            </w:r>
          </w:p>
        </w:tc>
        <w:tc>
          <w:tcPr>
            <w:tcW w:w="4111" w:type="dxa"/>
          </w:tcPr>
          <w:p w14:paraId="08FA90FB" w14:textId="77777777" w:rsidR="00122C1B" w:rsidRDefault="00122C1B" w:rsidP="00204937">
            <w:pPr>
              <w:pStyle w:val="TableParagraph"/>
            </w:pPr>
            <w:r>
              <w:t>Motorcycles are less stable than vehicles with four or more wheels and are less forgiving where an operator makes an error or is distracted for some reason. This is exacerbated by poor or changing road surfaces, such as uneven surfaces, gravel, oil or debris on the road.</w:t>
            </w:r>
          </w:p>
          <w:p w14:paraId="0F989067" w14:textId="77777777" w:rsidR="00122C1B" w:rsidRDefault="00122C1B" w:rsidP="005E54A3">
            <w:pPr>
              <w:pStyle w:val="TableParagraph"/>
            </w:pPr>
            <w:r>
              <w:t>While the brakes on modern motorcycles are usually of a high engineering standard, there is considerable variability in braking effectiveness due to most motorcycles having independent front and rear brakes, with effective braking depending on how well both brakes are used by the rider. In a hard brake, rear brakes make very little difference as most force is on the front wheel.</w:t>
            </w:r>
          </w:p>
        </w:tc>
        <w:tc>
          <w:tcPr>
            <w:tcW w:w="3544" w:type="dxa"/>
          </w:tcPr>
          <w:p w14:paraId="6AE88121" w14:textId="77777777" w:rsidR="00122C1B" w:rsidRDefault="00122C1B" w:rsidP="00204937">
            <w:pPr>
              <w:pStyle w:val="TableParagraph"/>
            </w:pPr>
            <w:r>
              <w:t xml:space="preserve">Research suggests that the average rider may only use about 56% of the available braking capacity in an emergency, </w:t>
            </w:r>
            <w:r w:rsidRPr="00B20741">
              <w:t>particularly under-utilising the front brake</w:t>
            </w:r>
            <w:r>
              <w:t>.</w:t>
            </w:r>
            <w:r>
              <w:rPr>
                <w:rStyle w:val="EndnoteReference"/>
              </w:rPr>
              <w:endnoteReference w:id="171"/>
            </w:r>
          </w:p>
          <w:p w14:paraId="74AEB44A" w14:textId="77777777" w:rsidR="00122C1B" w:rsidRPr="00D5594C" w:rsidRDefault="00122C1B" w:rsidP="00204937">
            <w:pPr>
              <w:pStyle w:val="TableParagraph"/>
            </w:pPr>
          </w:p>
        </w:tc>
      </w:tr>
    </w:tbl>
    <w:p w14:paraId="67DCE8AC" w14:textId="77777777" w:rsidR="00122C1B" w:rsidRPr="000B1342" w:rsidRDefault="00122C1B" w:rsidP="001A063E">
      <w:pPr>
        <w:pStyle w:val="Heading2"/>
        <w:rPr>
          <w:rStyle w:val="Strong"/>
          <w:b/>
          <w:bCs/>
          <w:color w:val="404040" w:themeColor="text1" w:themeTint="BF"/>
          <w:sz w:val="24"/>
          <w:szCs w:val="26"/>
        </w:rPr>
      </w:pPr>
      <w:bookmarkStart w:id="134" w:name="_Toc525307248"/>
      <w:bookmarkStart w:id="135" w:name="_Toc527623988"/>
      <w:bookmarkStart w:id="136" w:name="_Toc527629637"/>
      <w:bookmarkStart w:id="137" w:name="_Toc527644339"/>
      <w:bookmarkStart w:id="138" w:name="_Toc10703412"/>
      <w:bookmarkEnd w:id="134"/>
      <w:bookmarkEnd w:id="135"/>
      <w:bookmarkEnd w:id="136"/>
      <w:bookmarkEnd w:id="137"/>
      <w:r w:rsidRPr="000B1342">
        <w:rPr>
          <w:rStyle w:val="Strong"/>
          <w:b/>
          <w:bCs/>
          <w:color w:val="404040" w:themeColor="text1" w:themeTint="BF"/>
          <w:sz w:val="24"/>
          <w:szCs w:val="26"/>
        </w:rPr>
        <w:t>Extent of the problem</w:t>
      </w:r>
      <w:bookmarkEnd w:id="138"/>
    </w:p>
    <w:p w14:paraId="20D6F6B6" w14:textId="47F2C7AA" w:rsidR="001A53D8" w:rsidRDefault="00122C1B" w:rsidP="001A53D8">
      <w:pPr>
        <w:pStyle w:val="TextPara"/>
        <w:rPr>
          <w:rFonts w:cs="Segoe UI"/>
          <w:lang w:eastAsia="en-AU"/>
        </w:rPr>
      </w:pPr>
      <w:r>
        <w:rPr>
          <w:rFonts w:cs="Segoe UI"/>
          <w:lang w:eastAsia="en-AU"/>
        </w:rPr>
        <w:t xml:space="preserve">Since the introduction of motor vehicles in Victoria more than a century ago, the number of lives lost due to road trauma on Victorian roads peaked in 1970 at 1,061 deaths. Since then, there has been a significant downward trend, reaching the lowest number of 214 deaths in 2018. </w:t>
      </w:r>
      <w:r>
        <w:rPr>
          <w:rFonts w:cs="Segoe UI"/>
          <w:lang w:eastAsia="en-AU"/>
        </w:rPr>
        <w:fldChar w:fldCharType="begin"/>
      </w:r>
      <w:r>
        <w:rPr>
          <w:rFonts w:cs="Segoe UI"/>
          <w:lang w:eastAsia="en-AU"/>
        </w:rPr>
        <w:instrText xml:space="preserve"> REF _Ref499992315 \h </w:instrText>
      </w:r>
      <w:r>
        <w:rPr>
          <w:rFonts w:cs="Segoe UI"/>
          <w:lang w:eastAsia="en-AU"/>
        </w:rPr>
      </w:r>
      <w:r>
        <w:rPr>
          <w:rFonts w:cs="Segoe UI"/>
          <w:lang w:eastAsia="en-AU"/>
        </w:rPr>
        <w:fldChar w:fldCharType="separate"/>
      </w:r>
      <w:r w:rsidR="00EB4B02" w:rsidRPr="00117C96">
        <w:t xml:space="preserve">Figure </w:t>
      </w:r>
      <w:r w:rsidR="00EB4B02">
        <w:rPr>
          <w:noProof/>
        </w:rPr>
        <w:t>4</w:t>
      </w:r>
      <w:r>
        <w:rPr>
          <w:rFonts w:cs="Segoe UI"/>
          <w:lang w:eastAsia="en-AU"/>
        </w:rPr>
        <w:fldChar w:fldCharType="end"/>
      </w:r>
      <w:r>
        <w:t xml:space="preserve"> </w:t>
      </w:r>
      <w:r>
        <w:rPr>
          <w:rFonts w:cs="Segoe UI"/>
          <w:lang w:eastAsia="en-AU"/>
        </w:rPr>
        <w:t>provides a big picture view of some of the key initiatives that have contributed to this trend.</w:t>
      </w:r>
      <w:r w:rsidR="001A53D8" w:rsidRPr="001A53D8">
        <w:rPr>
          <w:rFonts w:cs="Segoe UI"/>
          <w:lang w:eastAsia="en-AU"/>
        </w:rPr>
        <w:t xml:space="preserve"> </w:t>
      </w:r>
    </w:p>
    <w:p w14:paraId="71C370FE" w14:textId="75A4C1AC" w:rsidR="001A53D8" w:rsidRDefault="001A53D8" w:rsidP="001A53D8">
      <w:pPr>
        <w:pStyle w:val="TextPara"/>
        <w:rPr>
          <w:rFonts w:cs="Segoe UI"/>
          <w:lang w:eastAsia="en-AU"/>
        </w:rPr>
      </w:pPr>
      <w:r>
        <w:rPr>
          <w:rFonts w:cs="Segoe UI"/>
          <w:lang w:eastAsia="en-AU"/>
        </w:rPr>
        <w:t xml:space="preserve">In the past 48 years </w:t>
      </w:r>
      <w:r w:rsidRPr="00117C96">
        <w:rPr>
          <w:rFonts w:cs="Segoe UI"/>
          <w:lang w:eastAsia="en-AU"/>
        </w:rPr>
        <w:t xml:space="preserve">the </w:t>
      </w:r>
      <w:r>
        <w:rPr>
          <w:rFonts w:cs="Segoe UI"/>
          <w:lang w:eastAsia="en-AU"/>
        </w:rPr>
        <w:t xml:space="preserve">annual </w:t>
      </w:r>
      <w:r w:rsidRPr="00117C96">
        <w:rPr>
          <w:rFonts w:cs="Segoe UI"/>
          <w:lang w:eastAsia="en-AU"/>
        </w:rPr>
        <w:t>road toll</w:t>
      </w:r>
      <w:r w:rsidR="00C20625">
        <w:rPr>
          <w:rFonts w:cs="Segoe UI"/>
          <w:lang w:eastAsia="en-AU"/>
        </w:rPr>
        <w:t xml:space="preserve"> in</w:t>
      </w:r>
      <w:r w:rsidRPr="00117C96">
        <w:rPr>
          <w:rFonts w:cs="Segoe UI"/>
          <w:lang w:eastAsia="en-AU"/>
        </w:rPr>
        <w:t xml:space="preserve"> </w:t>
      </w:r>
      <w:r>
        <w:rPr>
          <w:rFonts w:cs="Segoe UI"/>
          <w:lang w:eastAsia="en-AU"/>
        </w:rPr>
        <w:t xml:space="preserve">Victoria fell </w:t>
      </w:r>
      <w:r w:rsidRPr="00117C96">
        <w:rPr>
          <w:rFonts w:cs="Segoe UI"/>
          <w:lang w:eastAsia="en-AU"/>
        </w:rPr>
        <w:t xml:space="preserve">by </w:t>
      </w:r>
      <w:r>
        <w:rPr>
          <w:rFonts w:cs="Segoe UI"/>
          <w:lang w:eastAsia="en-AU"/>
        </w:rPr>
        <w:t>80</w:t>
      </w:r>
      <w:r w:rsidRPr="00117C96">
        <w:rPr>
          <w:rFonts w:cs="Segoe UI"/>
          <w:lang w:eastAsia="en-AU"/>
        </w:rPr>
        <w:t>% from</w:t>
      </w:r>
      <w:r>
        <w:rPr>
          <w:rFonts w:cs="Segoe UI"/>
          <w:lang w:eastAsia="en-AU"/>
        </w:rPr>
        <w:t xml:space="preserve"> a high of</w:t>
      </w:r>
      <w:r w:rsidRPr="00117C96">
        <w:rPr>
          <w:rFonts w:cs="Segoe UI"/>
          <w:lang w:eastAsia="en-AU"/>
        </w:rPr>
        <w:t xml:space="preserve"> 1,061 lives in 1970 to its lowest level of 2</w:t>
      </w:r>
      <w:r>
        <w:rPr>
          <w:rFonts w:cs="Segoe UI"/>
          <w:lang w:eastAsia="en-AU"/>
        </w:rPr>
        <w:t>1</w:t>
      </w:r>
      <w:r w:rsidRPr="00117C96">
        <w:rPr>
          <w:rFonts w:cs="Segoe UI"/>
          <w:lang w:eastAsia="en-AU"/>
        </w:rPr>
        <w:t>4 in 201</w:t>
      </w:r>
      <w:r>
        <w:rPr>
          <w:rFonts w:cs="Segoe UI"/>
          <w:lang w:eastAsia="en-AU"/>
        </w:rPr>
        <w:t>8</w:t>
      </w:r>
      <w:r w:rsidRPr="00117C96">
        <w:rPr>
          <w:rFonts w:cs="Segoe UI"/>
          <w:lang w:eastAsia="en-AU"/>
        </w:rPr>
        <w:t xml:space="preserve">. </w:t>
      </w:r>
      <w:r>
        <w:t>The significant downward trend in lives lost since 1970 in Victoria is remarkable, given the steep upward trend in the population and the fleet of registered vehicles. From 1970 to 2018</w:t>
      </w:r>
      <w:r>
        <w:rPr>
          <w:rFonts w:cs="Segoe UI"/>
          <w:lang w:eastAsia="en-AU"/>
        </w:rPr>
        <w:t xml:space="preserve"> Victoria’s </w:t>
      </w:r>
      <w:r w:rsidRPr="00117C96">
        <w:rPr>
          <w:rFonts w:cs="Segoe UI"/>
          <w:lang w:eastAsia="en-AU"/>
        </w:rPr>
        <w:t xml:space="preserve">population </w:t>
      </w:r>
      <w:r>
        <w:rPr>
          <w:rFonts w:cs="Segoe UI"/>
          <w:lang w:eastAsia="en-AU"/>
        </w:rPr>
        <w:t xml:space="preserve">increased by 88% from </w:t>
      </w:r>
      <w:r w:rsidRPr="00117C96">
        <w:rPr>
          <w:rFonts w:cs="Segoe UI"/>
          <w:lang w:eastAsia="en-AU"/>
        </w:rPr>
        <w:t xml:space="preserve">3.44 million </w:t>
      </w:r>
      <w:r>
        <w:rPr>
          <w:rFonts w:cs="Segoe UI"/>
          <w:lang w:eastAsia="en-AU"/>
        </w:rPr>
        <w:t>to 6.46</w:t>
      </w:r>
      <w:r w:rsidRPr="00117C96">
        <w:rPr>
          <w:rFonts w:cs="Segoe UI"/>
          <w:lang w:eastAsia="en-AU"/>
        </w:rPr>
        <w:t xml:space="preserve"> million</w:t>
      </w:r>
      <w:r>
        <w:rPr>
          <w:rStyle w:val="EndnoteReference"/>
          <w:rFonts w:cs="Segoe UI"/>
          <w:lang w:eastAsia="en-AU"/>
        </w:rPr>
        <w:endnoteReference w:id="172"/>
      </w:r>
      <w:r w:rsidRPr="00117C96">
        <w:rPr>
          <w:rFonts w:cs="Segoe UI"/>
          <w:lang w:eastAsia="en-AU"/>
        </w:rPr>
        <w:t xml:space="preserve"> </w:t>
      </w:r>
      <w:r>
        <w:rPr>
          <w:rFonts w:cs="Segoe UI"/>
          <w:lang w:eastAsia="en-AU"/>
        </w:rPr>
        <w:t>and</w:t>
      </w:r>
      <w:r w:rsidRPr="00117C96">
        <w:rPr>
          <w:rFonts w:cs="Segoe UI"/>
          <w:lang w:eastAsia="en-AU"/>
        </w:rPr>
        <w:t xml:space="preserve"> </w:t>
      </w:r>
      <w:r>
        <w:rPr>
          <w:rFonts w:cs="Segoe UI"/>
          <w:lang w:eastAsia="en-AU"/>
        </w:rPr>
        <w:t xml:space="preserve">its fleet of </w:t>
      </w:r>
      <w:r w:rsidRPr="00117C96">
        <w:rPr>
          <w:rFonts w:cs="Segoe UI"/>
          <w:lang w:eastAsia="en-AU"/>
        </w:rPr>
        <w:t>registered motor vehicles</w:t>
      </w:r>
      <w:r>
        <w:rPr>
          <w:rFonts w:cs="Segoe UI"/>
          <w:lang w:eastAsia="en-AU"/>
        </w:rPr>
        <w:t xml:space="preserve"> almost quadrupled, having grown by 292% from </w:t>
      </w:r>
      <w:r w:rsidRPr="00117C96">
        <w:rPr>
          <w:rFonts w:cs="Segoe UI"/>
          <w:lang w:eastAsia="en-AU"/>
        </w:rPr>
        <w:t>1.3 million</w:t>
      </w:r>
      <w:r w:rsidRPr="00117C96">
        <w:rPr>
          <w:rStyle w:val="EndnoteReference"/>
          <w:rFonts w:cs="Segoe UI"/>
          <w:lang w:eastAsia="en-AU"/>
        </w:rPr>
        <w:endnoteReference w:id="173"/>
      </w:r>
      <w:r>
        <w:rPr>
          <w:rFonts w:cs="Segoe UI"/>
          <w:lang w:eastAsia="en-AU"/>
        </w:rPr>
        <w:t xml:space="preserve"> to 5.1 </w:t>
      </w:r>
      <w:r w:rsidRPr="00950DDC">
        <w:rPr>
          <w:rFonts w:cs="Segoe UI"/>
          <w:lang w:eastAsia="en-AU"/>
        </w:rPr>
        <w:t>million</w:t>
      </w:r>
      <w:r>
        <w:rPr>
          <w:rFonts w:cs="Segoe UI"/>
          <w:lang w:eastAsia="en-AU"/>
        </w:rPr>
        <w:t>.</w:t>
      </w:r>
      <w:r w:rsidRPr="00117C96">
        <w:rPr>
          <w:rStyle w:val="EndnoteReference"/>
          <w:rFonts w:cs="Segoe UI"/>
          <w:lang w:eastAsia="en-AU"/>
        </w:rPr>
        <w:endnoteReference w:id="174"/>
      </w:r>
      <w:r>
        <w:rPr>
          <w:rFonts w:cs="Segoe UI"/>
          <w:lang w:eastAsia="en-AU"/>
        </w:rPr>
        <w:t xml:space="preserve"> </w:t>
      </w:r>
      <w:r w:rsidRPr="007669A8">
        <w:rPr>
          <w:rFonts w:cs="Segoe UI"/>
          <w:lang w:eastAsia="en-AU"/>
        </w:rPr>
        <w:t>While the record low road deaths in 2018 highlights that Victoria is moving in the right direction with its approach to road safety, there is still room for more improvement.</w:t>
      </w:r>
    </w:p>
    <w:p w14:paraId="12E8A9E3" w14:textId="359CA832" w:rsidR="00E804B9" w:rsidRPr="007C208F" w:rsidRDefault="00E804B9" w:rsidP="00E804B9">
      <w:pPr>
        <w:pStyle w:val="TextPara"/>
        <w:rPr>
          <w:szCs w:val="20"/>
        </w:rPr>
      </w:pPr>
      <w:r w:rsidRPr="007C208F">
        <w:rPr>
          <w:szCs w:val="20"/>
        </w:rPr>
        <w:t>With regard to the issues affecting older drivers t</w:t>
      </w:r>
      <w:r w:rsidRPr="009855D1">
        <w:rPr>
          <w:szCs w:val="20"/>
        </w:rPr>
        <w:t>here is evidence that older drivers have higher crash rates than younger drivers. The Department is not aware of any published evidence that very old drivers (say 80+ or 85+) have even higher crash risk than moderately old drivers</w:t>
      </w:r>
      <w:r>
        <w:rPr>
          <w:szCs w:val="20"/>
        </w:rPr>
        <w:t xml:space="preserve"> (70+). At the same time, </w:t>
      </w:r>
      <w:r w:rsidRPr="00AF13B6">
        <w:rPr>
          <w:szCs w:val="20"/>
        </w:rPr>
        <w:t xml:space="preserve">it seems </w:t>
      </w:r>
      <w:r w:rsidRPr="0038500C">
        <w:rPr>
          <w:rFonts w:cs="Segoe UI"/>
          <w:szCs w:val="20"/>
        </w:rPr>
        <w:t xml:space="preserve">reasonable to presume that this is true given that the incidence of medical conditions that may impair driving ability does increase into very old age e.g. people aged over 85 account for 43 per cent of cases of dementia, and the proportion of people with dementia aged 85+ is close to three times the proportion of people aged 75-84. </w:t>
      </w:r>
      <w:r w:rsidR="0038500C" w:rsidRPr="0038500C">
        <w:rPr>
          <w:rFonts w:cs="Segoe UI"/>
          <w:szCs w:val="20"/>
        </w:rPr>
        <w:t>As of May 2019, there are 543,121 Victorian licence holders aged 70 years or over, with 159,222 of these aged 80 or older. Many of these licence holders would not be active drivers, but maintain a licence for other purposes.</w:t>
      </w:r>
      <w:r w:rsidR="0038500C">
        <w:t xml:space="preserve"> </w:t>
      </w:r>
      <w:r w:rsidR="0038500C">
        <w:br/>
      </w:r>
    </w:p>
    <w:p w14:paraId="1A11590D" w14:textId="77777777" w:rsidR="00E804B9" w:rsidRDefault="00E804B9" w:rsidP="001A53D8">
      <w:pPr>
        <w:pStyle w:val="TextPara"/>
        <w:rPr>
          <w:rFonts w:cs="Segoe UI"/>
          <w:lang w:eastAsia="en-AU"/>
        </w:rPr>
      </w:pPr>
    </w:p>
    <w:p w14:paraId="71D2A80C" w14:textId="309D0422" w:rsidR="00122C1B" w:rsidRPr="00117C96" w:rsidRDefault="00122C1B" w:rsidP="00AA0BBA">
      <w:pPr>
        <w:pStyle w:val="Caption"/>
        <w:rPr>
          <w:lang w:eastAsia="en-AU"/>
        </w:rPr>
      </w:pPr>
      <w:bookmarkStart w:id="139" w:name="_Ref499992315"/>
      <w:bookmarkStart w:id="140" w:name="_Toc10703649"/>
      <w:r w:rsidRPr="00117C96">
        <w:lastRenderedPageBreak/>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4</w:t>
      </w:r>
      <w:r w:rsidR="00BC6B2E">
        <w:rPr>
          <w:noProof/>
        </w:rPr>
        <w:fldChar w:fldCharType="end"/>
      </w:r>
      <w:bookmarkEnd w:id="139"/>
      <w:r w:rsidRPr="00117C96">
        <w:t xml:space="preserve"> </w:t>
      </w:r>
      <w:r>
        <w:t>–</w:t>
      </w:r>
      <w:r w:rsidRPr="00117C96">
        <w:t xml:space="preserve"> Key milestones in Victorian driver licensing and </w:t>
      </w:r>
      <w:r>
        <w:t xml:space="preserve">reduction in </w:t>
      </w:r>
      <w:r w:rsidRPr="00117C96">
        <w:t>road deaths</w:t>
      </w:r>
      <w:bookmarkEnd w:id="140"/>
    </w:p>
    <w:p w14:paraId="3985C43A" w14:textId="77777777" w:rsidR="00122C1B" w:rsidRPr="00117C96" w:rsidRDefault="001A0312" w:rsidP="000338CC">
      <w:pPr>
        <w:pStyle w:val="Picture"/>
        <w:ind w:left="0"/>
        <w:rPr>
          <w:rFonts w:cs="Segoe UI"/>
        </w:rPr>
      </w:pPr>
      <w:r>
        <w:rPr>
          <w:rFonts w:cs="Segoe UI"/>
          <w:lang w:val="en-GB" w:eastAsia="en-GB"/>
        </w:rPr>
        <w:drawing>
          <wp:inline distT="0" distB="0" distL="0" distR="0" wp14:anchorId="11816AB5" wp14:editId="2CE758D4">
            <wp:extent cx="6048375" cy="6337300"/>
            <wp:effectExtent l="0" t="0" r="9525"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ivers RIS - RoadSafetyVictoria Timeline 20190105b-2.png"/>
                    <pic:cNvPicPr/>
                  </pic:nvPicPr>
                  <pic:blipFill>
                    <a:blip r:embed="rId32">
                      <a:extLst>
                        <a:ext uri="{28A0092B-C50C-407E-A947-70E740481C1C}">
                          <a14:useLocalDpi xmlns:a14="http://schemas.microsoft.com/office/drawing/2010/main" val="0"/>
                        </a:ext>
                      </a:extLst>
                    </a:blip>
                    <a:stretch>
                      <a:fillRect/>
                    </a:stretch>
                  </pic:blipFill>
                  <pic:spPr>
                    <a:xfrm>
                      <a:off x="0" y="0"/>
                      <a:ext cx="6048375" cy="6337300"/>
                    </a:xfrm>
                    <a:prstGeom prst="rect">
                      <a:avLst/>
                    </a:prstGeom>
                  </pic:spPr>
                </pic:pic>
              </a:graphicData>
            </a:graphic>
          </wp:inline>
        </w:drawing>
      </w:r>
    </w:p>
    <w:p w14:paraId="5BC5C640" w14:textId="77777777" w:rsidR="00122C1B" w:rsidRPr="00117C96" w:rsidRDefault="00122C1B" w:rsidP="000338CC">
      <w:pPr>
        <w:pStyle w:val="Source"/>
        <w:rPr>
          <w:rFonts w:cs="Segoe UI"/>
        </w:rPr>
      </w:pPr>
      <w:r w:rsidRPr="00117C96">
        <w:rPr>
          <w:rFonts w:cs="Segoe UI"/>
        </w:rPr>
        <w:t>Source: VicRoads</w:t>
      </w:r>
      <w:r>
        <w:rPr>
          <w:rFonts w:cs="Segoe UI"/>
        </w:rPr>
        <w:t xml:space="preserve"> 2019</w:t>
      </w:r>
    </w:p>
    <w:bookmarkStart w:id="141" w:name="_Ref501446671"/>
    <w:p w14:paraId="4D5375A4" w14:textId="7B28A05F" w:rsidR="001A53D8" w:rsidRDefault="00F06E4D" w:rsidP="001A53D8">
      <w:pPr>
        <w:pStyle w:val="TextPara"/>
        <w:rPr>
          <w:rFonts w:cs="Segoe UI"/>
          <w:lang w:eastAsia="en-AU"/>
        </w:rPr>
      </w:pPr>
      <w:r>
        <w:fldChar w:fldCharType="begin"/>
      </w:r>
      <w:r>
        <w:instrText xml:space="preserve"> REF _Ref10701123 \h </w:instrText>
      </w:r>
      <w:r>
        <w:fldChar w:fldCharType="separate"/>
      </w:r>
      <w:r w:rsidR="00EB4B02" w:rsidRPr="003A7C2F">
        <w:t xml:space="preserve">Figure </w:t>
      </w:r>
      <w:r w:rsidR="00EB4B02">
        <w:rPr>
          <w:noProof/>
        </w:rPr>
        <w:t>5</w:t>
      </w:r>
      <w:r>
        <w:fldChar w:fldCharType="end"/>
      </w:r>
      <w:r>
        <w:t xml:space="preserve"> </w:t>
      </w:r>
      <w:r w:rsidR="001A53D8" w:rsidRPr="004E5E19">
        <w:rPr>
          <w:rFonts w:cs="Segoe UI"/>
          <w:lang w:eastAsia="en-AU"/>
        </w:rPr>
        <w:t xml:space="preserve">shows the significant increases in Victoria’s population and vehicles registered in Victoria compared with the steady decline in road deaths between 1970 and 2018. Through the </w:t>
      </w:r>
      <w:r w:rsidR="001A53D8" w:rsidRPr="004E5E19">
        <w:rPr>
          <w:rFonts w:cs="Segoe UI"/>
          <w:i/>
          <w:lang w:eastAsia="en-AU"/>
        </w:rPr>
        <w:t>Towards Zero</w:t>
      </w:r>
      <w:r w:rsidR="001A53D8" w:rsidRPr="004E5E19">
        <w:rPr>
          <w:rFonts w:cs="Segoe UI"/>
          <w:lang w:eastAsia="en-AU"/>
        </w:rPr>
        <w:t xml:space="preserve"> strategy, Victoria has set itself a 20% fatality reduction target of fewer than 200 deaths per year by 2020. The bars shaded in grey in</w:t>
      </w:r>
      <w:r w:rsidR="00F954AD" w:rsidRPr="004E5E19">
        <w:rPr>
          <w:rFonts w:cs="Segoe UI"/>
          <w:lang w:eastAsia="en-AU"/>
        </w:rPr>
        <w:t xml:space="preserve"> </w:t>
      </w:r>
      <w:r w:rsidR="008B3CB4">
        <w:rPr>
          <w:rFonts w:cs="Segoe UI"/>
          <w:lang w:eastAsia="en-AU"/>
        </w:rPr>
        <w:fldChar w:fldCharType="begin"/>
      </w:r>
      <w:r w:rsidR="008B3CB4">
        <w:rPr>
          <w:rFonts w:cs="Segoe UI"/>
          <w:lang w:eastAsia="en-AU"/>
        </w:rPr>
        <w:instrText xml:space="preserve"> REF _Ref10701123 \h </w:instrText>
      </w:r>
      <w:r w:rsidR="008B3CB4">
        <w:rPr>
          <w:rFonts w:cs="Segoe UI"/>
          <w:lang w:eastAsia="en-AU"/>
        </w:rPr>
      </w:r>
      <w:r w:rsidR="008B3CB4">
        <w:rPr>
          <w:rFonts w:cs="Segoe UI"/>
          <w:lang w:eastAsia="en-AU"/>
        </w:rPr>
        <w:fldChar w:fldCharType="separate"/>
      </w:r>
      <w:r w:rsidR="00EB4B02" w:rsidRPr="003A7C2F">
        <w:t xml:space="preserve">Figure </w:t>
      </w:r>
      <w:r w:rsidR="00EB4B02">
        <w:rPr>
          <w:noProof/>
        </w:rPr>
        <w:t>5</w:t>
      </w:r>
      <w:r w:rsidR="008B3CB4">
        <w:rPr>
          <w:rFonts w:cs="Segoe UI"/>
          <w:lang w:eastAsia="en-AU"/>
        </w:rPr>
        <w:fldChar w:fldCharType="end"/>
      </w:r>
      <w:r w:rsidR="008B3CB4">
        <w:rPr>
          <w:rFonts w:cs="Segoe UI"/>
          <w:lang w:eastAsia="en-AU"/>
        </w:rPr>
        <w:t xml:space="preserve"> </w:t>
      </w:r>
      <w:r w:rsidR="001A53D8" w:rsidRPr="004E5E19">
        <w:rPr>
          <w:rFonts w:cs="Segoe UI"/>
          <w:lang w:eastAsia="en-AU"/>
        </w:rPr>
        <w:t xml:space="preserve">and </w:t>
      </w:r>
      <w:r w:rsidR="001A53D8" w:rsidRPr="004E5E19">
        <w:fldChar w:fldCharType="begin"/>
      </w:r>
      <w:r w:rsidR="001A53D8" w:rsidRPr="004E5E19">
        <w:rPr>
          <w:rFonts w:cs="Segoe UI"/>
          <w:lang w:eastAsia="en-AU"/>
        </w:rPr>
        <w:instrText xml:space="preserve"> REF _Ref501446231 \h </w:instrText>
      </w:r>
      <w:r w:rsidR="004E5E19" w:rsidRPr="004E5E19">
        <w:instrText xml:space="preserve"> \* MERGEFORMAT </w:instrText>
      </w:r>
      <w:r w:rsidR="001A53D8" w:rsidRPr="004E5E19">
        <w:fldChar w:fldCharType="separate"/>
      </w:r>
      <w:r w:rsidR="00EB4B02" w:rsidRPr="00117C96">
        <w:t xml:space="preserve">Figure </w:t>
      </w:r>
      <w:r w:rsidR="00EB4B02">
        <w:rPr>
          <w:noProof/>
        </w:rPr>
        <w:t>6</w:t>
      </w:r>
      <w:r w:rsidR="001A53D8" w:rsidRPr="004E5E19">
        <w:fldChar w:fldCharType="end"/>
      </w:r>
      <w:r w:rsidR="001A53D8" w:rsidRPr="004E5E19">
        <w:rPr>
          <w:rFonts w:cs="Segoe UI"/>
          <w:lang w:eastAsia="en-AU"/>
        </w:rPr>
        <w:t xml:space="preserve"> show the target trend from January 2018 to December 2020 to reduce road deaths under the strategy</w:t>
      </w:r>
      <w:r w:rsidR="001A53D8" w:rsidRPr="006E6D12">
        <w:rPr>
          <w:rFonts w:cs="Segoe UI"/>
          <w:lang w:eastAsia="en-AU"/>
        </w:rPr>
        <w:t>.</w:t>
      </w:r>
    </w:p>
    <w:p w14:paraId="15D5001A" w14:textId="77777777" w:rsidR="001A53D8" w:rsidRDefault="001A53D8" w:rsidP="001A53D8">
      <w:pPr>
        <w:pStyle w:val="TextPara"/>
        <w:rPr>
          <w:rFonts w:cs="Segoe UI"/>
          <w:lang w:eastAsia="en-AU"/>
        </w:rPr>
      </w:pPr>
    </w:p>
    <w:p w14:paraId="2771B206" w14:textId="0A20DAEF" w:rsidR="00122C1B" w:rsidRPr="003A7C2F" w:rsidRDefault="00122C1B" w:rsidP="00AA0BBA">
      <w:pPr>
        <w:pStyle w:val="CaptionFigures"/>
      </w:pPr>
      <w:bookmarkStart w:id="142" w:name="_Ref10701123"/>
      <w:bookmarkStart w:id="143" w:name="_Ref10701109"/>
      <w:bookmarkStart w:id="144" w:name="_Toc10703650"/>
      <w:r w:rsidRPr="003A7C2F">
        <w:lastRenderedPageBreak/>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5</w:t>
      </w:r>
      <w:r w:rsidR="00BC6B2E">
        <w:rPr>
          <w:noProof/>
        </w:rPr>
        <w:fldChar w:fldCharType="end"/>
      </w:r>
      <w:bookmarkEnd w:id="141"/>
      <w:bookmarkEnd w:id="142"/>
      <w:r w:rsidRPr="003A7C2F">
        <w:t xml:space="preserve"> – </w:t>
      </w:r>
      <w:r>
        <w:t>L</w:t>
      </w:r>
      <w:r w:rsidRPr="003A7C2F">
        <w:t xml:space="preserve">ives lost </w:t>
      </w:r>
      <w:r>
        <w:t xml:space="preserve">in </w:t>
      </w:r>
      <w:r w:rsidRPr="003A7C2F">
        <w:t xml:space="preserve">Victoria </w:t>
      </w:r>
      <w:r>
        <w:t>compared with the increase in population and vehicles (</w:t>
      </w:r>
      <w:r w:rsidRPr="003A7C2F">
        <w:t>19</w:t>
      </w:r>
      <w:r>
        <w:t>70 to 2018)</w:t>
      </w:r>
      <w:bookmarkEnd w:id="143"/>
      <w:bookmarkEnd w:id="144"/>
    </w:p>
    <w:p w14:paraId="4FC75C15" w14:textId="77777777" w:rsidR="00122C1B" w:rsidRDefault="00730DE7" w:rsidP="002A489B">
      <w:pPr>
        <w:pStyle w:val="TextPara"/>
        <w:spacing w:line="240" w:lineRule="auto"/>
        <w:jc w:val="center"/>
        <w:rPr>
          <w:rFonts w:cs="Segoe UI"/>
        </w:rPr>
      </w:pPr>
      <w:bookmarkStart w:id="145" w:name="OLE_LINK1"/>
      <w:r w:rsidRPr="00730DE7">
        <w:rPr>
          <w:noProof/>
          <w:lang w:val="en-GB" w:eastAsia="en-GB"/>
        </w:rPr>
        <w:drawing>
          <wp:inline distT="0" distB="0" distL="0" distR="0" wp14:anchorId="424783E6" wp14:editId="4C9BE1F3">
            <wp:extent cx="6048375" cy="348464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375" cy="3484644"/>
                    </a:xfrm>
                    <a:prstGeom prst="rect">
                      <a:avLst/>
                    </a:prstGeom>
                    <a:noFill/>
                    <a:ln>
                      <a:noFill/>
                    </a:ln>
                  </pic:spPr>
                </pic:pic>
              </a:graphicData>
            </a:graphic>
          </wp:inline>
        </w:drawing>
      </w:r>
      <w:bookmarkEnd w:id="145"/>
    </w:p>
    <w:p w14:paraId="2E246B8B" w14:textId="77777777" w:rsidR="00122C1B" w:rsidRDefault="00122C1B" w:rsidP="000338CC">
      <w:pPr>
        <w:pStyle w:val="Source"/>
      </w:pPr>
      <w:r>
        <w:t>Source: VicRoads;</w:t>
      </w:r>
      <w:r w:rsidRPr="00117C96">
        <w:rPr>
          <w:rFonts w:cs="Segoe UI"/>
        </w:rPr>
        <w:t xml:space="preserve"> </w:t>
      </w:r>
      <w:r>
        <w:rPr>
          <w:rFonts w:cs="Segoe UI"/>
        </w:rPr>
        <w:t xml:space="preserve">ABS; and </w:t>
      </w:r>
      <w:r w:rsidRPr="00117C96">
        <w:rPr>
          <w:rFonts w:cs="Segoe UI"/>
        </w:rPr>
        <w:t>BITRE Australian Road Death</w:t>
      </w:r>
      <w:r>
        <w:rPr>
          <w:rFonts w:cs="Segoe UI"/>
        </w:rPr>
        <w:t>s</w:t>
      </w:r>
      <w:r w:rsidRPr="00117C96">
        <w:rPr>
          <w:rFonts w:cs="Segoe UI"/>
        </w:rPr>
        <w:t xml:space="preserve"> Database 201</w:t>
      </w:r>
      <w:r>
        <w:rPr>
          <w:rFonts w:cs="Segoe UI"/>
        </w:rPr>
        <w:t>8</w:t>
      </w:r>
    </w:p>
    <w:p w14:paraId="463E8C23" w14:textId="22B1F9EF" w:rsidR="00122C1B" w:rsidRDefault="00122C1B" w:rsidP="000338CC">
      <w:pPr>
        <w:pStyle w:val="TextPara"/>
        <w:rPr>
          <w:rFonts w:cs="Segoe UI"/>
          <w:lang w:eastAsia="en-AU"/>
        </w:rPr>
      </w:pPr>
      <w:r>
        <w:rPr>
          <w:rFonts w:cs="Segoe UI"/>
          <w:lang w:eastAsia="en-AU"/>
        </w:rPr>
        <w:fldChar w:fldCharType="begin"/>
      </w:r>
      <w:r>
        <w:rPr>
          <w:rFonts w:cs="Segoe UI"/>
          <w:lang w:eastAsia="en-AU"/>
        </w:rPr>
        <w:instrText xml:space="preserve"> REF _Ref501446231 \h </w:instrText>
      </w:r>
      <w:r>
        <w:rPr>
          <w:rFonts w:cs="Segoe UI"/>
          <w:lang w:eastAsia="en-AU"/>
        </w:rPr>
      </w:r>
      <w:r>
        <w:rPr>
          <w:rFonts w:cs="Segoe UI"/>
          <w:lang w:eastAsia="en-AU"/>
        </w:rPr>
        <w:fldChar w:fldCharType="separate"/>
      </w:r>
      <w:r w:rsidR="00EB4B02" w:rsidRPr="00117C96">
        <w:t xml:space="preserve">Figure </w:t>
      </w:r>
      <w:r w:rsidR="00EB4B02">
        <w:rPr>
          <w:noProof/>
        </w:rPr>
        <w:t>6</w:t>
      </w:r>
      <w:r>
        <w:rPr>
          <w:rFonts w:cs="Segoe UI"/>
          <w:lang w:eastAsia="en-AU"/>
        </w:rPr>
        <w:fldChar w:fldCharType="end"/>
      </w:r>
      <w:r>
        <w:rPr>
          <w:rFonts w:cs="Segoe UI"/>
          <w:lang w:eastAsia="en-AU"/>
        </w:rPr>
        <w:t xml:space="preserve"> shows the downward trend in lives lost per 100,000 population of Victoria and per 100,000 vehicles registered in Victoria.</w:t>
      </w:r>
    </w:p>
    <w:p w14:paraId="6892EFFB" w14:textId="7C41E71F" w:rsidR="00122C1B" w:rsidRPr="00117C96" w:rsidRDefault="00122C1B" w:rsidP="00AA0BBA">
      <w:pPr>
        <w:pStyle w:val="Caption"/>
        <w:rPr>
          <w:lang w:eastAsia="en-AU"/>
        </w:rPr>
      </w:pPr>
      <w:bookmarkStart w:id="146" w:name="_Ref501446231"/>
      <w:bookmarkStart w:id="147" w:name="_Toc10703651"/>
      <w:r w:rsidRPr="00117C96">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6</w:t>
      </w:r>
      <w:r w:rsidR="00BC6B2E">
        <w:rPr>
          <w:noProof/>
        </w:rPr>
        <w:fldChar w:fldCharType="end"/>
      </w:r>
      <w:bookmarkEnd w:id="146"/>
      <w:r w:rsidRPr="00117C96">
        <w:t xml:space="preserve"> </w:t>
      </w:r>
      <w:r>
        <w:t>–</w:t>
      </w:r>
      <w:r w:rsidRPr="00117C96">
        <w:t xml:space="preserve"> </w:t>
      </w:r>
      <w:r>
        <w:t>Lives lost</w:t>
      </w:r>
      <w:r w:rsidRPr="00117C96">
        <w:t xml:space="preserve"> </w:t>
      </w:r>
      <w:r>
        <w:t>o</w:t>
      </w:r>
      <w:r w:rsidRPr="00117C96">
        <w:t xml:space="preserve">n Victorian </w:t>
      </w:r>
      <w:r>
        <w:t>roads per 100K population and per 100K vehicles (1970-2018)</w:t>
      </w:r>
      <w:bookmarkEnd w:id="147"/>
    </w:p>
    <w:p w14:paraId="680D6525" w14:textId="77777777" w:rsidR="00122C1B" w:rsidRDefault="00CC0317" w:rsidP="00CC0317">
      <w:pPr>
        <w:pStyle w:val="TextPara"/>
        <w:spacing w:line="240" w:lineRule="auto"/>
        <w:jc w:val="center"/>
        <w:rPr>
          <w:rFonts w:cs="Segoe UI"/>
          <w:lang w:eastAsia="en-AU"/>
        </w:rPr>
      </w:pPr>
      <w:r w:rsidRPr="00CC0317">
        <w:rPr>
          <w:noProof/>
          <w:lang w:val="en-GB" w:eastAsia="en-GB"/>
        </w:rPr>
        <w:drawing>
          <wp:inline distT="0" distB="0" distL="0" distR="0" wp14:anchorId="1338077D" wp14:editId="67840293">
            <wp:extent cx="6048375" cy="37188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8375" cy="3718841"/>
                    </a:xfrm>
                    <a:prstGeom prst="rect">
                      <a:avLst/>
                    </a:prstGeom>
                    <a:noFill/>
                    <a:ln>
                      <a:noFill/>
                    </a:ln>
                  </pic:spPr>
                </pic:pic>
              </a:graphicData>
            </a:graphic>
          </wp:inline>
        </w:drawing>
      </w:r>
    </w:p>
    <w:p w14:paraId="64EE2B09" w14:textId="77777777" w:rsidR="00122C1B" w:rsidRDefault="00122C1B" w:rsidP="000338CC">
      <w:pPr>
        <w:pStyle w:val="Source"/>
      </w:pPr>
      <w:r>
        <w:t>Source: VicRoads;</w:t>
      </w:r>
      <w:r w:rsidRPr="00117C96">
        <w:rPr>
          <w:rFonts w:cs="Segoe UI"/>
        </w:rPr>
        <w:t xml:space="preserve"> </w:t>
      </w:r>
      <w:r>
        <w:rPr>
          <w:rFonts w:cs="Segoe UI"/>
        </w:rPr>
        <w:t xml:space="preserve">ABS; and </w:t>
      </w:r>
      <w:r w:rsidRPr="00117C96">
        <w:rPr>
          <w:rFonts w:cs="Segoe UI"/>
        </w:rPr>
        <w:t>BITRE Australian Road Death</w:t>
      </w:r>
      <w:r>
        <w:rPr>
          <w:rFonts w:cs="Segoe UI"/>
        </w:rPr>
        <w:t>s</w:t>
      </w:r>
      <w:r w:rsidRPr="00117C96">
        <w:rPr>
          <w:rFonts w:cs="Segoe UI"/>
        </w:rPr>
        <w:t xml:space="preserve"> Database 201</w:t>
      </w:r>
      <w:r>
        <w:rPr>
          <w:rFonts w:cs="Segoe UI"/>
        </w:rPr>
        <w:t>8</w:t>
      </w:r>
    </w:p>
    <w:p w14:paraId="1FF5D602" w14:textId="77777777" w:rsidR="00770606" w:rsidRDefault="00770606" w:rsidP="00770606">
      <w:pPr>
        <w:pStyle w:val="TextPara"/>
        <w:spacing w:after="0"/>
        <w:rPr>
          <w:rFonts w:cs="Segoe UI"/>
          <w:lang w:eastAsia="en-AU"/>
        </w:rPr>
      </w:pPr>
      <w:r>
        <w:rPr>
          <w:rFonts w:cs="Segoe UI"/>
          <w:lang w:eastAsia="en-AU"/>
        </w:rPr>
        <w:lastRenderedPageBreak/>
        <w:t>Various factors have contributed to this significant reduction in lives lost in Victoria since 1970. These factors</w:t>
      </w:r>
      <w:r w:rsidR="00E92718">
        <w:rPr>
          <w:rFonts w:cs="Segoe UI"/>
          <w:lang w:eastAsia="en-AU"/>
        </w:rPr>
        <w:t xml:space="preserve"> have</w:t>
      </w:r>
      <w:r>
        <w:rPr>
          <w:rFonts w:cs="Segoe UI"/>
          <w:lang w:eastAsia="en-AU"/>
        </w:rPr>
        <w:t xml:space="preserve"> included: </w:t>
      </w:r>
    </w:p>
    <w:p w14:paraId="351FC71F" w14:textId="77777777" w:rsidR="00770606" w:rsidRDefault="00770606" w:rsidP="00770606">
      <w:pPr>
        <w:pStyle w:val="Bullet1-Black"/>
      </w:pPr>
      <w:r>
        <w:t>the mandatory use of seat belts from 1970</w:t>
      </w:r>
    </w:p>
    <w:p w14:paraId="1F26B32D" w14:textId="77777777" w:rsidR="00770606" w:rsidRDefault="00770606" w:rsidP="00770606">
      <w:pPr>
        <w:pStyle w:val="Bullet1-Black"/>
      </w:pPr>
      <w:r w:rsidRPr="00117C96">
        <w:t>many road safety awareness campaigns conducted over the years</w:t>
      </w:r>
      <w:r>
        <w:t xml:space="preserve"> that have changed road user attitudes (e.g. on drink driving and speeding)</w:t>
      </w:r>
      <w:r w:rsidRPr="00117C96">
        <w:t xml:space="preserve"> </w:t>
      </w:r>
    </w:p>
    <w:p w14:paraId="2AB480B1" w14:textId="77777777" w:rsidR="00770606" w:rsidRDefault="00770606" w:rsidP="00770606">
      <w:pPr>
        <w:pStyle w:val="Bullet1-Black"/>
      </w:pPr>
      <w:r>
        <w:t xml:space="preserve">the production of </w:t>
      </w:r>
      <w:r w:rsidRPr="00BD3A74">
        <w:t xml:space="preserve">safer </w:t>
      </w:r>
      <w:r>
        <w:t xml:space="preserve">motor </w:t>
      </w:r>
      <w:r w:rsidRPr="00BD3A74">
        <w:t xml:space="preserve">vehicles </w:t>
      </w:r>
    </w:p>
    <w:p w14:paraId="69B9DABE" w14:textId="1EB2A915" w:rsidR="00770606" w:rsidRDefault="00770606" w:rsidP="00770606">
      <w:pPr>
        <w:pStyle w:val="Bullet1-Black"/>
      </w:pPr>
      <w:r>
        <w:t>the construction of better and safer roads (</w:t>
      </w:r>
      <w:r w:rsidR="003C3CDF">
        <w:t>e.g.</w:t>
      </w:r>
      <w:r>
        <w:t xml:space="preserve"> the use of safety barriers)</w:t>
      </w:r>
    </w:p>
    <w:p w14:paraId="1A09A010" w14:textId="77777777" w:rsidR="00770606" w:rsidRDefault="00770606" w:rsidP="00770606">
      <w:pPr>
        <w:pStyle w:val="Bullet1-Black"/>
      </w:pPr>
      <w:r>
        <w:t>improved road traffic control technology</w:t>
      </w:r>
    </w:p>
    <w:p w14:paraId="7E4E5502" w14:textId="77777777" w:rsidR="00770606" w:rsidRDefault="00770606" w:rsidP="00770606">
      <w:pPr>
        <w:pStyle w:val="Bullet1-Black"/>
      </w:pPr>
      <w:r w:rsidRPr="00117C96">
        <w:t>better regulation</w:t>
      </w:r>
    </w:p>
    <w:p w14:paraId="1E202DB5" w14:textId="77777777" w:rsidR="00770606" w:rsidRDefault="00770606" w:rsidP="00770606">
      <w:pPr>
        <w:pStyle w:val="Bullet1-Black"/>
      </w:pPr>
      <w:r w:rsidRPr="00117C96">
        <w:t>more effective enforcement</w:t>
      </w:r>
      <w:r>
        <w:t xml:space="preserve">, especially since the introduction of speed cameras in 1990. </w:t>
      </w:r>
    </w:p>
    <w:p w14:paraId="53863585" w14:textId="77777777" w:rsidR="0085791B" w:rsidRDefault="0085791B" w:rsidP="0085791B">
      <w:pPr>
        <w:pStyle w:val="TextPara"/>
        <w:rPr>
          <w:rFonts w:cs="Segoe UI"/>
          <w:lang w:eastAsia="en-AU"/>
        </w:rPr>
      </w:pPr>
      <w:r>
        <w:rPr>
          <w:rFonts w:cs="Segoe UI"/>
          <w:lang w:eastAsia="en-AU"/>
        </w:rPr>
        <w:t xml:space="preserve">Regulation plays a critical role in the reduction of lives lost on Victorian roads. The proposed Regulations provide the detailed rules that give effect to the provisions of the </w:t>
      </w:r>
      <w:r w:rsidRPr="00E92718">
        <w:rPr>
          <w:rFonts w:cs="Segoe UI"/>
          <w:i/>
          <w:lang w:eastAsia="en-AU"/>
        </w:rPr>
        <w:t>RSA</w:t>
      </w:r>
      <w:r>
        <w:rPr>
          <w:rFonts w:cs="Segoe UI"/>
          <w:lang w:eastAsia="en-AU"/>
        </w:rPr>
        <w:t xml:space="preserve"> regulating driver licensing. Without the proposed Regulations, </w:t>
      </w:r>
      <w:r w:rsidRPr="00C560CD">
        <w:rPr>
          <w:rFonts w:cs="Segoe UI"/>
          <w:lang w:eastAsia="en-AU"/>
        </w:rPr>
        <w:t>there would be a reversal in the downward trend in road trauma</w:t>
      </w:r>
      <w:r>
        <w:rPr>
          <w:rFonts w:cs="Segoe UI"/>
          <w:lang w:eastAsia="en-AU"/>
        </w:rPr>
        <w:t>.</w:t>
      </w:r>
    </w:p>
    <w:p w14:paraId="5EC01511" w14:textId="77777777" w:rsidR="0047644F" w:rsidRPr="0047644F" w:rsidRDefault="0047644F" w:rsidP="0047644F">
      <w:pPr>
        <w:pStyle w:val="TextPara"/>
        <w:rPr>
          <w:rFonts w:cs="Segoe UI"/>
          <w:lang w:eastAsia="en-AU"/>
        </w:rPr>
      </w:pPr>
      <w:bookmarkStart w:id="148" w:name="_Ref508270196"/>
      <w:r w:rsidRPr="0047644F">
        <w:rPr>
          <w:rFonts w:cs="Segoe UI"/>
          <w:lang w:eastAsia="en-AU"/>
        </w:rPr>
        <w:t xml:space="preserve">While the Motorcycle GLS is still at an early stage, having been implemented in 2016, it appears to be providing better protection to novice riders and is expected to have positive impact on all riders and a reduction in crashes over time. </w:t>
      </w:r>
      <w:r w:rsidR="00856B7D">
        <w:rPr>
          <w:rFonts w:cs="Segoe UI"/>
          <w:lang w:eastAsia="en-AU"/>
        </w:rPr>
        <w:t>While causality cannot be determined, the downward trend is promising. It should be noted</w:t>
      </w:r>
      <w:r w:rsidR="00984F79">
        <w:rPr>
          <w:rFonts w:cs="Segoe UI"/>
          <w:lang w:eastAsia="en-AU"/>
        </w:rPr>
        <w:t>,</w:t>
      </w:r>
      <w:r w:rsidR="00856B7D">
        <w:rPr>
          <w:rFonts w:cs="Segoe UI"/>
          <w:lang w:eastAsia="en-AU"/>
        </w:rPr>
        <w:t xml:space="preserve"> however</w:t>
      </w:r>
      <w:r w:rsidR="00984F79">
        <w:rPr>
          <w:rFonts w:cs="Segoe UI"/>
          <w:lang w:eastAsia="en-AU"/>
        </w:rPr>
        <w:t>,</w:t>
      </w:r>
      <w:r w:rsidR="00856B7D">
        <w:rPr>
          <w:rFonts w:cs="Segoe UI"/>
          <w:lang w:eastAsia="en-AU"/>
        </w:rPr>
        <w:t xml:space="preserve"> that prior to the M-GLS introduction there was a general downward </w:t>
      </w:r>
      <w:r w:rsidR="0056288D">
        <w:rPr>
          <w:rFonts w:cs="Segoe UI"/>
          <w:lang w:eastAsia="en-AU"/>
        </w:rPr>
        <w:t>trend in motorcycle deaths.</w:t>
      </w:r>
    </w:p>
    <w:p w14:paraId="09F520A5" w14:textId="799CB15A" w:rsidR="00355746" w:rsidRDefault="003F2558" w:rsidP="00B57FFB">
      <w:pPr>
        <w:pStyle w:val="TextPara"/>
        <w:rPr>
          <w:rFonts w:cs="Segoe UI"/>
        </w:rPr>
      </w:pPr>
      <w:r>
        <w:rPr>
          <w:rFonts w:cs="Segoe UI"/>
        </w:rPr>
        <w:fldChar w:fldCharType="begin"/>
      </w:r>
      <w:r>
        <w:rPr>
          <w:rFonts w:cs="Segoe UI"/>
        </w:rPr>
        <w:instrText xml:space="preserve"> REF _Ref536002822 \h </w:instrText>
      </w:r>
      <w:r>
        <w:rPr>
          <w:rFonts w:cs="Segoe UI"/>
        </w:rPr>
      </w:r>
      <w:r>
        <w:rPr>
          <w:rFonts w:cs="Segoe UI"/>
        </w:rPr>
        <w:fldChar w:fldCharType="separate"/>
      </w:r>
      <w:r w:rsidR="00EB4B02" w:rsidRPr="00117C96">
        <w:t xml:space="preserve">Figure </w:t>
      </w:r>
      <w:r w:rsidR="00EB4B02">
        <w:rPr>
          <w:noProof/>
        </w:rPr>
        <w:t>7</w:t>
      </w:r>
      <w:r>
        <w:rPr>
          <w:rFonts w:cs="Segoe UI"/>
        </w:rPr>
        <w:fldChar w:fldCharType="end"/>
      </w:r>
      <w:r>
        <w:rPr>
          <w:rFonts w:cs="Segoe UI"/>
        </w:rPr>
        <w:t xml:space="preserve"> </w:t>
      </w:r>
      <w:r w:rsidR="004759B9" w:rsidRPr="00E6460A">
        <w:rPr>
          <w:rFonts w:cs="Segoe UI"/>
        </w:rPr>
        <w:t>shows the</w:t>
      </w:r>
      <w:r w:rsidR="004759B9">
        <w:rPr>
          <w:rFonts w:cs="Segoe UI"/>
        </w:rPr>
        <w:t xml:space="preserve"> general downward</w:t>
      </w:r>
      <w:r w:rsidR="004759B9" w:rsidRPr="00E6460A">
        <w:rPr>
          <w:rFonts w:cs="Segoe UI"/>
        </w:rPr>
        <w:t xml:space="preserve"> trend in motorcyclists</w:t>
      </w:r>
      <w:r w:rsidR="004759B9">
        <w:rPr>
          <w:rFonts w:cs="Segoe UI"/>
        </w:rPr>
        <w:t>’ lives lost in Victoria since 2007 per 100,000 active motorcycle licences and learner permits</w:t>
      </w:r>
      <w:r w:rsidR="004759B9" w:rsidRPr="00E6460A">
        <w:rPr>
          <w:rFonts w:cs="Segoe UI"/>
        </w:rPr>
        <w:t>. In 201</w:t>
      </w:r>
      <w:r w:rsidR="004759B9">
        <w:rPr>
          <w:rFonts w:cs="Segoe UI"/>
        </w:rPr>
        <w:t>8</w:t>
      </w:r>
      <w:r w:rsidR="004759B9" w:rsidRPr="00E6460A">
        <w:rPr>
          <w:rFonts w:cs="Segoe UI"/>
        </w:rPr>
        <w:t>, 3</w:t>
      </w:r>
      <w:r w:rsidR="004759B9">
        <w:rPr>
          <w:rFonts w:cs="Segoe UI"/>
        </w:rPr>
        <w:t>5</w:t>
      </w:r>
      <w:r w:rsidR="004759B9" w:rsidRPr="00E6460A">
        <w:rPr>
          <w:rFonts w:cs="Segoe UI"/>
        </w:rPr>
        <w:t xml:space="preserve"> motorcycle riders and 1 pillion passenger lost their lives on Victorian roads – 1</w:t>
      </w:r>
      <w:r w:rsidR="004759B9">
        <w:rPr>
          <w:rFonts w:cs="Segoe UI"/>
        </w:rPr>
        <w:t>6</w:t>
      </w:r>
      <w:r w:rsidR="004759B9" w:rsidRPr="00E6460A">
        <w:rPr>
          <w:rFonts w:cs="Segoe UI"/>
        </w:rPr>
        <w:t>.</w:t>
      </w:r>
      <w:r w:rsidR="004759B9">
        <w:rPr>
          <w:rFonts w:cs="Segoe UI"/>
        </w:rPr>
        <w:t>8</w:t>
      </w:r>
      <w:r w:rsidR="004759B9" w:rsidRPr="00E6460A">
        <w:rPr>
          <w:rFonts w:cs="Segoe UI"/>
        </w:rPr>
        <w:t>% of all lives lost that year.</w:t>
      </w:r>
      <w:r w:rsidR="004759B9">
        <w:rPr>
          <w:rFonts w:cs="Segoe UI"/>
        </w:rPr>
        <w:t xml:space="preserve"> T</w:t>
      </w:r>
      <w:r w:rsidR="004759B9" w:rsidRPr="00E6460A">
        <w:rPr>
          <w:rFonts w:cs="Segoe UI"/>
        </w:rPr>
        <w:t>h</w:t>
      </w:r>
      <w:r w:rsidR="004759B9">
        <w:rPr>
          <w:rFonts w:cs="Segoe UI"/>
        </w:rPr>
        <w:t xml:space="preserve">e downward trend since the implementation of enhancements to the Motorcycle GLS in 2016 has continued in 2018. That </w:t>
      </w:r>
      <w:r w:rsidR="004759B9" w:rsidRPr="00E6460A">
        <w:rPr>
          <w:rFonts w:cs="Segoe UI"/>
        </w:rPr>
        <w:t xml:space="preserve">year 55 motorcyclists (of whom 10 were aged between 18 and 25 years) </w:t>
      </w:r>
      <w:r w:rsidR="004759B9">
        <w:rPr>
          <w:rFonts w:cs="Segoe UI"/>
        </w:rPr>
        <w:t xml:space="preserve">and 1 pillion passenger (aged 18 years) </w:t>
      </w:r>
      <w:r w:rsidR="004759B9" w:rsidRPr="00E6460A">
        <w:rPr>
          <w:rFonts w:cs="Segoe UI"/>
        </w:rPr>
        <w:t>lost their life. This number was primarily driven by a spike in rider deaths in February 2016, with 14 killed in that month against a long-term monthly average of around 3</w:t>
      </w:r>
      <w:r w:rsidR="00DA1DC2">
        <w:rPr>
          <w:rFonts w:cs="Segoe UI"/>
        </w:rPr>
        <w:t>.</w:t>
      </w:r>
      <w:r w:rsidR="00A90A37">
        <w:rPr>
          <w:rFonts w:cs="Segoe UI"/>
        </w:rPr>
        <w:t xml:space="preserve"> </w:t>
      </w:r>
    </w:p>
    <w:p w14:paraId="1BF209E6" w14:textId="6A9A3FC3" w:rsidR="00122C1B" w:rsidRPr="00117C96" w:rsidRDefault="00122C1B" w:rsidP="00AA0BBA">
      <w:pPr>
        <w:pStyle w:val="Caption"/>
        <w:rPr>
          <w:lang w:eastAsia="en-AU"/>
        </w:rPr>
      </w:pPr>
      <w:bookmarkStart w:id="149" w:name="_Ref536002822"/>
      <w:bookmarkStart w:id="150" w:name="_Toc10703652"/>
      <w:r w:rsidRPr="00117C96">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7</w:t>
      </w:r>
      <w:r w:rsidR="00BC6B2E">
        <w:rPr>
          <w:noProof/>
        </w:rPr>
        <w:fldChar w:fldCharType="end"/>
      </w:r>
      <w:bookmarkEnd w:id="148"/>
      <w:bookmarkEnd w:id="149"/>
      <w:r w:rsidRPr="00117C96">
        <w:t xml:space="preserve"> </w:t>
      </w:r>
      <w:r>
        <w:t>–</w:t>
      </w:r>
      <w:r w:rsidRPr="00117C96">
        <w:t xml:space="preserve"> </w:t>
      </w:r>
      <w:r>
        <w:t>Motorcyclist lives lost</w:t>
      </w:r>
      <w:r w:rsidRPr="00117C96">
        <w:t xml:space="preserve"> </w:t>
      </w:r>
      <w:r>
        <w:t>o</w:t>
      </w:r>
      <w:r w:rsidRPr="00117C96">
        <w:t xml:space="preserve">n Victorian </w:t>
      </w:r>
      <w:r>
        <w:t>roads per 100K active motorcycle licences and learner permits (2011-</w:t>
      </w:r>
      <w:r w:rsidR="00170431">
        <w:t>2018</w:t>
      </w:r>
      <w:r>
        <w:t>)</w:t>
      </w:r>
      <w:bookmarkEnd w:id="150"/>
    </w:p>
    <w:p w14:paraId="2F72799F" w14:textId="77777777" w:rsidR="00122C1B" w:rsidRDefault="008800DA" w:rsidP="008800DA">
      <w:pPr>
        <w:pStyle w:val="Picture"/>
        <w:ind w:left="0"/>
      </w:pPr>
      <w:r w:rsidRPr="008800DA">
        <w:rPr>
          <w:lang w:val="en-GB" w:eastAsia="en-GB"/>
        </w:rPr>
        <w:drawing>
          <wp:inline distT="0" distB="0" distL="0" distR="0" wp14:anchorId="4E63BC22" wp14:editId="6335526B">
            <wp:extent cx="5204417" cy="30912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0439" cy="3112613"/>
                    </a:xfrm>
                    <a:prstGeom prst="rect">
                      <a:avLst/>
                    </a:prstGeom>
                    <a:noFill/>
                    <a:ln>
                      <a:noFill/>
                    </a:ln>
                  </pic:spPr>
                </pic:pic>
              </a:graphicData>
            </a:graphic>
          </wp:inline>
        </w:drawing>
      </w:r>
    </w:p>
    <w:p w14:paraId="55B0A406" w14:textId="77777777" w:rsidR="00122C1B" w:rsidRDefault="00122C1B" w:rsidP="000338CC">
      <w:pPr>
        <w:pStyle w:val="Source"/>
      </w:pPr>
      <w:r>
        <w:t xml:space="preserve">Source: </w:t>
      </w:r>
      <w:r w:rsidR="00C231FB">
        <w:rPr>
          <w:rFonts w:cs="Segoe UI"/>
        </w:rPr>
        <w:t xml:space="preserve">VicRoads </w:t>
      </w:r>
      <w:r w:rsidR="006720EA">
        <w:rPr>
          <w:rFonts w:cs="Segoe UI"/>
        </w:rPr>
        <w:t xml:space="preserve">RCIS database </w:t>
      </w:r>
      <w:r w:rsidR="00C231FB">
        <w:rPr>
          <w:rFonts w:cs="Segoe UI"/>
        </w:rPr>
        <w:t>201</w:t>
      </w:r>
      <w:r w:rsidR="006720EA">
        <w:rPr>
          <w:rFonts w:cs="Segoe UI"/>
        </w:rPr>
        <w:t>9</w:t>
      </w:r>
    </w:p>
    <w:p w14:paraId="74915D28" w14:textId="77777777" w:rsidR="000B0F2B" w:rsidRDefault="000B0F2B" w:rsidP="000B0F2B">
      <w:pPr>
        <w:pStyle w:val="TextPara"/>
        <w:rPr>
          <w:rFonts w:cs="Segoe UI"/>
        </w:rPr>
      </w:pPr>
      <w:r w:rsidRPr="005F7D81">
        <w:rPr>
          <w:rFonts w:cs="Segoe UI"/>
        </w:rPr>
        <w:lastRenderedPageBreak/>
        <w:t xml:space="preserve">In interpreting the </w:t>
      </w:r>
      <w:r>
        <w:rPr>
          <w:rFonts w:cs="Segoe UI"/>
        </w:rPr>
        <w:t xml:space="preserve">statistics relating to </w:t>
      </w:r>
      <w:r w:rsidR="0047644F">
        <w:rPr>
          <w:rFonts w:cs="Segoe UI"/>
        </w:rPr>
        <w:t xml:space="preserve">motorcycle </w:t>
      </w:r>
      <w:r w:rsidRPr="005F7D81">
        <w:rPr>
          <w:rFonts w:cs="Segoe UI"/>
        </w:rPr>
        <w:t xml:space="preserve">rider deaths on Victorian roads over the years one must bear in mind </w:t>
      </w:r>
      <w:r>
        <w:rPr>
          <w:rFonts w:cs="Segoe UI"/>
        </w:rPr>
        <w:t xml:space="preserve">factors that contribute to </w:t>
      </w:r>
      <w:r w:rsidR="0047644F">
        <w:rPr>
          <w:rFonts w:cs="Segoe UI"/>
        </w:rPr>
        <w:t xml:space="preserve">the </w:t>
      </w:r>
      <w:r w:rsidR="0047644F" w:rsidRPr="00A64BE6">
        <w:rPr>
          <w:rFonts w:cs="Segoe UI"/>
        </w:rPr>
        <w:t>fluctuat</w:t>
      </w:r>
      <w:r w:rsidR="0047644F">
        <w:rPr>
          <w:rFonts w:cs="Segoe UI"/>
        </w:rPr>
        <w:t>ion in</w:t>
      </w:r>
      <w:r w:rsidR="0047644F" w:rsidRPr="00A64BE6">
        <w:rPr>
          <w:rFonts w:cs="Segoe UI"/>
        </w:rPr>
        <w:t xml:space="preserve"> </w:t>
      </w:r>
      <w:r w:rsidRPr="00A64BE6">
        <w:rPr>
          <w:rFonts w:cs="Segoe UI"/>
        </w:rPr>
        <w:t xml:space="preserve">fatality numbers from year to year. An important factor that significantly contributes to this fluctuation is the weather, as many more motorcyclists </w:t>
      </w:r>
      <w:r w:rsidR="0047644F">
        <w:rPr>
          <w:rFonts w:cs="Segoe UI"/>
        </w:rPr>
        <w:t>venture out</w:t>
      </w:r>
      <w:r w:rsidRPr="00A64BE6">
        <w:rPr>
          <w:rFonts w:cs="Segoe UI"/>
        </w:rPr>
        <w:t xml:space="preserve"> on the road in good weather</w:t>
      </w:r>
      <w:r w:rsidR="0047644F">
        <w:rPr>
          <w:rFonts w:cs="Segoe UI"/>
        </w:rPr>
        <w:t xml:space="preserve"> particularly on weekends</w:t>
      </w:r>
      <w:r w:rsidRPr="00A64BE6">
        <w:rPr>
          <w:rFonts w:cs="Segoe UI"/>
        </w:rPr>
        <w:t>.</w:t>
      </w:r>
      <w:r>
        <w:rPr>
          <w:rFonts w:cs="Segoe UI"/>
        </w:rPr>
        <w:t xml:space="preserve"> The road fatality data</w:t>
      </w:r>
      <w:r>
        <w:rPr>
          <w:rStyle w:val="EndnoteReference"/>
          <w:rFonts w:cs="Segoe UI"/>
        </w:rPr>
        <w:endnoteReference w:id="175"/>
      </w:r>
      <w:r>
        <w:rPr>
          <w:rFonts w:cs="Segoe UI"/>
        </w:rPr>
        <w:t xml:space="preserve"> for the period 2011 to 2018 shows that 92% of all rider deaths occurred in clear weather and 43% in clear weather and on weekends. In terms of seasonality trend, the overall data for the same period shows that </w:t>
      </w:r>
      <w:r w:rsidR="006925E6">
        <w:rPr>
          <w:rFonts w:cs="Segoe UI"/>
        </w:rPr>
        <w:t xml:space="preserve">the </w:t>
      </w:r>
      <w:r>
        <w:rPr>
          <w:rFonts w:cs="Segoe UI"/>
        </w:rPr>
        <w:t>highest percentage of rider deaths (14.5%) occurred in March declining to the lowest percentage (2.6%) in June</w:t>
      </w:r>
      <w:r w:rsidR="00770704">
        <w:rPr>
          <w:rFonts w:cs="Segoe UI"/>
        </w:rPr>
        <w:t>, before gradually increasing again over the spring and summer months to peak again the following March</w:t>
      </w:r>
      <w:r>
        <w:rPr>
          <w:rFonts w:cs="Segoe UI"/>
        </w:rPr>
        <w:t xml:space="preserve">. </w:t>
      </w:r>
    </w:p>
    <w:p w14:paraId="07AFC5B7" w14:textId="1A5671DE" w:rsidR="00122C1B" w:rsidRDefault="00122C1B" w:rsidP="000338CC">
      <w:pPr>
        <w:pStyle w:val="TextPara"/>
        <w:rPr>
          <w:rFonts w:cs="Segoe UI"/>
        </w:rPr>
      </w:pPr>
      <w:r w:rsidRPr="00E6460A">
        <w:rPr>
          <w:rFonts w:cs="Segoe UI"/>
        </w:rPr>
        <w:fldChar w:fldCharType="begin"/>
      </w:r>
      <w:r w:rsidRPr="00E6460A">
        <w:rPr>
          <w:rFonts w:cs="Segoe UI"/>
        </w:rPr>
        <w:instrText xml:space="preserve"> REF _Ref500760251 \h  \* MERGEFORMAT </w:instrText>
      </w:r>
      <w:r w:rsidRPr="00E6460A">
        <w:rPr>
          <w:rFonts w:cs="Segoe UI"/>
        </w:rPr>
      </w:r>
      <w:r w:rsidRPr="00E6460A">
        <w:rPr>
          <w:rFonts w:cs="Segoe UI"/>
        </w:rPr>
        <w:fldChar w:fldCharType="separate"/>
      </w:r>
      <w:r w:rsidR="00EB4B02" w:rsidRPr="00117C96">
        <w:t xml:space="preserve">Figure </w:t>
      </w:r>
      <w:r w:rsidR="00EB4B02">
        <w:rPr>
          <w:noProof/>
        </w:rPr>
        <w:t>8</w:t>
      </w:r>
      <w:r w:rsidRPr="00E6460A">
        <w:rPr>
          <w:rFonts w:cs="Segoe UI"/>
        </w:rPr>
        <w:fldChar w:fldCharType="end"/>
      </w:r>
      <w:r w:rsidRPr="00E6460A">
        <w:rPr>
          <w:rFonts w:cs="Segoe UI"/>
        </w:rPr>
        <w:t xml:space="preserve"> shows the statistics relating to the number of young car drivers and motorcyclists aged between 18 and 25 years in Victoria who lost their lives </w:t>
      </w:r>
      <w:r>
        <w:rPr>
          <w:rFonts w:cs="Segoe UI"/>
        </w:rPr>
        <w:t xml:space="preserve">per 100,000 population </w:t>
      </w:r>
      <w:r w:rsidRPr="00E6460A">
        <w:rPr>
          <w:rFonts w:cs="Segoe UI"/>
        </w:rPr>
        <w:t>between 2011 to 201</w:t>
      </w:r>
      <w:r w:rsidR="005D7CE5">
        <w:rPr>
          <w:rFonts w:cs="Segoe UI"/>
        </w:rPr>
        <w:t>8</w:t>
      </w:r>
      <w:r w:rsidRPr="00E6460A">
        <w:rPr>
          <w:rFonts w:cs="Segoe UI"/>
        </w:rPr>
        <w:t>.</w:t>
      </w:r>
    </w:p>
    <w:p w14:paraId="7D40AC75" w14:textId="0F6EB22A" w:rsidR="00122C1B" w:rsidRPr="00117C96" w:rsidRDefault="00122C1B" w:rsidP="00AA0BBA">
      <w:pPr>
        <w:pStyle w:val="CaptionFigures"/>
        <w:rPr>
          <w:lang w:eastAsia="en-AU"/>
        </w:rPr>
      </w:pPr>
      <w:bookmarkStart w:id="151" w:name="_Ref500760251"/>
      <w:bookmarkStart w:id="152" w:name="_Ref500760270"/>
      <w:bookmarkStart w:id="153" w:name="_Toc10703653"/>
      <w:r w:rsidRPr="00117C96">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8</w:t>
      </w:r>
      <w:r w:rsidR="00BC6B2E">
        <w:rPr>
          <w:noProof/>
        </w:rPr>
        <w:fldChar w:fldCharType="end"/>
      </w:r>
      <w:bookmarkEnd w:id="151"/>
      <w:r w:rsidRPr="00117C96">
        <w:t xml:space="preserve"> – </w:t>
      </w:r>
      <w:bookmarkStart w:id="154" w:name="_Hlk508204327"/>
      <w:r w:rsidRPr="00117C96">
        <w:t>1</w:t>
      </w:r>
      <w:r>
        <w:t xml:space="preserve">8-25 years old </w:t>
      </w:r>
      <w:r w:rsidRPr="00117C96">
        <w:t xml:space="preserve">driver </w:t>
      </w:r>
      <w:r>
        <w:t>&amp;</w:t>
      </w:r>
      <w:r w:rsidRPr="00117C96">
        <w:t xml:space="preserve"> </w:t>
      </w:r>
      <w:r w:rsidRPr="00510126">
        <w:t>motorcycl</w:t>
      </w:r>
      <w:r>
        <w:t>ist</w:t>
      </w:r>
      <w:r w:rsidRPr="00117C96">
        <w:t xml:space="preserve"> lives lost in Victoria </w:t>
      </w:r>
      <w:r>
        <w:t xml:space="preserve">per 100K population </w:t>
      </w:r>
      <w:r w:rsidRPr="00117C96">
        <w:t>(</w:t>
      </w:r>
      <w:r>
        <w:t>2011 to 201</w:t>
      </w:r>
      <w:r w:rsidR="005D7CE5">
        <w:t>8</w:t>
      </w:r>
      <w:r w:rsidRPr="00117C96">
        <w:t>)</w:t>
      </w:r>
      <w:bookmarkEnd w:id="152"/>
      <w:bookmarkEnd w:id="153"/>
      <w:bookmarkEnd w:id="154"/>
    </w:p>
    <w:p w14:paraId="35250070" w14:textId="77777777" w:rsidR="00122C1B" w:rsidRPr="00117C96" w:rsidRDefault="003D7EBF" w:rsidP="00510126">
      <w:pPr>
        <w:pStyle w:val="Picture"/>
        <w:ind w:left="0"/>
        <w:rPr>
          <w:rFonts w:cs="Segoe UI"/>
        </w:rPr>
      </w:pPr>
      <w:r w:rsidRPr="003D7EBF">
        <w:rPr>
          <w:rFonts w:cs="Segoe UI"/>
        </w:rPr>
        <w:t xml:space="preserve"> </w:t>
      </w:r>
      <w:r w:rsidRPr="003D7EBF">
        <w:rPr>
          <w:lang w:val="en-GB" w:eastAsia="en-GB"/>
        </w:rPr>
        <w:drawing>
          <wp:inline distT="0" distB="0" distL="0" distR="0" wp14:anchorId="0FA7CC8F" wp14:editId="335F3CD4">
            <wp:extent cx="5124734" cy="262783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5311" cy="2643512"/>
                    </a:xfrm>
                    <a:prstGeom prst="rect">
                      <a:avLst/>
                    </a:prstGeom>
                    <a:noFill/>
                    <a:ln>
                      <a:noFill/>
                    </a:ln>
                  </pic:spPr>
                </pic:pic>
              </a:graphicData>
            </a:graphic>
          </wp:inline>
        </w:drawing>
      </w:r>
    </w:p>
    <w:p w14:paraId="678E8CF2" w14:textId="77777777" w:rsidR="00122C1B" w:rsidRDefault="00122C1B" w:rsidP="000338CC">
      <w:pPr>
        <w:pStyle w:val="Source"/>
        <w:widowControl w:val="0"/>
        <w:rPr>
          <w:rFonts w:cs="Segoe UI"/>
        </w:rPr>
      </w:pPr>
      <w:r w:rsidRPr="00117C96">
        <w:rPr>
          <w:rFonts w:cs="Segoe UI"/>
        </w:rPr>
        <w:t xml:space="preserve">Source: </w:t>
      </w:r>
      <w:r w:rsidR="006720EA">
        <w:rPr>
          <w:rFonts w:cs="Segoe UI"/>
        </w:rPr>
        <w:t>VicRoads RCIS database 2019</w:t>
      </w:r>
    </w:p>
    <w:p w14:paraId="62C20BF5" w14:textId="580DA6AF" w:rsidR="00F00216" w:rsidRPr="00B238CA" w:rsidRDefault="00F00216" w:rsidP="00F00216">
      <w:pPr>
        <w:pStyle w:val="TextPara"/>
      </w:pPr>
      <w:r w:rsidRPr="00B238CA">
        <w:t xml:space="preserve">Victoria currently has the lowest per-capita rate of road fatalities among states and territories in Australia, by a significant margin. This applies </w:t>
      </w:r>
      <w:r>
        <w:t>to</w:t>
      </w:r>
      <w:r w:rsidRPr="00B238CA">
        <w:t xml:space="preserve"> per-capita measures of population, registered vehicles, and road use.</w:t>
      </w:r>
      <w:r>
        <w:t xml:space="preserve"> </w:t>
      </w:r>
      <w:r>
        <w:fldChar w:fldCharType="begin"/>
      </w:r>
      <w:r>
        <w:instrText xml:space="preserve"> REF _Ref523749473 \h </w:instrText>
      </w:r>
      <w:r>
        <w:fldChar w:fldCharType="separate"/>
      </w:r>
      <w:r w:rsidR="00EB4B02">
        <w:t xml:space="preserve">Table </w:t>
      </w:r>
      <w:r w:rsidR="00EB4B02">
        <w:rPr>
          <w:noProof/>
        </w:rPr>
        <w:t>13</w:t>
      </w:r>
      <w:r>
        <w:fldChar w:fldCharType="end"/>
      </w:r>
      <w:r w:rsidRPr="00B238CA">
        <w:t xml:space="preserve">, </w:t>
      </w:r>
      <w:r>
        <w:fldChar w:fldCharType="begin"/>
      </w:r>
      <w:r>
        <w:instrText xml:space="preserve"> REF _Ref518400424 \h </w:instrText>
      </w:r>
      <w:r>
        <w:fldChar w:fldCharType="separate"/>
      </w:r>
      <w:r w:rsidR="00EB4B02" w:rsidRPr="00B238CA">
        <w:t xml:space="preserve">Table </w:t>
      </w:r>
      <w:r w:rsidR="00EB4B02">
        <w:rPr>
          <w:noProof/>
        </w:rPr>
        <w:t>14</w:t>
      </w:r>
      <w:r>
        <w:fldChar w:fldCharType="end"/>
      </w:r>
      <w:r w:rsidRPr="00B238CA">
        <w:t xml:space="preserve"> and</w:t>
      </w:r>
      <w:r>
        <w:t xml:space="preserve"> </w:t>
      </w:r>
      <w:r w:rsidR="007F1207">
        <w:fldChar w:fldCharType="begin"/>
      </w:r>
      <w:r w:rsidR="007F1207">
        <w:instrText xml:space="preserve"> REF _Ref535313345 \h </w:instrText>
      </w:r>
      <w:r w:rsidR="007F1207">
        <w:fldChar w:fldCharType="separate"/>
      </w:r>
      <w:r w:rsidR="00EB4B02" w:rsidRPr="00B238CA">
        <w:t xml:space="preserve">Table </w:t>
      </w:r>
      <w:r w:rsidR="00EB4B02">
        <w:rPr>
          <w:noProof/>
        </w:rPr>
        <w:t>15</w:t>
      </w:r>
      <w:r w:rsidR="007F1207">
        <w:fldChar w:fldCharType="end"/>
      </w:r>
      <w:r w:rsidR="007F1207">
        <w:t xml:space="preserve"> </w:t>
      </w:r>
      <w:r>
        <w:t xml:space="preserve">provide a </w:t>
      </w:r>
      <w:r w:rsidRPr="00B238CA">
        <w:t>compar</w:t>
      </w:r>
      <w:r>
        <w:t xml:space="preserve">ison of </w:t>
      </w:r>
      <w:r w:rsidRPr="00B238CA">
        <w:t>the relevant per-capita data for Australian states and territories</w:t>
      </w:r>
      <w:r>
        <w:t>,</w:t>
      </w:r>
      <w:r w:rsidRPr="00B238CA">
        <w:t xml:space="preserve"> the Australian national average and Victoria’s </w:t>
      </w:r>
      <w:r w:rsidRPr="00B238CA">
        <w:rPr>
          <w:i/>
        </w:rPr>
        <w:t>Towards Zero</w:t>
      </w:r>
      <w:r w:rsidRPr="00B238CA">
        <w:t xml:space="preserve"> target of </w:t>
      </w:r>
      <w:r w:rsidR="006131F9">
        <w:t>fewer</w:t>
      </w:r>
      <w:r w:rsidRPr="00B238CA">
        <w:t xml:space="preserve"> than 200 road fatalities in 2020.</w:t>
      </w:r>
      <w:r w:rsidRPr="00B238CA">
        <w:rPr>
          <w:rStyle w:val="EndnoteReference"/>
          <w:rFonts w:cs="Segoe UI"/>
          <w:szCs w:val="20"/>
        </w:rPr>
        <w:endnoteReference w:id="176"/>
      </w:r>
    </w:p>
    <w:p w14:paraId="4951B35C" w14:textId="5B9E9238" w:rsidR="00F00216" w:rsidRPr="00117C96" w:rsidRDefault="00F00216" w:rsidP="00F00216">
      <w:pPr>
        <w:pStyle w:val="Caption"/>
      </w:pPr>
      <w:bookmarkStart w:id="155" w:name="_Ref523749473"/>
      <w:bookmarkStart w:id="156" w:name="_Toc10703706"/>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13</w:t>
      </w:r>
      <w:r w:rsidR="00BC6B2E">
        <w:rPr>
          <w:noProof/>
        </w:rPr>
        <w:fldChar w:fldCharType="end"/>
      </w:r>
      <w:bookmarkEnd w:id="155"/>
      <w:r>
        <w:t xml:space="preserve"> </w:t>
      </w:r>
      <w:r w:rsidRPr="00FC687B">
        <w:t>– Fatalities per 100,000 population in Australian jurisdictions in 201</w:t>
      </w:r>
      <w:r>
        <w:t>8</w:t>
      </w:r>
      <w:bookmarkEnd w:id="156"/>
    </w:p>
    <w:tbl>
      <w:tblPr>
        <w:tblStyle w:val="RIS-Table2"/>
        <w:tblW w:w="9572" w:type="dxa"/>
        <w:tblInd w:w="-5" w:type="dxa"/>
        <w:tblLayout w:type="fixed"/>
        <w:tblLook w:val="04A0" w:firstRow="1" w:lastRow="0" w:firstColumn="1" w:lastColumn="0" w:noHBand="0" w:noVBand="1"/>
      </w:tblPr>
      <w:tblGrid>
        <w:gridCol w:w="4678"/>
        <w:gridCol w:w="1559"/>
        <w:gridCol w:w="1559"/>
        <w:gridCol w:w="1776"/>
      </w:tblGrid>
      <w:tr w:rsidR="00F00216" w:rsidRPr="00B238CA" w14:paraId="4DA8A1A0" w14:textId="77777777" w:rsidTr="008629A9">
        <w:trPr>
          <w:cnfStyle w:val="100000000000" w:firstRow="1" w:lastRow="0" w:firstColumn="0" w:lastColumn="0" w:oddVBand="0" w:evenVBand="0" w:oddHBand="0" w:evenHBand="0" w:firstRowFirstColumn="0" w:firstRowLastColumn="0" w:lastRowFirstColumn="0" w:lastRowLastColumn="0"/>
        </w:trPr>
        <w:tc>
          <w:tcPr>
            <w:tcW w:w="4678" w:type="dxa"/>
          </w:tcPr>
          <w:p w14:paraId="5E5AA5D7" w14:textId="77777777" w:rsidR="00F00216" w:rsidRPr="00B238CA" w:rsidRDefault="00F00216" w:rsidP="008629A9">
            <w:pPr>
              <w:pStyle w:val="Default"/>
              <w:spacing w:after="40" w:line="276" w:lineRule="auto"/>
              <w:rPr>
                <w:rFonts w:ascii="Segoe UI" w:hAnsi="Segoe UI" w:cs="Segoe UI"/>
                <w:b w:val="0"/>
                <w:color w:val="FFFFFF" w:themeColor="background1"/>
                <w:sz w:val="18"/>
                <w:szCs w:val="18"/>
              </w:rPr>
            </w:pPr>
            <w:r w:rsidRPr="00B238CA">
              <w:rPr>
                <w:rFonts w:ascii="Segoe UI" w:hAnsi="Segoe UI" w:cs="Segoe UI"/>
                <w:color w:val="FFFFFF" w:themeColor="background1"/>
                <w:sz w:val="18"/>
                <w:szCs w:val="18"/>
              </w:rPr>
              <w:t>State / Territory</w:t>
            </w:r>
          </w:p>
        </w:tc>
        <w:tc>
          <w:tcPr>
            <w:tcW w:w="1559" w:type="dxa"/>
          </w:tcPr>
          <w:p w14:paraId="569905A4" w14:textId="77777777" w:rsidR="00F00216" w:rsidRPr="00B238CA" w:rsidRDefault="00F00216" w:rsidP="008629A9">
            <w:pPr>
              <w:pStyle w:val="Default"/>
              <w:spacing w:after="40" w:line="276" w:lineRule="auto"/>
              <w:rPr>
                <w:rFonts w:ascii="Segoe UI" w:hAnsi="Segoe UI" w:cs="Segoe UI"/>
                <w:b w:val="0"/>
                <w:color w:val="FFFFFF" w:themeColor="background1"/>
                <w:sz w:val="18"/>
                <w:szCs w:val="18"/>
              </w:rPr>
            </w:pPr>
            <w:r w:rsidRPr="00B238CA">
              <w:rPr>
                <w:rFonts w:ascii="Segoe UI" w:hAnsi="Segoe UI" w:cs="Segoe UI"/>
                <w:bCs/>
                <w:color w:val="FFFFFF" w:themeColor="background1"/>
                <w:sz w:val="18"/>
                <w:szCs w:val="18"/>
              </w:rPr>
              <w:t>Road fatalities</w:t>
            </w:r>
            <w:bookmarkStart w:id="157" w:name="_Ref509318855"/>
            <w:r w:rsidRPr="00B238CA">
              <w:rPr>
                <w:rStyle w:val="EndnoteReference"/>
                <w:rFonts w:ascii="Segoe UI" w:hAnsi="Segoe UI" w:cs="Segoe UI"/>
                <w:bCs/>
                <w:color w:val="FFFFFF" w:themeColor="background1"/>
                <w:sz w:val="18"/>
                <w:szCs w:val="18"/>
              </w:rPr>
              <w:endnoteReference w:id="177"/>
            </w:r>
            <w:bookmarkEnd w:id="157"/>
          </w:p>
        </w:tc>
        <w:tc>
          <w:tcPr>
            <w:tcW w:w="1559" w:type="dxa"/>
          </w:tcPr>
          <w:p w14:paraId="477A4AEE" w14:textId="77777777" w:rsidR="00F00216" w:rsidRPr="00B238CA" w:rsidRDefault="00F00216" w:rsidP="008629A9">
            <w:pPr>
              <w:pStyle w:val="Default"/>
              <w:spacing w:after="40" w:line="276" w:lineRule="auto"/>
              <w:rPr>
                <w:rFonts w:ascii="Segoe UI" w:hAnsi="Segoe UI" w:cs="Segoe UI"/>
                <w:b w:val="0"/>
                <w:bCs/>
                <w:color w:val="FFFFFF" w:themeColor="background1"/>
                <w:sz w:val="18"/>
                <w:szCs w:val="18"/>
              </w:rPr>
            </w:pPr>
            <w:r w:rsidRPr="00B238CA">
              <w:rPr>
                <w:rFonts w:ascii="Segoe UI" w:hAnsi="Segoe UI" w:cs="Segoe UI"/>
                <w:bCs/>
                <w:color w:val="FFFFFF" w:themeColor="background1"/>
                <w:sz w:val="18"/>
                <w:szCs w:val="18"/>
              </w:rPr>
              <w:t>Population (million)</w:t>
            </w:r>
            <w:r w:rsidRPr="00B238CA">
              <w:rPr>
                <w:rStyle w:val="EndnoteReference"/>
                <w:rFonts w:ascii="Segoe UI" w:hAnsi="Segoe UI" w:cs="Segoe UI"/>
                <w:bCs/>
                <w:color w:val="FFFFFF" w:themeColor="background1"/>
                <w:sz w:val="18"/>
                <w:szCs w:val="18"/>
              </w:rPr>
              <w:endnoteReference w:id="178"/>
            </w:r>
          </w:p>
        </w:tc>
        <w:tc>
          <w:tcPr>
            <w:tcW w:w="1776" w:type="dxa"/>
          </w:tcPr>
          <w:p w14:paraId="39996AF2" w14:textId="77777777" w:rsidR="00F00216" w:rsidRPr="00B238CA" w:rsidRDefault="00F00216" w:rsidP="008629A9">
            <w:pPr>
              <w:pStyle w:val="Default"/>
              <w:spacing w:after="40" w:line="276" w:lineRule="auto"/>
              <w:rPr>
                <w:rFonts w:ascii="Segoe UI" w:hAnsi="Segoe UI" w:cs="Segoe UI"/>
                <w:b w:val="0"/>
                <w:bCs/>
                <w:color w:val="FFFFFF" w:themeColor="background1"/>
                <w:sz w:val="18"/>
                <w:szCs w:val="18"/>
              </w:rPr>
            </w:pPr>
            <w:r w:rsidRPr="00B238CA">
              <w:rPr>
                <w:rFonts w:ascii="Segoe UI" w:hAnsi="Segoe UI" w:cs="Segoe UI"/>
                <w:bCs/>
                <w:color w:val="FFFFFF" w:themeColor="background1"/>
                <w:sz w:val="18"/>
                <w:szCs w:val="18"/>
              </w:rPr>
              <w:t>Road fatalities per 100K pop.</w:t>
            </w:r>
          </w:p>
        </w:tc>
      </w:tr>
      <w:tr w:rsidR="00F00216" w:rsidRPr="00B238CA" w14:paraId="3FF41F57" w14:textId="77777777" w:rsidTr="008629A9">
        <w:trPr>
          <w:trHeight w:val="283"/>
        </w:trPr>
        <w:tc>
          <w:tcPr>
            <w:tcW w:w="4678" w:type="dxa"/>
            <w:shd w:val="clear" w:color="auto" w:fill="E5EEF7"/>
          </w:tcPr>
          <w:p w14:paraId="594D5D8D" w14:textId="77777777" w:rsidR="00F00216" w:rsidRPr="00B238CA" w:rsidRDefault="00F00216" w:rsidP="00F4115C">
            <w:pPr>
              <w:pStyle w:val="Default"/>
              <w:keepNext/>
              <w:spacing w:before="20" w:after="20" w:line="276" w:lineRule="auto"/>
              <w:rPr>
                <w:rFonts w:ascii="Segoe UI" w:hAnsi="Segoe UI" w:cs="Segoe UI"/>
                <w:b/>
                <w:sz w:val="18"/>
                <w:szCs w:val="18"/>
              </w:rPr>
            </w:pPr>
            <w:r w:rsidRPr="00B238CA">
              <w:rPr>
                <w:rFonts w:ascii="Segoe UI" w:hAnsi="Segoe UI" w:cs="Segoe UI"/>
                <w:b/>
                <w:sz w:val="18"/>
                <w:szCs w:val="18"/>
              </w:rPr>
              <w:t>Victoria</w:t>
            </w:r>
          </w:p>
        </w:tc>
        <w:tc>
          <w:tcPr>
            <w:tcW w:w="1559" w:type="dxa"/>
            <w:shd w:val="clear" w:color="auto" w:fill="E5EEF7"/>
          </w:tcPr>
          <w:p w14:paraId="080ACFAE" w14:textId="77777777" w:rsidR="00F00216" w:rsidRPr="00B238CA" w:rsidRDefault="00F00216" w:rsidP="00F4115C">
            <w:pPr>
              <w:keepNext/>
              <w:spacing w:before="20" w:after="20"/>
              <w:ind w:right="447"/>
              <w:jc w:val="right"/>
              <w:rPr>
                <w:rFonts w:ascii="Segoe UI" w:hAnsi="Segoe UI" w:cs="Segoe UI"/>
                <w:b/>
                <w:sz w:val="18"/>
                <w:szCs w:val="18"/>
              </w:rPr>
            </w:pPr>
            <w:r w:rsidRPr="00B238CA">
              <w:rPr>
                <w:rFonts w:ascii="Segoe UI" w:hAnsi="Segoe UI" w:cs="Segoe UI"/>
                <w:b/>
                <w:sz w:val="18"/>
                <w:szCs w:val="18"/>
              </w:rPr>
              <w:t>2</w:t>
            </w:r>
            <w:r>
              <w:rPr>
                <w:rFonts w:ascii="Segoe UI" w:hAnsi="Segoe UI" w:cs="Segoe UI"/>
                <w:b/>
                <w:sz w:val="18"/>
                <w:szCs w:val="18"/>
              </w:rPr>
              <w:t>14</w:t>
            </w:r>
          </w:p>
        </w:tc>
        <w:tc>
          <w:tcPr>
            <w:tcW w:w="1559" w:type="dxa"/>
            <w:shd w:val="clear" w:color="auto" w:fill="E5EEF7"/>
          </w:tcPr>
          <w:p w14:paraId="21CDF771" w14:textId="77777777" w:rsidR="00F00216" w:rsidRPr="00B238CA" w:rsidRDefault="00F00216" w:rsidP="00F4115C">
            <w:pPr>
              <w:keepNext/>
              <w:spacing w:before="20" w:after="20"/>
              <w:ind w:right="448"/>
              <w:jc w:val="right"/>
              <w:rPr>
                <w:rFonts w:ascii="Segoe UI" w:hAnsi="Segoe UI" w:cs="Segoe UI"/>
                <w:b/>
                <w:sz w:val="18"/>
                <w:szCs w:val="18"/>
              </w:rPr>
            </w:pPr>
            <w:r w:rsidRPr="00B238CA">
              <w:rPr>
                <w:rFonts w:ascii="Segoe UI" w:hAnsi="Segoe UI" w:cs="Segoe UI"/>
                <w:b/>
                <w:sz w:val="18"/>
                <w:szCs w:val="18"/>
              </w:rPr>
              <w:t>6.</w:t>
            </w:r>
            <w:r>
              <w:rPr>
                <w:rFonts w:ascii="Segoe UI" w:hAnsi="Segoe UI" w:cs="Segoe UI"/>
                <w:b/>
                <w:sz w:val="18"/>
                <w:szCs w:val="18"/>
              </w:rPr>
              <w:t>46</w:t>
            </w:r>
          </w:p>
        </w:tc>
        <w:tc>
          <w:tcPr>
            <w:tcW w:w="1776" w:type="dxa"/>
            <w:shd w:val="clear" w:color="auto" w:fill="E5EEF7"/>
          </w:tcPr>
          <w:p w14:paraId="759A6A7C" w14:textId="77777777" w:rsidR="00F00216" w:rsidRPr="00B238CA" w:rsidRDefault="00F00216" w:rsidP="00F4115C">
            <w:pPr>
              <w:keepNext/>
              <w:spacing w:before="20" w:after="20"/>
              <w:ind w:right="517"/>
              <w:jc w:val="right"/>
              <w:rPr>
                <w:rFonts w:ascii="Segoe UI" w:hAnsi="Segoe UI" w:cs="Segoe UI"/>
                <w:b/>
                <w:sz w:val="18"/>
                <w:szCs w:val="18"/>
              </w:rPr>
            </w:pPr>
            <w:r>
              <w:rPr>
                <w:rFonts w:ascii="Segoe UI" w:hAnsi="Segoe UI" w:cs="Segoe UI"/>
                <w:b/>
                <w:sz w:val="18"/>
                <w:szCs w:val="18"/>
              </w:rPr>
              <w:t>3.31</w:t>
            </w:r>
          </w:p>
        </w:tc>
      </w:tr>
      <w:tr w:rsidR="00F00216" w:rsidRPr="00B238CA" w14:paraId="72AD8C84" w14:textId="77777777" w:rsidTr="008629A9">
        <w:trPr>
          <w:cnfStyle w:val="000000010000" w:firstRow="0" w:lastRow="0" w:firstColumn="0" w:lastColumn="0" w:oddVBand="0" w:evenVBand="0" w:oddHBand="0" w:evenHBand="1" w:firstRowFirstColumn="0" w:firstRowLastColumn="0" w:lastRowFirstColumn="0" w:lastRowLastColumn="0"/>
          <w:trHeight w:val="283"/>
        </w:trPr>
        <w:tc>
          <w:tcPr>
            <w:tcW w:w="4678" w:type="dxa"/>
          </w:tcPr>
          <w:p w14:paraId="13633608" w14:textId="77777777" w:rsidR="00F00216" w:rsidRPr="00A13C57" w:rsidRDefault="00F00216" w:rsidP="008629A9">
            <w:pPr>
              <w:pStyle w:val="Default"/>
              <w:spacing w:before="20" w:after="20" w:line="276" w:lineRule="auto"/>
              <w:rPr>
                <w:rFonts w:ascii="Segoe UI" w:hAnsi="Segoe UI" w:cs="Segoe UI"/>
                <w:bCs/>
                <w:sz w:val="18"/>
                <w:szCs w:val="18"/>
              </w:rPr>
            </w:pPr>
            <w:r w:rsidRPr="00A13C57">
              <w:rPr>
                <w:rFonts w:ascii="Segoe UI" w:hAnsi="Segoe UI" w:cs="Segoe UI"/>
                <w:bCs/>
                <w:sz w:val="18"/>
                <w:szCs w:val="18"/>
              </w:rPr>
              <w:t>New South Wales / ACT</w:t>
            </w:r>
          </w:p>
        </w:tc>
        <w:tc>
          <w:tcPr>
            <w:tcW w:w="1559" w:type="dxa"/>
          </w:tcPr>
          <w:p w14:paraId="601C9A2F" w14:textId="77777777" w:rsidR="00F00216" w:rsidRPr="00B238CA" w:rsidRDefault="00F00216" w:rsidP="008629A9">
            <w:pPr>
              <w:spacing w:before="20" w:after="20"/>
              <w:ind w:right="447"/>
              <w:jc w:val="right"/>
              <w:rPr>
                <w:rFonts w:ascii="Segoe UI" w:hAnsi="Segoe UI" w:cs="Segoe UI"/>
                <w:sz w:val="18"/>
                <w:szCs w:val="18"/>
              </w:rPr>
            </w:pPr>
            <w:r w:rsidRPr="00B238CA">
              <w:rPr>
                <w:rFonts w:ascii="Segoe UI" w:hAnsi="Segoe UI" w:cs="Segoe UI"/>
                <w:sz w:val="18"/>
                <w:szCs w:val="18"/>
              </w:rPr>
              <w:t>3</w:t>
            </w:r>
            <w:r>
              <w:rPr>
                <w:rFonts w:ascii="Segoe UI" w:hAnsi="Segoe UI" w:cs="Segoe UI"/>
                <w:sz w:val="18"/>
                <w:szCs w:val="18"/>
              </w:rPr>
              <w:t>63</w:t>
            </w:r>
          </w:p>
        </w:tc>
        <w:tc>
          <w:tcPr>
            <w:tcW w:w="1559" w:type="dxa"/>
          </w:tcPr>
          <w:p w14:paraId="4453EFA4" w14:textId="77777777" w:rsidR="00F00216" w:rsidRPr="00B238CA" w:rsidRDefault="00F00216" w:rsidP="008629A9">
            <w:pPr>
              <w:spacing w:before="20" w:after="20"/>
              <w:ind w:right="448"/>
              <w:jc w:val="right"/>
              <w:rPr>
                <w:rFonts w:ascii="Segoe UI" w:hAnsi="Segoe UI" w:cs="Segoe UI"/>
                <w:sz w:val="18"/>
                <w:szCs w:val="18"/>
              </w:rPr>
            </w:pPr>
            <w:r w:rsidRPr="00B238CA">
              <w:rPr>
                <w:rFonts w:ascii="Segoe UI" w:hAnsi="Segoe UI" w:cs="Segoe UI"/>
                <w:sz w:val="18"/>
                <w:szCs w:val="18"/>
              </w:rPr>
              <w:t>8.</w:t>
            </w:r>
            <w:r>
              <w:rPr>
                <w:rFonts w:ascii="Segoe UI" w:hAnsi="Segoe UI" w:cs="Segoe UI"/>
                <w:sz w:val="18"/>
                <w:szCs w:val="18"/>
              </w:rPr>
              <w:t>41</w:t>
            </w:r>
          </w:p>
        </w:tc>
        <w:tc>
          <w:tcPr>
            <w:tcW w:w="1776" w:type="dxa"/>
          </w:tcPr>
          <w:p w14:paraId="631D3600" w14:textId="77777777" w:rsidR="00F00216" w:rsidRPr="00B238CA" w:rsidRDefault="00F00216" w:rsidP="008629A9">
            <w:pPr>
              <w:spacing w:before="20" w:after="20"/>
              <w:ind w:right="517"/>
              <w:jc w:val="right"/>
              <w:rPr>
                <w:rFonts w:ascii="Segoe UI" w:hAnsi="Segoe UI" w:cs="Segoe UI"/>
                <w:sz w:val="18"/>
                <w:szCs w:val="18"/>
              </w:rPr>
            </w:pPr>
            <w:r>
              <w:rPr>
                <w:rFonts w:ascii="Segoe UI" w:hAnsi="Segoe UI" w:cs="Segoe UI"/>
                <w:sz w:val="18"/>
                <w:szCs w:val="18"/>
              </w:rPr>
              <w:t>4.32</w:t>
            </w:r>
          </w:p>
        </w:tc>
      </w:tr>
      <w:tr w:rsidR="00F00216" w:rsidRPr="00B238CA" w14:paraId="0BF64D61" w14:textId="77777777" w:rsidTr="008629A9">
        <w:trPr>
          <w:trHeight w:val="283"/>
        </w:trPr>
        <w:tc>
          <w:tcPr>
            <w:tcW w:w="4678" w:type="dxa"/>
          </w:tcPr>
          <w:p w14:paraId="06F4A116"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Queensland</w:t>
            </w:r>
          </w:p>
        </w:tc>
        <w:tc>
          <w:tcPr>
            <w:tcW w:w="1559" w:type="dxa"/>
          </w:tcPr>
          <w:p w14:paraId="71D489A7" w14:textId="77777777" w:rsidR="00F00216" w:rsidRPr="00B238CA" w:rsidRDefault="00F00216" w:rsidP="008629A9">
            <w:pPr>
              <w:spacing w:before="20" w:after="20"/>
              <w:ind w:right="447"/>
              <w:jc w:val="right"/>
              <w:rPr>
                <w:rFonts w:ascii="Segoe UI" w:hAnsi="Segoe UI" w:cs="Segoe UI"/>
                <w:sz w:val="18"/>
                <w:szCs w:val="18"/>
              </w:rPr>
            </w:pPr>
            <w:r w:rsidRPr="00B238CA">
              <w:rPr>
                <w:rFonts w:ascii="Segoe UI" w:hAnsi="Segoe UI" w:cs="Segoe UI"/>
                <w:sz w:val="18"/>
                <w:szCs w:val="18"/>
              </w:rPr>
              <w:t>24</w:t>
            </w:r>
            <w:r>
              <w:rPr>
                <w:rFonts w:ascii="Segoe UI" w:hAnsi="Segoe UI" w:cs="Segoe UI"/>
                <w:sz w:val="18"/>
                <w:szCs w:val="18"/>
              </w:rPr>
              <w:t>7</w:t>
            </w:r>
          </w:p>
        </w:tc>
        <w:tc>
          <w:tcPr>
            <w:tcW w:w="1559" w:type="dxa"/>
          </w:tcPr>
          <w:p w14:paraId="01B1C282" w14:textId="77777777" w:rsidR="00F00216" w:rsidRPr="00B238CA" w:rsidRDefault="00F00216" w:rsidP="008629A9">
            <w:pPr>
              <w:spacing w:before="20" w:after="20"/>
              <w:ind w:right="448"/>
              <w:jc w:val="right"/>
              <w:rPr>
                <w:rFonts w:ascii="Segoe UI" w:hAnsi="Segoe UI" w:cs="Segoe UI"/>
                <w:sz w:val="18"/>
                <w:szCs w:val="18"/>
              </w:rPr>
            </w:pPr>
            <w:r>
              <w:rPr>
                <w:rFonts w:ascii="Segoe UI" w:hAnsi="Segoe UI" w:cs="Segoe UI"/>
                <w:sz w:val="18"/>
                <w:szCs w:val="18"/>
              </w:rPr>
              <w:t>5.01</w:t>
            </w:r>
          </w:p>
        </w:tc>
        <w:tc>
          <w:tcPr>
            <w:tcW w:w="1776" w:type="dxa"/>
          </w:tcPr>
          <w:p w14:paraId="1B7FAC00" w14:textId="77777777" w:rsidR="00F00216" w:rsidRPr="00B238CA" w:rsidRDefault="00F00216" w:rsidP="008629A9">
            <w:pPr>
              <w:spacing w:before="20" w:after="20"/>
              <w:ind w:right="517"/>
              <w:jc w:val="right"/>
              <w:rPr>
                <w:rFonts w:ascii="Segoe UI" w:hAnsi="Segoe UI" w:cs="Segoe UI"/>
                <w:sz w:val="18"/>
                <w:szCs w:val="18"/>
              </w:rPr>
            </w:pPr>
            <w:r>
              <w:rPr>
                <w:rFonts w:ascii="Segoe UI" w:hAnsi="Segoe UI" w:cs="Segoe UI"/>
                <w:sz w:val="18"/>
                <w:szCs w:val="18"/>
              </w:rPr>
              <w:t>4.93</w:t>
            </w:r>
          </w:p>
        </w:tc>
      </w:tr>
      <w:tr w:rsidR="00F00216" w:rsidRPr="00B238CA" w14:paraId="47C68733" w14:textId="77777777" w:rsidTr="008629A9">
        <w:trPr>
          <w:cnfStyle w:val="000000010000" w:firstRow="0" w:lastRow="0" w:firstColumn="0" w:lastColumn="0" w:oddVBand="0" w:evenVBand="0" w:oddHBand="0" w:evenHBand="1" w:firstRowFirstColumn="0" w:firstRowLastColumn="0" w:lastRowFirstColumn="0" w:lastRowLastColumn="0"/>
          <w:trHeight w:val="283"/>
        </w:trPr>
        <w:tc>
          <w:tcPr>
            <w:tcW w:w="4678" w:type="dxa"/>
          </w:tcPr>
          <w:p w14:paraId="03033066"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South Australia</w:t>
            </w:r>
          </w:p>
        </w:tc>
        <w:tc>
          <w:tcPr>
            <w:tcW w:w="1559" w:type="dxa"/>
          </w:tcPr>
          <w:p w14:paraId="2C646856" w14:textId="77777777" w:rsidR="00F00216" w:rsidRPr="00B238CA" w:rsidRDefault="00F00216" w:rsidP="008629A9">
            <w:pPr>
              <w:spacing w:before="20" w:after="20"/>
              <w:ind w:right="447"/>
              <w:jc w:val="right"/>
              <w:rPr>
                <w:rFonts w:ascii="Segoe UI" w:hAnsi="Segoe UI" w:cs="Segoe UI"/>
                <w:sz w:val="18"/>
                <w:szCs w:val="18"/>
              </w:rPr>
            </w:pPr>
            <w:r>
              <w:rPr>
                <w:rFonts w:ascii="Segoe UI" w:hAnsi="Segoe UI" w:cs="Segoe UI"/>
                <w:sz w:val="18"/>
                <w:szCs w:val="18"/>
              </w:rPr>
              <w:t>80</w:t>
            </w:r>
          </w:p>
        </w:tc>
        <w:tc>
          <w:tcPr>
            <w:tcW w:w="1559" w:type="dxa"/>
          </w:tcPr>
          <w:p w14:paraId="23037653" w14:textId="77777777" w:rsidR="00F00216" w:rsidRPr="00B238CA" w:rsidRDefault="00F00216" w:rsidP="008629A9">
            <w:pPr>
              <w:spacing w:before="20" w:after="20"/>
              <w:ind w:right="448"/>
              <w:jc w:val="right"/>
              <w:rPr>
                <w:rFonts w:ascii="Segoe UI" w:hAnsi="Segoe UI" w:cs="Segoe UI"/>
                <w:sz w:val="18"/>
                <w:szCs w:val="18"/>
              </w:rPr>
            </w:pPr>
            <w:r w:rsidRPr="00B238CA">
              <w:rPr>
                <w:rFonts w:ascii="Segoe UI" w:hAnsi="Segoe UI" w:cs="Segoe UI"/>
                <w:sz w:val="18"/>
                <w:szCs w:val="18"/>
              </w:rPr>
              <w:t>1.7</w:t>
            </w:r>
            <w:r>
              <w:rPr>
                <w:rFonts w:ascii="Segoe UI" w:hAnsi="Segoe UI" w:cs="Segoe UI"/>
                <w:sz w:val="18"/>
                <w:szCs w:val="18"/>
              </w:rPr>
              <w:t>4</w:t>
            </w:r>
          </w:p>
        </w:tc>
        <w:tc>
          <w:tcPr>
            <w:tcW w:w="1776" w:type="dxa"/>
          </w:tcPr>
          <w:p w14:paraId="56DF18C8" w14:textId="77777777" w:rsidR="00F00216" w:rsidRPr="00B238CA" w:rsidRDefault="00F00216" w:rsidP="008629A9">
            <w:pPr>
              <w:spacing w:before="20" w:after="20"/>
              <w:ind w:right="517"/>
              <w:jc w:val="right"/>
              <w:rPr>
                <w:rFonts w:ascii="Segoe UI" w:hAnsi="Segoe UI" w:cs="Segoe UI"/>
                <w:sz w:val="18"/>
                <w:szCs w:val="18"/>
              </w:rPr>
            </w:pPr>
            <w:r>
              <w:rPr>
                <w:rFonts w:ascii="Segoe UI" w:hAnsi="Segoe UI" w:cs="Segoe UI"/>
                <w:sz w:val="18"/>
                <w:szCs w:val="18"/>
              </w:rPr>
              <w:t>4.61</w:t>
            </w:r>
          </w:p>
        </w:tc>
      </w:tr>
      <w:tr w:rsidR="00F00216" w:rsidRPr="00B238CA" w14:paraId="0D9DF0B3" w14:textId="77777777" w:rsidTr="008629A9">
        <w:trPr>
          <w:trHeight w:val="283"/>
        </w:trPr>
        <w:tc>
          <w:tcPr>
            <w:tcW w:w="4678" w:type="dxa"/>
          </w:tcPr>
          <w:p w14:paraId="263D8180"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Western Australia</w:t>
            </w:r>
          </w:p>
        </w:tc>
        <w:tc>
          <w:tcPr>
            <w:tcW w:w="1559" w:type="dxa"/>
          </w:tcPr>
          <w:p w14:paraId="209DDA67" w14:textId="77777777" w:rsidR="00F00216" w:rsidRPr="00B238CA" w:rsidRDefault="00F00216" w:rsidP="008629A9">
            <w:pPr>
              <w:spacing w:before="20" w:after="20"/>
              <w:ind w:right="447"/>
              <w:jc w:val="right"/>
              <w:rPr>
                <w:rFonts w:ascii="Segoe UI" w:hAnsi="Segoe UI" w:cs="Segoe UI"/>
                <w:sz w:val="18"/>
                <w:szCs w:val="18"/>
              </w:rPr>
            </w:pPr>
            <w:r w:rsidRPr="00B238CA">
              <w:rPr>
                <w:rFonts w:ascii="Segoe UI" w:hAnsi="Segoe UI" w:cs="Segoe UI"/>
                <w:sz w:val="18"/>
                <w:szCs w:val="18"/>
              </w:rPr>
              <w:t>15</w:t>
            </w:r>
            <w:r>
              <w:rPr>
                <w:rFonts w:ascii="Segoe UI" w:hAnsi="Segoe UI" w:cs="Segoe UI"/>
                <w:sz w:val="18"/>
                <w:szCs w:val="18"/>
              </w:rPr>
              <w:t>8</w:t>
            </w:r>
          </w:p>
        </w:tc>
        <w:tc>
          <w:tcPr>
            <w:tcW w:w="1559" w:type="dxa"/>
          </w:tcPr>
          <w:p w14:paraId="62D05F28" w14:textId="77777777" w:rsidR="00F00216" w:rsidRPr="00B238CA" w:rsidRDefault="00F00216" w:rsidP="008629A9">
            <w:pPr>
              <w:spacing w:before="20" w:after="20"/>
              <w:ind w:right="448"/>
              <w:jc w:val="right"/>
              <w:rPr>
                <w:rFonts w:ascii="Segoe UI" w:hAnsi="Segoe UI" w:cs="Segoe UI"/>
                <w:sz w:val="18"/>
                <w:szCs w:val="18"/>
              </w:rPr>
            </w:pPr>
            <w:r w:rsidRPr="00B238CA">
              <w:rPr>
                <w:rFonts w:ascii="Segoe UI" w:hAnsi="Segoe UI" w:cs="Segoe UI"/>
                <w:sz w:val="18"/>
                <w:szCs w:val="18"/>
              </w:rPr>
              <w:t>2.</w:t>
            </w:r>
            <w:r>
              <w:rPr>
                <w:rFonts w:ascii="Segoe UI" w:hAnsi="Segoe UI" w:cs="Segoe UI"/>
                <w:sz w:val="18"/>
                <w:szCs w:val="18"/>
              </w:rPr>
              <w:t>60</w:t>
            </w:r>
          </w:p>
        </w:tc>
        <w:tc>
          <w:tcPr>
            <w:tcW w:w="1776" w:type="dxa"/>
          </w:tcPr>
          <w:p w14:paraId="6EDF7525" w14:textId="77777777" w:rsidR="00F00216" w:rsidRPr="00B238CA" w:rsidRDefault="00F00216" w:rsidP="008629A9">
            <w:pPr>
              <w:spacing w:before="20" w:after="20"/>
              <w:ind w:right="517"/>
              <w:jc w:val="right"/>
              <w:rPr>
                <w:rFonts w:ascii="Segoe UI" w:hAnsi="Segoe UI" w:cs="Segoe UI"/>
                <w:sz w:val="18"/>
                <w:szCs w:val="18"/>
              </w:rPr>
            </w:pPr>
            <w:r w:rsidRPr="00B238CA">
              <w:rPr>
                <w:rFonts w:ascii="Segoe UI" w:hAnsi="Segoe UI" w:cs="Segoe UI"/>
                <w:sz w:val="18"/>
                <w:szCs w:val="18"/>
              </w:rPr>
              <w:t>6.</w:t>
            </w:r>
            <w:r>
              <w:rPr>
                <w:rFonts w:ascii="Segoe UI" w:hAnsi="Segoe UI" w:cs="Segoe UI"/>
                <w:sz w:val="18"/>
                <w:szCs w:val="18"/>
              </w:rPr>
              <w:t>09</w:t>
            </w:r>
          </w:p>
        </w:tc>
      </w:tr>
      <w:tr w:rsidR="00F00216" w:rsidRPr="00B238CA" w14:paraId="73EBDC2C" w14:textId="77777777" w:rsidTr="008629A9">
        <w:trPr>
          <w:cnfStyle w:val="000000010000" w:firstRow="0" w:lastRow="0" w:firstColumn="0" w:lastColumn="0" w:oddVBand="0" w:evenVBand="0" w:oddHBand="0" w:evenHBand="1" w:firstRowFirstColumn="0" w:firstRowLastColumn="0" w:lastRowFirstColumn="0" w:lastRowLastColumn="0"/>
          <w:trHeight w:val="283"/>
        </w:trPr>
        <w:tc>
          <w:tcPr>
            <w:tcW w:w="4678" w:type="dxa"/>
          </w:tcPr>
          <w:p w14:paraId="7F27B800"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Tasmania</w:t>
            </w:r>
          </w:p>
        </w:tc>
        <w:tc>
          <w:tcPr>
            <w:tcW w:w="1559" w:type="dxa"/>
          </w:tcPr>
          <w:p w14:paraId="31CAC1F3" w14:textId="77777777" w:rsidR="00F00216" w:rsidRPr="00B238CA" w:rsidRDefault="00F00216" w:rsidP="008629A9">
            <w:pPr>
              <w:spacing w:before="20" w:after="20"/>
              <w:ind w:right="447"/>
              <w:jc w:val="right"/>
              <w:rPr>
                <w:rFonts w:ascii="Segoe UI" w:hAnsi="Segoe UI" w:cs="Segoe UI"/>
                <w:sz w:val="18"/>
                <w:szCs w:val="18"/>
              </w:rPr>
            </w:pPr>
            <w:r w:rsidRPr="00B238CA">
              <w:rPr>
                <w:rFonts w:ascii="Segoe UI" w:hAnsi="Segoe UI" w:cs="Segoe UI"/>
                <w:sz w:val="18"/>
                <w:szCs w:val="18"/>
              </w:rPr>
              <w:t>3</w:t>
            </w:r>
            <w:r>
              <w:rPr>
                <w:rFonts w:ascii="Segoe UI" w:hAnsi="Segoe UI" w:cs="Segoe UI"/>
                <w:sz w:val="18"/>
                <w:szCs w:val="18"/>
              </w:rPr>
              <w:t>2</w:t>
            </w:r>
          </w:p>
        </w:tc>
        <w:tc>
          <w:tcPr>
            <w:tcW w:w="1559" w:type="dxa"/>
          </w:tcPr>
          <w:p w14:paraId="4A7F5B1F" w14:textId="77777777" w:rsidR="00F00216" w:rsidRPr="00B238CA" w:rsidRDefault="00F00216" w:rsidP="008629A9">
            <w:pPr>
              <w:spacing w:before="20" w:after="20"/>
              <w:ind w:right="448"/>
              <w:jc w:val="right"/>
              <w:rPr>
                <w:rFonts w:ascii="Segoe UI" w:hAnsi="Segoe UI" w:cs="Segoe UI"/>
                <w:sz w:val="18"/>
                <w:szCs w:val="18"/>
              </w:rPr>
            </w:pPr>
            <w:r w:rsidRPr="00B238CA">
              <w:rPr>
                <w:rFonts w:ascii="Segoe UI" w:hAnsi="Segoe UI" w:cs="Segoe UI"/>
                <w:sz w:val="18"/>
                <w:szCs w:val="18"/>
              </w:rPr>
              <w:t>0.5</w:t>
            </w:r>
            <w:r>
              <w:rPr>
                <w:rFonts w:ascii="Segoe UI" w:hAnsi="Segoe UI" w:cs="Segoe UI"/>
                <w:sz w:val="18"/>
                <w:szCs w:val="18"/>
              </w:rPr>
              <w:t>3</w:t>
            </w:r>
          </w:p>
        </w:tc>
        <w:tc>
          <w:tcPr>
            <w:tcW w:w="1776" w:type="dxa"/>
          </w:tcPr>
          <w:p w14:paraId="12D797EB" w14:textId="77777777" w:rsidR="00F00216" w:rsidRPr="00B238CA" w:rsidRDefault="00F00216" w:rsidP="008629A9">
            <w:pPr>
              <w:spacing w:before="20" w:after="20"/>
              <w:ind w:right="517"/>
              <w:jc w:val="right"/>
              <w:rPr>
                <w:rFonts w:ascii="Segoe UI" w:hAnsi="Segoe UI" w:cs="Segoe UI"/>
                <w:sz w:val="18"/>
                <w:szCs w:val="18"/>
              </w:rPr>
            </w:pPr>
            <w:r w:rsidRPr="00B238CA">
              <w:rPr>
                <w:rFonts w:ascii="Segoe UI" w:hAnsi="Segoe UI" w:cs="Segoe UI"/>
                <w:sz w:val="18"/>
                <w:szCs w:val="18"/>
              </w:rPr>
              <w:t>6.</w:t>
            </w:r>
            <w:r>
              <w:rPr>
                <w:rFonts w:ascii="Segoe UI" w:hAnsi="Segoe UI" w:cs="Segoe UI"/>
                <w:sz w:val="18"/>
                <w:szCs w:val="18"/>
              </w:rPr>
              <w:t>06</w:t>
            </w:r>
          </w:p>
        </w:tc>
      </w:tr>
      <w:tr w:rsidR="00F00216" w:rsidRPr="00B238CA" w14:paraId="2D755D05" w14:textId="77777777" w:rsidTr="008629A9">
        <w:trPr>
          <w:trHeight w:val="283"/>
        </w:trPr>
        <w:tc>
          <w:tcPr>
            <w:tcW w:w="4678" w:type="dxa"/>
          </w:tcPr>
          <w:p w14:paraId="3A6A80F7"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Northern Territory</w:t>
            </w:r>
          </w:p>
        </w:tc>
        <w:tc>
          <w:tcPr>
            <w:tcW w:w="1559" w:type="dxa"/>
          </w:tcPr>
          <w:p w14:paraId="22E25CAC" w14:textId="77777777" w:rsidR="00F00216" w:rsidRPr="00B238CA" w:rsidRDefault="00F00216" w:rsidP="008629A9">
            <w:pPr>
              <w:spacing w:before="20" w:after="20"/>
              <w:ind w:right="447"/>
              <w:jc w:val="right"/>
              <w:rPr>
                <w:rFonts w:ascii="Segoe UI" w:hAnsi="Segoe UI" w:cs="Segoe UI"/>
                <w:sz w:val="18"/>
                <w:szCs w:val="18"/>
              </w:rPr>
            </w:pPr>
            <w:r>
              <w:rPr>
                <w:rFonts w:ascii="Segoe UI" w:hAnsi="Segoe UI" w:cs="Segoe UI"/>
                <w:sz w:val="18"/>
                <w:szCs w:val="18"/>
              </w:rPr>
              <w:t>50</w:t>
            </w:r>
          </w:p>
        </w:tc>
        <w:tc>
          <w:tcPr>
            <w:tcW w:w="1559" w:type="dxa"/>
          </w:tcPr>
          <w:p w14:paraId="6109FD43" w14:textId="77777777" w:rsidR="00F00216" w:rsidRPr="00B238CA" w:rsidRDefault="00F00216" w:rsidP="008629A9">
            <w:pPr>
              <w:spacing w:before="20" w:after="20"/>
              <w:ind w:right="448"/>
              <w:jc w:val="right"/>
              <w:rPr>
                <w:rFonts w:ascii="Segoe UI" w:hAnsi="Segoe UI" w:cs="Segoe UI"/>
                <w:sz w:val="18"/>
                <w:szCs w:val="18"/>
              </w:rPr>
            </w:pPr>
            <w:r w:rsidRPr="00B238CA">
              <w:rPr>
                <w:rFonts w:ascii="Segoe UI" w:hAnsi="Segoe UI" w:cs="Segoe UI"/>
                <w:sz w:val="18"/>
                <w:szCs w:val="18"/>
              </w:rPr>
              <w:t>0.25</w:t>
            </w:r>
          </w:p>
        </w:tc>
        <w:tc>
          <w:tcPr>
            <w:tcW w:w="1776" w:type="dxa"/>
          </w:tcPr>
          <w:p w14:paraId="5745D7D1" w14:textId="77777777" w:rsidR="00F00216" w:rsidRPr="00B238CA" w:rsidRDefault="00F00216" w:rsidP="008629A9">
            <w:pPr>
              <w:spacing w:before="20" w:after="20"/>
              <w:ind w:right="517"/>
              <w:jc w:val="right"/>
              <w:rPr>
                <w:rFonts w:ascii="Segoe UI" w:hAnsi="Segoe UI" w:cs="Segoe UI"/>
                <w:sz w:val="18"/>
                <w:szCs w:val="18"/>
              </w:rPr>
            </w:pPr>
            <w:r>
              <w:rPr>
                <w:rFonts w:ascii="Segoe UI" w:hAnsi="Segoe UI" w:cs="Segoe UI"/>
                <w:sz w:val="18"/>
                <w:szCs w:val="18"/>
              </w:rPr>
              <w:t>20.22</w:t>
            </w:r>
          </w:p>
        </w:tc>
      </w:tr>
      <w:tr w:rsidR="00F00216" w:rsidRPr="00B238CA" w14:paraId="6EC207AB" w14:textId="77777777" w:rsidTr="008629A9">
        <w:trPr>
          <w:cnfStyle w:val="000000010000" w:firstRow="0" w:lastRow="0" w:firstColumn="0" w:lastColumn="0" w:oddVBand="0" w:evenVBand="0" w:oddHBand="0" w:evenHBand="1" w:firstRowFirstColumn="0" w:firstRowLastColumn="0" w:lastRowFirstColumn="0" w:lastRowLastColumn="0"/>
          <w:trHeight w:val="283"/>
        </w:trPr>
        <w:tc>
          <w:tcPr>
            <w:tcW w:w="4678" w:type="dxa"/>
            <w:shd w:val="clear" w:color="auto" w:fill="E5EEF7"/>
          </w:tcPr>
          <w:p w14:paraId="0A7E5878" w14:textId="77777777" w:rsidR="00F00216" w:rsidRPr="00B238CA" w:rsidRDefault="00F00216" w:rsidP="008629A9">
            <w:pPr>
              <w:pStyle w:val="Default"/>
              <w:spacing w:before="20" w:after="20" w:line="276" w:lineRule="auto"/>
              <w:rPr>
                <w:rFonts w:ascii="Segoe UI" w:hAnsi="Segoe UI" w:cs="Segoe UI"/>
                <w:b/>
                <w:sz w:val="18"/>
                <w:szCs w:val="18"/>
              </w:rPr>
            </w:pPr>
            <w:r w:rsidRPr="00B238CA">
              <w:rPr>
                <w:rFonts w:ascii="Segoe UI" w:hAnsi="Segoe UI" w:cs="Segoe UI"/>
                <w:b/>
                <w:sz w:val="18"/>
                <w:szCs w:val="18"/>
              </w:rPr>
              <w:t>AUSTRALIA</w:t>
            </w:r>
          </w:p>
        </w:tc>
        <w:tc>
          <w:tcPr>
            <w:tcW w:w="1559" w:type="dxa"/>
            <w:shd w:val="clear" w:color="auto" w:fill="E5EEF7"/>
          </w:tcPr>
          <w:p w14:paraId="2C14AA4B" w14:textId="77777777" w:rsidR="00F00216" w:rsidRPr="00B238CA" w:rsidRDefault="00F00216" w:rsidP="008629A9">
            <w:pPr>
              <w:spacing w:before="20" w:after="20"/>
              <w:ind w:right="447"/>
              <w:jc w:val="right"/>
              <w:rPr>
                <w:rFonts w:ascii="Segoe UI" w:hAnsi="Segoe UI" w:cs="Segoe UI"/>
                <w:b/>
                <w:sz w:val="18"/>
                <w:szCs w:val="18"/>
              </w:rPr>
            </w:pPr>
            <w:r w:rsidRPr="00B238CA">
              <w:rPr>
                <w:rFonts w:ascii="Segoe UI" w:hAnsi="Segoe UI" w:cs="Segoe UI"/>
                <w:b/>
                <w:sz w:val="18"/>
                <w:szCs w:val="18"/>
              </w:rPr>
              <w:t>1,</w:t>
            </w:r>
            <w:r>
              <w:rPr>
                <w:rFonts w:ascii="Segoe UI" w:hAnsi="Segoe UI" w:cs="Segoe UI"/>
                <w:b/>
                <w:sz w:val="18"/>
                <w:szCs w:val="18"/>
              </w:rPr>
              <w:t>114</w:t>
            </w:r>
          </w:p>
        </w:tc>
        <w:tc>
          <w:tcPr>
            <w:tcW w:w="1559" w:type="dxa"/>
            <w:shd w:val="clear" w:color="auto" w:fill="E5EEF7"/>
          </w:tcPr>
          <w:p w14:paraId="2FD5C9A7" w14:textId="77777777" w:rsidR="00F00216" w:rsidRPr="00B238CA" w:rsidRDefault="00F00216" w:rsidP="008629A9">
            <w:pPr>
              <w:spacing w:before="20" w:after="20"/>
              <w:ind w:right="448"/>
              <w:jc w:val="right"/>
              <w:rPr>
                <w:rFonts w:ascii="Segoe UI" w:hAnsi="Segoe UI" w:cs="Segoe UI"/>
                <w:b/>
                <w:sz w:val="18"/>
                <w:szCs w:val="18"/>
              </w:rPr>
            </w:pPr>
            <w:r w:rsidRPr="00B238CA">
              <w:rPr>
                <w:rFonts w:ascii="Segoe UI" w:hAnsi="Segoe UI" w:cs="Segoe UI"/>
                <w:b/>
                <w:sz w:val="18"/>
                <w:szCs w:val="18"/>
              </w:rPr>
              <w:t>24.59</w:t>
            </w:r>
          </w:p>
        </w:tc>
        <w:tc>
          <w:tcPr>
            <w:tcW w:w="1776" w:type="dxa"/>
            <w:shd w:val="clear" w:color="auto" w:fill="E5EEF7"/>
          </w:tcPr>
          <w:p w14:paraId="37A5CD4E" w14:textId="77777777" w:rsidR="00F00216" w:rsidRPr="00B238CA" w:rsidRDefault="00F00216" w:rsidP="008629A9">
            <w:pPr>
              <w:spacing w:before="20" w:after="20"/>
              <w:ind w:right="517"/>
              <w:jc w:val="right"/>
              <w:rPr>
                <w:rFonts w:ascii="Segoe UI" w:hAnsi="Segoe UI" w:cs="Segoe UI"/>
                <w:b/>
                <w:sz w:val="18"/>
                <w:szCs w:val="18"/>
              </w:rPr>
            </w:pPr>
            <w:r>
              <w:rPr>
                <w:rFonts w:ascii="Segoe UI" w:hAnsi="Segoe UI" w:cs="Segoe UI"/>
                <w:b/>
                <w:sz w:val="18"/>
                <w:szCs w:val="18"/>
              </w:rPr>
              <w:t>4</w:t>
            </w:r>
            <w:r w:rsidRPr="00B238CA">
              <w:rPr>
                <w:rFonts w:ascii="Segoe UI" w:hAnsi="Segoe UI" w:cs="Segoe UI"/>
                <w:b/>
                <w:sz w:val="18"/>
                <w:szCs w:val="18"/>
              </w:rPr>
              <w:t>.</w:t>
            </w:r>
            <w:r>
              <w:rPr>
                <w:rFonts w:ascii="Segoe UI" w:hAnsi="Segoe UI" w:cs="Segoe UI"/>
                <w:b/>
                <w:sz w:val="18"/>
                <w:szCs w:val="18"/>
              </w:rPr>
              <w:t>58</w:t>
            </w:r>
          </w:p>
        </w:tc>
      </w:tr>
      <w:tr w:rsidR="00F00216" w:rsidRPr="00B238CA" w14:paraId="75744074" w14:textId="77777777" w:rsidTr="008629A9">
        <w:trPr>
          <w:trHeight w:val="283"/>
        </w:trPr>
        <w:tc>
          <w:tcPr>
            <w:tcW w:w="4678" w:type="dxa"/>
            <w:shd w:val="clear" w:color="auto" w:fill="E5EEF7"/>
          </w:tcPr>
          <w:p w14:paraId="24AD1F43" w14:textId="77777777" w:rsidR="00F00216" w:rsidRPr="00B238CA" w:rsidRDefault="00F00216" w:rsidP="008629A9">
            <w:pPr>
              <w:pStyle w:val="Default"/>
              <w:spacing w:before="20" w:after="20" w:line="276" w:lineRule="auto"/>
              <w:rPr>
                <w:rFonts w:ascii="Segoe UI" w:hAnsi="Segoe UI" w:cs="Segoe UI"/>
                <w:b/>
                <w:sz w:val="18"/>
                <w:szCs w:val="18"/>
              </w:rPr>
            </w:pPr>
            <w:r w:rsidRPr="00B238CA">
              <w:rPr>
                <w:rFonts w:ascii="Segoe UI" w:hAnsi="Segoe UI" w:cs="Segoe UI"/>
                <w:b/>
                <w:sz w:val="18"/>
                <w:szCs w:val="18"/>
              </w:rPr>
              <w:t xml:space="preserve">Victoria – </w:t>
            </w:r>
            <w:r w:rsidRPr="00B238CA">
              <w:rPr>
                <w:rFonts w:ascii="Segoe UI" w:hAnsi="Segoe UI" w:cs="Segoe UI"/>
                <w:b/>
                <w:i/>
                <w:sz w:val="18"/>
                <w:szCs w:val="18"/>
              </w:rPr>
              <w:t>Towards Zero</w:t>
            </w:r>
            <w:r w:rsidRPr="00B238CA">
              <w:rPr>
                <w:rFonts w:ascii="Segoe UI" w:hAnsi="Segoe UI" w:cs="Segoe UI"/>
                <w:b/>
                <w:sz w:val="18"/>
                <w:szCs w:val="18"/>
              </w:rPr>
              <w:t xml:space="preserve"> 2020 target</w:t>
            </w:r>
          </w:p>
        </w:tc>
        <w:tc>
          <w:tcPr>
            <w:tcW w:w="1559" w:type="dxa"/>
            <w:shd w:val="clear" w:color="auto" w:fill="E5EEF7"/>
          </w:tcPr>
          <w:p w14:paraId="209515CC" w14:textId="77777777" w:rsidR="00F00216" w:rsidRPr="00B238CA" w:rsidRDefault="00F00216" w:rsidP="00F4115C">
            <w:pPr>
              <w:spacing w:before="20" w:after="20"/>
              <w:ind w:right="255"/>
              <w:jc w:val="right"/>
              <w:rPr>
                <w:rFonts w:ascii="Segoe UI" w:hAnsi="Segoe UI" w:cs="Segoe UI"/>
                <w:b/>
                <w:sz w:val="18"/>
                <w:szCs w:val="18"/>
              </w:rPr>
            </w:pPr>
            <w:r w:rsidRPr="00B238CA">
              <w:rPr>
                <w:rFonts w:ascii="Segoe UI" w:hAnsi="Segoe UI" w:cs="Segoe UI"/>
                <w:b/>
                <w:sz w:val="18"/>
                <w:szCs w:val="18"/>
              </w:rPr>
              <w:t>200</w:t>
            </w:r>
            <w:r w:rsidRPr="00B238CA">
              <w:rPr>
                <w:rStyle w:val="EndnoteReference"/>
                <w:rFonts w:ascii="Segoe UI" w:hAnsi="Segoe UI" w:cs="Segoe UI"/>
                <w:sz w:val="18"/>
                <w:szCs w:val="18"/>
              </w:rPr>
              <w:endnoteReference w:id="179"/>
            </w:r>
          </w:p>
        </w:tc>
        <w:tc>
          <w:tcPr>
            <w:tcW w:w="1559" w:type="dxa"/>
            <w:shd w:val="clear" w:color="auto" w:fill="E5EEF7"/>
          </w:tcPr>
          <w:p w14:paraId="1271FF64" w14:textId="77777777" w:rsidR="00F00216" w:rsidRPr="00B238CA" w:rsidRDefault="00F00216" w:rsidP="00F4115C">
            <w:pPr>
              <w:spacing w:before="20" w:after="20"/>
              <w:ind w:right="255"/>
              <w:jc w:val="right"/>
              <w:rPr>
                <w:rFonts w:ascii="Segoe UI" w:hAnsi="Segoe UI" w:cs="Segoe UI"/>
                <w:b/>
                <w:sz w:val="18"/>
                <w:szCs w:val="18"/>
              </w:rPr>
            </w:pPr>
            <w:r w:rsidRPr="00B238CA">
              <w:rPr>
                <w:rFonts w:ascii="Segoe UI" w:hAnsi="Segoe UI" w:cs="Segoe UI"/>
                <w:b/>
                <w:sz w:val="18"/>
                <w:szCs w:val="18"/>
              </w:rPr>
              <w:t>6.62</w:t>
            </w:r>
            <w:r w:rsidRPr="00B238CA">
              <w:rPr>
                <w:rStyle w:val="EndnoteReference"/>
                <w:rFonts w:ascii="Segoe UI" w:hAnsi="Segoe UI" w:cs="Segoe UI"/>
                <w:sz w:val="18"/>
                <w:szCs w:val="18"/>
              </w:rPr>
              <w:endnoteReference w:id="180"/>
            </w:r>
          </w:p>
        </w:tc>
        <w:tc>
          <w:tcPr>
            <w:tcW w:w="1776" w:type="dxa"/>
            <w:shd w:val="clear" w:color="auto" w:fill="E5EEF7"/>
          </w:tcPr>
          <w:p w14:paraId="3A5F4F5C" w14:textId="77777777" w:rsidR="00F00216" w:rsidRPr="00B238CA" w:rsidRDefault="00F00216" w:rsidP="008629A9">
            <w:pPr>
              <w:spacing w:before="20" w:after="20"/>
              <w:ind w:right="517"/>
              <w:jc w:val="right"/>
              <w:rPr>
                <w:rFonts w:ascii="Segoe UI" w:hAnsi="Segoe UI" w:cs="Segoe UI"/>
                <w:b/>
                <w:sz w:val="18"/>
                <w:szCs w:val="18"/>
              </w:rPr>
            </w:pPr>
            <w:r w:rsidRPr="00B238CA">
              <w:rPr>
                <w:rFonts w:ascii="Segoe UI" w:hAnsi="Segoe UI" w:cs="Segoe UI"/>
                <w:b/>
                <w:sz w:val="18"/>
                <w:szCs w:val="18"/>
              </w:rPr>
              <w:t>3.02</w:t>
            </w:r>
          </w:p>
        </w:tc>
      </w:tr>
    </w:tbl>
    <w:p w14:paraId="07D99FA6" w14:textId="77777777" w:rsidR="00F00216" w:rsidRPr="00D343BE" w:rsidRDefault="00F00216" w:rsidP="00D343BE">
      <w:pPr>
        <w:pStyle w:val="Source"/>
        <w:rPr>
          <w:rStyle w:val="Strong"/>
          <w:rFonts w:eastAsiaTheme="minorHAnsi" w:cstheme="minorHAnsi"/>
          <w:b w:val="0"/>
          <w:bCs w:val="0"/>
          <w:color w:val="auto"/>
          <w:szCs w:val="22"/>
        </w:rPr>
      </w:pPr>
      <w:r w:rsidRPr="00D343BE">
        <w:rPr>
          <w:rStyle w:val="Strong"/>
          <w:rFonts w:eastAsiaTheme="minorHAnsi" w:cstheme="minorHAnsi"/>
          <w:b w:val="0"/>
          <w:bCs w:val="0"/>
          <w:color w:val="auto"/>
          <w:szCs w:val="22"/>
        </w:rPr>
        <w:t xml:space="preserve">Source: </w:t>
      </w:r>
      <w:r w:rsidR="007F1BDF" w:rsidRPr="00D343BE">
        <w:rPr>
          <w:rStyle w:val="Strong"/>
          <w:rFonts w:eastAsiaTheme="minorHAnsi" w:cstheme="minorHAnsi"/>
          <w:b w:val="0"/>
          <w:bCs w:val="0"/>
          <w:color w:val="auto"/>
          <w:szCs w:val="22"/>
        </w:rPr>
        <w:t>States and Territories Road Safety Authorities</w:t>
      </w:r>
      <w:r w:rsidR="00884274" w:rsidRPr="00D343BE">
        <w:rPr>
          <w:rStyle w:val="Strong"/>
          <w:rFonts w:eastAsiaTheme="minorHAnsi" w:cstheme="minorHAnsi"/>
          <w:b w:val="0"/>
          <w:bCs w:val="0"/>
          <w:color w:val="auto"/>
          <w:szCs w:val="22"/>
        </w:rPr>
        <w:t xml:space="preserve">’ </w:t>
      </w:r>
      <w:r w:rsidR="007F1BDF" w:rsidRPr="00D343BE">
        <w:rPr>
          <w:rStyle w:val="Strong"/>
          <w:rFonts w:eastAsiaTheme="minorHAnsi" w:cstheme="minorHAnsi"/>
          <w:b w:val="0"/>
          <w:bCs w:val="0"/>
          <w:color w:val="auto"/>
          <w:szCs w:val="22"/>
        </w:rPr>
        <w:t>websites, 2019</w:t>
      </w:r>
    </w:p>
    <w:p w14:paraId="42CE605F" w14:textId="1444FF75" w:rsidR="00F00216" w:rsidRPr="00B238CA" w:rsidRDefault="00F00216" w:rsidP="00F00216">
      <w:pPr>
        <w:pStyle w:val="Caption"/>
      </w:pPr>
      <w:bookmarkStart w:id="158" w:name="_Ref518400424"/>
      <w:bookmarkStart w:id="159" w:name="_Toc523399073"/>
      <w:bookmarkStart w:id="160" w:name="_Toc10703707"/>
      <w:r w:rsidRPr="00B238CA">
        <w:lastRenderedPageBreak/>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14</w:t>
      </w:r>
      <w:r w:rsidR="00BC6B2E">
        <w:rPr>
          <w:noProof/>
        </w:rPr>
        <w:fldChar w:fldCharType="end"/>
      </w:r>
      <w:bookmarkEnd w:id="158"/>
      <w:r w:rsidRPr="00B238CA">
        <w:t xml:space="preserve"> –</w:t>
      </w:r>
      <w:r>
        <w:t xml:space="preserve"> F</w:t>
      </w:r>
      <w:r w:rsidRPr="00B238CA">
        <w:t>atalities per 100,000 registered vehicles</w:t>
      </w:r>
      <w:bookmarkEnd w:id="159"/>
      <w:r>
        <w:t xml:space="preserve"> </w:t>
      </w:r>
      <w:r w:rsidRPr="00FC687B">
        <w:t>in Australian jurisdictions in 201</w:t>
      </w:r>
      <w:r>
        <w:t>8</w:t>
      </w:r>
      <w:bookmarkEnd w:id="160"/>
    </w:p>
    <w:tbl>
      <w:tblPr>
        <w:tblStyle w:val="RIS-Table2"/>
        <w:tblW w:w="9572" w:type="dxa"/>
        <w:tblInd w:w="-5" w:type="dxa"/>
        <w:tblLayout w:type="fixed"/>
        <w:tblLook w:val="04A0" w:firstRow="1" w:lastRow="0" w:firstColumn="1" w:lastColumn="0" w:noHBand="0" w:noVBand="1"/>
      </w:tblPr>
      <w:tblGrid>
        <w:gridCol w:w="4678"/>
        <w:gridCol w:w="1559"/>
        <w:gridCol w:w="1559"/>
        <w:gridCol w:w="1776"/>
      </w:tblGrid>
      <w:tr w:rsidR="00F00216" w:rsidRPr="00B238CA" w14:paraId="38A1187C" w14:textId="77777777" w:rsidTr="008629A9">
        <w:trPr>
          <w:cnfStyle w:val="100000000000" w:firstRow="1" w:lastRow="0" w:firstColumn="0" w:lastColumn="0" w:oddVBand="0" w:evenVBand="0" w:oddHBand="0" w:evenHBand="0" w:firstRowFirstColumn="0" w:firstRowLastColumn="0" w:lastRowFirstColumn="0" w:lastRowLastColumn="0"/>
        </w:trPr>
        <w:tc>
          <w:tcPr>
            <w:tcW w:w="4678" w:type="dxa"/>
          </w:tcPr>
          <w:p w14:paraId="0253F7C7" w14:textId="77777777" w:rsidR="00F00216" w:rsidRPr="00B238CA" w:rsidRDefault="00F00216" w:rsidP="008629A9">
            <w:pPr>
              <w:pStyle w:val="Default"/>
              <w:spacing w:after="40" w:line="276" w:lineRule="auto"/>
              <w:rPr>
                <w:rFonts w:ascii="Segoe UI" w:hAnsi="Segoe UI" w:cs="Segoe UI"/>
                <w:b w:val="0"/>
                <w:color w:val="FFFFFF" w:themeColor="background1"/>
                <w:sz w:val="18"/>
                <w:szCs w:val="18"/>
              </w:rPr>
            </w:pPr>
            <w:r w:rsidRPr="00B238CA">
              <w:rPr>
                <w:rFonts w:ascii="Segoe UI" w:hAnsi="Segoe UI" w:cs="Segoe UI"/>
                <w:color w:val="FFFFFF" w:themeColor="background1"/>
                <w:sz w:val="18"/>
                <w:szCs w:val="18"/>
              </w:rPr>
              <w:t>State / Territory</w:t>
            </w:r>
          </w:p>
        </w:tc>
        <w:tc>
          <w:tcPr>
            <w:tcW w:w="1559" w:type="dxa"/>
          </w:tcPr>
          <w:p w14:paraId="6A5549E8" w14:textId="5970C29F" w:rsidR="00F00216" w:rsidRPr="00B238CA" w:rsidRDefault="00F00216" w:rsidP="008629A9">
            <w:pPr>
              <w:pStyle w:val="Default"/>
              <w:spacing w:after="40" w:line="276" w:lineRule="auto"/>
              <w:rPr>
                <w:rFonts w:ascii="Segoe UI" w:hAnsi="Segoe UI" w:cs="Segoe UI"/>
                <w:b w:val="0"/>
                <w:color w:val="FFFFFF" w:themeColor="background1"/>
                <w:sz w:val="18"/>
                <w:szCs w:val="18"/>
              </w:rPr>
            </w:pPr>
            <w:r w:rsidRPr="00B238CA">
              <w:rPr>
                <w:rFonts w:ascii="Segoe UI" w:hAnsi="Segoe UI" w:cs="Segoe UI"/>
                <w:bCs/>
                <w:color w:val="FFFFFF" w:themeColor="background1"/>
                <w:sz w:val="18"/>
                <w:szCs w:val="18"/>
              </w:rPr>
              <w:t>Road fatalities</w:t>
            </w:r>
            <w:r w:rsidRPr="00B238CA">
              <w:rPr>
                <w:rFonts w:ascii="Segoe UI" w:hAnsi="Segoe UI" w:cs="Segoe UI"/>
                <w:bCs/>
                <w:color w:val="FFFFFF" w:themeColor="background1"/>
                <w:sz w:val="18"/>
                <w:szCs w:val="18"/>
                <w:vertAlign w:val="superscript"/>
              </w:rPr>
              <w:fldChar w:fldCharType="begin"/>
            </w:r>
            <w:r w:rsidRPr="00B238CA">
              <w:rPr>
                <w:rFonts w:ascii="Segoe UI" w:hAnsi="Segoe UI" w:cs="Segoe UI"/>
                <w:bCs/>
                <w:color w:val="FFFFFF" w:themeColor="background1"/>
                <w:sz w:val="18"/>
                <w:szCs w:val="18"/>
                <w:vertAlign w:val="superscript"/>
              </w:rPr>
              <w:instrText xml:space="preserve"> NOTEREF _Ref518321739  \* MERGEFORMAT </w:instrText>
            </w:r>
            <w:r w:rsidRPr="00B238CA">
              <w:rPr>
                <w:rFonts w:ascii="Segoe UI" w:hAnsi="Segoe UI" w:cs="Segoe UI"/>
                <w:bCs/>
                <w:color w:val="FFFFFF" w:themeColor="background1"/>
                <w:sz w:val="18"/>
                <w:szCs w:val="18"/>
                <w:vertAlign w:val="superscript"/>
              </w:rPr>
              <w:fldChar w:fldCharType="separate"/>
            </w:r>
            <w:r w:rsidR="00EB4B02">
              <w:rPr>
                <w:rFonts w:ascii="Segoe UI" w:hAnsi="Segoe UI" w:cs="Segoe UI"/>
                <w:bCs/>
                <w:color w:val="FFFFFF" w:themeColor="background1"/>
                <w:sz w:val="18"/>
                <w:szCs w:val="18"/>
                <w:vertAlign w:val="superscript"/>
              </w:rPr>
              <w:t>182</w:t>
            </w:r>
            <w:r w:rsidRPr="00B238CA">
              <w:rPr>
                <w:rFonts w:ascii="Segoe UI" w:hAnsi="Segoe UI" w:cs="Segoe UI"/>
                <w:bCs/>
                <w:color w:val="FFFFFF" w:themeColor="background1"/>
                <w:sz w:val="18"/>
                <w:szCs w:val="18"/>
                <w:vertAlign w:val="superscript"/>
              </w:rPr>
              <w:fldChar w:fldCharType="end"/>
            </w:r>
          </w:p>
        </w:tc>
        <w:tc>
          <w:tcPr>
            <w:tcW w:w="1559" w:type="dxa"/>
          </w:tcPr>
          <w:p w14:paraId="65014776" w14:textId="77777777" w:rsidR="00F00216" w:rsidRPr="00B238CA" w:rsidRDefault="00F00216" w:rsidP="008629A9">
            <w:pPr>
              <w:pStyle w:val="Default"/>
              <w:spacing w:after="40" w:line="276" w:lineRule="auto"/>
              <w:rPr>
                <w:rFonts w:ascii="Segoe UI" w:hAnsi="Segoe UI" w:cs="Segoe UI"/>
                <w:b w:val="0"/>
                <w:bCs/>
                <w:color w:val="FFFFFF" w:themeColor="background1"/>
                <w:sz w:val="18"/>
                <w:szCs w:val="18"/>
              </w:rPr>
            </w:pPr>
            <w:r w:rsidRPr="00B238CA">
              <w:rPr>
                <w:rFonts w:ascii="Segoe UI" w:hAnsi="Segoe UI" w:cs="Segoe UI"/>
                <w:bCs/>
                <w:color w:val="FFFFFF" w:themeColor="background1"/>
                <w:sz w:val="18"/>
                <w:szCs w:val="18"/>
              </w:rPr>
              <w:t>Reg. vehicles (million)</w:t>
            </w:r>
            <w:r w:rsidRPr="00B238CA">
              <w:rPr>
                <w:rStyle w:val="EndnoteReference"/>
                <w:rFonts w:ascii="Segoe UI" w:hAnsi="Segoe UI" w:cs="Segoe UI"/>
                <w:bCs/>
                <w:color w:val="FFFFFF" w:themeColor="background1"/>
                <w:sz w:val="18"/>
                <w:szCs w:val="18"/>
              </w:rPr>
              <w:endnoteReference w:id="181"/>
            </w:r>
          </w:p>
        </w:tc>
        <w:tc>
          <w:tcPr>
            <w:tcW w:w="1776" w:type="dxa"/>
          </w:tcPr>
          <w:p w14:paraId="7D1F6636" w14:textId="77777777" w:rsidR="00F00216" w:rsidRPr="00B238CA" w:rsidRDefault="00F00216" w:rsidP="008629A9">
            <w:pPr>
              <w:pStyle w:val="Default"/>
              <w:spacing w:after="40" w:line="276" w:lineRule="auto"/>
              <w:rPr>
                <w:rFonts w:ascii="Segoe UI" w:hAnsi="Segoe UI" w:cs="Segoe UI"/>
                <w:b w:val="0"/>
                <w:bCs/>
                <w:color w:val="FFFFFF" w:themeColor="background1"/>
                <w:sz w:val="18"/>
                <w:szCs w:val="18"/>
              </w:rPr>
            </w:pPr>
            <w:r w:rsidRPr="00B238CA">
              <w:rPr>
                <w:rFonts w:ascii="Segoe UI" w:hAnsi="Segoe UI" w:cs="Segoe UI"/>
                <w:bCs/>
                <w:color w:val="FFFFFF" w:themeColor="background1"/>
                <w:sz w:val="18"/>
                <w:szCs w:val="18"/>
              </w:rPr>
              <w:t>Road fatalities per 100K vehicles</w:t>
            </w:r>
          </w:p>
        </w:tc>
      </w:tr>
      <w:tr w:rsidR="00F00216" w:rsidRPr="00B238CA" w14:paraId="58948297" w14:textId="77777777" w:rsidTr="008629A9">
        <w:trPr>
          <w:trHeight w:val="283"/>
        </w:trPr>
        <w:tc>
          <w:tcPr>
            <w:tcW w:w="4678" w:type="dxa"/>
            <w:shd w:val="clear" w:color="auto" w:fill="E6E8E8" w:themeFill="background2" w:themeFillTint="33"/>
          </w:tcPr>
          <w:p w14:paraId="1735120F" w14:textId="77777777" w:rsidR="00F00216" w:rsidRPr="00B238CA" w:rsidRDefault="00F00216" w:rsidP="008629A9">
            <w:pPr>
              <w:pStyle w:val="Default"/>
              <w:spacing w:before="20" w:after="20" w:line="276" w:lineRule="auto"/>
              <w:rPr>
                <w:rFonts w:ascii="Segoe UI" w:hAnsi="Segoe UI" w:cs="Segoe UI"/>
                <w:b/>
                <w:sz w:val="18"/>
                <w:szCs w:val="18"/>
              </w:rPr>
            </w:pPr>
            <w:r w:rsidRPr="00B238CA">
              <w:rPr>
                <w:rFonts w:ascii="Segoe UI" w:hAnsi="Segoe UI" w:cs="Segoe UI"/>
                <w:b/>
                <w:sz w:val="18"/>
                <w:szCs w:val="18"/>
              </w:rPr>
              <w:t>Victoria</w:t>
            </w:r>
          </w:p>
        </w:tc>
        <w:tc>
          <w:tcPr>
            <w:tcW w:w="1559" w:type="dxa"/>
            <w:shd w:val="clear" w:color="auto" w:fill="E6E8E8" w:themeFill="background2" w:themeFillTint="33"/>
          </w:tcPr>
          <w:p w14:paraId="6A028816" w14:textId="77777777" w:rsidR="00F00216" w:rsidRPr="00B238CA" w:rsidRDefault="00F00216" w:rsidP="008629A9">
            <w:pPr>
              <w:spacing w:before="20" w:after="20"/>
              <w:ind w:right="435"/>
              <w:jc w:val="right"/>
              <w:rPr>
                <w:rFonts w:ascii="Segoe UI" w:hAnsi="Segoe UI" w:cs="Segoe UI"/>
                <w:b/>
                <w:sz w:val="18"/>
                <w:szCs w:val="18"/>
              </w:rPr>
            </w:pPr>
            <w:r w:rsidRPr="00B238CA">
              <w:rPr>
                <w:rFonts w:ascii="Segoe UI" w:hAnsi="Segoe UI" w:cs="Segoe UI"/>
                <w:b/>
                <w:sz w:val="18"/>
                <w:szCs w:val="18"/>
              </w:rPr>
              <w:t>2</w:t>
            </w:r>
            <w:r>
              <w:rPr>
                <w:rFonts w:ascii="Segoe UI" w:hAnsi="Segoe UI" w:cs="Segoe UI"/>
                <w:b/>
                <w:sz w:val="18"/>
                <w:szCs w:val="18"/>
              </w:rPr>
              <w:t>14</w:t>
            </w:r>
          </w:p>
        </w:tc>
        <w:tc>
          <w:tcPr>
            <w:tcW w:w="1559" w:type="dxa"/>
            <w:shd w:val="clear" w:color="auto" w:fill="E6E8E8" w:themeFill="background2" w:themeFillTint="33"/>
          </w:tcPr>
          <w:p w14:paraId="7E2BAE7F" w14:textId="77777777" w:rsidR="00F00216" w:rsidRPr="00B238CA" w:rsidRDefault="00F00216" w:rsidP="008629A9">
            <w:pPr>
              <w:spacing w:before="20" w:after="20"/>
              <w:ind w:right="436"/>
              <w:jc w:val="right"/>
              <w:rPr>
                <w:rFonts w:ascii="Segoe UI" w:hAnsi="Segoe UI" w:cs="Segoe UI"/>
                <w:b/>
                <w:sz w:val="18"/>
                <w:szCs w:val="18"/>
              </w:rPr>
            </w:pPr>
            <w:r w:rsidRPr="00B238CA">
              <w:rPr>
                <w:rFonts w:ascii="Segoe UI" w:hAnsi="Segoe UI" w:cs="Segoe UI"/>
                <w:b/>
                <w:sz w:val="18"/>
                <w:szCs w:val="18"/>
              </w:rPr>
              <w:t>4.</w:t>
            </w:r>
            <w:r>
              <w:rPr>
                <w:rFonts w:ascii="Segoe UI" w:hAnsi="Segoe UI" w:cs="Segoe UI"/>
                <w:b/>
                <w:sz w:val="18"/>
                <w:szCs w:val="18"/>
              </w:rPr>
              <w:t>92</w:t>
            </w:r>
          </w:p>
        </w:tc>
        <w:tc>
          <w:tcPr>
            <w:tcW w:w="1776" w:type="dxa"/>
            <w:shd w:val="clear" w:color="auto" w:fill="E6E8E8" w:themeFill="background2" w:themeFillTint="33"/>
          </w:tcPr>
          <w:p w14:paraId="6CD23DAA" w14:textId="77777777" w:rsidR="00F00216" w:rsidRPr="00B238CA" w:rsidRDefault="00F00216" w:rsidP="008629A9">
            <w:pPr>
              <w:spacing w:before="20" w:after="20"/>
              <w:ind w:right="515"/>
              <w:jc w:val="right"/>
              <w:rPr>
                <w:rFonts w:ascii="Segoe UI" w:hAnsi="Segoe UI" w:cs="Segoe UI"/>
                <w:b/>
                <w:sz w:val="18"/>
                <w:szCs w:val="18"/>
              </w:rPr>
            </w:pPr>
            <w:r>
              <w:rPr>
                <w:rFonts w:ascii="Segoe UI" w:hAnsi="Segoe UI" w:cs="Segoe UI"/>
                <w:b/>
                <w:sz w:val="18"/>
                <w:szCs w:val="18"/>
              </w:rPr>
              <w:t>4.35</w:t>
            </w:r>
          </w:p>
        </w:tc>
      </w:tr>
      <w:tr w:rsidR="00F00216" w:rsidRPr="00B238CA" w14:paraId="19EA4A68" w14:textId="77777777" w:rsidTr="008629A9">
        <w:trPr>
          <w:cnfStyle w:val="000000010000" w:firstRow="0" w:lastRow="0" w:firstColumn="0" w:lastColumn="0" w:oddVBand="0" w:evenVBand="0" w:oddHBand="0" w:evenHBand="1" w:firstRowFirstColumn="0" w:firstRowLastColumn="0" w:lastRowFirstColumn="0" w:lastRowLastColumn="0"/>
          <w:trHeight w:val="283"/>
        </w:trPr>
        <w:tc>
          <w:tcPr>
            <w:tcW w:w="4678" w:type="dxa"/>
          </w:tcPr>
          <w:p w14:paraId="5462C0FB"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Queensland</w:t>
            </w:r>
          </w:p>
        </w:tc>
        <w:tc>
          <w:tcPr>
            <w:tcW w:w="1559" w:type="dxa"/>
          </w:tcPr>
          <w:p w14:paraId="6B924D20" w14:textId="77777777" w:rsidR="00F00216" w:rsidRPr="00B238CA" w:rsidRDefault="00F00216" w:rsidP="008629A9">
            <w:pPr>
              <w:spacing w:before="20" w:after="20"/>
              <w:ind w:right="435"/>
              <w:jc w:val="right"/>
              <w:rPr>
                <w:rFonts w:ascii="Segoe UI" w:hAnsi="Segoe UI" w:cs="Segoe UI"/>
                <w:sz w:val="18"/>
                <w:szCs w:val="18"/>
              </w:rPr>
            </w:pPr>
            <w:r>
              <w:rPr>
                <w:rFonts w:ascii="Segoe UI" w:hAnsi="Segoe UI" w:cs="Segoe UI"/>
                <w:sz w:val="18"/>
                <w:szCs w:val="18"/>
              </w:rPr>
              <w:t>363</w:t>
            </w:r>
          </w:p>
        </w:tc>
        <w:tc>
          <w:tcPr>
            <w:tcW w:w="1559" w:type="dxa"/>
          </w:tcPr>
          <w:p w14:paraId="66A5ACB3" w14:textId="77777777" w:rsidR="00F00216" w:rsidRPr="00B238CA" w:rsidRDefault="00F00216" w:rsidP="008629A9">
            <w:pPr>
              <w:spacing w:before="20" w:after="20"/>
              <w:ind w:right="436"/>
              <w:jc w:val="right"/>
              <w:rPr>
                <w:rFonts w:ascii="Segoe UI" w:hAnsi="Segoe UI" w:cs="Segoe UI"/>
                <w:sz w:val="18"/>
                <w:szCs w:val="18"/>
              </w:rPr>
            </w:pPr>
            <w:r>
              <w:rPr>
                <w:rFonts w:ascii="Segoe UI" w:hAnsi="Segoe UI" w:cs="Segoe UI"/>
                <w:sz w:val="18"/>
                <w:szCs w:val="18"/>
              </w:rPr>
              <w:t>5.92</w:t>
            </w:r>
          </w:p>
        </w:tc>
        <w:tc>
          <w:tcPr>
            <w:tcW w:w="1776" w:type="dxa"/>
          </w:tcPr>
          <w:p w14:paraId="7CDF3467" w14:textId="77777777" w:rsidR="00F00216" w:rsidRPr="00B238CA" w:rsidRDefault="00F00216" w:rsidP="008629A9">
            <w:pPr>
              <w:spacing w:before="20" w:after="20"/>
              <w:ind w:right="515"/>
              <w:jc w:val="right"/>
              <w:rPr>
                <w:rFonts w:ascii="Segoe UI" w:hAnsi="Segoe UI" w:cs="Segoe UI"/>
                <w:sz w:val="18"/>
                <w:szCs w:val="18"/>
              </w:rPr>
            </w:pPr>
            <w:r w:rsidRPr="00B238CA">
              <w:rPr>
                <w:rFonts w:ascii="Segoe UI" w:hAnsi="Segoe UI" w:cs="Segoe UI"/>
                <w:sz w:val="18"/>
                <w:szCs w:val="18"/>
              </w:rPr>
              <w:t>6.</w:t>
            </w:r>
            <w:r>
              <w:rPr>
                <w:rFonts w:ascii="Segoe UI" w:hAnsi="Segoe UI" w:cs="Segoe UI"/>
                <w:sz w:val="18"/>
                <w:szCs w:val="18"/>
              </w:rPr>
              <w:t>13</w:t>
            </w:r>
          </w:p>
        </w:tc>
      </w:tr>
      <w:tr w:rsidR="00F00216" w:rsidRPr="00B238CA" w14:paraId="5CA3FDB6" w14:textId="77777777" w:rsidTr="008629A9">
        <w:trPr>
          <w:trHeight w:val="283"/>
        </w:trPr>
        <w:tc>
          <w:tcPr>
            <w:tcW w:w="4678" w:type="dxa"/>
          </w:tcPr>
          <w:p w14:paraId="4C353C57" w14:textId="77777777" w:rsidR="00F00216" w:rsidRPr="00A13C57" w:rsidRDefault="00F00216" w:rsidP="008629A9">
            <w:pPr>
              <w:pStyle w:val="Default"/>
              <w:spacing w:before="20" w:after="20" w:line="276" w:lineRule="auto"/>
              <w:rPr>
                <w:rFonts w:ascii="Segoe UI" w:hAnsi="Segoe UI" w:cs="Segoe UI"/>
                <w:bCs/>
                <w:sz w:val="18"/>
                <w:szCs w:val="18"/>
              </w:rPr>
            </w:pPr>
            <w:r w:rsidRPr="00A13C57">
              <w:rPr>
                <w:rFonts w:ascii="Segoe UI" w:hAnsi="Segoe UI" w:cs="Segoe UI"/>
                <w:bCs/>
                <w:sz w:val="18"/>
                <w:szCs w:val="18"/>
              </w:rPr>
              <w:t>New South Wales / ACT</w:t>
            </w:r>
          </w:p>
        </w:tc>
        <w:tc>
          <w:tcPr>
            <w:tcW w:w="1559" w:type="dxa"/>
          </w:tcPr>
          <w:p w14:paraId="3158B72A" w14:textId="77777777" w:rsidR="00F00216" w:rsidRPr="00B238CA" w:rsidRDefault="00F00216" w:rsidP="008629A9">
            <w:pPr>
              <w:spacing w:before="20" w:after="20"/>
              <w:ind w:right="435"/>
              <w:jc w:val="right"/>
              <w:rPr>
                <w:rFonts w:ascii="Segoe UI" w:hAnsi="Segoe UI" w:cs="Segoe UI"/>
                <w:sz w:val="18"/>
                <w:szCs w:val="18"/>
              </w:rPr>
            </w:pPr>
            <w:r>
              <w:rPr>
                <w:rFonts w:ascii="Segoe UI" w:hAnsi="Segoe UI" w:cs="Segoe UI"/>
                <w:sz w:val="18"/>
                <w:szCs w:val="18"/>
              </w:rPr>
              <w:t>247</w:t>
            </w:r>
          </w:p>
        </w:tc>
        <w:tc>
          <w:tcPr>
            <w:tcW w:w="1559" w:type="dxa"/>
          </w:tcPr>
          <w:p w14:paraId="33778CC4" w14:textId="77777777" w:rsidR="00F00216" w:rsidRPr="00B238CA" w:rsidRDefault="00F00216" w:rsidP="008629A9">
            <w:pPr>
              <w:spacing w:before="20" w:after="20"/>
              <w:ind w:right="436"/>
              <w:jc w:val="right"/>
              <w:rPr>
                <w:rFonts w:ascii="Segoe UI" w:hAnsi="Segoe UI" w:cs="Segoe UI"/>
                <w:sz w:val="18"/>
                <w:szCs w:val="18"/>
              </w:rPr>
            </w:pPr>
            <w:r>
              <w:rPr>
                <w:rFonts w:ascii="Segoe UI" w:hAnsi="Segoe UI" w:cs="Segoe UI"/>
                <w:sz w:val="18"/>
                <w:szCs w:val="18"/>
              </w:rPr>
              <w:t>4.05</w:t>
            </w:r>
          </w:p>
        </w:tc>
        <w:tc>
          <w:tcPr>
            <w:tcW w:w="1776" w:type="dxa"/>
          </w:tcPr>
          <w:p w14:paraId="0C601220" w14:textId="77777777" w:rsidR="00F00216" w:rsidRPr="00B238CA" w:rsidRDefault="00F00216" w:rsidP="008629A9">
            <w:pPr>
              <w:spacing w:before="20" w:after="20"/>
              <w:ind w:right="515"/>
              <w:jc w:val="right"/>
              <w:rPr>
                <w:rFonts w:ascii="Segoe UI" w:hAnsi="Segoe UI" w:cs="Segoe UI"/>
                <w:sz w:val="18"/>
                <w:szCs w:val="18"/>
              </w:rPr>
            </w:pPr>
            <w:r>
              <w:rPr>
                <w:rFonts w:ascii="Segoe UI" w:hAnsi="Segoe UI" w:cs="Segoe UI"/>
                <w:sz w:val="18"/>
                <w:szCs w:val="18"/>
              </w:rPr>
              <w:t>6.11</w:t>
            </w:r>
          </w:p>
        </w:tc>
      </w:tr>
      <w:tr w:rsidR="00F00216" w:rsidRPr="00B238CA" w14:paraId="64DBC04B" w14:textId="77777777" w:rsidTr="008629A9">
        <w:trPr>
          <w:cnfStyle w:val="000000010000" w:firstRow="0" w:lastRow="0" w:firstColumn="0" w:lastColumn="0" w:oddVBand="0" w:evenVBand="0" w:oddHBand="0" w:evenHBand="1" w:firstRowFirstColumn="0" w:firstRowLastColumn="0" w:lastRowFirstColumn="0" w:lastRowLastColumn="0"/>
          <w:trHeight w:val="283"/>
        </w:trPr>
        <w:tc>
          <w:tcPr>
            <w:tcW w:w="4678" w:type="dxa"/>
          </w:tcPr>
          <w:p w14:paraId="1A490FC7"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South Australia</w:t>
            </w:r>
          </w:p>
        </w:tc>
        <w:tc>
          <w:tcPr>
            <w:tcW w:w="1559" w:type="dxa"/>
          </w:tcPr>
          <w:p w14:paraId="7FEF04E7" w14:textId="77777777" w:rsidR="00F00216" w:rsidRPr="00B238CA" w:rsidRDefault="00F00216" w:rsidP="008629A9">
            <w:pPr>
              <w:spacing w:before="20" w:after="20"/>
              <w:ind w:right="435"/>
              <w:jc w:val="right"/>
              <w:rPr>
                <w:rFonts w:ascii="Segoe UI" w:hAnsi="Segoe UI" w:cs="Segoe UI"/>
                <w:sz w:val="18"/>
                <w:szCs w:val="18"/>
              </w:rPr>
            </w:pPr>
            <w:r>
              <w:rPr>
                <w:rFonts w:ascii="Segoe UI" w:hAnsi="Segoe UI" w:cs="Segoe UI"/>
                <w:sz w:val="18"/>
                <w:szCs w:val="18"/>
              </w:rPr>
              <w:t>80</w:t>
            </w:r>
          </w:p>
        </w:tc>
        <w:tc>
          <w:tcPr>
            <w:tcW w:w="1559" w:type="dxa"/>
          </w:tcPr>
          <w:p w14:paraId="0F9C1A4A" w14:textId="77777777" w:rsidR="00F00216" w:rsidRPr="00B238CA" w:rsidRDefault="00F00216" w:rsidP="008629A9">
            <w:pPr>
              <w:spacing w:before="20" w:after="20"/>
              <w:ind w:right="436"/>
              <w:jc w:val="right"/>
              <w:rPr>
                <w:rFonts w:ascii="Segoe UI" w:hAnsi="Segoe UI" w:cs="Segoe UI"/>
                <w:sz w:val="18"/>
                <w:szCs w:val="18"/>
              </w:rPr>
            </w:pPr>
            <w:r w:rsidRPr="00B238CA">
              <w:rPr>
                <w:rFonts w:ascii="Segoe UI" w:hAnsi="Segoe UI" w:cs="Segoe UI"/>
                <w:sz w:val="18"/>
                <w:szCs w:val="18"/>
              </w:rPr>
              <w:t>1.</w:t>
            </w:r>
            <w:r>
              <w:rPr>
                <w:rFonts w:ascii="Segoe UI" w:hAnsi="Segoe UI" w:cs="Segoe UI"/>
                <w:sz w:val="18"/>
                <w:szCs w:val="18"/>
              </w:rPr>
              <w:t>41</w:t>
            </w:r>
          </w:p>
        </w:tc>
        <w:tc>
          <w:tcPr>
            <w:tcW w:w="1776" w:type="dxa"/>
          </w:tcPr>
          <w:p w14:paraId="72A952D6" w14:textId="77777777" w:rsidR="00F00216" w:rsidRPr="00B238CA" w:rsidRDefault="00F00216" w:rsidP="008629A9">
            <w:pPr>
              <w:spacing w:before="20" w:after="20"/>
              <w:ind w:right="515"/>
              <w:jc w:val="right"/>
              <w:rPr>
                <w:rFonts w:ascii="Segoe UI" w:hAnsi="Segoe UI" w:cs="Segoe UI"/>
                <w:sz w:val="18"/>
                <w:szCs w:val="18"/>
              </w:rPr>
            </w:pPr>
            <w:r>
              <w:rPr>
                <w:rFonts w:ascii="Segoe UI" w:hAnsi="Segoe UI" w:cs="Segoe UI"/>
                <w:sz w:val="18"/>
                <w:szCs w:val="18"/>
              </w:rPr>
              <w:t>5.68</w:t>
            </w:r>
          </w:p>
        </w:tc>
      </w:tr>
      <w:tr w:rsidR="00F00216" w:rsidRPr="00B238CA" w14:paraId="54C38A4E" w14:textId="77777777" w:rsidTr="008629A9">
        <w:trPr>
          <w:trHeight w:val="283"/>
        </w:trPr>
        <w:tc>
          <w:tcPr>
            <w:tcW w:w="4678" w:type="dxa"/>
          </w:tcPr>
          <w:p w14:paraId="5D6CF475"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Western Australia</w:t>
            </w:r>
          </w:p>
        </w:tc>
        <w:tc>
          <w:tcPr>
            <w:tcW w:w="1559" w:type="dxa"/>
          </w:tcPr>
          <w:p w14:paraId="37EB05F8" w14:textId="77777777" w:rsidR="00F00216" w:rsidRPr="00B238CA" w:rsidRDefault="00F00216" w:rsidP="008629A9">
            <w:pPr>
              <w:spacing w:before="20" w:after="20"/>
              <w:ind w:right="435"/>
              <w:jc w:val="right"/>
              <w:rPr>
                <w:rFonts w:ascii="Segoe UI" w:hAnsi="Segoe UI" w:cs="Segoe UI"/>
                <w:sz w:val="18"/>
                <w:szCs w:val="18"/>
              </w:rPr>
            </w:pPr>
            <w:r w:rsidRPr="00B238CA">
              <w:rPr>
                <w:rFonts w:ascii="Segoe UI" w:hAnsi="Segoe UI" w:cs="Segoe UI"/>
                <w:sz w:val="18"/>
                <w:szCs w:val="18"/>
              </w:rPr>
              <w:t>15</w:t>
            </w:r>
            <w:r>
              <w:rPr>
                <w:rFonts w:ascii="Segoe UI" w:hAnsi="Segoe UI" w:cs="Segoe UI"/>
                <w:sz w:val="18"/>
                <w:szCs w:val="18"/>
              </w:rPr>
              <w:t>8</w:t>
            </w:r>
          </w:p>
        </w:tc>
        <w:tc>
          <w:tcPr>
            <w:tcW w:w="1559" w:type="dxa"/>
          </w:tcPr>
          <w:p w14:paraId="4E50D049" w14:textId="77777777" w:rsidR="00F00216" w:rsidRPr="00B238CA" w:rsidRDefault="00F00216" w:rsidP="008629A9">
            <w:pPr>
              <w:spacing w:before="20" w:after="20"/>
              <w:ind w:right="436"/>
              <w:jc w:val="right"/>
              <w:rPr>
                <w:rFonts w:ascii="Segoe UI" w:hAnsi="Segoe UI" w:cs="Segoe UI"/>
                <w:sz w:val="18"/>
                <w:szCs w:val="18"/>
              </w:rPr>
            </w:pPr>
            <w:r w:rsidRPr="00B238CA">
              <w:rPr>
                <w:rFonts w:ascii="Segoe UI" w:hAnsi="Segoe UI" w:cs="Segoe UI"/>
                <w:sz w:val="18"/>
                <w:szCs w:val="18"/>
              </w:rPr>
              <w:t>2.2</w:t>
            </w:r>
            <w:r>
              <w:rPr>
                <w:rFonts w:ascii="Segoe UI" w:hAnsi="Segoe UI" w:cs="Segoe UI"/>
                <w:sz w:val="18"/>
                <w:szCs w:val="18"/>
              </w:rPr>
              <w:t>3</w:t>
            </w:r>
          </w:p>
        </w:tc>
        <w:tc>
          <w:tcPr>
            <w:tcW w:w="1776" w:type="dxa"/>
          </w:tcPr>
          <w:p w14:paraId="0D536E85" w14:textId="77777777" w:rsidR="00F00216" w:rsidRPr="00B238CA" w:rsidRDefault="00F00216" w:rsidP="008629A9">
            <w:pPr>
              <w:spacing w:before="20" w:after="20"/>
              <w:ind w:right="515"/>
              <w:jc w:val="right"/>
              <w:rPr>
                <w:rFonts w:ascii="Segoe UI" w:hAnsi="Segoe UI" w:cs="Segoe UI"/>
                <w:sz w:val="18"/>
                <w:szCs w:val="18"/>
              </w:rPr>
            </w:pPr>
            <w:r w:rsidRPr="00B238CA">
              <w:rPr>
                <w:rFonts w:ascii="Segoe UI" w:hAnsi="Segoe UI" w:cs="Segoe UI"/>
                <w:sz w:val="18"/>
                <w:szCs w:val="18"/>
              </w:rPr>
              <w:t>7.</w:t>
            </w:r>
            <w:r>
              <w:rPr>
                <w:rFonts w:ascii="Segoe UI" w:hAnsi="Segoe UI" w:cs="Segoe UI"/>
                <w:sz w:val="18"/>
                <w:szCs w:val="18"/>
              </w:rPr>
              <w:t>08</w:t>
            </w:r>
          </w:p>
        </w:tc>
      </w:tr>
      <w:tr w:rsidR="00F00216" w:rsidRPr="00B238CA" w14:paraId="3744CE8B" w14:textId="77777777" w:rsidTr="008629A9">
        <w:trPr>
          <w:cnfStyle w:val="000000010000" w:firstRow="0" w:lastRow="0" w:firstColumn="0" w:lastColumn="0" w:oddVBand="0" w:evenVBand="0" w:oddHBand="0" w:evenHBand="1" w:firstRowFirstColumn="0" w:firstRowLastColumn="0" w:lastRowFirstColumn="0" w:lastRowLastColumn="0"/>
          <w:trHeight w:val="283"/>
        </w:trPr>
        <w:tc>
          <w:tcPr>
            <w:tcW w:w="4678" w:type="dxa"/>
          </w:tcPr>
          <w:p w14:paraId="6C9DAFB2"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Tasmania</w:t>
            </w:r>
          </w:p>
        </w:tc>
        <w:tc>
          <w:tcPr>
            <w:tcW w:w="1559" w:type="dxa"/>
          </w:tcPr>
          <w:p w14:paraId="786A25F0" w14:textId="77777777" w:rsidR="00F00216" w:rsidRPr="00B238CA" w:rsidRDefault="00F00216" w:rsidP="008629A9">
            <w:pPr>
              <w:spacing w:before="20" w:after="20"/>
              <w:ind w:right="435"/>
              <w:jc w:val="right"/>
              <w:rPr>
                <w:rFonts w:ascii="Segoe UI" w:hAnsi="Segoe UI" w:cs="Segoe UI"/>
                <w:sz w:val="18"/>
                <w:szCs w:val="18"/>
              </w:rPr>
            </w:pPr>
            <w:r w:rsidRPr="00B238CA">
              <w:rPr>
                <w:rFonts w:ascii="Segoe UI" w:hAnsi="Segoe UI" w:cs="Segoe UI"/>
                <w:sz w:val="18"/>
                <w:szCs w:val="18"/>
              </w:rPr>
              <w:t>3</w:t>
            </w:r>
            <w:r>
              <w:rPr>
                <w:rFonts w:ascii="Segoe UI" w:hAnsi="Segoe UI" w:cs="Segoe UI"/>
                <w:sz w:val="18"/>
                <w:szCs w:val="18"/>
              </w:rPr>
              <w:t>2</w:t>
            </w:r>
          </w:p>
        </w:tc>
        <w:tc>
          <w:tcPr>
            <w:tcW w:w="1559" w:type="dxa"/>
          </w:tcPr>
          <w:p w14:paraId="1B3E6625" w14:textId="77777777" w:rsidR="00F00216" w:rsidRPr="00B238CA" w:rsidRDefault="00F00216" w:rsidP="008629A9">
            <w:pPr>
              <w:spacing w:before="20" w:after="20"/>
              <w:ind w:right="436"/>
              <w:jc w:val="right"/>
              <w:rPr>
                <w:rFonts w:ascii="Segoe UI" w:hAnsi="Segoe UI" w:cs="Segoe UI"/>
                <w:sz w:val="18"/>
                <w:szCs w:val="18"/>
              </w:rPr>
            </w:pPr>
            <w:r w:rsidRPr="00B238CA">
              <w:rPr>
                <w:rFonts w:ascii="Segoe UI" w:hAnsi="Segoe UI" w:cs="Segoe UI"/>
                <w:sz w:val="18"/>
                <w:szCs w:val="18"/>
              </w:rPr>
              <w:t>0.4</w:t>
            </w:r>
            <w:r>
              <w:rPr>
                <w:rFonts w:ascii="Segoe UI" w:hAnsi="Segoe UI" w:cs="Segoe UI"/>
                <w:sz w:val="18"/>
                <w:szCs w:val="18"/>
              </w:rPr>
              <w:t>8</w:t>
            </w:r>
          </w:p>
        </w:tc>
        <w:tc>
          <w:tcPr>
            <w:tcW w:w="1776" w:type="dxa"/>
          </w:tcPr>
          <w:p w14:paraId="43E159F4" w14:textId="77777777" w:rsidR="00F00216" w:rsidRPr="00B238CA" w:rsidRDefault="00F00216" w:rsidP="008629A9">
            <w:pPr>
              <w:spacing w:before="20" w:after="20"/>
              <w:ind w:right="515"/>
              <w:jc w:val="right"/>
              <w:rPr>
                <w:rFonts w:ascii="Segoe UI" w:hAnsi="Segoe UI" w:cs="Segoe UI"/>
                <w:sz w:val="18"/>
                <w:szCs w:val="18"/>
              </w:rPr>
            </w:pPr>
            <w:r>
              <w:rPr>
                <w:rFonts w:ascii="Segoe UI" w:hAnsi="Segoe UI" w:cs="Segoe UI"/>
                <w:sz w:val="18"/>
                <w:szCs w:val="18"/>
              </w:rPr>
              <w:t>6.65</w:t>
            </w:r>
          </w:p>
        </w:tc>
      </w:tr>
      <w:tr w:rsidR="00F00216" w:rsidRPr="00B238CA" w14:paraId="3D841612" w14:textId="77777777" w:rsidTr="008629A9">
        <w:trPr>
          <w:trHeight w:val="283"/>
        </w:trPr>
        <w:tc>
          <w:tcPr>
            <w:tcW w:w="4678" w:type="dxa"/>
          </w:tcPr>
          <w:p w14:paraId="65B4695C"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Northern Territory</w:t>
            </w:r>
          </w:p>
        </w:tc>
        <w:tc>
          <w:tcPr>
            <w:tcW w:w="1559" w:type="dxa"/>
          </w:tcPr>
          <w:p w14:paraId="553AD778" w14:textId="77777777" w:rsidR="00F00216" w:rsidRPr="00B238CA" w:rsidRDefault="00F00216" w:rsidP="008629A9">
            <w:pPr>
              <w:spacing w:before="20" w:after="20"/>
              <w:ind w:right="435"/>
              <w:jc w:val="right"/>
              <w:rPr>
                <w:rFonts w:ascii="Segoe UI" w:hAnsi="Segoe UI" w:cs="Segoe UI"/>
                <w:sz w:val="18"/>
                <w:szCs w:val="18"/>
              </w:rPr>
            </w:pPr>
            <w:r>
              <w:rPr>
                <w:rFonts w:ascii="Segoe UI" w:hAnsi="Segoe UI" w:cs="Segoe UI"/>
                <w:sz w:val="18"/>
                <w:szCs w:val="18"/>
              </w:rPr>
              <w:t>50</w:t>
            </w:r>
          </w:p>
        </w:tc>
        <w:tc>
          <w:tcPr>
            <w:tcW w:w="1559" w:type="dxa"/>
          </w:tcPr>
          <w:p w14:paraId="4D6909C2" w14:textId="77777777" w:rsidR="00F00216" w:rsidRPr="00B238CA" w:rsidRDefault="00F00216" w:rsidP="008629A9">
            <w:pPr>
              <w:spacing w:before="20" w:after="20"/>
              <w:ind w:right="436"/>
              <w:jc w:val="right"/>
              <w:rPr>
                <w:rFonts w:ascii="Segoe UI" w:hAnsi="Segoe UI" w:cs="Segoe UI"/>
                <w:sz w:val="18"/>
                <w:szCs w:val="18"/>
              </w:rPr>
            </w:pPr>
            <w:r w:rsidRPr="00B238CA">
              <w:rPr>
                <w:rFonts w:ascii="Segoe UI" w:hAnsi="Segoe UI" w:cs="Segoe UI"/>
                <w:sz w:val="18"/>
                <w:szCs w:val="18"/>
              </w:rPr>
              <w:t>0.16</w:t>
            </w:r>
          </w:p>
        </w:tc>
        <w:tc>
          <w:tcPr>
            <w:tcW w:w="1776" w:type="dxa"/>
          </w:tcPr>
          <w:p w14:paraId="51A83848" w14:textId="77777777" w:rsidR="00F00216" w:rsidRPr="00B238CA" w:rsidRDefault="00F00216" w:rsidP="008629A9">
            <w:pPr>
              <w:spacing w:before="20" w:after="20"/>
              <w:ind w:right="515"/>
              <w:jc w:val="right"/>
              <w:rPr>
                <w:rFonts w:ascii="Segoe UI" w:hAnsi="Segoe UI" w:cs="Segoe UI"/>
                <w:sz w:val="18"/>
                <w:szCs w:val="18"/>
              </w:rPr>
            </w:pPr>
            <w:r>
              <w:rPr>
                <w:rFonts w:ascii="Segoe UI" w:hAnsi="Segoe UI" w:cs="Segoe UI"/>
                <w:sz w:val="18"/>
                <w:szCs w:val="18"/>
              </w:rPr>
              <w:t>30.77</w:t>
            </w:r>
          </w:p>
        </w:tc>
      </w:tr>
      <w:tr w:rsidR="00F00216" w:rsidRPr="00B238CA" w14:paraId="2EF07786" w14:textId="77777777" w:rsidTr="008629A9">
        <w:trPr>
          <w:cnfStyle w:val="000000010000" w:firstRow="0" w:lastRow="0" w:firstColumn="0" w:lastColumn="0" w:oddVBand="0" w:evenVBand="0" w:oddHBand="0" w:evenHBand="1" w:firstRowFirstColumn="0" w:firstRowLastColumn="0" w:lastRowFirstColumn="0" w:lastRowLastColumn="0"/>
          <w:trHeight w:val="283"/>
        </w:trPr>
        <w:tc>
          <w:tcPr>
            <w:tcW w:w="4678" w:type="dxa"/>
            <w:shd w:val="clear" w:color="auto" w:fill="E5EEF7"/>
          </w:tcPr>
          <w:p w14:paraId="0F4F8A4E" w14:textId="77777777" w:rsidR="00F00216" w:rsidRPr="00B238CA" w:rsidRDefault="00F00216" w:rsidP="008629A9">
            <w:pPr>
              <w:pStyle w:val="Default"/>
              <w:spacing w:before="20" w:after="20" w:line="276" w:lineRule="auto"/>
              <w:rPr>
                <w:rFonts w:ascii="Segoe UI" w:hAnsi="Segoe UI" w:cs="Segoe UI"/>
                <w:b/>
                <w:sz w:val="18"/>
                <w:szCs w:val="18"/>
              </w:rPr>
            </w:pPr>
            <w:r w:rsidRPr="00B238CA">
              <w:rPr>
                <w:rFonts w:ascii="Segoe UI" w:hAnsi="Segoe UI" w:cs="Segoe UI"/>
                <w:b/>
                <w:sz w:val="18"/>
                <w:szCs w:val="18"/>
              </w:rPr>
              <w:t>AUSTRALIA</w:t>
            </w:r>
          </w:p>
        </w:tc>
        <w:tc>
          <w:tcPr>
            <w:tcW w:w="1559" w:type="dxa"/>
            <w:shd w:val="clear" w:color="auto" w:fill="E5EEF7"/>
          </w:tcPr>
          <w:p w14:paraId="79799D09" w14:textId="77777777" w:rsidR="00F00216" w:rsidRPr="00B238CA" w:rsidRDefault="00F00216" w:rsidP="008629A9">
            <w:pPr>
              <w:spacing w:before="20" w:after="20"/>
              <w:ind w:right="435"/>
              <w:jc w:val="right"/>
              <w:rPr>
                <w:rFonts w:ascii="Segoe UI" w:hAnsi="Segoe UI" w:cs="Segoe UI"/>
                <w:b/>
                <w:sz w:val="18"/>
                <w:szCs w:val="18"/>
              </w:rPr>
            </w:pPr>
            <w:r w:rsidRPr="00B238CA">
              <w:rPr>
                <w:rFonts w:ascii="Segoe UI" w:hAnsi="Segoe UI" w:cs="Segoe UI"/>
                <w:b/>
                <w:sz w:val="18"/>
                <w:szCs w:val="18"/>
              </w:rPr>
              <w:t>1,</w:t>
            </w:r>
            <w:r>
              <w:rPr>
                <w:rFonts w:ascii="Segoe UI" w:hAnsi="Segoe UI" w:cs="Segoe UI"/>
                <w:b/>
                <w:sz w:val="18"/>
                <w:szCs w:val="18"/>
              </w:rPr>
              <w:t>114</w:t>
            </w:r>
          </w:p>
        </w:tc>
        <w:tc>
          <w:tcPr>
            <w:tcW w:w="1559" w:type="dxa"/>
            <w:shd w:val="clear" w:color="auto" w:fill="E5EEF7"/>
          </w:tcPr>
          <w:p w14:paraId="498A6625" w14:textId="77777777" w:rsidR="00F00216" w:rsidRPr="00B238CA" w:rsidRDefault="00F00216" w:rsidP="008629A9">
            <w:pPr>
              <w:spacing w:before="20" w:after="20"/>
              <w:ind w:right="436"/>
              <w:jc w:val="right"/>
              <w:rPr>
                <w:rFonts w:ascii="Segoe UI" w:hAnsi="Segoe UI" w:cs="Segoe UI"/>
                <w:b/>
                <w:sz w:val="18"/>
                <w:szCs w:val="18"/>
              </w:rPr>
            </w:pPr>
            <w:r w:rsidRPr="00B238CA">
              <w:rPr>
                <w:rFonts w:ascii="Segoe UI" w:hAnsi="Segoe UI" w:cs="Segoe UI"/>
                <w:b/>
                <w:sz w:val="18"/>
                <w:szCs w:val="18"/>
              </w:rPr>
              <w:t>19.</w:t>
            </w:r>
            <w:r>
              <w:rPr>
                <w:rFonts w:ascii="Segoe UI" w:hAnsi="Segoe UI" w:cs="Segoe UI"/>
                <w:b/>
                <w:sz w:val="18"/>
                <w:szCs w:val="18"/>
              </w:rPr>
              <w:t>17</w:t>
            </w:r>
          </w:p>
        </w:tc>
        <w:tc>
          <w:tcPr>
            <w:tcW w:w="1776" w:type="dxa"/>
            <w:shd w:val="clear" w:color="auto" w:fill="E5EEF7"/>
          </w:tcPr>
          <w:p w14:paraId="5D7D674A" w14:textId="77777777" w:rsidR="00F00216" w:rsidRPr="00B238CA" w:rsidRDefault="00F00216" w:rsidP="008629A9">
            <w:pPr>
              <w:spacing w:before="20" w:after="20"/>
              <w:ind w:right="515"/>
              <w:jc w:val="right"/>
              <w:rPr>
                <w:rFonts w:ascii="Segoe UI" w:hAnsi="Segoe UI" w:cs="Segoe UI"/>
                <w:b/>
                <w:sz w:val="18"/>
                <w:szCs w:val="18"/>
              </w:rPr>
            </w:pPr>
            <w:r>
              <w:rPr>
                <w:rFonts w:ascii="Segoe UI" w:hAnsi="Segoe UI" w:cs="Segoe UI"/>
                <w:b/>
                <w:sz w:val="18"/>
                <w:szCs w:val="18"/>
              </w:rPr>
              <w:t>5.97</w:t>
            </w:r>
          </w:p>
        </w:tc>
      </w:tr>
      <w:tr w:rsidR="00F00216" w:rsidRPr="00B238CA" w14:paraId="122DBFEF" w14:textId="77777777" w:rsidTr="008629A9">
        <w:trPr>
          <w:trHeight w:val="283"/>
        </w:trPr>
        <w:tc>
          <w:tcPr>
            <w:tcW w:w="4678" w:type="dxa"/>
            <w:shd w:val="clear" w:color="auto" w:fill="E5EEF7"/>
          </w:tcPr>
          <w:p w14:paraId="5A2609E6" w14:textId="77777777" w:rsidR="00F00216" w:rsidRPr="00B238CA" w:rsidRDefault="00F00216" w:rsidP="008629A9">
            <w:pPr>
              <w:pStyle w:val="Default"/>
              <w:spacing w:before="20" w:after="20" w:line="276" w:lineRule="auto"/>
              <w:rPr>
                <w:rFonts w:ascii="Segoe UI" w:hAnsi="Segoe UI" w:cs="Segoe UI"/>
                <w:b/>
                <w:sz w:val="18"/>
                <w:szCs w:val="18"/>
              </w:rPr>
            </w:pPr>
            <w:r w:rsidRPr="00B238CA">
              <w:rPr>
                <w:rFonts w:ascii="Segoe UI" w:hAnsi="Segoe UI" w:cs="Segoe UI"/>
                <w:b/>
                <w:sz w:val="18"/>
                <w:szCs w:val="18"/>
              </w:rPr>
              <w:t xml:space="preserve">Victoria – </w:t>
            </w:r>
            <w:r w:rsidRPr="00B238CA">
              <w:rPr>
                <w:rFonts w:ascii="Segoe UI" w:hAnsi="Segoe UI" w:cs="Segoe UI"/>
                <w:b/>
                <w:i/>
                <w:sz w:val="18"/>
                <w:szCs w:val="18"/>
              </w:rPr>
              <w:t>Towards Zero</w:t>
            </w:r>
            <w:r w:rsidRPr="00B238CA">
              <w:rPr>
                <w:rFonts w:ascii="Segoe UI" w:hAnsi="Segoe UI" w:cs="Segoe UI"/>
                <w:b/>
                <w:sz w:val="18"/>
                <w:szCs w:val="18"/>
              </w:rPr>
              <w:t xml:space="preserve"> 2020 target</w:t>
            </w:r>
          </w:p>
        </w:tc>
        <w:tc>
          <w:tcPr>
            <w:tcW w:w="1559" w:type="dxa"/>
            <w:shd w:val="clear" w:color="auto" w:fill="E5EEF7"/>
          </w:tcPr>
          <w:p w14:paraId="00569B91" w14:textId="77777777" w:rsidR="00F00216" w:rsidRPr="00B238CA" w:rsidRDefault="00F00216" w:rsidP="008629A9">
            <w:pPr>
              <w:spacing w:before="20" w:after="20"/>
              <w:ind w:right="435"/>
              <w:jc w:val="right"/>
              <w:rPr>
                <w:rFonts w:ascii="Segoe UI" w:hAnsi="Segoe UI" w:cs="Segoe UI"/>
                <w:b/>
                <w:sz w:val="18"/>
                <w:szCs w:val="18"/>
              </w:rPr>
            </w:pPr>
            <w:r w:rsidRPr="00B238CA">
              <w:rPr>
                <w:rFonts w:ascii="Segoe UI" w:hAnsi="Segoe UI" w:cs="Segoe UI"/>
                <w:b/>
                <w:sz w:val="18"/>
                <w:szCs w:val="18"/>
              </w:rPr>
              <w:t>200</w:t>
            </w:r>
          </w:p>
        </w:tc>
        <w:tc>
          <w:tcPr>
            <w:tcW w:w="1559" w:type="dxa"/>
            <w:shd w:val="clear" w:color="auto" w:fill="E5EEF7"/>
          </w:tcPr>
          <w:p w14:paraId="159AC971" w14:textId="77777777" w:rsidR="00F00216" w:rsidRPr="00B238CA" w:rsidRDefault="00F00216" w:rsidP="00F4115C">
            <w:pPr>
              <w:spacing w:before="20" w:after="20"/>
              <w:ind w:right="255"/>
              <w:jc w:val="right"/>
              <w:rPr>
                <w:rFonts w:ascii="Segoe UI" w:hAnsi="Segoe UI" w:cs="Segoe UI"/>
                <w:b/>
                <w:sz w:val="18"/>
                <w:szCs w:val="18"/>
              </w:rPr>
            </w:pPr>
            <w:r w:rsidRPr="00B238CA">
              <w:rPr>
                <w:rFonts w:ascii="Segoe UI" w:hAnsi="Segoe UI" w:cs="Segoe UI"/>
                <w:b/>
                <w:sz w:val="18"/>
                <w:szCs w:val="18"/>
              </w:rPr>
              <w:t>5.13</w:t>
            </w:r>
            <w:r w:rsidRPr="00B238CA">
              <w:rPr>
                <w:rStyle w:val="EndnoteReference"/>
                <w:rFonts w:ascii="Segoe UI" w:hAnsi="Segoe UI" w:cs="Segoe UI"/>
                <w:sz w:val="18"/>
                <w:szCs w:val="18"/>
              </w:rPr>
              <w:endnoteReference w:id="182"/>
            </w:r>
          </w:p>
        </w:tc>
        <w:tc>
          <w:tcPr>
            <w:tcW w:w="1776" w:type="dxa"/>
            <w:shd w:val="clear" w:color="auto" w:fill="E5EEF7"/>
          </w:tcPr>
          <w:p w14:paraId="6E2EBDA1" w14:textId="77777777" w:rsidR="00F00216" w:rsidRPr="00B238CA" w:rsidRDefault="00F00216" w:rsidP="008629A9">
            <w:pPr>
              <w:spacing w:before="20" w:after="20"/>
              <w:ind w:right="515"/>
              <w:jc w:val="right"/>
              <w:rPr>
                <w:rFonts w:ascii="Segoe UI" w:hAnsi="Segoe UI" w:cs="Segoe UI"/>
                <w:b/>
                <w:sz w:val="18"/>
                <w:szCs w:val="18"/>
              </w:rPr>
            </w:pPr>
            <w:r w:rsidRPr="00B238CA">
              <w:rPr>
                <w:rFonts w:ascii="Segoe UI" w:hAnsi="Segoe UI" w:cs="Segoe UI"/>
                <w:b/>
                <w:sz w:val="18"/>
                <w:szCs w:val="18"/>
              </w:rPr>
              <w:t>3.90</w:t>
            </w:r>
          </w:p>
        </w:tc>
      </w:tr>
    </w:tbl>
    <w:p w14:paraId="0028F5D7" w14:textId="77777777" w:rsidR="002D4404" w:rsidRPr="00D343BE" w:rsidRDefault="002D4404" w:rsidP="00D343BE">
      <w:pPr>
        <w:pStyle w:val="Source"/>
        <w:rPr>
          <w:rStyle w:val="Strong"/>
          <w:rFonts w:eastAsiaTheme="minorHAnsi" w:cstheme="minorHAnsi"/>
          <w:b w:val="0"/>
          <w:bCs w:val="0"/>
          <w:color w:val="auto"/>
          <w:szCs w:val="22"/>
        </w:rPr>
      </w:pPr>
      <w:bookmarkStart w:id="161" w:name="_Ref506920257"/>
      <w:bookmarkStart w:id="162" w:name="_Ref506970581"/>
      <w:bookmarkStart w:id="163" w:name="_Ref506920260"/>
      <w:bookmarkStart w:id="164" w:name="_Ref506970587"/>
      <w:bookmarkStart w:id="165" w:name="_Toc523399074"/>
      <w:r w:rsidRPr="00D343BE">
        <w:rPr>
          <w:rStyle w:val="Strong"/>
          <w:rFonts w:eastAsiaTheme="minorHAnsi" w:cstheme="minorHAnsi"/>
          <w:b w:val="0"/>
          <w:bCs w:val="0"/>
          <w:color w:val="auto"/>
          <w:szCs w:val="22"/>
        </w:rPr>
        <w:t>Source: States and Territories Road Safety Authorities</w:t>
      </w:r>
      <w:r w:rsidR="00884274" w:rsidRPr="00D343BE">
        <w:rPr>
          <w:rStyle w:val="Strong"/>
          <w:rFonts w:eastAsiaTheme="minorHAnsi" w:cstheme="minorHAnsi"/>
          <w:b w:val="0"/>
          <w:bCs w:val="0"/>
          <w:color w:val="auto"/>
          <w:szCs w:val="22"/>
        </w:rPr>
        <w:t>’</w:t>
      </w:r>
      <w:r w:rsidRPr="00D343BE">
        <w:rPr>
          <w:rStyle w:val="Strong"/>
          <w:rFonts w:eastAsiaTheme="minorHAnsi" w:cstheme="minorHAnsi"/>
          <w:b w:val="0"/>
          <w:bCs w:val="0"/>
          <w:color w:val="auto"/>
          <w:szCs w:val="22"/>
        </w:rPr>
        <w:t xml:space="preserve"> websites, 2019</w:t>
      </w:r>
    </w:p>
    <w:p w14:paraId="3E6BED8E" w14:textId="4A55C3EC" w:rsidR="00F00216" w:rsidRPr="00B238CA" w:rsidRDefault="00F00216" w:rsidP="00F00216">
      <w:pPr>
        <w:pStyle w:val="Caption"/>
      </w:pPr>
      <w:bookmarkStart w:id="166" w:name="_Ref535313345"/>
      <w:bookmarkStart w:id="167" w:name="_Toc10703708"/>
      <w:r w:rsidRPr="00B238CA">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15</w:t>
      </w:r>
      <w:r w:rsidR="00BC6B2E">
        <w:rPr>
          <w:noProof/>
        </w:rPr>
        <w:fldChar w:fldCharType="end"/>
      </w:r>
      <w:bookmarkEnd w:id="161"/>
      <w:bookmarkEnd w:id="162"/>
      <w:bookmarkEnd w:id="166"/>
      <w:r w:rsidRPr="00B238CA">
        <w:t xml:space="preserve"> –</w:t>
      </w:r>
      <w:r>
        <w:t xml:space="preserve"> F</w:t>
      </w:r>
      <w:r w:rsidRPr="00CF032B">
        <w:t>atalities</w:t>
      </w:r>
      <w:r w:rsidRPr="00B238CA">
        <w:t xml:space="preserve"> per 100 million kilometres travelled</w:t>
      </w:r>
      <w:bookmarkEnd w:id="163"/>
      <w:bookmarkEnd w:id="164"/>
      <w:bookmarkEnd w:id="165"/>
      <w:r>
        <w:t xml:space="preserve"> </w:t>
      </w:r>
      <w:r w:rsidRPr="00FC687B">
        <w:t>in Australian jurisdictions in 2017</w:t>
      </w:r>
      <w:bookmarkEnd w:id="167"/>
    </w:p>
    <w:tbl>
      <w:tblPr>
        <w:tblStyle w:val="RIS-Table2"/>
        <w:tblW w:w="9430" w:type="dxa"/>
        <w:tblInd w:w="137" w:type="dxa"/>
        <w:tblLayout w:type="fixed"/>
        <w:tblLook w:val="04A0" w:firstRow="1" w:lastRow="0" w:firstColumn="1" w:lastColumn="0" w:noHBand="0" w:noVBand="1"/>
      </w:tblPr>
      <w:tblGrid>
        <w:gridCol w:w="4536"/>
        <w:gridCol w:w="1559"/>
        <w:gridCol w:w="1418"/>
        <w:gridCol w:w="1917"/>
      </w:tblGrid>
      <w:tr w:rsidR="00F00216" w:rsidRPr="00B238CA" w14:paraId="31B6F3AA" w14:textId="77777777" w:rsidTr="008629A9">
        <w:trPr>
          <w:cnfStyle w:val="100000000000" w:firstRow="1" w:lastRow="0" w:firstColumn="0" w:lastColumn="0" w:oddVBand="0" w:evenVBand="0" w:oddHBand="0" w:evenHBand="0" w:firstRowFirstColumn="0" w:firstRowLastColumn="0" w:lastRowFirstColumn="0" w:lastRowLastColumn="0"/>
        </w:trPr>
        <w:tc>
          <w:tcPr>
            <w:tcW w:w="4536" w:type="dxa"/>
          </w:tcPr>
          <w:p w14:paraId="4D85401F" w14:textId="77777777" w:rsidR="00F00216" w:rsidRPr="00B238CA" w:rsidRDefault="00F00216" w:rsidP="008629A9">
            <w:pPr>
              <w:pStyle w:val="Default"/>
              <w:spacing w:after="40" w:line="276" w:lineRule="auto"/>
              <w:ind w:left="599" w:hanging="599"/>
              <w:rPr>
                <w:rFonts w:ascii="Segoe UI" w:hAnsi="Segoe UI" w:cs="Segoe UI"/>
                <w:b w:val="0"/>
                <w:color w:val="FFFFFF" w:themeColor="background1"/>
                <w:sz w:val="18"/>
                <w:szCs w:val="18"/>
              </w:rPr>
            </w:pPr>
            <w:r w:rsidRPr="00B238CA">
              <w:rPr>
                <w:rFonts w:ascii="Segoe UI" w:hAnsi="Segoe UI" w:cs="Segoe UI"/>
                <w:color w:val="FFFFFF" w:themeColor="background1"/>
                <w:sz w:val="18"/>
                <w:szCs w:val="18"/>
              </w:rPr>
              <w:t>State / Territory</w:t>
            </w:r>
          </w:p>
        </w:tc>
        <w:tc>
          <w:tcPr>
            <w:tcW w:w="1559" w:type="dxa"/>
          </w:tcPr>
          <w:p w14:paraId="0BF9BDD5" w14:textId="77777777" w:rsidR="00F00216" w:rsidRPr="00B238CA" w:rsidRDefault="00F00216" w:rsidP="008629A9">
            <w:pPr>
              <w:pStyle w:val="Default"/>
              <w:spacing w:after="40" w:line="276" w:lineRule="auto"/>
              <w:rPr>
                <w:rFonts w:ascii="Segoe UI" w:hAnsi="Segoe UI" w:cs="Segoe UI"/>
                <w:b w:val="0"/>
                <w:color w:val="FFFFFF" w:themeColor="background1"/>
                <w:sz w:val="18"/>
                <w:szCs w:val="18"/>
              </w:rPr>
            </w:pPr>
            <w:r w:rsidRPr="00B238CA">
              <w:rPr>
                <w:rFonts w:ascii="Segoe UI" w:hAnsi="Segoe UI" w:cs="Segoe UI"/>
                <w:bCs/>
                <w:color w:val="FFFFFF" w:themeColor="background1"/>
                <w:sz w:val="18"/>
                <w:szCs w:val="18"/>
              </w:rPr>
              <w:t>Road fatalities</w:t>
            </w:r>
            <w:bookmarkStart w:id="168" w:name="_Ref518321739"/>
            <w:r w:rsidRPr="00B238CA">
              <w:rPr>
                <w:rStyle w:val="EndnoteReference"/>
                <w:rFonts w:ascii="Segoe UI" w:hAnsi="Segoe UI" w:cs="Segoe UI"/>
                <w:bCs/>
                <w:color w:val="FFFFFF" w:themeColor="background1"/>
                <w:sz w:val="18"/>
                <w:szCs w:val="18"/>
              </w:rPr>
              <w:endnoteReference w:id="183"/>
            </w:r>
            <w:bookmarkEnd w:id="168"/>
          </w:p>
        </w:tc>
        <w:tc>
          <w:tcPr>
            <w:tcW w:w="1418" w:type="dxa"/>
          </w:tcPr>
          <w:p w14:paraId="06F43C52" w14:textId="77777777" w:rsidR="00F00216" w:rsidRPr="00B238CA" w:rsidRDefault="00F00216" w:rsidP="008629A9">
            <w:pPr>
              <w:pStyle w:val="Default"/>
              <w:spacing w:after="40" w:line="276" w:lineRule="auto"/>
              <w:rPr>
                <w:rFonts w:ascii="Segoe UI" w:hAnsi="Segoe UI" w:cs="Segoe UI"/>
                <w:b w:val="0"/>
                <w:bCs/>
                <w:color w:val="FFFFFF" w:themeColor="background1"/>
                <w:sz w:val="18"/>
                <w:szCs w:val="18"/>
              </w:rPr>
            </w:pPr>
            <w:r w:rsidRPr="00B238CA">
              <w:rPr>
                <w:rFonts w:ascii="Segoe UI" w:hAnsi="Segoe UI" w:cs="Segoe UI"/>
                <w:bCs/>
                <w:color w:val="FFFFFF" w:themeColor="background1"/>
                <w:sz w:val="18"/>
                <w:szCs w:val="18"/>
              </w:rPr>
              <w:t>km travelled (million)</w:t>
            </w:r>
            <w:r w:rsidRPr="00B238CA">
              <w:rPr>
                <w:rStyle w:val="EndnoteReference"/>
                <w:rFonts w:ascii="Segoe UI" w:hAnsi="Segoe UI" w:cs="Segoe UI"/>
                <w:bCs/>
                <w:color w:val="FFFFFF" w:themeColor="background1"/>
                <w:sz w:val="18"/>
                <w:szCs w:val="18"/>
              </w:rPr>
              <w:endnoteReference w:id="184"/>
            </w:r>
          </w:p>
        </w:tc>
        <w:tc>
          <w:tcPr>
            <w:tcW w:w="1917" w:type="dxa"/>
          </w:tcPr>
          <w:p w14:paraId="62BAC225" w14:textId="77777777" w:rsidR="00F00216" w:rsidRPr="00B238CA" w:rsidRDefault="00F00216" w:rsidP="008629A9">
            <w:pPr>
              <w:pStyle w:val="Default"/>
              <w:spacing w:after="40" w:line="276" w:lineRule="auto"/>
              <w:rPr>
                <w:rFonts w:ascii="Segoe UI" w:hAnsi="Segoe UI" w:cs="Segoe UI"/>
                <w:b w:val="0"/>
                <w:bCs/>
                <w:color w:val="FFFFFF" w:themeColor="background1"/>
                <w:sz w:val="18"/>
                <w:szCs w:val="18"/>
              </w:rPr>
            </w:pPr>
            <w:r w:rsidRPr="00B238CA">
              <w:rPr>
                <w:rFonts w:ascii="Segoe UI" w:hAnsi="Segoe UI" w:cs="Segoe UI"/>
                <w:bCs/>
                <w:color w:val="FFFFFF" w:themeColor="background1"/>
                <w:sz w:val="18"/>
                <w:szCs w:val="18"/>
              </w:rPr>
              <w:t>Road fatalities per 100 million km</w:t>
            </w:r>
          </w:p>
        </w:tc>
      </w:tr>
      <w:tr w:rsidR="00F00216" w:rsidRPr="00B238CA" w14:paraId="2738A137" w14:textId="77777777" w:rsidTr="008629A9">
        <w:trPr>
          <w:trHeight w:val="283"/>
        </w:trPr>
        <w:tc>
          <w:tcPr>
            <w:tcW w:w="4536" w:type="dxa"/>
            <w:shd w:val="clear" w:color="auto" w:fill="E6E8E8" w:themeFill="background2" w:themeFillTint="33"/>
          </w:tcPr>
          <w:p w14:paraId="52AE7BA7" w14:textId="77777777" w:rsidR="00F00216" w:rsidRPr="00B238CA" w:rsidRDefault="00F00216" w:rsidP="008629A9">
            <w:pPr>
              <w:pStyle w:val="Default"/>
              <w:spacing w:before="20" w:after="20" w:line="276" w:lineRule="auto"/>
              <w:rPr>
                <w:rFonts w:ascii="Segoe UI" w:hAnsi="Segoe UI" w:cs="Segoe UI"/>
                <w:b/>
                <w:sz w:val="18"/>
                <w:szCs w:val="18"/>
              </w:rPr>
            </w:pPr>
            <w:r w:rsidRPr="00B238CA">
              <w:rPr>
                <w:rFonts w:ascii="Segoe UI" w:hAnsi="Segoe UI" w:cs="Segoe UI"/>
                <w:b/>
                <w:sz w:val="18"/>
                <w:szCs w:val="18"/>
              </w:rPr>
              <w:t>Victoria</w:t>
            </w:r>
          </w:p>
        </w:tc>
        <w:tc>
          <w:tcPr>
            <w:tcW w:w="1559" w:type="dxa"/>
            <w:shd w:val="clear" w:color="auto" w:fill="E6E8E8" w:themeFill="background2" w:themeFillTint="33"/>
          </w:tcPr>
          <w:p w14:paraId="0ACA86AB" w14:textId="77777777" w:rsidR="00F00216" w:rsidRPr="00B238CA" w:rsidRDefault="00F00216" w:rsidP="008629A9">
            <w:pPr>
              <w:spacing w:before="20" w:after="20"/>
              <w:ind w:right="435"/>
              <w:jc w:val="right"/>
              <w:rPr>
                <w:rFonts w:ascii="Segoe UI" w:hAnsi="Segoe UI" w:cs="Segoe UI"/>
                <w:b/>
                <w:sz w:val="18"/>
                <w:szCs w:val="18"/>
              </w:rPr>
            </w:pPr>
            <w:r w:rsidRPr="00B238CA">
              <w:rPr>
                <w:rFonts w:ascii="Segoe UI" w:hAnsi="Segoe UI" w:cs="Segoe UI"/>
                <w:b/>
                <w:sz w:val="18"/>
                <w:szCs w:val="18"/>
              </w:rPr>
              <w:t>2</w:t>
            </w:r>
            <w:r>
              <w:rPr>
                <w:rFonts w:ascii="Segoe UI" w:hAnsi="Segoe UI" w:cs="Segoe UI"/>
                <w:b/>
                <w:sz w:val="18"/>
                <w:szCs w:val="18"/>
              </w:rPr>
              <w:t>14</w:t>
            </w:r>
          </w:p>
        </w:tc>
        <w:tc>
          <w:tcPr>
            <w:tcW w:w="1418" w:type="dxa"/>
            <w:shd w:val="clear" w:color="auto" w:fill="E6E8E8" w:themeFill="background2" w:themeFillTint="33"/>
          </w:tcPr>
          <w:p w14:paraId="169D0F29" w14:textId="77777777" w:rsidR="00F00216" w:rsidRPr="00B238CA" w:rsidRDefault="00F00216" w:rsidP="008629A9">
            <w:pPr>
              <w:spacing w:before="20" w:after="20"/>
              <w:ind w:right="296"/>
              <w:jc w:val="right"/>
              <w:rPr>
                <w:rFonts w:ascii="Segoe UI" w:hAnsi="Segoe UI" w:cs="Segoe UI"/>
                <w:b/>
                <w:sz w:val="18"/>
                <w:szCs w:val="18"/>
              </w:rPr>
            </w:pPr>
            <w:r>
              <w:rPr>
                <w:rFonts w:ascii="Segoe UI" w:hAnsi="Segoe UI" w:cs="Segoe UI"/>
                <w:b/>
                <w:sz w:val="18"/>
                <w:szCs w:val="18"/>
              </w:rPr>
              <w:t>69,006</w:t>
            </w:r>
          </w:p>
        </w:tc>
        <w:tc>
          <w:tcPr>
            <w:tcW w:w="1917" w:type="dxa"/>
            <w:shd w:val="clear" w:color="auto" w:fill="E6E8E8" w:themeFill="background2" w:themeFillTint="33"/>
          </w:tcPr>
          <w:p w14:paraId="225B64D9" w14:textId="77777777" w:rsidR="00F00216" w:rsidRPr="00B238CA" w:rsidRDefault="00F00216" w:rsidP="008629A9">
            <w:pPr>
              <w:spacing w:before="20" w:after="20"/>
              <w:jc w:val="center"/>
              <w:rPr>
                <w:rFonts w:ascii="Segoe UI" w:hAnsi="Segoe UI" w:cs="Segoe UI"/>
                <w:b/>
                <w:sz w:val="18"/>
                <w:szCs w:val="18"/>
              </w:rPr>
            </w:pPr>
            <w:r w:rsidRPr="00B238CA">
              <w:rPr>
                <w:rFonts w:ascii="Segoe UI" w:hAnsi="Segoe UI" w:cs="Segoe UI"/>
                <w:b/>
                <w:sz w:val="18"/>
                <w:szCs w:val="18"/>
              </w:rPr>
              <w:t>0.3</w:t>
            </w:r>
            <w:r>
              <w:rPr>
                <w:rFonts w:ascii="Segoe UI" w:hAnsi="Segoe UI" w:cs="Segoe UI"/>
                <w:b/>
                <w:sz w:val="18"/>
                <w:szCs w:val="18"/>
              </w:rPr>
              <w:t>1</w:t>
            </w:r>
          </w:p>
        </w:tc>
      </w:tr>
      <w:tr w:rsidR="00F00216" w:rsidRPr="00B238CA" w14:paraId="07E4C90B" w14:textId="77777777" w:rsidTr="00C26A40">
        <w:trPr>
          <w:cnfStyle w:val="000000010000" w:firstRow="0" w:lastRow="0" w:firstColumn="0" w:lastColumn="0" w:oddVBand="0" w:evenVBand="0" w:oddHBand="0" w:evenHBand="1" w:firstRowFirstColumn="0" w:firstRowLastColumn="0" w:lastRowFirstColumn="0" w:lastRowLastColumn="0"/>
          <w:trHeight w:val="283"/>
        </w:trPr>
        <w:tc>
          <w:tcPr>
            <w:tcW w:w="4536" w:type="dxa"/>
            <w:shd w:val="clear" w:color="auto" w:fill="auto"/>
          </w:tcPr>
          <w:p w14:paraId="428D804A" w14:textId="77777777" w:rsidR="00F00216" w:rsidRPr="00A13C57" w:rsidRDefault="00F00216" w:rsidP="008629A9">
            <w:pPr>
              <w:pStyle w:val="Default"/>
              <w:spacing w:before="20" w:after="20" w:line="276" w:lineRule="auto"/>
              <w:rPr>
                <w:rFonts w:ascii="Segoe UI" w:hAnsi="Segoe UI" w:cs="Segoe UI"/>
                <w:bCs/>
                <w:sz w:val="18"/>
                <w:szCs w:val="18"/>
              </w:rPr>
            </w:pPr>
            <w:r w:rsidRPr="00A13C57">
              <w:rPr>
                <w:rFonts w:ascii="Segoe UI" w:hAnsi="Segoe UI" w:cs="Segoe UI"/>
                <w:bCs/>
                <w:sz w:val="18"/>
                <w:szCs w:val="18"/>
              </w:rPr>
              <w:t>New South Wales / ACT</w:t>
            </w:r>
          </w:p>
        </w:tc>
        <w:tc>
          <w:tcPr>
            <w:tcW w:w="1559" w:type="dxa"/>
            <w:shd w:val="clear" w:color="auto" w:fill="auto"/>
          </w:tcPr>
          <w:p w14:paraId="497F7165" w14:textId="77777777" w:rsidR="00F00216" w:rsidRPr="00B238CA" w:rsidRDefault="00F00216" w:rsidP="008629A9">
            <w:pPr>
              <w:spacing w:before="20" w:after="20"/>
              <w:ind w:right="435"/>
              <w:jc w:val="right"/>
              <w:rPr>
                <w:rFonts w:ascii="Segoe UI" w:hAnsi="Segoe UI" w:cs="Segoe UI"/>
                <w:sz w:val="18"/>
                <w:szCs w:val="18"/>
              </w:rPr>
            </w:pPr>
            <w:r>
              <w:rPr>
                <w:rFonts w:ascii="Segoe UI" w:hAnsi="Segoe UI" w:cs="Segoe UI"/>
                <w:sz w:val="18"/>
                <w:szCs w:val="18"/>
              </w:rPr>
              <w:t>363</w:t>
            </w:r>
          </w:p>
        </w:tc>
        <w:tc>
          <w:tcPr>
            <w:tcW w:w="1418" w:type="dxa"/>
            <w:shd w:val="clear" w:color="auto" w:fill="auto"/>
          </w:tcPr>
          <w:p w14:paraId="392E19B7" w14:textId="77777777" w:rsidR="00F00216" w:rsidRPr="00B238CA" w:rsidRDefault="00F00216" w:rsidP="008629A9">
            <w:pPr>
              <w:spacing w:before="20" w:after="20"/>
              <w:ind w:right="296"/>
              <w:jc w:val="right"/>
              <w:rPr>
                <w:rFonts w:ascii="Segoe UI" w:hAnsi="Segoe UI" w:cs="Segoe UI"/>
                <w:sz w:val="18"/>
                <w:szCs w:val="18"/>
              </w:rPr>
            </w:pPr>
            <w:r>
              <w:rPr>
                <w:rFonts w:ascii="Segoe UI" w:hAnsi="Segoe UI" w:cs="Segoe UI"/>
                <w:sz w:val="18"/>
                <w:szCs w:val="18"/>
              </w:rPr>
              <w:t>76,843</w:t>
            </w:r>
          </w:p>
        </w:tc>
        <w:tc>
          <w:tcPr>
            <w:tcW w:w="1917" w:type="dxa"/>
            <w:shd w:val="clear" w:color="auto" w:fill="auto"/>
          </w:tcPr>
          <w:p w14:paraId="389D5C25" w14:textId="77777777" w:rsidR="00F00216" w:rsidRPr="00B238CA" w:rsidRDefault="00F00216" w:rsidP="008629A9">
            <w:pPr>
              <w:spacing w:before="20" w:after="20"/>
              <w:jc w:val="center"/>
              <w:rPr>
                <w:rFonts w:ascii="Segoe UI" w:hAnsi="Segoe UI" w:cs="Segoe UI"/>
                <w:sz w:val="18"/>
                <w:szCs w:val="18"/>
              </w:rPr>
            </w:pPr>
            <w:r w:rsidRPr="00B238CA">
              <w:rPr>
                <w:rFonts w:ascii="Segoe UI" w:hAnsi="Segoe UI" w:cs="Segoe UI"/>
                <w:sz w:val="18"/>
                <w:szCs w:val="18"/>
              </w:rPr>
              <w:t>0.</w:t>
            </w:r>
            <w:r>
              <w:rPr>
                <w:rFonts w:ascii="Segoe UI" w:hAnsi="Segoe UI" w:cs="Segoe UI"/>
                <w:sz w:val="18"/>
                <w:szCs w:val="18"/>
              </w:rPr>
              <w:t>47</w:t>
            </w:r>
          </w:p>
        </w:tc>
      </w:tr>
      <w:tr w:rsidR="00F00216" w:rsidRPr="00B238CA" w14:paraId="0F283ED9" w14:textId="77777777" w:rsidTr="00C26A40">
        <w:trPr>
          <w:trHeight w:val="283"/>
        </w:trPr>
        <w:tc>
          <w:tcPr>
            <w:tcW w:w="4536" w:type="dxa"/>
            <w:shd w:val="clear" w:color="auto" w:fill="auto"/>
          </w:tcPr>
          <w:p w14:paraId="6F01570D"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Queensland</w:t>
            </w:r>
          </w:p>
        </w:tc>
        <w:tc>
          <w:tcPr>
            <w:tcW w:w="1559" w:type="dxa"/>
            <w:shd w:val="clear" w:color="auto" w:fill="auto"/>
          </w:tcPr>
          <w:p w14:paraId="2175866F" w14:textId="77777777" w:rsidR="00F00216" w:rsidRPr="00B238CA" w:rsidRDefault="00F00216" w:rsidP="008629A9">
            <w:pPr>
              <w:spacing w:before="20" w:after="20"/>
              <w:ind w:right="435"/>
              <w:jc w:val="right"/>
              <w:rPr>
                <w:rFonts w:ascii="Segoe UI" w:hAnsi="Segoe UI" w:cs="Segoe UI"/>
                <w:sz w:val="18"/>
                <w:szCs w:val="18"/>
              </w:rPr>
            </w:pPr>
            <w:r w:rsidRPr="00B238CA">
              <w:rPr>
                <w:rFonts w:ascii="Segoe UI" w:hAnsi="Segoe UI" w:cs="Segoe UI"/>
                <w:sz w:val="18"/>
                <w:szCs w:val="18"/>
              </w:rPr>
              <w:t>24</w:t>
            </w:r>
            <w:r>
              <w:rPr>
                <w:rFonts w:ascii="Segoe UI" w:hAnsi="Segoe UI" w:cs="Segoe UI"/>
                <w:sz w:val="18"/>
                <w:szCs w:val="18"/>
              </w:rPr>
              <w:t>7</w:t>
            </w:r>
          </w:p>
        </w:tc>
        <w:tc>
          <w:tcPr>
            <w:tcW w:w="1418" w:type="dxa"/>
            <w:shd w:val="clear" w:color="auto" w:fill="auto"/>
          </w:tcPr>
          <w:p w14:paraId="34B31BC7" w14:textId="77777777" w:rsidR="00F00216" w:rsidRPr="00B238CA" w:rsidRDefault="00F00216" w:rsidP="008629A9">
            <w:pPr>
              <w:spacing w:before="20" w:after="20"/>
              <w:ind w:right="296"/>
              <w:jc w:val="right"/>
              <w:rPr>
                <w:rFonts w:ascii="Segoe UI" w:hAnsi="Segoe UI" w:cs="Segoe UI"/>
                <w:sz w:val="18"/>
                <w:szCs w:val="18"/>
              </w:rPr>
            </w:pPr>
            <w:r>
              <w:rPr>
                <w:rFonts w:ascii="Segoe UI" w:hAnsi="Segoe UI" w:cs="Segoe UI"/>
                <w:sz w:val="18"/>
                <w:szCs w:val="18"/>
              </w:rPr>
              <w:t>56,193</w:t>
            </w:r>
          </w:p>
        </w:tc>
        <w:tc>
          <w:tcPr>
            <w:tcW w:w="1917" w:type="dxa"/>
            <w:shd w:val="clear" w:color="auto" w:fill="auto"/>
          </w:tcPr>
          <w:p w14:paraId="563D77C2" w14:textId="77777777" w:rsidR="00F00216" w:rsidRPr="00B238CA" w:rsidRDefault="00F00216" w:rsidP="008629A9">
            <w:pPr>
              <w:spacing w:before="20" w:after="20"/>
              <w:jc w:val="center"/>
              <w:rPr>
                <w:rFonts w:ascii="Segoe UI" w:hAnsi="Segoe UI" w:cs="Segoe UI"/>
                <w:sz w:val="18"/>
                <w:szCs w:val="18"/>
              </w:rPr>
            </w:pPr>
            <w:r w:rsidRPr="00B238CA">
              <w:rPr>
                <w:rFonts w:ascii="Segoe UI" w:hAnsi="Segoe UI" w:cs="Segoe UI"/>
                <w:sz w:val="18"/>
                <w:szCs w:val="18"/>
              </w:rPr>
              <w:t>0.4</w:t>
            </w:r>
            <w:r>
              <w:rPr>
                <w:rFonts w:ascii="Segoe UI" w:hAnsi="Segoe UI" w:cs="Segoe UI"/>
                <w:sz w:val="18"/>
                <w:szCs w:val="18"/>
              </w:rPr>
              <w:t>4</w:t>
            </w:r>
          </w:p>
        </w:tc>
      </w:tr>
      <w:tr w:rsidR="00F00216" w:rsidRPr="00B238CA" w14:paraId="79E3E79D" w14:textId="77777777" w:rsidTr="00C26A40">
        <w:trPr>
          <w:cnfStyle w:val="000000010000" w:firstRow="0" w:lastRow="0" w:firstColumn="0" w:lastColumn="0" w:oddVBand="0" w:evenVBand="0" w:oddHBand="0" w:evenHBand="1" w:firstRowFirstColumn="0" w:firstRowLastColumn="0" w:lastRowFirstColumn="0" w:lastRowLastColumn="0"/>
          <w:trHeight w:val="283"/>
        </w:trPr>
        <w:tc>
          <w:tcPr>
            <w:tcW w:w="4536" w:type="dxa"/>
            <w:shd w:val="clear" w:color="auto" w:fill="auto"/>
          </w:tcPr>
          <w:p w14:paraId="15FFB77E"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South Australia</w:t>
            </w:r>
          </w:p>
        </w:tc>
        <w:tc>
          <w:tcPr>
            <w:tcW w:w="1559" w:type="dxa"/>
            <w:shd w:val="clear" w:color="auto" w:fill="auto"/>
          </w:tcPr>
          <w:p w14:paraId="0E2F1A25" w14:textId="77777777" w:rsidR="00F00216" w:rsidRPr="00B238CA" w:rsidRDefault="00F00216" w:rsidP="008629A9">
            <w:pPr>
              <w:spacing w:before="20" w:after="20"/>
              <w:ind w:right="435"/>
              <w:jc w:val="right"/>
              <w:rPr>
                <w:rFonts w:ascii="Segoe UI" w:hAnsi="Segoe UI" w:cs="Segoe UI"/>
                <w:sz w:val="18"/>
                <w:szCs w:val="18"/>
              </w:rPr>
            </w:pPr>
            <w:r>
              <w:rPr>
                <w:rFonts w:ascii="Segoe UI" w:hAnsi="Segoe UI" w:cs="Segoe UI"/>
                <w:sz w:val="18"/>
                <w:szCs w:val="18"/>
              </w:rPr>
              <w:t>80</w:t>
            </w:r>
          </w:p>
        </w:tc>
        <w:tc>
          <w:tcPr>
            <w:tcW w:w="1418" w:type="dxa"/>
            <w:shd w:val="clear" w:color="auto" w:fill="auto"/>
          </w:tcPr>
          <w:p w14:paraId="400AA7DA" w14:textId="77777777" w:rsidR="00F00216" w:rsidRPr="00B238CA" w:rsidRDefault="00F00216" w:rsidP="008629A9">
            <w:pPr>
              <w:spacing w:before="20" w:after="20"/>
              <w:ind w:right="296"/>
              <w:jc w:val="right"/>
              <w:rPr>
                <w:rFonts w:ascii="Segoe UI" w:hAnsi="Segoe UI" w:cs="Segoe UI"/>
                <w:sz w:val="18"/>
                <w:szCs w:val="18"/>
              </w:rPr>
            </w:pPr>
            <w:r>
              <w:rPr>
                <w:rFonts w:ascii="Segoe UI" w:hAnsi="Segoe UI" w:cs="Segoe UI"/>
                <w:sz w:val="18"/>
                <w:szCs w:val="18"/>
              </w:rPr>
              <w:t>17,461</w:t>
            </w:r>
          </w:p>
        </w:tc>
        <w:tc>
          <w:tcPr>
            <w:tcW w:w="1917" w:type="dxa"/>
            <w:shd w:val="clear" w:color="auto" w:fill="auto"/>
          </w:tcPr>
          <w:p w14:paraId="73D628B0" w14:textId="77777777" w:rsidR="00F00216" w:rsidRPr="00B238CA" w:rsidRDefault="00F00216" w:rsidP="008629A9">
            <w:pPr>
              <w:spacing w:before="20" w:after="20"/>
              <w:jc w:val="center"/>
              <w:rPr>
                <w:rFonts w:ascii="Segoe UI" w:hAnsi="Segoe UI" w:cs="Segoe UI"/>
                <w:sz w:val="18"/>
                <w:szCs w:val="18"/>
              </w:rPr>
            </w:pPr>
            <w:r w:rsidRPr="00B238CA">
              <w:rPr>
                <w:rFonts w:ascii="Segoe UI" w:hAnsi="Segoe UI" w:cs="Segoe UI"/>
                <w:sz w:val="18"/>
                <w:szCs w:val="18"/>
              </w:rPr>
              <w:t>0.</w:t>
            </w:r>
            <w:r>
              <w:rPr>
                <w:rFonts w:ascii="Segoe UI" w:hAnsi="Segoe UI" w:cs="Segoe UI"/>
                <w:sz w:val="18"/>
                <w:szCs w:val="18"/>
              </w:rPr>
              <w:t>46</w:t>
            </w:r>
          </w:p>
        </w:tc>
      </w:tr>
      <w:tr w:rsidR="00F00216" w:rsidRPr="00B238CA" w14:paraId="08CCCA32" w14:textId="77777777" w:rsidTr="00C26A40">
        <w:trPr>
          <w:trHeight w:val="283"/>
        </w:trPr>
        <w:tc>
          <w:tcPr>
            <w:tcW w:w="4536" w:type="dxa"/>
            <w:shd w:val="clear" w:color="auto" w:fill="auto"/>
          </w:tcPr>
          <w:p w14:paraId="37395FA8"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Western Australia</w:t>
            </w:r>
          </w:p>
        </w:tc>
        <w:tc>
          <w:tcPr>
            <w:tcW w:w="1559" w:type="dxa"/>
            <w:shd w:val="clear" w:color="auto" w:fill="auto"/>
          </w:tcPr>
          <w:p w14:paraId="2F177FFB" w14:textId="77777777" w:rsidR="00F00216" w:rsidRPr="00B238CA" w:rsidRDefault="00F00216" w:rsidP="008629A9">
            <w:pPr>
              <w:spacing w:before="20" w:after="20"/>
              <w:ind w:right="435"/>
              <w:jc w:val="right"/>
              <w:rPr>
                <w:rFonts w:ascii="Segoe UI" w:hAnsi="Segoe UI" w:cs="Segoe UI"/>
                <w:sz w:val="18"/>
                <w:szCs w:val="18"/>
              </w:rPr>
            </w:pPr>
            <w:r w:rsidRPr="00B238CA">
              <w:rPr>
                <w:rFonts w:ascii="Segoe UI" w:hAnsi="Segoe UI" w:cs="Segoe UI"/>
                <w:sz w:val="18"/>
                <w:szCs w:val="18"/>
              </w:rPr>
              <w:t>15</w:t>
            </w:r>
            <w:r>
              <w:rPr>
                <w:rFonts w:ascii="Segoe UI" w:hAnsi="Segoe UI" w:cs="Segoe UI"/>
                <w:sz w:val="18"/>
                <w:szCs w:val="18"/>
              </w:rPr>
              <w:t>8</w:t>
            </w:r>
          </w:p>
        </w:tc>
        <w:tc>
          <w:tcPr>
            <w:tcW w:w="1418" w:type="dxa"/>
            <w:shd w:val="clear" w:color="auto" w:fill="auto"/>
          </w:tcPr>
          <w:p w14:paraId="339592C1" w14:textId="77777777" w:rsidR="00F00216" w:rsidRPr="00B238CA" w:rsidRDefault="00F00216" w:rsidP="008629A9">
            <w:pPr>
              <w:spacing w:before="20" w:after="20"/>
              <w:ind w:right="296"/>
              <w:jc w:val="right"/>
              <w:rPr>
                <w:rFonts w:ascii="Segoe UI" w:hAnsi="Segoe UI" w:cs="Segoe UI"/>
                <w:sz w:val="18"/>
                <w:szCs w:val="18"/>
              </w:rPr>
            </w:pPr>
            <w:r>
              <w:rPr>
                <w:rFonts w:ascii="Segoe UI" w:hAnsi="Segoe UI" w:cs="Segoe UI"/>
                <w:sz w:val="18"/>
                <w:szCs w:val="18"/>
              </w:rPr>
              <w:t>30,383</w:t>
            </w:r>
          </w:p>
        </w:tc>
        <w:tc>
          <w:tcPr>
            <w:tcW w:w="1917" w:type="dxa"/>
            <w:shd w:val="clear" w:color="auto" w:fill="auto"/>
          </w:tcPr>
          <w:p w14:paraId="0C2BD666" w14:textId="77777777" w:rsidR="00F00216" w:rsidRPr="00B238CA" w:rsidRDefault="00F00216" w:rsidP="008629A9">
            <w:pPr>
              <w:spacing w:before="20" w:after="20"/>
              <w:jc w:val="center"/>
              <w:rPr>
                <w:rFonts w:ascii="Segoe UI" w:hAnsi="Segoe UI" w:cs="Segoe UI"/>
                <w:sz w:val="18"/>
                <w:szCs w:val="18"/>
              </w:rPr>
            </w:pPr>
            <w:r w:rsidRPr="00B238CA">
              <w:rPr>
                <w:rFonts w:ascii="Segoe UI" w:hAnsi="Segoe UI" w:cs="Segoe UI"/>
                <w:sz w:val="18"/>
                <w:szCs w:val="18"/>
              </w:rPr>
              <w:t>0.5</w:t>
            </w:r>
            <w:r>
              <w:rPr>
                <w:rFonts w:ascii="Segoe UI" w:hAnsi="Segoe UI" w:cs="Segoe UI"/>
                <w:sz w:val="18"/>
                <w:szCs w:val="18"/>
              </w:rPr>
              <w:t>2</w:t>
            </w:r>
          </w:p>
        </w:tc>
      </w:tr>
      <w:tr w:rsidR="00F00216" w:rsidRPr="00B238CA" w14:paraId="47CD245B" w14:textId="77777777" w:rsidTr="00C26A40">
        <w:trPr>
          <w:cnfStyle w:val="000000010000" w:firstRow="0" w:lastRow="0" w:firstColumn="0" w:lastColumn="0" w:oddVBand="0" w:evenVBand="0" w:oddHBand="0" w:evenHBand="1" w:firstRowFirstColumn="0" w:firstRowLastColumn="0" w:lastRowFirstColumn="0" w:lastRowLastColumn="0"/>
          <w:trHeight w:val="283"/>
        </w:trPr>
        <w:tc>
          <w:tcPr>
            <w:tcW w:w="4536" w:type="dxa"/>
            <w:shd w:val="clear" w:color="auto" w:fill="auto"/>
          </w:tcPr>
          <w:p w14:paraId="33758A0D"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Tasmania</w:t>
            </w:r>
          </w:p>
        </w:tc>
        <w:tc>
          <w:tcPr>
            <w:tcW w:w="1559" w:type="dxa"/>
            <w:shd w:val="clear" w:color="auto" w:fill="auto"/>
          </w:tcPr>
          <w:p w14:paraId="3F3DDCCE" w14:textId="77777777" w:rsidR="00F00216" w:rsidRPr="00B238CA" w:rsidRDefault="00F00216" w:rsidP="008629A9">
            <w:pPr>
              <w:spacing w:before="20" w:after="20"/>
              <w:ind w:right="435"/>
              <w:jc w:val="right"/>
              <w:rPr>
                <w:rFonts w:ascii="Segoe UI" w:hAnsi="Segoe UI" w:cs="Segoe UI"/>
                <w:sz w:val="18"/>
                <w:szCs w:val="18"/>
              </w:rPr>
            </w:pPr>
            <w:r w:rsidRPr="00B238CA">
              <w:rPr>
                <w:rFonts w:ascii="Segoe UI" w:hAnsi="Segoe UI" w:cs="Segoe UI"/>
                <w:sz w:val="18"/>
                <w:szCs w:val="18"/>
              </w:rPr>
              <w:t>3</w:t>
            </w:r>
            <w:r>
              <w:rPr>
                <w:rFonts w:ascii="Segoe UI" w:hAnsi="Segoe UI" w:cs="Segoe UI"/>
                <w:sz w:val="18"/>
                <w:szCs w:val="18"/>
              </w:rPr>
              <w:t>2</w:t>
            </w:r>
          </w:p>
        </w:tc>
        <w:tc>
          <w:tcPr>
            <w:tcW w:w="1418" w:type="dxa"/>
            <w:shd w:val="clear" w:color="auto" w:fill="auto"/>
          </w:tcPr>
          <w:p w14:paraId="434C9AA2" w14:textId="77777777" w:rsidR="00F00216" w:rsidRPr="00B238CA" w:rsidRDefault="00F00216" w:rsidP="008629A9">
            <w:pPr>
              <w:spacing w:before="20" w:after="20"/>
              <w:ind w:right="296"/>
              <w:jc w:val="right"/>
              <w:rPr>
                <w:rFonts w:ascii="Segoe UI" w:hAnsi="Segoe UI" w:cs="Segoe UI"/>
                <w:sz w:val="18"/>
                <w:szCs w:val="18"/>
              </w:rPr>
            </w:pPr>
            <w:r w:rsidRPr="00B238CA">
              <w:rPr>
                <w:rFonts w:ascii="Segoe UI" w:hAnsi="Segoe UI" w:cs="Segoe UI"/>
                <w:sz w:val="18"/>
                <w:szCs w:val="18"/>
              </w:rPr>
              <w:t>5,</w:t>
            </w:r>
            <w:r>
              <w:rPr>
                <w:rFonts w:ascii="Segoe UI" w:hAnsi="Segoe UI" w:cs="Segoe UI"/>
                <w:sz w:val="18"/>
                <w:szCs w:val="18"/>
              </w:rPr>
              <w:t>554</w:t>
            </w:r>
          </w:p>
        </w:tc>
        <w:tc>
          <w:tcPr>
            <w:tcW w:w="1917" w:type="dxa"/>
            <w:shd w:val="clear" w:color="auto" w:fill="auto"/>
          </w:tcPr>
          <w:p w14:paraId="6CD523D9" w14:textId="77777777" w:rsidR="00F00216" w:rsidRPr="00B238CA" w:rsidRDefault="00F00216" w:rsidP="008629A9">
            <w:pPr>
              <w:spacing w:before="20" w:after="20"/>
              <w:jc w:val="center"/>
              <w:rPr>
                <w:rFonts w:ascii="Segoe UI" w:hAnsi="Segoe UI" w:cs="Segoe UI"/>
                <w:sz w:val="18"/>
                <w:szCs w:val="18"/>
              </w:rPr>
            </w:pPr>
            <w:r w:rsidRPr="00B238CA">
              <w:rPr>
                <w:rFonts w:ascii="Segoe UI" w:hAnsi="Segoe UI" w:cs="Segoe UI"/>
                <w:sz w:val="18"/>
                <w:szCs w:val="18"/>
              </w:rPr>
              <w:t>0.</w:t>
            </w:r>
            <w:r>
              <w:rPr>
                <w:rFonts w:ascii="Segoe UI" w:hAnsi="Segoe UI" w:cs="Segoe UI"/>
                <w:sz w:val="18"/>
                <w:szCs w:val="18"/>
              </w:rPr>
              <w:t>58</w:t>
            </w:r>
          </w:p>
        </w:tc>
      </w:tr>
      <w:tr w:rsidR="00F00216" w:rsidRPr="00B238CA" w14:paraId="4DF76645" w14:textId="77777777" w:rsidTr="00C26A40">
        <w:trPr>
          <w:trHeight w:val="283"/>
        </w:trPr>
        <w:tc>
          <w:tcPr>
            <w:tcW w:w="4536" w:type="dxa"/>
            <w:shd w:val="clear" w:color="auto" w:fill="auto"/>
          </w:tcPr>
          <w:p w14:paraId="23F89FE3" w14:textId="77777777" w:rsidR="00F00216" w:rsidRPr="00B238CA" w:rsidRDefault="00F00216" w:rsidP="008629A9">
            <w:pPr>
              <w:pStyle w:val="Default"/>
              <w:spacing w:before="20" w:after="20" w:line="276" w:lineRule="auto"/>
              <w:rPr>
                <w:rFonts w:ascii="Segoe UI" w:hAnsi="Segoe UI" w:cs="Segoe UI"/>
                <w:sz w:val="18"/>
                <w:szCs w:val="18"/>
              </w:rPr>
            </w:pPr>
            <w:r w:rsidRPr="00B238CA">
              <w:rPr>
                <w:rFonts w:ascii="Segoe UI" w:hAnsi="Segoe UI" w:cs="Segoe UI"/>
                <w:sz w:val="18"/>
                <w:szCs w:val="18"/>
              </w:rPr>
              <w:t>Northern Territory</w:t>
            </w:r>
          </w:p>
        </w:tc>
        <w:tc>
          <w:tcPr>
            <w:tcW w:w="1559" w:type="dxa"/>
            <w:shd w:val="clear" w:color="auto" w:fill="auto"/>
          </w:tcPr>
          <w:p w14:paraId="141A7F5D" w14:textId="77777777" w:rsidR="00F00216" w:rsidRPr="00B238CA" w:rsidRDefault="00F00216" w:rsidP="008629A9">
            <w:pPr>
              <w:spacing w:before="20" w:after="20"/>
              <w:ind w:right="435"/>
              <w:jc w:val="right"/>
              <w:rPr>
                <w:rFonts w:ascii="Segoe UI" w:hAnsi="Segoe UI" w:cs="Segoe UI"/>
                <w:sz w:val="18"/>
                <w:szCs w:val="18"/>
              </w:rPr>
            </w:pPr>
            <w:r>
              <w:rPr>
                <w:rFonts w:ascii="Segoe UI" w:hAnsi="Segoe UI" w:cs="Segoe UI"/>
                <w:sz w:val="18"/>
                <w:szCs w:val="18"/>
              </w:rPr>
              <w:t>50</w:t>
            </w:r>
          </w:p>
        </w:tc>
        <w:tc>
          <w:tcPr>
            <w:tcW w:w="1418" w:type="dxa"/>
            <w:shd w:val="clear" w:color="auto" w:fill="auto"/>
          </w:tcPr>
          <w:p w14:paraId="5794D997" w14:textId="77777777" w:rsidR="00F00216" w:rsidRPr="00B238CA" w:rsidRDefault="00F00216" w:rsidP="008629A9">
            <w:pPr>
              <w:spacing w:before="20" w:after="20"/>
              <w:ind w:right="296"/>
              <w:jc w:val="right"/>
              <w:rPr>
                <w:rFonts w:ascii="Segoe UI" w:hAnsi="Segoe UI" w:cs="Segoe UI"/>
                <w:sz w:val="18"/>
                <w:szCs w:val="18"/>
              </w:rPr>
            </w:pPr>
            <w:r w:rsidRPr="00B238CA">
              <w:rPr>
                <w:rFonts w:ascii="Segoe UI" w:hAnsi="Segoe UI" w:cs="Segoe UI"/>
                <w:sz w:val="18"/>
                <w:szCs w:val="18"/>
              </w:rPr>
              <w:t>2,</w:t>
            </w:r>
            <w:r>
              <w:rPr>
                <w:rFonts w:ascii="Segoe UI" w:hAnsi="Segoe UI" w:cs="Segoe UI"/>
                <w:sz w:val="18"/>
                <w:szCs w:val="18"/>
              </w:rPr>
              <w:t>119</w:t>
            </w:r>
          </w:p>
        </w:tc>
        <w:tc>
          <w:tcPr>
            <w:tcW w:w="1917" w:type="dxa"/>
            <w:shd w:val="clear" w:color="auto" w:fill="auto"/>
          </w:tcPr>
          <w:p w14:paraId="046C68A6" w14:textId="77777777" w:rsidR="00F00216" w:rsidRPr="00B238CA" w:rsidRDefault="00F00216" w:rsidP="008629A9">
            <w:pPr>
              <w:spacing w:before="20" w:after="20"/>
              <w:jc w:val="center"/>
              <w:rPr>
                <w:rFonts w:ascii="Segoe UI" w:hAnsi="Segoe UI" w:cs="Segoe UI"/>
                <w:sz w:val="18"/>
                <w:szCs w:val="18"/>
              </w:rPr>
            </w:pPr>
            <w:r>
              <w:rPr>
                <w:rFonts w:ascii="Segoe UI" w:hAnsi="Segoe UI" w:cs="Segoe UI"/>
                <w:sz w:val="18"/>
                <w:szCs w:val="18"/>
              </w:rPr>
              <w:t>2.36</w:t>
            </w:r>
          </w:p>
        </w:tc>
      </w:tr>
      <w:tr w:rsidR="00F00216" w:rsidRPr="00B238CA" w14:paraId="749F6422" w14:textId="77777777" w:rsidTr="008629A9">
        <w:trPr>
          <w:cnfStyle w:val="000000010000" w:firstRow="0" w:lastRow="0" w:firstColumn="0" w:lastColumn="0" w:oddVBand="0" w:evenVBand="0" w:oddHBand="0" w:evenHBand="1" w:firstRowFirstColumn="0" w:firstRowLastColumn="0" w:lastRowFirstColumn="0" w:lastRowLastColumn="0"/>
          <w:trHeight w:val="283"/>
        </w:trPr>
        <w:tc>
          <w:tcPr>
            <w:tcW w:w="4536" w:type="dxa"/>
            <w:shd w:val="clear" w:color="auto" w:fill="E5EEF7"/>
          </w:tcPr>
          <w:p w14:paraId="271B4739" w14:textId="77777777" w:rsidR="00F00216" w:rsidRPr="00B238CA" w:rsidRDefault="00F00216" w:rsidP="008629A9">
            <w:pPr>
              <w:pStyle w:val="Default"/>
              <w:spacing w:before="20" w:after="20" w:line="276" w:lineRule="auto"/>
              <w:rPr>
                <w:rFonts w:ascii="Segoe UI" w:hAnsi="Segoe UI" w:cs="Segoe UI"/>
                <w:b/>
                <w:sz w:val="18"/>
                <w:szCs w:val="18"/>
              </w:rPr>
            </w:pPr>
            <w:r w:rsidRPr="00B238CA">
              <w:rPr>
                <w:rFonts w:ascii="Segoe UI" w:hAnsi="Segoe UI" w:cs="Segoe UI"/>
                <w:b/>
                <w:sz w:val="18"/>
                <w:szCs w:val="18"/>
              </w:rPr>
              <w:t>AUSTRALIA</w:t>
            </w:r>
          </w:p>
        </w:tc>
        <w:tc>
          <w:tcPr>
            <w:tcW w:w="1559" w:type="dxa"/>
            <w:shd w:val="clear" w:color="auto" w:fill="E5EEF7"/>
          </w:tcPr>
          <w:p w14:paraId="5C882D99" w14:textId="77777777" w:rsidR="00F00216" w:rsidRPr="00B238CA" w:rsidRDefault="00F00216" w:rsidP="008629A9">
            <w:pPr>
              <w:spacing w:before="20" w:after="20"/>
              <w:ind w:right="435"/>
              <w:jc w:val="right"/>
              <w:rPr>
                <w:rFonts w:ascii="Segoe UI" w:hAnsi="Segoe UI" w:cs="Segoe UI"/>
                <w:b/>
                <w:sz w:val="18"/>
                <w:szCs w:val="18"/>
              </w:rPr>
            </w:pPr>
            <w:r w:rsidRPr="00B238CA">
              <w:rPr>
                <w:rFonts w:ascii="Segoe UI" w:hAnsi="Segoe UI" w:cs="Segoe UI"/>
                <w:b/>
                <w:sz w:val="18"/>
                <w:szCs w:val="18"/>
              </w:rPr>
              <w:t>1,</w:t>
            </w:r>
            <w:r>
              <w:rPr>
                <w:rFonts w:ascii="Segoe UI" w:hAnsi="Segoe UI" w:cs="Segoe UI"/>
                <w:b/>
                <w:sz w:val="18"/>
                <w:szCs w:val="18"/>
              </w:rPr>
              <w:t>114</w:t>
            </w:r>
          </w:p>
        </w:tc>
        <w:tc>
          <w:tcPr>
            <w:tcW w:w="1418" w:type="dxa"/>
            <w:shd w:val="clear" w:color="auto" w:fill="E5EEF7"/>
          </w:tcPr>
          <w:p w14:paraId="6F4A22E4" w14:textId="77777777" w:rsidR="00F00216" w:rsidRPr="00B238CA" w:rsidRDefault="00F00216" w:rsidP="008629A9">
            <w:pPr>
              <w:spacing w:before="20" w:after="20"/>
              <w:ind w:right="296"/>
              <w:jc w:val="right"/>
              <w:rPr>
                <w:rFonts w:ascii="Segoe UI" w:hAnsi="Segoe UI" w:cs="Segoe UI"/>
                <w:b/>
                <w:sz w:val="18"/>
                <w:szCs w:val="18"/>
              </w:rPr>
            </w:pPr>
            <w:r>
              <w:rPr>
                <w:rFonts w:ascii="Segoe UI" w:hAnsi="Segoe UI" w:cs="Segoe UI"/>
                <w:b/>
                <w:sz w:val="18"/>
                <w:szCs w:val="18"/>
              </w:rPr>
              <w:t>257,559</w:t>
            </w:r>
          </w:p>
        </w:tc>
        <w:tc>
          <w:tcPr>
            <w:tcW w:w="1917" w:type="dxa"/>
            <w:shd w:val="clear" w:color="auto" w:fill="E5EEF7"/>
          </w:tcPr>
          <w:p w14:paraId="0A297CA4" w14:textId="77777777" w:rsidR="00F00216" w:rsidRPr="00B238CA" w:rsidRDefault="00F00216" w:rsidP="008629A9">
            <w:pPr>
              <w:spacing w:before="20" w:after="20"/>
              <w:jc w:val="center"/>
              <w:rPr>
                <w:rFonts w:ascii="Segoe UI" w:hAnsi="Segoe UI" w:cs="Segoe UI"/>
                <w:b/>
                <w:sz w:val="18"/>
                <w:szCs w:val="18"/>
              </w:rPr>
            </w:pPr>
            <w:r w:rsidRPr="00B238CA">
              <w:rPr>
                <w:rFonts w:ascii="Segoe UI" w:hAnsi="Segoe UI" w:cs="Segoe UI"/>
                <w:b/>
                <w:sz w:val="18"/>
                <w:szCs w:val="18"/>
              </w:rPr>
              <w:t>0.4</w:t>
            </w:r>
            <w:r>
              <w:rPr>
                <w:rFonts w:ascii="Segoe UI" w:hAnsi="Segoe UI" w:cs="Segoe UI"/>
                <w:b/>
                <w:sz w:val="18"/>
                <w:szCs w:val="18"/>
              </w:rPr>
              <w:t>4</w:t>
            </w:r>
          </w:p>
        </w:tc>
      </w:tr>
      <w:tr w:rsidR="00F00216" w:rsidRPr="00B238CA" w14:paraId="591017C8" w14:textId="77777777" w:rsidTr="008629A9">
        <w:trPr>
          <w:trHeight w:val="283"/>
        </w:trPr>
        <w:tc>
          <w:tcPr>
            <w:tcW w:w="4536" w:type="dxa"/>
            <w:shd w:val="clear" w:color="auto" w:fill="E5EEF7"/>
          </w:tcPr>
          <w:p w14:paraId="21D17446" w14:textId="77777777" w:rsidR="00F00216" w:rsidRPr="00B238CA" w:rsidRDefault="00F00216" w:rsidP="008629A9">
            <w:pPr>
              <w:pStyle w:val="Default"/>
              <w:spacing w:before="20" w:after="20" w:line="276" w:lineRule="auto"/>
              <w:rPr>
                <w:rFonts w:ascii="Segoe UI" w:hAnsi="Segoe UI" w:cs="Segoe UI"/>
                <w:b/>
                <w:sz w:val="18"/>
                <w:szCs w:val="18"/>
              </w:rPr>
            </w:pPr>
            <w:r w:rsidRPr="00B238CA">
              <w:rPr>
                <w:rFonts w:ascii="Segoe UI" w:hAnsi="Segoe UI" w:cs="Segoe UI"/>
                <w:b/>
                <w:sz w:val="18"/>
                <w:szCs w:val="18"/>
              </w:rPr>
              <w:t xml:space="preserve">Victoria – </w:t>
            </w:r>
            <w:r w:rsidRPr="00B238CA">
              <w:rPr>
                <w:rFonts w:ascii="Segoe UI" w:hAnsi="Segoe UI" w:cs="Segoe UI"/>
                <w:b/>
                <w:i/>
                <w:sz w:val="18"/>
                <w:szCs w:val="18"/>
              </w:rPr>
              <w:t>Towards Zero</w:t>
            </w:r>
            <w:r w:rsidRPr="00B238CA">
              <w:rPr>
                <w:rFonts w:ascii="Segoe UI" w:hAnsi="Segoe UI" w:cs="Segoe UI"/>
                <w:b/>
                <w:sz w:val="18"/>
                <w:szCs w:val="18"/>
              </w:rPr>
              <w:t xml:space="preserve"> 2020 target</w:t>
            </w:r>
          </w:p>
        </w:tc>
        <w:tc>
          <w:tcPr>
            <w:tcW w:w="1559" w:type="dxa"/>
            <w:shd w:val="clear" w:color="auto" w:fill="E5EEF7"/>
          </w:tcPr>
          <w:p w14:paraId="7B666815" w14:textId="77777777" w:rsidR="00F00216" w:rsidRPr="00B238CA" w:rsidRDefault="00F00216" w:rsidP="00F4115C">
            <w:pPr>
              <w:spacing w:before="20" w:after="20"/>
              <w:ind w:right="255"/>
              <w:jc w:val="right"/>
              <w:rPr>
                <w:rFonts w:ascii="Segoe UI" w:hAnsi="Segoe UI" w:cs="Segoe UI"/>
                <w:b/>
                <w:sz w:val="18"/>
                <w:szCs w:val="18"/>
              </w:rPr>
            </w:pPr>
            <w:r w:rsidRPr="00B238CA">
              <w:rPr>
                <w:rFonts w:ascii="Segoe UI" w:hAnsi="Segoe UI" w:cs="Segoe UI"/>
                <w:b/>
                <w:sz w:val="18"/>
                <w:szCs w:val="18"/>
              </w:rPr>
              <w:t>200</w:t>
            </w:r>
            <w:r w:rsidRPr="00B238CA">
              <w:rPr>
                <w:rStyle w:val="EndnoteReference"/>
                <w:rFonts w:ascii="Segoe UI" w:hAnsi="Segoe UI" w:cs="Segoe UI"/>
                <w:sz w:val="18"/>
                <w:szCs w:val="18"/>
              </w:rPr>
              <w:endnoteReference w:id="185"/>
            </w:r>
          </w:p>
        </w:tc>
        <w:tc>
          <w:tcPr>
            <w:tcW w:w="1418" w:type="dxa"/>
            <w:shd w:val="clear" w:color="auto" w:fill="E5EEF7"/>
          </w:tcPr>
          <w:p w14:paraId="22B3F8D9" w14:textId="77777777" w:rsidR="00F00216" w:rsidRPr="00B238CA" w:rsidRDefault="00F00216" w:rsidP="00F4115C">
            <w:pPr>
              <w:spacing w:before="20" w:after="20"/>
              <w:ind w:right="91"/>
              <w:jc w:val="right"/>
              <w:rPr>
                <w:rFonts w:ascii="Segoe UI" w:hAnsi="Segoe UI" w:cs="Segoe UI"/>
                <w:b/>
                <w:sz w:val="18"/>
                <w:szCs w:val="18"/>
              </w:rPr>
            </w:pPr>
            <w:r w:rsidRPr="00B238CA">
              <w:rPr>
                <w:rFonts w:ascii="Segoe UI" w:hAnsi="Segoe UI" w:cs="Segoe UI"/>
                <w:b/>
                <w:sz w:val="18"/>
                <w:szCs w:val="18"/>
              </w:rPr>
              <w:t>71,243</w:t>
            </w:r>
            <w:r w:rsidRPr="00B238CA">
              <w:rPr>
                <w:rStyle w:val="EndnoteReference"/>
                <w:rFonts w:ascii="Segoe UI" w:hAnsi="Segoe UI" w:cs="Segoe UI"/>
                <w:sz w:val="18"/>
                <w:szCs w:val="18"/>
              </w:rPr>
              <w:endnoteReference w:id="186"/>
            </w:r>
          </w:p>
        </w:tc>
        <w:tc>
          <w:tcPr>
            <w:tcW w:w="1917" w:type="dxa"/>
            <w:shd w:val="clear" w:color="auto" w:fill="E5EEF7"/>
          </w:tcPr>
          <w:p w14:paraId="6D5E6330" w14:textId="77777777" w:rsidR="00F00216" w:rsidRPr="00B238CA" w:rsidRDefault="00F00216" w:rsidP="008629A9">
            <w:pPr>
              <w:spacing w:before="20" w:after="20"/>
              <w:jc w:val="center"/>
              <w:rPr>
                <w:rFonts w:ascii="Segoe UI" w:hAnsi="Segoe UI" w:cs="Segoe UI"/>
                <w:b/>
                <w:sz w:val="18"/>
                <w:szCs w:val="18"/>
              </w:rPr>
            </w:pPr>
            <w:r w:rsidRPr="00B238CA">
              <w:rPr>
                <w:rFonts w:ascii="Segoe UI" w:hAnsi="Segoe UI" w:cs="Segoe UI"/>
                <w:b/>
                <w:sz w:val="18"/>
                <w:szCs w:val="18"/>
              </w:rPr>
              <w:t>0.28</w:t>
            </w:r>
          </w:p>
        </w:tc>
      </w:tr>
    </w:tbl>
    <w:p w14:paraId="596D2A7F" w14:textId="77777777" w:rsidR="002D4404" w:rsidRPr="00D343BE" w:rsidRDefault="002D4404" w:rsidP="00D343BE">
      <w:pPr>
        <w:pStyle w:val="Source"/>
        <w:rPr>
          <w:rStyle w:val="Strong"/>
          <w:rFonts w:eastAsiaTheme="minorHAnsi" w:cstheme="minorHAnsi"/>
          <w:b w:val="0"/>
          <w:bCs w:val="0"/>
          <w:color w:val="auto"/>
          <w:szCs w:val="22"/>
        </w:rPr>
      </w:pPr>
      <w:r w:rsidRPr="00D343BE">
        <w:rPr>
          <w:rStyle w:val="Strong"/>
          <w:rFonts w:eastAsiaTheme="minorHAnsi" w:cstheme="minorHAnsi"/>
          <w:b w:val="0"/>
          <w:bCs w:val="0"/>
          <w:color w:val="auto"/>
          <w:szCs w:val="22"/>
        </w:rPr>
        <w:t>Source: States and Territories Road Safety Authorities</w:t>
      </w:r>
      <w:r w:rsidR="00884274" w:rsidRPr="00D343BE">
        <w:rPr>
          <w:rStyle w:val="Strong"/>
          <w:rFonts w:eastAsiaTheme="minorHAnsi" w:cstheme="minorHAnsi"/>
          <w:b w:val="0"/>
          <w:bCs w:val="0"/>
          <w:color w:val="auto"/>
          <w:szCs w:val="22"/>
        </w:rPr>
        <w:t>’</w:t>
      </w:r>
      <w:r w:rsidRPr="00D343BE">
        <w:rPr>
          <w:rStyle w:val="Strong"/>
          <w:rFonts w:eastAsiaTheme="minorHAnsi" w:cstheme="minorHAnsi"/>
          <w:b w:val="0"/>
          <w:bCs w:val="0"/>
          <w:color w:val="auto"/>
          <w:szCs w:val="22"/>
        </w:rPr>
        <w:t xml:space="preserve"> websites, 2019</w:t>
      </w:r>
    </w:p>
    <w:p w14:paraId="4C0437FB" w14:textId="2FFBE9C8" w:rsidR="00F00216" w:rsidRDefault="000F779F" w:rsidP="00A534E9">
      <w:pPr>
        <w:pStyle w:val="TextPara"/>
        <w:rPr>
          <w:rFonts w:cs="Segoe UI"/>
        </w:rPr>
      </w:pPr>
      <w:r>
        <w:rPr>
          <w:rFonts w:cs="Segoe UI"/>
        </w:rPr>
        <w:t xml:space="preserve">With the implementation of the various road safety measures over the years, Victoria has become one of best performing jurisdictions in the world for road safety. </w:t>
      </w:r>
      <w:r>
        <w:rPr>
          <w:rFonts w:cs="Segoe UI"/>
        </w:rPr>
        <w:fldChar w:fldCharType="begin"/>
      </w:r>
      <w:r>
        <w:rPr>
          <w:rFonts w:cs="Segoe UI"/>
        </w:rPr>
        <w:instrText xml:space="preserve"> REF _Ref500174673 \h </w:instrText>
      </w:r>
      <w:r>
        <w:rPr>
          <w:rFonts w:cs="Segoe UI"/>
        </w:rPr>
      </w:r>
      <w:r>
        <w:rPr>
          <w:rFonts w:cs="Segoe UI"/>
        </w:rPr>
        <w:fldChar w:fldCharType="separate"/>
      </w:r>
      <w:r w:rsidR="00EB4B02" w:rsidRPr="00117C96">
        <w:t xml:space="preserve">Figure </w:t>
      </w:r>
      <w:r w:rsidR="00EB4B02">
        <w:rPr>
          <w:noProof/>
        </w:rPr>
        <w:t>9</w:t>
      </w:r>
      <w:r>
        <w:rPr>
          <w:rFonts w:cs="Segoe UI"/>
        </w:rPr>
        <w:fldChar w:fldCharType="end"/>
      </w:r>
      <w:r>
        <w:rPr>
          <w:rFonts w:cs="Segoe UI"/>
        </w:rPr>
        <w:t xml:space="preserve"> </w:t>
      </w:r>
      <w:r w:rsidRPr="00117C96">
        <w:rPr>
          <w:rFonts w:cs="Segoe UI"/>
        </w:rPr>
        <w:t>shows that</w:t>
      </w:r>
      <w:r>
        <w:rPr>
          <w:rFonts w:cs="Segoe UI"/>
        </w:rPr>
        <w:t xml:space="preserve"> compared to</w:t>
      </w:r>
      <w:r w:rsidRPr="00117C96">
        <w:rPr>
          <w:rFonts w:cs="Segoe UI"/>
        </w:rPr>
        <w:t xml:space="preserve"> </w:t>
      </w:r>
      <w:r>
        <w:rPr>
          <w:rFonts w:cs="Segoe UI"/>
        </w:rPr>
        <w:t xml:space="preserve">other </w:t>
      </w:r>
      <w:r w:rsidRPr="002E6369">
        <w:rPr>
          <w:rFonts w:cs="Segoe UI"/>
        </w:rPr>
        <w:t xml:space="preserve">Organisation for Economic Development and Cooperation </w:t>
      </w:r>
      <w:r>
        <w:rPr>
          <w:rFonts w:cs="Segoe UI"/>
        </w:rPr>
        <w:t>(</w:t>
      </w:r>
      <w:r w:rsidRPr="00132F77">
        <w:rPr>
          <w:rFonts w:cs="Segoe UI"/>
          <w:b/>
        </w:rPr>
        <w:t>OECD</w:t>
      </w:r>
      <w:r>
        <w:rPr>
          <w:rFonts w:cs="Segoe UI"/>
        </w:rPr>
        <w:t xml:space="preserve">) member </w:t>
      </w:r>
      <w:r w:rsidRPr="00117C96">
        <w:rPr>
          <w:rFonts w:cs="Segoe UI"/>
        </w:rPr>
        <w:t>countries in 2016 (the most recent ye</w:t>
      </w:r>
      <w:r>
        <w:rPr>
          <w:rFonts w:cs="Segoe UI"/>
        </w:rPr>
        <w:t xml:space="preserve">ar for which data is available for other countries), </w:t>
      </w:r>
      <w:r w:rsidRPr="00117C96">
        <w:rPr>
          <w:rFonts w:cs="Segoe UI"/>
        </w:rPr>
        <w:t>Victoria</w:t>
      </w:r>
      <w:r>
        <w:rPr>
          <w:rFonts w:cs="Segoe UI"/>
        </w:rPr>
        <w:t xml:space="preserve"> in 2018 had the 5th lowest rate with</w:t>
      </w:r>
      <w:r w:rsidRPr="00117C96">
        <w:rPr>
          <w:rFonts w:cs="Segoe UI"/>
        </w:rPr>
        <w:t xml:space="preserve"> </w:t>
      </w:r>
      <w:r>
        <w:rPr>
          <w:rFonts w:cs="Segoe UI"/>
        </w:rPr>
        <w:t>3.3</w:t>
      </w:r>
      <w:r w:rsidRPr="00117C96">
        <w:rPr>
          <w:rFonts w:cs="Segoe UI"/>
        </w:rPr>
        <w:t xml:space="preserve"> fatalities per 100 000 population, </w:t>
      </w:r>
      <w:r>
        <w:rPr>
          <w:rFonts w:cs="Segoe UI"/>
        </w:rPr>
        <w:t xml:space="preserve">ahead of NSW 13th and Australia 14th. </w:t>
      </w:r>
      <w:r w:rsidRPr="00117C96">
        <w:rPr>
          <w:rFonts w:cs="Segoe UI"/>
        </w:rPr>
        <w:t xml:space="preserve">Victoria </w:t>
      </w:r>
      <w:r>
        <w:rPr>
          <w:rFonts w:cs="Segoe UI"/>
        </w:rPr>
        <w:t>ranked 4</w:t>
      </w:r>
      <w:r w:rsidRPr="000E4059">
        <w:rPr>
          <w:rFonts w:cs="Segoe UI"/>
        </w:rPr>
        <w:t>th</w:t>
      </w:r>
      <w:r w:rsidRPr="00117C96">
        <w:rPr>
          <w:rFonts w:cs="Segoe UI"/>
        </w:rPr>
        <w:t xml:space="preserve"> </w:t>
      </w:r>
      <w:r>
        <w:rPr>
          <w:rFonts w:cs="Segoe UI"/>
        </w:rPr>
        <w:t xml:space="preserve">with 4.4 fatalities for </w:t>
      </w:r>
      <w:r w:rsidRPr="00117C96">
        <w:rPr>
          <w:rFonts w:cs="Segoe UI"/>
        </w:rPr>
        <w:t>every 10</w:t>
      </w:r>
      <w:r>
        <w:rPr>
          <w:rFonts w:cs="Segoe UI"/>
        </w:rPr>
        <w:t>0,</w:t>
      </w:r>
      <w:r w:rsidRPr="00117C96">
        <w:rPr>
          <w:rFonts w:cs="Segoe UI"/>
        </w:rPr>
        <w:t xml:space="preserve">000 vehicles </w:t>
      </w:r>
      <w:r>
        <w:rPr>
          <w:rFonts w:cs="Segoe UI"/>
        </w:rPr>
        <w:t xml:space="preserve">registered </w:t>
      </w:r>
      <w:r w:rsidRPr="00117C96">
        <w:rPr>
          <w:rFonts w:cs="Segoe UI"/>
        </w:rPr>
        <w:t>in Victoria</w:t>
      </w:r>
      <w:r>
        <w:rPr>
          <w:rFonts w:cs="Segoe UI"/>
        </w:rPr>
        <w:t xml:space="preserve"> (Australia 5th with 4.6, and NSW 14th with 6.1) and 2nd with</w:t>
      </w:r>
      <w:r w:rsidRPr="00117C96">
        <w:rPr>
          <w:rFonts w:cs="Segoe UI"/>
        </w:rPr>
        <w:t xml:space="preserve"> </w:t>
      </w:r>
      <w:r>
        <w:rPr>
          <w:rFonts w:cs="Segoe UI"/>
        </w:rPr>
        <w:t>0.31</w:t>
      </w:r>
      <w:r w:rsidRPr="00117C96">
        <w:rPr>
          <w:rFonts w:cs="Segoe UI"/>
        </w:rPr>
        <w:t xml:space="preserve"> fatalities for every 100 million vehicle kilometres travel</w:t>
      </w:r>
      <w:r>
        <w:rPr>
          <w:rFonts w:cs="Segoe UI"/>
        </w:rPr>
        <w:t>led (Australia 7th with 0.44, and NSW 8th with 0.47).</w:t>
      </w:r>
    </w:p>
    <w:p w14:paraId="58E47CF6" w14:textId="0CDA1276" w:rsidR="00122C1B" w:rsidRDefault="00122C1B" w:rsidP="00AA0BBA">
      <w:pPr>
        <w:pStyle w:val="CaptionFigures"/>
      </w:pPr>
      <w:bookmarkStart w:id="169" w:name="_Ref500174673"/>
      <w:bookmarkStart w:id="170" w:name="_Ref500434309"/>
      <w:bookmarkStart w:id="171" w:name="_Ref504128576"/>
      <w:bookmarkStart w:id="172" w:name="_Toc10703654"/>
      <w:bookmarkStart w:id="173" w:name="_Ref500174793"/>
      <w:bookmarkStart w:id="174" w:name="_Ref500434297"/>
      <w:r w:rsidRPr="00117C96">
        <w:lastRenderedPageBreak/>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9</w:t>
      </w:r>
      <w:r w:rsidR="00BC6B2E">
        <w:rPr>
          <w:noProof/>
        </w:rPr>
        <w:fldChar w:fldCharType="end"/>
      </w:r>
      <w:bookmarkEnd w:id="169"/>
      <w:r>
        <w:t xml:space="preserve"> – Victoria’s road fatality rate </w:t>
      </w:r>
      <w:bookmarkEnd w:id="170"/>
      <w:r>
        <w:t xml:space="preserve">compared with </w:t>
      </w:r>
      <w:r w:rsidRPr="00032724">
        <w:t>OECD countries</w:t>
      </w:r>
      <w:bookmarkEnd w:id="171"/>
      <w:r>
        <w:t xml:space="preserve"> (201</w:t>
      </w:r>
      <w:r w:rsidR="00C33E0F">
        <w:t>6</w:t>
      </w:r>
      <w:r>
        <w:t>)</w:t>
      </w:r>
      <w:bookmarkEnd w:id="172"/>
      <w:r w:rsidR="00D41591" w:rsidRPr="00D41591" w:rsidDel="002B53D5">
        <w:rPr>
          <w:rStyle w:val="CommentReference"/>
          <w:rFonts w:ascii="Arial" w:hAnsi="Arial"/>
        </w:rPr>
        <w:t xml:space="preserve"> </w:t>
      </w:r>
    </w:p>
    <w:p w14:paraId="509ACEF8" w14:textId="77777777" w:rsidR="00122C1B" w:rsidRDefault="00816E9D" w:rsidP="00AE5F63">
      <w:pPr>
        <w:pStyle w:val="TextPara"/>
        <w:keepNext/>
        <w:tabs>
          <w:tab w:val="left" w:pos="4678"/>
        </w:tabs>
        <w:spacing w:after="0" w:line="240" w:lineRule="auto"/>
        <w:ind w:left="142"/>
        <w:rPr>
          <w:i/>
          <w:sz w:val="18"/>
        </w:rPr>
      </w:pPr>
      <w:r>
        <w:rPr>
          <w:noProof/>
          <w:lang w:val="en-GB" w:eastAsia="en-GB"/>
        </w:rPr>
        <mc:AlternateContent>
          <mc:Choice Requires="wps">
            <w:drawing>
              <wp:anchor distT="0" distB="0" distL="114300" distR="114300" simplePos="0" relativeHeight="251648512" behindDoc="0" locked="0" layoutInCell="1" allowOverlap="1" wp14:anchorId="67AD514D" wp14:editId="7F14F154">
                <wp:simplePos x="0" y="0"/>
                <wp:positionH relativeFrom="column">
                  <wp:posOffset>2551430</wp:posOffset>
                </wp:positionH>
                <wp:positionV relativeFrom="paragraph">
                  <wp:posOffset>3175</wp:posOffset>
                </wp:positionV>
                <wp:extent cx="2636520" cy="2381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36520" cy="238125"/>
                        </a:xfrm>
                        <a:prstGeom prst="rect">
                          <a:avLst/>
                        </a:prstGeom>
                        <a:noFill/>
                        <a:ln w="6350">
                          <a:noFill/>
                        </a:ln>
                      </wps:spPr>
                      <wps:txbx>
                        <w:txbxContent>
                          <w:p w14:paraId="1BCEE3EF" w14:textId="77777777" w:rsidR="003C7C88" w:rsidRPr="00816E9D" w:rsidRDefault="003C7C88" w:rsidP="0002495F">
                            <w:pPr>
                              <w:rPr>
                                <w:rStyle w:val="Strong"/>
                              </w:rPr>
                            </w:pPr>
                            <w:r w:rsidRPr="00816E9D">
                              <w:rPr>
                                <w:rStyle w:val="Strong"/>
                              </w:rPr>
                              <w:t>Fatalities per 100,000 registered vehicles</w:t>
                            </w:r>
                            <w:r w:rsidRPr="00816E9D" w:rsidDel="0002495F">
                              <w:rPr>
                                <w:rStyle w:val="Stron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514D" id="Text Box 45" o:spid="_x0000_s1028" type="#_x0000_t202" style="position:absolute;left:0;text-align:left;margin-left:200.9pt;margin-top:.25pt;width:207.6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" filled="f" stroked="f" strokeweight=".5pt">
                <v:textbox>
                  <w:txbxContent>
                    <w:p w14:paraId="1BCEE3EF" w14:textId="77777777" w:rsidR="003C7C88" w:rsidRPr="00816E9D" w:rsidRDefault="003C7C88" w:rsidP="0002495F">
                      <w:pPr>
                        <w:rPr>
                          <w:rStyle w:val="Strong"/>
                        </w:rPr>
                      </w:pPr>
                      <w:r w:rsidRPr="00816E9D">
                        <w:rPr>
                          <w:rStyle w:val="Strong"/>
                        </w:rPr>
                        <w:t>Fatalities per 100,000 registered vehicles</w:t>
                      </w:r>
                      <w:r w:rsidRPr="00816E9D" w:rsidDel="0002495F">
                        <w:rPr>
                          <w:rStyle w:val="Strong"/>
                        </w:rPr>
                        <w:t xml:space="preserve"> </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617B151B" wp14:editId="49E594BC">
                <wp:simplePos x="0" y="0"/>
                <wp:positionH relativeFrom="column">
                  <wp:posOffset>12700</wp:posOffset>
                </wp:positionH>
                <wp:positionV relativeFrom="paragraph">
                  <wp:posOffset>3810</wp:posOffset>
                </wp:positionV>
                <wp:extent cx="2313305" cy="278765"/>
                <wp:effectExtent l="0" t="0" r="0" b="6985"/>
                <wp:wrapNone/>
                <wp:docPr id="52" name="Text Box 52"/>
                <wp:cNvGraphicFramePr/>
                <a:graphic xmlns:a="http://schemas.openxmlformats.org/drawingml/2006/main">
                  <a:graphicData uri="http://schemas.microsoft.com/office/word/2010/wordprocessingShape">
                    <wps:wsp>
                      <wps:cNvSpPr txBox="1"/>
                      <wps:spPr>
                        <a:xfrm>
                          <a:off x="0" y="0"/>
                          <a:ext cx="2313305" cy="278765"/>
                        </a:xfrm>
                        <a:prstGeom prst="rect">
                          <a:avLst/>
                        </a:prstGeom>
                        <a:noFill/>
                        <a:ln w="6350">
                          <a:noFill/>
                        </a:ln>
                      </wps:spPr>
                      <wps:txbx>
                        <w:txbxContent>
                          <w:p w14:paraId="229C1084" w14:textId="77777777" w:rsidR="003C7C88" w:rsidRPr="00816E9D" w:rsidRDefault="003C7C88" w:rsidP="0002495F">
                            <w:pPr>
                              <w:rPr>
                                <w:rStyle w:val="Strong"/>
                              </w:rPr>
                            </w:pPr>
                            <w:r w:rsidRPr="00816E9D">
                              <w:rPr>
                                <w:rStyle w:val="Strong"/>
                              </w:rPr>
                              <w:t>Fatalities per 100,000 population</w:t>
                            </w:r>
                            <w:r w:rsidRPr="00816E9D" w:rsidDel="0002495F">
                              <w:rPr>
                                <w:rStyle w:val="Stron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B151B" id="Text Box 52" o:spid="_x0000_s1029" type="#_x0000_t202" style="position:absolute;left:0;text-align:left;margin-left:1pt;margin-top:.3pt;width:182.15pt;height:2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" filled="f" stroked="f" strokeweight=".5pt">
                <v:textbox>
                  <w:txbxContent>
                    <w:p w14:paraId="229C1084" w14:textId="77777777" w:rsidR="003C7C88" w:rsidRPr="00816E9D" w:rsidRDefault="003C7C88" w:rsidP="0002495F">
                      <w:pPr>
                        <w:rPr>
                          <w:rStyle w:val="Strong"/>
                        </w:rPr>
                      </w:pPr>
                      <w:r w:rsidRPr="00816E9D">
                        <w:rPr>
                          <w:rStyle w:val="Strong"/>
                        </w:rPr>
                        <w:t>Fatalities per 100,000 population</w:t>
                      </w:r>
                      <w:r w:rsidRPr="00816E9D" w:rsidDel="0002495F">
                        <w:rPr>
                          <w:rStyle w:val="Strong"/>
                        </w:rPr>
                        <w:t xml:space="preserve"> </w:t>
                      </w:r>
                    </w:p>
                  </w:txbxContent>
                </v:textbox>
              </v:shape>
            </w:pict>
          </mc:Fallback>
        </mc:AlternateContent>
      </w:r>
      <w:r w:rsidR="00122C1B">
        <w:rPr>
          <w:i/>
          <w:sz w:val="18"/>
        </w:rPr>
        <w:tab/>
      </w:r>
      <w:r w:rsidR="00122C1B" w:rsidRPr="00DE10B8">
        <w:rPr>
          <w:i/>
          <w:sz w:val="18"/>
        </w:rPr>
        <w:t xml:space="preserve"> </w:t>
      </w:r>
    </w:p>
    <w:p w14:paraId="5E02E59F" w14:textId="77777777" w:rsidR="00122C1B" w:rsidRDefault="00122C1B" w:rsidP="00972576">
      <w:pPr>
        <w:pStyle w:val="TextPara"/>
        <w:keepNext/>
        <w:tabs>
          <w:tab w:val="left" w:pos="4962"/>
        </w:tabs>
        <w:spacing w:line="240" w:lineRule="auto"/>
        <w:rPr>
          <w:i/>
          <w:sz w:val="18"/>
        </w:rPr>
      </w:pPr>
      <w:r>
        <w:rPr>
          <w:noProof/>
          <w:lang w:val="en-GB" w:eastAsia="en-GB"/>
        </w:rPr>
        <mc:AlternateContent>
          <mc:Choice Requires="wps">
            <w:drawing>
              <wp:anchor distT="0" distB="0" distL="114300" distR="114300" simplePos="0" relativeHeight="251640320" behindDoc="0" locked="0" layoutInCell="1" allowOverlap="1" wp14:anchorId="0787C7AB" wp14:editId="7F0396A7">
                <wp:simplePos x="0" y="0"/>
                <wp:positionH relativeFrom="column">
                  <wp:posOffset>2551430</wp:posOffset>
                </wp:positionH>
                <wp:positionV relativeFrom="paragraph">
                  <wp:posOffset>3502660</wp:posOffset>
                </wp:positionV>
                <wp:extent cx="2883299" cy="23820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883299" cy="238208"/>
                        </a:xfrm>
                        <a:prstGeom prst="rect">
                          <a:avLst/>
                        </a:prstGeom>
                        <a:noFill/>
                        <a:ln w="6350">
                          <a:noFill/>
                        </a:ln>
                      </wps:spPr>
                      <wps:txbx>
                        <w:txbxContent>
                          <w:p w14:paraId="1D2B4522" w14:textId="77777777" w:rsidR="003C7C88" w:rsidRPr="00816E9D" w:rsidRDefault="003C7C88">
                            <w:pPr>
                              <w:rPr>
                                <w:rStyle w:val="Strong"/>
                              </w:rPr>
                            </w:pPr>
                            <w:r w:rsidRPr="00816E9D">
                              <w:rPr>
                                <w:rStyle w:val="Strong"/>
                              </w:rPr>
                              <w:t>Fatalities per 100 million vehicle kilometres travelled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C7AB" id="Text Box 27" o:spid="_x0000_s1030" type="#_x0000_t202" style="position:absolute;margin-left:200.9pt;margin-top:275.8pt;width:227.05pt;height:1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DxMgIAAFoEAAAOAAAAZHJzL2Uyb0RvYy54bWysVFFv2jAQfp+0/2D5fSQE2k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" filled="f" stroked="f" strokeweight=".5pt">
                <v:textbox>
                  <w:txbxContent>
                    <w:p w14:paraId="1D2B4522" w14:textId="77777777" w:rsidR="003C7C88" w:rsidRPr="00816E9D" w:rsidRDefault="003C7C88">
                      <w:pPr>
                        <w:rPr>
                          <w:rStyle w:val="Strong"/>
                        </w:rPr>
                      </w:pPr>
                      <w:r w:rsidRPr="00816E9D">
                        <w:rPr>
                          <w:rStyle w:val="Strong"/>
                        </w:rPr>
                        <w:t>Fatalities per 100 million vehicle kilometres travelled</w:t>
                      </w:r>
                    </w:p>
                  </w:txbxContent>
                </v:textbox>
              </v:shape>
            </w:pict>
          </mc:Fallback>
        </mc:AlternateContent>
      </w:r>
      <w:r w:rsidR="007108C2" w:rsidRPr="007108C2">
        <w:rPr>
          <w:i/>
          <w:sz w:val="18"/>
        </w:rPr>
        <w:t xml:space="preserve"> </w:t>
      </w:r>
      <w:r w:rsidR="000C7170">
        <w:rPr>
          <w:i/>
          <w:noProof/>
          <w:sz w:val="18"/>
          <w:lang w:val="en-GB" w:eastAsia="en-GB"/>
        </w:rPr>
        <w:drawing>
          <wp:inline distT="0" distB="0" distL="0" distR="0" wp14:anchorId="47B772F6" wp14:editId="63C22F97">
            <wp:extent cx="5435031" cy="69580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6211" cy="6959563"/>
                    </a:xfrm>
                    <a:prstGeom prst="rect">
                      <a:avLst/>
                    </a:prstGeom>
                    <a:noFill/>
                  </pic:spPr>
                </pic:pic>
              </a:graphicData>
            </a:graphic>
          </wp:inline>
        </w:drawing>
      </w:r>
    </w:p>
    <w:p w14:paraId="302FE353" w14:textId="77777777" w:rsidR="00602F43" w:rsidRPr="00DE10B8" w:rsidRDefault="00602F43" w:rsidP="00712131">
      <w:pPr>
        <w:pStyle w:val="Source"/>
      </w:pPr>
      <w:r>
        <w:t xml:space="preserve">Source: </w:t>
      </w:r>
      <w:r w:rsidR="00712131">
        <w:t>International Transport Forum, Road Safety Annual Report 2018</w:t>
      </w:r>
    </w:p>
    <w:p w14:paraId="3830A378" w14:textId="77777777" w:rsidR="00122C1B" w:rsidRDefault="00122C1B" w:rsidP="001A063E">
      <w:pPr>
        <w:pStyle w:val="Heading2"/>
      </w:pPr>
      <w:bookmarkStart w:id="175" w:name="_Toc10703413"/>
      <w:bookmarkStart w:id="176" w:name="_Toc508727222"/>
      <w:bookmarkEnd w:id="173"/>
      <w:bookmarkEnd w:id="174"/>
      <w:r>
        <w:t>Case for government intervention</w:t>
      </w:r>
      <w:bookmarkEnd w:id="175"/>
    </w:p>
    <w:p w14:paraId="3CFC14E6" w14:textId="77777777" w:rsidR="00122C1B" w:rsidRDefault="00122C1B" w:rsidP="006713F9">
      <w:pPr>
        <w:pStyle w:val="Heading3"/>
      </w:pPr>
      <w:bookmarkStart w:id="177" w:name="_Toc10703414"/>
      <w:r>
        <w:t>Rationale for government intervention</w:t>
      </w:r>
      <w:bookmarkEnd w:id="177"/>
    </w:p>
    <w:p w14:paraId="2DBAA162" w14:textId="77777777" w:rsidR="00122C1B" w:rsidRPr="006A32E4" w:rsidRDefault="00122C1B" w:rsidP="00FA2CF5">
      <w:pPr>
        <w:pStyle w:val="TextPara"/>
        <w:rPr>
          <w:rFonts w:cs="Segoe UI"/>
        </w:rPr>
      </w:pPr>
      <w:r>
        <w:rPr>
          <w:rFonts w:cs="Segoe UI"/>
        </w:rPr>
        <w:t>The most important</w:t>
      </w:r>
      <w:r w:rsidRPr="00117C96">
        <w:rPr>
          <w:rFonts w:cs="Segoe UI"/>
        </w:rPr>
        <w:t xml:space="preserve"> </w:t>
      </w:r>
      <w:r>
        <w:rPr>
          <w:rFonts w:cs="Segoe UI"/>
        </w:rPr>
        <w:t>reason justifying</w:t>
      </w:r>
      <w:r w:rsidRPr="00117C96">
        <w:rPr>
          <w:rFonts w:cs="Segoe UI"/>
        </w:rPr>
        <w:t xml:space="preserve"> government intervention in road safety </w:t>
      </w:r>
      <w:r>
        <w:rPr>
          <w:rFonts w:cs="Segoe UI"/>
        </w:rPr>
        <w:t xml:space="preserve">is the significant impact and </w:t>
      </w:r>
      <w:r w:rsidRPr="00117C96">
        <w:rPr>
          <w:rFonts w:cs="Segoe UI"/>
        </w:rPr>
        <w:t>cost on the community</w:t>
      </w:r>
      <w:r>
        <w:rPr>
          <w:rFonts w:cs="Segoe UI"/>
        </w:rPr>
        <w:t xml:space="preserve"> resulting from </w:t>
      </w:r>
      <w:r w:rsidRPr="00117C96">
        <w:rPr>
          <w:rFonts w:cs="Segoe UI"/>
        </w:rPr>
        <w:t>motor vehicle collisions</w:t>
      </w:r>
      <w:r>
        <w:rPr>
          <w:rFonts w:cs="Segoe UI"/>
        </w:rPr>
        <w:t xml:space="preserve"> causing </w:t>
      </w:r>
      <w:r w:rsidRPr="00117C96">
        <w:rPr>
          <w:rFonts w:cs="Segoe UI"/>
        </w:rPr>
        <w:t xml:space="preserve">fatalities </w:t>
      </w:r>
      <w:r>
        <w:rPr>
          <w:rFonts w:cs="Segoe UI"/>
        </w:rPr>
        <w:t>and</w:t>
      </w:r>
      <w:r w:rsidRPr="00117C96">
        <w:rPr>
          <w:rFonts w:cs="Segoe UI"/>
        </w:rPr>
        <w:t xml:space="preserve"> serious injuries due to the failure of individuals to use the roads safely. The awful consequences of such crashes consist of both </w:t>
      </w:r>
      <w:r w:rsidR="00244AED" w:rsidRPr="00FC1518">
        <w:rPr>
          <w:rFonts w:cs="Segoe UI"/>
          <w:i/>
        </w:rPr>
        <w:lastRenderedPageBreak/>
        <w:t>quantifiable</w:t>
      </w:r>
      <w:r w:rsidR="00244AED" w:rsidRPr="00117C96">
        <w:rPr>
          <w:rFonts w:cs="Segoe UI"/>
        </w:rPr>
        <w:t xml:space="preserve"> </w:t>
      </w:r>
      <w:r w:rsidR="00244AED" w:rsidRPr="00FC1518">
        <w:rPr>
          <w:rFonts w:cs="Segoe UI"/>
          <w:i/>
        </w:rPr>
        <w:t>costs</w:t>
      </w:r>
      <w:r w:rsidR="00244AED" w:rsidRPr="00117C96">
        <w:rPr>
          <w:rFonts w:cs="Segoe UI"/>
        </w:rPr>
        <w:t xml:space="preserve">, </w:t>
      </w:r>
      <w:r w:rsidR="00244AED">
        <w:rPr>
          <w:rFonts w:cs="Segoe UI"/>
        </w:rPr>
        <w:t>such as</w:t>
      </w:r>
      <w:r w:rsidR="00244AED" w:rsidRPr="00117C96">
        <w:rPr>
          <w:rFonts w:cs="Segoe UI"/>
        </w:rPr>
        <w:t xml:space="preserve"> loss in productivity</w:t>
      </w:r>
      <w:r>
        <w:rPr>
          <w:rFonts w:cs="Segoe UI"/>
        </w:rPr>
        <w:t>,</w:t>
      </w:r>
      <w:r w:rsidRPr="00FC1518">
        <w:rPr>
          <w:rFonts w:cs="Segoe UI"/>
          <w:i/>
        </w:rPr>
        <w:t xml:space="preserve"> </w:t>
      </w:r>
      <w:r w:rsidRPr="00117C96">
        <w:rPr>
          <w:rFonts w:cs="Segoe UI"/>
        </w:rPr>
        <w:t>and</w:t>
      </w:r>
      <w:r w:rsidR="00244AED" w:rsidRPr="00244AED">
        <w:rPr>
          <w:rFonts w:cs="Segoe UI"/>
          <w:i/>
        </w:rPr>
        <w:t xml:space="preserve"> </w:t>
      </w:r>
      <w:r w:rsidR="00244AED" w:rsidRPr="00FC1518">
        <w:rPr>
          <w:rFonts w:cs="Segoe UI"/>
          <w:i/>
        </w:rPr>
        <w:t>non-quantifiable effects</w:t>
      </w:r>
      <w:r w:rsidR="00244AED" w:rsidRPr="00117C96">
        <w:rPr>
          <w:rFonts w:cs="Segoe UI"/>
        </w:rPr>
        <w:t>, particularly the personal grief, pain and suffering experienced by the survivin</w:t>
      </w:r>
      <w:r w:rsidR="00244AED">
        <w:rPr>
          <w:rFonts w:cs="Segoe UI"/>
        </w:rPr>
        <w:t>g crash victims and their families</w:t>
      </w:r>
      <w:r w:rsidR="00244AED" w:rsidRPr="00117C96">
        <w:rPr>
          <w:rFonts w:cs="Segoe UI"/>
        </w:rPr>
        <w:t xml:space="preserve"> and friends</w:t>
      </w:r>
      <w:r w:rsidRPr="00117C96">
        <w:rPr>
          <w:rFonts w:cs="Segoe UI"/>
        </w:rPr>
        <w:t xml:space="preserve">. Medical treatment of </w:t>
      </w:r>
      <w:r>
        <w:rPr>
          <w:rFonts w:cs="Segoe UI"/>
        </w:rPr>
        <w:t xml:space="preserve">such </w:t>
      </w:r>
      <w:r w:rsidRPr="00117C96">
        <w:rPr>
          <w:rFonts w:cs="Segoe UI"/>
        </w:rPr>
        <w:t>injuries and disabilit</w:t>
      </w:r>
      <w:r>
        <w:rPr>
          <w:rFonts w:cs="Segoe UI"/>
        </w:rPr>
        <w:t>ies</w:t>
      </w:r>
      <w:r w:rsidRPr="00117C96">
        <w:rPr>
          <w:rFonts w:cs="Segoe UI"/>
        </w:rPr>
        <w:t xml:space="preserve"> withdraws scarce medical resources from other </w:t>
      </w:r>
      <w:r>
        <w:rPr>
          <w:rFonts w:cs="Segoe UI"/>
        </w:rPr>
        <w:t xml:space="preserve">community </w:t>
      </w:r>
      <w:r w:rsidRPr="00117C96">
        <w:rPr>
          <w:rFonts w:cs="Segoe UI"/>
        </w:rPr>
        <w:t>uses</w:t>
      </w:r>
      <w:r>
        <w:rPr>
          <w:rFonts w:cs="Segoe UI"/>
        </w:rPr>
        <w:t>.</w:t>
      </w:r>
      <w:r w:rsidRPr="00117C96">
        <w:rPr>
          <w:rFonts w:cs="Segoe UI"/>
        </w:rPr>
        <w:t xml:space="preserve"> </w:t>
      </w:r>
      <w:r>
        <w:rPr>
          <w:rFonts w:cs="Segoe UI"/>
        </w:rPr>
        <w:t xml:space="preserve">Ultimately, it is </w:t>
      </w:r>
      <w:r w:rsidRPr="00117C96">
        <w:rPr>
          <w:rFonts w:cs="Segoe UI"/>
        </w:rPr>
        <w:t xml:space="preserve">the public </w:t>
      </w:r>
      <w:r>
        <w:rPr>
          <w:rFonts w:cs="Segoe UI"/>
        </w:rPr>
        <w:t xml:space="preserve">that bears </w:t>
      </w:r>
      <w:r w:rsidRPr="00117C96">
        <w:rPr>
          <w:rFonts w:cs="Segoe UI"/>
        </w:rPr>
        <w:t xml:space="preserve">a significant part of the cost of these treatments through </w:t>
      </w:r>
      <w:r>
        <w:rPr>
          <w:rFonts w:cs="Segoe UI"/>
        </w:rPr>
        <w:t>the compulsory third-party insurance charges, which are payable on vehicle registration and administered by the Transport Accident Commission,</w:t>
      </w:r>
      <w:r w:rsidRPr="00EC2163">
        <w:rPr>
          <w:rFonts w:cs="Segoe UI"/>
        </w:rPr>
        <w:t xml:space="preserve"> </w:t>
      </w:r>
      <w:r>
        <w:rPr>
          <w:rFonts w:cs="Segoe UI"/>
        </w:rPr>
        <w:t>as well as</w:t>
      </w:r>
      <w:r w:rsidRPr="00EC2163">
        <w:rPr>
          <w:rFonts w:cs="Segoe UI"/>
        </w:rPr>
        <w:t xml:space="preserve"> </w:t>
      </w:r>
      <w:r w:rsidRPr="00117C96">
        <w:rPr>
          <w:rFonts w:cs="Segoe UI"/>
        </w:rPr>
        <w:t>increased taxes.</w:t>
      </w:r>
    </w:p>
    <w:p w14:paraId="6BCE00AB" w14:textId="77777777" w:rsidR="00122C1B" w:rsidRDefault="00122C1B" w:rsidP="00AE2186">
      <w:pPr>
        <w:pStyle w:val="TextPara"/>
        <w:rPr>
          <w:rFonts w:cs="Segoe UI"/>
        </w:rPr>
      </w:pPr>
      <w:r>
        <w:rPr>
          <w:rFonts w:cs="Segoe UI"/>
        </w:rPr>
        <w:t>T</w:t>
      </w:r>
      <w:r w:rsidRPr="00E7588F">
        <w:rPr>
          <w:rFonts w:cs="Segoe UI"/>
        </w:rPr>
        <w:t>he Victorian Government</w:t>
      </w:r>
      <w:r>
        <w:rPr>
          <w:rFonts w:cs="Segoe UI"/>
        </w:rPr>
        <w:t>’s</w:t>
      </w:r>
      <w:r w:rsidRPr="00E7588F">
        <w:rPr>
          <w:rFonts w:cs="Segoe UI"/>
        </w:rPr>
        <w:t xml:space="preserve"> primary </w:t>
      </w:r>
      <w:r>
        <w:rPr>
          <w:rFonts w:cs="Segoe UI"/>
        </w:rPr>
        <w:t xml:space="preserve">road safety </w:t>
      </w:r>
      <w:r w:rsidRPr="00E7588F">
        <w:rPr>
          <w:rFonts w:cs="Segoe UI"/>
        </w:rPr>
        <w:t xml:space="preserve">objective </w:t>
      </w:r>
      <w:r>
        <w:rPr>
          <w:rFonts w:cs="Segoe UI"/>
        </w:rPr>
        <w:t xml:space="preserve">is </w:t>
      </w:r>
      <w:r w:rsidRPr="00E7588F">
        <w:rPr>
          <w:rFonts w:cs="Segoe UI"/>
        </w:rPr>
        <w:t>to reduce as far as practicable the risk of personal injury</w:t>
      </w:r>
      <w:r>
        <w:rPr>
          <w:rFonts w:cs="Segoe UI"/>
        </w:rPr>
        <w:t xml:space="preserve"> and</w:t>
      </w:r>
      <w:r w:rsidRPr="00E7588F">
        <w:rPr>
          <w:rFonts w:cs="Segoe UI"/>
        </w:rPr>
        <w:t xml:space="preserve"> death</w:t>
      </w:r>
      <w:r>
        <w:rPr>
          <w:rFonts w:cs="Segoe UI"/>
        </w:rPr>
        <w:t xml:space="preserve"> </w:t>
      </w:r>
      <w:r w:rsidRPr="00117C96">
        <w:rPr>
          <w:rFonts w:cs="Segoe UI"/>
        </w:rPr>
        <w:t>for all road users</w:t>
      </w:r>
      <w:r>
        <w:rPr>
          <w:rFonts w:cs="Segoe UI"/>
        </w:rPr>
        <w:t xml:space="preserve"> in Victoria. It</w:t>
      </w:r>
      <w:r w:rsidRPr="00E7588F">
        <w:rPr>
          <w:rFonts w:cs="Segoe UI"/>
        </w:rPr>
        <w:t xml:space="preserve"> aims to achieve </w:t>
      </w:r>
      <w:r>
        <w:rPr>
          <w:rFonts w:cs="Segoe UI"/>
        </w:rPr>
        <w:t xml:space="preserve">this </w:t>
      </w:r>
      <w:r w:rsidRPr="00E7588F">
        <w:rPr>
          <w:rFonts w:cs="Segoe UI"/>
        </w:rPr>
        <w:t xml:space="preserve">through </w:t>
      </w:r>
      <w:r>
        <w:rPr>
          <w:rFonts w:cs="Segoe UI"/>
        </w:rPr>
        <w:t xml:space="preserve">its road safety policy as reflected in the </w:t>
      </w:r>
      <w:r w:rsidRPr="00862532">
        <w:rPr>
          <w:rFonts w:cs="Segoe UI"/>
          <w:i/>
        </w:rPr>
        <w:t>RSA</w:t>
      </w:r>
      <w:r>
        <w:rPr>
          <w:rFonts w:cs="Segoe UI"/>
        </w:rPr>
        <w:t xml:space="preserve"> and related regulations and rules.</w:t>
      </w:r>
    </w:p>
    <w:p w14:paraId="58FC98AE" w14:textId="77777777" w:rsidR="00122C1B" w:rsidRDefault="00122C1B" w:rsidP="00AE2186">
      <w:pPr>
        <w:pStyle w:val="TextPara"/>
        <w:spacing w:after="60"/>
        <w:rPr>
          <w:rFonts w:cs="Segoe UI"/>
        </w:rPr>
      </w:pPr>
      <w:r w:rsidRPr="005437CE">
        <w:rPr>
          <w:rFonts w:cs="Segoe UI"/>
        </w:rPr>
        <w:t xml:space="preserve">The proposed Regulations </w:t>
      </w:r>
      <w:r>
        <w:rPr>
          <w:rFonts w:cs="Segoe UI"/>
        </w:rPr>
        <w:t xml:space="preserve">contribute </w:t>
      </w:r>
      <w:r w:rsidRPr="005437CE">
        <w:rPr>
          <w:rFonts w:cs="Segoe UI"/>
        </w:rPr>
        <w:t xml:space="preserve">to </w:t>
      </w:r>
      <w:r>
        <w:rPr>
          <w:rFonts w:cs="Segoe UI"/>
        </w:rPr>
        <w:t xml:space="preserve">the </w:t>
      </w:r>
      <w:r w:rsidRPr="005437CE">
        <w:rPr>
          <w:rFonts w:cs="Segoe UI"/>
        </w:rPr>
        <w:t>achieve</w:t>
      </w:r>
      <w:r>
        <w:rPr>
          <w:rFonts w:cs="Segoe UI"/>
        </w:rPr>
        <w:t>ment of</w:t>
      </w:r>
      <w:r w:rsidRPr="005437CE">
        <w:rPr>
          <w:rFonts w:cs="Segoe UI"/>
        </w:rPr>
        <w:t xml:space="preserve"> this objective by:</w:t>
      </w:r>
    </w:p>
    <w:p w14:paraId="6D7A2F17" w14:textId="77777777" w:rsidR="00122C1B" w:rsidRPr="001A1179" w:rsidRDefault="00122C1B" w:rsidP="005F6F8B">
      <w:pPr>
        <w:pStyle w:val="Bullet1-Black"/>
      </w:pPr>
      <w:r w:rsidRPr="001A1179">
        <w:t xml:space="preserve">giving effect to the </w:t>
      </w:r>
      <w:r>
        <w:t xml:space="preserve">relevant national standards, frameworks and guidelines, </w:t>
      </w:r>
      <w:r w:rsidRPr="001A1179">
        <w:t>where relevant</w:t>
      </w:r>
      <w:r>
        <w:t>,</w:t>
      </w:r>
      <w:r w:rsidRPr="001A1179">
        <w:t xml:space="preserve"> to ensure </w:t>
      </w:r>
      <w:r>
        <w:t xml:space="preserve">that drivers </w:t>
      </w:r>
      <w:r w:rsidRPr="00CB4C3C">
        <w:t>are aware of</w:t>
      </w:r>
      <w:r>
        <w:t>,</w:t>
      </w:r>
      <w:r w:rsidRPr="00CB4C3C">
        <w:t xml:space="preserve"> </w:t>
      </w:r>
      <w:r>
        <w:t>and adhere to, safe driving practices and comply with road laws</w:t>
      </w:r>
    </w:p>
    <w:p w14:paraId="036D6412" w14:textId="77777777" w:rsidR="00122C1B" w:rsidRDefault="00122C1B" w:rsidP="00457BB1">
      <w:pPr>
        <w:pStyle w:val="Bullet1-Black"/>
      </w:pPr>
      <w:r>
        <w:t xml:space="preserve">clearly setting out the requirements for the granting, variation, renewal, suspension, cancellation and surrender of learner permits, probationary licences and full licences to ensure that </w:t>
      </w:r>
      <w:r w:rsidRPr="00CB4C3C">
        <w:t>people</w:t>
      </w:r>
      <w:r>
        <w:t>,</w:t>
      </w:r>
      <w:r w:rsidRPr="00CB4C3C">
        <w:t xml:space="preserve"> who drive motor vehicles on highways</w:t>
      </w:r>
      <w:r>
        <w:t>,</w:t>
      </w:r>
      <w:r w:rsidRPr="00CB4C3C">
        <w:t xml:space="preserve"> are competent </w:t>
      </w:r>
      <w:r>
        <w:t xml:space="preserve">and responsible </w:t>
      </w:r>
      <w:r w:rsidRPr="00CB4C3C">
        <w:t>drivers</w:t>
      </w:r>
    </w:p>
    <w:p w14:paraId="16A4AA6F" w14:textId="77777777" w:rsidR="00122C1B" w:rsidRDefault="00122C1B">
      <w:pPr>
        <w:pStyle w:val="Bullet1-Black"/>
      </w:pPr>
      <w:r>
        <w:t>establishing procedures for the administration of alcohol interlock conditions, the demerit points register, the medical fitness-to-drive review and the enforcement of driving bans in cases of unlawful driving behaviour.</w:t>
      </w:r>
    </w:p>
    <w:p w14:paraId="462B1806" w14:textId="77777777" w:rsidR="00122C1B" w:rsidRDefault="00122C1B" w:rsidP="00AE2186">
      <w:pPr>
        <w:pStyle w:val="TextPara"/>
        <w:rPr>
          <w:rFonts w:cs="Segoe UI"/>
        </w:rPr>
      </w:pPr>
      <w:r>
        <w:rPr>
          <w:rFonts w:cs="Segoe UI"/>
        </w:rPr>
        <w:t>Another</w:t>
      </w:r>
      <w:r w:rsidRPr="00117C96">
        <w:rPr>
          <w:rFonts w:cs="Segoe UI"/>
        </w:rPr>
        <w:t xml:space="preserve"> rationale for government intervention in road safety is </w:t>
      </w:r>
      <w:r>
        <w:rPr>
          <w:rFonts w:cs="Segoe UI"/>
        </w:rPr>
        <w:t xml:space="preserve">that a lack of regulation would allow inconsistent and unpredictable driving behaviours that would result in more lives being lost on Victorian roads.  Assessing </w:t>
      </w:r>
      <w:r w:rsidRPr="00117C96">
        <w:rPr>
          <w:rFonts w:cs="Segoe UI"/>
        </w:rPr>
        <w:t xml:space="preserve">the probability of adverse outcomes, </w:t>
      </w:r>
      <w:r>
        <w:rPr>
          <w:rFonts w:cs="Segoe UI"/>
        </w:rPr>
        <w:t>such as</w:t>
      </w:r>
      <w:r w:rsidRPr="00117C96">
        <w:rPr>
          <w:rFonts w:cs="Segoe UI"/>
        </w:rPr>
        <w:t xml:space="preserve"> loss of life or serious injury</w:t>
      </w:r>
      <w:r>
        <w:rPr>
          <w:rFonts w:cs="Segoe UI"/>
        </w:rPr>
        <w:t>,</w:t>
      </w:r>
      <w:r w:rsidRPr="00117C96">
        <w:rPr>
          <w:rFonts w:cs="Segoe UI"/>
        </w:rPr>
        <w:t xml:space="preserve"> for any individual is a complex function of many internal and external factors, including the </w:t>
      </w:r>
      <w:r>
        <w:rPr>
          <w:rFonts w:cs="Segoe UI"/>
        </w:rPr>
        <w:t xml:space="preserve">vehicle being driven, the </w:t>
      </w:r>
      <w:r w:rsidRPr="00117C96">
        <w:rPr>
          <w:rFonts w:cs="Segoe UI"/>
        </w:rPr>
        <w:t xml:space="preserve">driving environment, </w:t>
      </w:r>
      <w:r>
        <w:rPr>
          <w:rFonts w:cs="Segoe UI"/>
        </w:rPr>
        <w:t>task requirements,</w:t>
      </w:r>
      <w:r w:rsidRPr="00117C96">
        <w:rPr>
          <w:rFonts w:cs="Segoe UI"/>
        </w:rPr>
        <w:t xml:space="preserve"> personal </w:t>
      </w:r>
      <w:r>
        <w:rPr>
          <w:rFonts w:cs="Segoe UI"/>
        </w:rPr>
        <w:t>attitudes, skills and health status</w:t>
      </w:r>
      <w:r w:rsidR="00132F77">
        <w:rPr>
          <w:rFonts w:cs="Segoe UI"/>
        </w:rPr>
        <w:t xml:space="preserve"> and</w:t>
      </w:r>
      <w:r w:rsidRPr="00117C96">
        <w:rPr>
          <w:rFonts w:cs="Segoe UI"/>
        </w:rPr>
        <w:t xml:space="preserve"> driving habits. Hence, </w:t>
      </w:r>
      <w:r>
        <w:rPr>
          <w:rFonts w:cs="Segoe UI"/>
        </w:rPr>
        <w:t xml:space="preserve">without regulation, </w:t>
      </w:r>
      <w:r w:rsidRPr="00117C96">
        <w:rPr>
          <w:rFonts w:cs="Segoe UI"/>
        </w:rPr>
        <w:t>individuals w</w:t>
      </w:r>
      <w:r>
        <w:rPr>
          <w:rFonts w:cs="Segoe UI"/>
        </w:rPr>
        <w:t>ould</w:t>
      </w:r>
      <w:r w:rsidRPr="00117C96">
        <w:rPr>
          <w:rFonts w:cs="Segoe UI"/>
        </w:rPr>
        <w:t xml:space="preserve"> likely face serious difficulties in making well-informed decisions about the value of </w:t>
      </w:r>
      <w:r>
        <w:rPr>
          <w:rFonts w:cs="Segoe UI"/>
        </w:rPr>
        <w:t xml:space="preserve">road </w:t>
      </w:r>
      <w:r w:rsidRPr="00117C96">
        <w:rPr>
          <w:rFonts w:cs="Segoe UI"/>
        </w:rPr>
        <w:t>safety protection.</w:t>
      </w:r>
    </w:p>
    <w:p w14:paraId="7E4584C1" w14:textId="77777777" w:rsidR="00122C1B" w:rsidRDefault="00122C1B" w:rsidP="006713F9">
      <w:pPr>
        <w:pStyle w:val="Heading3"/>
      </w:pPr>
      <w:bookmarkStart w:id="178" w:name="_Toc10703415"/>
      <w:r>
        <w:t>V</w:t>
      </w:r>
      <w:r w:rsidRPr="005B4001">
        <w:t>alue of a statistical life</w:t>
      </w:r>
      <w:bookmarkEnd w:id="178"/>
    </w:p>
    <w:p w14:paraId="4C02D381" w14:textId="77777777" w:rsidR="00122C1B" w:rsidRPr="00B238CA" w:rsidRDefault="00122C1B" w:rsidP="00CE5D2F">
      <w:pPr>
        <w:pStyle w:val="TextPara"/>
      </w:pPr>
      <w:r w:rsidRPr="00B238CA">
        <w:t>At an emotional and a moral level, human life is priceless. The cost of road deaths and serious injuries to families and loved ones goes beyond that which can be measured in economic terms.</w:t>
      </w:r>
    </w:p>
    <w:p w14:paraId="2378CB37" w14:textId="77777777" w:rsidR="00122C1B" w:rsidRDefault="00122C1B" w:rsidP="00CE5D2F">
      <w:pPr>
        <w:pStyle w:val="TextPara"/>
        <w:rPr>
          <w:szCs w:val="20"/>
        </w:rPr>
      </w:pPr>
      <w:r w:rsidRPr="007E4031">
        <w:t>Using evidence on market choices that involve implicit trade-offs between risk and money, economists have developed estimates of the value of a statistical life (</w:t>
      </w:r>
      <w:r w:rsidRPr="00132F77">
        <w:rPr>
          <w:b/>
        </w:rPr>
        <w:t>VSL</w:t>
      </w:r>
      <w:r w:rsidRPr="007E4031">
        <w:t>). The VSL does not capture the full ‘value’ of a life to the person, family, friends or society. Rather, it attempts to estimate of the financial value society places on reducing the average number of deaths by one and can provide a reference point for comparing the benefits of risk reduction efforts.</w:t>
      </w:r>
      <w:r w:rsidRPr="007E4031">
        <w:rPr>
          <w:rStyle w:val="EndnoteReference"/>
          <w:rFonts w:cs="Segoe UI"/>
        </w:rPr>
        <w:endnoteReference w:id="187"/>
      </w:r>
      <w:r w:rsidRPr="007E4031">
        <w:t xml:space="preserve"> </w:t>
      </w:r>
    </w:p>
    <w:p w14:paraId="6C18BE2A" w14:textId="77777777" w:rsidR="00122C1B" w:rsidRPr="00B238CA" w:rsidRDefault="00122C1B" w:rsidP="00CE5D2F">
      <w:pPr>
        <w:pStyle w:val="TextPara"/>
      </w:pPr>
      <w:r w:rsidRPr="00B238CA">
        <w:t xml:space="preserve">At an economic and public policy level, road deaths and serious injuries have very significant costs that can be </w:t>
      </w:r>
      <w:r w:rsidRPr="00846AF6">
        <w:t>measured</w:t>
      </w:r>
      <w:r w:rsidRPr="00B238CA">
        <w:t xml:space="preserve"> in economic terms. Such costs directly include medical treatment, insurance claims, loss of income, ongoing care etc., and indirectly include loss of economic activity</w:t>
      </w:r>
      <w:r>
        <w:t>,</w:t>
      </w:r>
      <w:r w:rsidRPr="00B238CA">
        <w:t xml:space="preserve"> such as working, caring for others, paying tax, consuming goods and services, saving and investing etc. </w:t>
      </w:r>
      <w:r w:rsidR="00132F77">
        <w:t>Estimation of t</w:t>
      </w:r>
      <w:r w:rsidRPr="00B238CA">
        <w:t xml:space="preserve">hese </w:t>
      </w:r>
      <w:r w:rsidR="00605632">
        <w:t>allows</w:t>
      </w:r>
      <w:r w:rsidRPr="00B238CA">
        <w:t xml:space="preserve"> an objective cost of road trauma </w:t>
      </w:r>
      <w:r w:rsidR="00605632">
        <w:t>to</w:t>
      </w:r>
      <w:r w:rsidRPr="00B238CA">
        <w:t xml:space="preserve"> be established.</w:t>
      </w:r>
    </w:p>
    <w:p w14:paraId="0C445283" w14:textId="77777777" w:rsidR="00122C1B" w:rsidRPr="00B238CA" w:rsidRDefault="00122C1B" w:rsidP="00CE5D2F">
      <w:pPr>
        <w:pStyle w:val="TextPara"/>
      </w:pPr>
      <w:r w:rsidRPr="00B238CA">
        <w:t xml:space="preserve">This objective cost provides a basis for evaluating public policy proposals aimed at reducing road trauma and its costs. </w:t>
      </w:r>
      <w:r w:rsidR="00027D41" w:rsidRPr="00B238CA">
        <w:t xml:space="preserve">The </w:t>
      </w:r>
      <w:r w:rsidRPr="00B238CA">
        <w:t xml:space="preserve">cost of a </w:t>
      </w:r>
      <w:r>
        <w:t>proposed</w:t>
      </w:r>
      <w:r w:rsidRPr="00B238CA">
        <w:t xml:space="preserve"> intervention </w:t>
      </w:r>
      <w:r w:rsidR="00027D41">
        <w:t>should</w:t>
      </w:r>
      <w:r w:rsidRPr="00B238CA">
        <w:t xml:space="preserve"> be assessed against the reduction in the cost of road trauma</w:t>
      </w:r>
      <w:r w:rsidR="00027D41">
        <w:t xml:space="preserve"> that is expected to result</w:t>
      </w:r>
      <w:r w:rsidRPr="00B238CA">
        <w:t xml:space="preserve">, not only to </w:t>
      </w:r>
      <w:r w:rsidR="00027D41">
        <w:t xml:space="preserve">help </w:t>
      </w:r>
      <w:r w:rsidRPr="00B238CA">
        <w:t>decide whether it</w:t>
      </w:r>
      <w:r w:rsidR="00027D41">
        <w:t xml:space="preserve"> i</w:t>
      </w:r>
      <w:r w:rsidRPr="00B238CA">
        <w:t>s worth doing at all, but also to assess whether there are better ways of achieving the same effect.</w:t>
      </w:r>
    </w:p>
    <w:p w14:paraId="341E2BCE" w14:textId="77777777" w:rsidR="00122C1B" w:rsidRPr="00B238CA" w:rsidRDefault="00122C1B" w:rsidP="00CE5D2F">
      <w:pPr>
        <w:pStyle w:val="TextPara"/>
      </w:pPr>
      <w:r w:rsidRPr="00B238CA">
        <w:t xml:space="preserve">Public policy </w:t>
      </w:r>
      <w:r w:rsidR="0065541C">
        <w:t xml:space="preserve">therefore </w:t>
      </w:r>
      <w:r w:rsidRPr="00B238CA">
        <w:t xml:space="preserve">seeks to quantify the cost of road deaths using VSL concept. The VSL captures the lost potential of an individual to society in economic and social terms. It is an estimate of the financial value society places on reducing the number of deaths by one. </w:t>
      </w:r>
    </w:p>
    <w:p w14:paraId="04834ADE" w14:textId="77777777" w:rsidR="00122C1B" w:rsidRPr="00B238CA" w:rsidRDefault="00122C1B" w:rsidP="00CE5D2F">
      <w:pPr>
        <w:pStyle w:val="TextPara"/>
      </w:pPr>
      <w:r w:rsidRPr="00B238CA">
        <w:lastRenderedPageBreak/>
        <w:t>Several empirical studies have derived estimates for VSL. In reviewing the studies relevant to Australia, the estimates of VSL range from $3m to $15m. In December 2014, the Australian Department of Prime Minister and Cabinet issued a best practice regulation guidance note advising that the most credible estimate is $4.2 million (2014 dollars) for the value of statistical life and $182,000 (2014 dollars) for the value of a statistical life year.</w:t>
      </w:r>
      <w:r w:rsidRPr="00B238CA">
        <w:rPr>
          <w:rStyle w:val="EndnoteReference"/>
          <w:rFonts w:cs="Segoe UI"/>
          <w:szCs w:val="20"/>
        </w:rPr>
        <w:endnoteReference w:id="188"/>
      </w:r>
    </w:p>
    <w:p w14:paraId="3BDBCFA3" w14:textId="77777777" w:rsidR="00122C1B" w:rsidRDefault="00122C1B" w:rsidP="006713F9">
      <w:pPr>
        <w:pStyle w:val="Heading3"/>
      </w:pPr>
      <w:bookmarkStart w:id="179" w:name="_Toc524012728"/>
      <w:bookmarkStart w:id="180" w:name="_Toc524013749"/>
      <w:bookmarkStart w:id="181" w:name="_Toc524950617"/>
      <w:bookmarkStart w:id="182" w:name="_Toc525307254"/>
      <w:bookmarkStart w:id="183" w:name="_Toc527623993"/>
      <w:bookmarkStart w:id="184" w:name="_Toc527629642"/>
      <w:bookmarkStart w:id="185" w:name="_Toc527644344"/>
      <w:bookmarkStart w:id="186" w:name="_Toc10703416"/>
      <w:bookmarkEnd w:id="179"/>
      <w:bookmarkEnd w:id="180"/>
      <w:bookmarkEnd w:id="181"/>
      <w:bookmarkEnd w:id="182"/>
      <w:bookmarkEnd w:id="183"/>
      <w:bookmarkEnd w:id="184"/>
      <w:bookmarkEnd w:id="185"/>
      <w:r>
        <w:t>Estimated cost of road trauma</w:t>
      </w:r>
      <w:bookmarkEnd w:id="186"/>
    </w:p>
    <w:p w14:paraId="7AB96166" w14:textId="3B8F74BA" w:rsidR="000B7B0E" w:rsidRPr="00B238CA" w:rsidRDefault="00C518CC" w:rsidP="00F4115C">
      <w:pPr>
        <w:pStyle w:val="TextPara"/>
        <w:rPr>
          <w:b/>
        </w:rPr>
      </w:pPr>
      <w:r w:rsidRPr="00B238CA">
        <w:t>The costs of road trauma in Victoria in 2006 and 201</w:t>
      </w:r>
      <w:r>
        <w:t>8</w:t>
      </w:r>
      <w:r w:rsidRPr="00B238CA">
        <w:t xml:space="preserve"> are compared in</w:t>
      </w:r>
      <w:r>
        <w:t xml:space="preserve"> </w:t>
      </w:r>
      <w:r>
        <w:fldChar w:fldCharType="begin"/>
      </w:r>
      <w:r>
        <w:instrText xml:space="preserve"> REF _Ref508710972 \h </w:instrText>
      </w:r>
      <w:r>
        <w:fldChar w:fldCharType="separate"/>
      </w:r>
      <w:r w:rsidR="00EB4B02" w:rsidRPr="005867EC">
        <w:t xml:space="preserve">Table </w:t>
      </w:r>
      <w:r w:rsidR="00EB4B02">
        <w:rPr>
          <w:noProof/>
        </w:rPr>
        <w:t>16</w:t>
      </w:r>
      <w:r>
        <w:fldChar w:fldCharType="end"/>
      </w:r>
      <w:r w:rsidRPr="00B238CA">
        <w:t xml:space="preserve">. </w:t>
      </w:r>
      <w:r>
        <w:t xml:space="preserve">2006 was selected as the baseline year for this comparison because the </w:t>
      </w:r>
      <w:r w:rsidRPr="00B238CA">
        <w:t xml:space="preserve">Commonwealth Government Bureau of Infrastructure, Transport and Regional Economics </w:t>
      </w:r>
      <w:r>
        <w:t>published an authoritative study of the cost of road crashes in Australia using data from that year.</w:t>
      </w:r>
      <w:r w:rsidR="000B7B0E">
        <w:rPr>
          <w:rStyle w:val="EndnoteReference"/>
          <w:rFonts w:cs="Segoe UI"/>
          <w:szCs w:val="20"/>
        </w:rPr>
        <w:endnoteReference w:id="189"/>
      </w:r>
      <w:r w:rsidR="000B7B0E">
        <w:t xml:space="preserve"> </w:t>
      </w:r>
      <w:r w:rsidR="000B7B0E" w:rsidRPr="00B238CA">
        <w:t>The dollar costs for both years are expressed in 201</w:t>
      </w:r>
      <w:r w:rsidR="000B7B0E">
        <w:t>8</w:t>
      </w:r>
      <w:r w:rsidR="000B7B0E" w:rsidRPr="00B238CA">
        <w:t xml:space="preserve"> dollars, i.e. the </w:t>
      </w:r>
      <w:r w:rsidR="00AB0F13" w:rsidRPr="00B238CA">
        <w:t xml:space="preserve">costs </w:t>
      </w:r>
      <w:r w:rsidR="00AB0F13">
        <w:t xml:space="preserve">in </w:t>
      </w:r>
      <w:r w:rsidR="000B7B0E" w:rsidRPr="00B238CA">
        <w:t>2006 dollar</w:t>
      </w:r>
      <w:r w:rsidR="00AB0F13">
        <w:t>s</w:t>
      </w:r>
      <w:r w:rsidR="000B7B0E" w:rsidRPr="00B238CA">
        <w:t xml:space="preserve"> have been adjusted for inflation between 2006 and 201</w:t>
      </w:r>
      <w:r w:rsidR="000B7B0E">
        <w:t>8</w:t>
      </w:r>
      <w:r w:rsidR="000B7B0E" w:rsidRPr="00B238CA">
        <w:t>.</w:t>
      </w:r>
      <w:r w:rsidR="000B7B0E" w:rsidRPr="00B238CA">
        <w:rPr>
          <w:rStyle w:val="EndnoteReference"/>
          <w:rFonts w:cs="Segoe UI"/>
          <w:szCs w:val="20"/>
        </w:rPr>
        <w:endnoteReference w:id="190"/>
      </w:r>
    </w:p>
    <w:p w14:paraId="34DA874F" w14:textId="77777777" w:rsidR="00C518CC" w:rsidRPr="00B238CA" w:rsidRDefault="00C518CC" w:rsidP="00F4115C">
      <w:pPr>
        <w:pStyle w:val="TextPara"/>
      </w:pPr>
      <w:r w:rsidRPr="00B238CA">
        <w:t>The numbers of road deaths and hospitalisations between 2006 and 201</w:t>
      </w:r>
      <w:r>
        <w:t>8</w:t>
      </w:r>
      <w:r w:rsidRPr="00B238CA">
        <w:t xml:space="preserve"> </w:t>
      </w:r>
      <w:r>
        <w:t>decreased</w:t>
      </w:r>
      <w:r w:rsidRPr="00B238CA">
        <w:t xml:space="preserve"> by </w:t>
      </w:r>
      <w:r>
        <w:t>36.5</w:t>
      </w:r>
      <w:r w:rsidRPr="00B238CA">
        <w:t xml:space="preserve">% and </w:t>
      </w:r>
      <w:r>
        <w:t>6.9</w:t>
      </w:r>
      <w:r w:rsidRPr="00B238CA">
        <w:t xml:space="preserve">% respectively. However, the </w:t>
      </w:r>
      <w:r w:rsidR="00AB0F13" w:rsidRPr="00B238CA">
        <w:t>costs</w:t>
      </w:r>
      <w:r w:rsidR="00AB0F13">
        <w:t xml:space="preserve"> </w:t>
      </w:r>
      <w:r w:rsidRPr="00B238CA">
        <w:t xml:space="preserve">of road deaths and hospitalisations </w:t>
      </w:r>
      <w:r w:rsidR="00AB0F13">
        <w:t>(in</w:t>
      </w:r>
      <w:r w:rsidR="00AB0F13" w:rsidRPr="00B238CA">
        <w:t xml:space="preserve"> 201</w:t>
      </w:r>
      <w:r w:rsidR="00AB0F13">
        <w:t>8</w:t>
      </w:r>
      <w:r w:rsidR="00AB0F13" w:rsidRPr="00B238CA">
        <w:t xml:space="preserve"> dollar</w:t>
      </w:r>
      <w:r w:rsidR="00AB0F13">
        <w:t>s)</w:t>
      </w:r>
      <w:r w:rsidR="00AB0F13" w:rsidRPr="00B238CA">
        <w:t xml:space="preserve"> </w:t>
      </w:r>
      <w:r w:rsidRPr="00B238CA">
        <w:t xml:space="preserve">increased by </w:t>
      </w:r>
      <w:r>
        <w:t>2.0</w:t>
      </w:r>
      <w:r w:rsidRPr="00B238CA">
        <w:t xml:space="preserve">% during that time, due to the increasing costs of more advanced medical care. The cost of treating each hospitalised injury increased by a nominal rate of </w:t>
      </w:r>
      <w:r>
        <w:t>5.0</w:t>
      </w:r>
      <w:r w:rsidRPr="00B238CA">
        <w:t>% each year between 2006 and 201</w:t>
      </w:r>
      <w:r>
        <w:t>8</w:t>
      </w:r>
      <w:r w:rsidRPr="00B238CA">
        <w:t xml:space="preserve">, or a real rate of </w:t>
      </w:r>
      <w:r>
        <w:t>2.7</w:t>
      </w:r>
      <w:r w:rsidRPr="00B238CA">
        <w:t>% each year, i.e. over and above the average annualised inflation rate of 2.</w:t>
      </w:r>
      <w:r>
        <w:t>3</w:t>
      </w:r>
      <w:r w:rsidRPr="00B238CA">
        <w:t>%</w:t>
      </w:r>
      <w:r w:rsidR="00377E7C">
        <w:rPr>
          <w:rStyle w:val="EndnoteReference"/>
        </w:rPr>
        <w:endnoteReference w:id="191"/>
      </w:r>
      <w:r w:rsidRPr="00B238CA">
        <w:t xml:space="preserve"> during that time.</w:t>
      </w:r>
    </w:p>
    <w:p w14:paraId="3E85A1EA" w14:textId="77777777" w:rsidR="00C518CC" w:rsidRPr="00B238CA" w:rsidRDefault="00C518CC" w:rsidP="00F4115C">
      <w:pPr>
        <w:pStyle w:val="TextPara"/>
      </w:pPr>
      <w:r w:rsidRPr="00B238CA">
        <w:t xml:space="preserve">In real terms, TAC claims for hospitalised injuries increased by </w:t>
      </w:r>
      <w:r>
        <w:t>67.5</w:t>
      </w:r>
      <w:r w:rsidRPr="00B238CA">
        <w:t>% between 2006 and 201</w:t>
      </w:r>
      <w:r>
        <w:t>8</w:t>
      </w:r>
      <w:r w:rsidRPr="00B238CA">
        <w:t xml:space="preserve">. However, because there were </w:t>
      </w:r>
      <w:r w:rsidRPr="000B475D">
        <w:rPr>
          <w:i/>
        </w:rPr>
        <w:t>fewer</w:t>
      </w:r>
      <w:r w:rsidRPr="00B238CA">
        <w:t xml:space="preserve"> hospitalised injuries in 201</w:t>
      </w:r>
      <w:r>
        <w:t>8</w:t>
      </w:r>
      <w:r w:rsidRPr="00B238CA">
        <w:t xml:space="preserve"> than there were in 2006, the real cost </w:t>
      </w:r>
      <w:r w:rsidRPr="00D12630">
        <w:rPr>
          <w:i/>
        </w:rPr>
        <w:t>per hospitalised injury</w:t>
      </w:r>
      <w:r w:rsidRPr="00B238CA">
        <w:t xml:space="preserve"> increased by </w:t>
      </w:r>
      <w:r>
        <w:t>79.9</w:t>
      </w:r>
      <w:r w:rsidRPr="00B238CA">
        <w:t>%.</w:t>
      </w:r>
    </w:p>
    <w:p w14:paraId="27A15B09" w14:textId="630029AB" w:rsidR="00122C1B" w:rsidRPr="005867EC" w:rsidRDefault="00122C1B" w:rsidP="007867D1">
      <w:pPr>
        <w:pStyle w:val="Caption"/>
      </w:pPr>
      <w:bookmarkStart w:id="187" w:name="_Ref508710972"/>
      <w:bookmarkStart w:id="188" w:name="_Ref508710976"/>
      <w:bookmarkStart w:id="189" w:name="_Toc511142926"/>
      <w:bookmarkStart w:id="190" w:name="_Toc10703709"/>
      <w:r w:rsidRPr="005867EC">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16</w:t>
      </w:r>
      <w:r w:rsidR="00BC6B2E">
        <w:rPr>
          <w:noProof/>
        </w:rPr>
        <w:fldChar w:fldCharType="end"/>
      </w:r>
      <w:bookmarkEnd w:id="187"/>
      <w:r w:rsidRPr="005867EC">
        <w:t xml:space="preserve"> – Cost of road trauma in Victoria</w:t>
      </w:r>
      <w:bookmarkEnd w:id="188"/>
      <w:bookmarkEnd w:id="189"/>
      <w:bookmarkEnd w:id="190"/>
    </w:p>
    <w:tbl>
      <w:tblPr>
        <w:tblStyle w:val="RIS-Table2"/>
        <w:tblW w:w="9668" w:type="dxa"/>
        <w:tblLayout w:type="fixed"/>
        <w:tblLook w:val="04A0" w:firstRow="1" w:lastRow="0" w:firstColumn="1" w:lastColumn="0" w:noHBand="0" w:noVBand="1"/>
      </w:tblPr>
      <w:tblGrid>
        <w:gridCol w:w="4253"/>
        <w:gridCol w:w="1984"/>
        <w:gridCol w:w="1985"/>
        <w:gridCol w:w="1446"/>
      </w:tblGrid>
      <w:tr w:rsidR="00122C1B" w:rsidRPr="00F410C8" w14:paraId="44C897AE" w14:textId="77777777" w:rsidTr="00620A03">
        <w:trPr>
          <w:cnfStyle w:val="100000000000" w:firstRow="1" w:lastRow="0" w:firstColumn="0" w:lastColumn="0" w:oddVBand="0" w:evenVBand="0" w:oddHBand="0" w:evenHBand="0" w:firstRowFirstColumn="0" w:firstRowLastColumn="0" w:lastRowFirstColumn="0" w:lastRowLastColumn="0"/>
        </w:trPr>
        <w:tc>
          <w:tcPr>
            <w:tcW w:w="4253" w:type="dxa"/>
          </w:tcPr>
          <w:p w14:paraId="742E379E" w14:textId="77777777" w:rsidR="00122C1B" w:rsidRPr="00F410C8" w:rsidRDefault="00122C1B" w:rsidP="00CD4E14">
            <w:pPr>
              <w:pStyle w:val="Default"/>
              <w:spacing w:after="40" w:line="276" w:lineRule="auto"/>
              <w:rPr>
                <w:rFonts w:ascii="Segoe UI" w:hAnsi="Segoe UI" w:cs="Segoe UI"/>
                <w:color w:val="FFFFFF" w:themeColor="background1"/>
                <w:sz w:val="18"/>
                <w:szCs w:val="18"/>
              </w:rPr>
            </w:pPr>
            <w:r w:rsidRPr="00F410C8">
              <w:rPr>
                <w:rFonts w:ascii="Segoe UI" w:hAnsi="Segoe UI" w:cs="Segoe UI"/>
                <w:color w:val="FFFFFF" w:themeColor="background1"/>
                <w:sz w:val="18"/>
                <w:szCs w:val="18"/>
              </w:rPr>
              <w:t>Item</w:t>
            </w:r>
          </w:p>
        </w:tc>
        <w:tc>
          <w:tcPr>
            <w:tcW w:w="1984" w:type="dxa"/>
          </w:tcPr>
          <w:p w14:paraId="2C188FF3" w14:textId="77777777" w:rsidR="00122C1B" w:rsidRPr="00F410C8" w:rsidRDefault="00122C1B" w:rsidP="00CD4E14">
            <w:pPr>
              <w:pStyle w:val="Default"/>
              <w:spacing w:after="40" w:line="276" w:lineRule="auto"/>
              <w:rPr>
                <w:rFonts w:ascii="Segoe UI" w:hAnsi="Segoe UI" w:cs="Segoe UI"/>
                <w:color w:val="FFFFFF" w:themeColor="background1"/>
                <w:sz w:val="18"/>
                <w:szCs w:val="18"/>
              </w:rPr>
            </w:pPr>
            <w:r w:rsidRPr="00F410C8">
              <w:rPr>
                <w:rFonts w:ascii="Segoe UI" w:hAnsi="Segoe UI" w:cs="Segoe UI"/>
                <w:color w:val="FFFFFF" w:themeColor="background1"/>
                <w:sz w:val="18"/>
                <w:szCs w:val="18"/>
              </w:rPr>
              <w:t>2006 (201</w:t>
            </w:r>
            <w:r w:rsidR="00EC7538">
              <w:rPr>
                <w:rFonts w:ascii="Segoe UI" w:hAnsi="Segoe UI" w:cs="Segoe UI"/>
                <w:color w:val="FFFFFF" w:themeColor="background1"/>
                <w:sz w:val="18"/>
                <w:szCs w:val="18"/>
              </w:rPr>
              <w:t>8</w:t>
            </w:r>
            <w:r w:rsidRPr="00F410C8">
              <w:rPr>
                <w:rFonts w:ascii="Segoe UI" w:hAnsi="Segoe UI" w:cs="Segoe UI"/>
                <w:color w:val="FFFFFF" w:themeColor="background1"/>
                <w:sz w:val="18"/>
                <w:szCs w:val="18"/>
              </w:rPr>
              <w:t xml:space="preserve"> dollars)</w:t>
            </w:r>
          </w:p>
        </w:tc>
        <w:tc>
          <w:tcPr>
            <w:tcW w:w="1985" w:type="dxa"/>
          </w:tcPr>
          <w:p w14:paraId="45573851" w14:textId="77777777" w:rsidR="00122C1B" w:rsidRPr="00F410C8" w:rsidRDefault="00122C1B" w:rsidP="00CD4E14">
            <w:pPr>
              <w:pStyle w:val="Default"/>
              <w:spacing w:after="40" w:line="276" w:lineRule="auto"/>
              <w:rPr>
                <w:rFonts w:ascii="Segoe UI" w:hAnsi="Segoe UI" w:cs="Segoe UI"/>
                <w:bCs/>
                <w:color w:val="FFFFFF" w:themeColor="background1"/>
                <w:sz w:val="18"/>
                <w:szCs w:val="18"/>
              </w:rPr>
            </w:pPr>
            <w:r w:rsidRPr="00F410C8">
              <w:rPr>
                <w:rFonts w:ascii="Segoe UI" w:hAnsi="Segoe UI" w:cs="Segoe UI"/>
                <w:bCs/>
                <w:color w:val="FFFFFF" w:themeColor="background1"/>
                <w:sz w:val="18"/>
                <w:szCs w:val="18"/>
              </w:rPr>
              <w:t>2017 (201</w:t>
            </w:r>
            <w:r w:rsidR="00EC7538">
              <w:rPr>
                <w:rFonts w:ascii="Segoe UI" w:hAnsi="Segoe UI" w:cs="Segoe UI"/>
                <w:bCs/>
                <w:color w:val="FFFFFF" w:themeColor="background1"/>
                <w:sz w:val="18"/>
                <w:szCs w:val="18"/>
              </w:rPr>
              <w:t>8</w:t>
            </w:r>
            <w:r w:rsidRPr="00F410C8">
              <w:rPr>
                <w:rFonts w:ascii="Segoe UI" w:hAnsi="Segoe UI" w:cs="Segoe UI"/>
                <w:bCs/>
                <w:color w:val="FFFFFF" w:themeColor="background1"/>
                <w:sz w:val="18"/>
                <w:szCs w:val="18"/>
              </w:rPr>
              <w:t xml:space="preserve"> dollars)</w:t>
            </w:r>
          </w:p>
        </w:tc>
        <w:tc>
          <w:tcPr>
            <w:tcW w:w="1446" w:type="dxa"/>
          </w:tcPr>
          <w:p w14:paraId="3E184980" w14:textId="77777777" w:rsidR="00122C1B" w:rsidRPr="00F410C8" w:rsidRDefault="00122C1B" w:rsidP="00CD4E14">
            <w:pPr>
              <w:pStyle w:val="Default"/>
              <w:spacing w:after="40" w:line="276" w:lineRule="auto"/>
              <w:rPr>
                <w:rFonts w:ascii="Segoe UI" w:hAnsi="Segoe UI" w:cs="Segoe UI"/>
                <w:bCs/>
                <w:color w:val="FFFFFF" w:themeColor="background1"/>
                <w:sz w:val="18"/>
                <w:szCs w:val="18"/>
              </w:rPr>
            </w:pPr>
            <w:r w:rsidRPr="00F410C8">
              <w:rPr>
                <w:rFonts w:ascii="Segoe UI" w:hAnsi="Segoe UI" w:cs="Segoe UI"/>
                <w:bCs/>
                <w:color w:val="FFFFFF" w:themeColor="background1"/>
                <w:sz w:val="18"/>
                <w:szCs w:val="18"/>
              </w:rPr>
              <w:t>Change (%)</w:t>
            </w:r>
          </w:p>
        </w:tc>
      </w:tr>
      <w:tr w:rsidR="00122C1B" w:rsidRPr="0008335F" w14:paraId="0214CF1B" w14:textId="77777777" w:rsidTr="00C26A40">
        <w:trPr>
          <w:trHeight w:val="283"/>
        </w:trPr>
        <w:tc>
          <w:tcPr>
            <w:tcW w:w="4253" w:type="dxa"/>
            <w:tcBorders>
              <w:bottom w:val="single" w:sz="4" w:space="0" w:color="BFBFBF" w:themeColor="background1" w:themeShade="BF"/>
            </w:tcBorders>
            <w:shd w:val="clear" w:color="auto" w:fill="auto"/>
          </w:tcPr>
          <w:p w14:paraId="5E6FC26E" w14:textId="77777777" w:rsidR="00122C1B" w:rsidRPr="005B3C34" w:rsidRDefault="00122C1B" w:rsidP="00CD4E14">
            <w:pPr>
              <w:pStyle w:val="Default"/>
              <w:spacing w:after="40" w:line="276" w:lineRule="auto"/>
              <w:rPr>
                <w:rFonts w:ascii="Segoe UI" w:hAnsi="Segoe UI" w:cs="Segoe UI"/>
                <w:b/>
                <w:bCs/>
                <w:sz w:val="18"/>
                <w:szCs w:val="18"/>
              </w:rPr>
            </w:pPr>
            <w:r w:rsidRPr="005B3C34">
              <w:rPr>
                <w:rFonts w:ascii="Segoe UI" w:hAnsi="Segoe UI" w:cs="Segoe UI"/>
                <w:b/>
                <w:bCs/>
                <w:sz w:val="18"/>
                <w:szCs w:val="18"/>
              </w:rPr>
              <w:t>Road fatalities</w:t>
            </w:r>
            <w:r w:rsidRPr="005B3C34">
              <w:rPr>
                <w:rStyle w:val="EndnoteReference"/>
                <w:rFonts w:ascii="Segoe UI" w:hAnsi="Segoe UI" w:cs="Segoe UI"/>
                <w:bCs/>
                <w:sz w:val="18"/>
                <w:szCs w:val="18"/>
              </w:rPr>
              <w:endnoteReference w:id="192"/>
            </w:r>
          </w:p>
        </w:tc>
        <w:tc>
          <w:tcPr>
            <w:tcW w:w="1984" w:type="dxa"/>
            <w:tcBorders>
              <w:bottom w:val="single" w:sz="4" w:space="0" w:color="BFBFBF" w:themeColor="background1" w:themeShade="BF"/>
            </w:tcBorders>
            <w:shd w:val="clear" w:color="auto" w:fill="auto"/>
          </w:tcPr>
          <w:p w14:paraId="0082D619" w14:textId="77777777" w:rsidR="00122C1B" w:rsidRPr="005B3C34" w:rsidRDefault="00122C1B" w:rsidP="008D53FE">
            <w:pPr>
              <w:pStyle w:val="Default"/>
              <w:spacing w:after="40" w:line="276" w:lineRule="auto"/>
              <w:jc w:val="right"/>
              <w:rPr>
                <w:rFonts w:ascii="Segoe UI" w:hAnsi="Segoe UI" w:cs="Segoe UI"/>
                <w:sz w:val="18"/>
                <w:szCs w:val="18"/>
              </w:rPr>
            </w:pPr>
            <w:r w:rsidRPr="005B3C34">
              <w:rPr>
                <w:rFonts w:ascii="Segoe UI" w:hAnsi="Segoe UI" w:cs="Segoe UI"/>
                <w:sz w:val="18"/>
                <w:szCs w:val="18"/>
              </w:rPr>
              <w:t>337</w:t>
            </w:r>
          </w:p>
        </w:tc>
        <w:tc>
          <w:tcPr>
            <w:tcW w:w="1985" w:type="dxa"/>
            <w:tcBorders>
              <w:bottom w:val="single" w:sz="4" w:space="0" w:color="BFBFBF" w:themeColor="background1" w:themeShade="BF"/>
            </w:tcBorders>
            <w:shd w:val="clear" w:color="auto" w:fill="auto"/>
          </w:tcPr>
          <w:p w14:paraId="365C3248" w14:textId="77777777" w:rsidR="00122C1B" w:rsidRPr="005B3C34" w:rsidRDefault="00C518CC" w:rsidP="008D53FE">
            <w:pPr>
              <w:spacing w:after="40"/>
              <w:jc w:val="right"/>
              <w:rPr>
                <w:rFonts w:ascii="Segoe UI" w:hAnsi="Segoe UI" w:cs="Segoe UI"/>
                <w:bCs/>
                <w:sz w:val="18"/>
                <w:szCs w:val="18"/>
              </w:rPr>
            </w:pPr>
            <w:r w:rsidRPr="005B3C34">
              <w:rPr>
                <w:rFonts w:ascii="Segoe UI" w:hAnsi="Segoe UI" w:cs="Segoe UI"/>
                <w:bCs/>
                <w:sz w:val="18"/>
                <w:szCs w:val="18"/>
              </w:rPr>
              <w:t>2</w:t>
            </w:r>
            <w:r>
              <w:rPr>
                <w:rFonts w:ascii="Segoe UI" w:hAnsi="Segoe UI" w:cs="Segoe UI"/>
                <w:bCs/>
                <w:sz w:val="18"/>
                <w:szCs w:val="18"/>
              </w:rPr>
              <w:t>14</w:t>
            </w:r>
            <w:r w:rsidRPr="005B3C34">
              <w:rPr>
                <w:rFonts w:ascii="Segoe UI" w:hAnsi="Segoe UI" w:cs="Segoe UI"/>
                <w:bCs/>
                <w:sz w:val="18"/>
                <w:szCs w:val="18"/>
              </w:rPr>
              <w:t xml:space="preserve"> </w:t>
            </w:r>
          </w:p>
        </w:tc>
        <w:tc>
          <w:tcPr>
            <w:tcW w:w="1446" w:type="dxa"/>
            <w:tcBorders>
              <w:bottom w:val="single" w:sz="4" w:space="0" w:color="BFBFBF" w:themeColor="background1" w:themeShade="BF"/>
            </w:tcBorders>
            <w:shd w:val="clear" w:color="auto" w:fill="auto"/>
          </w:tcPr>
          <w:p w14:paraId="0A01CCA7" w14:textId="77777777" w:rsidR="00122C1B" w:rsidRPr="005B3C34" w:rsidRDefault="00122C1B" w:rsidP="008D53FE">
            <w:pPr>
              <w:spacing w:after="40"/>
              <w:jc w:val="right"/>
              <w:rPr>
                <w:rFonts w:ascii="Segoe UI" w:hAnsi="Segoe UI" w:cs="Segoe UI"/>
                <w:bCs/>
                <w:sz w:val="18"/>
                <w:szCs w:val="18"/>
              </w:rPr>
            </w:pPr>
            <w:r w:rsidRPr="005B3C34">
              <w:rPr>
                <w:rFonts w:ascii="Segoe UI" w:hAnsi="Segoe UI" w:cs="Segoe UI"/>
                <w:bCs/>
                <w:sz w:val="18"/>
                <w:szCs w:val="18"/>
              </w:rPr>
              <w:sym w:font="Wingdings" w:char="F0E2"/>
            </w:r>
            <w:r>
              <w:rPr>
                <w:rFonts w:ascii="Segoe UI" w:hAnsi="Segoe UI" w:cs="Segoe UI"/>
                <w:bCs/>
                <w:sz w:val="18"/>
                <w:szCs w:val="18"/>
              </w:rPr>
              <w:t xml:space="preserve"> </w:t>
            </w:r>
            <w:r w:rsidR="00C518CC">
              <w:rPr>
                <w:rFonts w:ascii="Segoe UI" w:hAnsi="Segoe UI" w:cs="Segoe UI"/>
                <w:bCs/>
                <w:sz w:val="18"/>
                <w:szCs w:val="18"/>
              </w:rPr>
              <w:t>36.5</w:t>
            </w:r>
            <w:r>
              <w:rPr>
                <w:rFonts w:ascii="Segoe UI" w:hAnsi="Segoe UI" w:cs="Segoe UI"/>
                <w:bCs/>
                <w:sz w:val="18"/>
                <w:szCs w:val="18"/>
              </w:rPr>
              <w:t>%</w:t>
            </w:r>
          </w:p>
        </w:tc>
      </w:tr>
      <w:tr w:rsidR="00122C1B" w:rsidRPr="0008335F" w14:paraId="32F3CC7D" w14:textId="77777777" w:rsidTr="00C26A40">
        <w:trPr>
          <w:cnfStyle w:val="000000010000" w:firstRow="0" w:lastRow="0" w:firstColumn="0" w:lastColumn="0" w:oddVBand="0" w:evenVBand="0" w:oddHBand="0" w:evenHBand="1" w:firstRowFirstColumn="0" w:firstRowLastColumn="0" w:lastRowFirstColumn="0" w:lastRowLastColumn="0"/>
          <w:trHeight w:val="283"/>
        </w:trPr>
        <w:tc>
          <w:tcPr>
            <w:tcW w:w="4253" w:type="dxa"/>
            <w:tcBorders>
              <w:bottom w:val="double" w:sz="4" w:space="0" w:color="BFBFBF" w:themeColor="background1" w:themeShade="BF"/>
            </w:tcBorders>
            <w:shd w:val="clear" w:color="auto" w:fill="auto"/>
          </w:tcPr>
          <w:p w14:paraId="7359E744" w14:textId="77777777" w:rsidR="00122C1B" w:rsidRPr="005B3C34" w:rsidRDefault="00122C1B" w:rsidP="00742447">
            <w:pPr>
              <w:pStyle w:val="Default"/>
              <w:spacing w:after="40" w:line="276" w:lineRule="auto"/>
              <w:rPr>
                <w:rFonts w:ascii="Segoe UI" w:hAnsi="Segoe UI" w:cs="Segoe UI"/>
                <w:b/>
                <w:bCs/>
                <w:sz w:val="18"/>
                <w:szCs w:val="18"/>
              </w:rPr>
            </w:pPr>
            <w:r w:rsidRPr="005B3C34">
              <w:rPr>
                <w:rFonts w:ascii="Segoe UI" w:hAnsi="Segoe UI" w:cs="Segoe UI"/>
                <w:b/>
                <w:bCs/>
                <w:sz w:val="18"/>
                <w:szCs w:val="18"/>
              </w:rPr>
              <w:t>Hospitalised injuries</w:t>
            </w:r>
          </w:p>
        </w:tc>
        <w:tc>
          <w:tcPr>
            <w:tcW w:w="1984" w:type="dxa"/>
            <w:tcBorders>
              <w:bottom w:val="double" w:sz="4" w:space="0" w:color="BFBFBF" w:themeColor="background1" w:themeShade="BF"/>
            </w:tcBorders>
            <w:shd w:val="clear" w:color="auto" w:fill="auto"/>
          </w:tcPr>
          <w:p w14:paraId="5B0A1F34" w14:textId="77777777" w:rsidR="00122C1B" w:rsidRPr="005B3C34" w:rsidRDefault="00122C1B" w:rsidP="00742447">
            <w:pPr>
              <w:pStyle w:val="Default"/>
              <w:spacing w:after="40" w:line="276" w:lineRule="auto"/>
              <w:jc w:val="right"/>
              <w:rPr>
                <w:rFonts w:ascii="Segoe UI" w:hAnsi="Segoe UI" w:cs="Segoe UI"/>
                <w:sz w:val="18"/>
                <w:szCs w:val="18"/>
              </w:rPr>
            </w:pPr>
            <w:r w:rsidRPr="005B3C34">
              <w:rPr>
                <w:rFonts w:ascii="Segoe UI" w:hAnsi="Segoe UI" w:cs="Segoe UI"/>
                <w:sz w:val="18"/>
                <w:szCs w:val="18"/>
              </w:rPr>
              <w:t>8,225</w:t>
            </w:r>
            <w:r w:rsidRPr="005B3C34">
              <w:rPr>
                <w:rStyle w:val="EndnoteReference"/>
                <w:rFonts w:ascii="Segoe UI" w:hAnsi="Segoe UI" w:cs="Segoe UI"/>
                <w:bCs/>
                <w:sz w:val="18"/>
                <w:szCs w:val="18"/>
              </w:rPr>
              <w:endnoteReference w:id="193"/>
            </w:r>
          </w:p>
        </w:tc>
        <w:tc>
          <w:tcPr>
            <w:tcW w:w="1985" w:type="dxa"/>
            <w:tcBorders>
              <w:bottom w:val="double" w:sz="4" w:space="0" w:color="BFBFBF" w:themeColor="background1" w:themeShade="BF"/>
            </w:tcBorders>
            <w:shd w:val="clear" w:color="auto" w:fill="auto"/>
          </w:tcPr>
          <w:p w14:paraId="2E5BF644" w14:textId="77777777" w:rsidR="00122C1B" w:rsidRPr="005B3C34" w:rsidRDefault="00122C1B" w:rsidP="00742447">
            <w:pPr>
              <w:spacing w:after="40"/>
              <w:jc w:val="right"/>
              <w:rPr>
                <w:rFonts w:ascii="Segoe UI" w:hAnsi="Segoe UI" w:cs="Segoe UI"/>
                <w:bCs/>
                <w:sz w:val="18"/>
                <w:szCs w:val="18"/>
              </w:rPr>
            </w:pPr>
            <w:r w:rsidRPr="005B3C34">
              <w:rPr>
                <w:rFonts w:ascii="Segoe UI" w:hAnsi="Segoe UI" w:cs="Segoe UI"/>
                <w:bCs/>
                <w:sz w:val="18"/>
                <w:szCs w:val="18"/>
              </w:rPr>
              <w:t>7,</w:t>
            </w:r>
            <w:r w:rsidR="00C518CC">
              <w:rPr>
                <w:rFonts w:ascii="Segoe UI" w:hAnsi="Segoe UI" w:cs="Segoe UI"/>
                <w:bCs/>
                <w:sz w:val="18"/>
                <w:szCs w:val="18"/>
              </w:rPr>
              <w:t>654</w:t>
            </w:r>
            <w:r w:rsidRPr="005B3C34">
              <w:rPr>
                <w:rStyle w:val="EndnoteReference"/>
                <w:rFonts w:ascii="Segoe UI" w:hAnsi="Segoe UI" w:cs="Segoe UI"/>
                <w:bCs/>
                <w:sz w:val="18"/>
                <w:szCs w:val="18"/>
              </w:rPr>
              <w:endnoteReference w:id="194"/>
            </w:r>
            <w:r w:rsidRPr="005B3C34">
              <w:rPr>
                <w:rFonts w:ascii="Segoe UI" w:hAnsi="Segoe UI" w:cs="Segoe UI"/>
                <w:bCs/>
                <w:sz w:val="18"/>
                <w:szCs w:val="18"/>
              </w:rPr>
              <w:t xml:space="preserve"> </w:t>
            </w:r>
          </w:p>
        </w:tc>
        <w:tc>
          <w:tcPr>
            <w:tcW w:w="1446" w:type="dxa"/>
            <w:tcBorders>
              <w:bottom w:val="double" w:sz="4" w:space="0" w:color="BFBFBF" w:themeColor="background1" w:themeShade="BF"/>
            </w:tcBorders>
            <w:shd w:val="clear" w:color="auto" w:fill="auto"/>
          </w:tcPr>
          <w:p w14:paraId="19036985" w14:textId="77777777" w:rsidR="00122C1B" w:rsidRPr="005B3C34" w:rsidRDefault="00122C1B" w:rsidP="00742447">
            <w:pPr>
              <w:spacing w:after="40"/>
              <w:jc w:val="right"/>
              <w:rPr>
                <w:rFonts w:ascii="Segoe UI" w:hAnsi="Segoe UI" w:cs="Segoe UI"/>
                <w:bCs/>
                <w:sz w:val="18"/>
                <w:szCs w:val="18"/>
              </w:rPr>
            </w:pPr>
            <w:r w:rsidRPr="005B3C34">
              <w:rPr>
                <w:rFonts w:ascii="Segoe UI" w:hAnsi="Segoe UI" w:cs="Segoe UI"/>
                <w:bCs/>
                <w:sz w:val="18"/>
                <w:szCs w:val="18"/>
              </w:rPr>
              <w:sym w:font="Wingdings" w:char="F0E2"/>
            </w:r>
            <w:r>
              <w:rPr>
                <w:rFonts w:ascii="Segoe UI" w:hAnsi="Segoe UI" w:cs="Segoe UI"/>
                <w:bCs/>
                <w:sz w:val="18"/>
                <w:szCs w:val="18"/>
              </w:rPr>
              <w:t xml:space="preserve">   </w:t>
            </w:r>
            <w:r w:rsidR="00C518CC">
              <w:rPr>
                <w:rFonts w:ascii="Segoe UI" w:hAnsi="Segoe UI" w:cs="Segoe UI"/>
                <w:bCs/>
                <w:sz w:val="18"/>
                <w:szCs w:val="18"/>
              </w:rPr>
              <w:t>6.9</w:t>
            </w:r>
            <w:r>
              <w:rPr>
                <w:rFonts w:ascii="Segoe UI" w:hAnsi="Segoe UI" w:cs="Segoe UI"/>
                <w:bCs/>
                <w:sz w:val="18"/>
                <w:szCs w:val="18"/>
              </w:rPr>
              <w:t>%</w:t>
            </w:r>
          </w:p>
        </w:tc>
      </w:tr>
      <w:tr w:rsidR="00122C1B" w:rsidRPr="0008335F" w14:paraId="365DEFD4" w14:textId="77777777" w:rsidTr="00C26A40">
        <w:trPr>
          <w:trHeight w:val="283"/>
        </w:trPr>
        <w:tc>
          <w:tcPr>
            <w:tcW w:w="4253" w:type="dxa"/>
            <w:tcBorders>
              <w:top w:val="double" w:sz="4" w:space="0" w:color="BFBFBF" w:themeColor="background1" w:themeShade="BF"/>
              <w:bottom w:val="single" w:sz="4" w:space="0" w:color="BFBFBF" w:themeColor="background1" w:themeShade="BF"/>
            </w:tcBorders>
            <w:shd w:val="clear" w:color="auto" w:fill="auto"/>
          </w:tcPr>
          <w:p w14:paraId="4DF8A197" w14:textId="77777777" w:rsidR="00122C1B" w:rsidRPr="005B3C34" w:rsidRDefault="00122C1B" w:rsidP="008D53FE">
            <w:pPr>
              <w:pStyle w:val="Default"/>
              <w:spacing w:after="40" w:line="276" w:lineRule="auto"/>
              <w:rPr>
                <w:rFonts w:ascii="Segoe UI" w:hAnsi="Segoe UI" w:cs="Segoe UI"/>
                <w:b/>
                <w:bCs/>
                <w:sz w:val="18"/>
                <w:szCs w:val="18"/>
              </w:rPr>
            </w:pPr>
            <w:r>
              <w:rPr>
                <w:rFonts w:ascii="Segoe UI" w:hAnsi="Segoe UI" w:cs="Segoe UI"/>
                <w:b/>
                <w:bCs/>
                <w:sz w:val="18"/>
                <w:szCs w:val="18"/>
              </w:rPr>
              <w:t>Average c</w:t>
            </w:r>
            <w:r w:rsidRPr="005B3C34">
              <w:rPr>
                <w:rFonts w:ascii="Segoe UI" w:hAnsi="Segoe UI" w:cs="Segoe UI"/>
                <w:b/>
                <w:bCs/>
                <w:sz w:val="18"/>
                <w:szCs w:val="18"/>
              </w:rPr>
              <w:t>ost per fatality (VSL)</w:t>
            </w:r>
          </w:p>
        </w:tc>
        <w:tc>
          <w:tcPr>
            <w:tcW w:w="1984" w:type="dxa"/>
            <w:tcBorders>
              <w:top w:val="double" w:sz="4" w:space="0" w:color="BFBFBF" w:themeColor="background1" w:themeShade="BF"/>
              <w:bottom w:val="single" w:sz="4" w:space="0" w:color="BFBFBF" w:themeColor="background1" w:themeShade="BF"/>
            </w:tcBorders>
            <w:shd w:val="clear" w:color="auto" w:fill="auto"/>
          </w:tcPr>
          <w:p w14:paraId="565BF0F3" w14:textId="77777777" w:rsidR="00122C1B" w:rsidRPr="005B3C34" w:rsidRDefault="00122C1B" w:rsidP="008D53FE">
            <w:pPr>
              <w:pStyle w:val="Default"/>
              <w:spacing w:after="40" w:line="276" w:lineRule="auto"/>
              <w:jc w:val="right"/>
              <w:rPr>
                <w:rFonts w:ascii="Segoe UI" w:hAnsi="Segoe UI" w:cs="Segoe UI"/>
                <w:sz w:val="18"/>
                <w:szCs w:val="18"/>
              </w:rPr>
            </w:pPr>
            <w:r w:rsidRPr="005B3C34">
              <w:rPr>
                <w:rFonts w:ascii="Segoe UI" w:hAnsi="Segoe UI" w:cs="Segoe UI"/>
                <w:sz w:val="18"/>
                <w:szCs w:val="18"/>
              </w:rPr>
              <w:t>$4.</w:t>
            </w:r>
            <w:r w:rsidR="00682FC5">
              <w:rPr>
                <w:rFonts w:ascii="Segoe UI" w:hAnsi="Segoe UI" w:cs="Segoe UI"/>
                <w:sz w:val="18"/>
                <w:szCs w:val="18"/>
              </w:rPr>
              <w:t>48</w:t>
            </w:r>
            <w:r w:rsidR="00682FC5" w:rsidRPr="005B3C34">
              <w:rPr>
                <w:rFonts w:ascii="Segoe UI" w:hAnsi="Segoe UI" w:cs="Segoe UI"/>
                <w:sz w:val="18"/>
                <w:szCs w:val="18"/>
              </w:rPr>
              <w:t xml:space="preserve"> </w:t>
            </w:r>
            <w:r w:rsidRPr="005B3C34">
              <w:rPr>
                <w:rFonts w:ascii="Segoe UI" w:hAnsi="Segoe UI" w:cs="Segoe UI"/>
                <w:sz w:val="18"/>
                <w:szCs w:val="18"/>
              </w:rPr>
              <w:t>million</w:t>
            </w:r>
          </w:p>
        </w:tc>
        <w:tc>
          <w:tcPr>
            <w:tcW w:w="1985" w:type="dxa"/>
            <w:tcBorders>
              <w:top w:val="double" w:sz="4" w:space="0" w:color="BFBFBF" w:themeColor="background1" w:themeShade="BF"/>
              <w:bottom w:val="single" w:sz="4" w:space="0" w:color="BFBFBF" w:themeColor="background1" w:themeShade="BF"/>
            </w:tcBorders>
            <w:shd w:val="clear" w:color="auto" w:fill="auto"/>
          </w:tcPr>
          <w:p w14:paraId="203784FA" w14:textId="77777777" w:rsidR="00122C1B" w:rsidRPr="005B3C34" w:rsidRDefault="00122C1B" w:rsidP="008D53FE">
            <w:pPr>
              <w:spacing w:after="40"/>
              <w:jc w:val="right"/>
              <w:rPr>
                <w:rFonts w:ascii="Segoe UI" w:hAnsi="Segoe UI" w:cs="Segoe UI"/>
                <w:bCs/>
                <w:sz w:val="18"/>
                <w:szCs w:val="18"/>
              </w:rPr>
            </w:pPr>
            <w:r w:rsidRPr="005B3C34">
              <w:rPr>
                <w:rFonts w:ascii="Segoe UI" w:hAnsi="Segoe UI" w:cs="Segoe UI"/>
                <w:bCs/>
                <w:sz w:val="18"/>
                <w:szCs w:val="18"/>
              </w:rPr>
              <w:t>$4.</w:t>
            </w:r>
            <w:r w:rsidR="00682FC5">
              <w:rPr>
                <w:rFonts w:ascii="Segoe UI" w:hAnsi="Segoe UI" w:cs="Segoe UI"/>
                <w:bCs/>
                <w:sz w:val="18"/>
                <w:szCs w:val="18"/>
              </w:rPr>
              <w:t>48</w:t>
            </w:r>
            <w:r w:rsidR="00682FC5" w:rsidRPr="005B3C34">
              <w:rPr>
                <w:rFonts w:ascii="Segoe UI" w:hAnsi="Segoe UI" w:cs="Segoe UI"/>
                <w:bCs/>
                <w:sz w:val="18"/>
                <w:szCs w:val="18"/>
              </w:rPr>
              <w:t xml:space="preserve"> </w:t>
            </w:r>
            <w:r w:rsidRPr="005B3C34">
              <w:rPr>
                <w:rFonts w:ascii="Segoe UI" w:hAnsi="Segoe UI" w:cs="Segoe UI"/>
                <w:bCs/>
                <w:sz w:val="18"/>
                <w:szCs w:val="18"/>
              </w:rPr>
              <w:t>million</w:t>
            </w:r>
            <w:r w:rsidRPr="005B3C34">
              <w:rPr>
                <w:rStyle w:val="EndnoteReference"/>
                <w:rFonts w:ascii="Segoe UI" w:hAnsi="Segoe UI" w:cs="Segoe UI"/>
                <w:bCs/>
                <w:sz w:val="18"/>
                <w:szCs w:val="18"/>
              </w:rPr>
              <w:endnoteReference w:id="195"/>
            </w:r>
          </w:p>
        </w:tc>
        <w:tc>
          <w:tcPr>
            <w:tcW w:w="1446" w:type="dxa"/>
            <w:tcBorders>
              <w:top w:val="double" w:sz="4" w:space="0" w:color="BFBFBF" w:themeColor="background1" w:themeShade="BF"/>
              <w:bottom w:val="single" w:sz="4" w:space="0" w:color="BFBFBF" w:themeColor="background1" w:themeShade="BF"/>
            </w:tcBorders>
            <w:shd w:val="clear" w:color="auto" w:fill="auto"/>
          </w:tcPr>
          <w:p w14:paraId="0CF5377A" w14:textId="77777777" w:rsidR="00122C1B" w:rsidRPr="005B3C34" w:rsidRDefault="00122C1B" w:rsidP="008D53FE">
            <w:pPr>
              <w:spacing w:after="40"/>
              <w:jc w:val="right"/>
              <w:rPr>
                <w:rFonts w:ascii="Segoe UI" w:hAnsi="Segoe UI" w:cs="Segoe UI"/>
                <w:bCs/>
                <w:sz w:val="18"/>
                <w:szCs w:val="18"/>
              </w:rPr>
            </w:pPr>
            <w:r>
              <w:rPr>
                <w:rFonts w:ascii="Segoe UI" w:hAnsi="Segoe UI" w:cs="Segoe UI"/>
                <w:bCs/>
                <w:sz w:val="18"/>
                <w:szCs w:val="18"/>
              </w:rPr>
              <w:t>-</w:t>
            </w:r>
          </w:p>
        </w:tc>
      </w:tr>
      <w:tr w:rsidR="00122C1B" w:rsidRPr="0008335F" w14:paraId="711BD16F" w14:textId="77777777" w:rsidTr="00C26A40">
        <w:trPr>
          <w:cnfStyle w:val="000000010000" w:firstRow="0" w:lastRow="0" w:firstColumn="0" w:lastColumn="0" w:oddVBand="0" w:evenVBand="0" w:oddHBand="0" w:evenHBand="1" w:firstRowFirstColumn="0" w:firstRowLastColumn="0" w:lastRowFirstColumn="0" w:lastRowLastColumn="0"/>
          <w:trHeight w:val="283"/>
        </w:trPr>
        <w:tc>
          <w:tcPr>
            <w:tcW w:w="4253" w:type="dxa"/>
            <w:tcBorders>
              <w:bottom w:val="double" w:sz="4" w:space="0" w:color="BFBFBF" w:themeColor="background1" w:themeShade="BF"/>
            </w:tcBorders>
            <w:shd w:val="clear" w:color="auto" w:fill="auto"/>
          </w:tcPr>
          <w:p w14:paraId="4CC66DCF" w14:textId="77777777" w:rsidR="00122C1B" w:rsidRPr="005B3C34" w:rsidRDefault="00122C1B" w:rsidP="00742447">
            <w:pPr>
              <w:pStyle w:val="Default"/>
              <w:spacing w:after="40" w:line="276" w:lineRule="auto"/>
              <w:rPr>
                <w:rFonts w:ascii="Segoe UI" w:hAnsi="Segoe UI" w:cs="Segoe UI"/>
                <w:b/>
                <w:bCs/>
                <w:sz w:val="18"/>
                <w:szCs w:val="18"/>
              </w:rPr>
            </w:pPr>
            <w:r>
              <w:rPr>
                <w:rFonts w:ascii="Segoe UI" w:hAnsi="Segoe UI" w:cs="Segoe UI"/>
                <w:b/>
                <w:bCs/>
                <w:sz w:val="18"/>
                <w:szCs w:val="18"/>
              </w:rPr>
              <w:t>Average c</w:t>
            </w:r>
            <w:r w:rsidRPr="005B3C34">
              <w:rPr>
                <w:rFonts w:ascii="Segoe UI" w:hAnsi="Segoe UI" w:cs="Segoe UI"/>
                <w:b/>
                <w:bCs/>
                <w:sz w:val="18"/>
                <w:szCs w:val="18"/>
              </w:rPr>
              <w:t>ost per hospitalised injury</w:t>
            </w:r>
          </w:p>
        </w:tc>
        <w:tc>
          <w:tcPr>
            <w:tcW w:w="1984" w:type="dxa"/>
            <w:tcBorders>
              <w:bottom w:val="double" w:sz="4" w:space="0" w:color="BFBFBF" w:themeColor="background1" w:themeShade="BF"/>
            </w:tcBorders>
            <w:shd w:val="clear" w:color="auto" w:fill="auto"/>
          </w:tcPr>
          <w:p w14:paraId="736F7736" w14:textId="77777777" w:rsidR="00122C1B" w:rsidRPr="005B3C34" w:rsidRDefault="00122C1B" w:rsidP="00742447">
            <w:pPr>
              <w:pStyle w:val="Default"/>
              <w:spacing w:after="40" w:line="276" w:lineRule="auto"/>
              <w:jc w:val="right"/>
              <w:rPr>
                <w:rFonts w:ascii="Segoe UI" w:hAnsi="Segoe UI" w:cs="Segoe UI"/>
                <w:sz w:val="18"/>
                <w:szCs w:val="18"/>
              </w:rPr>
            </w:pPr>
            <w:r w:rsidRPr="005B3C34">
              <w:rPr>
                <w:rFonts w:ascii="Segoe UI" w:hAnsi="Segoe UI" w:cs="Segoe UI"/>
                <w:sz w:val="18"/>
                <w:szCs w:val="18"/>
              </w:rPr>
              <w:t>$</w:t>
            </w:r>
            <w:r w:rsidR="00682FC5">
              <w:rPr>
                <w:rFonts w:ascii="Segoe UI" w:hAnsi="Segoe UI" w:cs="Segoe UI"/>
                <w:sz w:val="18"/>
                <w:szCs w:val="18"/>
              </w:rPr>
              <w:t>107,993</w:t>
            </w:r>
          </w:p>
        </w:tc>
        <w:tc>
          <w:tcPr>
            <w:tcW w:w="1985" w:type="dxa"/>
            <w:tcBorders>
              <w:bottom w:val="double" w:sz="4" w:space="0" w:color="BFBFBF" w:themeColor="background1" w:themeShade="BF"/>
            </w:tcBorders>
            <w:shd w:val="clear" w:color="auto" w:fill="auto"/>
          </w:tcPr>
          <w:p w14:paraId="163D4ABB" w14:textId="77777777" w:rsidR="00122C1B" w:rsidRPr="00DC1DEB" w:rsidRDefault="00122C1B" w:rsidP="009E61BE">
            <w:pPr>
              <w:pStyle w:val="Footnote"/>
              <w:jc w:val="right"/>
              <w:rPr>
                <w:sz w:val="18"/>
                <w:szCs w:val="18"/>
              </w:rPr>
            </w:pPr>
            <w:r w:rsidRPr="00DC1DEB">
              <w:rPr>
                <w:sz w:val="18"/>
                <w:szCs w:val="18"/>
              </w:rPr>
              <w:t>$</w:t>
            </w:r>
            <w:r w:rsidR="00682FC5">
              <w:rPr>
                <w:sz w:val="18"/>
                <w:szCs w:val="18"/>
              </w:rPr>
              <w:t>194,327</w:t>
            </w:r>
            <w:r w:rsidRPr="00DC1DEB">
              <w:rPr>
                <w:sz w:val="18"/>
                <w:szCs w:val="18"/>
              </w:rPr>
              <w:t xml:space="preserve"> </w:t>
            </w:r>
          </w:p>
        </w:tc>
        <w:tc>
          <w:tcPr>
            <w:tcW w:w="1446" w:type="dxa"/>
            <w:tcBorders>
              <w:bottom w:val="double" w:sz="4" w:space="0" w:color="BFBFBF" w:themeColor="background1" w:themeShade="BF"/>
            </w:tcBorders>
            <w:shd w:val="clear" w:color="auto" w:fill="auto"/>
          </w:tcPr>
          <w:p w14:paraId="4868A201" w14:textId="77777777" w:rsidR="00122C1B" w:rsidRPr="00DC1DEB" w:rsidRDefault="00122C1B" w:rsidP="001773AC">
            <w:pPr>
              <w:pStyle w:val="Footnote"/>
              <w:jc w:val="right"/>
              <w:rPr>
                <w:sz w:val="18"/>
                <w:szCs w:val="18"/>
              </w:rPr>
            </w:pPr>
            <w:r w:rsidRPr="00DC1DEB">
              <w:rPr>
                <w:sz w:val="18"/>
                <w:szCs w:val="18"/>
              </w:rPr>
              <w:sym w:font="Wingdings" w:char="F0E1"/>
            </w:r>
            <w:r w:rsidRPr="00DC1DEB">
              <w:rPr>
                <w:sz w:val="18"/>
                <w:szCs w:val="18"/>
              </w:rPr>
              <w:t xml:space="preserve"> </w:t>
            </w:r>
            <w:r w:rsidR="00682FC5">
              <w:rPr>
                <w:sz w:val="18"/>
                <w:szCs w:val="18"/>
              </w:rPr>
              <w:t>79.9</w:t>
            </w:r>
            <w:r w:rsidRPr="00DC1DEB">
              <w:rPr>
                <w:sz w:val="18"/>
                <w:szCs w:val="18"/>
              </w:rPr>
              <w:t>%</w:t>
            </w:r>
            <w:r w:rsidR="001A454E" w:rsidRPr="00DC1DEB">
              <w:rPr>
                <w:sz w:val="18"/>
                <w:szCs w:val="18"/>
              </w:rPr>
              <w:t xml:space="preserve"> </w:t>
            </w:r>
          </w:p>
        </w:tc>
      </w:tr>
      <w:tr w:rsidR="00122C1B" w:rsidRPr="0008335F" w14:paraId="784AE34B" w14:textId="77777777" w:rsidTr="00C26A40">
        <w:trPr>
          <w:trHeight w:val="283"/>
        </w:trPr>
        <w:tc>
          <w:tcPr>
            <w:tcW w:w="4253" w:type="dxa"/>
            <w:tcBorders>
              <w:top w:val="double" w:sz="4" w:space="0" w:color="BFBFBF" w:themeColor="background1" w:themeShade="BF"/>
            </w:tcBorders>
            <w:shd w:val="clear" w:color="auto" w:fill="auto"/>
          </w:tcPr>
          <w:p w14:paraId="533E7DB1" w14:textId="77777777" w:rsidR="00122C1B" w:rsidRPr="005B3C34" w:rsidRDefault="00122C1B" w:rsidP="008D53FE">
            <w:pPr>
              <w:pStyle w:val="Default"/>
              <w:spacing w:after="40" w:line="276" w:lineRule="auto"/>
              <w:rPr>
                <w:rFonts w:ascii="Segoe UI" w:hAnsi="Segoe UI" w:cs="Segoe UI"/>
                <w:b/>
                <w:bCs/>
                <w:sz w:val="18"/>
                <w:szCs w:val="18"/>
              </w:rPr>
            </w:pPr>
            <w:r>
              <w:rPr>
                <w:rFonts w:ascii="Segoe UI" w:hAnsi="Segoe UI" w:cs="Segoe UI"/>
                <w:b/>
                <w:bCs/>
                <w:sz w:val="18"/>
                <w:szCs w:val="18"/>
              </w:rPr>
              <w:t>Total c</w:t>
            </w:r>
            <w:r w:rsidRPr="005B3C34">
              <w:rPr>
                <w:rFonts w:ascii="Segoe UI" w:hAnsi="Segoe UI" w:cs="Segoe UI"/>
                <w:b/>
                <w:bCs/>
                <w:sz w:val="18"/>
                <w:szCs w:val="18"/>
              </w:rPr>
              <w:t>ost of road fatalities (VSL)</w:t>
            </w:r>
            <w:r w:rsidRPr="005B3C34">
              <w:rPr>
                <w:rStyle w:val="EndnoteReference"/>
                <w:rFonts w:ascii="Segoe UI" w:hAnsi="Segoe UI" w:cs="Segoe UI"/>
                <w:bCs/>
                <w:sz w:val="18"/>
                <w:szCs w:val="18"/>
              </w:rPr>
              <w:t xml:space="preserve"> </w:t>
            </w:r>
          </w:p>
        </w:tc>
        <w:tc>
          <w:tcPr>
            <w:tcW w:w="1984" w:type="dxa"/>
            <w:tcBorders>
              <w:top w:val="double" w:sz="4" w:space="0" w:color="BFBFBF" w:themeColor="background1" w:themeShade="BF"/>
            </w:tcBorders>
            <w:shd w:val="clear" w:color="auto" w:fill="auto"/>
          </w:tcPr>
          <w:p w14:paraId="1F68DE92" w14:textId="77777777" w:rsidR="00122C1B" w:rsidRPr="005B3C34" w:rsidRDefault="00122C1B" w:rsidP="008D53FE">
            <w:pPr>
              <w:pStyle w:val="Default"/>
              <w:spacing w:after="40" w:line="276" w:lineRule="auto"/>
              <w:jc w:val="right"/>
              <w:rPr>
                <w:rFonts w:ascii="Segoe UI" w:hAnsi="Segoe UI" w:cs="Segoe UI"/>
                <w:sz w:val="18"/>
                <w:szCs w:val="18"/>
              </w:rPr>
            </w:pPr>
            <w:r w:rsidRPr="005B3C34">
              <w:rPr>
                <w:rFonts w:ascii="Segoe UI" w:hAnsi="Segoe UI" w:cs="Segoe UI"/>
                <w:sz w:val="18"/>
                <w:szCs w:val="18"/>
              </w:rPr>
              <w:t>$1,</w:t>
            </w:r>
            <w:r w:rsidR="00682FC5">
              <w:rPr>
                <w:rFonts w:ascii="Segoe UI" w:hAnsi="Segoe UI" w:cs="Segoe UI"/>
                <w:sz w:val="18"/>
                <w:szCs w:val="18"/>
              </w:rPr>
              <w:t>510</w:t>
            </w:r>
            <w:r w:rsidR="00682FC5" w:rsidRPr="005B3C34">
              <w:rPr>
                <w:rFonts w:ascii="Segoe UI" w:hAnsi="Segoe UI" w:cs="Segoe UI"/>
                <w:sz w:val="18"/>
                <w:szCs w:val="18"/>
              </w:rPr>
              <w:t xml:space="preserve"> </w:t>
            </w:r>
            <w:r w:rsidRPr="005B3C34">
              <w:rPr>
                <w:rFonts w:ascii="Segoe UI" w:hAnsi="Segoe UI" w:cs="Segoe UI"/>
                <w:sz w:val="18"/>
                <w:szCs w:val="18"/>
              </w:rPr>
              <w:t>million</w:t>
            </w:r>
          </w:p>
        </w:tc>
        <w:tc>
          <w:tcPr>
            <w:tcW w:w="1985" w:type="dxa"/>
            <w:tcBorders>
              <w:top w:val="double" w:sz="4" w:space="0" w:color="BFBFBF" w:themeColor="background1" w:themeShade="BF"/>
            </w:tcBorders>
            <w:shd w:val="clear" w:color="auto" w:fill="auto"/>
          </w:tcPr>
          <w:p w14:paraId="152F56C4" w14:textId="77777777" w:rsidR="00122C1B" w:rsidRPr="005B3C34" w:rsidRDefault="00122C1B" w:rsidP="008D53FE">
            <w:pPr>
              <w:spacing w:after="40"/>
              <w:jc w:val="right"/>
              <w:rPr>
                <w:rFonts w:ascii="Segoe UI" w:hAnsi="Segoe UI" w:cs="Segoe UI"/>
                <w:bCs/>
                <w:sz w:val="18"/>
                <w:szCs w:val="18"/>
              </w:rPr>
            </w:pPr>
            <w:r w:rsidRPr="005B3C34">
              <w:rPr>
                <w:rFonts w:ascii="Segoe UI" w:hAnsi="Segoe UI" w:cs="Segoe UI"/>
                <w:bCs/>
                <w:sz w:val="18"/>
                <w:szCs w:val="18"/>
              </w:rPr>
              <w:t>$</w:t>
            </w:r>
            <w:r w:rsidR="00682FC5">
              <w:rPr>
                <w:rFonts w:ascii="Segoe UI" w:hAnsi="Segoe UI" w:cs="Segoe UI"/>
                <w:bCs/>
                <w:sz w:val="18"/>
                <w:szCs w:val="18"/>
              </w:rPr>
              <w:t>959</w:t>
            </w:r>
            <w:r w:rsidRPr="005B3C34">
              <w:rPr>
                <w:rFonts w:ascii="Segoe UI" w:hAnsi="Segoe UI" w:cs="Segoe UI"/>
                <w:bCs/>
                <w:sz w:val="18"/>
                <w:szCs w:val="18"/>
              </w:rPr>
              <w:t xml:space="preserve"> million </w:t>
            </w:r>
          </w:p>
        </w:tc>
        <w:tc>
          <w:tcPr>
            <w:tcW w:w="1446" w:type="dxa"/>
            <w:tcBorders>
              <w:top w:val="double" w:sz="4" w:space="0" w:color="BFBFBF" w:themeColor="background1" w:themeShade="BF"/>
            </w:tcBorders>
            <w:shd w:val="clear" w:color="auto" w:fill="auto"/>
          </w:tcPr>
          <w:p w14:paraId="54205ADE" w14:textId="77777777" w:rsidR="00122C1B" w:rsidRPr="005B3C34" w:rsidRDefault="00122C1B" w:rsidP="008D53FE">
            <w:pPr>
              <w:spacing w:after="40"/>
              <w:jc w:val="right"/>
              <w:rPr>
                <w:rFonts w:ascii="Segoe UI" w:hAnsi="Segoe UI" w:cs="Segoe UI"/>
                <w:bCs/>
                <w:sz w:val="18"/>
                <w:szCs w:val="18"/>
              </w:rPr>
            </w:pPr>
            <w:r w:rsidRPr="005B3C34">
              <w:rPr>
                <w:rFonts w:ascii="Segoe UI" w:hAnsi="Segoe UI" w:cs="Segoe UI"/>
                <w:bCs/>
                <w:sz w:val="18"/>
                <w:szCs w:val="18"/>
              </w:rPr>
              <w:sym w:font="Wingdings" w:char="F0E2"/>
            </w:r>
            <w:r w:rsidRPr="005B3C34">
              <w:rPr>
                <w:rFonts w:ascii="Segoe UI" w:hAnsi="Segoe UI" w:cs="Segoe UI"/>
                <w:bCs/>
                <w:sz w:val="18"/>
                <w:szCs w:val="18"/>
              </w:rPr>
              <w:t xml:space="preserve"> </w:t>
            </w:r>
            <w:r w:rsidR="00682FC5">
              <w:rPr>
                <w:rFonts w:ascii="Segoe UI" w:hAnsi="Segoe UI" w:cs="Segoe UI"/>
                <w:bCs/>
                <w:sz w:val="18"/>
                <w:szCs w:val="18"/>
              </w:rPr>
              <w:t>36.5</w:t>
            </w:r>
            <w:r w:rsidRPr="005B3C34">
              <w:rPr>
                <w:rFonts w:ascii="Segoe UI" w:hAnsi="Segoe UI" w:cs="Segoe UI"/>
                <w:bCs/>
                <w:sz w:val="18"/>
                <w:szCs w:val="18"/>
              </w:rPr>
              <w:t>%</w:t>
            </w:r>
          </w:p>
        </w:tc>
      </w:tr>
      <w:tr w:rsidR="00122C1B" w:rsidRPr="0008335F" w14:paraId="0B871857" w14:textId="77777777" w:rsidTr="00C26A40">
        <w:trPr>
          <w:cnfStyle w:val="000000010000" w:firstRow="0" w:lastRow="0" w:firstColumn="0" w:lastColumn="0" w:oddVBand="0" w:evenVBand="0" w:oddHBand="0" w:evenHBand="1" w:firstRowFirstColumn="0" w:firstRowLastColumn="0" w:lastRowFirstColumn="0" w:lastRowLastColumn="0"/>
          <w:trHeight w:val="283"/>
        </w:trPr>
        <w:tc>
          <w:tcPr>
            <w:tcW w:w="4253" w:type="dxa"/>
            <w:shd w:val="clear" w:color="auto" w:fill="auto"/>
          </w:tcPr>
          <w:p w14:paraId="6BFE9C9E" w14:textId="77777777" w:rsidR="00122C1B" w:rsidRPr="005B3C34" w:rsidRDefault="00122C1B" w:rsidP="008D53FE">
            <w:pPr>
              <w:pStyle w:val="Default"/>
              <w:spacing w:after="40" w:line="276" w:lineRule="auto"/>
              <w:rPr>
                <w:rFonts w:ascii="Segoe UI" w:hAnsi="Segoe UI" w:cs="Segoe UI"/>
                <w:b/>
                <w:bCs/>
                <w:sz w:val="18"/>
                <w:szCs w:val="18"/>
              </w:rPr>
            </w:pPr>
            <w:r>
              <w:rPr>
                <w:rFonts w:ascii="Segoe UI" w:hAnsi="Segoe UI" w:cs="Segoe UI"/>
                <w:b/>
                <w:bCs/>
                <w:sz w:val="18"/>
                <w:szCs w:val="18"/>
              </w:rPr>
              <w:t>Total c</w:t>
            </w:r>
            <w:r w:rsidRPr="005B3C34">
              <w:rPr>
                <w:rFonts w:ascii="Segoe UI" w:hAnsi="Segoe UI" w:cs="Segoe UI"/>
                <w:b/>
                <w:bCs/>
                <w:sz w:val="18"/>
                <w:szCs w:val="18"/>
              </w:rPr>
              <w:t>ost of hospitalised injuries – TAC claims</w:t>
            </w:r>
          </w:p>
        </w:tc>
        <w:tc>
          <w:tcPr>
            <w:tcW w:w="1984" w:type="dxa"/>
            <w:shd w:val="clear" w:color="auto" w:fill="auto"/>
          </w:tcPr>
          <w:p w14:paraId="21CB5AA7" w14:textId="77777777" w:rsidR="00122C1B" w:rsidRPr="005B3C34" w:rsidRDefault="00122C1B" w:rsidP="008D53FE">
            <w:pPr>
              <w:pStyle w:val="Default"/>
              <w:spacing w:after="40" w:line="276" w:lineRule="auto"/>
              <w:jc w:val="right"/>
              <w:rPr>
                <w:rFonts w:ascii="Segoe UI" w:hAnsi="Segoe UI" w:cs="Segoe UI"/>
                <w:sz w:val="18"/>
                <w:szCs w:val="18"/>
              </w:rPr>
            </w:pPr>
            <w:r w:rsidRPr="005B3C34">
              <w:rPr>
                <w:rFonts w:ascii="Segoe UI" w:hAnsi="Segoe UI" w:cs="Segoe UI"/>
                <w:sz w:val="18"/>
                <w:szCs w:val="18"/>
              </w:rPr>
              <w:t>$</w:t>
            </w:r>
            <w:r w:rsidR="00682FC5">
              <w:rPr>
                <w:rFonts w:ascii="Segoe UI" w:hAnsi="Segoe UI" w:cs="Segoe UI"/>
                <w:sz w:val="18"/>
                <w:szCs w:val="18"/>
              </w:rPr>
              <w:t>888</w:t>
            </w:r>
            <w:r w:rsidR="00682FC5" w:rsidRPr="005B3C34">
              <w:rPr>
                <w:rFonts w:ascii="Segoe UI" w:hAnsi="Segoe UI" w:cs="Segoe UI"/>
                <w:sz w:val="18"/>
                <w:szCs w:val="18"/>
              </w:rPr>
              <w:t xml:space="preserve"> </w:t>
            </w:r>
            <w:r w:rsidRPr="005B3C34">
              <w:rPr>
                <w:rFonts w:ascii="Segoe UI" w:hAnsi="Segoe UI" w:cs="Segoe UI"/>
                <w:sz w:val="18"/>
                <w:szCs w:val="18"/>
              </w:rPr>
              <w:t>million</w:t>
            </w:r>
            <w:bookmarkStart w:id="191" w:name="_Ref511231580"/>
            <w:r w:rsidRPr="005B3C34">
              <w:rPr>
                <w:rStyle w:val="EndnoteReference"/>
                <w:rFonts w:ascii="Segoe UI" w:hAnsi="Segoe UI" w:cs="Segoe UI"/>
                <w:sz w:val="18"/>
                <w:szCs w:val="18"/>
              </w:rPr>
              <w:endnoteReference w:id="196"/>
            </w:r>
            <w:bookmarkEnd w:id="191"/>
          </w:p>
        </w:tc>
        <w:tc>
          <w:tcPr>
            <w:tcW w:w="1985" w:type="dxa"/>
            <w:shd w:val="clear" w:color="auto" w:fill="auto"/>
          </w:tcPr>
          <w:p w14:paraId="116178E2" w14:textId="77777777" w:rsidR="00122C1B" w:rsidRPr="005B3C34" w:rsidRDefault="00122C1B" w:rsidP="008D53FE">
            <w:pPr>
              <w:spacing w:after="40"/>
              <w:jc w:val="right"/>
              <w:rPr>
                <w:rFonts w:ascii="Segoe UI" w:hAnsi="Segoe UI" w:cs="Segoe UI"/>
                <w:bCs/>
                <w:sz w:val="18"/>
                <w:szCs w:val="18"/>
              </w:rPr>
            </w:pPr>
            <w:r w:rsidRPr="005B3C34">
              <w:rPr>
                <w:rFonts w:ascii="Segoe UI" w:hAnsi="Segoe UI" w:cs="Segoe UI"/>
                <w:bCs/>
                <w:sz w:val="18"/>
                <w:szCs w:val="18"/>
              </w:rPr>
              <w:t>$1,</w:t>
            </w:r>
            <w:r w:rsidR="00682FC5">
              <w:rPr>
                <w:rFonts w:ascii="Segoe UI" w:hAnsi="Segoe UI" w:cs="Segoe UI"/>
                <w:bCs/>
                <w:sz w:val="18"/>
                <w:szCs w:val="18"/>
              </w:rPr>
              <w:t>487</w:t>
            </w:r>
            <w:r w:rsidR="00682FC5" w:rsidRPr="005B3C34">
              <w:rPr>
                <w:rFonts w:ascii="Segoe UI" w:hAnsi="Segoe UI" w:cs="Segoe UI"/>
                <w:bCs/>
                <w:sz w:val="18"/>
                <w:szCs w:val="18"/>
              </w:rPr>
              <w:t xml:space="preserve"> </w:t>
            </w:r>
            <w:r w:rsidRPr="005B3C34">
              <w:rPr>
                <w:rFonts w:ascii="Segoe UI" w:hAnsi="Segoe UI" w:cs="Segoe UI"/>
                <w:bCs/>
                <w:sz w:val="18"/>
                <w:szCs w:val="18"/>
              </w:rPr>
              <w:t>million</w:t>
            </w:r>
            <w:bookmarkStart w:id="192" w:name="_Ref510009732"/>
            <w:r w:rsidRPr="005B3C34">
              <w:rPr>
                <w:rStyle w:val="EndnoteReference"/>
                <w:rFonts w:ascii="Segoe UI" w:hAnsi="Segoe UI" w:cs="Segoe UI"/>
                <w:bCs/>
                <w:sz w:val="18"/>
                <w:szCs w:val="18"/>
              </w:rPr>
              <w:endnoteReference w:id="197"/>
            </w:r>
            <w:bookmarkEnd w:id="192"/>
            <w:r w:rsidRPr="005B3C34">
              <w:rPr>
                <w:rFonts w:ascii="Segoe UI" w:hAnsi="Segoe UI" w:cs="Segoe UI"/>
                <w:bCs/>
                <w:sz w:val="18"/>
                <w:szCs w:val="18"/>
              </w:rPr>
              <w:t xml:space="preserve"> </w:t>
            </w:r>
          </w:p>
        </w:tc>
        <w:tc>
          <w:tcPr>
            <w:tcW w:w="1446" w:type="dxa"/>
            <w:shd w:val="clear" w:color="auto" w:fill="auto"/>
          </w:tcPr>
          <w:p w14:paraId="63674320" w14:textId="77777777" w:rsidR="00122C1B" w:rsidRPr="005B3C34" w:rsidRDefault="00122C1B" w:rsidP="008D53FE">
            <w:pPr>
              <w:spacing w:after="40"/>
              <w:jc w:val="right"/>
              <w:rPr>
                <w:rFonts w:ascii="Segoe UI" w:hAnsi="Segoe UI" w:cs="Segoe UI"/>
                <w:bCs/>
                <w:sz w:val="18"/>
                <w:szCs w:val="18"/>
              </w:rPr>
            </w:pPr>
            <w:r w:rsidRPr="005B3C34">
              <w:rPr>
                <w:rFonts w:ascii="Segoe UI" w:hAnsi="Segoe UI" w:cs="Segoe UI"/>
                <w:bCs/>
                <w:sz w:val="18"/>
                <w:szCs w:val="18"/>
              </w:rPr>
              <w:sym w:font="Wingdings" w:char="F0E1"/>
            </w:r>
            <w:r>
              <w:rPr>
                <w:rFonts w:ascii="Segoe UI" w:hAnsi="Segoe UI" w:cs="Segoe UI"/>
                <w:bCs/>
                <w:sz w:val="18"/>
                <w:szCs w:val="18"/>
              </w:rPr>
              <w:t xml:space="preserve"> </w:t>
            </w:r>
            <w:r w:rsidR="00682FC5">
              <w:rPr>
                <w:rFonts w:ascii="Segoe UI" w:hAnsi="Segoe UI" w:cs="Segoe UI"/>
                <w:bCs/>
                <w:sz w:val="18"/>
                <w:szCs w:val="18"/>
              </w:rPr>
              <w:t>67.5</w:t>
            </w:r>
            <w:r>
              <w:rPr>
                <w:rFonts w:ascii="Segoe UI" w:hAnsi="Segoe UI" w:cs="Segoe UI"/>
                <w:bCs/>
                <w:sz w:val="18"/>
                <w:szCs w:val="18"/>
              </w:rPr>
              <w:t>%</w:t>
            </w:r>
          </w:p>
        </w:tc>
      </w:tr>
      <w:tr w:rsidR="00122C1B" w:rsidRPr="0008335F" w14:paraId="2F364C72" w14:textId="77777777" w:rsidTr="00620A03">
        <w:trPr>
          <w:trHeight w:val="283"/>
        </w:trPr>
        <w:tc>
          <w:tcPr>
            <w:tcW w:w="4253" w:type="dxa"/>
            <w:shd w:val="clear" w:color="auto" w:fill="E5EEF7"/>
          </w:tcPr>
          <w:p w14:paraId="58BD82CB" w14:textId="77777777" w:rsidR="00122C1B" w:rsidRPr="005B3C34" w:rsidRDefault="00122C1B" w:rsidP="00CD4E14">
            <w:pPr>
              <w:pStyle w:val="Default"/>
              <w:spacing w:after="40" w:line="276" w:lineRule="auto"/>
              <w:rPr>
                <w:rFonts w:ascii="Segoe UI" w:hAnsi="Segoe UI" w:cs="Segoe UI"/>
                <w:b/>
                <w:bCs/>
                <w:sz w:val="18"/>
                <w:szCs w:val="18"/>
              </w:rPr>
            </w:pPr>
            <w:r w:rsidRPr="005B3C34">
              <w:rPr>
                <w:rFonts w:ascii="Segoe UI" w:hAnsi="Segoe UI" w:cs="Segoe UI"/>
                <w:b/>
                <w:bCs/>
                <w:sz w:val="18"/>
                <w:szCs w:val="18"/>
              </w:rPr>
              <w:t>Total cost of road trauma</w:t>
            </w:r>
          </w:p>
        </w:tc>
        <w:tc>
          <w:tcPr>
            <w:tcW w:w="1984" w:type="dxa"/>
            <w:shd w:val="clear" w:color="auto" w:fill="E5EEF7"/>
          </w:tcPr>
          <w:p w14:paraId="794F80A2" w14:textId="77777777" w:rsidR="00122C1B" w:rsidRPr="005B3C34" w:rsidRDefault="00122C1B" w:rsidP="001A6762">
            <w:pPr>
              <w:pStyle w:val="Default"/>
              <w:spacing w:after="40" w:line="276" w:lineRule="auto"/>
              <w:jc w:val="right"/>
              <w:rPr>
                <w:rFonts w:ascii="Segoe UI" w:hAnsi="Segoe UI" w:cs="Segoe UI"/>
                <w:b/>
                <w:sz w:val="18"/>
                <w:szCs w:val="18"/>
              </w:rPr>
            </w:pPr>
            <w:r w:rsidRPr="005B3C34">
              <w:rPr>
                <w:rFonts w:ascii="Segoe UI" w:hAnsi="Segoe UI" w:cs="Segoe UI"/>
                <w:b/>
                <w:sz w:val="18"/>
                <w:szCs w:val="18"/>
              </w:rPr>
              <w:t>$2,</w:t>
            </w:r>
            <w:r w:rsidR="00682FC5" w:rsidRPr="005B3C34">
              <w:rPr>
                <w:rFonts w:ascii="Segoe UI" w:hAnsi="Segoe UI" w:cs="Segoe UI"/>
                <w:b/>
                <w:sz w:val="18"/>
                <w:szCs w:val="18"/>
              </w:rPr>
              <w:t>3</w:t>
            </w:r>
            <w:r w:rsidR="00682FC5">
              <w:rPr>
                <w:rFonts w:ascii="Segoe UI" w:hAnsi="Segoe UI" w:cs="Segoe UI"/>
                <w:b/>
                <w:sz w:val="18"/>
                <w:szCs w:val="18"/>
              </w:rPr>
              <w:t>99</w:t>
            </w:r>
            <w:r w:rsidR="00682FC5" w:rsidRPr="005B3C34">
              <w:rPr>
                <w:rFonts w:ascii="Segoe UI" w:hAnsi="Segoe UI" w:cs="Segoe UI"/>
                <w:b/>
                <w:sz w:val="18"/>
                <w:szCs w:val="18"/>
              </w:rPr>
              <w:t xml:space="preserve"> </w:t>
            </w:r>
            <w:r w:rsidRPr="005B3C34">
              <w:rPr>
                <w:rFonts w:ascii="Segoe UI" w:hAnsi="Segoe UI" w:cs="Segoe UI"/>
                <w:b/>
                <w:sz w:val="18"/>
                <w:szCs w:val="18"/>
              </w:rPr>
              <w:t>million</w:t>
            </w:r>
          </w:p>
        </w:tc>
        <w:tc>
          <w:tcPr>
            <w:tcW w:w="1985" w:type="dxa"/>
            <w:shd w:val="clear" w:color="auto" w:fill="E5EEF7"/>
          </w:tcPr>
          <w:p w14:paraId="7A06AD5A" w14:textId="77777777" w:rsidR="00122C1B" w:rsidRPr="005B3C34" w:rsidRDefault="00122C1B" w:rsidP="001A6762">
            <w:pPr>
              <w:spacing w:after="40"/>
              <w:jc w:val="right"/>
              <w:rPr>
                <w:rFonts w:ascii="Segoe UI" w:hAnsi="Segoe UI" w:cs="Segoe UI"/>
                <w:b/>
                <w:bCs/>
                <w:sz w:val="18"/>
                <w:szCs w:val="18"/>
              </w:rPr>
            </w:pPr>
            <w:r w:rsidRPr="005B3C34">
              <w:rPr>
                <w:rFonts w:ascii="Segoe UI" w:hAnsi="Segoe UI" w:cs="Segoe UI"/>
                <w:b/>
                <w:bCs/>
                <w:sz w:val="18"/>
                <w:szCs w:val="18"/>
              </w:rPr>
              <w:t>$2,</w:t>
            </w:r>
            <w:r w:rsidR="00682FC5" w:rsidRPr="005B3C34">
              <w:rPr>
                <w:rFonts w:ascii="Segoe UI" w:hAnsi="Segoe UI" w:cs="Segoe UI"/>
                <w:b/>
                <w:bCs/>
                <w:sz w:val="18"/>
                <w:szCs w:val="18"/>
              </w:rPr>
              <w:t>4</w:t>
            </w:r>
            <w:r w:rsidR="00682FC5">
              <w:rPr>
                <w:rFonts w:ascii="Segoe UI" w:hAnsi="Segoe UI" w:cs="Segoe UI"/>
                <w:b/>
                <w:bCs/>
                <w:sz w:val="18"/>
                <w:szCs w:val="18"/>
              </w:rPr>
              <w:t>46</w:t>
            </w:r>
            <w:r w:rsidR="00682FC5" w:rsidRPr="005B3C34">
              <w:rPr>
                <w:rFonts w:ascii="Segoe UI" w:hAnsi="Segoe UI" w:cs="Segoe UI"/>
                <w:b/>
                <w:bCs/>
                <w:sz w:val="18"/>
                <w:szCs w:val="18"/>
              </w:rPr>
              <w:t xml:space="preserve"> </w:t>
            </w:r>
            <w:r w:rsidRPr="005B3C34">
              <w:rPr>
                <w:rFonts w:ascii="Segoe UI" w:hAnsi="Segoe UI" w:cs="Segoe UI"/>
                <w:b/>
                <w:bCs/>
                <w:sz w:val="18"/>
                <w:szCs w:val="18"/>
              </w:rPr>
              <w:t xml:space="preserve">million </w:t>
            </w:r>
          </w:p>
        </w:tc>
        <w:tc>
          <w:tcPr>
            <w:tcW w:w="1446" w:type="dxa"/>
            <w:shd w:val="clear" w:color="auto" w:fill="E5EEF7"/>
          </w:tcPr>
          <w:p w14:paraId="6D35421D" w14:textId="77777777" w:rsidR="00122C1B" w:rsidRPr="005B3C34" w:rsidRDefault="00122C1B" w:rsidP="001A6762">
            <w:pPr>
              <w:spacing w:after="40"/>
              <w:jc w:val="right"/>
              <w:rPr>
                <w:rFonts w:ascii="Segoe UI" w:hAnsi="Segoe UI" w:cs="Segoe UI"/>
                <w:b/>
                <w:bCs/>
                <w:sz w:val="18"/>
                <w:szCs w:val="18"/>
              </w:rPr>
            </w:pPr>
            <w:r w:rsidRPr="005B3C34">
              <w:rPr>
                <w:rFonts w:ascii="Segoe UI" w:hAnsi="Segoe UI" w:cs="Segoe UI"/>
                <w:b/>
                <w:bCs/>
                <w:sz w:val="18"/>
                <w:szCs w:val="18"/>
              </w:rPr>
              <w:sym w:font="Wingdings" w:char="F0E1"/>
            </w:r>
            <w:r>
              <w:rPr>
                <w:rFonts w:ascii="Segoe UI" w:hAnsi="Segoe UI" w:cs="Segoe UI"/>
                <w:b/>
                <w:bCs/>
                <w:sz w:val="18"/>
                <w:szCs w:val="18"/>
              </w:rPr>
              <w:t xml:space="preserve"> </w:t>
            </w:r>
            <w:r w:rsidR="00682FC5">
              <w:rPr>
                <w:rFonts w:ascii="Segoe UI" w:hAnsi="Segoe UI" w:cs="Segoe UI"/>
                <w:b/>
                <w:bCs/>
                <w:sz w:val="18"/>
                <w:szCs w:val="18"/>
              </w:rPr>
              <w:t>2.0</w:t>
            </w:r>
            <w:r>
              <w:rPr>
                <w:rFonts w:ascii="Segoe UI" w:hAnsi="Segoe UI" w:cs="Segoe UI"/>
                <w:b/>
                <w:bCs/>
                <w:sz w:val="18"/>
                <w:szCs w:val="18"/>
              </w:rPr>
              <w:t>%</w:t>
            </w:r>
          </w:p>
        </w:tc>
      </w:tr>
    </w:tbl>
    <w:p w14:paraId="511F7945" w14:textId="77777777" w:rsidR="00473BB9" w:rsidRPr="00B238CA" w:rsidRDefault="00473BB9" w:rsidP="00F4115C">
      <w:pPr>
        <w:pStyle w:val="TextPara"/>
        <w:spacing w:before="240"/>
      </w:pPr>
      <w:r w:rsidRPr="00B238CA">
        <w:t>The Victorian Government</w:t>
      </w:r>
      <w:r w:rsidR="001F79AD">
        <w:t>’s</w:t>
      </w:r>
      <w:r w:rsidRPr="00B238CA">
        <w:t xml:space="preserve"> </w:t>
      </w:r>
      <w:r w:rsidRPr="00B238CA">
        <w:rPr>
          <w:i/>
        </w:rPr>
        <w:t>Towards Zero 2016-2020</w:t>
      </w:r>
      <w:r w:rsidRPr="00B238CA">
        <w:t xml:space="preserve"> road safety strategy has a short-term goal of reducing annual road deaths in Victoria to below 200 by the end of 2020. Beyond 2020, more significant reductions will be required to significantly reduce the economic cost of road trauma in Victoria, which approached $2.5 billion in 201</w:t>
      </w:r>
      <w:r>
        <w:t>8</w:t>
      </w:r>
      <w:r w:rsidRPr="00B238CA">
        <w:t xml:space="preserve">. </w:t>
      </w:r>
      <w:r>
        <w:t xml:space="preserve">To that end, </w:t>
      </w:r>
      <w:r w:rsidRPr="00B238CA">
        <w:rPr>
          <w:i/>
        </w:rPr>
        <w:t>Towards Zero</w:t>
      </w:r>
      <w:r w:rsidRPr="00B238CA">
        <w:t xml:space="preserve"> is also a strategy to continue making significant reductions in the economic costs of road fatalities and serious injuries.</w:t>
      </w:r>
    </w:p>
    <w:p w14:paraId="3F7C2D53" w14:textId="77777777" w:rsidR="00122C1B" w:rsidRPr="0008335F" w:rsidRDefault="00122C1B" w:rsidP="00CD4E14">
      <w:pPr>
        <w:rPr>
          <w:rFonts w:ascii="Segoe UI" w:hAnsi="Segoe UI" w:cs="Segoe UI"/>
          <w:szCs w:val="20"/>
        </w:rPr>
      </w:pPr>
    </w:p>
    <w:p w14:paraId="19E39A27" w14:textId="77777777" w:rsidR="00E4479F" w:rsidRDefault="00E4479F" w:rsidP="006713F9">
      <w:pPr>
        <w:pStyle w:val="PartHeading"/>
        <w:sectPr w:rsidR="00E4479F" w:rsidSect="00B83785">
          <w:headerReference w:type="even" r:id="rId38"/>
          <w:headerReference w:type="default" r:id="rId39"/>
          <w:headerReference w:type="first" r:id="rId40"/>
          <w:endnotePr>
            <w:numFmt w:val="decimal"/>
          </w:endnotePr>
          <w:pgSz w:w="11906" w:h="16838" w:code="9"/>
          <w:pgMar w:top="1361" w:right="1134" w:bottom="1361" w:left="1247" w:header="567" w:footer="397" w:gutter="0"/>
          <w:cols w:space="708"/>
          <w:docGrid w:linePitch="360"/>
        </w:sectPr>
      </w:pPr>
      <w:bookmarkStart w:id="193" w:name="_Toc500241539"/>
      <w:bookmarkStart w:id="194" w:name="_Toc500247509"/>
      <w:bookmarkStart w:id="195" w:name="_Toc500241540"/>
      <w:bookmarkStart w:id="196" w:name="_Toc500247510"/>
      <w:bookmarkStart w:id="197" w:name="_Toc495515297"/>
      <w:bookmarkStart w:id="198" w:name="_Toc495515428"/>
      <w:bookmarkStart w:id="199" w:name="_Toc495515553"/>
      <w:bookmarkStart w:id="200" w:name="_Toc498350550"/>
      <w:bookmarkStart w:id="201" w:name="_Toc498350690"/>
      <w:bookmarkEnd w:id="176"/>
      <w:bookmarkEnd w:id="193"/>
      <w:bookmarkEnd w:id="194"/>
      <w:bookmarkEnd w:id="195"/>
      <w:bookmarkEnd w:id="196"/>
      <w:bookmarkEnd w:id="197"/>
      <w:bookmarkEnd w:id="198"/>
      <w:bookmarkEnd w:id="199"/>
      <w:bookmarkEnd w:id="200"/>
      <w:bookmarkEnd w:id="201"/>
    </w:p>
    <w:p w14:paraId="4B9D8B35" w14:textId="0B5A4B47" w:rsidR="00122C1B" w:rsidRPr="00117C96" w:rsidRDefault="00122C1B" w:rsidP="006713F9">
      <w:pPr>
        <w:pStyle w:val="PartHeading"/>
      </w:pPr>
      <w:bookmarkStart w:id="202" w:name="_Toc10703417"/>
      <w:r w:rsidRPr="000C6773">
        <w:lastRenderedPageBreak/>
        <w:t>PROPOSED</w:t>
      </w:r>
      <w:r>
        <w:t xml:space="preserve"> </w:t>
      </w:r>
      <w:r w:rsidRPr="006713F9">
        <w:t>MEASURES</w:t>
      </w:r>
      <w:bookmarkEnd w:id="202"/>
    </w:p>
    <w:p w14:paraId="75F23D34" w14:textId="77777777" w:rsidR="00122C1B" w:rsidRDefault="00122C1B" w:rsidP="006713F9">
      <w:pPr>
        <w:pStyle w:val="Heading1"/>
      </w:pPr>
      <w:bookmarkStart w:id="203" w:name="_Toc495515300"/>
      <w:bookmarkStart w:id="204" w:name="_Toc495515431"/>
      <w:bookmarkStart w:id="205" w:name="_Toc495515556"/>
      <w:bookmarkStart w:id="206" w:name="_Toc498350553"/>
      <w:bookmarkStart w:id="207" w:name="_Toc498350693"/>
      <w:bookmarkStart w:id="208" w:name="_Toc515464736"/>
      <w:bookmarkStart w:id="209" w:name="_Toc515532813"/>
      <w:bookmarkStart w:id="210" w:name="_Toc10703418"/>
      <w:bookmarkStart w:id="211" w:name="_Toc508286831"/>
      <w:bookmarkStart w:id="212" w:name="_Ref503522671"/>
      <w:bookmarkEnd w:id="203"/>
      <w:bookmarkEnd w:id="204"/>
      <w:bookmarkEnd w:id="205"/>
      <w:bookmarkEnd w:id="206"/>
      <w:bookmarkEnd w:id="207"/>
      <w:bookmarkEnd w:id="208"/>
      <w:bookmarkEnd w:id="209"/>
      <w:r>
        <w:t>Graduated Licensing System</w:t>
      </w:r>
      <w:bookmarkEnd w:id="210"/>
    </w:p>
    <w:p w14:paraId="6922E2A2" w14:textId="77777777" w:rsidR="00122C1B" w:rsidRPr="005D5B35" w:rsidRDefault="00122C1B" w:rsidP="001A063E">
      <w:pPr>
        <w:pStyle w:val="Heading2"/>
      </w:pPr>
      <w:bookmarkStart w:id="213" w:name="_Toc10703419"/>
      <w:r>
        <w:t>Driver licensing systems</w:t>
      </w:r>
      <w:bookmarkEnd w:id="213"/>
    </w:p>
    <w:p w14:paraId="7A5D4CAC" w14:textId="77777777" w:rsidR="00122C1B" w:rsidRDefault="00122C1B" w:rsidP="00D63E26">
      <w:pPr>
        <w:pStyle w:val="TextPara"/>
        <w:spacing w:after="60"/>
      </w:pPr>
      <w:r>
        <w:t xml:space="preserve">The general aim of driver licensing systems is to ensure that individuals with insufficient driving ability, competence and experience are prevented from driving motor vehicles. Such systems are prescribed by laws </w:t>
      </w:r>
      <w:r w:rsidR="0065541C">
        <w:t xml:space="preserve">(including </w:t>
      </w:r>
      <w:r>
        <w:t>regulations</w:t>
      </w:r>
      <w:r w:rsidR="0065541C">
        <w:t>)</w:t>
      </w:r>
      <w:r>
        <w:t xml:space="preserve"> which set the requirements for – </w:t>
      </w:r>
    </w:p>
    <w:p w14:paraId="68534AEF" w14:textId="77777777" w:rsidR="00122C1B" w:rsidRDefault="00122C1B" w:rsidP="00D63E26">
      <w:pPr>
        <w:pStyle w:val="Bullet1-Black"/>
      </w:pPr>
      <w:r>
        <w:t xml:space="preserve">licensing (e.g. age, driving aptitude and qualifications) </w:t>
      </w:r>
    </w:p>
    <w:p w14:paraId="5E6E94C1" w14:textId="77777777" w:rsidR="00122C1B" w:rsidRDefault="00122C1B" w:rsidP="00D63E26">
      <w:pPr>
        <w:pStyle w:val="Bullet1-Black"/>
      </w:pPr>
      <w:r>
        <w:t xml:space="preserve">the type of licences (e.g. licence categories and corresponding restrictions) </w:t>
      </w:r>
    </w:p>
    <w:p w14:paraId="534D9976" w14:textId="77777777" w:rsidR="00122C1B" w:rsidRDefault="00122C1B" w:rsidP="00D63E26">
      <w:pPr>
        <w:pStyle w:val="Bullet1-Black"/>
      </w:pPr>
      <w:r>
        <w:t xml:space="preserve">the administrative procedures for licensing (e.g. licence granting, variation, re-issue processes) </w:t>
      </w:r>
    </w:p>
    <w:p w14:paraId="63052C8A" w14:textId="77777777" w:rsidR="00122C1B" w:rsidRDefault="00122C1B" w:rsidP="00D63E26">
      <w:pPr>
        <w:pStyle w:val="Bullet1-Black"/>
      </w:pPr>
      <w:r>
        <w:t xml:space="preserve">the assessment of ongoing fitness to drive. </w:t>
      </w:r>
    </w:p>
    <w:p w14:paraId="588AA0D1" w14:textId="77777777" w:rsidR="00122C1B" w:rsidRDefault="00122C1B" w:rsidP="00D63E26">
      <w:pPr>
        <w:pStyle w:val="TextPara"/>
      </w:pPr>
      <w:r>
        <w:t>The more advanced licensing systems include additional elements (e.g. a demerit point system and a central registry for traffic offences) and rules and restrictions applicable to novice drivers (e.g. learner permit and probationary licence).</w:t>
      </w:r>
    </w:p>
    <w:p w14:paraId="59486756" w14:textId="77777777" w:rsidR="00122C1B" w:rsidRDefault="00122C1B" w:rsidP="00D63E26">
      <w:pPr>
        <w:pStyle w:val="TextPara"/>
        <w:widowControl w:val="0"/>
      </w:pPr>
      <w:r w:rsidRPr="006F4CCB">
        <w:t xml:space="preserve">The </w:t>
      </w:r>
      <w:r>
        <w:t>traditional</w:t>
      </w:r>
      <w:r w:rsidRPr="006F4CCB">
        <w:t xml:space="preserve"> </w:t>
      </w:r>
      <w:r w:rsidRPr="005170D2">
        <w:rPr>
          <w:i/>
        </w:rPr>
        <w:t>single</w:t>
      </w:r>
      <w:r>
        <w:rPr>
          <w:i/>
        </w:rPr>
        <w:t>-phase</w:t>
      </w:r>
      <w:r w:rsidRPr="006F4CCB">
        <w:t xml:space="preserve"> licensing system</w:t>
      </w:r>
      <w:r>
        <w:t>,</w:t>
      </w:r>
      <w:r w:rsidRPr="006F4CCB">
        <w:t xml:space="preserve"> </w:t>
      </w:r>
      <w:r>
        <w:t xml:space="preserve">which was prevalent in most countries last century, is </w:t>
      </w:r>
      <w:r w:rsidRPr="006F4CCB">
        <w:t xml:space="preserve">still used in </w:t>
      </w:r>
      <w:r>
        <w:t xml:space="preserve">many </w:t>
      </w:r>
      <w:r w:rsidRPr="006F4CCB">
        <w:t>countries</w:t>
      </w:r>
      <w:r>
        <w:t xml:space="preserve"> around the world, including Greece, Italy, Ireland and the Netherlands. Under this system, the novice driver is required</w:t>
      </w:r>
      <w:r w:rsidRPr="006F4CCB">
        <w:t xml:space="preserve"> to undergo theoretical and practical driving training and </w:t>
      </w:r>
      <w:r>
        <w:t>to</w:t>
      </w:r>
      <w:r w:rsidRPr="006F4CCB">
        <w:t xml:space="preserve"> pass a written and a practical driving test </w:t>
      </w:r>
      <w:r>
        <w:t xml:space="preserve">to qualify for </w:t>
      </w:r>
      <w:r w:rsidRPr="006F4CCB">
        <w:t>a full licence</w:t>
      </w:r>
      <w:r>
        <w:t xml:space="preserve"> without any special conditions or restrictions</w:t>
      </w:r>
      <w:r w:rsidRPr="006F4CCB">
        <w:t>.</w:t>
      </w:r>
      <w:r>
        <w:rPr>
          <w:rStyle w:val="EndnoteReference"/>
        </w:rPr>
        <w:endnoteReference w:id="198"/>
      </w:r>
      <w:r w:rsidRPr="006F4CCB">
        <w:t xml:space="preserve"> </w:t>
      </w:r>
      <w:r>
        <w:t>Most countries using this system introduced a probationary period with some drink-driving and other restrictions, before the novice driver proceeds to a full licence.</w:t>
      </w:r>
    </w:p>
    <w:p w14:paraId="49B14048" w14:textId="77777777" w:rsidR="00122C1B" w:rsidRDefault="00122C1B" w:rsidP="00D63E26">
      <w:pPr>
        <w:pStyle w:val="TextPara"/>
        <w:widowControl w:val="0"/>
      </w:pPr>
      <w:r>
        <w:t xml:space="preserve">A variation on the single-phase system with probationary period is the </w:t>
      </w:r>
      <w:r w:rsidRPr="005170D2">
        <w:rPr>
          <w:i/>
        </w:rPr>
        <w:t>two-phase</w:t>
      </w:r>
      <w:r>
        <w:t xml:space="preserve"> system, which requires novice drivers to go through two phases of driving theory and training before getting a full licence. After completing the first phase, drivers are issued with a probationary licence but cannot proceed to a full licence until they complete the second phase of theory and training, but without having to pass further tests. This system is used in countries, such as Austria, Finland and Luxembourg. </w:t>
      </w:r>
    </w:p>
    <w:p w14:paraId="2FFBF588" w14:textId="77777777" w:rsidR="00157620" w:rsidRDefault="00122C1B" w:rsidP="00D63E26">
      <w:pPr>
        <w:pStyle w:val="TextPara"/>
        <w:widowControl w:val="0"/>
      </w:pPr>
      <w:r>
        <w:t>Extensive research since the 1970s established that newly-licensed drivers are the most vulnerable to crash involvement and are overrepresented in road death statistics, especially during their first year of solo driving. Road safety studies identified the need for licensing practices to shift emphasis from formal education-based training to strategies that increase supervised on-road driving experience, as it was found to reduce novice driver crash involvement.</w:t>
      </w:r>
      <w:r>
        <w:rPr>
          <w:rStyle w:val="EndnoteReference"/>
        </w:rPr>
        <w:endnoteReference w:id="199"/>
      </w:r>
      <w:r>
        <w:t xml:space="preserve"> As a result, licensing jurisdictions, particularly in the USA, New Zealand, Canada and Australia, became increasingly aware that traditional methods to address this issue, such as standard driver education and training programs, were not effective enough.</w:t>
      </w:r>
      <w:r>
        <w:rPr>
          <w:rStyle w:val="EndnoteReference"/>
        </w:rPr>
        <w:endnoteReference w:id="200"/>
      </w:r>
      <w:r>
        <w:t xml:space="preserve"> </w:t>
      </w:r>
    </w:p>
    <w:p w14:paraId="7007210B" w14:textId="77777777" w:rsidR="0099739D" w:rsidRDefault="00122C1B" w:rsidP="002D6AF4">
      <w:pPr>
        <w:pStyle w:val="TextPara"/>
        <w:widowControl w:val="0"/>
      </w:pPr>
      <w:r>
        <w:t xml:space="preserve">While the concept of </w:t>
      </w:r>
      <w:r w:rsidRPr="00F21DE5">
        <w:rPr>
          <w:i/>
        </w:rPr>
        <w:t>graduated licensing system</w:t>
      </w:r>
      <w:r>
        <w:t xml:space="preserve"> was initially developed in the USA in the late 1970s, the first true GLS with its now familiar </w:t>
      </w:r>
      <w:r w:rsidRPr="00266007">
        <w:rPr>
          <w:i/>
        </w:rPr>
        <w:t>three-phase</w:t>
      </w:r>
      <w:r w:rsidRPr="008A0BEC">
        <w:t xml:space="preserve"> </w:t>
      </w:r>
      <w:r w:rsidRPr="001605D8">
        <w:t xml:space="preserve">licensing </w:t>
      </w:r>
      <w:r>
        <w:t>approach was introduced in New Zealand in August 1987.</w:t>
      </w:r>
      <w:r>
        <w:rPr>
          <w:rStyle w:val="EndnoteReference"/>
        </w:rPr>
        <w:endnoteReference w:id="201"/>
      </w:r>
      <w:r>
        <w:t xml:space="preserve"> This was subsequently adopted in some form in other countries, imposing a range of licence requirements and driving restrictions on novice drivers in sequential licensing phases, as they learn how to drive. </w:t>
      </w:r>
      <w:r w:rsidRPr="008A0BEC">
        <w:t xml:space="preserve">Most GLS models </w:t>
      </w:r>
      <w:r>
        <w:t xml:space="preserve">used in Australian jurisdictions and </w:t>
      </w:r>
      <w:r w:rsidRPr="008A0BEC">
        <w:t xml:space="preserve">overseas follow </w:t>
      </w:r>
      <w:r>
        <w:t>the</w:t>
      </w:r>
      <w:r w:rsidRPr="008A0BEC">
        <w:t xml:space="preserve"> </w:t>
      </w:r>
      <w:r w:rsidRPr="00266007">
        <w:rPr>
          <w:i/>
        </w:rPr>
        <w:t>three-phase</w:t>
      </w:r>
      <w:r w:rsidRPr="008A0BEC">
        <w:t xml:space="preserve"> </w:t>
      </w:r>
      <w:r w:rsidRPr="00266007">
        <w:rPr>
          <w:i/>
        </w:rPr>
        <w:t>structure</w:t>
      </w:r>
      <w:r>
        <w:t xml:space="preserve">, consisting of a learner phase, an intermediate or probationary phase, which is often split into two sub-phases P1 and P2, and a full licence phase. </w:t>
      </w:r>
    </w:p>
    <w:p w14:paraId="5C8B9D81" w14:textId="77777777" w:rsidR="00780297" w:rsidRDefault="00780297" w:rsidP="00780297">
      <w:pPr>
        <w:pStyle w:val="TextPara"/>
        <w:spacing w:after="60"/>
      </w:pPr>
      <w:r>
        <w:t xml:space="preserve">A GLS </w:t>
      </w:r>
      <w:r w:rsidR="002D6AF4">
        <w:t>allows</w:t>
      </w:r>
      <w:r>
        <w:t xml:space="preserve"> new drivers time to develop safer driving skills. It provides a structured transition to full driving privileges as the </w:t>
      </w:r>
      <w:r w:rsidR="002D6AF4">
        <w:t>novice</w:t>
      </w:r>
      <w:r>
        <w:t xml:space="preserve"> driver’s experience and maturity increase. It assists new drivers to be safer by – </w:t>
      </w:r>
    </w:p>
    <w:p w14:paraId="7326371A" w14:textId="77777777" w:rsidR="00780297" w:rsidRDefault="00780297" w:rsidP="00780297">
      <w:pPr>
        <w:pStyle w:val="Bullet1-Black"/>
      </w:pPr>
      <w:r>
        <w:t>preparing learners for driving</w:t>
      </w:r>
      <w:r w:rsidR="00BF6481">
        <w:t xml:space="preserve"> on their own</w:t>
      </w:r>
      <w:r>
        <w:t xml:space="preserve"> through extended learning</w:t>
      </w:r>
    </w:p>
    <w:p w14:paraId="1C1CC719" w14:textId="77777777" w:rsidR="00780297" w:rsidRDefault="00780297" w:rsidP="00780297">
      <w:pPr>
        <w:pStyle w:val="Bullet1-Black"/>
      </w:pPr>
      <w:r>
        <w:t>protecting probationary drivers by keeping them out of higher risk situations</w:t>
      </w:r>
      <w:r w:rsidR="0012747C">
        <w:t xml:space="preserve"> on the road</w:t>
      </w:r>
    </w:p>
    <w:p w14:paraId="170EDE3B" w14:textId="77777777" w:rsidR="00780297" w:rsidRDefault="00780297" w:rsidP="00780297">
      <w:pPr>
        <w:pStyle w:val="Bullet1-Black"/>
      </w:pPr>
      <w:r>
        <w:t>motivating probationary drivers to drive more safely and within the law.</w:t>
      </w:r>
    </w:p>
    <w:p w14:paraId="3070303C" w14:textId="77777777" w:rsidR="00122C1B" w:rsidRDefault="00122C1B" w:rsidP="001A063E">
      <w:pPr>
        <w:pStyle w:val="Heading2"/>
      </w:pPr>
      <w:bookmarkStart w:id="214" w:name="_Toc10703420"/>
      <w:r>
        <w:lastRenderedPageBreak/>
        <w:t>Current Driver GLS</w:t>
      </w:r>
      <w:bookmarkEnd w:id="214"/>
    </w:p>
    <w:p w14:paraId="5AF74D7B" w14:textId="77777777" w:rsidR="00122C1B" w:rsidRPr="001C3A9F" w:rsidRDefault="00122C1B" w:rsidP="006713F9">
      <w:pPr>
        <w:pStyle w:val="Heading3"/>
      </w:pPr>
      <w:bookmarkStart w:id="215" w:name="_Toc10703421"/>
      <w:r w:rsidRPr="005A245E">
        <w:t>Implementation</w:t>
      </w:r>
      <w:bookmarkEnd w:id="215"/>
    </w:p>
    <w:p w14:paraId="5C643FCC" w14:textId="77777777" w:rsidR="00122C1B" w:rsidRDefault="002F025C" w:rsidP="00D63E26">
      <w:pPr>
        <w:pStyle w:val="TextPara"/>
        <w:spacing w:after="60"/>
      </w:pPr>
      <w:r>
        <w:t>What distinguishes the</w:t>
      </w:r>
      <w:r w:rsidR="00122C1B">
        <w:t xml:space="preserve"> GLS from other licensing systems is the inclusion of a compulsory learner phase (allowing only supervised driving) and an intermediate licence phase (allowing restricted driving) prior to full licensure.</w:t>
      </w:r>
      <w:r w:rsidR="00122C1B">
        <w:rPr>
          <w:rStyle w:val="EndnoteReference"/>
        </w:rPr>
        <w:endnoteReference w:id="202"/>
      </w:r>
      <w:r w:rsidR="00122C1B">
        <w:t xml:space="preserve"> GLS components are, therefore, generally identified as falling under two broad categories:</w:t>
      </w:r>
    </w:p>
    <w:p w14:paraId="0CF06654" w14:textId="77777777" w:rsidR="00122C1B" w:rsidRDefault="00122C1B" w:rsidP="00D63E26">
      <w:pPr>
        <w:pStyle w:val="Bullet1-Black"/>
      </w:pPr>
      <w:r>
        <w:t>pre-licence measures for learner drivers that primarily encourage more supervised driving experience</w:t>
      </w:r>
    </w:p>
    <w:p w14:paraId="7D926999" w14:textId="77777777" w:rsidR="00122C1B" w:rsidRDefault="00122C1B" w:rsidP="00D63E26">
      <w:pPr>
        <w:pStyle w:val="Bullet1-Black"/>
      </w:pPr>
      <w:r>
        <w:t>post-licensing measures for probationary drivers that place restrictions on driving to allow experience to be gained under lower-risk circumstances.</w:t>
      </w:r>
    </w:p>
    <w:p w14:paraId="74E9FE8D" w14:textId="77777777" w:rsidR="00122C1B" w:rsidRDefault="00122C1B" w:rsidP="00D63E26">
      <w:pPr>
        <w:pStyle w:val="TextPara"/>
        <w:rPr>
          <w:rFonts w:cs="Segoe UI"/>
          <w:lang w:eastAsia="en-AU"/>
        </w:rPr>
      </w:pPr>
      <w:r>
        <w:t>GLS systems are typically implemented as a package of road safety risks countermeasures. The effectiveness of any individual component of a GLS depends on other components that comprise the GLS model. In addition, the effectiveness of introducing a new component into an existing GLS model will largely depend on the combination of components already inherent in that model.</w:t>
      </w:r>
      <w:r>
        <w:rPr>
          <w:rStyle w:val="EndnoteReference"/>
        </w:rPr>
        <w:endnoteReference w:id="203"/>
      </w:r>
      <w:r w:rsidRPr="00392701">
        <w:rPr>
          <w:rFonts w:cs="Segoe UI"/>
          <w:lang w:eastAsia="en-AU"/>
        </w:rPr>
        <w:t xml:space="preserve"> </w:t>
      </w:r>
    </w:p>
    <w:p w14:paraId="2AFCF467" w14:textId="0A6305AE" w:rsidR="00F819F0" w:rsidRDefault="00122C1B" w:rsidP="00D63E26">
      <w:pPr>
        <w:pStyle w:val="TextPara"/>
        <w:rPr>
          <w:rFonts w:cs="Segoe UI"/>
          <w:lang w:eastAsia="en-AU"/>
        </w:rPr>
      </w:pPr>
      <w:r w:rsidRPr="00117C96">
        <w:rPr>
          <w:rFonts w:cs="Segoe UI"/>
          <w:lang w:eastAsia="en-AU"/>
        </w:rPr>
        <w:t xml:space="preserve">The </w:t>
      </w:r>
      <w:r>
        <w:rPr>
          <w:rFonts w:cs="Segoe UI"/>
          <w:lang w:eastAsia="en-AU"/>
        </w:rPr>
        <w:t>current</w:t>
      </w:r>
      <w:r w:rsidRPr="00117C96">
        <w:rPr>
          <w:rFonts w:cs="Segoe UI"/>
          <w:lang w:eastAsia="en-AU"/>
        </w:rPr>
        <w:t xml:space="preserve"> </w:t>
      </w:r>
      <w:r>
        <w:rPr>
          <w:rFonts w:cs="Segoe UI"/>
          <w:lang w:eastAsia="en-AU"/>
        </w:rPr>
        <w:t xml:space="preserve">Victorian </w:t>
      </w:r>
      <w:r w:rsidRPr="00117C96">
        <w:rPr>
          <w:rFonts w:cs="Segoe UI"/>
          <w:lang w:eastAsia="en-AU"/>
        </w:rPr>
        <w:t xml:space="preserve">GLS </w:t>
      </w:r>
      <w:r>
        <w:rPr>
          <w:rFonts w:cs="Segoe UI"/>
          <w:lang w:eastAsia="en-AU"/>
        </w:rPr>
        <w:t>is based on the national GLS Exemplar Model</w:t>
      </w:r>
      <w:r w:rsidR="00F819F0">
        <w:rPr>
          <w:rFonts w:cs="Segoe UI"/>
          <w:lang w:eastAsia="en-AU"/>
        </w:rPr>
        <w:t xml:space="preserve">, a three-staged model – Standard, Enhanced and Exemplar – </w:t>
      </w:r>
      <w:r w:rsidR="00F819F0" w:rsidRPr="00F819F0">
        <w:rPr>
          <w:rFonts w:cs="Segoe UI"/>
          <w:lang w:eastAsia="en-AU"/>
        </w:rPr>
        <w:t xml:space="preserve">designed </w:t>
      </w:r>
      <w:r w:rsidR="00F819F0">
        <w:rPr>
          <w:rFonts w:cs="Segoe UI"/>
          <w:lang w:eastAsia="en-AU"/>
        </w:rPr>
        <w:t>to</w:t>
      </w:r>
      <w:r w:rsidR="00F819F0" w:rsidRPr="00F819F0">
        <w:rPr>
          <w:rFonts w:cs="Segoe UI"/>
          <w:lang w:eastAsia="en-AU"/>
        </w:rPr>
        <w:t xml:space="preserve"> be used as a “best practice” guide for jurisdictions to implement increasingly effective GLS approaches in Australia</w:t>
      </w:r>
      <w:r w:rsidR="00F819F0">
        <w:rPr>
          <w:rFonts w:cs="Segoe UI"/>
          <w:lang w:eastAsia="en-AU"/>
        </w:rPr>
        <w:t xml:space="preserve">. The flexible model takes into </w:t>
      </w:r>
      <w:r w:rsidR="00F819F0" w:rsidRPr="00F819F0">
        <w:rPr>
          <w:rFonts w:cs="Segoe UI"/>
          <w:lang w:eastAsia="en-AU"/>
        </w:rPr>
        <w:t>account the varied starting points across Australia and enable</w:t>
      </w:r>
      <w:r w:rsidR="00F819F0">
        <w:rPr>
          <w:rFonts w:cs="Segoe UI"/>
          <w:lang w:eastAsia="en-AU"/>
        </w:rPr>
        <w:t>s</w:t>
      </w:r>
      <w:r w:rsidR="00F819F0" w:rsidRPr="00F819F0">
        <w:rPr>
          <w:rFonts w:cs="Segoe UI"/>
          <w:lang w:eastAsia="en-AU"/>
        </w:rPr>
        <w:t xml:space="preserve"> jurisdictions to make improvements incrementally</w:t>
      </w:r>
      <w:r>
        <w:rPr>
          <w:rFonts w:cs="Segoe UI"/>
          <w:lang w:eastAsia="en-AU"/>
        </w:rPr>
        <w:t>.</w:t>
      </w:r>
    </w:p>
    <w:p w14:paraId="4FD75DAF" w14:textId="29E29F92" w:rsidR="00122C1B" w:rsidRDefault="00122C1B" w:rsidP="00D63E26">
      <w:pPr>
        <w:pStyle w:val="TextPara"/>
        <w:rPr>
          <w:rFonts w:cs="Segoe UI"/>
          <w:lang w:eastAsia="en-AU"/>
        </w:rPr>
      </w:pPr>
      <w:r>
        <w:rPr>
          <w:rFonts w:cs="Segoe UI"/>
          <w:lang w:eastAsia="en-AU"/>
        </w:rPr>
        <w:t xml:space="preserve">An enhanced GLS </w:t>
      </w:r>
      <w:r w:rsidRPr="00117C96">
        <w:rPr>
          <w:rFonts w:cs="Segoe UI"/>
          <w:lang w:eastAsia="en-AU"/>
        </w:rPr>
        <w:t xml:space="preserve">was introduced progressively </w:t>
      </w:r>
      <w:r w:rsidR="00F819F0">
        <w:rPr>
          <w:rFonts w:cs="Segoe UI"/>
          <w:lang w:eastAsia="en-AU"/>
        </w:rPr>
        <w:t xml:space="preserve">in Victoria </w:t>
      </w:r>
      <w:r w:rsidRPr="00117C96">
        <w:rPr>
          <w:rFonts w:cs="Segoe UI"/>
          <w:lang w:eastAsia="en-AU"/>
        </w:rPr>
        <w:t>in three phases between January 2007 and July 2008</w:t>
      </w:r>
      <w:r>
        <w:rPr>
          <w:rFonts w:cs="Segoe UI"/>
          <w:lang w:eastAsia="en-AU"/>
        </w:rPr>
        <w:t xml:space="preserve">, as shown in </w:t>
      </w:r>
      <w:r>
        <w:rPr>
          <w:rFonts w:cs="Segoe UI"/>
          <w:lang w:eastAsia="en-AU"/>
        </w:rPr>
        <w:fldChar w:fldCharType="begin"/>
      </w:r>
      <w:r>
        <w:rPr>
          <w:rFonts w:cs="Segoe UI"/>
          <w:lang w:eastAsia="en-AU"/>
        </w:rPr>
        <w:instrText xml:space="preserve"> REF _Ref501383173 \h </w:instrText>
      </w:r>
      <w:r>
        <w:rPr>
          <w:rFonts w:cs="Segoe UI"/>
          <w:lang w:eastAsia="en-AU"/>
        </w:rPr>
      </w:r>
      <w:r>
        <w:rPr>
          <w:rFonts w:cs="Segoe UI"/>
          <w:lang w:eastAsia="en-AU"/>
        </w:rPr>
        <w:fldChar w:fldCharType="separate"/>
      </w:r>
      <w:r w:rsidR="00EB4B02">
        <w:t xml:space="preserve">Figure </w:t>
      </w:r>
      <w:r w:rsidR="00EB4B02">
        <w:rPr>
          <w:noProof/>
        </w:rPr>
        <w:t>10</w:t>
      </w:r>
      <w:r>
        <w:rPr>
          <w:rFonts w:cs="Segoe UI"/>
          <w:lang w:eastAsia="en-AU"/>
        </w:rPr>
        <w:fldChar w:fldCharType="end"/>
      </w:r>
      <w:r>
        <w:rPr>
          <w:rFonts w:cs="Segoe UI"/>
          <w:lang w:eastAsia="en-AU"/>
        </w:rPr>
        <w:t xml:space="preserve">. It was </w:t>
      </w:r>
      <w:r w:rsidRPr="00117C96">
        <w:rPr>
          <w:rFonts w:cs="Segoe UI"/>
          <w:lang w:eastAsia="en-AU"/>
        </w:rPr>
        <w:t>designed after consultation with international experts in young driver safety and evaluation, a comprehensive review of the literature and a detailed analysis of crash trends involving novice drivers in Victoria.</w:t>
      </w:r>
      <w:r w:rsidRPr="00F64FCD">
        <w:rPr>
          <w:rFonts w:cs="Segoe UI"/>
          <w:lang w:eastAsia="en-AU"/>
        </w:rPr>
        <w:t xml:space="preserve"> </w:t>
      </w:r>
      <w:r w:rsidRPr="00117C96">
        <w:rPr>
          <w:rFonts w:cs="Segoe UI"/>
          <w:lang w:eastAsia="en-AU"/>
        </w:rPr>
        <w:t xml:space="preserve">These </w:t>
      </w:r>
      <w:r>
        <w:rPr>
          <w:rFonts w:cs="Segoe UI"/>
          <w:lang w:eastAsia="en-AU"/>
        </w:rPr>
        <w:t xml:space="preserve">additional </w:t>
      </w:r>
      <w:r w:rsidRPr="00117C96">
        <w:rPr>
          <w:rFonts w:cs="Segoe UI"/>
          <w:lang w:eastAsia="en-AU"/>
        </w:rPr>
        <w:t xml:space="preserve">measures followed the implementation of several young driver support measures </w:t>
      </w:r>
      <w:r>
        <w:rPr>
          <w:rFonts w:cs="Segoe UI"/>
          <w:lang w:eastAsia="en-AU"/>
        </w:rPr>
        <w:t>since</w:t>
      </w:r>
      <w:r w:rsidRPr="00117C96">
        <w:rPr>
          <w:rFonts w:cs="Segoe UI"/>
          <w:lang w:eastAsia="en-AU"/>
        </w:rPr>
        <w:t xml:space="preserve"> 1994</w:t>
      </w:r>
      <w:r>
        <w:rPr>
          <w:rFonts w:cs="Segoe UI"/>
          <w:lang w:eastAsia="en-AU"/>
        </w:rPr>
        <w:t xml:space="preserve"> aimed at</w:t>
      </w:r>
      <w:r w:rsidRPr="00117C96">
        <w:rPr>
          <w:rFonts w:cs="Segoe UI"/>
          <w:lang w:eastAsia="en-AU"/>
        </w:rPr>
        <w:t xml:space="preserve"> encourag</w:t>
      </w:r>
      <w:r>
        <w:rPr>
          <w:rFonts w:cs="Segoe UI"/>
          <w:lang w:eastAsia="en-AU"/>
        </w:rPr>
        <w:t>ing more</w:t>
      </w:r>
      <w:r w:rsidRPr="00117C96">
        <w:rPr>
          <w:rFonts w:cs="Segoe UI"/>
          <w:lang w:eastAsia="en-AU"/>
        </w:rPr>
        <w:t xml:space="preserve"> learner driver practice and decreas</w:t>
      </w:r>
      <w:r>
        <w:rPr>
          <w:rFonts w:cs="Segoe UI"/>
          <w:lang w:eastAsia="en-AU"/>
        </w:rPr>
        <w:t>ing</w:t>
      </w:r>
      <w:r w:rsidRPr="00117C96">
        <w:rPr>
          <w:rFonts w:cs="Segoe UI"/>
          <w:lang w:eastAsia="en-AU"/>
        </w:rPr>
        <w:t xml:space="preserve"> risk</w:t>
      </w:r>
      <w:r>
        <w:rPr>
          <w:rFonts w:cs="Segoe UI"/>
          <w:lang w:eastAsia="en-AU"/>
        </w:rPr>
        <w:t>-</w:t>
      </w:r>
      <w:r w:rsidRPr="00117C96">
        <w:rPr>
          <w:rFonts w:cs="Segoe UI"/>
          <w:lang w:eastAsia="en-AU"/>
        </w:rPr>
        <w:t>taking among novice drivers.</w:t>
      </w:r>
      <w:r w:rsidRPr="00117C96">
        <w:rPr>
          <w:rStyle w:val="EndnoteReference"/>
          <w:rFonts w:cs="Segoe UI"/>
          <w:lang w:eastAsia="en-AU"/>
        </w:rPr>
        <w:endnoteReference w:id="204"/>
      </w:r>
      <w:r w:rsidRPr="00117C96">
        <w:rPr>
          <w:rFonts w:cs="Segoe UI"/>
          <w:lang w:eastAsia="en-AU"/>
        </w:rPr>
        <w:t xml:space="preserve"> The</w:t>
      </w:r>
      <w:r>
        <w:rPr>
          <w:rFonts w:cs="Segoe UI"/>
          <w:lang w:eastAsia="en-AU"/>
        </w:rPr>
        <w:t>se support measures</w:t>
      </w:r>
      <w:r w:rsidRPr="00117C96">
        <w:rPr>
          <w:rFonts w:cs="Segoe UI"/>
          <w:lang w:eastAsia="en-AU"/>
        </w:rPr>
        <w:t xml:space="preserve"> included targeted materials to assist novice drivers, parents and driving instructors</w:t>
      </w:r>
      <w:r>
        <w:rPr>
          <w:rFonts w:cs="Segoe UI"/>
          <w:lang w:eastAsia="en-AU"/>
        </w:rPr>
        <w:t>,</w:t>
      </w:r>
      <w:r w:rsidRPr="00117C96">
        <w:rPr>
          <w:rFonts w:cs="Segoe UI"/>
          <w:lang w:eastAsia="en-AU"/>
        </w:rPr>
        <w:t xml:space="preserve"> and mass media public education.</w:t>
      </w:r>
    </w:p>
    <w:p w14:paraId="1431E329" w14:textId="581CB088" w:rsidR="00122C1B" w:rsidRDefault="00122C1B" w:rsidP="00894E97">
      <w:pPr>
        <w:pStyle w:val="Caption"/>
        <w:spacing w:before="120"/>
        <w:rPr>
          <w:lang w:eastAsia="en-AU"/>
        </w:rPr>
      </w:pPr>
      <w:bookmarkStart w:id="216" w:name="_Ref501383173"/>
      <w:bookmarkStart w:id="217" w:name="_Ref502308660"/>
      <w:bookmarkStart w:id="218" w:name="_Ref518987936"/>
      <w:bookmarkStart w:id="219" w:name="_Toc10703655"/>
      <w:r>
        <w:lastRenderedPageBreak/>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10</w:t>
      </w:r>
      <w:r w:rsidR="00BC6B2E">
        <w:rPr>
          <w:noProof/>
        </w:rPr>
        <w:fldChar w:fldCharType="end"/>
      </w:r>
      <w:bookmarkEnd w:id="216"/>
      <w:r>
        <w:t xml:space="preserve"> – National Exemplar GLS</w:t>
      </w:r>
      <w:bookmarkEnd w:id="217"/>
      <w:r>
        <w:t xml:space="preserve"> as implemented in Victoria</w:t>
      </w:r>
      <w:bookmarkEnd w:id="218"/>
      <w:bookmarkEnd w:id="219"/>
    </w:p>
    <w:p w14:paraId="58E4548A" w14:textId="77777777" w:rsidR="00122C1B" w:rsidRDefault="00122C1B" w:rsidP="00D63E26">
      <w:pPr>
        <w:pStyle w:val="TextPara"/>
        <w:spacing w:after="0" w:line="240" w:lineRule="auto"/>
        <w:ind w:left="142"/>
        <w:rPr>
          <w:rFonts w:cs="Segoe UI"/>
          <w:lang w:eastAsia="en-AU"/>
        </w:rPr>
      </w:pPr>
      <w:r w:rsidRPr="000E6F38">
        <w:rPr>
          <w:noProof/>
          <w:lang w:val="en-GB" w:eastAsia="en-GB"/>
        </w:rPr>
        <w:drawing>
          <wp:inline distT="0" distB="0" distL="0" distR="0" wp14:anchorId="2BA8A719" wp14:editId="001F2B80">
            <wp:extent cx="6048375" cy="438679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8375" cy="4386794"/>
                    </a:xfrm>
                    <a:prstGeom prst="rect">
                      <a:avLst/>
                    </a:prstGeom>
                    <a:noFill/>
                    <a:ln>
                      <a:noFill/>
                    </a:ln>
                  </pic:spPr>
                </pic:pic>
              </a:graphicData>
            </a:graphic>
          </wp:inline>
        </w:drawing>
      </w:r>
    </w:p>
    <w:p w14:paraId="4A8C1842" w14:textId="77777777" w:rsidR="00122C1B" w:rsidRPr="00B43004" w:rsidRDefault="00122C1B" w:rsidP="00D63E26">
      <w:pPr>
        <w:pStyle w:val="Source"/>
      </w:pPr>
      <w:r>
        <w:t>Source</w:t>
      </w:r>
      <w:r w:rsidR="00C123FD">
        <w:t>:</w:t>
      </w:r>
      <w:r>
        <w:t xml:space="preserve"> VicRoads 2017</w:t>
      </w:r>
    </w:p>
    <w:p w14:paraId="7B8B8BEB" w14:textId="77777777" w:rsidR="00122C1B" w:rsidRDefault="00122C1B" w:rsidP="00474A5B">
      <w:pPr>
        <w:pStyle w:val="TextPara"/>
      </w:pPr>
      <w:r>
        <w:t>By 2008 Victoria had reached the “best practice” Exemplar stage of the national GLS framework. An evaluation of the Victorian GLS conducted in 2017 determined that, as an integrated package of road safety measures, it has been effective in improving the safety of young drivers on Victoria’s roads.</w:t>
      </w:r>
      <w:r>
        <w:rPr>
          <w:rStyle w:val="EndnoteReference"/>
        </w:rPr>
        <w:endnoteReference w:id="205"/>
      </w:r>
    </w:p>
    <w:p w14:paraId="33839E73" w14:textId="77777777" w:rsidR="00122C1B" w:rsidRDefault="00122C1B" w:rsidP="00D63E26">
      <w:pPr>
        <w:pStyle w:val="TextPara"/>
      </w:pPr>
      <w:r>
        <w:rPr>
          <w:lang w:eastAsia="en-AU"/>
        </w:rPr>
        <w:t xml:space="preserve">In designing Victoria’s drive test in 2008, VicRoads undertook a systematic applied research project over two years. VicRoads enlisted the assistance of local and international experts </w:t>
      </w:r>
      <w:r>
        <w:t>in driver behaviour, young driver crashes, skill acquisition, human factors and practical licence test development experience.</w:t>
      </w:r>
      <w:r>
        <w:rPr>
          <w:rStyle w:val="EndnoteReference"/>
        </w:rPr>
        <w:endnoteReference w:id="206"/>
      </w:r>
      <w:r>
        <w:t xml:space="preserve"> A revised test was required to ensure that it was </w:t>
      </w:r>
      <w:r w:rsidRPr="00DB2B03">
        <w:t>suitable to assess probationary licence applicants with at least 120 hours of supervised</w:t>
      </w:r>
      <w:r>
        <w:t xml:space="preserve"> driving experience. Most of the other jurisdictions adopting minimum mandatory experience hours did not review or change their respective driving tests.</w:t>
      </w:r>
      <w:r>
        <w:rPr>
          <w:rStyle w:val="EndnoteReference"/>
        </w:rPr>
        <w:endnoteReference w:id="207"/>
      </w:r>
    </w:p>
    <w:p w14:paraId="5B6260CA" w14:textId="77777777" w:rsidR="00122C1B" w:rsidRDefault="00122C1B" w:rsidP="00D63E26">
      <w:pPr>
        <w:pStyle w:val="TextPara"/>
        <w:keepNext/>
        <w:spacing w:after="60"/>
      </w:pPr>
      <w:r>
        <w:t>Vic</w:t>
      </w:r>
      <w:r w:rsidR="00067EBB">
        <w:t>toria</w:t>
      </w:r>
      <w:r>
        <w:t xml:space="preserve"> adopted an innovative two-part approach to the new test:</w:t>
      </w:r>
    </w:p>
    <w:p w14:paraId="68281C5E" w14:textId="77777777" w:rsidR="00122C1B" w:rsidRDefault="00122C1B" w:rsidP="00D63E26">
      <w:pPr>
        <w:pStyle w:val="Bullet1-Black"/>
      </w:pPr>
      <w:r>
        <w:t>An initial on-road screening test ensures the learner driver is ready to complete the full on-road test. The screening test assesses basic on-road car control skills in less complex conditions, and has OH&amp;S concerns as its main justification. Learners cannot move onto the full on-road test if they fail this screening test.</w:t>
      </w:r>
    </w:p>
    <w:p w14:paraId="65D52D12" w14:textId="77777777" w:rsidR="00122C1B" w:rsidRDefault="00122C1B" w:rsidP="00D63E26">
      <w:pPr>
        <w:pStyle w:val="Bullet1-Black"/>
      </w:pPr>
      <w:r>
        <w:t xml:space="preserve">The second part consists of the full on-road test in </w:t>
      </w:r>
      <w:r w:rsidRPr="00C5375E">
        <w:t>more-realistic and busy everyday driving situations</w:t>
      </w:r>
      <w:r>
        <w:t xml:space="preserve"> and is based on consideration of the key cognitive processes and skills that underlie safe driving.</w:t>
      </w:r>
    </w:p>
    <w:p w14:paraId="3E2EED19" w14:textId="77777777" w:rsidR="00122C1B" w:rsidRDefault="00122C1B" w:rsidP="00F4115C">
      <w:pPr>
        <w:pStyle w:val="TextPara"/>
        <w:keepNext/>
        <w:spacing w:after="60"/>
      </w:pPr>
      <w:r>
        <w:t>A new test scoring approach was also devised:</w:t>
      </w:r>
    </w:p>
    <w:p w14:paraId="294A9E97" w14:textId="77777777" w:rsidR="00122C1B" w:rsidRDefault="00122C1B" w:rsidP="00D63E26">
      <w:pPr>
        <w:pStyle w:val="Bullet1-Black"/>
      </w:pPr>
      <w:r w:rsidRPr="00F011F4">
        <w:rPr>
          <w:i/>
        </w:rPr>
        <w:t>Immediate Termination Errors</w:t>
      </w:r>
      <w:r>
        <w:t xml:space="preserve"> – where the applicant does something to create an unsafe situation, the test is immediately terminated.</w:t>
      </w:r>
    </w:p>
    <w:p w14:paraId="2EB2DDC6" w14:textId="77777777" w:rsidR="00122C1B" w:rsidRDefault="00122C1B" w:rsidP="00D63E26">
      <w:pPr>
        <w:pStyle w:val="Bullet1-Black"/>
      </w:pPr>
      <w:r w:rsidRPr="00F011F4">
        <w:rPr>
          <w:i/>
        </w:rPr>
        <w:lastRenderedPageBreak/>
        <w:t>Critical errors</w:t>
      </w:r>
      <w:r>
        <w:t xml:space="preserve"> – where the applicant commits a serious driving error, which does not create an immediate danger, the repetition of this behaviour will fail the applicant and terminate the test.</w:t>
      </w:r>
    </w:p>
    <w:p w14:paraId="1EF2C362" w14:textId="77777777" w:rsidR="00122C1B" w:rsidRDefault="00122C1B" w:rsidP="00D63E26">
      <w:pPr>
        <w:pStyle w:val="Bullet1-Black"/>
      </w:pPr>
      <w:r>
        <w:t>Points are accumulated for correctly and safely demonstrating key driving skills when completing specific driving tasks.</w:t>
      </w:r>
    </w:p>
    <w:p w14:paraId="623E40E5" w14:textId="313A1FE4" w:rsidR="004D4410" w:rsidRPr="00117C96" w:rsidRDefault="004D4410" w:rsidP="00DF136F">
      <w:pPr>
        <w:pStyle w:val="Caption"/>
      </w:pPr>
      <w:bookmarkStart w:id="220" w:name="_Ref499904708"/>
      <w:bookmarkStart w:id="221" w:name="_Toc501558086"/>
      <w:bookmarkStart w:id="222" w:name="_Toc10703710"/>
      <w:r w:rsidRPr="00117C96">
        <w:t xml:space="preserve">Table </w:t>
      </w:r>
      <w:r w:rsidR="00F42E74">
        <w:rPr>
          <w:noProof/>
        </w:rPr>
        <w:fldChar w:fldCharType="begin"/>
      </w:r>
      <w:r w:rsidR="00F42E74">
        <w:rPr>
          <w:noProof/>
        </w:rPr>
        <w:instrText xml:space="preserve"> SEQ Table \* ARABIC </w:instrText>
      </w:r>
      <w:r w:rsidR="00F42E74">
        <w:rPr>
          <w:noProof/>
        </w:rPr>
        <w:fldChar w:fldCharType="separate"/>
      </w:r>
      <w:r w:rsidR="00EB4B02">
        <w:rPr>
          <w:noProof/>
        </w:rPr>
        <w:t>17</w:t>
      </w:r>
      <w:r w:rsidR="00F42E74">
        <w:rPr>
          <w:noProof/>
        </w:rPr>
        <w:fldChar w:fldCharType="end"/>
      </w:r>
      <w:bookmarkEnd w:id="220"/>
      <w:r w:rsidRPr="00117C96">
        <w:t xml:space="preserve"> – Victorian drive test pass rates in 2016</w:t>
      </w:r>
      <w:bookmarkEnd w:id="221"/>
      <w:bookmarkEnd w:id="222"/>
    </w:p>
    <w:tbl>
      <w:tblPr>
        <w:tblStyle w:val="RIS-Table2"/>
        <w:tblW w:w="5108" w:type="dxa"/>
        <w:tblInd w:w="137" w:type="dxa"/>
        <w:tblLayout w:type="fixed"/>
        <w:tblLook w:val="04A0" w:firstRow="1" w:lastRow="0" w:firstColumn="1" w:lastColumn="0" w:noHBand="0" w:noVBand="1"/>
      </w:tblPr>
      <w:tblGrid>
        <w:gridCol w:w="3686"/>
        <w:gridCol w:w="1422"/>
      </w:tblGrid>
      <w:tr w:rsidR="00DF136F" w:rsidRPr="00117C96" w14:paraId="59608071" w14:textId="77777777" w:rsidTr="00DF136F">
        <w:trPr>
          <w:cnfStyle w:val="100000000000" w:firstRow="1" w:lastRow="0" w:firstColumn="0" w:lastColumn="0" w:oddVBand="0" w:evenVBand="0" w:oddHBand="0" w:evenHBand="0" w:firstRowFirstColumn="0" w:firstRowLastColumn="0" w:lastRowFirstColumn="0" w:lastRowLastColumn="0"/>
        </w:trPr>
        <w:tc>
          <w:tcPr>
            <w:tcW w:w="3686" w:type="dxa"/>
          </w:tcPr>
          <w:p w14:paraId="094C772C" w14:textId="77777777" w:rsidR="004D4410" w:rsidRPr="00117C96" w:rsidRDefault="004D4410" w:rsidP="00FD464E">
            <w:pPr>
              <w:pStyle w:val="TableHeaders"/>
            </w:pPr>
            <w:r w:rsidRPr="00117C96">
              <w:t>Driver group</w:t>
            </w:r>
          </w:p>
        </w:tc>
        <w:tc>
          <w:tcPr>
            <w:tcW w:w="1422" w:type="dxa"/>
          </w:tcPr>
          <w:p w14:paraId="55848EA0" w14:textId="77777777" w:rsidR="004D4410" w:rsidRPr="00117C96" w:rsidRDefault="004D4410" w:rsidP="00FD464E">
            <w:pPr>
              <w:pStyle w:val="TableHeaders"/>
            </w:pPr>
            <w:r w:rsidRPr="00117C96">
              <w:t>Pass rate (%)</w:t>
            </w:r>
          </w:p>
        </w:tc>
      </w:tr>
      <w:tr w:rsidR="004D4410" w:rsidRPr="00117C96" w14:paraId="2FDB4241" w14:textId="77777777" w:rsidTr="00DF136F">
        <w:tc>
          <w:tcPr>
            <w:tcW w:w="3686" w:type="dxa"/>
          </w:tcPr>
          <w:p w14:paraId="662C539A" w14:textId="77777777" w:rsidR="004D4410" w:rsidRPr="0025511F" w:rsidRDefault="004D4410" w:rsidP="00FD464E">
            <w:pPr>
              <w:pStyle w:val="TableParagraph"/>
              <w:rPr>
                <w:color w:val="37424A"/>
              </w:rPr>
            </w:pPr>
            <w:r w:rsidRPr="00117C96">
              <w:t>1</w:t>
            </w:r>
            <w:r w:rsidR="008751CB">
              <w:t>8</w:t>
            </w:r>
            <w:r w:rsidRPr="00117C96">
              <w:t xml:space="preserve"> to 20 year</w:t>
            </w:r>
            <w:r w:rsidR="008751CB">
              <w:t>s</w:t>
            </w:r>
            <w:r w:rsidRPr="00117C96">
              <w:t xml:space="preserve"> old</w:t>
            </w:r>
            <w:r w:rsidR="008751CB">
              <w:t xml:space="preserve"> at</w:t>
            </w:r>
            <w:r w:rsidRPr="00117C96">
              <w:t xml:space="preserve"> first licence issue</w:t>
            </w:r>
          </w:p>
        </w:tc>
        <w:tc>
          <w:tcPr>
            <w:tcW w:w="1422" w:type="dxa"/>
          </w:tcPr>
          <w:p w14:paraId="4D903202" w14:textId="77777777" w:rsidR="004D4410" w:rsidRPr="0025511F" w:rsidRDefault="004D4410" w:rsidP="00FD464E">
            <w:pPr>
              <w:pStyle w:val="TableParagraph"/>
              <w:jc w:val="center"/>
            </w:pPr>
            <w:r w:rsidRPr="00117C96">
              <w:t>80%</w:t>
            </w:r>
          </w:p>
        </w:tc>
      </w:tr>
      <w:tr w:rsidR="00DF136F" w:rsidRPr="00117C96" w14:paraId="59FA3FB4" w14:textId="77777777" w:rsidTr="008751CB">
        <w:trPr>
          <w:cnfStyle w:val="000000010000" w:firstRow="0" w:lastRow="0" w:firstColumn="0" w:lastColumn="0" w:oddVBand="0" w:evenVBand="0" w:oddHBand="0" w:evenHBand="1" w:firstRowFirstColumn="0" w:firstRowLastColumn="0" w:lastRowFirstColumn="0" w:lastRowLastColumn="0"/>
        </w:trPr>
        <w:tc>
          <w:tcPr>
            <w:tcW w:w="3686" w:type="dxa"/>
          </w:tcPr>
          <w:p w14:paraId="0989950D" w14:textId="77777777" w:rsidR="004D4410" w:rsidRPr="00117C96" w:rsidRDefault="004D4410" w:rsidP="00FD464E">
            <w:pPr>
              <w:pStyle w:val="TableParagraph"/>
              <w:rPr>
                <w:b/>
              </w:rPr>
            </w:pPr>
            <w:r w:rsidRPr="00117C96">
              <w:t>21 years old and over</w:t>
            </w:r>
            <w:r w:rsidR="008751CB">
              <w:t xml:space="preserve"> at</w:t>
            </w:r>
            <w:r w:rsidRPr="00117C96">
              <w:t xml:space="preserve"> first licence issue </w:t>
            </w:r>
          </w:p>
        </w:tc>
        <w:tc>
          <w:tcPr>
            <w:tcW w:w="1422" w:type="dxa"/>
          </w:tcPr>
          <w:p w14:paraId="7E27DA9A" w14:textId="77777777" w:rsidR="004D4410" w:rsidRPr="00117C96" w:rsidRDefault="004D4410" w:rsidP="00FD464E">
            <w:pPr>
              <w:pStyle w:val="TableParagraph"/>
              <w:jc w:val="center"/>
              <w:rPr>
                <w:b/>
              </w:rPr>
            </w:pPr>
            <w:r w:rsidRPr="00117C96">
              <w:t>50%</w:t>
            </w:r>
          </w:p>
        </w:tc>
      </w:tr>
    </w:tbl>
    <w:p w14:paraId="706ABCAC" w14:textId="77777777" w:rsidR="004D4410" w:rsidRPr="00117C96" w:rsidRDefault="004D4410" w:rsidP="00DF136F">
      <w:pPr>
        <w:pStyle w:val="Source"/>
      </w:pPr>
      <w:r w:rsidRPr="00117C96">
        <w:t>Source: VicRoads DLS</w:t>
      </w:r>
    </w:p>
    <w:p w14:paraId="49D4FBFC" w14:textId="0449E5C8" w:rsidR="00122C1B" w:rsidRDefault="00645B2D" w:rsidP="00DF136F">
      <w:pPr>
        <w:pStyle w:val="TextPara"/>
      </w:pPr>
      <w:r>
        <w:fldChar w:fldCharType="begin"/>
      </w:r>
      <w:r>
        <w:instrText xml:space="preserve"> REF _Ref499904708 \h  \* MERGEFORMAT </w:instrText>
      </w:r>
      <w:r>
        <w:fldChar w:fldCharType="separate"/>
      </w:r>
      <w:r w:rsidR="00EB4B02" w:rsidRPr="00117C96">
        <w:t xml:space="preserve">Table </w:t>
      </w:r>
      <w:r w:rsidR="00EB4B02">
        <w:rPr>
          <w:noProof/>
        </w:rPr>
        <w:t>17</w:t>
      </w:r>
      <w:r>
        <w:fldChar w:fldCharType="end"/>
      </w:r>
      <w:r w:rsidRPr="00117C96">
        <w:t xml:space="preserve"> shows the Victorian drive test pass rates for various driver groups in 2016.</w:t>
      </w:r>
      <w:r>
        <w:t xml:space="preserve"> Licence </w:t>
      </w:r>
      <w:r w:rsidR="00122C1B">
        <w:t>applicants</w:t>
      </w:r>
      <w:r w:rsidR="008751CB">
        <w:t xml:space="preserve"> required to complete 120 hours (18-20 years) have a significantly higher pass rate than those aged 21 years and over. </w:t>
      </w:r>
      <w:r w:rsidR="00210A18">
        <w:t xml:space="preserve">While those aged 21 years or over do not need to complete 120 hours, the </w:t>
      </w:r>
      <w:r w:rsidR="00984F79">
        <w:t>lower</w:t>
      </w:r>
      <w:r w:rsidR="00210A18">
        <w:t xml:space="preserve"> pass rate is not solely due to less driving experience. </w:t>
      </w:r>
      <w:r w:rsidR="00E15FC5">
        <w:t>Having at least 120 hours of supervised driving experience exposes them</w:t>
      </w:r>
      <w:r w:rsidR="00DF136F">
        <w:t xml:space="preserve"> to</w:t>
      </w:r>
      <w:r w:rsidR="00122C1B">
        <w:t xml:space="preserve"> a broad range of different driving conditions – such as at night, in wet weather and on different types of roads</w:t>
      </w:r>
      <w:r w:rsidR="00E15FC5">
        <w:t>. It also ensures that they c</w:t>
      </w:r>
      <w:r w:rsidR="00122C1B">
        <w:t>an drive safely and legally in different driving situations, such as in normal busy traffic, at intersections and on roads with</w:t>
      </w:r>
      <w:r w:rsidR="00122C1B" w:rsidRPr="000842C8">
        <w:t xml:space="preserve"> </w:t>
      </w:r>
      <w:r w:rsidR="00122C1B">
        <w:t>multiple lanes.</w:t>
      </w:r>
    </w:p>
    <w:p w14:paraId="0AD3C2CC" w14:textId="77777777" w:rsidR="00122C1B" w:rsidRPr="00BC735D" w:rsidRDefault="00122C1B" w:rsidP="006713F9">
      <w:pPr>
        <w:pStyle w:val="Heading3"/>
      </w:pPr>
      <w:bookmarkStart w:id="223" w:name="_Ref517944377"/>
      <w:bookmarkStart w:id="224" w:name="_Toc10703422"/>
      <w:r>
        <w:t>Effectiveness</w:t>
      </w:r>
      <w:bookmarkEnd w:id="223"/>
      <w:bookmarkEnd w:id="224"/>
    </w:p>
    <w:p w14:paraId="78E4D430" w14:textId="3A1F0321" w:rsidR="00122C1B" w:rsidRDefault="00122C1B" w:rsidP="001C3A9F">
      <w:pPr>
        <w:pStyle w:val="TextPara"/>
        <w:rPr>
          <w:rFonts w:cs="Segoe UI"/>
          <w:lang w:eastAsia="en-AU"/>
        </w:rPr>
      </w:pPr>
      <w:r w:rsidRPr="006414D2">
        <w:rPr>
          <w:rFonts w:cs="Segoe UI"/>
          <w:lang w:eastAsia="en-AU"/>
        </w:rPr>
        <w:t>More than half a million drivers graduated through the system</w:t>
      </w:r>
      <w:r w:rsidRPr="0002652B">
        <w:rPr>
          <w:rFonts w:cs="Segoe UI"/>
          <w:lang w:eastAsia="en-AU"/>
        </w:rPr>
        <w:t xml:space="preserve"> </w:t>
      </w:r>
      <w:r w:rsidR="0054630B">
        <w:rPr>
          <w:rFonts w:cs="Segoe UI"/>
          <w:lang w:eastAsia="en-AU"/>
        </w:rPr>
        <w:t xml:space="preserve">since </w:t>
      </w:r>
      <w:r>
        <w:rPr>
          <w:rFonts w:cs="Segoe UI"/>
          <w:lang w:eastAsia="en-AU"/>
        </w:rPr>
        <w:t>the implementation of the enhanced GLS in 2007-2008.</w:t>
      </w:r>
      <w:r w:rsidRPr="006414D2">
        <w:rPr>
          <w:rFonts w:cs="Segoe UI"/>
          <w:lang w:eastAsia="en-AU"/>
        </w:rPr>
        <w:t xml:space="preserve"> </w:t>
      </w:r>
      <w:r w:rsidRPr="00117C96">
        <w:rPr>
          <w:rFonts w:cs="Segoe UI"/>
          <w:lang w:eastAsia="en-AU"/>
        </w:rPr>
        <w:t xml:space="preserve">VicRoads undertook an evaluation of its enhanced </w:t>
      </w:r>
      <w:r>
        <w:rPr>
          <w:rFonts w:cs="Segoe UI"/>
          <w:lang w:eastAsia="en-AU"/>
        </w:rPr>
        <w:t>GLS i</w:t>
      </w:r>
      <w:r w:rsidRPr="00117C96">
        <w:rPr>
          <w:rFonts w:cs="Segoe UI"/>
          <w:lang w:eastAsia="en-AU"/>
        </w:rPr>
        <w:t>n 2017</w:t>
      </w:r>
      <w:r>
        <w:rPr>
          <w:rFonts w:cs="Segoe UI"/>
          <w:lang w:eastAsia="en-AU"/>
        </w:rPr>
        <w:t xml:space="preserve"> with its primary objective being </w:t>
      </w:r>
      <w:r w:rsidRPr="006414D2">
        <w:rPr>
          <w:rFonts w:cs="Segoe UI"/>
          <w:lang w:eastAsia="en-AU"/>
        </w:rPr>
        <w:t xml:space="preserve">to </w:t>
      </w:r>
      <w:r>
        <w:rPr>
          <w:rFonts w:cs="Segoe UI"/>
          <w:lang w:eastAsia="en-AU"/>
        </w:rPr>
        <w:t>assess</w:t>
      </w:r>
      <w:r w:rsidRPr="006414D2">
        <w:rPr>
          <w:rFonts w:cs="Segoe UI"/>
          <w:lang w:eastAsia="en-AU"/>
        </w:rPr>
        <w:t xml:space="preserve"> </w:t>
      </w:r>
      <w:r>
        <w:rPr>
          <w:rFonts w:cs="Segoe UI"/>
          <w:lang w:eastAsia="en-AU"/>
        </w:rPr>
        <w:t>the</w:t>
      </w:r>
      <w:r w:rsidRPr="006414D2">
        <w:rPr>
          <w:rFonts w:cs="Segoe UI"/>
          <w:lang w:eastAsia="en-AU"/>
        </w:rPr>
        <w:t xml:space="preserve"> effect </w:t>
      </w:r>
      <w:r>
        <w:rPr>
          <w:rFonts w:cs="Segoe UI"/>
          <w:lang w:eastAsia="en-AU"/>
        </w:rPr>
        <w:t xml:space="preserve">of the GLS </w:t>
      </w:r>
      <w:r w:rsidRPr="006414D2">
        <w:rPr>
          <w:rFonts w:cs="Segoe UI"/>
          <w:lang w:eastAsia="en-AU"/>
        </w:rPr>
        <w:t xml:space="preserve">on </w:t>
      </w:r>
      <w:r>
        <w:rPr>
          <w:rFonts w:cs="Segoe UI"/>
          <w:lang w:eastAsia="en-AU"/>
        </w:rPr>
        <w:t xml:space="preserve">the </w:t>
      </w:r>
      <w:r w:rsidRPr="006414D2">
        <w:rPr>
          <w:rFonts w:cs="Segoe UI"/>
          <w:lang w:eastAsia="en-AU"/>
        </w:rPr>
        <w:t>safety</w:t>
      </w:r>
      <w:r>
        <w:rPr>
          <w:rFonts w:cs="Segoe UI"/>
          <w:lang w:eastAsia="en-AU"/>
        </w:rPr>
        <w:t xml:space="preserve"> of </w:t>
      </w:r>
      <w:r w:rsidRPr="006414D2">
        <w:rPr>
          <w:rFonts w:cs="Segoe UI"/>
          <w:lang w:eastAsia="en-AU"/>
        </w:rPr>
        <w:t>young novice driver</w:t>
      </w:r>
      <w:r>
        <w:rPr>
          <w:rFonts w:cs="Segoe UI"/>
          <w:lang w:eastAsia="en-AU"/>
        </w:rPr>
        <w:t>s</w:t>
      </w:r>
      <w:r w:rsidRPr="006414D2">
        <w:rPr>
          <w:rFonts w:cs="Segoe UI"/>
          <w:lang w:eastAsia="en-AU"/>
        </w:rPr>
        <w:t xml:space="preserve"> </w:t>
      </w:r>
      <w:r>
        <w:rPr>
          <w:rFonts w:cs="Segoe UI"/>
          <w:lang w:eastAsia="en-AU"/>
        </w:rPr>
        <w:t xml:space="preserve">and </w:t>
      </w:r>
      <w:r w:rsidRPr="00117C96">
        <w:rPr>
          <w:rFonts w:cs="Segoe UI"/>
          <w:lang w:eastAsia="en-AU"/>
        </w:rPr>
        <w:t xml:space="preserve">whether </w:t>
      </w:r>
      <w:r>
        <w:rPr>
          <w:rFonts w:cs="Segoe UI"/>
          <w:lang w:eastAsia="en-AU"/>
        </w:rPr>
        <w:t>it</w:t>
      </w:r>
      <w:r w:rsidRPr="00117C96">
        <w:rPr>
          <w:rFonts w:cs="Segoe UI"/>
          <w:lang w:eastAsia="en-AU"/>
        </w:rPr>
        <w:t xml:space="preserve"> reduced the</w:t>
      </w:r>
      <w:r>
        <w:rPr>
          <w:rFonts w:cs="Segoe UI"/>
          <w:lang w:eastAsia="en-AU"/>
        </w:rPr>
        <w:t>ir</w:t>
      </w:r>
      <w:r w:rsidRPr="00117C96">
        <w:rPr>
          <w:rFonts w:cs="Segoe UI"/>
          <w:lang w:eastAsia="en-AU"/>
        </w:rPr>
        <w:t xml:space="preserve"> </w:t>
      </w:r>
      <w:r>
        <w:rPr>
          <w:rFonts w:cs="Segoe UI"/>
          <w:lang w:eastAsia="en-AU"/>
        </w:rPr>
        <w:t xml:space="preserve">crash and offence </w:t>
      </w:r>
      <w:r w:rsidRPr="00117C96">
        <w:rPr>
          <w:rFonts w:cs="Segoe UI"/>
          <w:lang w:eastAsia="en-AU"/>
        </w:rPr>
        <w:t>rate</w:t>
      </w:r>
      <w:r w:rsidR="002A18B1">
        <w:rPr>
          <w:rFonts w:cs="Segoe UI"/>
          <w:lang w:eastAsia="en-AU"/>
        </w:rPr>
        <w:t>, compared with the counterfactual of no GLS</w:t>
      </w:r>
      <w:r w:rsidRPr="00117C96">
        <w:rPr>
          <w:rFonts w:cs="Segoe UI"/>
          <w:lang w:eastAsia="en-AU"/>
        </w:rPr>
        <w:t>. It also examined whether changes in the behaviour of young drivers may have contributed to any crash</w:t>
      </w:r>
      <w:r>
        <w:rPr>
          <w:rFonts w:cs="Segoe UI"/>
          <w:lang w:eastAsia="en-AU"/>
        </w:rPr>
        <w:t xml:space="preserve"> or offence rate reductions.</w:t>
      </w:r>
    </w:p>
    <w:p w14:paraId="4C2DFE33" w14:textId="495A1B41" w:rsidR="00E804B9" w:rsidRDefault="002923CB" w:rsidP="001C3A9F">
      <w:pPr>
        <w:pStyle w:val="TextPara"/>
        <w:rPr>
          <w:rFonts w:cs="Segoe UI"/>
          <w:lang w:eastAsia="en-AU"/>
        </w:rPr>
      </w:pPr>
      <w:r w:rsidRPr="002923CB">
        <w:rPr>
          <w:rFonts w:cs="Segoe UI"/>
          <w:lang w:eastAsia="en-AU"/>
        </w:rPr>
        <w:t>Th</w:t>
      </w:r>
      <w:r w:rsidR="00D065C5">
        <w:rPr>
          <w:rFonts w:cs="Segoe UI"/>
          <w:lang w:eastAsia="en-AU"/>
        </w:rPr>
        <w:t>e</w:t>
      </w:r>
      <w:r w:rsidRPr="002923CB">
        <w:rPr>
          <w:rFonts w:cs="Segoe UI"/>
          <w:lang w:eastAsia="en-AU"/>
        </w:rPr>
        <w:t xml:space="preserve"> study provided evidence that </w:t>
      </w:r>
      <w:r w:rsidR="00D065C5">
        <w:rPr>
          <w:rFonts w:cs="Segoe UI"/>
          <w:lang w:eastAsia="en-AU"/>
        </w:rPr>
        <w:t>certain components</w:t>
      </w:r>
      <w:r w:rsidRPr="002923CB">
        <w:rPr>
          <w:rFonts w:cs="Segoe UI"/>
          <w:lang w:eastAsia="en-AU"/>
        </w:rPr>
        <w:t xml:space="preserve"> </w:t>
      </w:r>
      <w:r w:rsidR="00D065C5">
        <w:rPr>
          <w:rFonts w:cs="Segoe UI"/>
          <w:lang w:eastAsia="en-AU"/>
        </w:rPr>
        <w:t xml:space="preserve">of the </w:t>
      </w:r>
      <w:r w:rsidRPr="002923CB">
        <w:rPr>
          <w:rFonts w:cs="Segoe UI"/>
          <w:lang w:eastAsia="en-AU"/>
        </w:rPr>
        <w:t xml:space="preserve">GLS </w:t>
      </w:r>
      <w:r w:rsidR="00D065C5">
        <w:rPr>
          <w:rFonts w:cs="Segoe UI"/>
          <w:lang w:eastAsia="en-AU"/>
        </w:rPr>
        <w:t xml:space="preserve">at the Exemplar stage </w:t>
      </w:r>
      <w:r w:rsidRPr="002923CB">
        <w:rPr>
          <w:rFonts w:cs="Segoe UI"/>
          <w:lang w:eastAsia="en-AU"/>
        </w:rPr>
        <w:t xml:space="preserve">provides additional safety benefits compared with the other two stages. For example, the study found that the peer passenger restriction on P1 licence holders was particularly effective at reducing crash involvement rates. </w:t>
      </w:r>
      <w:r w:rsidR="00D065C5">
        <w:rPr>
          <w:rFonts w:cs="Segoe UI"/>
          <w:lang w:eastAsia="en-AU"/>
        </w:rPr>
        <w:t xml:space="preserve">However, the study did not compare </w:t>
      </w:r>
      <w:r w:rsidR="00D065C5" w:rsidRPr="00CF119C">
        <w:rPr>
          <w:rFonts w:cs="Segoe UI"/>
          <w:i/>
          <w:lang w:eastAsia="en-AU"/>
        </w:rPr>
        <w:t>all of the components together</w:t>
      </w:r>
      <w:r w:rsidR="00D065C5">
        <w:rPr>
          <w:rFonts w:cs="Segoe UI"/>
          <w:lang w:eastAsia="en-AU"/>
        </w:rPr>
        <w:t xml:space="preserve"> at the Exemplar stage with the same package of components at the other two stages.</w:t>
      </w:r>
      <w:r w:rsidR="00E804B9" w:rsidRPr="00E804B9">
        <w:rPr>
          <w:rFonts w:cs="Segoe UI"/>
          <w:lang w:eastAsia="en-AU"/>
        </w:rPr>
        <w:t xml:space="preserve"> </w:t>
      </w:r>
      <w:r w:rsidR="00E804B9">
        <w:rPr>
          <w:rFonts w:cs="Segoe UI"/>
          <w:lang w:eastAsia="en-AU"/>
        </w:rPr>
        <w:t xml:space="preserve">No study has been done comparing the costs of the different stages of the GLS framework, however the greater restrictions in the exemplar stage, compared to the enhanced and standard stages, are likely to impose higher costs on the community. On balance the Department believes that the additional safety benefits </w:t>
      </w:r>
      <w:r w:rsidR="00452C1C">
        <w:rPr>
          <w:rFonts w:cs="Segoe UI"/>
          <w:lang w:eastAsia="en-AU"/>
        </w:rPr>
        <w:t xml:space="preserve">of </w:t>
      </w:r>
      <w:r w:rsidR="00E804B9">
        <w:rPr>
          <w:rFonts w:cs="Segoe UI"/>
          <w:lang w:eastAsia="en-AU"/>
        </w:rPr>
        <w:t>the exemplar stage in terms of averted injuries and deaths outweigh these higher costs.</w:t>
      </w:r>
    </w:p>
    <w:p w14:paraId="7DAD2B99" w14:textId="5FF6A406" w:rsidR="00122C1B" w:rsidRDefault="00122C1B" w:rsidP="001C3A9F">
      <w:pPr>
        <w:pStyle w:val="TextPara"/>
        <w:rPr>
          <w:rFonts w:cs="Segoe UI"/>
        </w:rPr>
      </w:pPr>
      <w:r>
        <w:rPr>
          <w:rFonts w:cs="Segoe UI"/>
          <w:lang w:eastAsia="en-AU"/>
        </w:rPr>
        <w:t>T</w:t>
      </w:r>
      <w:r w:rsidRPr="00117C96">
        <w:rPr>
          <w:rFonts w:cs="Segoe UI"/>
          <w:lang w:eastAsia="en-AU"/>
        </w:rPr>
        <w:t>he analysis looked at a range of factors, which were measured before and after the introduction of the GLS</w:t>
      </w:r>
      <w:r>
        <w:rPr>
          <w:rFonts w:cs="Segoe UI"/>
          <w:lang w:eastAsia="en-AU"/>
        </w:rPr>
        <w:t>,</w:t>
      </w:r>
      <w:r w:rsidRPr="00117C96">
        <w:rPr>
          <w:rStyle w:val="EndnoteReference"/>
          <w:rFonts w:cs="Segoe UI"/>
        </w:rPr>
        <w:endnoteReference w:id="208"/>
      </w:r>
      <w:r>
        <w:rPr>
          <w:rFonts w:cs="Segoe UI"/>
          <w:lang w:eastAsia="en-AU"/>
        </w:rPr>
        <w:t xml:space="preserve"> consisting of crashes, </w:t>
      </w:r>
      <w:r w:rsidRPr="008655F1">
        <w:rPr>
          <w:rFonts w:cs="Segoe UI"/>
          <w:lang w:eastAsia="en-AU"/>
        </w:rPr>
        <w:t>offences</w:t>
      </w:r>
      <w:r>
        <w:rPr>
          <w:rFonts w:cs="Segoe UI"/>
          <w:lang w:eastAsia="en-AU"/>
        </w:rPr>
        <w:t xml:space="preserve">, </w:t>
      </w:r>
      <w:r w:rsidRPr="008655F1">
        <w:rPr>
          <w:rFonts w:cs="Segoe UI"/>
          <w:lang w:eastAsia="en-AU"/>
        </w:rPr>
        <w:t>learner permit and licensing trends</w:t>
      </w:r>
      <w:r>
        <w:rPr>
          <w:rFonts w:cs="Segoe UI"/>
          <w:lang w:eastAsia="en-AU"/>
        </w:rPr>
        <w:t xml:space="preserve">, </w:t>
      </w:r>
      <w:r w:rsidRPr="008655F1">
        <w:rPr>
          <w:rFonts w:cs="Segoe UI"/>
          <w:lang w:eastAsia="en-AU"/>
        </w:rPr>
        <w:t>learner driver supervised practice</w:t>
      </w:r>
      <w:r>
        <w:rPr>
          <w:rFonts w:cs="Segoe UI"/>
          <w:lang w:eastAsia="en-AU"/>
        </w:rPr>
        <w:t xml:space="preserve">, carriage of peer passengers, </w:t>
      </w:r>
      <w:r w:rsidRPr="008655F1">
        <w:rPr>
          <w:rFonts w:cs="Segoe UI"/>
          <w:lang w:eastAsia="en-AU"/>
        </w:rPr>
        <w:t>drink-driving behaviour</w:t>
      </w:r>
      <w:r>
        <w:rPr>
          <w:rFonts w:cs="Segoe UI"/>
          <w:lang w:eastAsia="en-AU"/>
        </w:rPr>
        <w:t xml:space="preserve">, </w:t>
      </w:r>
      <w:r w:rsidRPr="008655F1">
        <w:rPr>
          <w:rFonts w:cs="Segoe UI"/>
          <w:lang w:eastAsia="en-AU"/>
        </w:rPr>
        <w:t>speeding behaviour</w:t>
      </w:r>
      <w:r>
        <w:rPr>
          <w:rFonts w:cs="Segoe UI"/>
          <w:lang w:eastAsia="en-AU"/>
        </w:rPr>
        <w:t xml:space="preserve">, and </w:t>
      </w:r>
      <w:r w:rsidRPr="008655F1">
        <w:rPr>
          <w:rFonts w:cs="Segoe UI"/>
          <w:lang w:eastAsia="en-AU"/>
        </w:rPr>
        <w:t>other behaviours and requirements (e.g. mobile phone use).</w:t>
      </w:r>
      <w:r>
        <w:rPr>
          <w:rStyle w:val="EndnoteReference"/>
          <w:rFonts w:cs="Segoe UI"/>
          <w:lang w:eastAsia="en-AU"/>
        </w:rPr>
        <w:endnoteReference w:id="209"/>
      </w:r>
    </w:p>
    <w:p w14:paraId="776E77A7" w14:textId="77777777" w:rsidR="00122C1B" w:rsidRDefault="00122C1B" w:rsidP="001C3A9F">
      <w:pPr>
        <w:pStyle w:val="TextPara"/>
        <w:rPr>
          <w:rFonts w:cs="Segoe UI"/>
        </w:rPr>
      </w:pPr>
      <w:r w:rsidRPr="00117C96">
        <w:rPr>
          <w:rFonts w:cs="Segoe UI"/>
        </w:rPr>
        <w:t xml:space="preserve">The evaluation </w:t>
      </w:r>
      <w:r>
        <w:rPr>
          <w:rFonts w:cs="Segoe UI"/>
        </w:rPr>
        <w:t>found</w:t>
      </w:r>
      <w:r w:rsidRPr="00117C96">
        <w:rPr>
          <w:rFonts w:cs="Segoe UI"/>
        </w:rPr>
        <w:t xml:space="preserve"> that the core elements of the enhanced </w:t>
      </w:r>
      <w:r>
        <w:rPr>
          <w:rFonts w:cs="Segoe UI"/>
        </w:rPr>
        <w:t>GLS</w:t>
      </w:r>
      <w:r>
        <w:rPr>
          <w:rStyle w:val="EndnoteReference"/>
          <w:rFonts w:cs="Segoe UI"/>
        </w:rPr>
        <w:endnoteReference w:id="210"/>
      </w:r>
      <w:r w:rsidRPr="00117C96">
        <w:rPr>
          <w:rFonts w:cs="Segoe UI"/>
        </w:rPr>
        <w:t xml:space="preserve"> are influencing factors as a group of restrictions </w:t>
      </w:r>
      <w:r>
        <w:rPr>
          <w:rFonts w:cs="Segoe UI"/>
        </w:rPr>
        <w:t>aimed at</w:t>
      </w:r>
      <w:r w:rsidRPr="00117C96">
        <w:rPr>
          <w:rFonts w:cs="Segoe UI"/>
        </w:rPr>
        <w:t xml:space="preserve"> reduc</w:t>
      </w:r>
      <w:r>
        <w:rPr>
          <w:rFonts w:cs="Segoe UI"/>
        </w:rPr>
        <w:t>ing the</w:t>
      </w:r>
      <w:r w:rsidRPr="00117C96">
        <w:rPr>
          <w:rFonts w:cs="Segoe UI"/>
        </w:rPr>
        <w:t xml:space="preserve"> crash </w:t>
      </w:r>
      <w:r>
        <w:rPr>
          <w:rFonts w:cs="Segoe UI"/>
        </w:rPr>
        <w:t>involvement rate</w:t>
      </w:r>
      <w:r w:rsidRPr="00117C96">
        <w:rPr>
          <w:rFonts w:cs="Segoe UI"/>
        </w:rPr>
        <w:t xml:space="preserve"> for novice drivers.</w:t>
      </w:r>
      <w:r>
        <w:rPr>
          <w:rFonts w:cs="Segoe UI"/>
        </w:rPr>
        <w:t xml:space="preserve"> </w:t>
      </w:r>
    </w:p>
    <w:p w14:paraId="63F1313C" w14:textId="77777777" w:rsidR="00122C1B" w:rsidRPr="003016AC" w:rsidRDefault="00122C1B" w:rsidP="001C3A9F">
      <w:pPr>
        <w:pStyle w:val="TextPara"/>
        <w:spacing w:after="60"/>
        <w:rPr>
          <w:rFonts w:cs="Segoe UI"/>
        </w:rPr>
      </w:pPr>
      <w:r w:rsidRPr="003016AC">
        <w:rPr>
          <w:rFonts w:cs="Segoe UI"/>
        </w:rPr>
        <w:t xml:space="preserve">The evaluation </w:t>
      </w:r>
      <w:r>
        <w:rPr>
          <w:rFonts w:cs="Segoe UI"/>
        </w:rPr>
        <w:t>sought to determine if there was a statistically significant change in safety outcomes after the introducti</w:t>
      </w:r>
      <w:r w:rsidR="00B53043">
        <w:rPr>
          <w:rFonts w:cs="Segoe UI"/>
        </w:rPr>
        <w:t xml:space="preserve">on of the scheme. It focused on – </w:t>
      </w:r>
    </w:p>
    <w:p w14:paraId="36FAB678" w14:textId="77777777" w:rsidR="00122C1B" w:rsidRPr="003016AC" w:rsidRDefault="00122C1B" w:rsidP="001C3A9F">
      <w:pPr>
        <w:pStyle w:val="Bullet1-Black"/>
      </w:pPr>
      <w:r>
        <w:t>t</w:t>
      </w:r>
      <w:r w:rsidRPr="003016AC">
        <w:t>he GLS as a</w:t>
      </w:r>
      <w:r>
        <w:t>n integrated system</w:t>
      </w:r>
      <w:r w:rsidRPr="003016AC">
        <w:t xml:space="preserve"> on crash invo</w:t>
      </w:r>
      <w:r>
        <w:t>lvement rates and offence rates</w:t>
      </w:r>
    </w:p>
    <w:p w14:paraId="4B36F41B" w14:textId="77777777" w:rsidR="00122C1B" w:rsidRPr="003016AC" w:rsidRDefault="00122C1B" w:rsidP="001C3A9F">
      <w:pPr>
        <w:pStyle w:val="Bullet1-Black"/>
      </w:pPr>
      <w:r>
        <w:t>t</w:t>
      </w:r>
      <w:r w:rsidRPr="003016AC">
        <w:t>he change in supervised practice hours</w:t>
      </w:r>
    </w:p>
    <w:p w14:paraId="163F99D6" w14:textId="77777777" w:rsidR="00122C1B" w:rsidRPr="003016AC" w:rsidRDefault="00122C1B" w:rsidP="001C3A9F">
      <w:pPr>
        <w:pStyle w:val="Bullet1-Black"/>
      </w:pPr>
      <w:r>
        <w:t>p</w:t>
      </w:r>
      <w:r w:rsidRPr="003016AC">
        <w:t xml:space="preserve">robationary </w:t>
      </w:r>
      <w:r>
        <w:t xml:space="preserve">drivers’ </w:t>
      </w:r>
      <w:r w:rsidRPr="003016AC">
        <w:t>self-reported behaviour</w:t>
      </w:r>
    </w:p>
    <w:p w14:paraId="20FD5B0B" w14:textId="77777777" w:rsidR="00122C1B" w:rsidRPr="003016AC" w:rsidRDefault="00122C1B" w:rsidP="001C3A9F">
      <w:pPr>
        <w:pStyle w:val="Bullet1-Black"/>
      </w:pPr>
      <w:r>
        <w:lastRenderedPageBreak/>
        <w:t>o</w:t>
      </w:r>
      <w:r w:rsidRPr="003016AC">
        <w:t xml:space="preserve">ffence rates broken down into specific groupings </w:t>
      </w:r>
      <w:r>
        <w:t>–</w:t>
      </w:r>
      <w:r w:rsidRPr="003016AC">
        <w:t xml:space="preserve"> exceed BAC and alcohol offences, speed offences, court versus </w:t>
      </w:r>
      <w:r>
        <w:t>Traffic Infringement Notice (</w:t>
      </w:r>
      <w:r w:rsidRPr="003016AC">
        <w:t>TIN</w:t>
      </w:r>
      <w:r>
        <w:t>)</w:t>
      </w:r>
      <w:r w:rsidRPr="003016AC">
        <w:t xml:space="preserve"> offences, other offences (e.g. mobile phone use, failure to display P-plates)</w:t>
      </w:r>
    </w:p>
    <w:p w14:paraId="329A8698" w14:textId="77777777" w:rsidR="00122C1B" w:rsidRDefault="00122C1B" w:rsidP="001C3A9F">
      <w:pPr>
        <w:pStyle w:val="Bullet1-Black"/>
      </w:pPr>
      <w:r>
        <w:t>c</w:t>
      </w:r>
      <w:r w:rsidRPr="003016AC">
        <w:t>rash involvement rates for age at crash, time since first licence (experience level), alcohol involvement, carriage of peer passengers. These crash involvement rates were further broken down by gender, metro v</w:t>
      </w:r>
      <w:r>
        <w:t>ersu</w:t>
      </w:r>
      <w:r w:rsidRPr="003016AC">
        <w:t xml:space="preserve">s rural, age at crash and </w:t>
      </w:r>
      <w:r>
        <w:t>experience level.</w:t>
      </w:r>
    </w:p>
    <w:p w14:paraId="6D2A47A3" w14:textId="77777777" w:rsidR="00122C1B" w:rsidRPr="00B965A5" w:rsidRDefault="00122C1B" w:rsidP="001C3A9F">
      <w:pPr>
        <w:pStyle w:val="TextPara"/>
      </w:pPr>
      <w:r w:rsidRPr="00B965A5">
        <w:rPr>
          <w:rFonts w:cs="Segoe UI"/>
        </w:rPr>
        <w:t>The main aim of the crash analysis was to assess the impact of the GLS upon the crash involvement and crash rates of novice drivers in</w:t>
      </w:r>
      <w:r>
        <w:rPr>
          <w:rFonts w:cs="Segoe UI"/>
        </w:rPr>
        <w:t xml:space="preserve"> </w:t>
      </w:r>
      <w:r w:rsidRPr="00B965A5">
        <w:t xml:space="preserve">casualty crashes, </w:t>
      </w:r>
      <w:r>
        <w:t>including</w:t>
      </w:r>
      <w:r w:rsidRPr="00B965A5">
        <w:t xml:space="preserve"> crashes that result in a fatality (death) or serious injury (FSI crashes). </w:t>
      </w:r>
    </w:p>
    <w:p w14:paraId="0A0B30EE" w14:textId="77777777" w:rsidR="00122C1B" w:rsidRDefault="00122C1B" w:rsidP="001C3A9F">
      <w:pPr>
        <w:pStyle w:val="TextPara"/>
        <w:spacing w:after="60"/>
        <w:rPr>
          <w:rFonts w:cs="Segoe UI"/>
        </w:rPr>
      </w:pPr>
      <w:r w:rsidRPr="00B965A5">
        <w:rPr>
          <w:rFonts w:cs="Segoe UI"/>
        </w:rPr>
        <w:t>When analysing crash</w:t>
      </w:r>
      <w:r>
        <w:rPr>
          <w:rFonts w:cs="Segoe UI"/>
        </w:rPr>
        <w:t xml:space="preserve"> and offence</w:t>
      </w:r>
      <w:r w:rsidRPr="00B965A5">
        <w:rPr>
          <w:rFonts w:cs="Segoe UI"/>
        </w:rPr>
        <w:t xml:space="preserve"> rates using statistical testing, a group of experienced drivers was used as a comparison. To control for differences in exposure between the novice driver group and the comparison group, crash rates were defined as the number of crash involvements per 10,000 </w:t>
      </w:r>
      <w:r>
        <w:rPr>
          <w:rFonts w:cs="Segoe UI"/>
        </w:rPr>
        <w:t>driver-</w:t>
      </w:r>
      <w:r w:rsidRPr="00B965A5">
        <w:rPr>
          <w:rFonts w:cs="Segoe UI"/>
        </w:rPr>
        <w:t>year</w:t>
      </w:r>
      <w:r>
        <w:rPr>
          <w:rFonts w:cs="Segoe UI"/>
        </w:rPr>
        <w:t xml:space="preserve">s of licence holding. </w:t>
      </w:r>
    </w:p>
    <w:p w14:paraId="6A60BF8C" w14:textId="77777777" w:rsidR="00122C1B" w:rsidRPr="00B965A5" w:rsidRDefault="00122C1B" w:rsidP="001C3A9F">
      <w:pPr>
        <w:pStyle w:val="TextPara"/>
        <w:keepNext/>
        <w:spacing w:after="0"/>
        <w:rPr>
          <w:rFonts w:cs="Segoe UI"/>
        </w:rPr>
      </w:pPr>
      <w:r>
        <w:rPr>
          <w:rFonts w:cs="Segoe UI"/>
        </w:rPr>
        <w:t>T</w:t>
      </w:r>
      <w:r w:rsidRPr="00B965A5">
        <w:rPr>
          <w:rFonts w:cs="Segoe UI"/>
        </w:rPr>
        <w:t xml:space="preserve">hree novice age groups </w:t>
      </w:r>
      <w:r>
        <w:rPr>
          <w:rFonts w:cs="Segoe UI"/>
        </w:rPr>
        <w:t xml:space="preserve">were </w:t>
      </w:r>
      <w:r w:rsidRPr="00B965A5">
        <w:rPr>
          <w:rFonts w:cs="Segoe UI"/>
        </w:rPr>
        <w:t>analysed:</w:t>
      </w:r>
    </w:p>
    <w:p w14:paraId="1CA15AB1" w14:textId="77777777" w:rsidR="00122C1B" w:rsidRPr="00B965A5" w:rsidRDefault="00122C1B" w:rsidP="00F4115C">
      <w:pPr>
        <w:pStyle w:val="Bullet1-Black"/>
        <w:spacing w:before="40"/>
        <w:ind w:left="386" w:hanging="244"/>
      </w:pPr>
      <w:r w:rsidRPr="00B965A5">
        <w:t>18 to 20 years</w:t>
      </w:r>
    </w:p>
    <w:p w14:paraId="7521034D" w14:textId="77777777" w:rsidR="00122C1B" w:rsidRPr="00B965A5" w:rsidRDefault="00122C1B" w:rsidP="00F4115C">
      <w:pPr>
        <w:pStyle w:val="Bullet1-Black"/>
        <w:spacing w:before="40"/>
        <w:ind w:left="386" w:hanging="244"/>
      </w:pPr>
      <w:r w:rsidRPr="00B965A5">
        <w:t xml:space="preserve">21 to 23 years </w:t>
      </w:r>
    </w:p>
    <w:p w14:paraId="0E889A5C" w14:textId="77777777" w:rsidR="00122C1B" w:rsidRDefault="00122C1B" w:rsidP="00F4115C">
      <w:pPr>
        <w:pStyle w:val="Bullet1-Black"/>
        <w:spacing w:before="40"/>
        <w:ind w:left="386" w:hanging="244"/>
      </w:pPr>
      <w:r w:rsidRPr="00B965A5">
        <w:t>18 to 23 years.</w:t>
      </w:r>
    </w:p>
    <w:p w14:paraId="299678CA" w14:textId="77777777" w:rsidR="00122C1B" w:rsidRDefault="00122C1B" w:rsidP="001C3A9F">
      <w:pPr>
        <w:pStyle w:val="TextPara"/>
        <w:rPr>
          <w:rFonts w:cs="Segoe UI"/>
        </w:rPr>
      </w:pPr>
      <w:r w:rsidRPr="00117C96">
        <w:rPr>
          <w:rFonts w:cs="Segoe UI"/>
        </w:rPr>
        <w:t xml:space="preserve">The </w:t>
      </w:r>
      <w:r>
        <w:rPr>
          <w:rFonts w:cs="Segoe UI"/>
        </w:rPr>
        <w:t>evaluation</w:t>
      </w:r>
      <w:r w:rsidRPr="00117C96">
        <w:rPr>
          <w:rFonts w:cs="Segoe UI"/>
        </w:rPr>
        <w:t xml:space="preserve"> concluded that</w:t>
      </w:r>
      <w:r>
        <w:rPr>
          <w:rFonts w:cs="Segoe UI"/>
        </w:rPr>
        <w:t xml:space="preserve"> t</w:t>
      </w:r>
      <w:r w:rsidRPr="00117C96">
        <w:rPr>
          <w:rFonts w:cs="Segoe UI"/>
        </w:rPr>
        <w:t xml:space="preserve">he </w:t>
      </w:r>
      <w:r>
        <w:rPr>
          <w:rFonts w:cs="Segoe UI"/>
        </w:rPr>
        <w:t>Victorian</w:t>
      </w:r>
      <w:r w:rsidRPr="00117C96">
        <w:rPr>
          <w:rFonts w:cs="Segoe UI"/>
        </w:rPr>
        <w:t xml:space="preserve"> GLS</w:t>
      </w:r>
      <w:r>
        <w:rPr>
          <w:rFonts w:cs="Segoe UI"/>
        </w:rPr>
        <w:t xml:space="preserve"> as an integrated package of restrictions </w:t>
      </w:r>
      <w:r w:rsidRPr="00117C96">
        <w:rPr>
          <w:rFonts w:cs="Segoe UI"/>
        </w:rPr>
        <w:t xml:space="preserve">is an effective road safety countermeasure </w:t>
      </w:r>
      <w:r>
        <w:rPr>
          <w:rFonts w:cs="Segoe UI"/>
        </w:rPr>
        <w:t>that influenced the</w:t>
      </w:r>
      <w:r w:rsidRPr="00117C96">
        <w:rPr>
          <w:rFonts w:cs="Segoe UI"/>
        </w:rPr>
        <w:t xml:space="preserve"> </w:t>
      </w:r>
      <w:r>
        <w:rPr>
          <w:rFonts w:cs="Segoe UI"/>
        </w:rPr>
        <w:t>improvement in</w:t>
      </w:r>
      <w:r w:rsidRPr="00117C96">
        <w:rPr>
          <w:rFonts w:cs="Segoe UI"/>
        </w:rPr>
        <w:t xml:space="preserve"> the safety of young drivers on Victoria’s roads.</w:t>
      </w:r>
      <w:r w:rsidRPr="00117C96">
        <w:rPr>
          <w:rStyle w:val="EndnoteReference"/>
          <w:rFonts w:cs="Segoe UI"/>
        </w:rPr>
        <w:endnoteReference w:id="211"/>
      </w:r>
      <w:r w:rsidRPr="00117C96">
        <w:rPr>
          <w:rFonts w:cs="Segoe UI"/>
        </w:rPr>
        <w:t xml:space="preserve"> </w:t>
      </w:r>
      <w:r>
        <w:rPr>
          <w:rFonts w:cs="Segoe UI"/>
        </w:rPr>
        <w:t>T</w:t>
      </w:r>
      <w:r w:rsidRPr="00117C96">
        <w:rPr>
          <w:rFonts w:cs="Segoe UI"/>
        </w:rPr>
        <w:t xml:space="preserve">he </w:t>
      </w:r>
      <w:r>
        <w:rPr>
          <w:rFonts w:cs="Segoe UI"/>
        </w:rPr>
        <w:t>effect</w:t>
      </w:r>
      <w:r w:rsidRPr="00117C96">
        <w:rPr>
          <w:rFonts w:cs="Segoe UI"/>
        </w:rPr>
        <w:t xml:space="preserve"> appears </w:t>
      </w:r>
      <w:r>
        <w:rPr>
          <w:rFonts w:cs="Segoe UI"/>
        </w:rPr>
        <w:t>to be greatest</w:t>
      </w:r>
      <w:r w:rsidRPr="00117C96">
        <w:rPr>
          <w:rFonts w:cs="Segoe UI"/>
        </w:rPr>
        <w:t xml:space="preserve"> </w:t>
      </w:r>
      <w:r>
        <w:rPr>
          <w:rFonts w:cs="Segoe UI"/>
        </w:rPr>
        <w:t xml:space="preserve">for drivers </w:t>
      </w:r>
      <w:r w:rsidRPr="00117C96">
        <w:rPr>
          <w:rFonts w:cs="Segoe UI"/>
        </w:rPr>
        <w:t>aged 18 to 20 and</w:t>
      </w:r>
      <w:r>
        <w:rPr>
          <w:rFonts w:cs="Segoe UI"/>
        </w:rPr>
        <w:t>, particularly,</w:t>
      </w:r>
      <w:r w:rsidRPr="00117C96">
        <w:rPr>
          <w:rFonts w:cs="Segoe UI"/>
        </w:rPr>
        <w:t xml:space="preserve"> </w:t>
      </w:r>
      <w:r>
        <w:rPr>
          <w:rFonts w:cs="Segoe UI"/>
        </w:rPr>
        <w:t>d</w:t>
      </w:r>
      <w:r w:rsidRPr="00117C96">
        <w:rPr>
          <w:rFonts w:cs="Segoe UI"/>
        </w:rPr>
        <w:t xml:space="preserve">rivers </w:t>
      </w:r>
      <w:r>
        <w:rPr>
          <w:rFonts w:cs="Segoe UI"/>
        </w:rPr>
        <w:t xml:space="preserve">with </w:t>
      </w:r>
      <w:r w:rsidRPr="00117C96">
        <w:rPr>
          <w:rFonts w:cs="Segoe UI"/>
        </w:rPr>
        <w:t>the highest risk of crashing in th</w:t>
      </w:r>
      <w:r>
        <w:rPr>
          <w:rFonts w:cs="Segoe UI"/>
        </w:rPr>
        <w:t>eir first year of solo driving</w:t>
      </w:r>
      <w:r w:rsidRPr="00117C96">
        <w:rPr>
          <w:rFonts w:cs="Segoe UI"/>
        </w:rPr>
        <w:t>.</w:t>
      </w:r>
      <w:r>
        <w:rPr>
          <w:rStyle w:val="EndnoteReference"/>
          <w:rFonts w:cs="Segoe UI"/>
        </w:rPr>
        <w:endnoteReference w:id="212"/>
      </w:r>
    </w:p>
    <w:p w14:paraId="0CA4AE29" w14:textId="77777777" w:rsidR="001E61DD" w:rsidRPr="00B965A5" w:rsidRDefault="001E61DD" w:rsidP="001E61DD">
      <w:pPr>
        <w:pStyle w:val="TextPara"/>
      </w:pPr>
      <w:r w:rsidRPr="00B965A5">
        <w:t xml:space="preserve">Drivers aged 18 to 20 years at crash involvement were the group with the highest crash involvement rates pre-GLS. The casualty crash involvement rate of this group reduced by 13.6% and </w:t>
      </w:r>
      <w:r>
        <w:rPr>
          <w:rFonts w:cs="Segoe UI"/>
        </w:rPr>
        <w:t>fatal and serious injury (</w:t>
      </w:r>
      <w:r w:rsidRPr="00B965A5">
        <w:t>FSI</w:t>
      </w:r>
      <w:r>
        <w:t>)</w:t>
      </w:r>
      <w:r w:rsidRPr="00B965A5">
        <w:t xml:space="preserve"> involvement rate by 20.3%</w:t>
      </w:r>
      <w:r>
        <w:t>.</w:t>
      </w:r>
      <w:r>
        <w:rPr>
          <w:rStyle w:val="EndnoteReference"/>
          <w:rFonts w:cs="Segoe UI"/>
        </w:rPr>
        <w:endnoteReference w:id="213"/>
      </w:r>
      <w:r w:rsidRPr="00767617">
        <w:rPr>
          <w:rFonts w:cs="Segoe UI"/>
        </w:rPr>
        <w:t xml:space="preserve"> </w:t>
      </w:r>
    </w:p>
    <w:p w14:paraId="24BA0707" w14:textId="2E4B84B1" w:rsidR="00D35062" w:rsidRDefault="009C21B2" w:rsidP="00D35062">
      <w:pPr>
        <w:pStyle w:val="TextPara"/>
        <w:rPr>
          <w:rFonts w:cs="Segoe UI"/>
        </w:rPr>
      </w:pPr>
      <w:r w:rsidRPr="009C21B2">
        <w:t xml:space="preserve">The </w:t>
      </w:r>
      <w:r>
        <w:t xml:space="preserve">evaluation found that the </w:t>
      </w:r>
      <w:r w:rsidRPr="009C21B2">
        <w:t>enhanced GLS was successful in reducing young driver crash involvement rates for drivers in their first year of holding a licence.</w:t>
      </w:r>
      <w:r w:rsidR="00CB6359">
        <w:t xml:space="preserve"> </w:t>
      </w:r>
      <w:r w:rsidR="00BB305A">
        <w:fldChar w:fldCharType="begin"/>
      </w:r>
      <w:r w:rsidR="00BB305A">
        <w:instrText xml:space="preserve"> REF _Ref2604210 \h </w:instrText>
      </w:r>
      <w:r w:rsidR="00BB305A">
        <w:fldChar w:fldCharType="separate"/>
      </w:r>
      <w:r w:rsidR="00EB4B02">
        <w:t xml:space="preserve">Table </w:t>
      </w:r>
      <w:r w:rsidR="00EB4B02">
        <w:rPr>
          <w:noProof/>
        </w:rPr>
        <w:t>18</w:t>
      </w:r>
      <w:r w:rsidR="00BB305A">
        <w:fldChar w:fldCharType="end"/>
      </w:r>
      <w:r w:rsidR="00BB305A">
        <w:t xml:space="preserve"> </w:t>
      </w:r>
      <w:r w:rsidR="00CB6359" w:rsidRPr="00CB6359">
        <w:t xml:space="preserve">shows </w:t>
      </w:r>
      <w:r w:rsidR="002E6A35">
        <w:t xml:space="preserve">the </w:t>
      </w:r>
      <w:r w:rsidR="00CB6359" w:rsidRPr="00CB6359">
        <w:t xml:space="preserve">crash involvement rates </w:t>
      </w:r>
      <w:r w:rsidR="002E6A35">
        <w:t>for drivers aged 18 to 2</w:t>
      </w:r>
      <w:r w:rsidR="00D35062">
        <w:t>3</w:t>
      </w:r>
      <w:r w:rsidR="002E6A35">
        <w:t xml:space="preserve"> years in their first year of driving.</w:t>
      </w:r>
      <w:r w:rsidR="008F5504">
        <w:t xml:space="preserve"> </w:t>
      </w:r>
      <w:r w:rsidR="00D35062">
        <w:rPr>
          <w:rFonts w:cs="Segoe UI"/>
        </w:rPr>
        <w:t xml:space="preserve">It also provides a breakdown by geographical location (metropolitan </w:t>
      </w:r>
      <w:r w:rsidR="008C0BE3">
        <w:rPr>
          <w:rFonts w:cs="Segoe UI"/>
        </w:rPr>
        <w:t xml:space="preserve">compared with </w:t>
      </w:r>
      <w:r w:rsidR="00D35062">
        <w:rPr>
          <w:rFonts w:cs="Segoe UI"/>
        </w:rPr>
        <w:t>regional) and by gender.</w:t>
      </w:r>
    </w:p>
    <w:p w14:paraId="0FAC70DC" w14:textId="77777777" w:rsidR="00122C1B" w:rsidRPr="00B965A5" w:rsidRDefault="008F5504" w:rsidP="006C4A43">
      <w:pPr>
        <w:pStyle w:val="TextPara"/>
        <w:spacing w:after="0"/>
      </w:pPr>
      <w:r w:rsidRPr="008F5504">
        <w:t xml:space="preserve">Overall, there was a decrease in casualty and FSI crash involvement rates of 18.7% and 19.4% respectively </w:t>
      </w:r>
      <w:r w:rsidR="008C0BE3" w:rsidRPr="008C0BE3">
        <w:t xml:space="preserve">for drivers licensed at 18 to 23 years during their first year of </w:t>
      </w:r>
      <w:r w:rsidR="001E61DD">
        <w:t>solo</w:t>
      </w:r>
      <w:r w:rsidR="008C0BE3" w:rsidRPr="008C0BE3">
        <w:t xml:space="preserve"> driv</w:t>
      </w:r>
      <w:r w:rsidR="001E61DD">
        <w:t>ing.</w:t>
      </w:r>
      <w:r w:rsidR="00DC7054">
        <w:t xml:space="preserve"> </w:t>
      </w:r>
      <w:r w:rsidR="00021600">
        <w:t>For d</w:t>
      </w:r>
      <w:r w:rsidR="00DC7054">
        <w:rPr>
          <w:rFonts w:cs="Segoe UI"/>
        </w:rPr>
        <w:t xml:space="preserve">rivers </w:t>
      </w:r>
      <w:r w:rsidR="00122C1B">
        <w:rPr>
          <w:rFonts w:cs="Segoe UI"/>
        </w:rPr>
        <w:t>aged</w:t>
      </w:r>
      <w:r w:rsidR="00DA7858">
        <w:rPr>
          <w:rFonts w:cs="Segoe UI"/>
        </w:rPr>
        <w:t xml:space="preserve"> </w:t>
      </w:r>
      <w:r w:rsidR="00122C1B" w:rsidRPr="00117C96">
        <w:t>18 to 2</w:t>
      </w:r>
      <w:r w:rsidR="00AA2A72">
        <w:t>0</w:t>
      </w:r>
      <w:r w:rsidR="00122C1B" w:rsidRPr="00117C96">
        <w:t xml:space="preserve"> years in their first year of licens</w:t>
      </w:r>
      <w:r w:rsidR="009905A6">
        <w:t>ed driving</w:t>
      </w:r>
      <w:r w:rsidR="00122C1B">
        <w:t>, th</w:t>
      </w:r>
      <w:r w:rsidR="00122C1B" w:rsidRPr="00117C96">
        <w:t xml:space="preserve">ere were substantial crash </w:t>
      </w:r>
      <w:r w:rsidR="00122C1B">
        <w:t xml:space="preserve">involvement rate </w:t>
      </w:r>
      <w:r w:rsidR="00122C1B" w:rsidRPr="00117C96">
        <w:t>reductions (</w:t>
      </w:r>
      <w:r w:rsidR="001E7D19">
        <w:t>19.2</w:t>
      </w:r>
      <w:r w:rsidR="00122C1B" w:rsidRPr="00117C96">
        <w:t xml:space="preserve">% for casualty and </w:t>
      </w:r>
      <w:r w:rsidR="001E7D19">
        <w:t>21.7</w:t>
      </w:r>
      <w:r w:rsidR="00122C1B" w:rsidRPr="00117C96">
        <w:t>%</w:t>
      </w:r>
      <w:r w:rsidR="00122C1B">
        <w:t xml:space="preserve"> for </w:t>
      </w:r>
      <w:r w:rsidR="00122C1B" w:rsidRPr="00117C96">
        <w:t>FSI crashes)</w:t>
      </w:r>
      <w:r w:rsidR="00021600">
        <w:t xml:space="preserve">. In the case of drivers aged </w:t>
      </w:r>
      <w:r w:rsidR="00122C1B" w:rsidRPr="00B965A5">
        <w:t>21 to 23 years at crash involvement, there were no significant changes in their overall casualty and FSI crash involvement rates</w:t>
      </w:r>
      <w:r w:rsidR="008B7031">
        <w:t xml:space="preserve"> </w:t>
      </w:r>
      <w:r w:rsidR="008B7031" w:rsidRPr="008B7031">
        <w:t>in their first year of licensed driving</w:t>
      </w:r>
      <w:r w:rsidR="00122C1B" w:rsidRPr="00B965A5">
        <w:t>.</w:t>
      </w:r>
    </w:p>
    <w:p w14:paraId="65726F2D" w14:textId="089A552D" w:rsidR="001D2EAB" w:rsidRDefault="001D2EAB" w:rsidP="001C23F3">
      <w:pPr>
        <w:pStyle w:val="Caption"/>
      </w:pPr>
      <w:bookmarkStart w:id="225" w:name="_Ref2604210"/>
      <w:bookmarkStart w:id="226" w:name="_Toc10703711"/>
      <w:r>
        <w:t xml:space="preserve">Table </w:t>
      </w:r>
      <w:r>
        <w:rPr>
          <w:noProof/>
        </w:rPr>
        <w:fldChar w:fldCharType="begin"/>
      </w:r>
      <w:r>
        <w:rPr>
          <w:noProof/>
        </w:rPr>
        <w:instrText xml:space="preserve"> SEQ Table \* ARABIC </w:instrText>
      </w:r>
      <w:r>
        <w:rPr>
          <w:noProof/>
        </w:rPr>
        <w:fldChar w:fldCharType="separate"/>
      </w:r>
      <w:r w:rsidR="00EB4B02">
        <w:rPr>
          <w:noProof/>
        </w:rPr>
        <w:t>18</w:t>
      </w:r>
      <w:r>
        <w:rPr>
          <w:noProof/>
        </w:rPr>
        <w:fldChar w:fldCharType="end"/>
      </w:r>
      <w:bookmarkEnd w:id="225"/>
      <w:r>
        <w:t xml:space="preserve"> – </w:t>
      </w:r>
      <w:r w:rsidR="00C263A3" w:rsidRPr="00C263A3">
        <w:t>Crash involvement rates of young drivers (18–23 years) in their first year of driving</w:t>
      </w:r>
      <w:bookmarkEnd w:id="226"/>
    </w:p>
    <w:tbl>
      <w:tblPr>
        <w:tblStyle w:val="RIS-Table2"/>
        <w:tblW w:w="9351" w:type="dxa"/>
        <w:tblLook w:val="04A0" w:firstRow="1" w:lastRow="0" w:firstColumn="1" w:lastColumn="0" w:noHBand="0" w:noVBand="1"/>
      </w:tblPr>
      <w:tblGrid>
        <w:gridCol w:w="3114"/>
        <w:gridCol w:w="2835"/>
        <w:gridCol w:w="3402"/>
      </w:tblGrid>
      <w:tr w:rsidR="001D2EAB" w:rsidRPr="003A681B" w14:paraId="2C956A33" w14:textId="77777777" w:rsidTr="005E625D">
        <w:trPr>
          <w:cnfStyle w:val="100000000000" w:firstRow="1" w:lastRow="0" w:firstColumn="0" w:lastColumn="0" w:oddVBand="0" w:evenVBand="0" w:oddHBand="0" w:evenHBand="0" w:firstRowFirstColumn="0" w:firstRowLastColumn="0" w:lastRowFirstColumn="0" w:lastRowLastColumn="0"/>
        </w:trPr>
        <w:tc>
          <w:tcPr>
            <w:tcW w:w="3114" w:type="dxa"/>
            <w:vMerge w:val="restart"/>
          </w:tcPr>
          <w:p w14:paraId="72200795" w14:textId="77777777" w:rsidR="001D2EAB" w:rsidRPr="003A681B" w:rsidRDefault="001D2EAB" w:rsidP="001D2EAB">
            <w:pPr>
              <w:pStyle w:val="TableHeaders"/>
              <w:rPr>
                <w:sz w:val="17"/>
                <w:szCs w:val="17"/>
              </w:rPr>
            </w:pPr>
            <w:r>
              <w:t>Group</w:t>
            </w:r>
          </w:p>
        </w:tc>
        <w:tc>
          <w:tcPr>
            <w:tcW w:w="6237" w:type="dxa"/>
            <w:gridSpan w:val="2"/>
          </w:tcPr>
          <w:p w14:paraId="51CFD118" w14:textId="77777777" w:rsidR="001D2EAB" w:rsidRPr="002F32EF" w:rsidRDefault="001D2EAB" w:rsidP="001D2EAB">
            <w:pPr>
              <w:pStyle w:val="TableHeaders"/>
              <w:rPr>
                <w:b w:val="0"/>
                <w:sz w:val="17"/>
                <w:szCs w:val="17"/>
              </w:rPr>
            </w:pPr>
            <w:r>
              <w:t>Change in Crash Involvement Rate</w:t>
            </w:r>
            <w:r w:rsidR="005E625D">
              <w:t xml:space="preserve"> compared with pre-GLS</w:t>
            </w:r>
          </w:p>
        </w:tc>
      </w:tr>
      <w:tr w:rsidR="001D2EAB" w:rsidRPr="003A681B" w14:paraId="6E5431B6" w14:textId="77777777" w:rsidTr="005E625D">
        <w:tc>
          <w:tcPr>
            <w:tcW w:w="3114" w:type="dxa"/>
            <w:vMerge/>
            <w:tcBorders>
              <w:bottom w:val="single" w:sz="4" w:space="0" w:color="BFBFBF" w:themeColor="background1" w:themeShade="BF"/>
            </w:tcBorders>
          </w:tcPr>
          <w:p w14:paraId="7B17F041" w14:textId="77777777" w:rsidR="001D2EAB" w:rsidRPr="003A681B" w:rsidRDefault="001D2EAB" w:rsidP="001D2EAB">
            <w:pPr>
              <w:pStyle w:val="TableHeaders"/>
              <w:rPr>
                <w:sz w:val="17"/>
                <w:szCs w:val="17"/>
              </w:rPr>
            </w:pPr>
          </w:p>
        </w:tc>
        <w:tc>
          <w:tcPr>
            <w:tcW w:w="2835" w:type="dxa"/>
            <w:tcBorders>
              <w:bottom w:val="single" w:sz="4" w:space="0" w:color="BFBFBF" w:themeColor="background1" w:themeShade="BF"/>
            </w:tcBorders>
            <w:shd w:val="clear" w:color="auto" w:fill="0A1F3F"/>
          </w:tcPr>
          <w:p w14:paraId="6068E3A0" w14:textId="77777777" w:rsidR="001D2EAB" w:rsidRPr="00CC361B" w:rsidRDefault="001D2EAB" w:rsidP="001D2EAB">
            <w:pPr>
              <w:pStyle w:val="TableHeaders"/>
              <w:rPr>
                <w:b/>
                <w:sz w:val="17"/>
                <w:szCs w:val="17"/>
              </w:rPr>
            </w:pPr>
            <w:r w:rsidRPr="00C263A3">
              <w:rPr>
                <w:b/>
              </w:rPr>
              <w:t>Casualty Crash Rate</w:t>
            </w:r>
          </w:p>
        </w:tc>
        <w:tc>
          <w:tcPr>
            <w:tcW w:w="3402" w:type="dxa"/>
            <w:tcBorders>
              <w:bottom w:val="single" w:sz="4" w:space="0" w:color="BFBFBF" w:themeColor="background1" w:themeShade="BF"/>
            </w:tcBorders>
            <w:shd w:val="clear" w:color="auto" w:fill="0A1F3F"/>
          </w:tcPr>
          <w:p w14:paraId="32F14E43" w14:textId="77777777" w:rsidR="001D2EAB" w:rsidRPr="00CC361B" w:rsidRDefault="00CB6359" w:rsidP="001D2EAB">
            <w:pPr>
              <w:pStyle w:val="TableHeaders"/>
              <w:rPr>
                <w:b/>
                <w:sz w:val="17"/>
                <w:szCs w:val="17"/>
              </w:rPr>
            </w:pPr>
            <w:r>
              <w:rPr>
                <w:b/>
              </w:rPr>
              <w:t xml:space="preserve">Fatal and Serious Injury </w:t>
            </w:r>
            <w:r w:rsidR="001D2EAB" w:rsidRPr="00C263A3">
              <w:rPr>
                <w:b/>
              </w:rPr>
              <w:t>Crash Rate</w:t>
            </w:r>
          </w:p>
        </w:tc>
      </w:tr>
      <w:tr w:rsidR="00204963" w:rsidRPr="003A681B" w14:paraId="4487A972" w14:textId="77777777" w:rsidTr="005E625D">
        <w:trPr>
          <w:cnfStyle w:val="000000010000" w:firstRow="0" w:lastRow="0" w:firstColumn="0" w:lastColumn="0" w:oddVBand="0" w:evenVBand="0" w:oddHBand="0" w:evenHBand="1" w:firstRowFirstColumn="0" w:firstRowLastColumn="0" w:lastRowFirstColumn="0" w:lastRowLastColumn="0"/>
        </w:trPr>
        <w:tc>
          <w:tcPr>
            <w:tcW w:w="3114" w:type="dxa"/>
            <w:tcBorders>
              <w:bottom w:val="single" w:sz="18" w:space="0" w:color="BFBFBF" w:themeColor="background1" w:themeShade="BF"/>
            </w:tcBorders>
            <w:shd w:val="clear" w:color="auto" w:fill="auto"/>
          </w:tcPr>
          <w:p w14:paraId="2F03F6FF" w14:textId="77777777" w:rsidR="00204963" w:rsidRDefault="00204963" w:rsidP="00204963">
            <w:pPr>
              <w:pStyle w:val="TableParagraph"/>
            </w:pPr>
            <w:r>
              <w:t>Overall</w:t>
            </w:r>
          </w:p>
        </w:tc>
        <w:tc>
          <w:tcPr>
            <w:tcW w:w="2835" w:type="dxa"/>
            <w:tcBorders>
              <w:bottom w:val="single" w:sz="18" w:space="0" w:color="BFBFBF" w:themeColor="background1" w:themeShade="BF"/>
            </w:tcBorders>
            <w:shd w:val="clear" w:color="auto" w:fill="auto"/>
          </w:tcPr>
          <w:p w14:paraId="4627736C" w14:textId="77777777" w:rsidR="00204963" w:rsidRPr="002B4FA5" w:rsidRDefault="00204963" w:rsidP="001E7D19">
            <w:pPr>
              <w:pStyle w:val="TableParagraph"/>
              <w:tabs>
                <w:tab w:val="left" w:pos="1419"/>
              </w:tabs>
              <w:jc w:val="center"/>
            </w:pPr>
            <w:r w:rsidRPr="002B4FA5">
              <w:t xml:space="preserve">18.7% </w:t>
            </w:r>
            <w:r w:rsidR="008B7031">
              <w:t xml:space="preserve">  </w:t>
            </w:r>
            <w:r w:rsidRPr="002B4FA5">
              <w:rPr>
                <w:b/>
              </w:rPr>
              <w:sym w:font="Wingdings" w:char="F0F2"/>
            </w:r>
            <w:r w:rsidRPr="002B4FA5">
              <w:rPr>
                <w:b/>
              </w:rPr>
              <w:t xml:space="preserve"> S</w:t>
            </w:r>
          </w:p>
        </w:tc>
        <w:tc>
          <w:tcPr>
            <w:tcW w:w="3402" w:type="dxa"/>
            <w:tcBorders>
              <w:bottom w:val="single" w:sz="18" w:space="0" w:color="BFBFBF" w:themeColor="background1" w:themeShade="BF"/>
            </w:tcBorders>
            <w:shd w:val="clear" w:color="auto" w:fill="auto"/>
          </w:tcPr>
          <w:p w14:paraId="7283C774" w14:textId="77777777" w:rsidR="00204963" w:rsidRPr="002B4FA5" w:rsidRDefault="00204963" w:rsidP="001E7D19">
            <w:pPr>
              <w:pStyle w:val="TableParagraph"/>
              <w:tabs>
                <w:tab w:val="left" w:pos="1752"/>
              </w:tabs>
              <w:jc w:val="center"/>
            </w:pPr>
            <w:r w:rsidRPr="002B4FA5">
              <w:t xml:space="preserve">19.4% </w:t>
            </w:r>
            <w:r w:rsidR="008B7031">
              <w:t xml:space="preserve">  </w:t>
            </w:r>
            <w:r w:rsidRPr="002B4FA5">
              <w:rPr>
                <w:b/>
              </w:rPr>
              <w:sym w:font="Wingdings" w:char="F0F2"/>
            </w:r>
            <w:r w:rsidR="008B7031">
              <w:rPr>
                <w:b/>
              </w:rPr>
              <w:t xml:space="preserve"> </w:t>
            </w:r>
            <w:r w:rsidRPr="002B4FA5">
              <w:rPr>
                <w:b/>
              </w:rPr>
              <w:t xml:space="preserve"> S</w:t>
            </w:r>
          </w:p>
        </w:tc>
      </w:tr>
      <w:tr w:rsidR="00204963" w:rsidRPr="003A681B" w14:paraId="6B77CCA1" w14:textId="77777777" w:rsidTr="005E625D">
        <w:tc>
          <w:tcPr>
            <w:tcW w:w="3114" w:type="dxa"/>
            <w:tcBorders>
              <w:top w:val="single" w:sz="18" w:space="0" w:color="BFBFBF" w:themeColor="background1" w:themeShade="BF"/>
              <w:bottom w:val="single" w:sz="4" w:space="0" w:color="BFBFBF" w:themeColor="background1" w:themeShade="BF"/>
            </w:tcBorders>
            <w:shd w:val="clear" w:color="auto" w:fill="auto"/>
          </w:tcPr>
          <w:p w14:paraId="237C6171" w14:textId="77777777" w:rsidR="00204963" w:rsidRPr="003A681B" w:rsidRDefault="00204963" w:rsidP="00204963">
            <w:pPr>
              <w:pStyle w:val="TableParagraph"/>
            </w:pPr>
            <w:r>
              <w:t>Licensed at 18-20</w:t>
            </w:r>
            <w:r w:rsidR="002E6A35">
              <w:t xml:space="preserve"> years</w:t>
            </w:r>
          </w:p>
        </w:tc>
        <w:tc>
          <w:tcPr>
            <w:tcW w:w="2835" w:type="dxa"/>
            <w:tcBorders>
              <w:top w:val="single" w:sz="18" w:space="0" w:color="BFBFBF" w:themeColor="background1" w:themeShade="BF"/>
              <w:bottom w:val="single" w:sz="4" w:space="0" w:color="BFBFBF" w:themeColor="background1" w:themeShade="BF"/>
            </w:tcBorders>
            <w:shd w:val="clear" w:color="auto" w:fill="auto"/>
          </w:tcPr>
          <w:p w14:paraId="75B2FC85" w14:textId="77777777" w:rsidR="00204963" w:rsidRPr="002B4FA5" w:rsidRDefault="00204963" w:rsidP="001E7D19">
            <w:pPr>
              <w:pStyle w:val="TableParagraph"/>
              <w:tabs>
                <w:tab w:val="left" w:pos="1419"/>
              </w:tabs>
              <w:jc w:val="center"/>
              <w:rPr>
                <w:sz w:val="17"/>
                <w:szCs w:val="17"/>
              </w:rPr>
            </w:pPr>
            <w:r>
              <w:rPr>
                <w:sz w:val="17"/>
                <w:szCs w:val="17"/>
              </w:rPr>
              <w:t>19.2%</w:t>
            </w:r>
            <w:r w:rsidR="00B17893">
              <w:rPr>
                <w:sz w:val="17"/>
                <w:szCs w:val="17"/>
              </w:rPr>
              <w:t xml:space="preserve"> </w:t>
            </w:r>
            <w:r w:rsidR="008B7031">
              <w:rPr>
                <w:sz w:val="17"/>
                <w:szCs w:val="17"/>
              </w:rPr>
              <w:t xml:space="preserve">  </w:t>
            </w:r>
            <w:r w:rsidRPr="002B4FA5">
              <w:rPr>
                <w:b/>
              </w:rPr>
              <w:sym w:font="Wingdings" w:char="F0F2"/>
            </w:r>
            <w:r w:rsidRPr="002B4FA5">
              <w:t xml:space="preserve"> </w:t>
            </w:r>
            <w:r w:rsidRPr="002B4FA5">
              <w:rPr>
                <w:b/>
              </w:rPr>
              <w:t>S</w:t>
            </w:r>
          </w:p>
        </w:tc>
        <w:tc>
          <w:tcPr>
            <w:tcW w:w="3402" w:type="dxa"/>
            <w:tcBorders>
              <w:top w:val="single" w:sz="18" w:space="0" w:color="BFBFBF" w:themeColor="background1" w:themeShade="BF"/>
              <w:bottom w:val="single" w:sz="4" w:space="0" w:color="BFBFBF" w:themeColor="background1" w:themeShade="BF"/>
            </w:tcBorders>
            <w:shd w:val="clear" w:color="auto" w:fill="auto"/>
          </w:tcPr>
          <w:p w14:paraId="6E8E7DAA" w14:textId="77777777" w:rsidR="00204963" w:rsidRPr="002B4FA5" w:rsidRDefault="00204963" w:rsidP="001E7D19">
            <w:pPr>
              <w:pStyle w:val="TableParagraph"/>
              <w:tabs>
                <w:tab w:val="left" w:pos="1752"/>
              </w:tabs>
              <w:jc w:val="center"/>
              <w:rPr>
                <w:sz w:val="17"/>
                <w:szCs w:val="17"/>
              </w:rPr>
            </w:pPr>
            <w:r>
              <w:rPr>
                <w:sz w:val="17"/>
                <w:szCs w:val="17"/>
              </w:rPr>
              <w:t xml:space="preserve">21.7% </w:t>
            </w:r>
            <w:r w:rsidR="008B7031">
              <w:rPr>
                <w:sz w:val="17"/>
                <w:szCs w:val="17"/>
              </w:rPr>
              <w:t xml:space="preserve">  </w:t>
            </w:r>
            <w:r w:rsidRPr="002B4FA5">
              <w:rPr>
                <w:b/>
              </w:rPr>
              <w:sym w:font="Wingdings" w:char="F0F2"/>
            </w:r>
            <w:r w:rsidR="008B7031">
              <w:rPr>
                <w:b/>
              </w:rPr>
              <w:t xml:space="preserve"> </w:t>
            </w:r>
            <w:r w:rsidRPr="002B4FA5">
              <w:t xml:space="preserve"> </w:t>
            </w:r>
            <w:r w:rsidRPr="002B4FA5">
              <w:rPr>
                <w:b/>
              </w:rPr>
              <w:t>S</w:t>
            </w:r>
          </w:p>
        </w:tc>
      </w:tr>
      <w:tr w:rsidR="00204963" w:rsidRPr="003A681B" w14:paraId="3DA0799D" w14:textId="77777777" w:rsidTr="005E625D">
        <w:trPr>
          <w:cnfStyle w:val="000000010000" w:firstRow="0" w:lastRow="0" w:firstColumn="0" w:lastColumn="0" w:oddVBand="0" w:evenVBand="0" w:oddHBand="0" w:evenHBand="1" w:firstRowFirstColumn="0" w:firstRowLastColumn="0" w:lastRowFirstColumn="0" w:lastRowLastColumn="0"/>
        </w:trPr>
        <w:tc>
          <w:tcPr>
            <w:tcW w:w="3114" w:type="dxa"/>
            <w:tcBorders>
              <w:bottom w:val="single" w:sz="18" w:space="0" w:color="BFBFBF" w:themeColor="background1" w:themeShade="BF"/>
            </w:tcBorders>
            <w:shd w:val="clear" w:color="auto" w:fill="auto"/>
          </w:tcPr>
          <w:p w14:paraId="6DF22FA7" w14:textId="77777777" w:rsidR="00204963" w:rsidRDefault="00204963" w:rsidP="00204963">
            <w:pPr>
              <w:pStyle w:val="TableParagraph"/>
            </w:pPr>
            <w:r>
              <w:t>Licensed at 21-23</w:t>
            </w:r>
            <w:r w:rsidR="002E6A35">
              <w:t xml:space="preserve"> years</w:t>
            </w:r>
          </w:p>
        </w:tc>
        <w:tc>
          <w:tcPr>
            <w:tcW w:w="2835" w:type="dxa"/>
            <w:tcBorders>
              <w:bottom w:val="single" w:sz="18" w:space="0" w:color="BFBFBF" w:themeColor="background1" w:themeShade="BF"/>
            </w:tcBorders>
            <w:shd w:val="clear" w:color="auto" w:fill="auto"/>
          </w:tcPr>
          <w:p w14:paraId="7F1AFA8C" w14:textId="77777777" w:rsidR="00204963" w:rsidRPr="002B4FA5" w:rsidRDefault="00204963" w:rsidP="001E7D19">
            <w:pPr>
              <w:pStyle w:val="TableParagraph"/>
              <w:tabs>
                <w:tab w:val="left" w:pos="1419"/>
              </w:tabs>
              <w:jc w:val="center"/>
            </w:pPr>
            <w:r>
              <w:t>13.2</w:t>
            </w:r>
            <w:r w:rsidRPr="002B4FA5">
              <w:t>%</w:t>
            </w:r>
            <w:r w:rsidR="008B7031">
              <w:t xml:space="preserve">  </w:t>
            </w:r>
            <w:r w:rsidRPr="002B4FA5">
              <w:rPr>
                <w:b/>
              </w:rPr>
              <w:sym w:font="Wingdings" w:char="F0F2"/>
            </w:r>
            <w:r w:rsidRPr="002B4FA5">
              <w:t xml:space="preserve"> </w:t>
            </w:r>
            <w:r w:rsidRPr="00880E4D">
              <w:rPr>
                <w:b/>
              </w:rPr>
              <w:t>N</w:t>
            </w:r>
            <w:r w:rsidRPr="002B4FA5">
              <w:rPr>
                <w:b/>
              </w:rPr>
              <w:t>S</w:t>
            </w:r>
          </w:p>
        </w:tc>
        <w:tc>
          <w:tcPr>
            <w:tcW w:w="3402" w:type="dxa"/>
            <w:tcBorders>
              <w:bottom w:val="single" w:sz="18" w:space="0" w:color="BFBFBF" w:themeColor="background1" w:themeShade="BF"/>
            </w:tcBorders>
            <w:shd w:val="clear" w:color="auto" w:fill="auto"/>
          </w:tcPr>
          <w:p w14:paraId="490AC7D1" w14:textId="77777777" w:rsidR="00204963" w:rsidRPr="002B4FA5" w:rsidRDefault="00204963" w:rsidP="001E7D19">
            <w:pPr>
              <w:pStyle w:val="TableParagraph"/>
              <w:tabs>
                <w:tab w:val="left" w:pos="1752"/>
              </w:tabs>
              <w:jc w:val="center"/>
            </w:pPr>
            <w:r w:rsidRPr="002B4FA5">
              <w:t>17.4%</w:t>
            </w:r>
            <w:r w:rsidRPr="002B4FA5">
              <w:rPr>
                <w:b/>
              </w:rPr>
              <w:t xml:space="preserve"> </w:t>
            </w:r>
            <w:r w:rsidR="008B7031">
              <w:rPr>
                <w:b/>
              </w:rPr>
              <w:t xml:space="preserve">  </w:t>
            </w:r>
            <w:r w:rsidRPr="001E7D19">
              <w:rPr>
                <w:b/>
              </w:rPr>
              <w:sym w:font="Wingdings" w:char="F0F1"/>
            </w:r>
            <w:r w:rsidRPr="002B4FA5">
              <w:rPr>
                <w:b/>
              </w:rPr>
              <w:t xml:space="preserve"> </w:t>
            </w:r>
            <w:r w:rsidR="008B7031">
              <w:rPr>
                <w:b/>
              </w:rPr>
              <w:t xml:space="preserve"> </w:t>
            </w:r>
            <w:r w:rsidRPr="002B4FA5">
              <w:rPr>
                <w:b/>
              </w:rPr>
              <w:t>NS</w:t>
            </w:r>
          </w:p>
        </w:tc>
      </w:tr>
      <w:tr w:rsidR="00204963" w:rsidRPr="003A681B" w14:paraId="167E18E3" w14:textId="77777777" w:rsidTr="005E625D">
        <w:tc>
          <w:tcPr>
            <w:tcW w:w="3114" w:type="dxa"/>
            <w:tcBorders>
              <w:top w:val="single" w:sz="18" w:space="0" w:color="BFBFBF" w:themeColor="background1" w:themeShade="BF"/>
              <w:bottom w:val="single" w:sz="4" w:space="0" w:color="BFBFBF" w:themeColor="background1" w:themeShade="BF"/>
            </w:tcBorders>
            <w:shd w:val="clear" w:color="auto" w:fill="auto"/>
          </w:tcPr>
          <w:p w14:paraId="506649F6" w14:textId="77777777" w:rsidR="00204963" w:rsidRDefault="00204963" w:rsidP="00204963">
            <w:pPr>
              <w:pStyle w:val="TableParagraph"/>
            </w:pPr>
            <w:r>
              <w:t>Female</w:t>
            </w:r>
          </w:p>
        </w:tc>
        <w:tc>
          <w:tcPr>
            <w:tcW w:w="2835" w:type="dxa"/>
            <w:tcBorders>
              <w:top w:val="single" w:sz="18" w:space="0" w:color="BFBFBF" w:themeColor="background1" w:themeShade="BF"/>
              <w:bottom w:val="single" w:sz="4" w:space="0" w:color="BFBFBF" w:themeColor="background1" w:themeShade="BF"/>
            </w:tcBorders>
            <w:shd w:val="clear" w:color="auto" w:fill="auto"/>
          </w:tcPr>
          <w:p w14:paraId="7F30389B" w14:textId="77777777" w:rsidR="00204963" w:rsidRPr="002B4FA5" w:rsidRDefault="00204963" w:rsidP="001E7D19">
            <w:pPr>
              <w:pStyle w:val="TableParagraph"/>
              <w:tabs>
                <w:tab w:val="left" w:pos="1419"/>
              </w:tabs>
              <w:jc w:val="center"/>
            </w:pPr>
            <w:r>
              <w:t xml:space="preserve">19.5% </w:t>
            </w:r>
            <w:r w:rsidR="008B7031">
              <w:t xml:space="preserve">  </w:t>
            </w:r>
            <w:r w:rsidRPr="002B4FA5">
              <w:rPr>
                <w:b/>
              </w:rPr>
              <w:sym w:font="Wingdings" w:char="F0F2"/>
            </w:r>
            <w:r w:rsidRPr="002B4FA5">
              <w:t xml:space="preserve"> </w:t>
            </w:r>
            <w:r w:rsidRPr="002B4FA5">
              <w:rPr>
                <w:b/>
              </w:rPr>
              <w:t>S</w:t>
            </w:r>
          </w:p>
        </w:tc>
        <w:tc>
          <w:tcPr>
            <w:tcW w:w="3402" w:type="dxa"/>
            <w:tcBorders>
              <w:top w:val="single" w:sz="18" w:space="0" w:color="BFBFBF" w:themeColor="background1" w:themeShade="BF"/>
              <w:bottom w:val="single" w:sz="4" w:space="0" w:color="BFBFBF" w:themeColor="background1" w:themeShade="BF"/>
            </w:tcBorders>
            <w:shd w:val="clear" w:color="auto" w:fill="auto"/>
          </w:tcPr>
          <w:p w14:paraId="77F89521" w14:textId="77777777" w:rsidR="00204963" w:rsidRPr="002B4FA5" w:rsidRDefault="00204963" w:rsidP="001E7D19">
            <w:pPr>
              <w:pStyle w:val="TableParagraph"/>
              <w:tabs>
                <w:tab w:val="left" w:pos="1752"/>
              </w:tabs>
              <w:jc w:val="center"/>
            </w:pPr>
            <w:r>
              <w:t xml:space="preserve">18.3% </w:t>
            </w:r>
            <w:r w:rsidR="008B7031">
              <w:t xml:space="preserve">  </w:t>
            </w:r>
            <w:r w:rsidRPr="002B4FA5">
              <w:rPr>
                <w:b/>
              </w:rPr>
              <w:sym w:font="Wingdings" w:char="F0F2"/>
            </w:r>
            <w:r w:rsidRPr="002B4FA5">
              <w:t xml:space="preserve"> </w:t>
            </w:r>
            <w:r w:rsidR="008B7031">
              <w:t xml:space="preserve"> </w:t>
            </w:r>
            <w:r w:rsidRPr="00BD77C1">
              <w:rPr>
                <w:b/>
              </w:rPr>
              <w:t>N</w:t>
            </w:r>
            <w:r w:rsidRPr="002B4FA5">
              <w:rPr>
                <w:b/>
              </w:rPr>
              <w:t>S</w:t>
            </w:r>
          </w:p>
        </w:tc>
      </w:tr>
      <w:tr w:rsidR="00204963" w:rsidRPr="003A681B" w14:paraId="48ACB0B0" w14:textId="77777777" w:rsidTr="005E625D">
        <w:trPr>
          <w:cnfStyle w:val="000000010000" w:firstRow="0" w:lastRow="0" w:firstColumn="0" w:lastColumn="0" w:oddVBand="0" w:evenVBand="0" w:oddHBand="0" w:evenHBand="1" w:firstRowFirstColumn="0" w:firstRowLastColumn="0" w:lastRowFirstColumn="0" w:lastRowLastColumn="0"/>
        </w:trPr>
        <w:tc>
          <w:tcPr>
            <w:tcW w:w="3114" w:type="dxa"/>
            <w:tcBorders>
              <w:bottom w:val="single" w:sz="18" w:space="0" w:color="BFBFBF" w:themeColor="background1" w:themeShade="BF"/>
            </w:tcBorders>
            <w:shd w:val="clear" w:color="auto" w:fill="auto"/>
          </w:tcPr>
          <w:p w14:paraId="7E8D86B7" w14:textId="77777777" w:rsidR="00204963" w:rsidRDefault="00204963" w:rsidP="00204963">
            <w:pPr>
              <w:pStyle w:val="TableParagraph"/>
            </w:pPr>
            <w:r>
              <w:t>Male</w:t>
            </w:r>
          </w:p>
        </w:tc>
        <w:tc>
          <w:tcPr>
            <w:tcW w:w="2835" w:type="dxa"/>
            <w:tcBorders>
              <w:bottom w:val="single" w:sz="18" w:space="0" w:color="BFBFBF" w:themeColor="background1" w:themeShade="BF"/>
            </w:tcBorders>
            <w:shd w:val="clear" w:color="auto" w:fill="auto"/>
          </w:tcPr>
          <w:p w14:paraId="16761AE9" w14:textId="77777777" w:rsidR="00204963" w:rsidRPr="002B4FA5" w:rsidRDefault="00204963" w:rsidP="001E7D19">
            <w:pPr>
              <w:pStyle w:val="TableParagraph"/>
              <w:tabs>
                <w:tab w:val="left" w:pos="1419"/>
              </w:tabs>
              <w:jc w:val="center"/>
            </w:pPr>
            <w:r>
              <w:t xml:space="preserve">18.1% </w:t>
            </w:r>
            <w:r w:rsidR="008B7031">
              <w:t xml:space="preserve">  </w:t>
            </w:r>
            <w:r w:rsidRPr="002B4FA5">
              <w:rPr>
                <w:b/>
              </w:rPr>
              <w:sym w:font="Wingdings" w:char="F0F2"/>
            </w:r>
            <w:r w:rsidRPr="002B4FA5">
              <w:t xml:space="preserve"> </w:t>
            </w:r>
            <w:r w:rsidRPr="002B4FA5">
              <w:rPr>
                <w:b/>
              </w:rPr>
              <w:t>S</w:t>
            </w:r>
          </w:p>
        </w:tc>
        <w:tc>
          <w:tcPr>
            <w:tcW w:w="3402" w:type="dxa"/>
            <w:tcBorders>
              <w:bottom w:val="single" w:sz="18" w:space="0" w:color="BFBFBF" w:themeColor="background1" w:themeShade="BF"/>
            </w:tcBorders>
            <w:shd w:val="clear" w:color="auto" w:fill="auto"/>
          </w:tcPr>
          <w:p w14:paraId="4BF31D02" w14:textId="77777777" w:rsidR="00204963" w:rsidRPr="002B4FA5" w:rsidRDefault="00204963" w:rsidP="001E7D19">
            <w:pPr>
              <w:pStyle w:val="TableParagraph"/>
              <w:tabs>
                <w:tab w:val="left" w:pos="1752"/>
              </w:tabs>
              <w:jc w:val="center"/>
            </w:pPr>
            <w:r>
              <w:t xml:space="preserve">20.6% </w:t>
            </w:r>
            <w:r w:rsidR="008B7031">
              <w:t xml:space="preserve">  </w:t>
            </w:r>
            <w:r w:rsidRPr="002B4FA5">
              <w:rPr>
                <w:b/>
              </w:rPr>
              <w:sym w:font="Wingdings" w:char="F0F2"/>
            </w:r>
            <w:r w:rsidR="008B7031">
              <w:rPr>
                <w:b/>
              </w:rPr>
              <w:t xml:space="preserve"> </w:t>
            </w:r>
            <w:r w:rsidRPr="002B4FA5">
              <w:t xml:space="preserve"> </w:t>
            </w:r>
            <w:r w:rsidRPr="002B4FA5">
              <w:rPr>
                <w:b/>
              </w:rPr>
              <w:t>S</w:t>
            </w:r>
          </w:p>
        </w:tc>
      </w:tr>
      <w:tr w:rsidR="00204963" w:rsidRPr="003A681B" w14:paraId="25FF999D" w14:textId="77777777" w:rsidTr="005E625D">
        <w:tc>
          <w:tcPr>
            <w:tcW w:w="3114" w:type="dxa"/>
            <w:tcBorders>
              <w:top w:val="single" w:sz="18" w:space="0" w:color="BFBFBF" w:themeColor="background1" w:themeShade="BF"/>
            </w:tcBorders>
            <w:shd w:val="clear" w:color="auto" w:fill="auto"/>
          </w:tcPr>
          <w:p w14:paraId="24033D69" w14:textId="77777777" w:rsidR="00204963" w:rsidRDefault="00204963" w:rsidP="00204963">
            <w:pPr>
              <w:pStyle w:val="TableParagraph"/>
            </w:pPr>
            <w:r>
              <w:lastRenderedPageBreak/>
              <w:t>Metropolitan</w:t>
            </w:r>
          </w:p>
        </w:tc>
        <w:tc>
          <w:tcPr>
            <w:tcW w:w="2835" w:type="dxa"/>
            <w:tcBorders>
              <w:top w:val="single" w:sz="18" w:space="0" w:color="BFBFBF" w:themeColor="background1" w:themeShade="BF"/>
            </w:tcBorders>
            <w:shd w:val="clear" w:color="auto" w:fill="auto"/>
          </w:tcPr>
          <w:p w14:paraId="2B57A715" w14:textId="77777777" w:rsidR="00204963" w:rsidRPr="002B4FA5" w:rsidRDefault="00204963" w:rsidP="001E7D19">
            <w:pPr>
              <w:pStyle w:val="TableParagraph"/>
              <w:tabs>
                <w:tab w:val="left" w:pos="1419"/>
              </w:tabs>
              <w:jc w:val="center"/>
            </w:pPr>
            <w:r>
              <w:t xml:space="preserve">18.9% </w:t>
            </w:r>
            <w:r w:rsidR="008B7031">
              <w:t xml:space="preserve">  </w:t>
            </w:r>
            <w:r w:rsidRPr="002B4FA5">
              <w:rPr>
                <w:b/>
              </w:rPr>
              <w:sym w:font="Wingdings" w:char="F0F2"/>
            </w:r>
            <w:r w:rsidRPr="002B4FA5">
              <w:t xml:space="preserve"> </w:t>
            </w:r>
            <w:r w:rsidRPr="002B4FA5">
              <w:rPr>
                <w:b/>
              </w:rPr>
              <w:t>S</w:t>
            </w:r>
          </w:p>
        </w:tc>
        <w:tc>
          <w:tcPr>
            <w:tcW w:w="3402" w:type="dxa"/>
            <w:tcBorders>
              <w:top w:val="single" w:sz="18" w:space="0" w:color="BFBFBF" w:themeColor="background1" w:themeShade="BF"/>
            </w:tcBorders>
            <w:shd w:val="clear" w:color="auto" w:fill="auto"/>
          </w:tcPr>
          <w:p w14:paraId="5CB1A479" w14:textId="77777777" w:rsidR="00204963" w:rsidRPr="002B4FA5" w:rsidRDefault="00204963" w:rsidP="001E7D19">
            <w:pPr>
              <w:pStyle w:val="TableParagraph"/>
              <w:tabs>
                <w:tab w:val="left" w:pos="1752"/>
              </w:tabs>
              <w:jc w:val="center"/>
            </w:pPr>
            <w:r>
              <w:t xml:space="preserve">15.1% </w:t>
            </w:r>
            <w:r w:rsidR="008B7031">
              <w:t xml:space="preserve">  </w:t>
            </w:r>
            <w:r w:rsidRPr="002B4FA5">
              <w:rPr>
                <w:b/>
              </w:rPr>
              <w:sym w:font="Wingdings" w:char="F0F2"/>
            </w:r>
            <w:r w:rsidRPr="002B4FA5">
              <w:t xml:space="preserve"> </w:t>
            </w:r>
            <w:r w:rsidR="008B7031">
              <w:t xml:space="preserve"> </w:t>
            </w:r>
            <w:r w:rsidRPr="002B4FA5">
              <w:rPr>
                <w:b/>
              </w:rPr>
              <w:t>S</w:t>
            </w:r>
          </w:p>
        </w:tc>
      </w:tr>
      <w:tr w:rsidR="00204963" w:rsidRPr="003A681B" w14:paraId="5CA1FD95" w14:textId="77777777" w:rsidTr="005E625D">
        <w:trPr>
          <w:cnfStyle w:val="000000010000" w:firstRow="0" w:lastRow="0" w:firstColumn="0" w:lastColumn="0" w:oddVBand="0" w:evenVBand="0" w:oddHBand="0" w:evenHBand="1" w:firstRowFirstColumn="0" w:firstRowLastColumn="0" w:lastRowFirstColumn="0" w:lastRowLastColumn="0"/>
        </w:trPr>
        <w:tc>
          <w:tcPr>
            <w:tcW w:w="3114" w:type="dxa"/>
            <w:shd w:val="clear" w:color="auto" w:fill="auto"/>
          </w:tcPr>
          <w:p w14:paraId="59B4E5D7" w14:textId="77777777" w:rsidR="00204963" w:rsidRDefault="00204963" w:rsidP="00204963">
            <w:pPr>
              <w:pStyle w:val="TableParagraph"/>
            </w:pPr>
            <w:r>
              <w:t>Regional</w:t>
            </w:r>
          </w:p>
        </w:tc>
        <w:tc>
          <w:tcPr>
            <w:tcW w:w="2835" w:type="dxa"/>
            <w:shd w:val="clear" w:color="auto" w:fill="auto"/>
          </w:tcPr>
          <w:p w14:paraId="0BE23FBA" w14:textId="77777777" w:rsidR="00204963" w:rsidRPr="002B4FA5" w:rsidRDefault="00204963" w:rsidP="001E7D19">
            <w:pPr>
              <w:pStyle w:val="TableParagraph"/>
              <w:tabs>
                <w:tab w:val="left" w:pos="1419"/>
              </w:tabs>
              <w:jc w:val="center"/>
            </w:pPr>
            <w:r>
              <w:t xml:space="preserve">17.5% </w:t>
            </w:r>
            <w:r w:rsidR="008B7031">
              <w:t xml:space="preserve">  </w:t>
            </w:r>
            <w:r w:rsidRPr="002B4FA5">
              <w:rPr>
                <w:b/>
              </w:rPr>
              <w:sym w:font="Wingdings" w:char="F0F2"/>
            </w:r>
            <w:r w:rsidRPr="002B4FA5">
              <w:t xml:space="preserve"> </w:t>
            </w:r>
            <w:r w:rsidRPr="002B4FA5">
              <w:rPr>
                <w:b/>
              </w:rPr>
              <w:t>S</w:t>
            </w:r>
          </w:p>
        </w:tc>
        <w:tc>
          <w:tcPr>
            <w:tcW w:w="3402" w:type="dxa"/>
            <w:shd w:val="clear" w:color="auto" w:fill="auto"/>
          </w:tcPr>
          <w:p w14:paraId="01B37527" w14:textId="77777777" w:rsidR="00204963" w:rsidRPr="002B4FA5" w:rsidRDefault="00204963" w:rsidP="001E7D19">
            <w:pPr>
              <w:pStyle w:val="TableParagraph"/>
              <w:tabs>
                <w:tab w:val="left" w:pos="1752"/>
              </w:tabs>
              <w:jc w:val="center"/>
            </w:pPr>
            <w:r>
              <w:t xml:space="preserve">29.0% </w:t>
            </w:r>
            <w:r w:rsidR="008B7031">
              <w:t xml:space="preserve">  </w:t>
            </w:r>
            <w:r w:rsidRPr="002B4FA5">
              <w:rPr>
                <w:b/>
              </w:rPr>
              <w:sym w:font="Wingdings" w:char="F0F2"/>
            </w:r>
            <w:r w:rsidRPr="002B4FA5">
              <w:t xml:space="preserve"> </w:t>
            </w:r>
            <w:r w:rsidR="008B7031">
              <w:t xml:space="preserve"> </w:t>
            </w:r>
            <w:r w:rsidRPr="002B4FA5">
              <w:rPr>
                <w:b/>
              </w:rPr>
              <w:t>S</w:t>
            </w:r>
          </w:p>
        </w:tc>
      </w:tr>
    </w:tbl>
    <w:p w14:paraId="4D8A219C" w14:textId="77777777" w:rsidR="00742653" w:rsidRPr="001E7D19" w:rsidRDefault="00880E4D" w:rsidP="001E7D19">
      <w:pPr>
        <w:pStyle w:val="TextPara"/>
        <w:spacing w:before="60"/>
        <w:ind w:left="284"/>
        <w:rPr>
          <w:sz w:val="18"/>
        </w:rPr>
      </w:pPr>
      <w:r w:rsidRPr="001E7D19">
        <w:rPr>
          <w:sz w:val="18"/>
        </w:rPr>
        <w:t xml:space="preserve">Note:   </w:t>
      </w:r>
      <w:r w:rsidR="003E7A87">
        <w:rPr>
          <w:sz w:val="18"/>
        </w:rPr>
        <w:t xml:space="preserve">       </w:t>
      </w:r>
      <w:r w:rsidR="00AF5E94" w:rsidRPr="002B4FA5">
        <w:rPr>
          <w:b/>
        </w:rPr>
        <w:sym w:font="Wingdings" w:char="F0F2"/>
      </w:r>
      <w:r w:rsidR="00AF5E94">
        <w:rPr>
          <w:b/>
        </w:rPr>
        <w:t xml:space="preserve"> </w:t>
      </w:r>
      <w:r w:rsidR="00AF5E94" w:rsidRPr="00B97CAE">
        <w:t xml:space="preserve">- Reduction </w:t>
      </w:r>
      <w:r w:rsidR="006E4733">
        <w:rPr>
          <w:sz w:val="18"/>
        </w:rPr>
        <w:t xml:space="preserve">    </w:t>
      </w:r>
      <w:r w:rsidR="006E4733" w:rsidRPr="001E7D19">
        <w:rPr>
          <w:b/>
        </w:rPr>
        <w:sym w:font="Wingdings" w:char="F0F1"/>
      </w:r>
      <w:r w:rsidR="006E4733">
        <w:rPr>
          <w:b/>
        </w:rPr>
        <w:t xml:space="preserve"> </w:t>
      </w:r>
      <w:r w:rsidR="006E4733">
        <w:t xml:space="preserve">- Increase      </w:t>
      </w:r>
      <w:r w:rsidRPr="001E7D19">
        <w:rPr>
          <w:sz w:val="18"/>
        </w:rPr>
        <w:t xml:space="preserve"> </w:t>
      </w:r>
      <w:r w:rsidRPr="001E7D19">
        <w:rPr>
          <w:b/>
          <w:sz w:val="18"/>
        </w:rPr>
        <w:t>S</w:t>
      </w:r>
      <w:r w:rsidRPr="001E7D19">
        <w:rPr>
          <w:sz w:val="18"/>
        </w:rPr>
        <w:t xml:space="preserve"> – statistically significant</w:t>
      </w:r>
      <w:r w:rsidR="001E7D19" w:rsidRPr="001E7D19">
        <w:rPr>
          <w:rStyle w:val="EndnoteReference"/>
          <w:rFonts w:cs="Segoe UI"/>
        </w:rPr>
        <w:t xml:space="preserve"> </w:t>
      </w:r>
      <w:r w:rsidR="001E7D19">
        <w:rPr>
          <w:rStyle w:val="EndnoteReference"/>
          <w:rFonts w:cs="Segoe UI"/>
        </w:rPr>
        <w:endnoteReference w:id="214"/>
      </w:r>
      <w:r w:rsidRPr="001E7D19">
        <w:rPr>
          <w:sz w:val="18"/>
        </w:rPr>
        <w:t xml:space="preserve">  </w:t>
      </w:r>
      <w:r w:rsidR="006E4733">
        <w:rPr>
          <w:sz w:val="18"/>
        </w:rPr>
        <w:t xml:space="preserve"> </w:t>
      </w:r>
      <w:r w:rsidRPr="001E7D19">
        <w:rPr>
          <w:sz w:val="18"/>
        </w:rPr>
        <w:t xml:space="preserve">  </w:t>
      </w:r>
      <w:r w:rsidRPr="001E7D19">
        <w:rPr>
          <w:b/>
          <w:sz w:val="18"/>
        </w:rPr>
        <w:t>NS</w:t>
      </w:r>
      <w:r w:rsidRPr="001E7D19">
        <w:rPr>
          <w:sz w:val="18"/>
        </w:rPr>
        <w:t xml:space="preserve"> – not statistically significant</w:t>
      </w:r>
    </w:p>
    <w:p w14:paraId="47383E67" w14:textId="77777777" w:rsidR="00021600" w:rsidRDefault="00A02E65" w:rsidP="00B97CAE">
      <w:pPr>
        <w:pStyle w:val="Source"/>
      </w:pPr>
      <w:r>
        <w:t xml:space="preserve">Source: </w:t>
      </w:r>
      <w:r w:rsidRPr="00A02E65">
        <w:t xml:space="preserve">VicRoads </w:t>
      </w:r>
      <w:r>
        <w:t>Victorian GLS Outcome Evaluation 2017</w:t>
      </w:r>
    </w:p>
    <w:p w14:paraId="53BEE25D" w14:textId="77777777" w:rsidR="002E7A55" w:rsidRPr="00A34392" w:rsidRDefault="002E7A55" w:rsidP="00A34392">
      <w:pPr>
        <w:pStyle w:val="TextPara"/>
      </w:pPr>
      <w:r w:rsidRPr="00A34392">
        <w:t xml:space="preserve">Table 18 shows the change in the casualty crash rate and the fatal and serious crash rate pre and post GLS implementation. It should be noted that </w:t>
      </w:r>
      <w:r w:rsidRPr="00ED7A59">
        <w:t xml:space="preserve">changes </w:t>
      </w:r>
      <w:r w:rsidR="00ED7A59">
        <w:t>are</w:t>
      </w:r>
      <w:r w:rsidRPr="00ED7A59">
        <w:t xml:space="preserve"> not only due to the enhancement of the GLS but also due to improvements in the road network, improvements in the vehicle fleet and so on.  </w:t>
      </w:r>
    </w:p>
    <w:p w14:paraId="5CFEE7AB" w14:textId="77777777" w:rsidR="00122C1B" w:rsidRDefault="00122C1B" w:rsidP="001C3A9F">
      <w:pPr>
        <w:pStyle w:val="TextPara"/>
        <w:rPr>
          <w:rFonts w:cs="Segoe UI"/>
        </w:rPr>
      </w:pPr>
      <w:r>
        <w:rPr>
          <w:rFonts w:cs="Segoe UI"/>
        </w:rPr>
        <w:t>However, t</w:t>
      </w:r>
      <w:r w:rsidRPr="003A522D">
        <w:rPr>
          <w:rFonts w:cs="Segoe UI"/>
        </w:rPr>
        <w:t xml:space="preserve">he enhanced GLS did not influence </w:t>
      </w:r>
      <w:r>
        <w:rPr>
          <w:rFonts w:cs="Segoe UI"/>
        </w:rPr>
        <w:t xml:space="preserve">a </w:t>
      </w:r>
      <w:r w:rsidRPr="003A522D">
        <w:rPr>
          <w:rFonts w:cs="Segoe UI"/>
        </w:rPr>
        <w:t>reduc</w:t>
      </w:r>
      <w:r>
        <w:rPr>
          <w:rFonts w:cs="Segoe UI"/>
        </w:rPr>
        <w:t>tion in</w:t>
      </w:r>
      <w:r w:rsidRPr="003A522D">
        <w:rPr>
          <w:rFonts w:cs="Segoe UI"/>
        </w:rPr>
        <w:t xml:space="preserve"> speeding-related offence rates among young drivers. There was an overall increase in the rate of speeding offences for both age groups</w:t>
      </w:r>
      <w:r>
        <w:rPr>
          <w:rFonts w:cs="Segoe UI"/>
        </w:rPr>
        <w:t xml:space="preserve">. </w:t>
      </w:r>
      <w:r w:rsidRPr="003A522D">
        <w:rPr>
          <w:rFonts w:cs="Segoe UI"/>
        </w:rPr>
        <w:t>For drivers aged 18 to 20 years at licence issue, the overall rate of speeding offences increased by 5%</w:t>
      </w:r>
      <w:r>
        <w:rPr>
          <w:rFonts w:cs="Segoe UI"/>
        </w:rPr>
        <w:t>, and f</w:t>
      </w:r>
      <w:r w:rsidRPr="003A522D">
        <w:rPr>
          <w:rFonts w:cs="Segoe UI"/>
        </w:rPr>
        <w:t xml:space="preserve">or </w:t>
      </w:r>
      <w:r>
        <w:rPr>
          <w:rFonts w:cs="Segoe UI"/>
        </w:rPr>
        <w:t>those</w:t>
      </w:r>
      <w:r w:rsidRPr="003A522D">
        <w:rPr>
          <w:rFonts w:cs="Segoe UI"/>
        </w:rPr>
        <w:t xml:space="preserve"> aged 21 to 24 years, </w:t>
      </w:r>
      <w:r>
        <w:rPr>
          <w:rFonts w:cs="Segoe UI"/>
        </w:rPr>
        <w:t xml:space="preserve">it </w:t>
      </w:r>
      <w:r w:rsidRPr="003A522D">
        <w:rPr>
          <w:rFonts w:cs="Segoe UI"/>
        </w:rPr>
        <w:t>increased by 10.3%.</w:t>
      </w:r>
      <w:r>
        <w:rPr>
          <w:rFonts w:cs="Segoe UI"/>
        </w:rPr>
        <w:t xml:space="preserve"> Funding for further research and analysis in this area will be required to provide some insight into the causes of these increases.</w:t>
      </w:r>
    </w:p>
    <w:p w14:paraId="3A0A7BD0" w14:textId="77777777" w:rsidR="00122C1B" w:rsidRDefault="00122C1B" w:rsidP="001C3A9F">
      <w:pPr>
        <w:pStyle w:val="TextPara"/>
        <w:spacing w:after="60"/>
        <w:rPr>
          <w:rFonts w:cs="Segoe UI"/>
        </w:rPr>
      </w:pPr>
      <w:r>
        <w:rPr>
          <w:rFonts w:cs="Segoe UI"/>
        </w:rPr>
        <w:t>P</w:t>
      </w:r>
      <w:r w:rsidRPr="00B95D63">
        <w:rPr>
          <w:rFonts w:cs="Segoe UI"/>
        </w:rPr>
        <w:t>robationary driver surveys</w:t>
      </w:r>
      <w:r>
        <w:rPr>
          <w:rStyle w:val="EndnoteReference"/>
          <w:rFonts w:cs="Segoe UI"/>
        </w:rPr>
        <w:endnoteReference w:id="215"/>
      </w:r>
      <w:r w:rsidRPr="00B95D63">
        <w:rPr>
          <w:rFonts w:cs="Segoe UI"/>
        </w:rPr>
        <w:t xml:space="preserve"> were </w:t>
      </w:r>
      <w:r>
        <w:rPr>
          <w:rFonts w:cs="Segoe UI"/>
        </w:rPr>
        <w:t xml:space="preserve">also </w:t>
      </w:r>
      <w:r w:rsidRPr="00B95D63">
        <w:rPr>
          <w:rFonts w:cs="Segoe UI"/>
        </w:rPr>
        <w:t>used to investigate a range of self-reported driving behaviours</w:t>
      </w:r>
      <w:r>
        <w:rPr>
          <w:rFonts w:cs="Segoe UI"/>
        </w:rPr>
        <w:t xml:space="preserve">: </w:t>
      </w:r>
    </w:p>
    <w:p w14:paraId="3F3CBB98" w14:textId="77777777" w:rsidR="00122C1B" w:rsidRDefault="00122C1B" w:rsidP="001C3A9F">
      <w:pPr>
        <w:pStyle w:val="Bullet1-Black"/>
      </w:pPr>
      <w:r w:rsidRPr="00942DFA">
        <w:rPr>
          <w:i/>
        </w:rPr>
        <w:t>Mobile-phone use</w:t>
      </w:r>
      <w:r w:rsidRPr="00B95D63">
        <w:t>:</w:t>
      </w:r>
      <w:r>
        <w:t xml:space="preserve"> Probationary </w:t>
      </w:r>
      <w:r w:rsidRPr="00B95D63">
        <w:t>P1 drivers reported a 36% decrease in hands-free phone use</w:t>
      </w:r>
      <w:r>
        <w:t xml:space="preserve"> and </w:t>
      </w:r>
      <w:r w:rsidRPr="00B95D63">
        <w:t>an increase in text messaging (0.7 trips in the last 10 pre-GLS, versus 1.0 trip in the last 10 post-GLS).</w:t>
      </w:r>
    </w:p>
    <w:p w14:paraId="17F598AD" w14:textId="77777777" w:rsidR="00122C1B" w:rsidRDefault="00122C1B" w:rsidP="001C3A9F">
      <w:pPr>
        <w:pStyle w:val="Bullet1-Black"/>
      </w:pPr>
      <w:r w:rsidRPr="00942DFA">
        <w:rPr>
          <w:i/>
        </w:rPr>
        <w:t xml:space="preserve">Driving while fatigued and without a </w:t>
      </w:r>
      <w:r>
        <w:rPr>
          <w:i/>
        </w:rPr>
        <w:t>seat belt</w:t>
      </w:r>
      <w:r>
        <w:t>: There were no significant differences from pre- to post-GLS for either behaviour. Driving while very tired was reported in about one trip in the last ten.</w:t>
      </w:r>
    </w:p>
    <w:p w14:paraId="43EEF240" w14:textId="77777777" w:rsidR="00122C1B" w:rsidRDefault="00122C1B" w:rsidP="001C3A9F">
      <w:pPr>
        <w:pStyle w:val="Bullet1-Black"/>
      </w:pPr>
      <w:r w:rsidRPr="00942DFA">
        <w:rPr>
          <w:i/>
        </w:rPr>
        <w:t>Carriage of licence and display of P-plates</w:t>
      </w:r>
      <w:r>
        <w:t>: Probationary drivers reported carrying their licence and displaying P-plates on almost every trip in the last 10 trips both pre- and post-GLS.</w:t>
      </w:r>
    </w:p>
    <w:p w14:paraId="40D04D14" w14:textId="77777777" w:rsidR="00122C1B" w:rsidRPr="00B95D63" w:rsidRDefault="00122C1B" w:rsidP="001C3A9F">
      <w:pPr>
        <w:pStyle w:val="Bullet1-Black"/>
      </w:pPr>
      <w:r w:rsidRPr="00942DFA">
        <w:t>Reported instances of driving a high-powered vehicle</w:t>
      </w:r>
      <w:r>
        <w:t xml:space="preserve">, and </w:t>
      </w:r>
      <w:r w:rsidRPr="00942DFA">
        <w:t>driving a manual vehicle</w:t>
      </w:r>
      <w:r>
        <w:t xml:space="preserve"> </w:t>
      </w:r>
      <w:r w:rsidRPr="00767617">
        <w:t>when having an ‘automatic vehicle only’ licence condition</w:t>
      </w:r>
      <w:r>
        <w:t>, were infrequent. There were no significant differences from pre- to post-GLS on these two measures.</w:t>
      </w:r>
    </w:p>
    <w:p w14:paraId="1229CB37" w14:textId="77777777" w:rsidR="00122C1B" w:rsidRDefault="00122C1B" w:rsidP="001C3A9F">
      <w:pPr>
        <w:pStyle w:val="TextPara"/>
        <w:rPr>
          <w:rFonts w:cs="Segoe UI"/>
        </w:rPr>
      </w:pPr>
      <w:r w:rsidRPr="00117C96">
        <w:rPr>
          <w:rFonts w:cs="Segoe UI"/>
        </w:rPr>
        <w:t>The set of GLS countermeasures include</w:t>
      </w:r>
      <w:r>
        <w:rPr>
          <w:rFonts w:cs="Segoe UI"/>
        </w:rPr>
        <w:t>d</w:t>
      </w:r>
      <w:r w:rsidRPr="00117C96">
        <w:rPr>
          <w:rFonts w:cs="Segoe UI"/>
        </w:rPr>
        <w:t xml:space="preserve"> an extension of the probationary period by a further six months in addition to the period of licence suspension, where the probationary driver’s licence is suspended </w:t>
      </w:r>
      <w:r>
        <w:rPr>
          <w:rFonts w:cs="Segoe UI"/>
        </w:rPr>
        <w:t>as a result of a traffic offence</w:t>
      </w:r>
      <w:r w:rsidRPr="00117C96">
        <w:rPr>
          <w:rFonts w:cs="Segoe UI"/>
        </w:rPr>
        <w:t xml:space="preserve">. While this countermeasure went beyond the scope of the Exemplar GLS model, it is supported by evidence of its deterrent value from overseas experience. </w:t>
      </w:r>
      <w:r>
        <w:rPr>
          <w:rFonts w:cs="Segoe UI"/>
        </w:rPr>
        <w:t>One study</w:t>
      </w:r>
      <w:r w:rsidRPr="00117C96">
        <w:rPr>
          <w:rFonts w:cs="Segoe UI"/>
        </w:rPr>
        <w:t xml:space="preserve"> on graduated driver licensing found that there were significant reductions in repeat offending where there was early intervention.</w:t>
      </w:r>
      <w:r w:rsidRPr="00117C96">
        <w:rPr>
          <w:rStyle w:val="EndnoteReference"/>
          <w:rFonts w:cs="Segoe UI"/>
        </w:rPr>
        <w:endnoteReference w:id="216"/>
      </w:r>
      <w:r w:rsidRPr="00117C96">
        <w:rPr>
          <w:rFonts w:cs="Segoe UI"/>
        </w:rPr>
        <w:t xml:space="preserve"> </w:t>
      </w:r>
      <w:r>
        <w:rPr>
          <w:rFonts w:cs="Segoe UI"/>
        </w:rPr>
        <w:t>In another study, the deterrent effect was estimated to have reduced road law violations by 10% and</w:t>
      </w:r>
      <w:r w:rsidRPr="00117C96">
        <w:rPr>
          <w:rFonts w:cs="Segoe UI"/>
        </w:rPr>
        <w:t xml:space="preserve"> crashes by </w:t>
      </w:r>
      <w:r>
        <w:rPr>
          <w:rFonts w:cs="Segoe UI"/>
        </w:rPr>
        <w:t>5%</w:t>
      </w:r>
      <w:r w:rsidRPr="00117C96">
        <w:rPr>
          <w:rFonts w:cs="Segoe UI"/>
        </w:rPr>
        <w:t>.</w:t>
      </w:r>
      <w:r w:rsidRPr="00117C96">
        <w:rPr>
          <w:rStyle w:val="EndnoteReference"/>
          <w:rFonts w:cs="Segoe UI"/>
        </w:rPr>
        <w:endnoteReference w:id="217"/>
      </w:r>
    </w:p>
    <w:p w14:paraId="6865B360" w14:textId="77777777" w:rsidR="00122C1B" w:rsidRDefault="00122C1B" w:rsidP="001C3A9F">
      <w:pPr>
        <w:pStyle w:val="TextPara"/>
        <w:rPr>
          <w:rFonts w:cs="Segoe UI"/>
          <w:lang w:eastAsia="en-AU"/>
        </w:rPr>
      </w:pPr>
      <w:r>
        <w:rPr>
          <w:rFonts w:cs="Segoe UI"/>
          <w:lang w:eastAsia="en-AU"/>
        </w:rPr>
        <w:t>Based on the national Exemplar GLS model, the current Victorian GLS applies</w:t>
      </w:r>
      <w:r w:rsidRPr="0089188C">
        <w:rPr>
          <w:rFonts w:cs="Segoe UI"/>
          <w:lang w:eastAsia="en-AU"/>
        </w:rPr>
        <w:t xml:space="preserve"> best practice</w:t>
      </w:r>
      <w:r>
        <w:rPr>
          <w:rFonts w:cs="Segoe UI"/>
          <w:lang w:eastAsia="en-AU"/>
        </w:rPr>
        <w:t xml:space="preserve"> and is recognised as </w:t>
      </w:r>
      <w:r w:rsidRPr="00345A03">
        <w:rPr>
          <w:rFonts w:cs="Segoe UI"/>
          <w:lang w:eastAsia="en-AU"/>
        </w:rPr>
        <w:t>one of the most comprehensive and evidence-based young and novice driver licensing</w:t>
      </w:r>
      <w:r>
        <w:rPr>
          <w:rFonts w:cs="Segoe UI"/>
          <w:lang w:eastAsia="en-AU"/>
        </w:rPr>
        <w:t xml:space="preserve"> </w:t>
      </w:r>
      <w:r w:rsidRPr="00345A03">
        <w:rPr>
          <w:rFonts w:cs="Segoe UI"/>
          <w:lang w:eastAsia="en-AU"/>
        </w:rPr>
        <w:t>systems in the world</w:t>
      </w:r>
      <w:r w:rsidRPr="0089188C">
        <w:rPr>
          <w:rFonts w:cs="Segoe UI"/>
          <w:lang w:eastAsia="en-AU"/>
        </w:rPr>
        <w:t>.</w:t>
      </w:r>
      <w:r>
        <w:rPr>
          <w:rStyle w:val="EndnoteReference"/>
          <w:rFonts w:cs="Segoe UI"/>
          <w:lang w:eastAsia="en-AU"/>
        </w:rPr>
        <w:endnoteReference w:id="218"/>
      </w:r>
    </w:p>
    <w:p w14:paraId="209F6522" w14:textId="77777777" w:rsidR="00122C1B" w:rsidRDefault="00122C1B" w:rsidP="001A063E">
      <w:pPr>
        <w:pStyle w:val="Heading2"/>
      </w:pPr>
      <w:bookmarkStart w:id="227" w:name="_Ref534815892"/>
      <w:bookmarkStart w:id="228" w:name="_Toc10703423"/>
      <w:bookmarkStart w:id="229" w:name="_Hlk8400284"/>
      <w:r>
        <w:t>Current Motorcycle GLS (M-GLS)</w:t>
      </w:r>
      <w:bookmarkEnd w:id="227"/>
      <w:bookmarkEnd w:id="228"/>
    </w:p>
    <w:p w14:paraId="1DF79B7A" w14:textId="77777777" w:rsidR="00122C1B" w:rsidRDefault="00122C1B" w:rsidP="006713F9">
      <w:pPr>
        <w:pStyle w:val="Heading3"/>
      </w:pPr>
      <w:bookmarkStart w:id="230" w:name="_Toc10703424"/>
      <w:bookmarkEnd w:id="229"/>
      <w:r>
        <w:t>Implementation</w:t>
      </w:r>
      <w:bookmarkEnd w:id="230"/>
    </w:p>
    <w:p w14:paraId="695A5780" w14:textId="274BB673" w:rsidR="00592CF1" w:rsidRDefault="00592CF1" w:rsidP="00592CF1">
      <w:pPr>
        <w:pStyle w:val="TextPara"/>
        <w:rPr>
          <w:lang w:eastAsia="en-AU"/>
        </w:rPr>
      </w:pPr>
      <w:r>
        <w:rPr>
          <w:lang w:eastAsia="en-AU"/>
        </w:rPr>
        <w:t>Relative to passenger car drivers, motorcycle riders in Australia and comparable overseas jurisdictions are far more likely to be killed or injured in a crash. This is due to a combination and interaction of vehicle, rider and environmental factors such as the lack of protection from injury in the event of collision with other vehicles, roadside objects or impact with the road surface; the inherent instability of motorcycles relative to cars; the relatively low conspicuity of motorcycles; and risky behaviours by riders such as speeding which may increase the risk of crashing and the severity of injury where a crash occurs. Motorcycle riding carries the highest crash, fatality and injury risk of any motorised road vehicle.</w:t>
      </w:r>
      <w:r w:rsidR="00F65BFE">
        <w:rPr>
          <w:rStyle w:val="EndnoteReference"/>
          <w:lang w:eastAsia="en-AU"/>
        </w:rPr>
        <w:endnoteReference w:id="219"/>
      </w:r>
    </w:p>
    <w:p w14:paraId="3F144DCB" w14:textId="5288E8DD" w:rsidR="00122C1B" w:rsidRDefault="00122C1B" w:rsidP="007E6977">
      <w:pPr>
        <w:pStyle w:val="TextPara"/>
        <w:rPr>
          <w:lang w:eastAsia="en-AU"/>
        </w:rPr>
      </w:pPr>
      <w:r>
        <w:rPr>
          <w:lang w:eastAsia="en-AU"/>
        </w:rPr>
        <w:lastRenderedPageBreak/>
        <w:t>While motorcycling ha</w:t>
      </w:r>
      <w:r w:rsidRPr="00654FFE">
        <w:rPr>
          <w:lang w:eastAsia="en-AU"/>
        </w:rPr>
        <w:t>s</w:t>
      </w:r>
      <w:r>
        <w:rPr>
          <w:lang w:eastAsia="en-AU"/>
        </w:rPr>
        <w:t xml:space="preserve"> been</w:t>
      </w:r>
      <w:r w:rsidRPr="00654FFE">
        <w:rPr>
          <w:lang w:eastAsia="en-AU"/>
        </w:rPr>
        <w:t xml:space="preserve"> growing in popularity, motorcyclist fatalities have not </w:t>
      </w:r>
      <w:r>
        <w:rPr>
          <w:lang w:eastAsia="en-AU"/>
        </w:rPr>
        <w:t xml:space="preserve">declined at the same rate as for car </w:t>
      </w:r>
      <w:r w:rsidRPr="00654FFE">
        <w:rPr>
          <w:lang w:eastAsia="en-AU"/>
        </w:rPr>
        <w:t>drivers over recent years. Research indicates that inexperience is a major contributor, with learner and novice riders comprising almost one-third of Victorian motorcycle fatalities and serious injuries.</w:t>
      </w:r>
    </w:p>
    <w:p w14:paraId="08F9409D" w14:textId="77777777" w:rsidR="00122C1B" w:rsidRDefault="00122C1B" w:rsidP="007E6977">
      <w:pPr>
        <w:pStyle w:val="TextPara"/>
        <w:rPr>
          <w:lang w:eastAsia="en-AU"/>
        </w:rPr>
      </w:pPr>
      <w:r>
        <w:rPr>
          <w:lang w:eastAsia="en-AU"/>
        </w:rPr>
        <w:t xml:space="preserve">In 2010 </w:t>
      </w:r>
      <w:r w:rsidR="00C5499B">
        <w:rPr>
          <w:lang w:eastAsia="en-AU"/>
        </w:rPr>
        <w:t xml:space="preserve">the Government </w:t>
      </w:r>
      <w:r w:rsidRPr="00654FFE">
        <w:rPr>
          <w:lang w:eastAsia="en-AU"/>
        </w:rPr>
        <w:t>release</w:t>
      </w:r>
      <w:r>
        <w:rPr>
          <w:lang w:eastAsia="en-AU"/>
        </w:rPr>
        <w:t xml:space="preserve">d a </w:t>
      </w:r>
      <w:r w:rsidRPr="00654FFE">
        <w:rPr>
          <w:lang w:eastAsia="en-AU"/>
        </w:rPr>
        <w:t>discussion paper</w:t>
      </w:r>
      <w:r>
        <w:rPr>
          <w:lang w:eastAsia="en-AU"/>
        </w:rPr>
        <w:t xml:space="preserve"> on </w:t>
      </w:r>
      <w:r w:rsidRPr="00B66648">
        <w:rPr>
          <w:lang w:eastAsia="en-AU"/>
        </w:rPr>
        <w:t>graduated licensing for motorcyclists</w:t>
      </w:r>
      <w:r>
        <w:rPr>
          <w:rStyle w:val="EndnoteReference"/>
          <w:lang w:eastAsia="en-AU"/>
        </w:rPr>
        <w:endnoteReference w:id="220"/>
      </w:r>
      <w:r w:rsidRPr="00654FFE">
        <w:rPr>
          <w:lang w:eastAsia="en-AU"/>
        </w:rPr>
        <w:t xml:space="preserve"> </w:t>
      </w:r>
      <w:r>
        <w:rPr>
          <w:lang w:eastAsia="en-AU"/>
        </w:rPr>
        <w:t>for public consultation. T</w:t>
      </w:r>
      <w:r w:rsidRPr="00785EE4">
        <w:rPr>
          <w:lang w:eastAsia="en-AU"/>
        </w:rPr>
        <w:t>he submissions</w:t>
      </w:r>
      <w:r>
        <w:rPr>
          <w:lang w:eastAsia="en-AU"/>
        </w:rPr>
        <w:t xml:space="preserve"> received</w:t>
      </w:r>
      <w:r w:rsidRPr="00785EE4">
        <w:rPr>
          <w:lang w:eastAsia="en-AU"/>
        </w:rPr>
        <w:t xml:space="preserve"> were used to help formulate </w:t>
      </w:r>
      <w:r>
        <w:rPr>
          <w:lang w:eastAsia="en-AU"/>
        </w:rPr>
        <w:t xml:space="preserve">its </w:t>
      </w:r>
      <w:r w:rsidRPr="00785EE4">
        <w:rPr>
          <w:lang w:eastAsia="en-AU"/>
        </w:rPr>
        <w:t>new policy</w:t>
      </w:r>
      <w:r>
        <w:rPr>
          <w:lang w:eastAsia="en-AU"/>
        </w:rPr>
        <w:t xml:space="preserve">. </w:t>
      </w:r>
      <w:r w:rsidR="00C5499B">
        <w:rPr>
          <w:lang w:eastAsia="en-AU"/>
        </w:rPr>
        <w:t>The Government</w:t>
      </w:r>
      <w:r>
        <w:rPr>
          <w:lang w:eastAsia="en-AU"/>
        </w:rPr>
        <w:t xml:space="preserve"> also took into consideration the recommendations in the</w:t>
      </w:r>
      <w:r w:rsidRPr="00654FFE">
        <w:rPr>
          <w:lang w:eastAsia="en-AU"/>
        </w:rPr>
        <w:t xml:space="preserve"> 2012 Victoria</w:t>
      </w:r>
      <w:r w:rsidR="00C5499B">
        <w:rPr>
          <w:lang w:eastAsia="en-AU"/>
        </w:rPr>
        <w:t>n</w:t>
      </w:r>
      <w:r w:rsidRPr="00654FFE">
        <w:rPr>
          <w:lang w:eastAsia="en-AU"/>
        </w:rPr>
        <w:t xml:space="preserve"> Parliament</w:t>
      </w:r>
      <w:r>
        <w:rPr>
          <w:lang w:eastAsia="en-AU"/>
        </w:rPr>
        <w:t>’s</w:t>
      </w:r>
      <w:r w:rsidRPr="00654FFE">
        <w:rPr>
          <w:lang w:eastAsia="en-AU"/>
        </w:rPr>
        <w:t xml:space="preserve"> Road Safety Committee </w:t>
      </w:r>
      <w:r w:rsidRPr="002F7A79">
        <w:rPr>
          <w:i/>
          <w:lang w:eastAsia="en-AU"/>
        </w:rPr>
        <w:t>Inquiry into Motorcycle Safety</w:t>
      </w:r>
      <w:r w:rsidRPr="00654FFE">
        <w:rPr>
          <w:lang w:eastAsia="en-AU"/>
        </w:rPr>
        <w:t>.</w:t>
      </w:r>
      <w:r>
        <w:rPr>
          <w:rStyle w:val="EndnoteReference"/>
          <w:lang w:eastAsia="en-AU"/>
        </w:rPr>
        <w:endnoteReference w:id="221"/>
      </w:r>
    </w:p>
    <w:p w14:paraId="5D306EAC" w14:textId="77777777" w:rsidR="00122C1B" w:rsidRDefault="00122C1B" w:rsidP="007E6977">
      <w:pPr>
        <w:pStyle w:val="TextPara"/>
        <w:rPr>
          <w:lang w:eastAsia="en-AU"/>
        </w:rPr>
      </w:pPr>
      <w:r>
        <w:rPr>
          <w:lang w:eastAsia="en-AU"/>
        </w:rPr>
        <w:t xml:space="preserve">Before introducing the latest enhancements to the M-GLS in 2016, VicRoads </w:t>
      </w:r>
      <w:r w:rsidRPr="00654FFE">
        <w:rPr>
          <w:lang w:eastAsia="en-AU"/>
        </w:rPr>
        <w:t>work</w:t>
      </w:r>
      <w:r>
        <w:rPr>
          <w:lang w:eastAsia="en-AU"/>
        </w:rPr>
        <w:t>ed</w:t>
      </w:r>
      <w:r w:rsidRPr="00654FFE">
        <w:rPr>
          <w:lang w:eastAsia="en-AU"/>
        </w:rPr>
        <w:t xml:space="preserve"> with the motorcycle community and road safety experts towards implementing a</w:t>
      </w:r>
      <w:r>
        <w:rPr>
          <w:lang w:eastAsia="en-AU"/>
        </w:rPr>
        <w:t>n improved</w:t>
      </w:r>
      <w:r w:rsidRPr="00654FFE">
        <w:rPr>
          <w:lang w:eastAsia="en-AU"/>
        </w:rPr>
        <w:t xml:space="preserve"> </w:t>
      </w:r>
      <w:r>
        <w:rPr>
          <w:lang w:eastAsia="en-AU"/>
        </w:rPr>
        <w:t xml:space="preserve">M-GLS. </w:t>
      </w:r>
      <w:r w:rsidRPr="00654FFE">
        <w:rPr>
          <w:lang w:eastAsia="en-AU"/>
        </w:rPr>
        <w:t xml:space="preserve"> </w:t>
      </w:r>
      <w:r>
        <w:rPr>
          <w:lang w:eastAsia="en-AU"/>
        </w:rPr>
        <w:t>This collaboration was carried out pursuant to</w:t>
      </w:r>
      <w:r w:rsidRPr="00654FFE">
        <w:rPr>
          <w:lang w:eastAsia="en-AU"/>
        </w:rPr>
        <w:t xml:space="preserve"> a commitment</w:t>
      </w:r>
      <w:r>
        <w:rPr>
          <w:lang w:eastAsia="en-AU"/>
        </w:rPr>
        <w:t xml:space="preserve"> </w:t>
      </w:r>
      <w:r w:rsidRPr="00654FFE">
        <w:rPr>
          <w:lang w:eastAsia="en-AU"/>
        </w:rPr>
        <w:t xml:space="preserve">in Victoria's </w:t>
      </w:r>
      <w:r w:rsidRPr="00C5499B">
        <w:rPr>
          <w:i/>
          <w:lang w:eastAsia="en-AU"/>
        </w:rPr>
        <w:t>Road Safety Action Plan 2013-2016</w:t>
      </w:r>
      <w:r>
        <w:rPr>
          <w:rStyle w:val="EndnoteReference"/>
          <w:lang w:eastAsia="en-AU"/>
        </w:rPr>
        <w:endnoteReference w:id="222"/>
      </w:r>
      <w:r w:rsidRPr="00654FFE">
        <w:rPr>
          <w:lang w:eastAsia="en-AU"/>
        </w:rPr>
        <w:t xml:space="preserve"> </w:t>
      </w:r>
      <w:r w:rsidRPr="00EE2BD6">
        <w:rPr>
          <w:lang w:eastAsia="en-AU"/>
        </w:rPr>
        <w:t>to introduce a graduated licensing system for motorcyclists to help beginners develop critical riding skills under safe conditions.</w:t>
      </w:r>
    </w:p>
    <w:p w14:paraId="261299B2" w14:textId="77777777" w:rsidR="00122C1B" w:rsidRDefault="00122C1B" w:rsidP="007E6977">
      <w:pPr>
        <w:pStyle w:val="TextPara"/>
        <w:rPr>
          <w:lang w:eastAsia="en-AU"/>
        </w:rPr>
      </w:pPr>
      <w:r>
        <w:rPr>
          <w:lang w:eastAsia="en-AU"/>
        </w:rPr>
        <w:t>Victoria’s</w:t>
      </w:r>
      <w:r w:rsidRPr="001350B1">
        <w:rPr>
          <w:lang w:eastAsia="en-AU"/>
        </w:rPr>
        <w:t xml:space="preserve"> new motorcycle training and testing regime </w:t>
      </w:r>
      <w:r>
        <w:rPr>
          <w:lang w:eastAsia="en-AU"/>
        </w:rPr>
        <w:t>focuses</w:t>
      </w:r>
      <w:r w:rsidRPr="001350B1">
        <w:rPr>
          <w:lang w:eastAsia="en-AU"/>
        </w:rPr>
        <w:t xml:space="preserve"> on a robust process for riders to graduate through different phases as they develop their riding capabilities. These capabilities include not only basic skills in vehicle handling, but</w:t>
      </w:r>
      <w:r>
        <w:rPr>
          <w:lang w:eastAsia="en-AU"/>
        </w:rPr>
        <w:t xml:space="preserve"> also</w:t>
      </w:r>
      <w:r w:rsidRPr="001350B1">
        <w:rPr>
          <w:lang w:eastAsia="en-AU"/>
        </w:rPr>
        <w:t>, critically, capabilities in higher-order skill areas.</w:t>
      </w:r>
    </w:p>
    <w:p w14:paraId="329F1A01" w14:textId="77777777" w:rsidR="00122C1B" w:rsidRDefault="00122C1B" w:rsidP="007E6977">
      <w:pPr>
        <w:pStyle w:val="TextPara"/>
        <w:rPr>
          <w:lang w:eastAsia="en-AU"/>
        </w:rPr>
      </w:pPr>
      <w:r w:rsidRPr="00654FFE">
        <w:rPr>
          <w:lang w:eastAsia="en-AU"/>
        </w:rPr>
        <w:t xml:space="preserve">Protocols for new mandatory training, </w:t>
      </w:r>
      <w:r>
        <w:rPr>
          <w:lang w:eastAsia="en-AU"/>
        </w:rPr>
        <w:t>on-range</w:t>
      </w:r>
      <w:r w:rsidRPr="00654FFE">
        <w:rPr>
          <w:lang w:eastAsia="en-AU"/>
        </w:rPr>
        <w:t xml:space="preserve"> and on-road testing for the motorcycle learner permit, a learner </w:t>
      </w:r>
      <w:r w:rsidRPr="00896454">
        <w:rPr>
          <w:i/>
          <w:lang w:eastAsia="en-AU"/>
        </w:rPr>
        <w:t>check ride</w:t>
      </w:r>
      <w:r>
        <w:rPr>
          <w:i/>
          <w:lang w:eastAsia="en-AU"/>
        </w:rPr>
        <w:t>,</w:t>
      </w:r>
      <w:r w:rsidRPr="00654FFE">
        <w:rPr>
          <w:lang w:eastAsia="en-AU"/>
        </w:rPr>
        <w:t xml:space="preserve"> on-road testing for the licence</w:t>
      </w:r>
      <w:r>
        <w:rPr>
          <w:lang w:eastAsia="en-AU"/>
        </w:rPr>
        <w:t>, and</w:t>
      </w:r>
      <w:r w:rsidRPr="00654FFE">
        <w:rPr>
          <w:lang w:eastAsia="en-AU"/>
        </w:rPr>
        <w:t xml:space="preserve"> </w:t>
      </w:r>
      <w:r>
        <w:t xml:space="preserve">coaching and assessment activities </w:t>
      </w:r>
      <w:r>
        <w:rPr>
          <w:lang w:eastAsia="en-AU"/>
        </w:rPr>
        <w:t>were</w:t>
      </w:r>
      <w:r w:rsidRPr="00654FFE">
        <w:rPr>
          <w:lang w:eastAsia="en-AU"/>
        </w:rPr>
        <w:t xml:space="preserve"> developed</w:t>
      </w:r>
      <w:r>
        <w:rPr>
          <w:lang w:eastAsia="en-AU"/>
        </w:rPr>
        <w:t>. These were</w:t>
      </w:r>
      <w:r w:rsidRPr="00654FFE">
        <w:rPr>
          <w:lang w:eastAsia="en-AU"/>
        </w:rPr>
        <w:t xml:space="preserve"> based on </w:t>
      </w:r>
      <w:r>
        <w:rPr>
          <w:lang w:eastAsia="en-AU"/>
        </w:rPr>
        <w:t xml:space="preserve">a </w:t>
      </w:r>
      <w:r w:rsidRPr="00654FFE">
        <w:rPr>
          <w:lang w:eastAsia="en-AU"/>
        </w:rPr>
        <w:t xml:space="preserve">review of Australian and international motorcycle licensing systems, </w:t>
      </w:r>
      <w:r>
        <w:rPr>
          <w:lang w:eastAsia="en-AU"/>
        </w:rPr>
        <w:t xml:space="preserve">research </w:t>
      </w:r>
      <w:r w:rsidRPr="00654FFE">
        <w:rPr>
          <w:lang w:eastAsia="en-AU"/>
        </w:rPr>
        <w:t>literature on motorcycling, behaviour change theories and adult learning, observations of current rider training in Victoria</w:t>
      </w:r>
      <w:r>
        <w:rPr>
          <w:lang w:eastAsia="en-AU"/>
        </w:rPr>
        <w:t>,</w:t>
      </w:r>
      <w:r w:rsidRPr="00654FFE">
        <w:rPr>
          <w:lang w:eastAsia="en-AU"/>
        </w:rPr>
        <w:t xml:space="preserve"> and </w:t>
      </w:r>
      <w:r>
        <w:rPr>
          <w:lang w:eastAsia="en-AU"/>
        </w:rPr>
        <w:t xml:space="preserve">an </w:t>
      </w:r>
      <w:r w:rsidRPr="00654FFE">
        <w:rPr>
          <w:lang w:eastAsia="en-AU"/>
        </w:rPr>
        <w:t xml:space="preserve">analysis of Victorian motorcyclist crash data (2003-2013). </w:t>
      </w:r>
    </w:p>
    <w:p w14:paraId="1CB57820" w14:textId="77777777" w:rsidR="00122C1B" w:rsidRDefault="00122C1B" w:rsidP="007E6977">
      <w:pPr>
        <w:pStyle w:val="TextPara"/>
      </w:pPr>
      <w:r>
        <w:t>A key focus was to extend a current emphasis on vehicle-handling in rider training and licensing to give greater prominence to the development of awareness, judgment and decision making.</w:t>
      </w:r>
    </w:p>
    <w:p w14:paraId="78CE1C58" w14:textId="311545E2" w:rsidR="00122C1B" w:rsidRDefault="00122C1B" w:rsidP="007E6977">
      <w:pPr>
        <w:pStyle w:val="TextPara"/>
        <w:spacing w:after="60"/>
      </w:pPr>
      <w:r>
        <w:t xml:space="preserve">Effective 1 October 2014, Stage 1 </w:t>
      </w:r>
      <w:r>
        <w:rPr>
          <w:lang w:eastAsia="en-AU"/>
        </w:rPr>
        <w:t xml:space="preserve">of the new M-GLS </w:t>
      </w:r>
      <w:r>
        <w:t xml:space="preserve">introduced some new safety restrictions (listed in </w:t>
      </w:r>
      <w:r>
        <w:fldChar w:fldCharType="begin"/>
      </w:r>
      <w:r>
        <w:instrText xml:space="preserve"> REF _Ref511991846 \h </w:instrText>
      </w:r>
      <w:r>
        <w:fldChar w:fldCharType="separate"/>
      </w:r>
      <w:r w:rsidR="00EB4B02">
        <w:t xml:space="preserve">Table </w:t>
      </w:r>
      <w:r w:rsidR="00EB4B02">
        <w:rPr>
          <w:noProof/>
        </w:rPr>
        <w:t>19</w:t>
      </w:r>
      <w:r>
        <w:fldChar w:fldCharType="end"/>
      </w:r>
      <w:r>
        <w:t xml:space="preserve"> below) that apply to motorcycle learner permits or licences issued on or after that date.</w:t>
      </w:r>
    </w:p>
    <w:p w14:paraId="16224911" w14:textId="3E13E172" w:rsidR="00122C1B" w:rsidRDefault="00122C1B" w:rsidP="007E6977">
      <w:pPr>
        <w:pStyle w:val="Caption"/>
      </w:pPr>
      <w:bookmarkStart w:id="231" w:name="_Ref511991846"/>
      <w:bookmarkStart w:id="232" w:name="_Ref512242018"/>
      <w:bookmarkStart w:id="233" w:name="_Toc10703712"/>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19</w:t>
      </w:r>
      <w:r w:rsidR="00BC6B2E">
        <w:rPr>
          <w:noProof/>
        </w:rPr>
        <w:fldChar w:fldCharType="end"/>
      </w:r>
      <w:bookmarkEnd w:id="231"/>
      <w:r>
        <w:t xml:space="preserve"> – </w:t>
      </w:r>
      <w:r w:rsidRPr="0066752E">
        <w:t xml:space="preserve">Victoria’s </w:t>
      </w:r>
      <w:r>
        <w:t xml:space="preserve">enhanced </w:t>
      </w:r>
      <w:r w:rsidRPr="0066752E">
        <w:t xml:space="preserve">M-GLS learner and licence phase </w:t>
      </w:r>
      <w:r>
        <w:t>restrictions</w:t>
      </w:r>
      <w:bookmarkEnd w:id="232"/>
      <w:bookmarkEnd w:id="233"/>
    </w:p>
    <w:tbl>
      <w:tblPr>
        <w:tblStyle w:val="RIS-Table2"/>
        <w:tblW w:w="0" w:type="auto"/>
        <w:tblInd w:w="-5" w:type="dxa"/>
        <w:tblLook w:val="04A0" w:firstRow="1" w:lastRow="0" w:firstColumn="1" w:lastColumn="0" w:noHBand="0" w:noVBand="1"/>
      </w:tblPr>
      <w:tblGrid>
        <w:gridCol w:w="4651"/>
        <w:gridCol w:w="4847"/>
      </w:tblGrid>
      <w:tr w:rsidR="00122C1B" w14:paraId="5C1B84C1" w14:textId="77777777" w:rsidTr="00C66A9C">
        <w:trPr>
          <w:cnfStyle w:val="100000000000" w:firstRow="1" w:lastRow="0" w:firstColumn="0" w:lastColumn="0" w:oddVBand="0" w:evenVBand="0" w:oddHBand="0" w:evenHBand="0" w:firstRowFirstColumn="0" w:firstRowLastColumn="0" w:lastRowFirstColumn="0" w:lastRowLastColumn="0"/>
        </w:trPr>
        <w:tc>
          <w:tcPr>
            <w:tcW w:w="4651" w:type="dxa"/>
            <w:tcBorders>
              <w:right w:val="single" w:sz="4" w:space="0" w:color="FFFFFF" w:themeColor="background1"/>
            </w:tcBorders>
          </w:tcPr>
          <w:p w14:paraId="3C59D6A3" w14:textId="77777777" w:rsidR="00122C1B" w:rsidRDefault="00122C1B" w:rsidP="00C66A9C">
            <w:pPr>
              <w:pStyle w:val="TableHeaders"/>
            </w:pPr>
            <w:r w:rsidRPr="00E05633">
              <w:t xml:space="preserve">Learner </w:t>
            </w:r>
            <w:r>
              <w:t xml:space="preserve">Permit </w:t>
            </w:r>
            <w:r w:rsidRPr="00E05633">
              <w:t>Phase</w:t>
            </w:r>
          </w:p>
        </w:tc>
        <w:tc>
          <w:tcPr>
            <w:tcW w:w="4847" w:type="dxa"/>
            <w:tcBorders>
              <w:left w:val="single" w:sz="4" w:space="0" w:color="FFFFFF" w:themeColor="background1"/>
            </w:tcBorders>
          </w:tcPr>
          <w:p w14:paraId="5D8BED4D" w14:textId="77777777" w:rsidR="00122C1B" w:rsidRDefault="00122C1B" w:rsidP="00C66A9C">
            <w:pPr>
              <w:pStyle w:val="TableHeaders"/>
            </w:pPr>
            <w:r>
              <w:t>Licence Phase (restricted licence)</w:t>
            </w:r>
          </w:p>
        </w:tc>
      </w:tr>
      <w:tr w:rsidR="00122C1B" w14:paraId="7A128668" w14:textId="77777777" w:rsidTr="00C66A9C">
        <w:tc>
          <w:tcPr>
            <w:tcW w:w="4651" w:type="dxa"/>
          </w:tcPr>
          <w:p w14:paraId="26C0BB87" w14:textId="77777777" w:rsidR="00122C1B" w:rsidRDefault="00122C1B" w:rsidP="00C66A9C">
            <w:pPr>
              <w:pStyle w:val="TableParagraph"/>
            </w:pPr>
            <w:r>
              <w:t>Introduced the following restrictions:</w:t>
            </w:r>
          </w:p>
          <w:p w14:paraId="4AE6F499" w14:textId="77777777" w:rsidR="00122C1B" w:rsidRPr="00725C45" w:rsidRDefault="00122C1B" w:rsidP="00C66A9C">
            <w:pPr>
              <w:pStyle w:val="TableList1"/>
            </w:pPr>
            <w:r>
              <w:t xml:space="preserve">Ride with headlight on </w:t>
            </w:r>
            <w:r w:rsidRPr="00725C45">
              <w:t>at all times</w:t>
            </w:r>
          </w:p>
          <w:p w14:paraId="19426129" w14:textId="77777777" w:rsidR="00122C1B" w:rsidRPr="00725C45" w:rsidRDefault="00122C1B" w:rsidP="00C66A9C">
            <w:pPr>
              <w:pStyle w:val="TableList1"/>
            </w:pPr>
            <w:r w:rsidRPr="00725C45">
              <w:t>Wear a high visibility vest or jacket whilst riding</w:t>
            </w:r>
          </w:p>
          <w:p w14:paraId="229611A0" w14:textId="77777777" w:rsidR="00122C1B" w:rsidRPr="00725C45" w:rsidRDefault="00122C1B" w:rsidP="00C66A9C">
            <w:pPr>
              <w:pStyle w:val="TableList1"/>
            </w:pPr>
            <w:r w:rsidRPr="00725C45">
              <w:t xml:space="preserve">If tested on an automatic </w:t>
            </w:r>
            <w:r>
              <w:t xml:space="preserve">transmission </w:t>
            </w:r>
            <w:r w:rsidRPr="00725C45">
              <w:t>motorcycle, restricted to riding an automatic motorcycle</w:t>
            </w:r>
          </w:p>
          <w:p w14:paraId="722EF5A6" w14:textId="77777777" w:rsidR="00122C1B" w:rsidRDefault="00122C1B" w:rsidP="00C66A9C">
            <w:pPr>
              <w:pStyle w:val="TableParagraph"/>
            </w:pPr>
            <w:r>
              <w:t>Retained the following current restrictions:</w:t>
            </w:r>
          </w:p>
          <w:p w14:paraId="0E92C8EF" w14:textId="77777777" w:rsidR="00122C1B" w:rsidRPr="00725C45" w:rsidRDefault="00122C1B" w:rsidP="00C66A9C">
            <w:pPr>
              <w:pStyle w:val="TableList1"/>
            </w:pPr>
            <w:r w:rsidRPr="00725C45">
              <w:t>Must only ride a learner approved motorcycle</w:t>
            </w:r>
          </w:p>
          <w:p w14:paraId="30333465" w14:textId="77777777" w:rsidR="00122C1B" w:rsidRPr="00725C45" w:rsidRDefault="00122C1B" w:rsidP="00C66A9C">
            <w:pPr>
              <w:pStyle w:val="TableList1"/>
            </w:pPr>
            <w:r w:rsidRPr="00725C45">
              <w:t>Zero BAC</w:t>
            </w:r>
          </w:p>
          <w:p w14:paraId="376DC9AE" w14:textId="77777777" w:rsidR="00122C1B" w:rsidRPr="00725C45" w:rsidRDefault="00122C1B" w:rsidP="00C66A9C">
            <w:pPr>
              <w:pStyle w:val="TableList1"/>
            </w:pPr>
            <w:r w:rsidRPr="00725C45">
              <w:t>No pillion passenger</w:t>
            </w:r>
          </w:p>
          <w:p w14:paraId="09DEDA87" w14:textId="77777777" w:rsidR="00122C1B" w:rsidRPr="00725C45" w:rsidRDefault="00122C1B" w:rsidP="00C66A9C">
            <w:pPr>
              <w:pStyle w:val="TableList1"/>
            </w:pPr>
            <w:r w:rsidRPr="00725C45">
              <w:t>No mobile phone use</w:t>
            </w:r>
          </w:p>
          <w:p w14:paraId="45721701" w14:textId="77777777" w:rsidR="00122C1B" w:rsidRPr="00725C45" w:rsidRDefault="00122C1B" w:rsidP="00C66A9C">
            <w:pPr>
              <w:pStyle w:val="TableList1"/>
            </w:pPr>
            <w:r w:rsidRPr="00725C45">
              <w:t>No towing</w:t>
            </w:r>
          </w:p>
          <w:p w14:paraId="44E9506A" w14:textId="77777777" w:rsidR="00122C1B" w:rsidRPr="009378AF" w:rsidRDefault="00122C1B" w:rsidP="00C66A9C">
            <w:pPr>
              <w:pStyle w:val="TableList1"/>
            </w:pPr>
            <w:r w:rsidRPr="009378AF">
              <w:t>Must display L plates</w:t>
            </w:r>
          </w:p>
          <w:p w14:paraId="45BEBE2F" w14:textId="77777777" w:rsidR="00122C1B" w:rsidRDefault="00122C1B" w:rsidP="00C66A9C">
            <w:pPr>
              <w:pStyle w:val="TableList1"/>
            </w:pPr>
            <w:r w:rsidRPr="009378AF">
              <w:t>Compulsory</w:t>
            </w:r>
            <w:r>
              <w:t xml:space="preserve"> carriage of learner permit</w:t>
            </w:r>
          </w:p>
        </w:tc>
        <w:tc>
          <w:tcPr>
            <w:tcW w:w="4847" w:type="dxa"/>
          </w:tcPr>
          <w:p w14:paraId="4192FC72" w14:textId="77777777" w:rsidR="00122C1B" w:rsidRDefault="00122C1B" w:rsidP="00C66A9C">
            <w:pPr>
              <w:pStyle w:val="TableParagraph"/>
            </w:pPr>
            <w:r>
              <w:t>Introduced the following restrictions:</w:t>
            </w:r>
          </w:p>
          <w:p w14:paraId="3EEB866B" w14:textId="77777777" w:rsidR="00122C1B" w:rsidRPr="00725C45" w:rsidRDefault="00122C1B" w:rsidP="00C66A9C">
            <w:pPr>
              <w:pStyle w:val="TableList1"/>
            </w:pPr>
            <w:r w:rsidRPr="00725C45">
              <w:t>Ride with headlight on at all times</w:t>
            </w:r>
          </w:p>
          <w:p w14:paraId="6C908B03" w14:textId="77777777" w:rsidR="00122C1B" w:rsidRPr="00725C45" w:rsidRDefault="00122C1B" w:rsidP="00C66A9C">
            <w:pPr>
              <w:pStyle w:val="TableList1"/>
            </w:pPr>
            <w:r w:rsidRPr="00725C45">
              <w:t>No mobile phone use</w:t>
            </w:r>
          </w:p>
          <w:p w14:paraId="0031F19F" w14:textId="77777777" w:rsidR="00122C1B" w:rsidRPr="00725C45" w:rsidRDefault="00122C1B" w:rsidP="00C66A9C">
            <w:pPr>
              <w:pStyle w:val="TableList1"/>
            </w:pPr>
            <w:r w:rsidRPr="00725C45">
              <w:t>No towing</w:t>
            </w:r>
          </w:p>
          <w:p w14:paraId="170F1A3C" w14:textId="77777777" w:rsidR="00122C1B" w:rsidRPr="00725C45" w:rsidRDefault="00122C1B" w:rsidP="00C66A9C">
            <w:pPr>
              <w:pStyle w:val="TableList1"/>
            </w:pPr>
            <w:r w:rsidRPr="00725C45">
              <w:t xml:space="preserve">If tested on an automatic </w:t>
            </w:r>
            <w:r>
              <w:t xml:space="preserve">transmission </w:t>
            </w:r>
            <w:r w:rsidRPr="00725C45">
              <w:t>motorcycle, restricted to riding an automatic motorcycle</w:t>
            </w:r>
          </w:p>
          <w:p w14:paraId="396E2F7D" w14:textId="77777777" w:rsidR="00122C1B" w:rsidRDefault="00122C1B" w:rsidP="00C66A9C">
            <w:pPr>
              <w:pStyle w:val="TableList1"/>
            </w:pPr>
            <w:r w:rsidRPr="009378AF">
              <w:t>Compulsory</w:t>
            </w:r>
            <w:r>
              <w:t xml:space="preserve"> carriage of licence</w:t>
            </w:r>
          </w:p>
          <w:p w14:paraId="53209F63" w14:textId="77777777" w:rsidR="00122C1B" w:rsidRDefault="00122C1B" w:rsidP="00C66A9C">
            <w:pPr>
              <w:pStyle w:val="TableParagraph"/>
            </w:pPr>
            <w:r>
              <w:t>Retained the following current restrictions:</w:t>
            </w:r>
          </w:p>
          <w:p w14:paraId="258F883C" w14:textId="77777777" w:rsidR="00122C1B" w:rsidRPr="00725C45" w:rsidRDefault="00122C1B" w:rsidP="00C66A9C">
            <w:pPr>
              <w:pStyle w:val="TableList1"/>
            </w:pPr>
            <w:r w:rsidRPr="00725C45">
              <w:t>Must only ride a learner approved motorcycle</w:t>
            </w:r>
          </w:p>
          <w:p w14:paraId="0E6A3586" w14:textId="77777777" w:rsidR="00122C1B" w:rsidRPr="00725C45" w:rsidRDefault="00122C1B" w:rsidP="00C66A9C">
            <w:pPr>
              <w:pStyle w:val="TableList1"/>
            </w:pPr>
            <w:r w:rsidRPr="00725C45">
              <w:t>Zero BAC</w:t>
            </w:r>
          </w:p>
          <w:p w14:paraId="1B941359" w14:textId="77777777" w:rsidR="00122C1B" w:rsidRDefault="00122C1B" w:rsidP="00C66A9C">
            <w:pPr>
              <w:pStyle w:val="TableList1"/>
            </w:pPr>
            <w:r w:rsidRPr="00725C45">
              <w:t>No</w:t>
            </w:r>
            <w:r>
              <w:t xml:space="preserve"> pillion passenger</w:t>
            </w:r>
          </w:p>
          <w:p w14:paraId="1AB7039E" w14:textId="77777777" w:rsidR="00122C1B" w:rsidRDefault="00122C1B" w:rsidP="00C66A9C">
            <w:pPr>
              <w:pStyle w:val="TableParagraph"/>
            </w:pPr>
            <w:r>
              <w:t>The duration of all restrictions for this phase increased from one year to three years.</w:t>
            </w:r>
          </w:p>
        </w:tc>
      </w:tr>
    </w:tbl>
    <w:p w14:paraId="33BB44F5" w14:textId="77777777" w:rsidR="00122C1B" w:rsidRDefault="00122C1B" w:rsidP="007E6977">
      <w:pPr>
        <w:pStyle w:val="Source"/>
      </w:pPr>
      <w:r>
        <w:t>Source: VicRoads 2016</w:t>
      </w:r>
    </w:p>
    <w:p w14:paraId="32514A8A" w14:textId="2A2BFA36" w:rsidR="00122C1B" w:rsidRDefault="00122C1B" w:rsidP="007E6977">
      <w:pPr>
        <w:pStyle w:val="TextPara"/>
        <w:spacing w:after="60"/>
      </w:pPr>
      <w:r>
        <w:t>Effective 2 April 2016, Stage 2 of the M-GLS was implemented, introducing</w:t>
      </w:r>
      <w:r w:rsidRPr="00D30B10">
        <w:t xml:space="preserve"> </w:t>
      </w:r>
      <w:r>
        <w:t xml:space="preserve">training requirements to provide new riders with the most effective level of training and experience for on-road riding. These new requirements are shown in </w:t>
      </w:r>
      <w:r>
        <w:fldChar w:fldCharType="begin"/>
      </w:r>
      <w:r>
        <w:instrText xml:space="preserve"> REF _Ref511998830 \h </w:instrText>
      </w:r>
      <w:r>
        <w:fldChar w:fldCharType="separate"/>
      </w:r>
      <w:r w:rsidR="00EB4B02">
        <w:t xml:space="preserve">Figure </w:t>
      </w:r>
      <w:r w:rsidR="00EB4B02">
        <w:rPr>
          <w:noProof/>
        </w:rPr>
        <w:t>11</w:t>
      </w:r>
      <w:r>
        <w:fldChar w:fldCharType="end"/>
      </w:r>
      <w:r>
        <w:t>.</w:t>
      </w:r>
    </w:p>
    <w:p w14:paraId="73A55A4F" w14:textId="34710C91" w:rsidR="00122C1B" w:rsidRDefault="00122C1B" w:rsidP="007E6977">
      <w:pPr>
        <w:pStyle w:val="Caption"/>
      </w:pPr>
      <w:bookmarkStart w:id="234" w:name="_Ref511998830"/>
      <w:bookmarkStart w:id="235" w:name="_Ref511998824"/>
      <w:bookmarkStart w:id="236" w:name="_Toc10703656"/>
      <w:r>
        <w:lastRenderedPageBreak/>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11</w:t>
      </w:r>
      <w:r w:rsidR="00BC6B2E">
        <w:rPr>
          <w:noProof/>
        </w:rPr>
        <w:fldChar w:fldCharType="end"/>
      </w:r>
      <w:bookmarkEnd w:id="234"/>
      <w:r>
        <w:t xml:space="preserve"> – </w:t>
      </w:r>
      <w:r w:rsidRPr="00024BFC">
        <w:t xml:space="preserve">Victoria’s </w:t>
      </w:r>
      <w:r>
        <w:t>enhanced</w:t>
      </w:r>
      <w:r w:rsidRPr="00024BFC">
        <w:t xml:space="preserve"> M-GLS learner and </w:t>
      </w:r>
      <w:r>
        <w:t xml:space="preserve">probationary </w:t>
      </w:r>
      <w:r w:rsidRPr="00024BFC">
        <w:t>licence training and assessment</w:t>
      </w:r>
      <w:bookmarkEnd w:id="235"/>
      <w:bookmarkEnd w:id="236"/>
    </w:p>
    <w:p w14:paraId="29868229" w14:textId="77777777" w:rsidR="00122C1B" w:rsidRDefault="00122C1B" w:rsidP="007E6977">
      <w:pPr>
        <w:pStyle w:val="TextPara"/>
        <w:spacing w:before="240" w:after="0" w:line="240" w:lineRule="atLeast"/>
      </w:pPr>
      <w:r w:rsidRPr="00A72CB0">
        <w:rPr>
          <w:noProof/>
          <w:lang w:val="en-GB" w:eastAsia="en-GB"/>
        </w:rPr>
        <w:drawing>
          <wp:inline distT="0" distB="0" distL="0" distR="0" wp14:anchorId="46D47091" wp14:editId="5EEF44D0">
            <wp:extent cx="5979381" cy="273283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4358" cy="2739675"/>
                    </a:xfrm>
                    <a:prstGeom prst="rect">
                      <a:avLst/>
                    </a:prstGeom>
                    <a:noFill/>
                    <a:ln>
                      <a:noFill/>
                    </a:ln>
                  </pic:spPr>
                </pic:pic>
              </a:graphicData>
            </a:graphic>
          </wp:inline>
        </w:drawing>
      </w:r>
    </w:p>
    <w:p w14:paraId="283C234E" w14:textId="77777777" w:rsidR="00122C1B" w:rsidRDefault="00122C1B" w:rsidP="007E6977">
      <w:pPr>
        <w:pStyle w:val="Source"/>
      </w:pPr>
      <w:r>
        <w:t>Source: VicRoads, 2016</w:t>
      </w:r>
    </w:p>
    <w:p w14:paraId="26233AF5" w14:textId="1E7FB5B5" w:rsidR="00122C1B" w:rsidRDefault="00122C1B" w:rsidP="007E6977">
      <w:pPr>
        <w:pStyle w:val="TextPara"/>
      </w:pPr>
      <w:r>
        <w:t xml:space="preserve">Following these changes, new riders need to attend and pass a two-day course before they get their learner permit. The course includes on-range training and an on-road assessment, in addition to the motorcycle knowledge test. They are required to contact an accredited training and testing provider to book and pay for their course. </w:t>
      </w:r>
    </w:p>
    <w:p w14:paraId="309997C1" w14:textId="77777777" w:rsidR="00122C1B" w:rsidRDefault="00122C1B" w:rsidP="007E6977">
      <w:pPr>
        <w:pStyle w:val="TextPara"/>
      </w:pPr>
      <w:r>
        <w:t>The approach to developing the training and assessment components of the new M-GLS involved extensive collaboration and consultations.</w:t>
      </w:r>
      <w:r>
        <w:rPr>
          <w:rStyle w:val="EndnoteReference"/>
        </w:rPr>
        <w:endnoteReference w:id="223"/>
      </w:r>
      <w:r>
        <w:t xml:space="preserve"> Several advisory and steering committees were established to provide oversight to the project, including a core Project Advisory Group (VicRoads, academics and motorcyclists) and a Provider Advisory Group (representatives of current Victorian rider training providers). The committees met at core stages of the project and consultation meetings were also held with all providers.</w:t>
      </w:r>
      <w:r w:rsidRPr="00896454">
        <w:rPr>
          <w:rStyle w:val="EndnoteReference"/>
        </w:rPr>
        <w:t xml:space="preserve"> </w:t>
      </w:r>
      <w:r>
        <w:t>The research protocol was approved by the Human Research Ethics Committee at the University of New South Wales.</w:t>
      </w:r>
    </w:p>
    <w:p w14:paraId="0F5F9D49" w14:textId="77777777" w:rsidR="00122C1B" w:rsidRDefault="00122C1B" w:rsidP="007E6977">
      <w:pPr>
        <w:pStyle w:val="TextPara"/>
        <w:widowControl w:val="0"/>
      </w:pPr>
      <w:r>
        <w:t>The Goals for Driver Education or GADGET matrix,</w:t>
      </w:r>
      <w:r>
        <w:rPr>
          <w:rStyle w:val="EndnoteReference"/>
        </w:rPr>
        <w:endnoteReference w:id="224"/>
      </w:r>
      <w:r>
        <w:t xml:space="preserve"> considered a best-practice framework for novice rider education, was adapted to a Goals for Rider Education framework, with essential and desirable competencies identified at each level and activities developed to address these.</w:t>
      </w:r>
    </w:p>
    <w:p w14:paraId="6221A8A6" w14:textId="77777777" w:rsidR="00122C1B" w:rsidRDefault="00122C1B" w:rsidP="007E6977">
      <w:pPr>
        <w:pStyle w:val="TextPara"/>
        <w:spacing w:after="40"/>
      </w:pPr>
      <w:r>
        <w:t>Curriculum and assessment activities were developed around the top five novice crash types in Victoria identified from an analysis of Victorian crash data as follows:</w:t>
      </w:r>
    </w:p>
    <w:p w14:paraId="404FCBCF" w14:textId="77777777" w:rsidR="00122C1B" w:rsidRDefault="00122C1B" w:rsidP="007E6977">
      <w:pPr>
        <w:pStyle w:val="Bullet1-Black"/>
      </w:pPr>
      <w:r>
        <w:t>loss of control – straight</w:t>
      </w:r>
    </w:p>
    <w:p w14:paraId="504AA66E" w14:textId="77777777" w:rsidR="00122C1B" w:rsidRDefault="00122C1B" w:rsidP="007E6977">
      <w:pPr>
        <w:pStyle w:val="Bullet1-Black"/>
      </w:pPr>
      <w:r>
        <w:t>loss of control – curve</w:t>
      </w:r>
    </w:p>
    <w:p w14:paraId="5ADFA8D2" w14:textId="77777777" w:rsidR="00122C1B" w:rsidRDefault="00122C1B" w:rsidP="007E6977">
      <w:pPr>
        <w:pStyle w:val="Bullet1-Black"/>
      </w:pPr>
      <w:r>
        <w:t>intersection</w:t>
      </w:r>
    </w:p>
    <w:p w14:paraId="515C587B" w14:textId="77777777" w:rsidR="00122C1B" w:rsidRDefault="00122C1B" w:rsidP="007E6977">
      <w:pPr>
        <w:pStyle w:val="Bullet1-Black"/>
      </w:pPr>
      <w:r>
        <w:t>same direction</w:t>
      </w:r>
    </w:p>
    <w:p w14:paraId="5EBB3881" w14:textId="77777777" w:rsidR="00122C1B" w:rsidRDefault="00122C1B" w:rsidP="007E6977">
      <w:pPr>
        <w:pStyle w:val="Bullet1-Black"/>
      </w:pPr>
      <w:r>
        <w:t>head on.</w:t>
      </w:r>
    </w:p>
    <w:p w14:paraId="4F739430" w14:textId="77777777" w:rsidR="00122C1B" w:rsidRDefault="00122C1B" w:rsidP="007E6977">
      <w:pPr>
        <w:pStyle w:val="TextPara"/>
      </w:pPr>
      <w:r>
        <w:t xml:space="preserve">Manuals were developed for the two-day Learner Permit Course (pre-learner curriculum and assessments), Learner Check Ride program and Licence Test, including “train-the-trainer” materials and “instructor” materials to deliver the training. Piloting was conducted with novice rider participants, trainers and instructors. </w:t>
      </w:r>
      <w:r w:rsidR="000F5A36">
        <w:t>There are no results as to the effectiveness of the training.</w:t>
      </w:r>
    </w:p>
    <w:p w14:paraId="2008E1C9" w14:textId="77777777" w:rsidR="00122C1B" w:rsidRDefault="00122C1B" w:rsidP="006713F9">
      <w:pPr>
        <w:pStyle w:val="Heading3"/>
      </w:pPr>
      <w:bookmarkStart w:id="237" w:name="_Toc10703425"/>
      <w:r>
        <w:lastRenderedPageBreak/>
        <w:t>Effectiveness</w:t>
      </w:r>
      <w:bookmarkEnd w:id="237"/>
    </w:p>
    <w:p w14:paraId="0FCAA886" w14:textId="0E776E42" w:rsidR="00122C1B" w:rsidRDefault="002F483D" w:rsidP="007E6977">
      <w:pPr>
        <w:pStyle w:val="TextPara"/>
      </w:pPr>
      <w:r>
        <w:t>Given the recent intr</w:t>
      </w:r>
      <w:r w:rsidR="00BF6A68">
        <w:t xml:space="preserve">oduction of the enhanced M-GLS scheme, an evaluation of its effectiveness has not yet taken place but one will </w:t>
      </w:r>
      <w:r w:rsidR="00122C1B">
        <w:t>take place over the next few years</w:t>
      </w:r>
      <w:r w:rsidR="00122C1B" w:rsidRPr="001D1E0D">
        <w:t xml:space="preserve">. </w:t>
      </w:r>
      <w:r w:rsidR="00122C1B" w:rsidRPr="00EC0639">
        <w:t xml:space="preserve">Currently staged improvements to the program are under way with the assistance of M-GLS </w:t>
      </w:r>
      <w:r w:rsidR="00122C1B">
        <w:t xml:space="preserve">service </w:t>
      </w:r>
      <w:r w:rsidR="00122C1B" w:rsidRPr="00EC0639">
        <w:t xml:space="preserve">providers. This involves refinements to policy, administration and </w:t>
      </w:r>
      <w:r w:rsidR="00122C1B" w:rsidRPr="005C42F9">
        <w:t>governance</w:t>
      </w:r>
      <w:r w:rsidR="00122C1B" w:rsidRPr="00EC0639">
        <w:t xml:space="preserve"> of the M-GLS, with a review of some curriculum content. </w:t>
      </w:r>
      <w:r w:rsidR="00122C1B">
        <w:t>This will be</w:t>
      </w:r>
      <w:r w:rsidR="00122C1B" w:rsidRPr="001D1E0D">
        <w:t xml:space="preserve"> followed by a preliminary review in the next 2-3 years and a full review in </w:t>
      </w:r>
      <w:r w:rsidR="00122C1B">
        <w:t xml:space="preserve">about </w:t>
      </w:r>
      <w:r w:rsidR="00122C1B" w:rsidRPr="001D1E0D">
        <w:t xml:space="preserve">6 years to </w:t>
      </w:r>
      <w:r w:rsidR="00122C1B">
        <w:t xml:space="preserve">allow sufficient time for </w:t>
      </w:r>
      <w:r w:rsidR="00122C1B" w:rsidRPr="001D1E0D">
        <w:t xml:space="preserve">enough data </w:t>
      </w:r>
      <w:r w:rsidR="00122C1B">
        <w:t>to be</w:t>
      </w:r>
      <w:r w:rsidR="00122C1B" w:rsidRPr="001D1E0D">
        <w:t xml:space="preserve"> available</w:t>
      </w:r>
      <w:r w:rsidR="00122C1B">
        <w:t xml:space="preserve"> for analysis</w:t>
      </w:r>
      <w:r w:rsidR="00122C1B" w:rsidRPr="001D1E0D">
        <w:t>.</w:t>
      </w:r>
      <w:r w:rsidR="00181A00">
        <w:t xml:space="preserve"> The planned evaluation of the M-GLS will assess the safety benefits versus the costs of the scheme to the community, relative to the base case of no M-GLS.</w:t>
      </w:r>
    </w:p>
    <w:p w14:paraId="16CD95D9" w14:textId="5ECED30A" w:rsidR="00D065C5" w:rsidRDefault="00D065C5" w:rsidP="00D065C5">
      <w:pPr>
        <w:pStyle w:val="TextPara"/>
        <w:rPr>
          <w:lang w:eastAsia="en-AU"/>
        </w:rPr>
      </w:pPr>
      <w:r>
        <w:rPr>
          <w:lang w:eastAsia="en-AU"/>
        </w:rPr>
        <w:t>The safety benefits are likely to be considerable, as motorcycle riding carries the highest crash, fatality and injury risk of any motorised road vehicle, and research indicates that inexperience is a major contributor, with learner and novice riders comprising almost one-third of Victorian motorcycle fatalities and serious injuries.</w:t>
      </w:r>
    </w:p>
    <w:p w14:paraId="4160F23F" w14:textId="6A550A45" w:rsidR="00D21482" w:rsidRPr="00D21482" w:rsidRDefault="00B56E47">
      <w:pPr>
        <w:pStyle w:val="TextPara"/>
      </w:pPr>
      <w:r w:rsidRPr="002A5350">
        <w:t>The costs of the scheme to the community include the t</w:t>
      </w:r>
      <w:r w:rsidRPr="00AE19A6">
        <w:t xml:space="preserve">ime cost </w:t>
      </w:r>
      <w:r w:rsidRPr="00837476">
        <w:t>to</w:t>
      </w:r>
      <w:r w:rsidRPr="009E4BED">
        <w:t xml:space="preserve"> learners </w:t>
      </w:r>
      <w:r w:rsidRPr="006F2C3F">
        <w:t>of attending</w:t>
      </w:r>
      <w:r w:rsidRPr="00626898">
        <w:t xml:space="preserve"> the two-day learner permit course and learner permit assessment in Stage One and attending the half-day check ride coaching course and probationary licence assessment in Stage Two, as well as the costs of </w:t>
      </w:r>
      <w:r w:rsidRPr="003071A5">
        <w:t>conducting</w:t>
      </w:r>
      <w:r w:rsidRPr="0095453D">
        <w:t xml:space="preserve"> the courses and the learner permit</w:t>
      </w:r>
      <w:r w:rsidRPr="000C5740">
        <w:t>/</w:t>
      </w:r>
      <w:r w:rsidRPr="00FD1307">
        <w:t xml:space="preserve"> li</w:t>
      </w:r>
      <w:r w:rsidRPr="00154338">
        <w:t>c</w:t>
      </w:r>
      <w:r w:rsidRPr="004D5159">
        <w:t>ence assessments.</w:t>
      </w:r>
      <w:r w:rsidRPr="00930924">
        <w:t xml:space="preserve"> While not insignificant, these costs are likely to be much smaller than</w:t>
      </w:r>
      <w:r w:rsidR="00546B86">
        <w:t xml:space="preserve"> (and are outweighed by) </w:t>
      </w:r>
      <w:r w:rsidRPr="002A5350">
        <w:t>the value of lives saved and injuries averted.</w:t>
      </w:r>
      <w:r w:rsidR="00452C1C">
        <w:t xml:space="preserve"> As such. the Department believes the current M-GLS scheme is superior to no M-GLS scheme and should be continued</w:t>
      </w:r>
      <w:r w:rsidR="00C567E9">
        <w:t>.</w:t>
      </w:r>
    </w:p>
    <w:p w14:paraId="6CAFE19C" w14:textId="77777777" w:rsidR="00122C1B" w:rsidRDefault="00122C1B" w:rsidP="001A063E">
      <w:pPr>
        <w:pStyle w:val="Heading2"/>
      </w:pPr>
      <w:bookmarkStart w:id="238" w:name="_Toc10703426"/>
      <w:r>
        <w:t>GLS options</w:t>
      </w:r>
      <w:bookmarkEnd w:id="238"/>
    </w:p>
    <w:p w14:paraId="326F2212" w14:textId="77777777" w:rsidR="005535F0" w:rsidRDefault="00122C1B" w:rsidP="00007C04">
      <w:pPr>
        <w:pStyle w:val="TextPara"/>
        <w:rPr>
          <w:lang w:eastAsia="en-AU"/>
        </w:rPr>
      </w:pPr>
      <w:r>
        <w:rPr>
          <w:lang w:eastAsia="en-AU"/>
        </w:rPr>
        <w:t xml:space="preserve">This section will consider the options identified for the driver GLS. </w:t>
      </w:r>
    </w:p>
    <w:p w14:paraId="6C7AE4E1" w14:textId="77777777" w:rsidR="00122C1B" w:rsidRPr="00007C04" w:rsidRDefault="00122C1B" w:rsidP="00007C04">
      <w:pPr>
        <w:pStyle w:val="TextPara"/>
        <w:rPr>
          <w:lang w:eastAsia="en-AU"/>
        </w:rPr>
      </w:pPr>
      <w:r>
        <w:rPr>
          <w:lang w:eastAsia="en-AU"/>
        </w:rPr>
        <w:t xml:space="preserve">As the current motorcycle GLS was significantly enhanced in 2016 and there is a preliminary review planned in the next 2-3 years, it was not considered appropriate to consider alternative options at this stage. </w:t>
      </w:r>
      <w:r w:rsidR="00485FE2">
        <w:rPr>
          <w:lang w:eastAsia="en-AU"/>
        </w:rPr>
        <w:t xml:space="preserve">The preliminary review will investigate </w:t>
      </w:r>
      <w:r w:rsidR="005535F0">
        <w:rPr>
          <w:lang w:eastAsia="en-AU"/>
        </w:rPr>
        <w:t>the effectiveness of the current M-GLS to determine which feature</w:t>
      </w:r>
      <w:r w:rsidR="00295875">
        <w:rPr>
          <w:lang w:eastAsia="en-AU"/>
        </w:rPr>
        <w:t>s</w:t>
      </w:r>
      <w:r w:rsidR="005535F0">
        <w:rPr>
          <w:lang w:eastAsia="en-AU"/>
        </w:rPr>
        <w:t xml:space="preserve"> require further </w:t>
      </w:r>
      <w:r w:rsidR="00295875">
        <w:rPr>
          <w:lang w:eastAsia="en-AU"/>
        </w:rPr>
        <w:t xml:space="preserve">refinement and for these features </w:t>
      </w:r>
      <w:r w:rsidR="00485FE2">
        <w:rPr>
          <w:lang w:eastAsia="en-AU"/>
        </w:rPr>
        <w:t xml:space="preserve">different options </w:t>
      </w:r>
      <w:r w:rsidR="00295875">
        <w:rPr>
          <w:lang w:eastAsia="en-AU"/>
        </w:rPr>
        <w:t>will be considered</w:t>
      </w:r>
      <w:r w:rsidR="00485FE2">
        <w:rPr>
          <w:lang w:eastAsia="en-AU"/>
        </w:rPr>
        <w:t>.</w:t>
      </w:r>
    </w:p>
    <w:p w14:paraId="41AB6B7F" w14:textId="77777777" w:rsidR="00122C1B" w:rsidRDefault="00122C1B" w:rsidP="006713F9">
      <w:pPr>
        <w:pStyle w:val="Heading3"/>
      </w:pPr>
      <w:bookmarkStart w:id="239" w:name="_Toc534213293"/>
      <w:bookmarkStart w:id="240" w:name="_Toc534279811"/>
      <w:bookmarkStart w:id="241" w:name="_Toc534281223"/>
      <w:bookmarkStart w:id="242" w:name="_Toc534281728"/>
      <w:bookmarkStart w:id="243" w:name="_Toc534290100"/>
      <w:bookmarkStart w:id="244" w:name="_Toc534299587"/>
      <w:bookmarkStart w:id="245" w:name="_Toc534376274"/>
      <w:bookmarkStart w:id="246" w:name="_Toc534643940"/>
      <w:bookmarkStart w:id="247" w:name="_Toc534728933"/>
      <w:bookmarkStart w:id="248" w:name="_Toc534729443"/>
      <w:bookmarkStart w:id="249" w:name="_Toc535481709"/>
      <w:bookmarkStart w:id="250" w:name="_Toc10703427"/>
      <w:bookmarkEnd w:id="239"/>
      <w:bookmarkEnd w:id="240"/>
      <w:bookmarkEnd w:id="241"/>
      <w:bookmarkEnd w:id="242"/>
      <w:bookmarkEnd w:id="243"/>
      <w:bookmarkEnd w:id="244"/>
      <w:bookmarkEnd w:id="245"/>
      <w:bookmarkEnd w:id="246"/>
      <w:bookmarkEnd w:id="247"/>
      <w:bookmarkEnd w:id="248"/>
      <w:bookmarkEnd w:id="249"/>
      <w:r>
        <w:t>Options considered</w:t>
      </w:r>
      <w:bookmarkEnd w:id="250"/>
    </w:p>
    <w:p w14:paraId="6847C65E" w14:textId="25F59B10" w:rsidR="00122C1B" w:rsidRDefault="00122C1B" w:rsidP="00FF7E9F">
      <w:pPr>
        <w:pStyle w:val="TextPara"/>
        <w:spacing w:after="60"/>
      </w:pPr>
      <w:r>
        <w:t xml:space="preserve">Several road safety research studies supported by crash statistics have identified young and novice drivers as the most vulnerable driver group with the highest crash risk. The risk factors affecting this group are described in Section </w:t>
      </w:r>
      <w:r>
        <w:fldChar w:fldCharType="begin"/>
      </w:r>
      <w:r>
        <w:instrText xml:space="preserve"> REF _Ref515358205 \r \h </w:instrText>
      </w:r>
      <w:r>
        <w:fldChar w:fldCharType="separate"/>
      </w:r>
      <w:r w:rsidR="00EB4B02">
        <w:t>3.1.2</w:t>
      </w:r>
      <w:r>
        <w:fldChar w:fldCharType="end"/>
      </w:r>
      <w:r>
        <w:t xml:space="preserve"> above. As an effective tool to assist in tackling this problem, a GLS is designed primarily to address the inexperience of young and novice drivers and to reduce the high crash risk to which they are exposed, and secondarily, to mitigate deliberate risk-taking partially resulting from age-related factors.</w:t>
      </w:r>
      <w:r>
        <w:rPr>
          <w:rStyle w:val="EndnoteReference"/>
        </w:rPr>
        <w:endnoteReference w:id="225"/>
      </w:r>
      <w:r>
        <w:t xml:space="preserve"> The underlying principle is to allow new drivers to acquire experience under safer, lower-risk conditions. </w:t>
      </w:r>
    </w:p>
    <w:p w14:paraId="2491FF2F" w14:textId="77777777" w:rsidR="00122C1B" w:rsidRDefault="00122C1B" w:rsidP="00474A5B">
      <w:pPr>
        <w:pStyle w:val="TextPara"/>
        <w:keepNext/>
        <w:spacing w:after="60"/>
      </w:pPr>
      <w:r>
        <w:t>Effective graduated licensing systems</w:t>
      </w:r>
      <w:r>
        <w:rPr>
          <w:rStyle w:val="EndnoteReference"/>
        </w:rPr>
        <w:endnoteReference w:id="226"/>
      </w:r>
      <w:r>
        <w:t xml:space="preserve"> primarily work on four levels</w:t>
      </w:r>
      <w:r>
        <w:rPr>
          <w:rFonts w:ascii="Calibri" w:hAnsi="Calibri" w:cs="Calibri"/>
        </w:rPr>
        <w:t>─</w:t>
      </w:r>
    </w:p>
    <w:p w14:paraId="0FF76B4B" w14:textId="77777777" w:rsidR="00122C1B" w:rsidRDefault="00122C1B" w:rsidP="00FF7E9F">
      <w:pPr>
        <w:pStyle w:val="Bullet1-Black"/>
      </w:pPr>
      <w:r>
        <w:rPr>
          <w:i/>
        </w:rPr>
        <w:t>extend</w:t>
      </w:r>
      <w:r w:rsidR="00A62F56">
        <w:rPr>
          <w:i/>
        </w:rPr>
        <w:t>ing</w:t>
      </w:r>
      <w:r w:rsidRPr="007F373D">
        <w:rPr>
          <w:i/>
        </w:rPr>
        <w:t xml:space="preserve"> the learning period</w:t>
      </w:r>
      <w:r w:rsidRPr="00BE0624">
        <w:t xml:space="preserve"> </w:t>
      </w:r>
      <w:r>
        <w:t>to maximise the driving experience and maturity of the driver before a full licence is issued</w:t>
      </w:r>
    </w:p>
    <w:p w14:paraId="21DBDF16" w14:textId="77777777" w:rsidR="00122C1B" w:rsidRDefault="00122C1B" w:rsidP="00FF7E9F">
      <w:pPr>
        <w:pStyle w:val="Bullet1-Black"/>
      </w:pPr>
      <w:r w:rsidRPr="007F373D">
        <w:rPr>
          <w:i/>
        </w:rPr>
        <w:t>reduc</w:t>
      </w:r>
      <w:r w:rsidR="00A62F56">
        <w:rPr>
          <w:i/>
        </w:rPr>
        <w:t>ing</w:t>
      </w:r>
      <w:r w:rsidRPr="007F373D">
        <w:rPr>
          <w:i/>
        </w:rPr>
        <w:t xml:space="preserve"> exposure to risk</w:t>
      </w:r>
      <w:r>
        <w:t xml:space="preserve"> by requiring novices to accumulate important experience in lower-risk situations</w:t>
      </w:r>
    </w:p>
    <w:p w14:paraId="0B0A035F" w14:textId="77777777" w:rsidR="00122C1B" w:rsidRDefault="00122C1B" w:rsidP="00FF7E9F">
      <w:pPr>
        <w:pStyle w:val="Bullet1-Black"/>
      </w:pPr>
      <w:r w:rsidRPr="007F373D">
        <w:rPr>
          <w:i/>
        </w:rPr>
        <w:t>improv</w:t>
      </w:r>
      <w:r w:rsidR="00A62F56">
        <w:rPr>
          <w:i/>
        </w:rPr>
        <w:t>ing</w:t>
      </w:r>
      <w:r w:rsidRPr="007F373D">
        <w:rPr>
          <w:i/>
        </w:rPr>
        <w:t xml:space="preserve"> driver proficiency</w:t>
      </w:r>
      <w:r>
        <w:t xml:space="preserve"> by encouraging practice and by having multi-level testing, requiring well-developed basic skills before moving on to more advanced skills, and by delaying retesting after failures</w:t>
      </w:r>
    </w:p>
    <w:p w14:paraId="1A3005B7" w14:textId="77777777" w:rsidR="00122C1B" w:rsidRDefault="00122C1B" w:rsidP="00FF7E9F">
      <w:pPr>
        <w:pStyle w:val="Bullet1-Black"/>
      </w:pPr>
      <w:r w:rsidRPr="007F373D">
        <w:rPr>
          <w:i/>
        </w:rPr>
        <w:t>provid</w:t>
      </w:r>
      <w:r w:rsidR="00A62F56">
        <w:rPr>
          <w:i/>
        </w:rPr>
        <w:t>ing</w:t>
      </w:r>
      <w:r w:rsidRPr="007F373D">
        <w:rPr>
          <w:i/>
        </w:rPr>
        <w:t xml:space="preserve"> greater motivation for safe driving</w:t>
      </w:r>
      <w:r>
        <w:t xml:space="preserve"> by rewarding good driving (progressively lifting restrictions) and imposing penalties for violations.</w:t>
      </w:r>
    </w:p>
    <w:p w14:paraId="442276A4" w14:textId="7A74DB74" w:rsidR="00BB1054" w:rsidRDefault="00122C1B" w:rsidP="00BB1054">
      <w:pPr>
        <w:pStyle w:val="TextPara"/>
      </w:pPr>
      <w:r>
        <w:t xml:space="preserve">In determining the options for the key components of the GLS, </w:t>
      </w:r>
      <w:r w:rsidR="000C33B0">
        <w:t>DoT</w:t>
      </w:r>
      <w:r w:rsidRPr="00306479">
        <w:t xml:space="preserve"> considered </w:t>
      </w:r>
      <w:r>
        <w:t xml:space="preserve">the components identified in the three-stage national GLS </w:t>
      </w:r>
      <w:r w:rsidR="004A4110">
        <w:t>framework</w:t>
      </w:r>
      <w:r>
        <w:t xml:space="preserve">, as shown in </w:t>
      </w:r>
      <w:r w:rsidR="003109CD">
        <w:fldChar w:fldCharType="begin"/>
      </w:r>
      <w:r w:rsidR="003109CD">
        <w:instrText xml:space="preserve"> REF _Ref7827436 \h </w:instrText>
      </w:r>
      <w:r w:rsidR="003109CD">
        <w:fldChar w:fldCharType="separate"/>
      </w:r>
      <w:r w:rsidR="00EB4B02">
        <w:t xml:space="preserve">Table </w:t>
      </w:r>
      <w:r w:rsidR="00EB4B02">
        <w:rPr>
          <w:noProof/>
        </w:rPr>
        <w:t>20</w:t>
      </w:r>
      <w:r w:rsidR="003109CD">
        <w:fldChar w:fldCharType="end"/>
      </w:r>
      <w:r w:rsidR="00BB1054">
        <w:t>.</w:t>
      </w:r>
    </w:p>
    <w:p w14:paraId="2FC8CA61" w14:textId="1CC67A2A" w:rsidR="00122C1B" w:rsidRDefault="00122C1B" w:rsidP="00395762">
      <w:pPr>
        <w:pStyle w:val="TextPara"/>
      </w:pPr>
      <w:r w:rsidRPr="00306479">
        <w:lastRenderedPageBreak/>
        <w:t xml:space="preserve">The national </w:t>
      </w:r>
      <w:r w:rsidRPr="00A51F7A">
        <w:t>GLS</w:t>
      </w:r>
      <w:r w:rsidRPr="00306479">
        <w:rPr>
          <w:b/>
        </w:rPr>
        <w:t xml:space="preserve"> </w:t>
      </w:r>
      <w:r>
        <w:t>model represents a</w:t>
      </w:r>
      <w:r w:rsidR="00D1272F">
        <w:t xml:space="preserve"> ‘</w:t>
      </w:r>
      <w:r w:rsidRPr="007F5168">
        <w:t>best practice</w:t>
      </w:r>
      <w:r w:rsidR="00D1272F">
        <w:t>’</w:t>
      </w:r>
      <w:r w:rsidRPr="007F5168">
        <w:t xml:space="preserve"> </w:t>
      </w:r>
      <w:r>
        <w:t xml:space="preserve">approach </w:t>
      </w:r>
      <w:r w:rsidRPr="007F5168">
        <w:t xml:space="preserve">for </w:t>
      </w:r>
      <w:r w:rsidR="00692B8C">
        <w:t xml:space="preserve">Australian </w:t>
      </w:r>
      <w:r w:rsidRPr="007F5168">
        <w:t xml:space="preserve">jurisdictions to </w:t>
      </w:r>
      <w:r>
        <w:t xml:space="preserve">follow in </w:t>
      </w:r>
      <w:r w:rsidRPr="007F5168">
        <w:t>implement</w:t>
      </w:r>
      <w:r>
        <w:t>ing</w:t>
      </w:r>
      <w:r w:rsidRPr="007F5168">
        <w:t xml:space="preserve"> </w:t>
      </w:r>
      <w:r>
        <w:t>an</w:t>
      </w:r>
      <w:r w:rsidRPr="007F5168">
        <w:t xml:space="preserve"> effective GLS</w:t>
      </w:r>
      <w:r>
        <w:t>. It is</w:t>
      </w:r>
      <w:r w:rsidRPr="00306479">
        <w:t xml:space="preserve"> intended to assist jurisdiction</w:t>
      </w:r>
      <w:r>
        <w:t>s</w:t>
      </w:r>
      <w:r w:rsidRPr="00306479">
        <w:t xml:space="preserve"> in their effort to continuously improve their novice driver licensing systems </w:t>
      </w:r>
      <w:r>
        <w:t xml:space="preserve">and advance from </w:t>
      </w:r>
      <w:r w:rsidRPr="00A51F7A">
        <w:t xml:space="preserve">Standard </w:t>
      </w:r>
      <w:r>
        <w:t xml:space="preserve">to </w:t>
      </w:r>
      <w:r w:rsidRPr="00A51F7A">
        <w:t xml:space="preserve">Enhanced </w:t>
      </w:r>
      <w:r>
        <w:t>to</w:t>
      </w:r>
      <w:r w:rsidRPr="00A51F7A">
        <w:t xml:space="preserve"> </w:t>
      </w:r>
      <w:r w:rsidRPr="00306479">
        <w:t xml:space="preserve">the </w:t>
      </w:r>
      <w:r>
        <w:t xml:space="preserve">best practice Exemplar stage </w:t>
      </w:r>
      <w:r w:rsidRPr="00306479">
        <w:t>over time.</w:t>
      </w:r>
      <w:r w:rsidRPr="00492CF1">
        <w:rPr>
          <w:rStyle w:val="EndnoteReference"/>
        </w:rPr>
        <w:t xml:space="preserve"> </w:t>
      </w:r>
      <w:r>
        <w:rPr>
          <w:rStyle w:val="EndnoteReference"/>
        </w:rPr>
        <w:endnoteReference w:id="227"/>
      </w:r>
    </w:p>
    <w:p w14:paraId="4508B318" w14:textId="77777777" w:rsidR="001A53D8" w:rsidRDefault="001A53D8" w:rsidP="001A53D8">
      <w:pPr>
        <w:pStyle w:val="TextPara"/>
      </w:pPr>
      <w:bookmarkStart w:id="251" w:name="_Ref532823824"/>
    </w:p>
    <w:p w14:paraId="79CB80F9" w14:textId="0ADF428B" w:rsidR="00122C1B" w:rsidRDefault="00122C1B" w:rsidP="002F32EF">
      <w:pPr>
        <w:pStyle w:val="Caption"/>
      </w:pPr>
      <w:bookmarkStart w:id="252" w:name="_Ref7827436"/>
      <w:bookmarkStart w:id="253" w:name="_Toc10703713"/>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20</w:t>
      </w:r>
      <w:r w:rsidR="00BC6B2E">
        <w:rPr>
          <w:noProof/>
        </w:rPr>
        <w:fldChar w:fldCharType="end"/>
      </w:r>
      <w:bookmarkEnd w:id="251"/>
      <w:bookmarkEnd w:id="252"/>
      <w:r>
        <w:t xml:space="preserve"> – </w:t>
      </w:r>
      <w:r w:rsidR="004A4110" w:rsidRPr="004A4110">
        <w:t>Three-stage national GLS framework</w:t>
      </w:r>
      <w:bookmarkEnd w:id="253"/>
    </w:p>
    <w:tbl>
      <w:tblPr>
        <w:tblStyle w:val="RIS-Table2"/>
        <w:tblW w:w="9493" w:type="dxa"/>
        <w:tblLook w:val="04A0" w:firstRow="1" w:lastRow="0" w:firstColumn="1" w:lastColumn="0" w:noHBand="0" w:noVBand="1"/>
      </w:tblPr>
      <w:tblGrid>
        <w:gridCol w:w="3964"/>
        <w:gridCol w:w="1701"/>
        <w:gridCol w:w="1985"/>
        <w:gridCol w:w="1843"/>
      </w:tblGrid>
      <w:tr w:rsidR="00122C1B" w:rsidRPr="003A681B" w14:paraId="59813756" w14:textId="77777777" w:rsidTr="00F4115C">
        <w:trPr>
          <w:cnfStyle w:val="100000000000" w:firstRow="1" w:lastRow="0" w:firstColumn="0" w:lastColumn="0" w:oddVBand="0" w:evenVBand="0" w:oddHBand="0" w:evenHBand="0" w:firstRowFirstColumn="0" w:firstRowLastColumn="0" w:lastRowFirstColumn="0" w:lastRowLastColumn="0"/>
        </w:trPr>
        <w:tc>
          <w:tcPr>
            <w:tcW w:w="3964" w:type="dxa"/>
            <w:vMerge w:val="restart"/>
          </w:tcPr>
          <w:p w14:paraId="0F1FC7D2" w14:textId="77777777" w:rsidR="00122C1B" w:rsidRPr="003A681B" w:rsidRDefault="00122C1B" w:rsidP="00E03D51">
            <w:pPr>
              <w:pStyle w:val="TableHeaders"/>
              <w:rPr>
                <w:sz w:val="17"/>
                <w:szCs w:val="17"/>
              </w:rPr>
            </w:pPr>
            <w:r>
              <w:rPr>
                <w:sz w:val="17"/>
                <w:szCs w:val="17"/>
              </w:rPr>
              <w:t>Components</w:t>
            </w:r>
          </w:p>
        </w:tc>
        <w:tc>
          <w:tcPr>
            <w:tcW w:w="5529" w:type="dxa"/>
            <w:gridSpan w:val="3"/>
          </w:tcPr>
          <w:p w14:paraId="51418467" w14:textId="77777777" w:rsidR="00122C1B" w:rsidRPr="002F32EF" w:rsidRDefault="00122C1B" w:rsidP="00E03D51">
            <w:pPr>
              <w:pStyle w:val="TableHeaders"/>
              <w:rPr>
                <w:sz w:val="17"/>
                <w:szCs w:val="17"/>
              </w:rPr>
            </w:pPr>
            <w:r>
              <w:rPr>
                <w:sz w:val="17"/>
                <w:szCs w:val="17"/>
              </w:rPr>
              <w:t>Stage</w:t>
            </w:r>
          </w:p>
        </w:tc>
      </w:tr>
      <w:tr w:rsidR="00122C1B" w:rsidRPr="003A681B" w14:paraId="304E5D5F" w14:textId="77777777" w:rsidTr="00F4115C">
        <w:tc>
          <w:tcPr>
            <w:tcW w:w="3964" w:type="dxa"/>
            <w:vMerge/>
          </w:tcPr>
          <w:p w14:paraId="4D34C8DD" w14:textId="77777777" w:rsidR="00122C1B" w:rsidRPr="003A681B" w:rsidRDefault="00122C1B" w:rsidP="00E03D51">
            <w:pPr>
              <w:pStyle w:val="TableHeaders"/>
              <w:rPr>
                <w:sz w:val="17"/>
                <w:szCs w:val="17"/>
              </w:rPr>
            </w:pPr>
          </w:p>
        </w:tc>
        <w:tc>
          <w:tcPr>
            <w:tcW w:w="1701" w:type="dxa"/>
            <w:shd w:val="clear" w:color="auto" w:fill="0A1F3F"/>
          </w:tcPr>
          <w:p w14:paraId="7D0AB254" w14:textId="77777777" w:rsidR="00122C1B" w:rsidRPr="002F32EF" w:rsidRDefault="00122C1B" w:rsidP="00E03D51">
            <w:pPr>
              <w:pStyle w:val="TableHeaders"/>
              <w:rPr>
                <w:b/>
                <w:sz w:val="17"/>
                <w:szCs w:val="17"/>
              </w:rPr>
            </w:pPr>
            <w:r>
              <w:rPr>
                <w:noProof/>
                <w:lang w:eastAsia="en-GB"/>
              </w:rPr>
              <mc:AlternateContent>
                <mc:Choice Requires="wps">
                  <w:drawing>
                    <wp:anchor distT="0" distB="0" distL="114300" distR="114300" simplePos="0" relativeHeight="251673088" behindDoc="0" locked="0" layoutInCell="1" allowOverlap="1" wp14:anchorId="1C2FDB7F" wp14:editId="73045B3E">
                      <wp:simplePos x="0" y="0"/>
                      <wp:positionH relativeFrom="column">
                        <wp:posOffset>898525</wp:posOffset>
                      </wp:positionH>
                      <wp:positionV relativeFrom="paragraph">
                        <wp:posOffset>54280</wp:posOffset>
                      </wp:positionV>
                      <wp:extent cx="260985" cy="97790"/>
                      <wp:effectExtent l="0" t="19050" r="43815" b="35560"/>
                      <wp:wrapNone/>
                      <wp:docPr id="67" name="Arrow: Right 67"/>
                      <wp:cNvGraphicFramePr/>
                      <a:graphic xmlns:a="http://schemas.openxmlformats.org/drawingml/2006/main">
                        <a:graphicData uri="http://schemas.microsoft.com/office/word/2010/wordprocessingShape">
                          <wps:wsp>
                            <wps:cNvSpPr/>
                            <wps:spPr>
                              <a:xfrm>
                                <a:off x="0" y="0"/>
                                <a:ext cx="260985" cy="97790"/>
                              </a:xfrm>
                              <a:prstGeom prst="rightArrow">
                                <a:avLst>
                                  <a:gd name="adj1" fmla="val 50000"/>
                                  <a:gd name="adj2" fmla="val 87821"/>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F2A6" id="Arrow: Right 67" o:spid="_x0000_s1026" type="#_x0000_t13" style="position:absolute;margin-left:70.75pt;margin-top:4.25pt;width:20.55pt;height: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" adj="14492" fillcolor="white [3212]" strokecolor="white [3212]" strokeweight=".5pt"/>
                  </w:pict>
                </mc:Fallback>
              </mc:AlternateContent>
            </w:r>
            <w:r>
              <w:rPr>
                <w:b/>
                <w:noProof/>
                <w:sz w:val="17"/>
                <w:szCs w:val="17"/>
                <w:lang w:eastAsia="en-GB"/>
              </w:rPr>
              <mc:AlternateContent>
                <mc:Choice Requires="wps">
                  <w:drawing>
                    <wp:anchor distT="0" distB="0" distL="114300" distR="114300" simplePos="0" relativeHeight="251664896" behindDoc="0" locked="0" layoutInCell="1" allowOverlap="1" wp14:anchorId="092D5E00" wp14:editId="2C7BDEDF">
                      <wp:simplePos x="0" y="0"/>
                      <wp:positionH relativeFrom="column">
                        <wp:posOffset>867410</wp:posOffset>
                      </wp:positionH>
                      <wp:positionV relativeFrom="paragraph">
                        <wp:posOffset>-5671820</wp:posOffset>
                      </wp:positionV>
                      <wp:extent cx="279400" cy="57150"/>
                      <wp:effectExtent l="0" t="19050" r="44450" b="38100"/>
                      <wp:wrapNone/>
                      <wp:docPr id="65" name="Arrow: Right 65"/>
                      <wp:cNvGraphicFramePr/>
                      <a:graphic xmlns:a="http://schemas.openxmlformats.org/drawingml/2006/main">
                        <a:graphicData uri="http://schemas.microsoft.com/office/word/2010/wordprocessingShape">
                          <wps:wsp>
                            <wps:cNvSpPr/>
                            <wps:spPr>
                              <a:xfrm>
                                <a:off x="0" y="0"/>
                                <a:ext cx="2794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8260F" id="Arrow: Right 65" o:spid="_x0000_s1026" type="#_x0000_t13" style="position:absolute;margin-left:68.3pt;margin-top:-446.6pt;width:22pt;height: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" adj="19391" fillcolor="#39b54a [3204]" strokecolor="#1c5924 [1604]" strokeweight="2pt"/>
                  </w:pict>
                </mc:Fallback>
              </mc:AlternateContent>
            </w:r>
            <w:r w:rsidRPr="002F32EF">
              <w:rPr>
                <w:b/>
                <w:sz w:val="17"/>
                <w:szCs w:val="17"/>
              </w:rPr>
              <w:t xml:space="preserve">Standard </w:t>
            </w:r>
          </w:p>
        </w:tc>
        <w:tc>
          <w:tcPr>
            <w:tcW w:w="1985" w:type="dxa"/>
            <w:shd w:val="clear" w:color="auto" w:fill="0A1F3F"/>
          </w:tcPr>
          <w:p w14:paraId="1E683DDF" w14:textId="77777777" w:rsidR="00122C1B" w:rsidRPr="002F32EF" w:rsidRDefault="00122C1B" w:rsidP="00E03D51">
            <w:pPr>
              <w:pStyle w:val="TableHeaders"/>
              <w:rPr>
                <w:b/>
                <w:sz w:val="17"/>
                <w:szCs w:val="17"/>
              </w:rPr>
            </w:pPr>
            <w:r>
              <w:rPr>
                <w:noProof/>
                <w:lang w:eastAsia="en-GB"/>
              </w:rPr>
              <mc:AlternateContent>
                <mc:Choice Requires="wps">
                  <w:drawing>
                    <wp:anchor distT="0" distB="0" distL="114300" distR="114300" simplePos="0" relativeHeight="251681280" behindDoc="0" locked="0" layoutInCell="1" allowOverlap="1" wp14:anchorId="2721E5AF" wp14:editId="5A7527CA">
                      <wp:simplePos x="0" y="0"/>
                      <wp:positionH relativeFrom="column">
                        <wp:posOffset>1060450</wp:posOffset>
                      </wp:positionH>
                      <wp:positionV relativeFrom="paragraph">
                        <wp:posOffset>61265</wp:posOffset>
                      </wp:positionV>
                      <wp:extent cx="260985" cy="97790"/>
                      <wp:effectExtent l="0" t="19050" r="43815" b="35560"/>
                      <wp:wrapNone/>
                      <wp:docPr id="68" name="Arrow: Right 68"/>
                      <wp:cNvGraphicFramePr/>
                      <a:graphic xmlns:a="http://schemas.openxmlformats.org/drawingml/2006/main">
                        <a:graphicData uri="http://schemas.microsoft.com/office/word/2010/wordprocessingShape">
                          <wps:wsp>
                            <wps:cNvSpPr/>
                            <wps:spPr>
                              <a:xfrm>
                                <a:off x="0" y="0"/>
                                <a:ext cx="260985" cy="97790"/>
                              </a:xfrm>
                              <a:prstGeom prst="rightArrow">
                                <a:avLst>
                                  <a:gd name="adj1" fmla="val 50000"/>
                                  <a:gd name="adj2" fmla="val 87821"/>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A0EA" id="Arrow: Right 68" o:spid="_x0000_s1026" type="#_x0000_t13" style="position:absolute;margin-left:83.5pt;margin-top:4.8pt;width:20.55pt;height:7.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" adj="14492" fillcolor="white [3212]" strokecolor="white [3212]" strokeweight=".5pt"/>
                  </w:pict>
                </mc:Fallback>
              </mc:AlternateContent>
            </w:r>
            <w:r w:rsidRPr="002F32EF">
              <w:rPr>
                <w:b/>
                <w:sz w:val="17"/>
                <w:szCs w:val="17"/>
              </w:rPr>
              <w:t xml:space="preserve">Enhanced </w:t>
            </w:r>
          </w:p>
        </w:tc>
        <w:tc>
          <w:tcPr>
            <w:tcW w:w="0" w:type="dxa"/>
            <w:shd w:val="clear" w:color="auto" w:fill="0A1F3F"/>
          </w:tcPr>
          <w:p w14:paraId="201A6982" w14:textId="77777777" w:rsidR="00122C1B" w:rsidRPr="002F32EF" w:rsidRDefault="00122C1B" w:rsidP="00E03D51">
            <w:pPr>
              <w:pStyle w:val="TableHeaders"/>
              <w:rPr>
                <w:b/>
                <w:sz w:val="17"/>
                <w:szCs w:val="17"/>
              </w:rPr>
            </w:pPr>
            <w:r w:rsidRPr="002F32EF">
              <w:rPr>
                <w:b/>
                <w:sz w:val="17"/>
                <w:szCs w:val="17"/>
              </w:rPr>
              <w:t xml:space="preserve">Exemplar </w:t>
            </w:r>
          </w:p>
        </w:tc>
      </w:tr>
      <w:tr w:rsidR="00122C1B" w:rsidRPr="003A681B" w14:paraId="2F375994" w14:textId="77777777" w:rsidTr="00402664">
        <w:trPr>
          <w:cnfStyle w:val="000000010000" w:firstRow="0" w:lastRow="0" w:firstColumn="0" w:lastColumn="0" w:oddVBand="0" w:evenVBand="0" w:oddHBand="0" w:evenHBand="1" w:firstRowFirstColumn="0" w:firstRowLastColumn="0" w:lastRowFirstColumn="0" w:lastRowLastColumn="0"/>
        </w:trPr>
        <w:tc>
          <w:tcPr>
            <w:tcW w:w="3964" w:type="dxa"/>
            <w:shd w:val="clear" w:color="auto" w:fill="auto"/>
          </w:tcPr>
          <w:p w14:paraId="4960C161" w14:textId="77777777" w:rsidR="00122C1B" w:rsidRPr="003A681B" w:rsidRDefault="00122C1B" w:rsidP="00EB4B02">
            <w:pPr>
              <w:pStyle w:val="TableNum"/>
              <w:numPr>
                <w:ilvl w:val="0"/>
                <w:numId w:val="27"/>
              </w:numPr>
              <w:ind w:left="311"/>
            </w:pPr>
            <w:r w:rsidRPr="003A681B">
              <w:t>Minimum age for learner permit</w:t>
            </w:r>
          </w:p>
        </w:tc>
        <w:tc>
          <w:tcPr>
            <w:tcW w:w="1701" w:type="dxa"/>
            <w:shd w:val="clear" w:color="auto" w:fill="auto"/>
          </w:tcPr>
          <w:p w14:paraId="1FE7851A" w14:textId="77777777" w:rsidR="00122C1B" w:rsidRPr="003A681B" w:rsidRDefault="00122C1B" w:rsidP="00E03D51">
            <w:pPr>
              <w:pStyle w:val="TableParagraph"/>
              <w:rPr>
                <w:sz w:val="17"/>
                <w:szCs w:val="17"/>
              </w:rPr>
            </w:pPr>
            <w:r w:rsidRPr="003A681B">
              <w:rPr>
                <w:sz w:val="17"/>
                <w:szCs w:val="17"/>
              </w:rPr>
              <w:t>16 years</w:t>
            </w:r>
          </w:p>
        </w:tc>
        <w:tc>
          <w:tcPr>
            <w:tcW w:w="1985" w:type="dxa"/>
            <w:shd w:val="clear" w:color="auto" w:fill="auto"/>
          </w:tcPr>
          <w:p w14:paraId="0FE9E847" w14:textId="77777777" w:rsidR="00122C1B" w:rsidRPr="003A681B" w:rsidRDefault="00122C1B" w:rsidP="00E03D51">
            <w:pPr>
              <w:pStyle w:val="TableParagraph"/>
              <w:rPr>
                <w:sz w:val="17"/>
                <w:szCs w:val="17"/>
              </w:rPr>
            </w:pPr>
            <w:r w:rsidRPr="003A681B">
              <w:rPr>
                <w:sz w:val="17"/>
                <w:szCs w:val="17"/>
              </w:rPr>
              <w:t>16 years</w:t>
            </w:r>
          </w:p>
        </w:tc>
        <w:tc>
          <w:tcPr>
            <w:tcW w:w="0" w:type="dxa"/>
            <w:shd w:val="clear" w:color="auto" w:fill="auto"/>
          </w:tcPr>
          <w:p w14:paraId="1B809741" w14:textId="77777777" w:rsidR="00122C1B" w:rsidRPr="003A681B" w:rsidRDefault="00122C1B" w:rsidP="00E03D51">
            <w:pPr>
              <w:pStyle w:val="TableParagraph"/>
              <w:rPr>
                <w:sz w:val="17"/>
                <w:szCs w:val="17"/>
              </w:rPr>
            </w:pPr>
            <w:r w:rsidRPr="003A681B">
              <w:rPr>
                <w:sz w:val="17"/>
                <w:szCs w:val="17"/>
              </w:rPr>
              <w:t>16 years</w:t>
            </w:r>
          </w:p>
        </w:tc>
      </w:tr>
      <w:tr w:rsidR="00122C1B" w:rsidRPr="003A681B" w14:paraId="14409F39" w14:textId="77777777" w:rsidTr="00402664">
        <w:tc>
          <w:tcPr>
            <w:tcW w:w="3964" w:type="dxa"/>
            <w:shd w:val="clear" w:color="auto" w:fill="auto"/>
          </w:tcPr>
          <w:p w14:paraId="797448BF" w14:textId="77777777" w:rsidR="00122C1B" w:rsidRPr="003A681B" w:rsidRDefault="00122C1B" w:rsidP="002F32EF">
            <w:pPr>
              <w:pStyle w:val="TableNum"/>
              <w:ind w:left="308" w:hanging="349"/>
            </w:pPr>
            <w:r w:rsidRPr="003A681B">
              <w:t>Minimum period that a learner permit must be held before the on-road test for probationary licence can be taken</w:t>
            </w:r>
          </w:p>
        </w:tc>
        <w:tc>
          <w:tcPr>
            <w:tcW w:w="1701" w:type="dxa"/>
            <w:shd w:val="clear" w:color="auto" w:fill="auto"/>
          </w:tcPr>
          <w:p w14:paraId="7D17BA40" w14:textId="77777777" w:rsidR="00122C1B" w:rsidRPr="003A681B" w:rsidRDefault="00122C1B" w:rsidP="00E03D51">
            <w:pPr>
              <w:pStyle w:val="TableParagraph"/>
              <w:rPr>
                <w:sz w:val="17"/>
                <w:szCs w:val="17"/>
              </w:rPr>
            </w:pPr>
            <w:r w:rsidRPr="003A681B">
              <w:rPr>
                <w:sz w:val="17"/>
                <w:szCs w:val="17"/>
              </w:rPr>
              <w:t xml:space="preserve">12 months </w:t>
            </w:r>
          </w:p>
        </w:tc>
        <w:tc>
          <w:tcPr>
            <w:tcW w:w="1985" w:type="dxa"/>
            <w:shd w:val="clear" w:color="auto" w:fill="auto"/>
          </w:tcPr>
          <w:p w14:paraId="125114A0" w14:textId="77777777" w:rsidR="00122C1B" w:rsidRPr="003A681B" w:rsidRDefault="00122C1B" w:rsidP="00E03D51">
            <w:pPr>
              <w:pStyle w:val="TableParagraph"/>
              <w:rPr>
                <w:sz w:val="17"/>
                <w:szCs w:val="17"/>
              </w:rPr>
            </w:pPr>
            <w:r w:rsidRPr="003A681B">
              <w:rPr>
                <w:sz w:val="17"/>
                <w:szCs w:val="17"/>
              </w:rPr>
              <w:t xml:space="preserve">12 months </w:t>
            </w:r>
          </w:p>
        </w:tc>
        <w:tc>
          <w:tcPr>
            <w:tcW w:w="0" w:type="dxa"/>
            <w:shd w:val="clear" w:color="auto" w:fill="auto"/>
          </w:tcPr>
          <w:p w14:paraId="4B90FCD7" w14:textId="77777777" w:rsidR="00122C1B" w:rsidRPr="003A681B" w:rsidRDefault="00122C1B" w:rsidP="00E03D51">
            <w:pPr>
              <w:pStyle w:val="TableParagraph"/>
              <w:rPr>
                <w:sz w:val="17"/>
                <w:szCs w:val="17"/>
              </w:rPr>
            </w:pPr>
            <w:r w:rsidRPr="003A681B">
              <w:rPr>
                <w:sz w:val="17"/>
                <w:szCs w:val="17"/>
              </w:rPr>
              <w:t xml:space="preserve">12 months </w:t>
            </w:r>
          </w:p>
        </w:tc>
      </w:tr>
      <w:tr w:rsidR="00122C1B" w:rsidRPr="003A681B" w14:paraId="2C725774" w14:textId="77777777" w:rsidTr="00402664">
        <w:trPr>
          <w:cnfStyle w:val="000000010000" w:firstRow="0" w:lastRow="0" w:firstColumn="0" w:lastColumn="0" w:oddVBand="0" w:evenVBand="0" w:oddHBand="0" w:evenHBand="1" w:firstRowFirstColumn="0" w:firstRowLastColumn="0" w:lastRowFirstColumn="0" w:lastRowLastColumn="0"/>
        </w:trPr>
        <w:tc>
          <w:tcPr>
            <w:tcW w:w="3964" w:type="dxa"/>
            <w:shd w:val="clear" w:color="auto" w:fill="auto"/>
          </w:tcPr>
          <w:p w14:paraId="0E28FC64" w14:textId="77777777" w:rsidR="00122C1B" w:rsidRPr="003A681B" w:rsidRDefault="00122C1B" w:rsidP="002F32EF">
            <w:pPr>
              <w:pStyle w:val="TableNum"/>
              <w:ind w:left="308" w:hanging="349"/>
            </w:pPr>
            <w:r w:rsidRPr="003A681B">
              <w:t xml:space="preserve">A Hazard Perception Test and an on-road </w:t>
            </w:r>
            <w:r>
              <w:t xml:space="preserve">drive </w:t>
            </w:r>
            <w:r w:rsidRPr="003A681B">
              <w:t xml:space="preserve">test are required for the issuing of a </w:t>
            </w:r>
            <w:r>
              <w:t>probationary</w:t>
            </w:r>
            <w:r w:rsidRPr="003A681B">
              <w:t xml:space="preserve"> licence</w:t>
            </w:r>
          </w:p>
        </w:tc>
        <w:tc>
          <w:tcPr>
            <w:tcW w:w="1701" w:type="dxa"/>
            <w:shd w:val="clear" w:color="auto" w:fill="auto"/>
          </w:tcPr>
          <w:p w14:paraId="55674206" w14:textId="77777777" w:rsidR="00122C1B" w:rsidRPr="003A681B" w:rsidRDefault="00122C1B" w:rsidP="00E03D51">
            <w:pPr>
              <w:pStyle w:val="TableParagraph"/>
              <w:rPr>
                <w:sz w:val="17"/>
                <w:szCs w:val="17"/>
              </w:rPr>
            </w:pPr>
            <w:r w:rsidRPr="003A681B">
              <w:rPr>
                <w:sz w:val="17"/>
                <w:szCs w:val="17"/>
              </w:rPr>
              <w:t>Yes</w:t>
            </w:r>
          </w:p>
        </w:tc>
        <w:tc>
          <w:tcPr>
            <w:tcW w:w="1985" w:type="dxa"/>
            <w:shd w:val="clear" w:color="auto" w:fill="auto"/>
          </w:tcPr>
          <w:p w14:paraId="755CB4C5" w14:textId="77777777" w:rsidR="00122C1B" w:rsidRPr="003A681B" w:rsidRDefault="00122C1B" w:rsidP="00E03D51">
            <w:pPr>
              <w:pStyle w:val="TableParagraph"/>
              <w:rPr>
                <w:sz w:val="17"/>
                <w:szCs w:val="17"/>
              </w:rPr>
            </w:pPr>
            <w:r w:rsidRPr="003A681B">
              <w:rPr>
                <w:sz w:val="17"/>
                <w:szCs w:val="17"/>
              </w:rPr>
              <w:t>Yes</w:t>
            </w:r>
          </w:p>
        </w:tc>
        <w:tc>
          <w:tcPr>
            <w:tcW w:w="0" w:type="dxa"/>
            <w:shd w:val="clear" w:color="auto" w:fill="auto"/>
          </w:tcPr>
          <w:p w14:paraId="008FEC8C" w14:textId="77777777" w:rsidR="00122C1B" w:rsidRPr="00D51116" w:rsidRDefault="00122C1B" w:rsidP="00E03D51">
            <w:pPr>
              <w:pStyle w:val="TableParagraph"/>
              <w:rPr>
                <w:sz w:val="17"/>
                <w:szCs w:val="17"/>
              </w:rPr>
            </w:pPr>
            <w:r w:rsidRPr="00D51116">
              <w:rPr>
                <w:sz w:val="17"/>
                <w:szCs w:val="17"/>
              </w:rPr>
              <w:t>Yes</w:t>
            </w:r>
          </w:p>
        </w:tc>
      </w:tr>
      <w:tr w:rsidR="00122C1B" w:rsidRPr="003A681B" w14:paraId="528EFE45" w14:textId="77777777" w:rsidTr="00402664">
        <w:tc>
          <w:tcPr>
            <w:tcW w:w="3964" w:type="dxa"/>
            <w:shd w:val="clear" w:color="auto" w:fill="auto"/>
          </w:tcPr>
          <w:p w14:paraId="3991D782" w14:textId="77777777" w:rsidR="00122C1B" w:rsidRPr="003A681B" w:rsidRDefault="00122C1B" w:rsidP="002F32EF">
            <w:pPr>
              <w:pStyle w:val="TableNum"/>
              <w:ind w:left="308" w:hanging="349"/>
            </w:pPr>
            <w:r>
              <w:t xml:space="preserve">Zero </w:t>
            </w:r>
            <w:r w:rsidRPr="003A681B">
              <w:t>Blood</w:t>
            </w:r>
            <w:r>
              <w:t>/Breath</w:t>
            </w:r>
            <w:r w:rsidRPr="003A681B">
              <w:t xml:space="preserve"> Alcohol Con</w:t>
            </w:r>
            <w:r>
              <w:t>centration level</w:t>
            </w:r>
          </w:p>
        </w:tc>
        <w:tc>
          <w:tcPr>
            <w:tcW w:w="1701" w:type="dxa"/>
            <w:shd w:val="clear" w:color="auto" w:fill="auto"/>
          </w:tcPr>
          <w:p w14:paraId="2B055774" w14:textId="77777777" w:rsidR="00122C1B" w:rsidRPr="003A681B" w:rsidRDefault="00122C1B" w:rsidP="00E03D51">
            <w:pPr>
              <w:pStyle w:val="TableParagraph"/>
              <w:rPr>
                <w:sz w:val="17"/>
                <w:szCs w:val="17"/>
              </w:rPr>
            </w:pPr>
            <w:r w:rsidRPr="003A681B">
              <w:rPr>
                <w:sz w:val="17"/>
                <w:szCs w:val="17"/>
              </w:rPr>
              <w:t>Yes</w:t>
            </w:r>
          </w:p>
        </w:tc>
        <w:tc>
          <w:tcPr>
            <w:tcW w:w="1985" w:type="dxa"/>
            <w:shd w:val="clear" w:color="auto" w:fill="auto"/>
          </w:tcPr>
          <w:p w14:paraId="06F8C85F" w14:textId="77777777" w:rsidR="00122C1B" w:rsidRPr="003A681B" w:rsidRDefault="00122C1B" w:rsidP="00E03D51">
            <w:pPr>
              <w:pStyle w:val="TableParagraph"/>
              <w:rPr>
                <w:sz w:val="17"/>
                <w:szCs w:val="17"/>
              </w:rPr>
            </w:pPr>
            <w:r w:rsidRPr="003A681B">
              <w:rPr>
                <w:sz w:val="17"/>
                <w:szCs w:val="17"/>
              </w:rPr>
              <w:t>Yes</w:t>
            </w:r>
          </w:p>
        </w:tc>
        <w:tc>
          <w:tcPr>
            <w:tcW w:w="0" w:type="dxa"/>
            <w:shd w:val="clear" w:color="auto" w:fill="auto"/>
          </w:tcPr>
          <w:p w14:paraId="112BA614" w14:textId="77777777" w:rsidR="00122C1B" w:rsidRPr="00D51116" w:rsidRDefault="00122C1B" w:rsidP="00E03D51">
            <w:pPr>
              <w:pStyle w:val="TableParagraph"/>
              <w:rPr>
                <w:sz w:val="17"/>
                <w:szCs w:val="17"/>
              </w:rPr>
            </w:pPr>
            <w:r w:rsidRPr="00D51116">
              <w:rPr>
                <w:sz w:val="17"/>
                <w:szCs w:val="17"/>
              </w:rPr>
              <w:t>Yes</w:t>
            </w:r>
          </w:p>
        </w:tc>
      </w:tr>
      <w:tr w:rsidR="00122C1B" w:rsidRPr="003A681B" w14:paraId="3A408CFE" w14:textId="77777777" w:rsidTr="00402664">
        <w:trPr>
          <w:cnfStyle w:val="000000010000" w:firstRow="0" w:lastRow="0" w:firstColumn="0" w:lastColumn="0" w:oddVBand="0" w:evenVBand="0" w:oddHBand="0" w:evenHBand="1" w:firstRowFirstColumn="0" w:firstRowLastColumn="0" w:lastRowFirstColumn="0" w:lastRowLastColumn="0"/>
        </w:trPr>
        <w:tc>
          <w:tcPr>
            <w:tcW w:w="3964" w:type="dxa"/>
            <w:shd w:val="clear" w:color="auto" w:fill="auto"/>
          </w:tcPr>
          <w:p w14:paraId="52BD6EF6" w14:textId="77777777" w:rsidR="00122C1B" w:rsidRPr="003A681B" w:rsidRDefault="00122C1B" w:rsidP="00C21442">
            <w:pPr>
              <w:pStyle w:val="TableNum"/>
              <w:ind w:left="308" w:hanging="349"/>
            </w:pPr>
            <w:r>
              <w:t xml:space="preserve">No </w:t>
            </w:r>
            <w:r w:rsidRPr="003A681B">
              <w:t>mob</w:t>
            </w:r>
            <w:r>
              <w:t>ile phone use</w:t>
            </w:r>
          </w:p>
        </w:tc>
        <w:tc>
          <w:tcPr>
            <w:tcW w:w="1701" w:type="dxa"/>
            <w:shd w:val="clear" w:color="auto" w:fill="auto"/>
          </w:tcPr>
          <w:p w14:paraId="4856C1A9" w14:textId="77777777" w:rsidR="00122C1B" w:rsidRPr="003A681B" w:rsidRDefault="00122C1B" w:rsidP="00C21442">
            <w:pPr>
              <w:pStyle w:val="TableParagraph"/>
              <w:rPr>
                <w:sz w:val="17"/>
                <w:szCs w:val="17"/>
              </w:rPr>
            </w:pPr>
            <w:r>
              <w:rPr>
                <w:sz w:val="17"/>
                <w:szCs w:val="17"/>
              </w:rPr>
              <w:t>No handheld phone use during whole probationary period</w:t>
            </w:r>
          </w:p>
        </w:tc>
        <w:tc>
          <w:tcPr>
            <w:tcW w:w="1985" w:type="dxa"/>
            <w:shd w:val="clear" w:color="auto" w:fill="auto"/>
          </w:tcPr>
          <w:p w14:paraId="4350589F" w14:textId="77777777" w:rsidR="00122C1B" w:rsidRPr="003A681B" w:rsidRDefault="00122C1B" w:rsidP="00C21442">
            <w:pPr>
              <w:pStyle w:val="TableParagraph"/>
              <w:rPr>
                <w:sz w:val="17"/>
                <w:szCs w:val="17"/>
              </w:rPr>
            </w:pPr>
            <w:r>
              <w:rPr>
                <w:sz w:val="17"/>
                <w:szCs w:val="17"/>
              </w:rPr>
              <w:t>No handheld phone use during whole probationary period &amp; no handsfree during P1</w:t>
            </w:r>
          </w:p>
        </w:tc>
        <w:tc>
          <w:tcPr>
            <w:tcW w:w="0" w:type="dxa"/>
            <w:shd w:val="clear" w:color="auto" w:fill="auto"/>
          </w:tcPr>
          <w:p w14:paraId="7C6498A3" w14:textId="77777777" w:rsidR="00122C1B" w:rsidRPr="00D51116" w:rsidRDefault="00122C1B" w:rsidP="00C21442">
            <w:pPr>
              <w:pStyle w:val="TableParagraph"/>
              <w:rPr>
                <w:sz w:val="17"/>
                <w:szCs w:val="17"/>
              </w:rPr>
            </w:pPr>
            <w:r>
              <w:rPr>
                <w:sz w:val="17"/>
                <w:szCs w:val="17"/>
              </w:rPr>
              <w:t>No handheld and handsfree phone use during whole probationary period</w:t>
            </w:r>
          </w:p>
        </w:tc>
      </w:tr>
      <w:tr w:rsidR="00122C1B" w:rsidRPr="003A681B" w14:paraId="32D150EF" w14:textId="77777777" w:rsidTr="00402664">
        <w:tc>
          <w:tcPr>
            <w:tcW w:w="3964" w:type="dxa"/>
            <w:shd w:val="clear" w:color="auto" w:fill="auto"/>
          </w:tcPr>
          <w:p w14:paraId="596DB5C7" w14:textId="77777777" w:rsidR="00122C1B" w:rsidRPr="003A681B" w:rsidRDefault="00122C1B" w:rsidP="00C21442">
            <w:pPr>
              <w:pStyle w:val="TableNum"/>
              <w:ind w:left="308" w:hanging="349"/>
            </w:pPr>
            <w:r>
              <w:t>Lower demerit points threshold</w:t>
            </w:r>
          </w:p>
        </w:tc>
        <w:tc>
          <w:tcPr>
            <w:tcW w:w="1701" w:type="dxa"/>
            <w:shd w:val="clear" w:color="auto" w:fill="auto"/>
          </w:tcPr>
          <w:p w14:paraId="60E37466" w14:textId="77777777" w:rsidR="00122C1B" w:rsidRPr="003A681B" w:rsidRDefault="00122C1B" w:rsidP="00C21442">
            <w:pPr>
              <w:pStyle w:val="TableParagraph"/>
              <w:rPr>
                <w:sz w:val="17"/>
                <w:szCs w:val="17"/>
              </w:rPr>
            </w:pPr>
            <w:r w:rsidRPr="003A681B">
              <w:rPr>
                <w:sz w:val="17"/>
                <w:szCs w:val="17"/>
              </w:rPr>
              <w:t>Yes</w:t>
            </w:r>
          </w:p>
        </w:tc>
        <w:tc>
          <w:tcPr>
            <w:tcW w:w="1985" w:type="dxa"/>
            <w:shd w:val="clear" w:color="auto" w:fill="auto"/>
          </w:tcPr>
          <w:p w14:paraId="10F5567B" w14:textId="77777777" w:rsidR="00122C1B" w:rsidRPr="003A681B" w:rsidRDefault="00122C1B" w:rsidP="00C21442">
            <w:pPr>
              <w:pStyle w:val="TableParagraph"/>
              <w:rPr>
                <w:sz w:val="17"/>
                <w:szCs w:val="17"/>
              </w:rPr>
            </w:pPr>
            <w:r w:rsidRPr="003A681B">
              <w:rPr>
                <w:sz w:val="17"/>
                <w:szCs w:val="17"/>
              </w:rPr>
              <w:t>Yes</w:t>
            </w:r>
          </w:p>
        </w:tc>
        <w:tc>
          <w:tcPr>
            <w:tcW w:w="0" w:type="dxa"/>
            <w:shd w:val="clear" w:color="auto" w:fill="auto"/>
          </w:tcPr>
          <w:p w14:paraId="2F0375F7" w14:textId="77777777" w:rsidR="00122C1B" w:rsidRPr="00D51116" w:rsidRDefault="00122C1B" w:rsidP="00C21442">
            <w:pPr>
              <w:pStyle w:val="TableParagraph"/>
              <w:rPr>
                <w:sz w:val="17"/>
                <w:szCs w:val="17"/>
              </w:rPr>
            </w:pPr>
            <w:r w:rsidRPr="00D51116">
              <w:rPr>
                <w:sz w:val="17"/>
                <w:szCs w:val="17"/>
              </w:rPr>
              <w:t>Yes</w:t>
            </w:r>
          </w:p>
        </w:tc>
      </w:tr>
      <w:tr w:rsidR="00122C1B" w:rsidRPr="003A681B" w14:paraId="0B2C2933" w14:textId="77777777" w:rsidTr="00402664">
        <w:trPr>
          <w:cnfStyle w:val="000000010000" w:firstRow="0" w:lastRow="0" w:firstColumn="0" w:lastColumn="0" w:oddVBand="0" w:evenVBand="0" w:oddHBand="0" w:evenHBand="1" w:firstRowFirstColumn="0" w:firstRowLastColumn="0" w:lastRowFirstColumn="0" w:lastRowLastColumn="0"/>
        </w:trPr>
        <w:tc>
          <w:tcPr>
            <w:tcW w:w="3964" w:type="dxa"/>
            <w:shd w:val="clear" w:color="auto" w:fill="auto"/>
          </w:tcPr>
          <w:p w14:paraId="231AB040" w14:textId="77777777" w:rsidR="00122C1B" w:rsidRPr="003A681B" w:rsidRDefault="00122C1B" w:rsidP="00C21442">
            <w:pPr>
              <w:pStyle w:val="TableNum"/>
              <w:ind w:left="308" w:hanging="349"/>
            </w:pPr>
            <w:r w:rsidRPr="003A681B">
              <w:t>Number of hours of supervised driving that learners must complete and record in a log book</w:t>
            </w:r>
          </w:p>
        </w:tc>
        <w:tc>
          <w:tcPr>
            <w:tcW w:w="1701" w:type="dxa"/>
            <w:shd w:val="clear" w:color="auto" w:fill="auto"/>
          </w:tcPr>
          <w:p w14:paraId="51E84F68" w14:textId="77777777" w:rsidR="00122C1B" w:rsidRPr="003A681B" w:rsidRDefault="00122C1B" w:rsidP="00C21442">
            <w:pPr>
              <w:pStyle w:val="TableParagraph"/>
              <w:rPr>
                <w:sz w:val="17"/>
                <w:szCs w:val="17"/>
              </w:rPr>
            </w:pPr>
            <w:r w:rsidRPr="003A681B">
              <w:rPr>
                <w:sz w:val="17"/>
                <w:szCs w:val="17"/>
              </w:rPr>
              <w:t>50 hours</w:t>
            </w:r>
          </w:p>
        </w:tc>
        <w:tc>
          <w:tcPr>
            <w:tcW w:w="1985" w:type="dxa"/>
            <w:shd w:val="clear" w:color="auto" w:fill="auto"/>
          </w:tcPr>
          <w:p w14:paraId="583B1F8C" w14:textId="77777777" w:rsidR="00122C1B" w:rsidRPr="003F143F" w:rsidRDefault="00122C1B" w:rsidP="00C21442">
            <w:pPr>
              <w:pStyle w:val="TableParagraph"/>
              <w:rPr>
                <w:sz w:val="17"/>
                <w:szCs w:val="17"/>
              </w:rPr>
            </w:pPr>
            <w:r w:rsidRPr="003F143F">
              <w:rPr>
                <w:sz w:val="17"/>
                <w:szCs w:val="17"/>
              </w:rPr>
              <w:t>80 to 100 hours incl</w:t>
            </w:r>
            <w:r>
              <w:rPr>
                <w:sz w:val="17"/>
                <w:szCs w:val="17"/>
              </w:rPr>
              <w:t>uding</w:t>
            </w:r>
            <w:r w:rsidRPr="003F143F">
              <w:rPr>
                <w:sz w:val="17"/>
                <w:szCs w:val="17"/>
              </w:rPr>
              <w:t xml:space="preserve"> 10 hours at night </w:t>
            </w:r>
          </w:p>
        </w:tc>
        <w:tc>
          <w:tcPr>
            <w:tcW w:w="0" w:type="dxa"/>
            <w:shd w:val="clear" w:color="auto" w:fill="auto"/>
          </w:tcPr>
          <w:p w14:paraId="6F3624BC" w14:textId="77777777" w:rsidR="00122C1B" w:rsidRPr="003F143F" w:rsidRDefault="00122C1B" w:rsidP="00C21442">
            <w:pPr>
              <w:pStyle w:val="TableParagraph"/>
              <w:rPr>
                <w:sz w:val="17"/>
                <w:szCs w:val="17"/>
              </w:rPr>
            </w:pPr>
            <w:r w:rsidRPr="003F143F">
              <w:rPr>
                <w:sz w:val="17"/>
                <w:szCs w:val="17"/>
              </w:rPr>
              <w:t>100 to 120 hours incl</w:t>
            </w:r>
            <w:r>
              <w:rPr>
                <w:sz w:val="17"/>
                <w:szCs w:val="17"/>
              </w:rPr>
              <w:t>uding</w:t>
            </w:r>
            <w:r w:rsidRPr="003F143F">
              <w:rPr>
                <w:sz w:val="17"/>
                <w:szCs w:val="17"/>
              </w:rPr>
              <w:t xml:space="preserve"> 20 hours at night </w:t>
            </w:r>
          </w:p>
        </w:tc>
      </w:tr>
      <w:tr w:rsidR="00122C1B" w:rsidRPr="003A681B" w14:paraId="1779437A" w14:textId="77777777" w:rsidTr="00402664">
        <w:tc>
          <w:tcPr>
            <w:tcW w:w="3964" w:type="dxa"/>
            <w:shd w:val="clear" w:color="auto" w:fill="auto"/>
          </w:tcPr>
          <w:p w14:paraId="38354865" w14:textId="77777777" w:rsidR="00122C1B" w:rsidRPr="003A681B" w:rsidRDefault="00122C1B" w:rsidP="00C21442">
            <w:pPr>
              <w:pStyle w:val="TableNum"/>
              <w:ind w:left="308" w:hanging="349"/>
            </w:pPr>
            <w:r w:rsidRPr="003A681B">
              <w:t xml:space="preserve">Minimum age for driver licence </w:t>
            </w:r>
          </w:p>
        </w:tc>
        <w:tc>
          <w:tcPr>
            <w:tcW w:w="1701" w:type="dxa"/>
            <w:shd w:val="clear" w:color="auto" w:fill="auto"/>
          </w:tcPr>
          <w:p w14:paraId="6F270D60" w14:textId="77777777" w:rsidR="00122C1B" w:rsidRPr="003A681B" w:rsidRDefault="00122C1B" w:rsidP="00C21442">
            <w:pPr>
              <w:pStyle w:val="TableParagraph"/>
              <w:rPr>
                <w:sz w:val="17"/>
                <w:szCs w:val="17"/>
              </w:rPr>
            </w:pPr>
            <w:r w:rsidRPr="003A681B">
              <w:rPr>
                <w:sz w:val="17"/>
                <w:szCs w:val="17"/>
              </w:rPr>
              <w:t>17 years</w:t>
            </w:r>
          </w:p>
        </w:tc>
        <w:tc>
          <w:tcPr>
            <w:tcW w:w="1985" w:type="dxa"/>
            <w:shd w:val="clear" w:color="auto" w:fill="auto"/>
          </w:tcPr>
          <w:p w14:paraId="48390F0A" w14:textId="77777777" w:rsidR="00122C1B" w:rsidRPr="003F143F" w:rsidRDefault="00122C1B" w:rsidP="00C21442">
            <w:pPr>
              <w:pStyle w:val="TableParagraph"/>
              <w:rPr>
                <w:sz w:val="17"/>
                <w:szCs w:val="17"/>
              </w:rPr>
            </w:pPr>
            <w:r w:rsidRPr="003F143F">
              <w:rPr>
                <w:sz w:val="17"/>
                <w:szCs w:val="17"/>
              </w:rPr>
              <w:t>17 years</w:t>
            </w:r>
          </w:p>
        </w:tc>
        <w:tc>
          <w:tcPr>
            <w:tcW w:w="0" w:type="dxa"/>
            <w:shd w:val="clear" w:color="auto" w:fill="auto"/>
          </w:tcPr>
          <w:p w14:paraId="5002D384" w14:textId="77777777" w:rsidR="00122C1B" w:rsidRPr="003F143F" w:rsidRDefault="00122C1B" w:rsidP="00C21442">
            <w:pPr>
              <w:pStyle w:val="TableParagraph"/>
              <w:rPr>
                <w:sz w:val="17"/>
                <w:szCs w:val="17"/>
              </w:rPr>
            </w:pPr>
            <w:r w:rsidRPr="003F143F">
              <w:rPr>
                <w:sz w:val="17"/>
                <w:szCs w:val="17"/>
              </w:rPr>
              <w:t>18 years</w:t>
            </w:r>
          </w:p>
        </w:tc>
      </w:tr>
      <w:tr w:rsidR="00122C1B" w:rsidRPr="003A681B" w14:paraId="1AB9BE74" w14:textId="77777777" w:rsidTr="00402664">
        <w:trPr>
          <w:cnfStyle w:val="000000010000" w:firstRow="0" w:lastRow="0" w:firstColumn="0" w:lastColumn="0" w:oddVBand="0" w:evenVBand="0" w:oddHBand="0" w:evenHBand="1" w:firstRowFirstColumn="0" w:firstRowLastColumn="0" w:lastRowFirstColumn="0" w:lastRowLastColumn="0"/>
        </w:trPr>
        <w:tc>
          <w:tcPr>
            <w:tcW w:w="3964" w:type="dxa"/>
            <w:shd w:val="clear" w:color="auto" w:fill="auto"/>
          </w:tcPr>
          <w:p w14:paraId="221E4E9A" w14:textId="77777777" w:rsidR="00122C1B" w:rsidRPr="003A681B" w:rsidRDefault="00122C1B" w:rsidP="00C21442">
            <w:pPr>
              <w:pStyle w:val="TableNum"/>
              <w:ind w:left="308" w:hanging="349"/>
            </w:pPr>
            <w:r>
              <w:t>P</w:t>
            </w:r>
            <w:r w:rsidRPr="003A681B">
              <w:t>robationary period</w:t>
            </w:r>
            <w:r>
              <w:t xml:space="preserve"> duration</w:t>
            </w:r>
          </w:p>
        </w:tc>
        <w:tc>
          <w:tcPr>
            <w:tcW w:w="1701" w:type="dxa"/>
            <w:shd w:val="clear" w:color="auto" w:fill="auto"/>
          </w:tcPr>
          <w:p w14:paraId="7FBA3505" w14:textId="77777777" w:rsidR="00122C1B" w:rsidRPr="003A681B" w:rsidRDefault="00122C1B" w:rsidP="00C21442">
            <w:pPr>
              <w:pStyle w:val="TableParagraph"/>
              <w:rPr>
                <w:sz w:val="17"/>
                <w:szCs w:val="17"/>
              </w:rPr>
            </w:pPr>
            <w:r w:rsidRPr="003A681B">
              <w:rPr>
                <w:sz w:val="17"/>
                <w:szCs w:val="17"/>
              </w:rPr>
              <w:t>not specified</w:t>
            </w:r>
          </w:p>
        </w:tc>
        <w:tc>
          <w:tcPr>
            <w:tcW w:w="1985" w:type="dxa"/>
            <w:shd w:val="clear" w:color="auto" w:fill="auto"/>
          </w:tcPr>
          <w:p w14:paraId="2591012C" w14:textId="77777777" w:rsidR="00122C1B" w:rsidRPr="003F143F" w:rsidRDefault="00122C1B" w:rsidP="00C21442">
            <w:pPr>
              <w:pStyle w:val="TableParagraph"/>
              <w:rPr>
                <w:sz w:val="17"/>
                <w:szCs w:val="17"/>
              </w:rPr>
            </w:pPr>
            <w:r w:rsidRPr="003F143F">
              <w:rPr>
                <w:sz w:val="17"/>
                <w:szCs w:val="17"/>
              </w:rPr>
              <w:t xml:space="preserve">3 years </w:t>
            </w:r>
            <w:r w:rsidRPr="003F143F">
              <w:rPr>
                <w:sz w:val="17"/>
                <w:szCs w:val="17"/>
              </w:rPr>
              <w:br/>
              <w:t>(1 year for P1 and 2 years for P2)</w:t>
            </w:r>
          </w:p>
        </w:tc>
        <w:tc>
          <w:tcPr>
            <w:tcW w:w="0" w:type="dxa"/>
            <w:shd w:val="clear" w:color="auto" w:fill="auto"/>
          </w:tcPr>
          <w:p w14:paraId="46E6AE4E" w14:textId="77777777" w:rsidR="00122C1B" w:rsidRPr="003F143F" w:rsidRDefault="00122C1B" w:rsidP="00C21442">
            <w:pPr>
              <w:pStyle w:val="TableParagraph"/>
              <w:rPr>
                <w:sz w:val="17"/>
                <w:szCs w:val="17"/>
              </w:rPr>
            </w:pPr>
            <w:r w:rsidRPr="003F143F">
              <w:rPr>
                <w:sz w:val="17"/>
                <w:szCs w:val="17"/>
              </w:rPr>
              <w:t xml:space="preserve">4 years </w:t>
            </w:r>
            <w:r w:rsidRPr="003F143F">
              <w:rPr>
                <w:sz w:val="17"/>
                <w:szCs w:val="17"/>
              </w:rPr>
              <w:br/>
              <w:t>(1 year for P1 and 3 years for P2)</w:t>
            </w:r>
          </w:p>
        </w:tc>
      </w:tr>
      <w:tr w:rsidR="00122C1B" w:rsidRPr="003A681B" w14:paraId="0ED9E7D2" w14:textId="77777777" w:rsidTr="00402664">
        <w:tc>
          <w:tcPr>
            <w:tcW w:w="3964" w:type="dxa"/>
            <w:shd w:val="clear" w:color="auto" w:fill="auto"/>
          </w:tcPr>
          <w:p w14:paraId="62CC32FE" w14:textId="77777777" w:rsidR="00122C1B" w:rsidRPr="003A681B" w:rsidRDefault="00122C1B" w:rsidP="00C21442">
            <w:pPr>
              <w:pStyle w:val="TableNum"/>
              <w:ind w:left="308" w:hanging="349"/>
            </w:pPr>
            <w:r w:rsidRPr="003A681B">
              <w:t xml:space="preserve">No carrying of multiple passengers by P1 drivers </w:t>
            </w:r>
          </w:p>
        </w:tc>
        <w:tc>
          <w:tcPr>
            <w:tcW w:w="1701" w:type="dxa"/>
            <w:shd w:val="clear" w:color="auto" w:fill="auto"/>
          </w:tcPr>
          <w:p w14:paraId="4ECD25B8" w14:textId="77777777" w:rsidR="00122C1B" w:rsidRPr="003A681B" w:rsidRDefault="00122C1B" w:rsidP="00C21442">
            <w:pPr>
              <w:pStyle w:val="TableParagraph"/>
              <w:rPr>
                <w:sz w:val="17"/>
                <w:szCs w:val="17"/>
              </w:rPr>
            </w:pPr>
            <w:r w:rsidRPr="003A681B">
              <w:rPr>
                <w:sz w:val="17"/>
                <w:szCs w:val="17"/>
              </w:rPr>
              <w:t>Not required</w:t>
            </w:r>
          </w:p>
        </w:tc>
        <w:tc>
          <w:tcPr>
            <w:tcW w:w="1985" w:type="dxa"/>
            <w:shd w:val="clear" w:color="auto" w:fill="auto"/>
          </w:tcPr>
          <w:p w14:paraId="2F2CEFD1" w14:textId="77777777" w:rsidR="00122C1B" w:rsidRPr="003F143F" w:rsidRDefault="00122C1B" w:rsidP="00C21442">
            <w:pPr>
              <w:pStyle w:val="TableParagraph"/>
              <w:rPr>
                <w:sz w:val="17"/>
                <w:szCs w:val="17"/>
              </w:rPr>
            </w:pPr>
            <w:r w:rsidRPr="003F143F">
              <w:rPr>
                <w:sz w:val="17"/>
                <w:szCs w:val="17"/>
              </w:rPr>
              <w:t>Only one passenger at night (preferably at all times)</w:t>
            </w:r>
          </w:p>
        </w:tc>
        <w:tc>
          <w:tcPr>
            <w:tcW w:w="0" w:type="dxa"/>
            <w:shd w:val="clear" w:color="auto" w:fill="auto"/>
          </w:tcPr>
          <w:p w14:paraId="69F8F4F2" w14:textId="77777777" w:rsidR="00122C1B" w:rsidRPr="003F143F" w:rsidRDefault="00122C1B" w:rsidP="00C21442">
            <w:pPr>
              <w:pStyle w:val="TableParagraph"/>
              <w:rPr>
                <w:sz w:val="17"/>
                <w:szCs w:val="17"/>
              </w:rPr>
            </w:pPr>
            <w:r w:rsidRPr="003F143F">
              <w:rPr>
                <w:sz w:val="17"/>
                <w:szCs w:val="17"/>
              </w:rPr>
              <w:t>Only one peer aged passenger at all times</w:t>
            </w:r>
          </w:p>
        </w:tc>
      </w:tr>
      <w:tr w:rsidR="00122C1B" w:rsidRPr="003A681B" w14:paraId="6458D527" w14:textId="77777777" w:rsidTr="00402664">
        <w:trPr>
          <w:cnfStyle w:val="000000010000" w:firstRow="0" w:lastRow="0" w:firstColumn="0" w:lastColumn="0" w:oddVBand="0" w:evenVBand="0" w:oddHBand="0" w:evenHBand="1" w:firstRowFirstColumn="0" w:firstRowLastColumn="0" w:lastRowFirstColumn="0" w:lastRowLastColumn="0"/>
        </w:trPr>
        <w:tc>
          <w:tcPr>
            <w:tcW w:w="3964" w:type="dxa"/>
            <w:shd w:val="clear" w:color="auto" w:fill="auto"/>
          </w:tcPr>
          <w:p w14:paraId="589F1916" w14:textId="77777777" w:rsidR="00122C1B" w:rsidRPr="003A681B" w:rsidRDefault="00122C1B" w:rsidP="00C21442">
            <w:pPr>
              <w:pStyle w:val="TableNum"/>
              <w:ind w:left="308" w:hanging="349"/>
            </w:pPr>
            <w:r w:rsidRPr="003A681B">
              <w:t xml:space="preserve">No late-night driving </w:t>
            </w:r>
            <w:r>
              <w:t>by</w:t>
            </w:r>
            <w:r w:rsidRPr="003A681B">
              <w:t xml:space="preserve"> P1 drivers</w:t>
            </w:r>
          </w:p>
        </w:tc>
        <w:tc>
          <w:tcPr>
            <w:tcW w:w="1701" w:type="dxa"/>
            <w:shd w:val="clear" w:color="auto" w:fill="auto"/>
          </w:tcPr>
          <w:p w14:paraId="6A924ADD" w14:textId="77777777" w:rsidR="00122C1B" w:rsidRPr="003A681B" w:rsidRDefault="00122C1B" w:rsidP="00C21442">
            <w:pPr>
              <w:pStyle w:val="TableParagraph"/>
              <w:rPr>
                <w:sz w:val="17"/>
                <w:szCs w:val="17"/>
              </w:rPr>
            </w:pPr>
            <w:r w:rsidRPr="003A681B">
              <w:rPr>
                <w:sz w:val="17"/>
                <w:szCs w:val="17"/>
              </w:rPr>
              <w:t>Not required</w:t>
            </w:r>
          </w:p>
        </w:tc>
        <w:tc>
          <w:tcPr>
            <w:tcW w:w="1985" w:type="dxa"/>
            <w:shd w:val="clear" w:color="auto" w:fill="auto"/>
          </w:tcPr>
          <w:p w14:paraId="094EF361" w14:textId="77777777" w:rsidR="00122C1B" w:rsidRPr="003F143F" w:rsidRDefault="00122C1B" w:rsidP="00C21442">
            <w:pPr>
              <w:pStyle w:val="TableParagraph"/>
              <w:rPr>
                <w:sz w:val="17"/>
                <w:szCs w:val="17"/>
              </w:rPr>
            </w:pPr>
            <w:r w:rsidRPr="003F143F">
              <w:rPr>
                <w:sz w:val="17"/>
                <w:szCs w:val="17"/>
              </w:rPr>
              <w:t>Not required</w:t>
            </w:r>
          </w:p>
        </w:tc>
        <w:tc>
          <w:tcPr>
            <w:tcW w:w="0" w:type="dxa"/>
            <w:shd w:val="clear" w:color="auto" w:fill="auto"/>
          </w:tcPr>
          <w:p w14:paraId="34DB83B7" w14:textId="77777777" w:rsidR="00122C1B" w:rsidRPr="003F143F" w:rsidRDefault="00122C1B" w:rsidP="00C21442">
            <w:pPr>
              <w:pStyle w:val="TableParagraph"/>
              <w:rPr>
                <w:sz w:val="17"/>
                <w:szCs w:val="17"/>
              </w:rPr>
            </w:pPr>
            <w:r w:rsidRPr="003F143F">
              <w:rPr>
                <w:sz w:val="17"/>
                <w:szCs w:val="17"/>
              </w:rPr>
              <w:t>Required</w:t>
            </w:r>
          </w:p>
        </w:tc>
      </w:tr>
    </w:tbl>
    <w:p w14:paraId="3EF6128F" w14:textId="77777777" w:rsidR="00122C1B" w:rsidRDefault="00122C1B" w:rsidP="00F4115C">
      <w:pPr>
        <w:pStyle w:val="TextPara"/>
        <w:spacing w:before="240"/>
      </w:pPr>
      <w:r>
        <w:t xml:space="preserve">Two other restrictions both relating to high powered vehicles were also considered. These are: </w:t>
      </w:r>
    </w:p>
    <w:p w14:paraId="0132C62E" w14:textId="77777777" w:rsidR="00122C1B" w:rsidRPr="008E5722" w:rsidRDefault="00122C1B" w:rsidP="00F4115C">
      <w:pPr>
        <w:pStyle w:val="Bullet1-Black"/>
      </w:pPr>
      <w:r w:rsidRPr="00F25B3B">
        <w:t xml:space="preserve">Probationary </w:t>
      </w:r>
      <w:r w:rsidR="00F330CD" w:rsidRPr="00F25B3B">
        <w:t>prohibited vehicles</w:t>
      </w:r>
      <w:r w:rsidR="00F330CD" w:rsidRPr="002659A1">
        <w:t xml:space="preserve"> </w:t>
      </w:r>
      <w:r w:rsidRPr="00324C53">
        <w:t>(for l</w:t>
      </w:r>
      <w:r w:rsidRPr="008E5722">
        <w:t>ight vehicles)</w:t>
      </w:r>
    </w:p>
    <w:p w14:paraId="13E9781A" w14:textId="77777777" w:rsidR="00122C1B" w:rsidRPr="004E45D7" w:rsidRDefault="00122C1B" w:rsidP="00F4115C">
      <w:pPr>
        <w:pStyle w:val="Bullet1-Black"/>
      </w:pPr>
      <w:r w:rsidRPr="00385478">
        <w:t xml:space="preserve">Learner </w:t>
      </w:r>
      <w:r w:rsidR="00F330CD" w:rsidRPr="00385478">
        <w:t>approved m</w:t>
      </w:r>
      <w:r w:rsidRPr="004E45D7">
        <w:t xml:space="preserve">otorcycles. </w:t>
      </w:r>
    </w:p>
    <w:p w14:paraId="7EB1496C" w14:textId="77777777" w:rsidR="00122C1B" w:rsidRDefault="00122C1B" w:rsidP="0013021B">
      <w:pPr>
        <w:pStyle w:val="Heading3"/>
        <w:spacing w:before="240"/>
      </w:pPr>
      <w:bookmarkStart w:id="254" w:name="_Toc534213295"/>
      <w:bookmarkStart w:id="255" w:name="_Toc534279813"/>
      <w:bookmarkStart w:id="256" w:name="_Toc534281225"/>
      <w:bookmarkStart w:id="257" w:name="_Toc534281730"/>
      <w:bookmarkStart w:id="258" w:name="_Toc534290102"/>
      <w:bookmarkStart w:id="259" w:name="_Toc534299589"/>
      <w:bookmarkStart w:id="260" w:name="_Toc534376276"/>
      <w:bookmarkStart w:id="261" w:name="_Toc534643942"/>
      <w:bookmarkStart w:id="262" w:name="_Toc534728935"/>
      <w:bookmarkStart w:id="263" w:name="_Toc534729445"/>
      <w:bookmarkStart w:id="264" w:name="_Toc535481711"/>
      <w:bookmarkStart w:id="265" w:name="_Toc534213296"/>
      <w:bookmarkStart w:id="266" w:name="_Toc534279814"/>
      <w:bookmarkStart w:id="267" w:name="_Toc534281226"/>
      <w:bookmarkStart w:id="268" w:name="_Toc534281731"/>
      <w:bookmarkStart w:id="269" w:name="_Toc534290103"/>
      <w:bookmarkStart w:id="270" w:name="_Toc534299590"/>
      <w:bookmarkStart w:id="271" w:name="_Toc534376277"/>
      <w:bookmarkStart w:id="272" w:name="_Toc534643943"/>
      <w:bookmarkStart w:id="273" w:name="_Toc534728936"/>
      <w:bookmarkStart w:id="274" w:name="_Toc534729446"/>
      <w:bookmarkStart w:id="275" w:name="_Toc535481712"/>
      <w:bookmarkStart w:id="276" w:name="_Toc534213299"/>
      <w:bookmarkStart w:id="277" w:name="_Toc534279817"/>
      <w:bookmarkStart w:id="278" w:name="_Toc534281229"/>
      <w:bookmarkStart w:id="279" w:name="_Toc534281734"/>
      <w:bookmarkStart w:id="280" w:name="_Toc534290106"/>
      <w:bookmarkStart w:id="281" w:name="_Toc534299593"/>
      <w:bookmarkStart w:id="282" w:name="_Toc534376280"/>
      <w:bookmarkStart w:id="283" w:name="_Toc534643946"/>
      <w:bookmarkStart w:id="284" w:name="_Toc534728939"/>
      <w:bookmarkStart w:id="285" w:name="_Toc534729449"/>
      <w:bookmarkStart w:id="286" w:name="_Toc535481715"/>
      <w:bookmarkStart w:id="287" w:name="_Toc534213300"/>
      <w:bookmarkStart w:id="288" w:name="_Toc534279818"/>
      <w:bookmarkStart w:id="289" w:name="_Toc534281230"/>
      <w:bookmarkStart w:id="290" w:name="_Toc534281735"/>
      <w:bookmarkStart w:id="291" w:name="_Toc534290107"/>
      <w:bookmarkStart w:id="292" w:name="_Toc534299594"/>
      <w:bookmarkStart w:id="293" w:name="_Toc534376281"/>
      <w:bookmarkStart w:id="294" w:name="_Toc534643947"/>
      <w:bookmarkStart w:id="295" w:name="_Toc534728940"/>
      <w:bookmarkStart w:id="296" w:name="_Toc534729450"/>
      <w:bookmarkStart w:id="297" w:name="_Toc535481716"/>
      <w:bookmarkStart w:id="298" w:name="_Toc534213305"/>
      <w:bookmarkStart w:id="299" w:name="_Toc534279823"/>
      <w:bookmarkStart w:id="300" w:name="_Toc534281235"/>
      <w:bookmarkStart w:id="301" w:name="_Toc534281740"/>
      <w:bookmarkStart w:id="302" w:name="_Toc534290112"/>
      <w:bookmarkStart w:id="303" w:name="_Toc534299599"/>
      <w:bookmarkStart w:id="304" w:name="_Toc534376286"/>
      <w:bookmarkStart w:id="305" w:name="_Toc534643952"/>
      <w:bookmarkStart w:id="306" w:name="_Toc534728945"/>
      <w:bookmarkStart w:id="307" w:name="_Toc534729455"/>
      <w:bookmarkStart w:id="308" w:name="_Toc535481721"/>
      <w:bookmarkStart w:id="309" w:name="_Toc534213308"/>
      <w:bookmarkStart w:id="310" w:name="_Toc534279826"/>
      <w:bookmarkStart w:id="311" w:name="_Toc534281238"/>
      <w:bookmarkStart w:id="312" w:name="_Toc534281743"/>
      <w:bookmarkStart w:id="313" w:name="_Toc534290115"/>
      <w:bookmarkStart w:id="314" w:name="_Toc534299602"/>
      <w:bookmarkStart w:id="315" w:name="_Toc534376289"/>
      <w:bookmarkStart w:id="316" w:name="_Toc534643955"/>
      <w:bookmarkStart w:id="317" w:name="_Toc534728948"/>
      <w:bookmarkStart w:id="318" w:name="_Toc534729458"/>
      <w:bookmarkStart w:id="319" w:name="_Toc535481724"/>
      <w:bookmarkStart w:id="320" w:name="_Toc534213320"/>
      <w:bookmarkStart w:id="321" w:name="_Toc534279838"/>
      <w:bookmarkStart w:id="322" w:name="_Toc534281250"/>
      <w:bookmarkStart w:id="323" w:name="_Toc534281755"/>
      <w:bookmarkStart w:id="324" w:name="_Toc534290127"/>
      <w:bookmarkStart w:id="325" w:name="_Toc534299614"/>
      <w:bookmarkStart w:id="326" w:name="_Toc534376301"/>
      <w:bookmarkStart w:id="327" w:name="_Toc534643967"/>
      <w:bookmarkStart w:id="328" w:name="_Toc534728960"/>
      <w:bookmarkStart w:id="329" w:name="_Toc534729470"/>
      <w:bookmarkStart w:id="330" w:name="_Toc535481736"/>
      <w:bookmarkStart w:id="331" w:name="_Toc534213321"/>
      <w:bookmarkStart w:id="332" w:name="_Toc534279839"/>
      <w:bookmarkStart w:id="333" w:name="_Toc534281251"/>
      <w:bookmarkStart w:id="334" w:name="_Toc534281756"/>
      <w:bookmarkStart w:id="335" w:name="_Toc534290128"/>
      <w:bookmarkStart w:id="336" w:name="_Toc534299615"/>
      <w:bookmarkStart w:id="337" w:name="_Toc534376302"/>
      <w:bookmarkStart w:id="338" w:name="_Toc534643968"/>
      <w:bookmarkStart w:id="339" w:name="_Toc534728961"/>
      <w:bookmarkStart w:id="340" w:name="_Toc534729471"/>
      <w:bookmarkStart w:id="341" w:name="_Toc535481737"/>
      <w:bookmarkStart w:id="342" w:name="_Ref532995462"/>
      <w:bookmarkStart w:id="343" w:name="_Toc10703428"/>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t>Options analysis</w:t>
      </w:r>
      <w:bookmarkEnd w:id="342"/>
      <w:bookmarkEnd w:id="343"/>
    </w:p>
    <w:p w14:paraId="662DDAFF" w14:textId="4591C035" w:rsidR="00CD5595" w:rsidRDefault="000C33B0" w:rsidP="00CD5595">
      <w:pPr>
        <w:pStyle w:val="TextPara"/>
      </w:pPr>
      <w:r>
        <w:t>DoT</w:t>
      </w:r>
      <w:r w:rsidR="00122C1B">
        <w:t xml:space="preserve"> assessed the options for each component listed in the three-stage national GLS framework shown in</w:t>
      </w:r>
      <w:r w:rsidR="00C25210">
        <w:t xml:space="preserve"> </w:t>
      </w:r>
      <w:r w:rsidR="00C25210">
        <w:fldChar w:fldCharType="begin"/>
      </w:r>
      <w:r w:rsidR="00C25210">
        <w:instrText xml:space="preserve"> REF _Ref7827436 \h </w:instrText>
      </w:r>
      <w:r w:rsidR="00C25210">
        <w:fldChar w:fldCharType="separate"/>
      </w:r>
      <w:r w:rsidR="00EB4B02">
        <w:t xml:space="preserve">Table </w:t>
      </w:r>
      <w:r w:rsidR="00EB4B02">
        <w:rPr>
          <w:noProof/>
        </w:rPr>
        <w:t>20</w:t>
      </w:r>
      <w:r w:rsidR="00C25210">
        <w:fldChar w:fldCharType="end"/>
      </w:r>
      <w:r w:rsidR="00CD5595">
        <w:t>.</w:t>
      </w:r>
    </w:p>
    <w:p w14:paraId="65C6659B" w14:textId="10B2179A" w:rsidR="00CD5595" w:rsidRDefault="00CD5595" w:rsidP="00CD5595">
      <w:pPr>
        <w:pStyle w:val="TextPara"/>
        <w:keepNext/>
        <w:spacing w:after="60"/>
      </w:pPr>
      <w:r>
        <w:lastRenderedPageBreak/>
        <w:t xml:space="preserve">For most of the components, Victoria has adopted the best-practice Exemplar stage of the GLS. </w:t>
      </w:r>
      <w:r w:rsidR="00395762">
        <w:t>For these components, t</w:t>
      </w:r>
      <w:r>
        <w:t>he Exemplar stage is characterised by the following:</w:t>
      </w:r>
    </w:p>
    <w:p w14:paraId="0734C693" w14:textId="77777777" w:rsidR="00CD5595" w:rsidRDefault="00CD5595" w:rsidP="00EB4B02">
      <w:pPr>
        <w:pStyle w:val="TextPara"/>
        <w:keepNext/>
        <w:numPr>
          <w:ilvl w:val="0"/>
          <w:numId w:val="28"/>
        </w:numPr>
        <w:spacing w:after="60"/>
        <w:ind w:left="426" w:hanging="426"/>
      </w:pPr>
      <w:r w:rsidRPr="00ED73CD">
        <w:rPr>
          <w:i/>
        </w:rPr>
        <w:t>No handheld and handsfree phone use during the whole probationary period</w:t>
      </w:r>
      <w:r>
        <w:t>, compared with no handheld use during the whole probationary period and no handsfree during P1 for the Enhanced stage, and with no handheld phone use during the whole probationary period for the Standard stage.</w:t>
      </w:r>
    </w:p>
    <w:p w14:paraId="0EB2B206" w14:textId="77777777" w:rsidR="00CD5595" w:rsidRDefault="00CD5595" w:rsidP="00EB4B02">
      <w:pPr>
        <w:pStyle w:val="TextPara"/>
        <w:keepNext/>
        <w:numPr>
          <w:ilvl w:val="0"/>
          <w:numId w:val="28"/>
        </w:numPr>
        <w:spacing w:after="60"/>
        <w:ind w:left="426" w:hanging="426"/>
      </w:pPr>
      <w:r w:rsidRPr="00ED73CD">
        <w:rPr>
          <w:i/>
        </w:rPr>
        <w:t>100 to 120 hours of supervised driving that learners must complete and record in a log book including 20 hours at night</w:t>
      </w:r>
      <w:r>
        <w:t>, compared with 80 to 100 hours including 10 hours at night for the Enhanced stage, and 50 hours for the Standard stage.</w:t>
      </w:r>
    </w:p>
    <w:p w14:paraId="786441A1" w14:textId="77777777" w:rsidR="00CD5595" w:rsidRDefault="00CD5595" w:rsidP="00EB4B02">
      <w:pPr>
        <w:pStyle w:val="TextPara"/>
        <w:keepNext/>
        <w:numPr>
          <w:ilvl w:val="0"/>
          <w:numId w:val="28"/>
        </w:numPr>
        <w:spacing w:after="60"/>
        <w:ind w:left="426" w:hanging="426"/>
      </w:pPr>
      <w:r w:rsidRPr="00ED73CD">
        <w:rPr>
          <w:i/>
        </w:rPr>
        <w:t>Minimum age for driver licence of 18 years</w:t>
      </w:r>
      <w:r>
        <w:t>, compared with 17 years for the Enhanced and Standard stages.</w:t>
      </w:r>
    </w:p>
    <w:p w14:paraId="3936B932" w14:textId="77777777" w:rsidR="00CD5595" w:rsidRDefault="00CD5595" w:rsidP="00EB4B02">
      <w:pPr>
        <w:pStyle w:val="TextPara"/>
        <w:keepNext/>
        <w:numPr>
          <w:ilvl w:val="0"/>
          <w:numId w:val="28"/>
        </w:numPr>
        <w:spacing w:after="60"/>
        <w:ind w:left="426" w:hanging="426"/>
      </w:pPr>
      <w:r w:rsidRPr="00ED73CD">
        <w:rPr>
          <w:i/>
        </w:rPr>
        <w:t>Probationary period of 4 years (1 year for P1 and 3 years for P2)</w:t>
      </w:r>
      <w:r>
        <w:t>, compared with 3 years (1 year for P1 and 2 years for P2) for the Enhanced stage and no specified duration for the Standard stage.</w:t>
      </w:r>
    </w:p>
    <w:p w14:paraId="036B88D0" w14:textId="15A3B122" w:rsidR="00CD5595" w:rsidRDefault="00CD5595" w:rsidP="00EB4B02">
      <w:pPr>
        <w:pStyle w:val="TextPara"/>
        <w:keepNext/>
        <w:numPr>
          <w:ilvl w:val="0"/>
          <w:numId w:val="28"/>
        </w:numPr>
        <w:spacing w:after="60"/>
        <w:ind w:left="426" w:hanging="426"/>
      </w:pPr>
      <w:r w:rsidRPr="00ED73CD">
        <w:rPr>
          <w:i/>
        </w:rPr>
        <w:t>Only one peer</w:t>
      </w:r>
      <w:r w:rsidR="00510E4C" w:rsidRPr="00ED73CD">
        <w:rPr>
          <w:i/>
        </w:rPr>
        <w:t>-</w:t>
      </w:r>
      <w:r w:rsidRPr="00ED73CD">
        <w:rPr>
          <w:i/>
        </w:rPr>
        <w:t>aged passenger may be carried at all times</w:t>
      </w:r>
      <w:r>
        <w:t>, compared with only one passenger at night (preferably at all times) for the Enhanced stage and no restriction for the Standard stage.</w:t>
      </w:r>
    </w:p>
    <w:p w14:paraId="4F6C3847" w14:textId="7DD676BD" w:rsidR="00CD5595" w:rsidRDefault="00CD5595" w:rsidP="00CD5595">
      <w:pPr>
        <w:pStyle w:val="TextPara"/>
        <w:keepNext/>
        <w:spacing w:after="60"/>
      </w:pPr>
      <w:r>
        <w:t xml:space="preserve">For one component of the GLS, Victoria has chosen to deviate from the national Exemplar GLS by </w:t>
      </w:r>
      <w:r w:rsidRPr="00ED73CD">
        <w:rPr>
          <w:i/>
        </w:rPr>
        <w:t xml:space="preserve">not </w:t>
      </w:r>
      <w:r>
        <w:t>disallowing late-night driving by P1 drivers.</w:t>
      </w:r>
    </w:p>
    <w:p w14:paraId="36E4A513" w14:textId="360055AD" w:rsidR="00510E4C" w:rsidRDefault="00CD5595" w:rsidP="00CD5595">
      <w:pPr>
        <w:pStyle w:val="TextPara"/>
        <w:keepNext/>
        <w:spacing w:after="60"/>
      </w:pPr>
      <w:r>
        <w:t xml:space="preserve">In addition, </w:t>
      </w:r>
      <w:r w:rsidR="00510E4C">
        <w:t>Victoria has chosen to place restrictions on the types of light vehicles and motorcycles that are accessible to newly licensed drivers and riders. These restrictions are absent in the national Exemplar GLS.</w:t>
      </w:r>
    </w:p>
    <w:p w14:paraId="17788FA2" w14:textId="4720CCD6" w:rsidR="0005352E" w:rsidRDefault="006B6F3A" w:rsidP="00CF119C">
      <w:pPr>
        <w:pStyle w:val="TextPara"/>
      </w:pPr>
      <w:r>
        <w:t>In assessing the options</w:t>
      </w:r>
      <w:r w:rsidR="00510E4C">
        <w:t xml:space="preserve"> for each of the above components of the GLS</w:t>
      </w:r>
      <w:r w:rsidR="00195CB8">
        <w:t xml:space="preserve"> (by primarily comparing the Exemplar stage with its alternatives, except for the carriage of peer-aged passengers and the vehicle restrictions for the newly licensed)</w:t>
      </w:r>
      <w:r>
        <w:t>, the formal multicriteria analysis discussed in section 2.5 has not been used. Instead, the options have been qualitatively discussed with focus being on two criteria – safety and cost to the community.</w:t>
      </w:r>
    </w:p>
    <w:p w14:paraId="7616D09C" w14:textId="77777777" w:rsidR="00122C1B" w:rsidRPr="000F4889" w:rsidRDefault="00122C1B">
      <w:pPr>
        <w:pStyle w:val="NoSpacing"/>
      </w:pPr>
      <w:r w:rsidRPr="000F4889">
        <w:t>Minimum age for learner permit</w:t>
      </w:r>
    </w:p>
    <w:p w14:paraId="644DE2DC" w14:textId="77777777" w:rsidR="00122C1B" w:rsidRDefault="00122C1B" w:rsidP="00881E54">
      <w:pPr>
        <w:pStyle w:val="TextPara"/>
      </w:pPr>
      <w:r>
        <w:t>All three stages in the national GLS framework set 16 years as the minimum age for a learner permit. The minimum age is 16 years in all Australian jurisdictions except for the ACT where it is set at 15 years 9 months. There is developing consensus in countries with a graduated licensing system that 16 years is the appropriate minimum age for a learner permit. In New Zealand it was raised to 16 years in 2011. The same minimum age is also set in most Canadian and some US jurisdictions.</w:t>
      </w:r>
    </w:p>
    <w:p w14:paraId="1B050B3C" w14:textId="77777777" w:rsidR="00122C1B" w:rsidRDefault="00122C1B" w:rsidP="00881E54">
      <w:pPr>
        <w:pStyle w:val="TextPara"/>
      </w:pPr>
      <w:r>
        <w:t>There is also some empirical justification for such a learner permit age. One study</w:t>
      </w:r>
      <w:r>
        <w:rPr>
          <w:rStyle w:val="EndnoteReference"/>
        </w:rPr>
        <w:endnoteReference w:id="228"/>
      </w:r>
      <w:r>
        <w:t xml:space="preserve"> concluded that delaying the minimum starting age for a learner permit was associated with lower fatal crash rates for 15-17-year-olds. A one-year delay, from 15 to 16, reduced the fatal crash rate by 13%. Another study</w:t>
      </w:r>
      <w:r>
        <w:rPr>
          <w:rStyle w:val="EndnoteReference"/>
        </w:rPr>
        <w:endnoteReference w:id="229"/>
      </w:r>
      <w:r>
        <w:t xml:space="preserve"> found that delaying permissible learner driving until age 16 had the most potential for fatal crash reduction, but the evidence was only suggestive.</w:t>
      </w:r>
    </w:p>
    <w:p w14:paraId="2B8CB332" w14:textId="77777777" w:rsidR="00122C1B" w:rsidRPr="00A13441" w:rsidRDefault="00122C1B" w:rsidP="00881E54">
      <w:pPr>
        <w:pStyle w:val="TextPara"/>
        <w:rPr>
          <w:b/>
        </w:rPr>
      </w:pPr>
      <w:r w:rsidRPr="00FB2029">
        <w:rPr>
          <w:b/>
        </w:rPr>
        <w:t>T</w:t>
      </w:r>
      <w:r w:rsidRPr="00E0409A">
        <w:rPr>
          <w:b/>
        </w:rPr>
        <w:t>he current learner permit minimum age of 16 years</w:t>
      </w:r>
      <w:r w:rsidRPr="00FB2029">
        <w:rPr>
          <w:b/>
        </w:rPr>
        <w:t xml:space="preserve"> is </w:t>
      </w:r>
      <w:r w:rsidR="00F330CD">
        <w:rPr>
          <w:b/>
        </w:rPr>
        <w:t>contained</w:t>
      </w:r>
      <w:r w:rsidRPr="00FB2029">
        <w:rPr>
          <w:b/>
        </w:rPr>
        <w:t xml:space="preserve"> in the </w:t>
      </w:r>
      <w:r w:rsidRPr="00A13441">
        <w:rPr>
          <w:b/>
          <w:i/>
        </w:rPr>
        <w:t>RSA</w:t>
      </w:r>
      <w:r w:rsidRPr="00FB2029">
        <w:rPr>
          <w:b/>
        </w:rPr>
        <w:t xml:space="preserve"> and, therefore, not covered in the proposed Regulations.</w:t>
      </w:r>
    </w:p>
    <w:p w14:paraId="4FC35A0F" w14:textId="77777777" w:rsidR="00122C1B" w:rsidRDefault="00122C1B">
      <w:pPr>
        <w:pStyle w:val="NoSpacing"/>
      </w:pPr>
      <w:r>
        <w:t xml:space="preserve">Minimum learner period </w:t>
      </w:r>
    </w:p>
    <w:p w14:paraId="1462C393" w14:textId="77777777" w:rsidR="00122C1B" w:rsidRDefault="00122C1B" w:rsidP="00E03D51">
      <w:pPr>
        <w:pStyle w:val="TextPara"/>
      </w:pPr>
      <w:r>
        <w:t xml:space="preserve">All three stages in the national GLS framework set 12 months as the minimum </w:t>
      </w:r>
      <w:r w:rsidRPr="00807A59">
        <w:t>period that a learner permit must be held before the on-road test for probationary licence can be taken</w:t>
      </w:r>
      <w:r>
        <w:t xml:space="preserve">. </w:t>
      </w:r>
      <w:r w:rsidRPr="00EF432B">
        <w:t xml:space="preserve">The minimum </w:t>
      </w:r>
      <w:r>
        <w:t>period</w:t>
      </w:r>
      <w:r w:rsidRPr="00EF432B">
        <w:t xml:space="preserve"> </w:t>
      </w:r>
      <w:r w:rsidR="0054630B">
        <w:t>of</w:t>
      </w:r>
      <w:r w:rsidRPr="00EF432B">
        <w:t xml:space="preserve"> 1</w:t>
      </w:r>
      <w:r>
        <w:t>2</w:t>
      </w:r>
      <w:r w:rsidRPr="00EF432B">
        <w:t xml:space="preserve"> </w:t>
      </w:r>
      <w:r>
        <w:t xml:space="preserve">months applies </w:t>
      </w:r>
      <w:r w:rsidRPr="00EF432B">
        <w:t>in all Australian jurisdictions</w:t>
      </w:r>
      <w:r>
        <w:t>,</w:t>
      </w:r>
      <w:r w:rsidRPr="00EF432B">
        <w:t xml:space="preserve"> except for the ACT </w:t>
      </w:r>
      <w:r>
        <w:t>and the NT where it is</w:t>
      </w:r>
      <w:r w:rsidRPr="00EF432B">
        <w:t xml:space="preserve"> set at </w:t>
      </w:r>
      <w:r>
        <w:t>6</w:t>
      </w:r>
      <w:r w:rsidRPr="00EF432B">
        <w:t xml:space="preserve"> months</w:t>
      </w:r>
      <w:r>
        <w:t>.</w:t>
      </w:r>
      <w:r w:rsidRPr="00EF432B">
        <w:t xml:space="preserve"> </w:t>
      </w:r>
      <w:r>
        <w:t>In New Zealand it is set at 6 months, while the range in North America is generally 6 to 12 months.</w:t>
      </w:r>
      <w:r w:rsidRPr="00BB69E1">
        <w:t xml:space="preserve"> </w:t>
      </w:r>
    </w:p>
    <w:p w14:paraId="2BF594E0" w14:textId="77777777" w:rsidR="00122C1B" w:rsidRDefault="00122C1B" w:rsidP="00482FDC">
      <w:pPr>
        <w:pStyle w:val="TextPara"/>
      </w:pPr>
      <w:r>
        <w:lastRenderedPageBreak/>
        <w:t>The minimum learner period, combined with supervised driving requirements, is meant to encourage practice driving in a protected environment.</w:t>
      </w:r>
    </w:p>
    <w:p w14:paraId="075D313E" w14:textId="2D3F1047" w:rsidR="00122C1B" w:rsidRDefault="003C568C" w:rsidP="00366CFF">
      <w:pPr>
        <w:pStyle w:val="TextPara"/>
      </w:pPr>
      <w:r>
        <w:t xml:space="preserve">In the case of young persons under the age </w:t>
      </w:r>
      <w:r w:rsidR="002675A6">
        <w:t xml:space="preserve">of 18 years, </w:t>
      </w:r>
      <w:r w:rsidR="00122C1B">
        <w:t>a longer learner period</w:t>
      </w:r>
      <w:r w:rsidR="002D1035">
        <w:t xml:space="preserve"> may apply</w:t>
      </w:r>
      <w:r w:rsidR="00122C1B">
        <w:t xml:space="preserve"> from 16 years </w:t>
      </w:r>
      <w:r w:rsidR="002D1035">
        <w:t xml:space="preserve">due </w:t>
      </w:r>
      <w:r w:rsidR="00122C1B">
        <w:t>to the P1 minimum at 18 years. The relative casualty crash involvement of 18-year-old P1 drivers progressively decreased among those with longer learner durations (9</w:t>
      </w:r>
      <w:r w:rsidR="001D3F7A">
        <w:t xml:space="preserve">-15 months, 15-24 months and </w:t>
      </w:r>
      <w:r w:rsidR="00085755">
        <w:t xml:space="preserve">more than </w:t>
      </w:r>
      <w:r w:rsidR="001D3F7A">
        <w:t>24</w:t>
      </w:r>
      <w:r w:rsidR="00122C1B">
        <w:t xml:space="preserve"> months) compared to 6-9 months only. The rate of involvement was less than 1.0 for those with </w:t>
      </w:r>
      <w:r w:rsidR="00085755">
        <w:t xml:space="preserve">more than </w:t>
      </w:r>
      <w:r w:rsidR="00122C1B">
        <w:t xml:space="preserve">24 months </w:t>
      </w:r>
      <w:r w:rsidR="00F330CD">
        <w:t xml:space="preserve">experience </w:t>
      </w:r>
      <w:r w:rsidR="00122C1B">
        <w:t>compared to over 1.5 for those with 6-9 months</w:t>
      </w:r>
      <w:r w:rsidR="00F330CD">
        <w:t xml:space="preserve"> experience</w:t>
      </w:r>
      <w:r w:rsidR="00122C1B">
        <w:t>.</w:t>
      </w:r>
      <w:r w:rsidR="00122C1B">
        <w:rPr>
          <w:rStyle w:val="EndnoteReference"/>
        </w:rPr>
        <w:endnoteReference w:id="230"/>
      </w:r>
    </w:p>
    <w:p w14:paraId="1D36BF2A" w14:textId="77777777" w:rsidR="00800F1F" w:rsidRDefault="005B688E" w:rsidP="00366CFF">
      <w:pPr>
        <w:pStyle w:val="TextPara"/>
      </w:pPr>
      <w:r>
        <w:t>Having a 12-</w:t>
      </w:r>
      <w:r w:rsidR="00CC4BE4">
        <w:t xml:space="preserve">month minimum period </w:t>
      </w:r>
      <w:r>
        <w:t xml:space="preserve">enables </w:t>
      </w:r>
      <w:r w:rsidR="00CC4BE4">
        <w:t xml:space="preserve">the learner driver </w:t>
      </w:r>
      <w:r>
        <w:t xml:space="preserve">to </w:t>
      </w:r>
      <w:r w:rsidR="00CC4BE4">
        <w:t xml:space="preserve">gain experience over a range of </w:t>
      </w:r>
      <w:r>
        <w:t>driving conditions across the four seasons of the year.</w:t>
      </w:r>
      <w:r w:rsidR="00FD2C84">
        <w:t xml:space="preserve"> </w:t>
      </w:r>
      <w:r w:rsidR="00F078D6">
        <w:t>D</w:t>
      </w:r>
      <w:r w:rsidR="00FD2C84">
        <w:t xml:space="preserve">rivers needing to acquire a licence </w:t>
      </w:r>
      <w:r w:rsidR="00F078D6">
        <w:t>in less</w:t>
      </w:r>
      <w:r w:rsidR="00FD2C84">
        <w:t xml:space="preserve"> than 12 months </w:t>
      </w:r>
      <w:r w:rsidR="00F078D6">
        <w:t>for reasons of employment, education or family circumstances may apply for an exemption so that they are not unduly burdened by this requirement.</w:t>
      </w:r>
    </w:p>
    <w:p w14:paraId="5850651B" w14:textId="77777777" w:rsidR="000A1EE5" w:rsidRDefault="000A1EE5" w:rsidP="00366CFF">
      <w:pPr>
        <w:pStyle w:val="TextPara"/>
      </w:pPr>
      <w:r>
        <w:t>Compared to a base case of no minimum learner pe</w:t>
      </w:r>
      <w:r w:rsidR="00A57A6D">
        <w:t>r</w:t>
      </w:r>
      <w:r>
        <w:t>iod</w:t>
      </w:r>
      <w:r w:rsidR="00A57A6D">
        <w:t xml:space="preserve">, having a 12-month period reduces the risk of casualty crash involvement for P1 drivers and imposes no additional burden as this allows the completion of 120 hours </w:t>
      </w:r>
      <w:r w:rsidR="00A57A6D" w:rsidRPr="00A57A6D">
        <w:t>of supervised driving in the normal course of everyday driving</w:t>
      </w:r>
      <w:r w:rsidR="00A57A6D">
        <w:t>.</w:t>
      </w:r>
      <w:r w:rsidR="00BB08A6">
        <w:t xml:space="preserve"> The </w:t>
      </w:r>
      <w:r w:rsidR="00FF7AD1">
        <w:t>12-month</w:t>
      </w:r>
      <w:r w:rsidR="00BB08A6">
        <w:t xml:space="preserve"> requirement imposes burden to the extent that some drivers who may complete the required hours in less than 12 months are not able to sit the licence test. It is the Department’s opinion that the benefits from reduced risk of casualties and improved road safety is greater than any associated burden imposed by this requirement. Furthermore, by having an exemption, this burden is reduced.</w:t>
      </w:r>
    </w:p>
    <w:p w14:paraId="1F439527" w14:textId="77777777" w:rsidR="00122C1B" w:rsidRPr="00A13441" w:rsidRDefault="000C33B0" w:rsidP="00AD18A2">
      <w:pPr>
        <w:pStyle w:val="TextPara"/>
        <w:rPr>
          <w:b/>
        </w:rPr>
      </w:pPr>
      <w:r>
        <w:rPr>
          <w:b/>
        </w:rPr>
        <w:t>DoT</w:t>
      </w:r>
      <w:r w:rsidR="00122C1B" w:rsidRPr="00A13441">
        <w:rPr>
          <w:b/>
        </w:rPr>
        <w:t>’s</w:t>
      </w:r>
      <w:r w:rsidR="00122C1B" w:rsidRPr="00A13441" w:rsidDel="0061784C">
        <w:rPr>
          <w:b/>
        </w:rPr>
        <w:t xml:space="preserve"> </w:t>
      </w:r>
      <w:r w:rsidR="00122C1B" w:rsidRPr="00A13441">
        <w:rPr>
          <w:b/>
        </w:rPr>
        <w:t>preferred option for this GLS component is to retain the current minimum learner period of 12 months</w:t>
      </w:r>
      <w:r w:rsidR="001C4FC5">
        <w:rPr>
          <w:b/>
        </w:rPr>
        <w:t xml:space="preserve"> as it is </w:t>
      </w:r>
      <w:r w:rsidR="001B4577">
        <w:rPr>
          <w:b/>
        </w:rPr>
        <w:t>consistent with the national GLS framework</w:t>
      </w:r>
      <w:r w:rsidR="00E6540D">
        <w:rPr>
          <w:b/>
        </w:rPr>
        <w:t>. It also</w:t>
      </w:r>
      <w:r w:rsidR="001B4577">
        <w:rPr>
          <w:b/>
        </w:rPr>
        <w:t xml:space="preserve"> </w:t>
      </w:r>
      <w:r w:rsidR="00BD1A9F">
        <w:rPr>
          <w:b/>
        </w:rPr>
        <w:t>provides a reasonable</w:t>
      </w:r>
      <w:r w:rsidR="001B4577">
        <w:rPr>
          <w:b/>
        </w:rPr>
        <w:t xml:space="preserve"> time </w:t>
      </w:r>
      <w:r w:rsidR="00E6540D">
        <w:rPr>
          <w:b/>
        </w:rPr>
        <w:t xml:space="preserve">for learners </w:t>
      </w:r>
      <w:r w:rsidR="001B4577">
        <w:rPr>
          <w:b/>
        </w:rPr>
        <w:t xml:space="preserve">to </w:t>
      </w:r>
      <w:r w:rsidR="00E77E2A">
        <w:rPr>
          <w:b/>
        </w:rPr>
        <w:t>complete</w:t>
      </w:r>
      <w:r w:rsidR="001B4577">
        <w:rPr>
          <w:b/>
        </w:rPr>
        <w:t xml:space="preserve"> 120 hours of supervised driving</w:t>
      </w:r>
      <w:r w:rsidR="00E6540D">
        <w:rPr>
          <w:b/>
        </w:rPr>
        <w:t xml:space="preserve"> to</w:t>
      </w:r>
      <w:r w:rsidR="005D6505">
        <w:rPr>
          <w:b/>
        </w:rPr>
        <w:t xml:space="preserve"> gain enough experience </w:t>
      </w:r>
      <w:r w:rsidR="00C819BD">
        <w:rPr>
          <w:b/>
        </w:rPr>
        <w:t xml:space="preserve">driving in </w:t>
      </w:r>
      <w:r w:rsidR="006A18F9">
        <w:rPr>
          <w:b/>
        </w:rPr>
        <w:t xml:space="preserve">a range of weather and traffic conditions </w:t>
      </w:r>
      <w:r w:rsidR="00E6540D">
        <w:rPr>
          <w:b/>
        </w:rPr>
        <w:t xml:space="preserve">and perceiving road hazards </w:t>
      </w:r>
      <w:r w:rsidR="005D6505">
        <w:rPr>
          <w:b/>
        </w:rPr>
        <w:t xml:space="preserve">to </w:t>
      </w:r>
      <w:r w:rsidR="00C819BD">
        <w:rPr>
          <w:b/>
        </w:rPr>
        <w:t xml:space="preserve">pass </w:t>
      </w:r>
      <w:r w:rsidR="005D6505">
        <w:rPr>
          <w:b/>
        </w:rPr>
        <w:t>the licence test</w:t>
      </w:r>
      <w:r w:rsidR="00A626AC">
        <w:rPr>
          <w:b/>
        </w:rPr>
        <w:t>.</w:t>
      </w:r>
    </w:p>
    <w:p w14:paraId="7EBDB28F" w14:textId="77777777" w:rsidR="00122C1B" w:rsidRDefault="00122C1B">
      <w:pPr>
        <w:pStyle w:val="NoSpacing"/>
      </w:pPr>
      <w:r>
        <w:t xml:space="preserve">Hazard </w:t>
      </w:r>
      <w:r w:rsidR="00F330CD">
        <w:t xml:space="preserve">perception test </w:t>
      </w:r>
      <w:r>
        <w:t>and on-road test for probationary licence</w:t>
      </w:r>
    </w:p>
    <w:p w14:paraId="4E781D65" w14:textId="5281BF00" w:rsidR="00122C1B" w:rsidRDefault="00122C1B" w:rsidP="002B36D5">
      <w:pPr>
        <w:pStyle w:val="TextPara"/>
      </w:pPr>
      <w:r>
        <w:t>All three stages in the national GLS framework set the passing of both a hazard perception test and an on-road drive test as a requirement for learners to obtain a probationary licence.</w:t>
      </w:r>
      <w:r w:rsidR="00A0207A">
        <w:t xml:space="preserve"> Other </w:t>
      </w:r>
      <w:r w:rsidR="00250A30">
        <w:t>tests such as defensive driving courses are not part of the GLS framework.</w:t>
      </w:r>
    </w:p>
    <w:p w14:paraId="710C98DC" w14:textId="77777777" w:rsidR="00122C1B" w:rsidRDefault="00122C1B" w:rsidP="002B36D5">
      <w:pPr>
        <w:pStyle w:val="TextPara"/>
      </w:pPr>
      <w:r>
        <w:t xml:space="preserve">Currently Victoria and Western Australia include a </w:t>
      </w:r>
      <w:r w:rsidR="008D3A89">
        <w:t xml:space="preserve">computer-based </w:t>
      </w:r>
      <w:r>
        <w:t xml:space="preserve">hazard perception test as part of the driver licensing tests to obtain a P1 licence, while in NSW, Queensland and South Australia it is required for the P2 licence. </w:t>
      </w:r>
    </w:p>
    <w:p w14:paraId="0B5122B7" w14:textId="77777777" w:rsidR="00122C1B" w:rsidRDefault="00122C1B" w:rsidP="00287F6A">
      <w:pPr>
        <w:pStyle w:val="TextPara"/>
      </w:pPr>
      <w:r>
        <w:t>After NSW introduced a hazard perception test in 2001, a study by the Roads and Traffic Authority of NSW found that drivers who passed that test on their first attempt were involved in fewer crashes. After controlling for age, gender, education and occupation, those who failed on the first attempt were 10% more likely to have an at-fault crash. Specifically, those failing at their first attempt were 37% more likely to have a fatigue-related at-fault crash, 23% more likely to have an at-fault crash involving a vehicle from an adjacent direction, 17% more likely to have an at-fault injury crash, and 16% more likely to have an at-fault crash at an intersection or a junction.</w:t>
      </w:r>
      <w:r>
        <w:rPr>
          <w:rStyle w:val="EndnoteReference"/>
        </w:rPr>
        <w:endnoteReference w:id="231"/>
      </w:r>
      <w:r>
        <w:t xml:space="preserve"> A large cohort study subsequently found that probationary drivers who failed the test at least twice were more likely to be involved in a crash (not controlling for at-fault status) compared to those who passed the test on the first attempt.</w:t>
      </w:r>
      <w:r>
        <w:rPr>
          <w:rStyle w:val="EndnoteReference"/>
        </w:rPr>
        <w:endnoteReference w:id="232"/>
      </w:r>
    </w:p>
    <w:p w14:paraId="42AD8472" w14:textId="77777777" w:rsidR="00122C1B" w:rsidRDefault="00122C1B" w:rsidP="00894E3B">
      <w:pPr>
        <w:pStyle w:val="TextPara"/>
      </w:pPr>
      <w:r>
        <w:t>In the UK, an electronic theory test for probationary licensing was changed in 2002 to include a hazard perception test. A cohort study following new drivers over three years found this had resulted in at least a 3% decrease in the crash rate during the first year.</w:t>
      </w:r>
      <w:r>
        <w:rPr>
          <w:rStyle w:val="EndnoteReference"/>
        </w:rPr>
        <w:endnoteReference w:id="233"/>
      </w:r>
    </w:p>
    <w:p w14:paraId="15BEEB93" w14:textId="77777777" w:rsidR="00501F39" w:rsidRDefault="00501F39" w:rsidP="00501F39">
      <w:pPr>
        <w:pStyle w:val="TextPara"/>
      </w:pPr>
      <w:r>
        <w:t>The h</w:t>
      </w:r>
      <w:r w:rsidRPr="00361164">
        <w:t xml:space="preserve">azard perception </w:t>
      </w:r>
      <w:r>
        <w:t xml:space="preserve">test verifies the learner’s ability to </w:t>
      </w:r>
      <w:r w:rsidRPr="005C429F">
        <w:t xml:space="preserve">recognise and react to hazards </w:t>
      </w:r>
      <w:r>
        <w:t xml:space="preserve">on the road, </w:t>
      </w:r>
      <w:r w:rsidRPr="005C429F">
        <w:t>such as other vehicles, pedestrians and cyclists</w:t>
      </w:r>
      <w:r>
        <w:t xml:space="preserve">. </w:t>
      </w:r>
      <w:r w:rsidRPr="00DC70F4">
        <w:t xml:space="preserve">Passing </w:t>
      </w:r>
      <w:r>
        <w:t xml:space="preserve">the </w:t>
      </w:r>
      <w:r w:rsidRPr="00DC70F4">
        <w:t xml:space="preserve">test </w:t>
      </w:r>
      <w:r>
        <w:t xml:space="preserve">is a good indication </w:t>
      </w:r>
      <w:r w:rsidRPr="00DC70F4">
        <w:t>that a driver has reached the required level of road safety awareness to drive on their own.</w:t>
      </w:r>
      <w:r>
        <w:t xml:space="preserve"> Research has shown that passing such a </w:t>
      </w:r>
      <w:r w:rsidRPr="00361164">
        <w:t xml:space="preserve">test </w:t>
      </w:r>
      <w:r>
        <w:t xml:space="preserve">could result in at least a 3% reduction in the crash rate in the first year of solo driving. </w:t>
      </w:r>
    </w:p>
    <w:p w14:paraId="586017EE" w14:textId="77777777" w:rsidR="004D7008" w:rsidRDefault="004D7008" w:rsidP="004D7008">
      <w:pPr>
        <w:pStyle w:val="TextPara"/>
      </w:pPr>
      <w:r>
        <w:lastRenderedPageBreak/>
        <w:t xml:space="preserve">The on-road drive test verifies whether the learner is </w:t>
      </w:r>
      <w:r w:rsidRPr="00501F39">
        <w:t xml:space="preserve">ready to drive safely on </w:t>
      </w:r>
      <w:r>
        <w:t>their</w:t>
      </w:r>
      <w:r w:rsidRPr="00501F39">
        <w:t xml:space="preserve"> own with other traffic</w:t>
      </w:r>
      <w:r>
        <w:t xml:space="preserve"> by ensuring that they are able to </w:t>
      </w:r>
      <w:r w:rsidRPr="002D474C">
        <w:t>safely execute normal driving tasks in bus</w:t>
      </w:r>
      <w:r>
        <w:t>y</w:t>
      </w:r>
      <w:r w:rsidRPr="002D474C">
        <w:t xml:space="preserve"> traffic</w:t>
      </w:r>
      <w:r>
        <w:t xml:space="preserve"> conditions. To pass the test learners are required to demonstrate that they are able to do so with minimal non-critical errors. The </w:t>
      </w:r>
      <w:r w:rsidRPr="00EE4C47">
        <w:t xml:space="preserve">test </w:t>
      </w:r>
      <w:r>
        <w:t xml:space="preserve">is terminated </w:t>
      </w:r>
      <w:r w:rsidRPr="00EE4C47">
        <w:t xml:space="preserve">if </w:t>
      </w:r>
      <w:r>
        <w:t>the learners commit a serious error t</w:t>
      </w:r>
      <w:r w:rsidRPr="00EE4C47">
        <w:t xml:space="preserve">hat puts </w:t>
      </w:r>
      <w:r>
        <w:t xml:space="preserve">them </w:t>
      </w:r>
      <w:r w:rsidRPr="00EE4C47">
        <w:t>or other road users at risk</w:t>
      </w:r>
      <w:r>
        <w:t>.</w:t>
      </w:r>
    </w:p>
    <w:p w14:paraId="7982E1C5" w14:textId="77777777" w:rsidR="00122C1B" w:rsidRDefault="00122C1B" w:rsidP="00894E3B">
      <w:pPr>
        <w:pStyle w:val="TextPara"/>
      </w:pPr>
      <w:r>
        <w:t xml:space="preserve">As regards the link between errors made during the on-road drive test and crash risk, </w:t>
      </w:r>
      <w:r w:rsidR="00117D7F">
        <w:t xml:space="preserve">a couple of </w:t>
      </w:r>
      <w:r>
        <w:t>UK studies have found a strong correlation between the two. An early study</w:t>
      </w:r>
      <w:r>
        <w:rPr>
          <w:rStyle w:val="EndnoteReference"/>
        </w:rPr>
        <w:endnoteReference w:id="234"/>
      </w:r>
      <w:r>
        <w:t xml:space="preserve"> concluded that making 12 or more driving errors in the drive test was associated with an increase in crash rates. A more recent cohort study</w:t>
      </w:r>
      <w:r>
        <w:rPr>
          <w:rStyle w:val="EndnoteReference"/>
        </w:rPr>
        <w:endnoteReference w:id="235"/>
      </w:r>
      <w:r>
        <w:t xml:space="preserve"> found that, after adjusting for age, experience and mileage, drivers who passed the on-road drive test at first attempt had a lower crash liability during the first year of driving than those who had to take the test more than once.</w:t>
      </w:r>
    </w:p>
    <w:p w14:paraId="2D1C3A61" w14:textId="77777777" w:rsidR="00D478DA" w:rsidRDefault="002A6E67" w:rsidP="00894E3B">
      <w:pPr>
        <w:pStyle w:val="TextPara"/>
      </w:pPr>
      <w:r>
        <w:t xml:space="preserve">In terms of cost to community, </w:t>
      </w:r>
      <w:r w:rsidR="00D478DA">
        <w:t>the estimated cost of making appointments for and undertaking the hazard perception and drive tests amounts to $39.5m</w:t>
      </w:r>
      <w:r w:rsidR="009F75E6">
        <w:t xml:space="preserve"> p.a</w:t>
      </w:r>
      <w:r w:rsidR="00D478DA">
        <w:t xml:space="preserve">. </w:t>
      </w:r>
      <w:r w:rsidR="009F75E6">
        <w:t>This is based on 208,400 drive tests, 366,900 hazard perception tests</w:t>
      </w:r>
      <w:r w:rsidR="0030737A">
        <w:t xml:space="preserve"> and</w:t>
      </w:r>
      <w:r w:rsidR="009F75E6">
        <w:t xml:space="preserve"> 636,900 appointments for both tests, </w:t>
      </w:r>
      <w:r w:rsidR="0030737A">
        <w:t xml:space="preserve">and includes </w:t>
      </w:r>
      <w:r w:rsidR="009F75E6">
        <w:t xml:space="preserve">the time taken to </w:t>
      </w:r>
      <w:r w:rsidR="0030737A">
        <w:t xml:space="preserve">travel </w:t>
      </w:r>
      <w:r w:rsidR="00D57D09">
        <w:t xml:space="preserve">(an average of 20 minutes each way at an hourly rate of $14.85) </w:t>
      </w:r>
      <w:r w:rsidR="0030737A">
        <w:t xml:space="preserve">for, and undertake </w:t>
      </w:r>
      <w:r w:rsidR="009F75E6">
        <w:t xml:space="preserve">the </w:t>
      </w:r>
      <w:r w:rsidR="0030737A">
        <w:t>tests</w:t>
      </w:r>
      <w:r w:rsidR="00D57D09">
        <w:t xml:space="preserve"> (</w:t>
      </w:r>
      <w:r w:rsidR="00405CBA">
        <w:t>45 minutes for the hazard perception test and 30 minutes for the drive test)</w:t>
      </w:r>
      <w:r w:rsidR="009F75E6">
        <w:t xml:space="preserve">. </w:t>
      </w:r>
    </w:p>
    <w:p w14:paraId="2EF85FCD" w14:textId="77777777" w:rsidR="00B51D70" w:rsidRPr="0080011D" w:rsidRDefault="00493322" w:rsidP="00894E3B">
      <w:pPr>
        <w:pStyle w:val="TextPara"/>
      </w:pPr>
      <w:r>
        <w:t>Without the h</w:t>
      </w:r>
      <w:r w:rsidRPr="00361164">
        <w:t xml:space="preserve">azard perception </w:t>
      </w:r>
      <w:r>
        <w:t>test and</w:t>
      </w:r>
      <w:r w:rsidR="00B51D70">
        <w:t xml:space="preserve"> on-road</w:t>
      </w:r>
      <w:r>
        <w:t xml:space="preserve"> drive</w:t>
      </w:r>
      <w:r w:rsidR="00B51D70">
        <w:t xml:space="preserve"> test there would be no means of verifying a learner’s capability to drive safely on the road.</w:t>
      </w:r>
      <w:r w:rsidR="00B96780">
        <w:t xml:space="preserve"> This would put them and other road users at risk.</w:t>
      </w:r>
      <w:r w:rsidR="00733378" w:rsidRPr="00733378">
        <w:t xml:space="preserve"> </w:t>
      </w:r>
      <w:r w:rsidR="00B4787D">
        <w:t xml:space="preserve">DoT believes that the </w:t>
      </w:r>
      <w:r w:rsidR="00733378">
        <w:t>cost</w:t>
      </w:r>
      <w:r w:rsidR="00B4787D" w:rsidRPr="00B4787D">
        <w:t xml:space="preserve"> </w:t>
      </w:r>
      <w:r w:rsidR="00B4787D">
        <w:t>of these tests to the community is reasonable for assurance of the capability of novice drivers to drive safely before they are issued with a licence.</w:t>
      </w:r>
    </w:p>
    <w:p w14:paraId="097FF6AB" w14:textId="77777777" w:rsidR="00122C1B" w:rsidRPr="00A13441" w:rsidRDefault="000C33B0" w:rsidP="0092776B">
      <w:pPr>
        <w:pStyle w:val="TextPara"/>
        <w:rPr>
          <w:b/>
        </w:rPr>
      </w:pPr>
      <w:r>
        <w:rPr>
          <w:b/>
        </w:rPr>
        <w:t>DoT</w:t>
      </w:r>
      <w:r w:rsidR="00122C1B" w:rsidRPr="00096B9B">
        <w:rPr>
          <w:b/>
        </w:rPr>
        <w:t>’s</w:t>
      </w:r>
      <w:r w:rsidR="00122C1B" w:rsidRPr="00096B9B" w:rsidDel="0061784C">
        <w:rPr>
          <w:b/>
        </w:rPr>
        <w:t xml:space="preserve"> </w:t>
      </w:r>
      <w:r w:rsidR="00122C1B" w:rsidRPr="00A13441">
        <w:rPr>
          <w:b/>
        </w:rPr>
        <w:t xml:space="preserve">preferred option for this GLS component is to retain </w:t>
      </w:r>
      <w:r w:rsidR="00122C1B">
        <w:rPr>
          <w:b/>
        </w:rPr>
        <w:t xml:space="preserve">the current requirement for a learner to pass </w:t>
      </w:r>
      <w:r w:rsidR="00122C1B" w:rsidRPr="00A13441">
        <w:rPr>
          <w:b/>
        </w:rPr>
        <w:t xml:space="preserve">the </w:t>
      </w:r>
      <w:r w:rsidR="00DA625D">
        <w:rPr>
          <w:b/>
        </w:rPr>
        <w:t xml:space="preserve">computer-based </w:t>
      </w:r>
      <w:r w:rsidR="00122C1B" w:rsidRPr="00A13441">
        <w:rPr>
          <w:b/>
        </w:rPr>
        <w:t xml:space="preserve">hazard perception test and </w:t>
      </w:r>
      <w:r w:rsidR="00520DD9">
        <w:rPr>
          <w:b/>
        </w:rPr>
        <w:t>the</w:t>
      </w:r>
      <w:r w:rsidR="00520DD9" w:rsidRPr="00A13441">
        <w:rPr>
          <w:b/>
        </w:rPr>
        <w:t xml:space="preserve"> </w:t>
      </w:r>
      <w:r w:rsidR="00122C1B" w:rsidRPr="00A13441">
        <w:rPr>
          <w:b/>
        </w:rPr>
        <w:t xml:space="preserve">on-road drive test </w:t>
      </w:r>
      <w:r w:rsidR="00122C1B">
        <w:rPr>
          <w:b/>
        </w:rPr>
        <w:t xml:space="preserve">to </w:t>
      </w:r>
      <w:r w:rsidR="00122C1B" w:rsidRPr="00096B9B">
        <w:rPr>
          <w:b/>
        </w:rPr>
        <w:t xml:space="preserve">obtain a P1 </w:t>
      </w:r>
      <w:r w:rsidR="00122C1B">
        <w:rPr>
          <w:b/>
        </w:rPr>
        <w:t xml:space="preserve">probationary </w:t>
      </w:r>
      <w:r w:rsidR="00122C1B" w:rsidRPr="00096B9B">
        <w:rPr>
          <w:b/>
        </w:rPr>
        <w:t>licence.</w:t>
      </w:r>
      <w:r w:rsidR="00DA625D">
        <w:rPr>
          <w:b/>
        </w:rPr>
        <w:t xml:space="preserve"> </w:t>
      </w:r>
      <w:r w:rsidR="00520DD9">
        <w:rPr>
          <w:b/>
        </w:rPr>
        <w:t xml:space="preserve">Passing both tests </w:t>
      </w:r>
      <w:r w:rsidR="00B4787D">
        <w:rPr>
          <w:b/>
        </w:rPr>
        <w:t xml:space="preserve">verifies </w:t>
      </w:r>
      <w:r w:rsidR="00520DD9">
        <w:rPr>
          <w:b/>
        </w:rPr>
        <w:t>that a driver has reached the required level of driving competence and road safety awareness</w:t>
      </w:r>
      <w:r w:rsidR="002F74BD">
        <w:rPr>
          <w:b/>
        </w:rPr>
        <w:t xml:space="preserve"> to drive on their own</w:t>
      </w:r>
      <w:r w:rsidR="00520DD9">
        <w:rPr>
          <w:b/>
        </w:rPr>
        <w:t>.</w:t>
      </w:r>
    </w:p>
    <w:p w14:paraId="0D26C4A2" w14:textId="77777777" w:rsidR="00122C1B" w:rsidRDefault="00122C1B">
      <w:pPr>
        <w:pStyle w:val="NoSpacing"/>
      </w:pPr>
      <w:r>
        <w:t xml:space="preserve">Zero </w:t>
      </w:r>
      <w:r w:rsidR="00F330CD">
        <w:t xml:space="preserve">blood/breath alcohol concentration </w:t>
      </w:r>
      <w:r>
        <w:t>level</w:t>
      </w:r>
    </w:p>
    <w:p w14:paraId="23522B68" w14:textId="77777777" w:rsidR="00122C1B" w:rsidRDefault="00122C1B" w:rsidP="00DB2BCB">
      <w:pPr>
        <w:pStyle w:val="TextPara"/>
      </w:pPr>
      <w:r>
        <w:t>All three stages in the national GLS framework require the setting of zero blood/breath alcohol concentration (</w:t>
      </w:r>
      <w:r w:rsidRPr="00F330CD">
        <w:rPr>
          <w:b/>
        </w:rPr>
        <w:t>BAC</w:t>
      </w:r>
      <w:r>
        <w:t>) level for learners and probationary drivers. All Australian and many overseas jurisdictions place this restriction on such drivers.</w:t>
      </w:r>
    </w:p>
    <w:p w14:paraId="2258033C" w14:textId="77777777" w:rsidR="00122C1B" w:rsidRDefault="00122C1B" w:rsidP="00D17461">
      <w:pPr>
        <w:pStyle w:val="TextPara"/>
      </w:pPr>
      <w:r>
        <w:t xml:space="preserve">The zero BAC limit reduces alcohol related fatal crashes, fatal and injury crashes, and night-time single vehicle crashes significantly </w:t>
      </w:r>
      <w:r w:rsidR="00F330CD">
        <w:t>more</w:t>
      </w:r>
      <w:r>
        <w:t xml:space="preserve"> than other</w:t>
      </w:r>
      <w:r w:rsidR="00F330CD">
        <w:t xml:space="preserve"> BAC</w:t>
      </w:r>
      <w:r>
        <w:t xml:space="preserve"> limits, including low levels such as 0.02%. Six studies from Australia and the United States focusing on the impact of alcohol on crash risk for drivers aged 15-21 found that jurisdictions with a zero BAC experienced an average 22% reduction in night-time single vehicle fatalities compared to</w:t>
      </w:r>
      <w:r w:rsidR="00F330CD">
        <w:t xml:space="preserve"> a</w:t>
      </w:r>
      <w:r>
        <w:t xml:space="preserve"> 17% </w:t>
      </w:r>
      <w:r w:rsidR="00F330CD">
        <w:t xml:space="preserve">reduction </w:t>
      </w:r>
      <w:r>
        <w:t xml:space="preserve">for those with a 0.02% limit, and only </w:t>
      </w:r>
      <w:r w:rsidR="00F330CD">
        <w:t xml:space="preserve">a </w:t>
      </w:r>
      <w:r>
        <w:t>7%</w:t>
      </w:r>
      <w:r w:rsidR="00F330CD">
        <w:t xml:space="preserve"> reduction</w:t>
      </w:r>
      <w:r>
        <w:t xml:space="preserve"> if </w:t>
      </w:r>
      <w:r w:rsidR="00306782">
        <w:t xml:space="preserve">the BAC limit was </w:t>
      </w:r>
      <w:r>
        <w:t>between 0.04% to 0.06%.</w:t>
      </w:r>
      <w:r>
        <w:rPr>
          <w:rStyle w:val="EndnoteReference"/>
        </w:rPr>
        <w:endnoteReference w:id="236"/>
      </w:r>
      <w:r>
        <w:t xml:space="preserve"> Subsequent New Zealand research estimated that young drivers’ fatal crash risk doubles for every 0.02%</w:t>
      </w:r>
      <w:r w:rsidR="00306782">
        <w:t xml:space="preserve"> BAC</w:t>
      </w:r>
      <w:r>
        <w:t xml:space="preserve"> increment.</w:t>
      </w:r>
      <w:r>
        <w:rPr>
          <w:rStyle w:val="EndnoteReference"/>
        </w:rPr>
        <w:endnoteReference w:id="237"/>
      </w:r>
    </w:p>
    <w:p w14:paraId="2580CF18" w14:textId="0262E439" w:rsidR="00122C1B" w:rsidRDefault="00122C1B" w:rsidP="008F0F63">
      <w:pPr>
        <w:pStyle w:val="TextPara"/>
        <w:rPr>
          <w:rFonts w:cs="Segoe UI"/>
        </w:rPr>
      </w:pPr>
      <w:r w:rsidRPr="00795AE7">
        <w:rPr>
          <w:rFonts w:cs="Segoe UI"/>
          <w:lang w:eastAsia="en-AU"/>
        </w:rPr>
        <w:t>The</w:t>
      </w:r>
      <w:r>
        <w:rPr>
          <w:rFonts w:cs="Segoe UI"/>
          <w:lang w:eastAsia="en-AU"/>
        </w:rPr>
        <w:t xml:space="preserve"> 2017</w:t>
      </w:r>
      <w:r w:rsidRPr="00795AE7">
        <w:rPr>
          <w:rFonts w:cs="Segoe UI"/>
          <w:lang w:eastAsia="en-AU"/>
        </w:rPr>
        <w:t xml:space="preserve"> Victorian GLS </w:t>
      </w:r>
      <w:r>
        <w:rPr>
          <w:rFonts w:cs="Segoe UI"/>
          <w:lang w:eastAsia="en-AU"/>
        </w:rPr>
        <w:t>evaluation</w:t>
      </w:r>
      <w:r>
        <w:rPr>
          <w:rFonts w:cs="Segoe UI"/>
          <w:lang w:eastAsia="en-AU"/>
        </w:rPr>
        <w:fldChar w:fldCharType="begin"/>
      </w:r>
      <w:r>
        <w:rPr>
          <w:rFonts w:cs="Segoe UI"/>
          <w:lang w:eastAsia="en-AU"/>
        </w:rPr>
        <w:instrText xml:space="preserve"> NOTEREF _Ref532914106 \f \h </w:instrText>
      </w:r>
      <w:r>
        <w:rPr>
          <w:rFonts w:cs="Segoe UI"/>
          <w:lang w:eastAsia="en-AU"/>
        </w:rPr>
      </w:r>
      <w:r>
        <w:rPr>
          <w:rFonts w:cs="Segoe UI"/>
          <w:lang w:eastAsia="en-AU"/>
        </w:rPr>
        <w:fldChar w:fldCharType="separate"/>
      </w:r>
      <w:r w:rsidR="00EB4B02" w:rsidRPr="00EB4B02">
        <w:rPr>
          <w:rStyle w:val="EndnoteReference"/>
        </w:rPr>
        <w:t>237</w:t>
      </w:r>
      <w:r>
        <w:rPr>
          <w:rFonts w:cs="Segoe UI"/>
          <w:lang w:eastAsia="en-AU"/>
        </w:rPr>
        <w:fldChar w:fldCharType="end"/>
      </w:r>
      <w:r w:rsidRPr="00795AE7">
        <w:rPr>
          <w:rFonts w:cs="Segoe UI"/>
          <w:lang w:eastAsia="en-AU"/>
        </w:rPr>
        <w:t xml:space="preserve"> found that </w:t>
      </w:r>
      <w:r w:rsidRPr="00F23B9E">
        <w:rPr>
          <w:rFonts w:cs="Segoe UI"/>
        </w:rPr>
        <w:t>the enhanced GLS was successful in reducing drink-driving offence rates among drivers aged 18 to 20 years at licence issue</w:t>
      </w:r>
      <w:r>
        <w:rPr>
          <w:rFonts w:cs="Segoe UI"/>
        </w:rPr>
        <w:t xml:space="preserve"> with </w:t>
      </w:r>
      <w:r w:rsidRPr="00F23B9E">
        <w:rPr>
          <w:rFonts w:cs="Segoe UI"/>
        </w:rPr>
        <w:t>the rate of all alcohol offence</w:t>
      </w:r>
      <w:r>
        <w:rPr>
          <w:rFonts w:cs="Segoe UI"/>
        </w:rPr>
        <w:t xml:space="preserve"> rate</w:t>
      </w:r>
      <w:r w:rsidRPr="00F23B9E">
        <w:rPr>
          <w:rFonts w:cs="Segoe UI"/>
        </w:rPr>
        <w:t xml:space="preserve">s </w:t>
      </w:r>
      <w:r>
        <w:rPr>
          <w:rFonts w:cs="Segoe UI"/>
        </w:rPr>
        <w:t xml:space="preserve">falling </w:t>
      </w:r>
      <w:r w:rsidRPr="00F23B9E">
        <w:rPr>
          <w:rFonts w:cs="Segoe UI"/>
        </w:rPr>
        <w:t>by 20.7%.</w:t>
      </w:r>
      <w:r>
        <w:rPr>
          <w:rFonts w:cs="Segoe UI"/>
        </w:rPr>
        <w:t xml:space="preserve"> </w:t>
      </w:r>
      <w:r w:rsidRPr="00F23B9E">
        <w:rPr>
          <w:rFonts w:cs="Segoe UI"/>
        </w:rPr>
        <w:t>For drivers aged 21 to 24 years at licence issue, the overall reduction in alcohol offence</w:t>
      </w:r>
      <w:r>
        <w:rPr>
          <w:rFonts w:cs="Segoe UI"/>
        </w:rPr>
        <w:t xml:space="preserve"> rate</w:t>
      </w:r>
      <w:r w:rsidRPr="00F23B9E">
        <w:rPr>
          <w:rFonts w:cs="Segoe UI"/>
        </w:rPr>
        <w:t xml:space="preserve">s </w:t>
      </w:r>
      <w:r>
        <w:rPr>
          <w:rFonts w:cs="Segoe UI"/>
        </w:rPr>
        <w:t xml:space="preserve">was </w:t>
      </w:r>
      <w:r w:rsidRPr="00F23B9E">
        <w:rPr>
          <w:rFonts w:cs="Segoe UI"/>
        </w:rPr>
        <w:t>25.1%</w:t>
      </w:r>
      <w:r>
        <w:rPr>
          <w:rFonts w:cs="Segoe UI"/>
        </w:rPr>
        <w:t>, albeit within a small sample size</w:t>
      </w:r>
      <w:r w:rsidRPr="00F23B9E">
        <w:rPr>
          <w:rFonts w:cs="Segoe UI"/>
        </w:rPr>
        <w:t>.</w:t>
      </w:r>
      <w:bookmarkStart w:id="344" w:name="_Ref532914106"/>
      <w:r>
        <w:rPr>
          <w:rStyle w:val="EndnoteReference"/>
          <w:rFonts w:cs="Segoe UI"/>
        </w:rPr>
        <w:endnoteReference w:id="238"/>
      </w:r>
      <w:bookmarkEnd w:id="344"/>
      <w:r>
        <w:rPr>
          <w:rFonts w:cs="Segoe UI"/>
        </w:rPr>
        <w:t xml:space="preserve"> These compliance rates relate to a broad range of alcohol-related offences.</w:t>
      </w:r>
    </w:p>
    <w:p w14:paraId="59958B55" w14:textId="77777777" w:rsidR="00122C1B" w:rsidRDefault="00122C1B" w:rsidP="001C0F01">
      <w:pPr>
        <w:pStyle w:val="TextPara"/>
      </w:pPr>
      <w:r>
        <w:t>There is also considerable research showing that even very low BACs impact negatively on driving, including vision, psychomotor skills, information processing, dividing attention, vigilance and drowsiness.</w:t>
      </w:r>
      <w:r>
        <w:rPr>
          <w:rStyle w:val="EndnoteReference"/>
        </w:rPr>
        <w:endnoteReference w:id="239"/>
      </w:r>
      <w:r>
        <w:t xml:space="preserve"> Moreover, this impact is greater on young, novice drivers than older, experienced drivers.</w:t>
      </w:r>
      <w:r>
        <w:rPr>
          <w:rStyle w:val="EndnoteReference"/>
        </w:rPr>
        <w:endnoteReference w:id="240"/>
      </w:r>
      <w:r>
        <w:t xml:space="preserve"> </w:t>
      </w:r>
    </w:p>
    <w:p w14:paraId="590F1DE2" w14:textId="77777777" w:rsidR="00122C1B" w:rsidRPr="00FB2029" w:rsidRDefault="00122C1B" w:rsidP="006A681B">
      <w:pPr>
        <w:pStyle w:val="TextPara"/>
        <w:rPr>
          <w:b/>
        </w:rPr>
      </w:pPr>
      <w:r w:rsidRPr="00FB2029">
        <w:rPr>
          <w:b/>
        </w:rPr>
        <w:t xml:space="preserve">This restriction is </w:t>
      </w:r>
      <w:r w:rsidR="00306782">
        <w:rPr>
          <w:b/>
        </w:rPr>
        <w:t>contained</w:t>
      </w:r>
      <w:r w:rsidRPr="00FB2029">
        <w:rPr>
          <w:b/>
        </w:rPr>
        <w:t xml:space="preserve"> in the </w:t>
      </w:r>
      <w:r w:rsidRPr="00A13441">
        <w:rPr>
          <w:b/>
          <w:i/>
        </w:rPr>
        <w:t>RSA</w:t>
      </w:r>
      <w:r w:rsidRPr="00FB2029">
        <w:rPr>
          <w:b/>
        </w:rPr>
        <w:t xml:space="preserve"> and, therefore, not covered in the proposed Regulations.</w:t>
      </w:r>
    </w:p>
    <w:p w14:paraId="33FA576C" w14:textId="77777777" w:rsidR="00122C1B" w:rsidRDefault="00122C1B">
      <w:pPr>
        <w:pStyle w:val="NoSpacing"/>
      </w:pPr>
      <w:r>
        <w:lastRenderedPageBreak/>
        <w:t>No mobile phone use</w:t>
      </w:r>
    </w:p>
    <w:p w14:paraId="25F8886D" w14:textId="77777777" w:rsidR="00122C1B" w:rsidRDefault="00122C1B" w:rsidP="00723172">
      <w:pPr>
        <w:pStyle w:val="TextPara"/>
      </w:pPr>
      <w:r>
        <w:t xml:space="preserve">All three stages in the national GLS framework prohibit learners and probationary drivers from handheld mobile phone use </w:t>
      </w:r>
      <w:r w:rsidRPr="004D075F">
        <w:t>while driving</w:t>
      </w:r>
      <w:r>
        <w:t xml:space="preserve">, which </w:t>
      </w:r>
      <w:r w:rsidRPr="004D075F">
        <w:t>includ</w:t>
      </w:r>
      <w:r>
        <w:t>es</w:t>
      </w:r>
      <w:r w:rsidRPr="004D075F">
        <w:t xml:space="preserve"> while</w:t>
      </w:r>
      <w:r>
        <w:t xml:space="preserve"> the vehicle is</w:t>
      </w:r>
      <w:r w:rsidRPr="004D075F">
        <w:t xml:space="preserve"> stationary but not parked.</w:t>
      </w:r>
      <w:r>
        <w:t xml:space="preserve"> The Enhanced stage also prohibits </w:t>
      </w:r>
      <w:r w:rsidRPr="00C12EB0">
        <w:t xml:space="preserve">handsfree </w:t>
      </w:r>
      <w:r>
        <w:t xml:space="preserve">use </w:t>
      </w:r>
      <w:r w:rsidRPr="00C12EB0">
        <w:t xml:space="preserve">during </w:t>
      </w:r>
      <w:r>
        <w:t xml:space="preserve">the </w:t>
      </w:r>
      <w:r w:rsidRPr="00C12EB0">
        <w:t>P1</w:t>
      </w:r>
      <w:r>
        <w:t xml:space="preserve"> probationary period and the Exemplar</w:t>
      </w:r>
      <w:r w:rsidR="00306782">
        <w:t xml:space="preserve"> stage prohibits</w:t>
      </w:r>
      <w:r>
        <w:t xml:space="preserve"> </w:t>
      </w:r>
      <w:r w:rsidRPr="00C12EB0">
        <w:t>handsfree phone use during whole probationary period</w:t>
      </w:r>
      <w:r>
        <w:t>. All Australian and most overseas jurisdictions place a mobile phone use restriction on such drivers.</w:t>
      </w:r>
    </w:p>
    <w:p w14:paraId="4A968E4C" w14:textId="77777777" w:rsidR="00122C1B" w:rsidRDefault="00122C1B" w:rsidP="00200BC4">
      <w:pPr>
        <w:pStyle w:val="TextPara"/>
      </w:pPr>
      <w:r w:rsidRPr="004D075F">
        <w:t>Mobile phones and other mobile devices (e.g. DVD players, tablet computers, Smartwatches) are major sources of distraction for young drivers, especially as these drivers are still building experience and developing skills.</w:t>
      </w:r>
      <w:r>
        <w:t xml:space="preserve"> </w:t>
      </w:r>
      <w:r w:rsidRPr="004D075F">
        <w:t xml:space="preserve">Smartwatches linked to phones or other devices perform a range of functions. </w:t>
      </w:r>
      <w:r w:rsidR="00BD7876" w:rsidRPr="004D075F">
        <w:t xml:space="preserve">Road rules </w:t>
      </w:r>
      <w:r w:rsidR="00BD7876">
        <w:t>prohibit</w:t>
      </w:r>
      <w:r w:rsidR="00BD7876" w:rsidRPr="004D075F">
        <w:t xml:space="preserve"> </w:t>
      </w:r>
      <w:r w:rsidR="00BD7876">
        <w:t xml:space="preserve">the use of </w:t>
      </w:r>
      <w:r w:rsidR="00BD7876" w:rsidRPr="004D075F">
        <w:t xml:space="preserve">some </w:t>
      </w:r>
      <w:r w:rsidRPr="004D075F">
        <w:t xml:space="preserve">of these functions </w:t>
      </w:r>
      <w:r w:rsidR="00BD7876">
        <w:t>while driving</w:t>
      </w:r>
      <w:r w:rsidRPr="004D075F">
        <w:t>.</w:t>
      </w:r>
    </w:p>
    <w:p w14:paraId="0CDDC524" w14:textId="77777777" w:rsidR="00122C1B" w:rsidRDefault="00122C1B" w:rsidP="00A13441">
      <w:pPr>
        <w:pStyle w:val="TextPara"/>
        <w:spacing w:after="0"/>
      </w:pPr>
      <w:r w:rsidRPr="005543A0">
        <w:t>Mobile phone use, especially texting, increases crash risk by 4 times and young drivers report significant use while driving.</w:t>
      </w:r>
      <w:r>
        <w:t xml:space="preserve"> A 2017 a Transport Accident Commission survey on mobile phone use while driving found that</w:t>
      </w:r>
      <w:r w:rsidRPr="00D32BFB">
        <w:t xml:space="preserve"> </w:t>
      </w:r>
      <w:r>
        <w:t>18 to 25-year-old</w:t>
      </w:r>
      <w:r w:rsidRPr="003020C9">
        <w:t xml:space="preserve"> </w:t>
      </w:r>
      <w:r>
        <w:t>Victorian drivers were the highest users:</w:t>
      </w:r>
    </w:p>
    <w:p w14:paraId="32E0AD27" w14:textId="77777777" w:rsidR="00122C1B" w:rsidRDefault="00122C1B" w:rsidP="00A13441">
      <w:pPr>
        <w:pStyle w:val="Bullet1-Black"/>
        <w:spacing w:before="60" w:after="0"/>
        <w:ind w:left="386" w:hanging="244"/>
      </w:pPr>
      <w:r>
        <w:t>45% used a mobile phone</w:t>
      </w:r>
    </w:p>
    <w:p w14:paraId="705F780C" w14:textId="77777777" w:rsidR="00122C1B" w:rsidRDefault="00122C1B" w:rsidP="00A13441">
      <w:pPr>
        <w:pStyle w:val="Bullet1-Black"/>
        <w:spacing w:before="60" w:after="0"/>
        <w:ind w:left="386" w:hanging="244"/>
      </w:pPr>
      <w:r>
        <w:t xml:space="preserve">36% read and 20% wrote and sent a text message </w:t>
      </w:r>
    </w:p>
    <w:p w14:paraId="198D5E1F" w14:textId="77777777" w:rsidR="00122C1B" w:rsidRDefault="00122C1B" w:rsidP="00A13441">
      <w:pPr>
        <w:pStyle w:val="Bullet1-Black"/>
        <w:spacing w:before="60" w:after="0"/>
        <w:ind w:left="386" w:hanging="244"/>
      </w:pPr>
      <w:r>
        <w:t>26% answered a call and 17% made a call with a hand-held phone.</w:t>
      </w:r>
    </w:p>
    <w:p w14:paraId="5F60852E" w14:textId="77777777" w:rsidR="00122C1B" w:rsidRDefault="00122C1B" w:rsidP="00107BDA">
      <w:pPr>
        <w:pStyle w:val="TextPara"/>
      </w:pPr>
      <w:r w:rsidRPr="008F32EB">
        <w:t xml:space="preserve">A number of young driver fatal crashes in Victoria have occurred while using mobile </w:t>
      </w:r>
      <w:r>
        <w:t>p</w:t>
      </w:r>
      <w:r w:rsidRPr="008F32EB">
        <w:t xml:space="preserve">hones or sending </w:t>
      </w:r>
      <w:r>
        <w:t>text</w:t>
      </w:r>
      <w:r w:rsidRPr="008F32EB">
        <w:t xml:space="preserve"> messages.</w:t>
      </w:r>
      <w:r>
        <w:rPr>
          <w:rStyle w:val="EndnoteReference"/>
        </w:rPr>
        <w:endnoteReference w:id="241"/>
      </w:r>
      <w:r>
        <w:t xml:space="preserve"> A literature review conducted for Austroads in 2015 found that, while clear evidence of increased crash risk for young drivers from mobile phone use is available (and similar evidence for other technologies</w:t>
      </w:r>
      <w:r w:rsidRPr="002F1DD1">
        <w:t xml:space="preserve"> </w:t>
      </w:r>
      <w:r>
        <w:t>is emerging), there is limited evaluation of restrictions from their use in GLS models in terms of crash risk, and no quantifiable benefits were identified.</w:t>
      </w:r>
      <w:bookmarkStart w:id="345" w:name="_Ref532900867"/>
      <w:r>
        <w:rPr>
          <w:rStyle w:val="EndnoteReference"/>
        </w:rPr>
        <w:endnoteReference w:id="242"/>
      </w:r>
      <w:bookmarkEnd w:id="345"/>
    </w:p>
    <w:p w14:paraId="14E21F37" w14:textId="77777777" w:rsidR="00122C1B" w:rsidRPr="00A13441" w:rsidRDefault="00122C1B" w:rsidP="00107BDA">
      <w:pPr>
        <w:pStyle w:val="TextPara"/>
        <w:rPr>
          <w:b/>
        </w:rPr>
      </w:pPr>
      <w:r w:rsidRPr="00A13441">
        <w:rPr>
          <w:b/>
        </w:rPr>
        <w:t>This restriction is prescribed in the Road Rules and, therefore, not covered in the proposed Regulations.</w:t>
      </w:r>
    </w:p>
    <w:p w14:paraId="41D42ADE" w14:textId="77777777" w:rsidR="00122C1B" w:rsidRDefault="00122C1B">
      <w:pPr>
        <w:pStyle w:val="NoSpacing"/>
      </w:pPr>
      <w:r>
        <w:t>Lower demerit points threshold</w:t>
      </w:r>
    </w:p>
    <w:p w14:paraId="037D4EBC" w14:textId="77777777" w:rsidR="00122C1B" w:rsidRDefault="00122C1B" w:rsidP="00143518">
      <w:pPr>
        <w:pStyle w:val="TextPara"/>
      </w:pPr>
      <w:r>
        <w:t xml:space="preserve">All three stages in the national GLS framework recommend a lower demerit points threshold for learners and probationary drivers. All Australian jurisdictions, except for the ACT, have a lower threshold applicable to such drivers. Currently the lower threshold in Victoria is set at </w:t>
      </w:r>
      <w:r w:rsidRPr="0079014E">
        <w:t xml:space="preserve">5 demerit points in 12 months </w:t>
      </w:r>
      <w:r w:rsidR="00306782">
        <w:t>in addition to the generally applicable</w:t>
      </w:r>
      <w:r w:rsidR="00306782" w:rsidRPr="0079014E">
        <w:t xml:space="preserve"> </w:t>
      </w:r>
      <w:r w:rsidRPr="0079014E">
        <w:t>12 demerit points in 3 years</w:t>
      </w:r>
      <w:r>
        <w:t>.</w:t>
      </w:r>
    </w:p>
    <w:p w14:paraId="79422BBB" w14:textId="15323B2F" w:rsidR="00122C1B" w:rsidRPr="0080011D" w:rsidRDefault="00122C1B" w:rsidP="002A1DC2">
      <w:pPr>
        <w:pStyle w:val="TextPara"/>
      </w:pPr>
      <w:r>
        <w:t>The introduction of demerit point systems generally is associated with crash reductions but no specific evaluation focusing only on reduced demerit point thresholds for young novice drivers was identified in the Austroads 2015 literature review.</w:t>
      </w:r>
      <w:r>
        <w:fldChar w:fldCharType="begin"/>
      </w:r>
      <w:r>
        <w:instrText xml:space="preserve"> NOTEREF _Ref532900867 \f \h </w:instrText>
      </w:r>
      <w:r>
        <w:fldChar w:fldCharType="separate"/>
      </w:r>
      <w:r w:rsidR="00EB4B02" w:rsidRPr="00EB4B02">
        <w:rPr>
          <w:rStyle w:val="EndnoteReference"/>
        </w:rPr>
        <w:t>241</w:t>
      </w:r>
      <w:r>
        <w:fldChar w:fldCharType="end"/>
      </w:r>
      <w:r>
        <w:t xml:space="preserve"> A reduction is, however, consistent with allowing novices to make some errors while first driving independently, but not permitting serious offences.</w:t>
      </w:r>
    </w:p>
    <w:p w14:paraId="7A948FEE" w14:textId="77777777" w:rsidR="00122C1B" w:rsidRPr="00FB2029" w:rsidRDefault="00122C1B" w:rsidP="002A1DC2">
      <w:pPr>
        <w:pStyle w:val="TextPara"/>
        <w:rPr>
          <w:b/>
        </w:rPr>
      </w:pPr>
      <w:r w:rsidRPr="00FB2029">
        <w:rPr>
          <w:b/>
        </w:rPr>
        <w:t xml:space="preserve">This </w:t>
      </w:r>
      <w:r>
        <w:rPr>
          <w:b/>
        </w:rPr>
        <w:t xml:space="preserve">lower </w:t>
      </w:r>
      <w:r w:rsidRPr="0079014E">
        <w:rPr>
          <w:b/>
        </w:rPr>
        <w:t>points threshold for learners and probationary drivers</w:t>
      </w:r>
      <w:r w:rsidRPr="00FB2029">
        <w:rPr>
          <w:b/>
        </w:rPr>
        <w:t xml:space="preserve"> is </w:t>
      </w:r>
      <w:r w:rsidR="00306782">
        <w:rPr>
          <w:b/>
        </w:rPr>
        <w:t>established</w:t>
      </w:r>
      <w:r w:rsidRPr="00FB2029">
        <w:rPr>
          <w:b/>
        </w:rPr>
        <w:t xml:space="preserve"> in the </w:t>
      </w:r>
      <w:r w:rsidRPr="00FB2029">
        <w:rPr>
          <w:b/>
          <w:i/>
        </w:rPr>
        <w:t>RSA</w:t>
      </w:r>
      <w:r w:rsidRPr="00FB2029">
        <w:rPr>
          <w:b/>
        </w:rPr>
        <w:t xml:space="preserve"> and, therefore, not covered in the proposed Regulations.</w:t>
      </w:r>
    </w:p>
    <w:p w14:paraId="306285FD" w14:textId="77777777" w:rsidR="00122C1B" w:rsidRDefault="00122C1B">
      <w:pPr>
        <w:pStyle w:val="NoSpacing"/>
      </w:pPr>
      <w:r>
        <w:t xml:space="preserve">Number of hours of supervised driving </w:t>
      </w:r>
    </w:p>
    <w:p w14:paraId="4EBAFD5F" w14:textId="77777777" w:rsidR="00122C1B" w:rsidRDefault="00122C1B" w:rsidP="00096B9B">
      <w:pPr>
        <w:pStyle w:val="TextPara"/>
      </w:pPr>
      <w:r>
        <w:t xml:space="preserve">The three stages in the national GLS framework recommend different number of supervised driving hours that learners must complete to become eligible for a probationary licence. The Standard Stage recommends 50 hours, the Enhanced </w:t>
      </w:r>
      <w:r w:rsidR="00306782">
        <w:t xml:space="preserve">stage recommends </w:t>
      </w:r>
      <w:r>
        <w:t xml:space="preserve">80 to 100 hours (including 10 hours at night) and the Exemplar </w:t>
      </w:r>
      <w:r w:rsidR="00306782">
        <w:t xml:space="preserve">stage recommends </w:t>
      </w:r>
      <w:r>
        <w:t>100 to 120 hours (including 20 hours at night).</w:t>
      </w:r>
    </w:p>
    <w:p w14:paraId="769703C5" w14:textId="77777777" w:rsidR="00D54F0E" w:rsidRPr="002B4994" w:rsidRDefault="00D54F0E" w:rsidP="00096B9B">
      <w:pPr>
        <w:pStyle w:val="TextPara"/>
        <w:rPr>
          <w:b/>
          <w:color w:val="595959" w:themeColor="text1" w:themeTint="A6"/>
        </w:rPr>
      </w:pPr>
      <w:r w:rsidRPr="002B4994">
        <w:rPr>
          <w:b/>
          <w:color w:val="595959" w:themeColor="text1" w:themeTint="A6"/>
        </w:rPr>
        <w:t>Reduc</w:t>
      </w:r>
      <w:r w:rsidR="007466F3" w:rsidRPr="002B4994">
        <w:rPr>
          <w:b/>
          <w:color w:val="595959" w:themeColor="text1" w:themeTint="A6"/>
        </w:rPr>
        <w:t>ing</w:t>
      </w:r>
      <w:r w:rsidRPr="002B4994">
        <w:rPr>
          <w:b/>
          <w:color w:val="595959" w:themeColor="text1" w:themeTint="A6"/>
        </w:rPr>
        <w:t xml:space="preserve"> crash risk</w:t>
      </w:r>
      <w:r w:rsidR="007466F3" w:rsidRPr="002B4994">
        <w:rPr>
          <w:b/>
          <w:color w:val="595959" w:themeColor="text1" w:themeTint="A6"/>
        </w:rPr>
        <w:t xml:space="preserve"> during the P1 probationary period</w:t>
      </w:r>
    </w:p>
    <w:p w14:paraId="1A7889BD" w14:textId="77777777" w:rsidR="00122C1B" w:rsidRDefault="00122C1B" w:rsidP="00096B9B">
      <w:pPr>
        <w:pStyle w:val="TextPara"/>
      </w:pPr>
      <w:r>
        <w:t>Currently in Victoria learners under the age of 21 years must undertake at least 120 hours of supervised driving, which must be recorded in a paper-based or electronic</w:t>
      </w:r>
      <w:r w:rsidR="00FD6DE5">
        <w:t xml:space="preserve"> learner log book</w:t>
      </w:r>
      <w:r w:rsidR="00707CF5">
        <w:t xml:space="preserve"> </w:t>
      </w:r>
      <w:r w:rsidR="00E03653">
        <w:t>mobile app</w:t>
      </w:r>
      <w:r w:rsidR="008D6911">
        <w:t>lication</w:t>
      </w:r>
      <w:r w:rsidR="00E03653">
        <w:t xml:space="preserve"> </w:t>
      </w:r>
      <w:r>
        <w:t>published by VicRoads.</w:t>
      </w:r>
      <w:r>
        <w:rPr>
          <w:rStyle w:val="EndnoteReference"/>
        </w:rPr>
        <w:endnoteReference w:id="243"/>
      </w:r>
      <w:r>
        <w:t xml:space="preserve"> T</w:t>
      </w:r>
      <w:r w:rsidRPr="0043076B">
        <w:t xml:space="preserve">he </w:t>
      </w:r>
      <w:r>
        <w:t xml:space="preserve">supervised </w:t>
      </w:r>
      <w:r w:rsidRPr="0043076B">
        <w:t xml:space="preserve">driving experience must include </w:t>
      </w:r>
      <w:r>
        <w:t xml:space="preserve">20 hours of night driving. The </w:t>
      </w:r>
      <w:r>
        <w:lastRenderedPageBreak/>
        <w:t>reason for requiring a l</w:t>
      </w:r>
      <w:r w:rsidRPr="006B114C">
        <w:t>onger</w:t>
      </w:r>
      <w:r>
        <w:t xml:space="preserve"> learner permit</w:t>
      </w:r>
      <w:r w:rsidRPr="006B114C">
        <w:t xml:space="preserve"> holding </w:t>
      </w:r>
      <w:r>
        <w:t xml:space="preserve">period for those aged under 21 years is to provide them with adequate </w:t>
      </w:r>
      <w:r w:rsidRPr="006B114C">
        <w:t xml:space="preserve">time to </w:t>
      </w:r>
      <w:r>
        <w:t>perform the required</w:t>
      </w:r>
      <w:r w:rsidRPr="006B114C">
        <w:t xml:space="preserve"> 120 hours</w:t>
      </w:r>
      <w:r>
        <w:t xml:space="preserve"> of supervised driving and gain</w:t>
      </w:r>
      <w:r w:rsidRPr="00052E0D">
        <w:t xml:space="preserve"> </w:t>
      </w:r>
      <w:r>
        <w:t>more extensive driving experience necessary to reduce their crash risk especially during their first year of solo driving</w:t>
      </w:r>
      <w:r w:rsidRPr="006B114C">
        <w:t xml:space="preserve">. </w:t>
      </w:r>
    </w:p>
    <w:p w14:paraId="1D48E42A" w14:textId="77777777" w:rsidR="00122C1B" w:rsidRDefault="00122C1B" w:rsidP="00096B9B">
      <w:pPr>
        <w:pStyle w:val="TextPara"/>
      </w:pPr>
      <w:r>
        <w:rPr>
          <w:rFonts w:cs="Segoe UI"/>
          <w:lang w:eastAsia="en-AU"/>
        </w:rPr>
        <w:t>Prescribing a</w:t>
      </w:r>
      <w:r w:rsidRPr="00795AE7">
        <w:rPr>
          <w:rFonts w:cs="Segoe UI"/>
          <w:lang w:eastAsia="en-AU"/>
        </w:rPr>
        <w:t xml:space="preserve"> compulsory minimum of 120 hours of logged supervised learner driving practice</w:t>
      </w:r>
      <w:r>
        <w:rPr>
          <w:rFonts w:cs="Segoe UI"/>
          <w:lang w:eastAsia="en-AU"/>
        </w:rPr>
        <w:t xml:space="preserve"> </w:t>
      </w:r>
      <w:r>
        <w:t>(inclusive of 20 hours night driving) is consistent with the requirements under the national Exemplar GLS model which sets a range of 100 to 120 hours (inclusive of 10 to 20 hours night driving). Research shows that learners who received about 118 hours of supervised experience had up to 35% fewer crashes than those who received only 41-47 hours.</w:t>
      </w:r>
      <w:r w:rsidR="00BE0D30">
        <w:rPr>
          <w:rStyle w:val="EndnoteReference"/>
        </w:rPr>
        <w:endnoteReference w:id="244"/>
      </w:r>
      <w:r>
        <w:t xml:space="preserve"> </w:t>
      </w:r>
      <w:r w:rsidR="002E7A55">
        <w:t xml:space="preserve">No specific research has been done analysing the effect of 100 hours driving experience, the lower bound of the exemplar GLS framework, on crash rates. </w:t>
      </w:r>
      <w:r>
        <w:t>Later research also showed that, those who practised more as learner drivers had lower crash involvement after licensing</w:t>
      </w:r>
      <w:r>
        <w:rPr>
          <w:rStyle w:val="EndnoteReference"/>
        </w:rPr>
        <w:endnoteReference w:id="245"/>
      </w:r>
      <w:r>
        <w:t xml:space="preserve"> and fewer safety-critical driving errors in an on-road assessment.</w:t>
      </w:r>
      <w:r>
        <w:rPr>
          <w:rStyle w:val="EndnoteReference"/>
        </w:rPr>
        <w:endnoteReference w:id="246"/>
      </w:r>
    </w:p>
    <w:p w14:paraId="1065E432" w14:textId="77777777" w:rsidR="00122C1B" w:rsidRDefault="00122C1B" w:rsidP="00096B9B">
      <w:pPr>
        <w:pStyle w:val="TextPara"/>
        <w:rPr>
          <w:rFonts w:cs="Segoe UI"/>
          <w:lang w:eastAsia="en-AU"/>
        </w:rPr>
      </w:pPr>
      <w:r>
        <w:rPr>
          <w:rFonts w:cs="Segoe UI"/>
          <w:lang w:eastAsia="en-AU"/>
        </w:rPr>
        <w:t>The number of hours of mandatory supervised practice and the age group, to whom it applies, var</w:t>
      </w:r>
      <w:r w:rsidR="00306782">
        <w:rPr>
          <w:rFonts w:cs="Segoe UI"/>
          <w:lang w:eastAsia="en-AU"/>
        </w:rPr>
        <w:t>y</w:t>
      </w:r>
      <w:r>
        <w:rPr>
          <w:rFonts w:cs="Segoe UI"/>
          <w:lang w:eastAsia="en-AU"/>
        </w:rPr>
        <w:t xml:space="preserve"> among Australian jurisdictions. </w:t>
      </w:r>
      <w:r w:rsidRPr="00795AE7">
        <w:rPr>
          <w:rFonts w:cs="Segoe UI"/>
          <w:lang w:eastAsia="en-AU"/>
        </w:rPr>
        <w:t>While both Victoria and NSW prescribe th</w:t>
      </w:r>
      <w:r>
        <w:rPr>
          <w:rFonts w:cs="Segoe UI"/>
          <w:lang w:eastAsia="en-AU"/>
        </w:rPr>
        <w:t xml:space="preserve">e same </w:t>
      </w:r>
      <w:r w:rsidRPr="00795AE7">
        <w:rPr>
          <w:rFonts w:cs="Segoe UI"/>
          <w:lang w:eastAsia="en-AU"/>
        </w:rPr>
        <w:t>number of hours, in Victoria it applies to learners under 21 years of age and in NSW to those under 25 years of age. Queensland prescribes a minimum of 100 hours for learners under 25 years. Both Victoria and NSW prescribe a minimum of 20 hours of night time driving, which is included in the 120 hours, while Queensland prescribes 10 hours.</w:t>
      </w:r>
      <w:r w:rsidRPr="00932758">
        <w:t xml:space="preserve"> </w:t>
      </w:r>
      <w:r w:rsidRPr="00691BB7">
        <w:rPr>
          <w:rFonts w:cs="Segoe UI"/>
          <w:lang w:eastAsia="en-AU"/>
        </w:rPr>
        <w:t xml:space="preserve">Research suggests that setting a </w:t>
      </w:r>
      <w:r>
        <w:rPr>
          <w:rFonts w:cs="Segoe UI"/>
          <w:lang w:eastAsia="en-AU"/>
        </w:rPr>
        <w:t xml:space="preserve">supervised practice </w:t>
      </w:r>
      <w:r w:rsidRPr="00691BB7">
        <w:rPr>
          <w:rFonts w:cs="Segoe UI"/>
          <w:lang w:eastAsia="en-AU"/>
        </w:rPr>
        <w:t xml:space="preserve">requirement </w:t>
      </w:r>
      <w:r>
        <w:rPr>
          <w:rFonts w:cs="Segoe UI"/>
          <w:lang w:eastAsia="en-AU"/>
        </w:rPr>
        <w:t>of</w:t>
      </w:r>
      <w:r w:rsidRPr="00691BB7">
        <w:rPr>
          <w:rFonts w:cs="Segoe UI"/>
          <w:lang w:eastAsia="en-AU"/>
        </w:rPr>
        <w:t xml:space="preserve"> between 80 and 120 hours </w:t>
      </w:r>
      <w:r>
        <w:rPr>
          <w:rFonts w:cs="Segoe UI"/>
          <w:lang w:eastAsia="en-AU"/>
        </w:rPr>
        <w:t>results in crash reduction benefits</w:t>
      </w:r>
      <w:r w:rsidRPr="00691BB7">
        <w:rPr>
          <w:rFonts w:cs="Segoe UI"/>
          <w:lang w:eastAsia="en-AU"/>
        </w:rPr>
        <w:t>.</w:t>
      </w:r>
      <w:r>
        <w:rPr>
          <w:rStyle w:val="EndnoteReference"/>
          <w:rFonts w:cs="Segoe UI"/>
          <w:lang w:eastAsia="en-AU"/>
        </w:rPr>
        <w:endnoteReference w:id="247"/>
      </w:r>
      <w:r w:rsidRPr="00691BB7">
        <w:rPr>
          <w:rFonts w:cs="Segoe UI"/>
          <w:lang w:eastAsia="en-AU"/>
        </w:rPr>
        <w:t xml:space="preserve"> Significant crash reductions were recorded in</w:t>
      </w:r>
      <w:r>
        <w:rPr>
          <w:rFonts w:cs="Segoe UI"/>
          <w:lang w:eastAsia="en-AU"/>
        </w:rPr>
        <w:t xml:space="preserve"> </w:t>
      </w:r>
      <w:r w:rsidRPr="00691BB7">
        <w:rPr>
          <w:rFonts w:cs="Segoe UI"/>
          <w:lang w:eastAsia="en-AU"/>
        </w:rPr>
        <w:t xml:space="preserve">Victoria and Queensland after they introduced a GLS requirement </w:t>
      </w:r>
      <w:r>
        <w:rPr>
          <w:rFonts w:cs="Segoe UI"/>
          <w:lang w:eastAsia="en-AU"/>
        </w:rPr>
        <w:t>of</w:t>
      </w:r>
      <w:r w:rsidRPr="00691BB7">
        <w:rPr>
          <w:rFonts w:cs="Segoe UI"/>
          <w:lang w:eastAsia="en-AU"/>
        </w:rPr>
        <w:t xml:space="preserve"> 120 hours and 100 hours respectively.</w:t>
      </w:r>
      <w:bookmarkStart w:id="346" w:name="_Ref513040195"/>
      <w:r>
        <w:rPr>
          <w:rStyle w:val="EndnoteReference"/>
          <w:rFonts w:cs="Segoe UI"/>
          <w:lang w:eastAsia="en-AU"/>
        </w:rPr>
        <w:endnoteReference w:id="248"/>
      </w:r>
      <w:bookmarkEnd w:id="346"/>
      <w:r w:rsidRPr="00691BB7">
        <w:rPr>
          <w:rFonts w:cs="Segoe UI"/>
          <w:lang w:eastAsia="en-AU"/>
        </w:rPr>
        <w:t xml:space="preserve"> </w:t>
      </w:r>
    </w:p>
    <w:p w14:paraId="2FF009D6" w14:textId="21BA46C8" w:rsidR="00122C1B" w:rsidRDefault="00122C1B" w:rsidP="00096B9B">
      <w:pPr>
        <w:pStyle w:val="TextPara"/>
      </w:pPr>
      <w:r>
        <w:t>The reason why Victoria has not applied the mandatory 120 hours requirement for learners over the age of 21 years is that they have been found to have a much lower crash risk than younger inexperienced drivers</w:t>
      </w:r>
      <w:bookmarkStart w:id="347" w:name="_Ref508360261"/>
      <w:r>
        <w:t>.</w:t>
      </w:r>
      <w:r>
        <w:rPr>
          <w:rStyle w:val="EndnoteReference"/>
        </w:rPr>
        <w:endnoteReference w:id="249"/>
      </w:r>
      <w:bookmarkEnd w:id="347"/>
      <w:r>
        <w:rPr>
          <w:vertAlign w:val="superscript"/>
        </w:rPr>
        <w:t xml:space="preserve"> </w:t>
      </w:r>
      <w:r>
        <w:t xml:space="preserve">Moreover, it minimises restrictions and burdens on this older group, considering that </w:t>
      </w:r>
      <w:r w:rsidRPr="00BB309B">
        <w:t xml:space="preserve">many </w:t>
      </w:r>
      <w:r>
        <w:t xml:space="preserve">of them </w:t>
      </w:r>
      <w:r w:rsidRPr="00BB309B">
        <w:t>w</w:t>
      </w:r>
      <w:r>
        <w:t>ould</w:t>
      </w:r>
      <w:r w:rsidRPr="00BB309B">
        <w:t xml:space="preserve"> not be living at home with </w:t>
      </w:r>
      <w:r>
        <w:t xml:space="preserve">the </w:t>
      </w:r>
      <w:r w:rsidRPr="00BB309B">
        <w:t>support of family members</w:t>
      </w:r>
      <w:r>
        <w:t>. The difference in crash risk for older novice drivers may be due to increased age</w:t>
      </w:r>
      <w:r>
        <w:rPr>
          <w:rStyle w:val="EndnoteReference"/>
        </w:rPr>
        <w:endnoteReference w:id="250"/>
      </w:r>
      <w:r>
        <w:t xml:space="preserve"> providing some protection against inexperience through reduced motivation to take risks (for example, less speeding), greater cautiousness and safer travel patterns (for example, less recreational driving with peer passengers at night).</w:t>
      </w:r>
      <w:r w:rsidRPr="00F42B10">
        <w:rPr>
          <w:vertAlign w:val="superscript"/>
        </w:rPr>
        <w:fldChar w:fldCharType="begin"/>
      </w:r>
      <w:r w:rsidRPr="00F42B10">
        <w:rPr>
          <w:vertAlign w:val="superscript"/>
        </w:rPr>
        <w:instrText xml:space="preserve"> NOTEREF _Ref508360261 \h </w:instrText>
      </w:r>
      <w:r>
        <w:rPr>
          <w:vertAlign w:val="superscript"/>
        </w:rPr>
        <w:instrText xml:space="preserve"> \* MERGEFORMAT </w:instrText>
      </w:r>
      <w:r w:rsidRPr="00F42B10">
        <w:rPr>
          <w:vertAlign w:val="superscript"/>
        </w:rPr>
      </w:r>
      <w:r w:rsidRPr="00F42B10">
        <w:rPr>
          <w:vertAlign w:val="superscript"/>
        </w:rPr>
        <w:fldChar w:fldCharType="separate"/>
      </w:r>
      <w:r w:rsidR="00EB4B02">
        <w:rPr>
          <w:vertAlign w:val="superscript"/>
        </w:rPr>
        <w:t>248</w:t>
      </w:r>
      <w:r w:rsidRPr="00F42B10">
        <w:rPr>
          <w:vertAlign w:val="superscript"/>
        </w:rPr>
        <w:fldChar w:fldCharType="end"/>
      </w:r>
    </w:p>
    <w:p w14:paraId="26B62F02" w14:textId="785BB688" w:rsidR="00122C1B" w:rsidRPr="00795AE7" w:rsidRDefault="00122C1B" w:rsidP="00F4115C">
      <w:pPr>
        <w:pStyle w:val="TextPara"/>
        <w:rPr>
          <w:rFonts w:cs="Segoe UI"/>
          <w:lang w:eastAsia="en-AU"/>
        </w:rPr>
      </w:pPr>
      <w:r w:rsidRPr="00795AE7">
        <w:rPr>
          <w:rFonts w:cs="Segoe UI"/>
          <w:lang w:eastAsia="en-AU"/>
        </w:rPr>
        <w:t>The</w:t>
      </w:r>
      <w:r>
        <w:rPr>
          <w:rFonts w:cs="Segoe UI"/>
          <w:lang w:eastAsia="en-AU"/>
        </w:rPr>
        <w:t xml:space="preserve"> 2017</w:t>
      </w:r>
      <w:r w:rsidRPr="00795AE7">
        <w:rPr>
          <w:rFonts w:cs="Segoe UI"/>
          <w:lang w:eastAsia="en-AU"/>
        </w:rPr>
        <w:t xml:space="preserve"> Victorian GLS </w:t>
      </w:r>
      <w:r>
        <w:rPr>
          <w:rFonts w:cs="Segoe UI"/>
          <w:lang w:eastAsia="en-AU"/>
        </w:rPr>
        <w:t>evaluation</w:t>
      </w:r>
      <w:r w:rsidRPr="00795AE7">
        <w:rPr>
          <w:rFonts w:cs="Segoe UI"/>
          <w:lang w:eastAsia="en-AU"/>
        </w:rPr>
        <w:t xml:space="preserve"> found that the crash involvement rates of learner drivers decreased from pre</w:t>
      </w:r>
      <w:r>
        <w:rPr>
          <w:rFonts w:cs="Segoe UI"/>
          <w:lang w:eastAsia="en-AU"/>
        </w:rPr>
        <w:t>-</w:t>
      </w:r>
      <w:r w:rsidRPr="00795AE7">
        <w:rPr>
          <w:rFonts w:cs="Segoe UI"/>
          <w:lang w:eastAsia="en-AU"/>
        </w:rPr>
        <w:t xml:space="preserve"> to post-GLS and the total number of learner drivers in overall young driver crash involvements continues to be very small.</w:t>
      </w:r>
      <w:r w:rsidRPr="00795AE7">
        <w:rPr>
          <w:rStyle w:val="EndnoteReference"/>
          <w:rFonts w:cs="Segoe UI"/>
          <w:lang w:eastAsia="en-AU"/>
        </w:rPr>
        <w:endnoteReference w:id="251"/>
      </w:r>
      <w:r w:rsidRPr="00795AE7">
        <w:rPr>
          <w:rFonts w:cs="Segoe UI"/>
          <w:lang w:eastAsia="en-AU"/>
        </w:rPr>
        <w:t xml:space="preserve"> This conclusion was based on an analysis of a time series of learner driver crash rates </w:t>
      </w:r>
      <w:r>
        <w:rPr>
          <w:rFonts w:cs="Segoe UI"/>
          <w:lang w:eastAsia="en-AU"/>
        </w:rPr>
        <w:t xml:space="preserve">over </w:t>
      </w:r>
      <w:r w:rsidRPr="00795AE7">
        <w:rPr>
          <w:rFonts w:cs="Segoe UI"/>
          <w:lang w:eastAsia="en-AU"/>
        </w:rPr>
        <w:t xml:space="preserve">13 years </w:t>
      </w:r>
      <w:r>
        <w:rPr>
          <w:rFonts w:cs="Segoe UI"/>
          <w:lang w:eastAsia="en-AU"/>
        </w:rPr>
        <w:t>from 2001–02 to 2013–14</w:t>
      </w:r>
      <w:r w:rsidRPr="00795AE7">
        <w:rPr>
          <w:rFonts w:cs="Segoe UI"/>
          <w:lang w:eastAsia="en-AU"/>
        </w:rPr>
        <w:t>.</w:t>
      </w:r>
    </w:p>
    <w:p w14:paraId="36363884" w14:textId="0AF2318D" w:rsidR="00122C1B" w:rsidRPr="00795AE7" w:rsidRDefault="00122C1B" w:rsidP="00096B9B">
      <w:pPr>
        <w:pStyle w:val="TextPara"/>
        <w:rPr>
          <w:rFonts w:cs="Segoe UI"/>
          <w:lang w:eastAsia="en-AU"/>
        </w:rPr>
      </w:pPr>
      <w:r>
        <w:t xml:space="preserve">On the issue of the optimal number of hours of supervised driving, </w:t>
      </w:r>
      <w:r w:rsidRPr="00795AE7">
        <w:rPr>
          <w:rFonts w:cs="Segoe UI"/>
          <w:lang w:eastAsia="en-AU"/>
        </w:rPr>
        <w:t>a 2015 Austroads</w:t>
      </w:r>
      <w:r>
        <w:rPr>
          <w:rFonts w:cs="Segoe UI"/>
          <w:lang w:eastAsia="en-AU"/>
        </w:rPr>
        <w:t>-</w:t>
      </w:r>
      <w:r w:rsidRPr="00795AE7">
        <w:rPr>
          <w:rFonts w:cs="Segoe UI"/>
          <w:lang w:eastAsia="en-AU"/>
        </w:rPr>
        <w:t xml:space="preserve">commissioned review of the research literature </w:t>
      </w:r>
      <w:r>
        <w:rPr>
          <w:rFonts w:cs="Segoe UI"/>
          <w:lang w:eastAsia="en-AU"/>
        </w:rPr>
        <w:t>about</w:t>
      </w:r>
      <w:r w:rsidRPr="00795AE7">
        <w:rPr>
          <w:rFonts w:cs="Segoe UI"/>
          <w:lang w:eastAsia="en-AU"/>
        </w:rPr>
        <w:t xml:space="preserve"> the effective components of GLS systems found that “the evidence for a specific optimal number of supervised hours is inconclusive, although more appears </w:t>
      </w:r>
      <w:r>
        <w:rPr>
          <w:rFonts w:cs="Segoe UI"/>
          <w:lang w:eastAsia="en-AU"/>
        </w:rPr>
        <w:t xml:space="preserve">[to be] </w:t>
      </w:r>
      <w:r w:rsidRPr="00795AE7">
        <w:rPr>
          <w:rFonts w:cs="Segoe UI"/>
          <w:lang w:eastAsia="en-AU"/>
        </w:rPr>
        <w:t>better than less, at least perhaps up to the 7,000 km (rounded estimate 120-140 hours) threshold reported in Norway,</w:t>
      </w:r>
      <w:r w:rsidRPr="00795AE7">
        <w:rPr>
          <w:rStyle w:val="EndnoteReference"/>
          <w:rFonts w:cs="Segoe UI"/>
          <w:lang w:eastAsia="en-AU"/>
        </w:rPr>
        <w:endnoteReference w:id="252"/>
      </w:r>
      <w:r w:rsidRPr="00795AE7">
        <w:rPr>
          <w:rFonts w:cs="Segoe UI"/>
          <w:lang w:eastAsia="en-AU"/>
        </w:rPr>
        <w:t xml:space="preserve"> with at least 80 hours preferable over 50 hours as a minimum.”</w:t>
      </w:r>
      <w:bookmarkStart w:id="348" w:name="_Ref507152423"/>
      <w:r w:rsidRPr="00795AE7">
        <w:rPr>
          <w:rStyle w:val="EndnoteReference"/>
          <w:rFonts w:cs="Segoe UI"/>
          <w:lang w:eastAsia="en-AU"/>
        </w:rPr>
        <w:endnoteReference w:id="253"/>
      </w:r>
      <w:bookmarkEnd w:id="348"/>
      <w:r w:rsidRPr="00795AE7">
        <w:rPr>
          <w:rFonts w:cs="Segoe UI"/>
          <w:lang w:eastAsia="en-AU"/>
        </w:rPr>
        <w:t xml:space="preserve"> The literature review also noted that if a high number of hours such as 80-120 is </w:t>
      </w:r>
      <w:r>
        <w:rPr>
          <w:rFonts w:cs="Segoe UI"/>
          <w:lang w:eastAsia="en-AU"/>
        </w:rPr>
        <w:t>prescribed</w:t>
      </w:r>
      <w:r w:rsidRPr="00795AE7">
        <w:rPr>
          <w:rFonts w:cs="Segoe UI"/>
          <w:lang w:eastAsia="en-AU"/>
        </w:rPr>
        <w:t xml:space="preserve">, benefits might also result simply </w:t>
      </w:r>
      <w:r>
        <w:rPr>
          <w:rFonts w:cs="Segoe UI"/>
          <w:lang w:eastAsia="en-AU"/>
        </w:rPr>
        <w:t>from the</w:t>
      </w:r>
      <w:r w:rsidRPr="00795AE7">
        <w:rPr>
          <w:rFonts w:cs="Segoe UI"/>
          <w:lang w:eastAsia="en-AU"/>
        </w:rPr>
        <w:t xml:space="preserve"> delay</w:t>
      </w:r>
      <w:r>
        <w:rPr>
          <w:rFonts w:cs="Segoe UI"/>
          <w:lang w:eastAsia="en-AU"/>
        </w:rPr>
        <w:t xml:space="preserve"> in getting a probationary licence</w:t>
      </w:r>
      <w:r w:rsidRPr="00795AE7">
        <w:rPr>
          <w:rFonts w:cs="Segoe UI"/>
          <w:lang w:eastAsia="en-AU"/>
        </w:rPr>
        <w:t xml:space="preserve">, </w:t>
      </w:r>
      <w:r>
        <w:rPr>
          <w:rFonts w:cs="Segoe UI"/>
          <w:lang w:eastAsia="en-AU"/>
        </w:rPr>
        <w:t>“</w:t>
      </w:r>
      <w:r w:rsidRPr="00795AE7">
        <w:rPr>
          <w:rFonts w:cs="Segoe UI"/>
          <w:lang w:eastAsia="en-AU"/>
        </w:rPr>
        <w:t>thereby contributing to crash reductions due to older age at licensure and reduced numbers of independent drivers at the minimum licensing age.”</w:t>
      </w:r>
      <w:r>
        <w:rPr>
          <w:rFonts w:cs="Segoe UI"/>
          <w:lang w:eastAsia="en-AU"/>
        </w:rPr>
        <w:fldChar w:fldCharType="begin"/>
      </w:r>
      <w:r>
        <w:rPr>
          <w:rFonts w:cs="Segoe UI"/>
          <w:lang w:eastAsia="en-AU"/>
        </w:rPr>
        <w:instrText xml:space="preserve"> NOTEREF _Ref507152423 \f \h </w:instrText>
      </w:r>
      <w:r>
        <w:rPr>
          <w:rFonts w:cs="Segoe UI"/>
          <w:lang w:eastAsia="en-AU"/>
        </w:rPr>
      </w:r>
      <w:r>
        <w:rPr>
          <w:rFonts w:cs="Segoe UI"/>
          <w:lang w:eastAsia="en-AU"/>
        </w:rPr>
        <w:fldChar w:fldCharType="separate"/>
      </w:r>
      <w:r w:rsidR="00EB4B02" w:rsidRPr="00EB4B02">
        <w:rPr>
          <w:rStyle w:val="EndnoteReference"/>
        </w:rPr>
        <w:t>252</w:t>
      </w:r>
      <w:r>
        <w:rPr>
          <w:rFonts w:cs="Segoe UI"/>
          <w:lang w:eastAsia="en-AU"/>
        </w:rPr>
        <w:fldChar w:fldCharType="end"/>
      </w:r>
      <w:r w:rsidRPr="00795AE7">
        <w:rPr>
          <w:rFonts w:cs="Segoe UI"/>
          <w:lang w:eastAsia="en-AU"/>
        </w:rPr>
        <w:t xml:space="preserve"> </w:t>
      </w:r>
    </w:p>
    <w:p w14:paraId="59230328" w14:textId="72E5C5AE" w:rsidR="00122C1B" w:rsidRDefault="00122C1B" w:rsidP="00096B9B">
      <w:pPr>
        <w:pStyle w:val="TextPara"/>
      </w:pPr>
      <w:r w:rsidRPr="00795AE7">
        <w:rPr>
          <w:rFonts w:cs="Segoe UI"/>
          <w:lang w:eastAsia="en-AU"/>
        </w:rPr>
        <w:t xml:space="preserve">According to the research literature, in terms of improved skills and </w:t>
      </w:r>
      <w:r w:rsidR="009F6DE1">
        <w:rPr>
          <w:rFonts w:cs="Segoe UI"/>
          <w:lang w:eastAsia="en-AU"/>
        </w:rPr>
        <w:t xml:space="preserve">reduced </w:t>
      </w:r>
      <w:r w:rsidRPr="00795AE7">
        <w:rPr>
          <w:rFonts w:cs="Segoe UI"/>
          <w:lang w:eastAsia="en-AU"/>
        </w:rPr>
        <w:t>crash risk, “the optimal threshold is likely to be between 80-100 hours (or 5,000 km) and 120-140 hours (or 7,000 km), during which the increased experience gained outweighs the increased risk of crash due to increased exposure</w:t>
      </w:r>
      <w:r>
        <w:rPr>
          <w:rFonts w:cs="Segoe UI"/>
          <w:lang w:eastAsia="en-AU"/>
        </w:rPr>
        <w:t>.”</w:t>
      </w:r>
      <w:bookmarkStart w:id="349" w:name="_Ref507152575"/>
      <w:r w:rsidRPr="00795AE7">
        <w:rPr>
          <w:rStyle w:val="EndnoteReference"/>
          <w:rFonts w:cs="Segoe UI"/>
          <w:lang w:eastAsia="en-AU"/>
        </w:rPr>
        <w:endnoteReference w:id="254"/>
      </w:r>
      <w:bookmarkEnd w:id="349"/>
      <w:r w:rsidRPr="00795AE7">
        <w:rPr>
          <w:rFonts w:cs="Segoe UI"/>
          <w:lang w:eastAsia="en-AU"/>
        </w:rPr>
        <w:t xml:space="preserve"> Moreover, there is</w:t>
      </w:r>
      <w:r>
        <w:rPr>
          <w:rFonts w:cs="Segoe UI"/>
          <w:lang w:eastAsia="en-AU"/>
        </w:rPr>
        <w:t xml:space="preserve"> more consistent evidence that </w:t>
      </w:r>
      <w:r w:rsidRPr="00795AE7">
        <w:rPr>
          <w:rFonts w:cs="Segoe UI"/>
          <w:lang w:eastAsia="en-AU"/>
        </w:rPr>
        <w:t>the higher the number of hours, the more experience in complex driving conditions</w:t>
      </w:r>
      <w:r>
        <w:rPr>
          <w:rFonts w:cs="Segoe UI"/>
          <w:lang w:eastAsia="en-AU"/>
        </w:rPr>
        <w:t>,</w:t>
      </w:r>
      <w:r w:rsidRPr="00795AE7">
        <w:rPr>
          <w:rFonts w:cs="Segoe UI"/>
          <w:lang w:eastAsia="en-AU"/>
        </w:rPr>
        <w:t xml:space="preserve"> and the higher the pass rates on practical driving tests.</w:t>
      </w:r>
      <w:r w:rsidRPr="00F42B10">
        <w:rPr>
          <w:rFonts w:cs="Segoe UI"/>
          <w:vertAlign w:val="superscript"/>
          <w:lang w:eastAsia="en-AU"/>
        </w:rPr>
        <w:fldChar w:fldCharType="begin"/>
      </w:r>
      <w:r w:rsidRPr="00F42B10">
        <w:rPr>
          <w:rFonts w:cs="Segoe UI"/>
          <w:vertAlign w:val="superscript"/>
          <w:lang w:eastAsia="en-AU"/>
        </w:rPr>
        <w:instrText xml:space="preserve"> NOTEREF _Ref507152575 \h </w:instrText>
      </w:r>
      <w:r>
        <w:rPr>
          <w:rFonts w:cs="Segoe UI"/>
          <w:vertAlign w:val="superscript"/>
          <w:lang w:eastAsia="en-AU"/>
        </w:rPr>
        <w:instrText xml:space="preserve"> \* MERGEFORMAT </w:instrText>
      </w:r>
      <w:r w:rsidRPr="00F42B10">
        <w:rPr>
          <w:rFonts w:cs="Segoe UI"/>
          <w:vertAlign w:val="superscript"/>
          <w:lang w:eastAsia="en-AU"/>
        </w:rPr>
      </w:r>
      <w:r w:rsidRPr="00F42B10">
        <w:rPr>
          <w:rFonts w:cs="Segoe UI"/>
          <w:vertAlign w:val="superscript"/>
          <w:lang w:eastAsia="en-AU"/>
        </w:rPr>
        <w:fldChar w:fldCharType="separate"/>
      </w:r>
      <w:r w:rsidR="00EB4B02">
        <w:rPr>
          <w:rFonts w:cs="Segoe UI"/>
          <w:vertAlign w:val="superscript"/>
          <w:lang w:eastAsia="en-AU"/>
        </w:rPr>
        <w:t>253</w:t>
      </w:r>
      <w:r w:rsidRPr="00F42B10">
        <w:rPr>
          <w:rFonts w:cs="Segoe UI"/>
          <w:vertAlign w:val="superscript"/>
          <w:lang w:eastAsia="en-AU"/>
        </w:rPr>
        <w:fldChar w:fldCharType="end"/>
      </w:r>
    </w:p>
    <w:p w14:paraId="2F3D0241" w14:textId="77777777" w:rsidR="00D54F0E" w:rsidRPr="002B4994" w:rsidRDefault="00E04738" w:rsidP="00096B9B">
      <w:pPr>
        <w:pStyle w:val="TextPara"/>
        <w:rPr>
          <w:b/>
          <w:color w:val="595959" w:themeColor="text1" w:themeTint="A6"/>
        </w:rPr>
      </w:pPr>
      <w:r w:rsidRPr="002B4994">
        <w:rPr>
          <w:b/>
          <w:color w:val="595959" w:themeColor="text1" w:themeTint="A6"/>
        </w:rPr>
        <w:t>Additional costs to learners and supervising drivers</w:t>
      </w:r>
    </w:p>
    <w:p w14:paraId="528C4098" w14:textId="77777777" w:rsidR="00511988" w:rsidRDefault="00366406" w:rsidP="00096B9B">
      <w:pPr>
        <w:pStyle w:val="TextPara"/>
      </w:pPr>
      <w:r>
        <w:rPr>
          <w:rFonts w:cs="Segoe UI"/>
          <w:lang w:eastAsia="en-AU"/>
        </w:rPr>
        <w:lastRenderedPageBreak/>
        <w:t>Learner driver experience is typically gained through parents or other family members in family-owned vehicles with the support of professional driving lessons.</w:t>
      </w:r>
      <w:r w:rsidR="006B0877">
        <w:rPr>
          <w:rFonts w:cs="Segoe UI"/>
          <w:lang w:eastAsia="en-AU"/>
        </w:rPr>
        <w:t xml:space="preserve"> In 2018 about 100,000 learner permits were issued in Victoria.</w:t>
      </w:r>
      <w:r w:rsidR="00F26545" w:rsidRPr="00F26545">
        <w:t xml:space="preserve"> </w:t>
      </w:r>
    </w:p>
    <w:p w14:paraId="6996DDE9" w14:textId="77777777" w:rsidR="00DD46C6" w:rsidRDefault="00162CC2" w:rsidP="00096B9B">
      <w:pPr>
        <w:pStyle w:val="TextPara"/>
      </w:pPr>
      <w:r>
        <w:rPr>
          <w:rFonts w:cs="Segoe UI"/>
          <w:lang w:eastAsia="en-AU"/>
        </w:rPr>
        <w:t>The 120 hours supervised driving</w:t>
      </w:r>
      <w:r w:rsidRPr="00794B25">
        <w:rPr>
          <w:rFonts w:cs="Segoe UI"/>
          <w:lang w:eastAsia="en-AU"/>
        </w:rPr>
        <w:t xml:space="preserve"> requirement </w:t>
      </w:r>
      <w:r>
        <w:rPr>
          <w:rFonts w:cs="Segoe UI"/>
          <w:lang w:eastAsia="en-AU"/>
        </w:rPr>
        <w:t xml:space="preserve">was introduced in Victoria in July 2007. </w:t>
      </w:r>
      <w:r w:rsidR="003E1329">
        <w:t>Between 1999 and 2014 t</w:t>
      </w:r>
      <w:r w:rsidR="00DD46C6" w:rsidRPr="00DD46C6">
        <w:t>he number of supervised learner driver practice hours increased over time to at least 120 hours for all learners who obtained their</w:t>
      </w:r>
      <w:r w:rsidR="00AA5BA1">
        <w:t xml:space="preserve"> learner</w:t>
      </w:r>
      <w:r w:rsidR="00DD46C6" w:rsidRPr="00DD46C6">
        <w:t xml:space="preserve"> permit at age 16 or 17 years and for females generally.</w:t>
      </w:r>
      <w:r w:rsidR="003E1329">
        <w:rPr>
          <w:rStyle w:val="EndnoteReference"/>
        </w:rPr>
        <w:endnoteReference w:id="255"/>
      </w:r>
      <w:r w:rsidR="00DD46C6" w:rsidRPr="00DD46C6">
        <w:t xml:space="preserve"> However, over time the number of supervised learner driver practice hours did not increase to at least 120 hours for older learners (18+ years) nor for males generally.</w:t>
      </w:r>
      <w:r w:rsidR="00AA5BA1">
        <w:rPr>
          <w:rStyle w:val="EndnoteReference"/>
        </w:rPr>
        <w:endnoteReference w:id="256"/>
      </w:r>
    </w:p>
    <w:p w14:paraId="5BCC138D" w14:textId="77777777" w:rsidR="008D417F" w:rsidRDefault="008131F9">
      <w:pPr>
        <w:pStyle w:val="TextPara"/>
        <w:rPr>
          <w:rFonts w:cs="Segoe UI"/>
          <w:lang w:eastAsia="en-AU"/>
        </w:rPr>
      </w:pPr>
      <w:r>
        <w:rPr>
          <w:rFonts w:cs="Segoe UI"/>
          <w:lang w:eastAsia="en-AU"/>
        </w:rPr>
        <w:t xml:space="preserve">When </w:t>
      </w:r>
      <w:r w:rsidR="00162CC2">
        <w:rPr>
          <w:rFonts w:cs="Segoe UI"/>
          <w:lang w:eastAsia="en-AU"/>
        </w:rPr>
        <w:t xml:space="preserve">the 120 hours requirement was introduced, </w:t>
      </w:r>
      <w:r w:rsidR="00E575AD">
        <w:rPr>
          <w:rFonts w:cs="Segoe UI"/>
          <w:lang w:eastAsia="en-AU"/>
        </w:rPr>
        <w:t>it wa</w:t>
      </w:r>
      <w:r w:rsidR="00D54F0E" w:rsidRPr="00794B25">
        <w:rPr>
          <w:rFonts w:cs="Segoe UI"/>
          <w:lang w:eastAsia="en-AU"/>
        </w:rPr>
        <w:t>s estimated</w:t>
      </w:r>
      <w:r w:rsidRPr="008131F9">
        <w:rPr>
          <w:rFonts w:cs="Segoe UI"/>
          <w:lang w:eastAsia="en-AU"/>
        </w:rPr>
        <w:t xml:space="preserve"> </w:t>
      </w:r>
      <w:r w:rsidRPr="00794B25">
        <w:rPr>
          <w:rFonts w:cs="Segoe UI"/>
          <w:lang w:eastAsia="en-AU"/>
        </w:rPr>
        <w:t>that</w:t>
      </w:r>
      <w:r>
        <w:rPr>
          <w:rFonts w:cs="Segoe UI"/>
          <w:lang w:eastAsia="en-AU"/>
        </w:rPr>
        <w:t>,</w:t>
      </w:r>
      <w:r w:rsidR="00D54F0E" w:rsidRPr="00794B25">
        <w:rPr>
          <w:rFonts w:cs="Segoe UI"/>
          <w:lang w:eastAsia="en-AU"/>
        </w:rPr>
        <w:t xml:space="preserve"> </w:t>
      </w:r>
      <w:r>
        <w:rPr>
          <w:rFonts w:cs="Segoe UI"/>
          <w:lang w:eastAsia="en-AU"/>
        </w:rPr>
        <w:t>based on</w:t>
      </w:r>
      <w:r w:rsidRPr="00794B25">
        <w:rPr>
          <w:rFonts w:cs="Segoe UI"/>
          <w:lang w:eastAsia="en-AU"/>
        </w:rPr>
        <w:t xml:space="preserve"> trends</w:t>
      </w:r>
      <w:r>
        <w:rPr>
          <w:rFonts w:cs="Segoe UI"/>
          <w:lang w:eastAsia="en-AU"/>
        </w:rPr>
        <w:t xml:space="preserve"> </w:t>
      </w:r>
      <w:r w:rsidRPr="00794B25">
        <w:rPr>
          <w:rFonts w:cs="Segoe UI"/>
          <w:lang w:eastAsia="en-AU"/>
        </w:rPr>
        <w:t>documented through research monitoring learner driver experience,</w:t>
      </w:r>
      <w:r>
        <w:rPr>
          <w:rStyle w:val="EndnoteReference"/>
          <w:rFonts w:cs="Segoe UI"/>
          <w:lang w:eastAsia="en-AU"/>
        </w:rPr>
        <w:endnoteReference w:id="257"/>
      </w:r>
      <w:r w:rsidR="00D54F0E" w:rsidRPr="00794B25">
        <w:rPr>
          <w:rFonts w:cs="Segoe UI"/>
          <w:lang w:eastAsia="en-AU"/>
        </w:rPr>
        <w:t xml:space="preserve"> learners </w:t>
      </w:r>
      <w:r w:rsidR="005E00D7">
        <w:rPr>
          <w:rFonts w:cs="Segoe UI"/>
          <w:lang w:eastAsia="en-AU"/>
        </w:rPr>
        <w:t xml:space="preserve">would </w:t>
      </w:r>
      <w:r w:rsidR="00D54F0E" w:rsidRPr="00794B25">
        <w:rPr>
          <w:rFonts w:cs="Segoe UI"/>
          <w:lang w:eastAsia="en-AU"/>
        </w:rPr>
        <w:t xml:space="preserve">need to </w:t>
      </w:r>
      <w:r w:rsidR="00684A3B">
        <w:rPr>
          <w:rFonts w:cs="Segoe UI"/>
          <w:lang w:eastAsia="en-AU"/>
        </w:rPr>
        <w:t>drive</w:t>
      </w:r>
      <w:r w:rsidR="00D54F0E" w:rsidRPr="00794B25">
        <w:rPr>
          <w:rFonts w:cs="Segoe UI"/>
          <w:lang w:eastAsia="en-AU"/>
        </w:rPr>
        <w:t xml:space="preserve"> an additional 25.9</w:t>
      </w:r>
      <w:r w:rsidR="00D54F0E">
        <w:rPr>
          <w:rFonts w:cs="Segoe UI"/>
          <w:lang w:eastAsia="en-AU"/>
        </w:rPr>
        <w:t xml:space="preserve"> </w:t>
      </w:r>
      <w:r w:rsidR="00D54F0E" w:rsidRPr="00794B25">
        <w:rPr>
          <w:rFonts w:cs="Segoe UI"/>
          <w:lang w:eastAsia="en-AU"/>
        </w:rPr>
        <w:t xml:space="preserve">hours </w:t>
      </w:r>
      <w:r w:rsidR="00684A3B" w:rsidRPr="00794B25">
        <w:rPr>
          <w:rFonts w:cs="Segoe UI"/>
          <w:lang w:eastAsia="en-AU"/>
        </w:rPr>
        <w:t xml:space="preserve">on average </w:t>
      </w:r>
      <w:r w:rsidR="005E00D7">
        <w:rPr>
          <w:rFonts w:cs="Segoe UI"/>
          <w:lang w:eastAsia="en-AU"/>
        </w:rPr>
        <w:t xml:space="preserve">on top of the </w:t>
      </w:r>
      <w:r w:rsidR="0010064B" w:rsidRPr="0071677F">
        <w:rPr>
          <w:rFonts w:cs="Segoe UI"/>
          <w:lang w:eastAsia="en-AU"/>
        </w:rPr>
        <w:t xml:space="preserve">94.1 </w:t>
      </w:r>
      <w:r w:rsidR="005E00D7">
        <w:rPr>
          <w:rFonts w:cs="Segoe UI"/>
          <w:lang w:eastAsia="en-AU"/>
        </w:rPr>
        <w:t xml:space="preserve">average supervised </w:t>
      </w:r>
      <w:r w:rsidR="0010064B" w:rsidRPr="0071677F">
        <w:rPr>
          <w:rFonts w:cs="Segoe UI"/>
          <w:lang w:eastAsia="en-AU"/>
        </w:rPr>
        <w:t xml:space="preserve">hours </w:t>
      </w:r>
      <w:r w:rsidR="00CD4CA7">
        <w:rPr>
          <w:rFonts w:cs="Segoe UI"/>
          <w:lang w:eastAsia="en-AU"/>
        </w:rPr>
        <w:t>that they</w:t>
      </w:r>
      <w:r w:rsidR="00B73553">
        <w:rPr>
          <w:rFonts w:cs="Segoe UI"/>
          <w:lang w:eastAsia="en-AU"/>
        </w:rPr>
        <w:t xml:space="preserve"> already</w:t>
      </w:r>
      <w:r w:rsidR="00CD4CA7">
        <w:rPr>
          <w:rFonts w:cs="Segoe UI"/>
          <w:lang w:eastAsia="en-AU"/>
        </w:rPr>
        <w:t xml:space="preserve"> drove</w:t>
      </w:r>
      <w:r w:rsidR="00684A3B">
        <w:rPr>
          <w:rFonts w:cs="Segoe UI"/>
          <w:lang w:eastAsia="en-AU"/>
        </w:rPr>
        <w:t xml:space="preserve"> </w:t>
      </w:r>
      <w:r>
        <w:rPr>
          <w:rFonts w:cs="Segoe UI"/>
          <w:lang w:eastAsia="en-AU"/>
        </w:rPr>
        <w:t>to comply with the new requirement</w:t>
      </w:r>
      <w:r w:rsidR="00CD4CA7">
        <w:rPr>
          <w:rFonts w:cs="Segoe UI"/>
          <w:lang w:eastAsia="en-AU"/>
        </w:rPr>
        <w:t>. It wa</w:t>
      </w:r>
      <w:r w:rsidR="00D54F0E" w:rsidRPr="00794B25">
        <w:rPr>
          <w:rFonts w:cs="Segoe UI"/>
          <w:lang w:eastAsia="en-AU"/>
        </w:rPr>
        <w:t>s expected that the new requirement</w:t>
      </w:r>
      <w:r w:rsidR="00D54F0E">
        <w:rPr>
          <w:rFonts w:cs="Segoe UI"/>
          <w:lang w:eastAsia="en-AU"/>
        </w:rPr>
        <w:t xml:space="preserve"> </w:t>
      </w:r>
      <w:r w:rsidR="00CD4CA7">
        <w:rPr>
          <w:rFonts w:cs="Segoe UI"/>
          <w:lang w:eastAsia="en-AU"/>
        </w:rPr>
        <w:t>would</w:t>
      </w:r>
      <w:r w:rsidR="00D54F0E" w:rsidRPr="00794B25">
        <w:rPr>
          <w:rFonts w:cs="Segoe UI"/>
          <w:lang w:eastAsia="en-AU"/>
        </w:rPr>
        <w:t xml:space="preserve"> result in a real increase of at least 20 extra hours of supervised driving</w:t>
      </w:r>
      <w:r w:rsidR="00713494">
        <w:rPr>
          <w:rFonts w:cs="Segoe UI"/>
          <w:lang w:eastAsia="en-AU"/>
        </w:rPr>
        <w:t>.</w:t>
      </w:r>
      <w:r w:rsidR="00CD4CA7">
        <w:rPr>
          <w:rFonts w:cs="Segoe UI"/>
          <w:lang w:eastAsia="en-AU"/>
        </w:rPr>
        <w:t xml:space="preserve"> </w:t>
      </w:r>
    </w:p>
    <w:p w14:paraId="3F16F53E" w14:textId="77777777" w:rsidR="00507099" w:rsidRDefault="008D417F">
      <w:pPr>
        <w:pStyle w:val="TextPara"/>
        <w:rPr>
          <w:rFonts w:cs="Segoe UI"/>
          <w:lang w:eastAsia="en-AU"/>
        </w:rPr>
      </w:pPr>
      <w:r>
        <w:rPr>
          <w:rFonts w:cs="Segoe UI"/>
          <w:lang w:eastAsia="en-AU"/>
        </w:rPr>
        <w:t>An assumption was also made that a</w:t>
      </w:r>
      <w:r w:rsidRPr="0071677F">
        <w:rPr>
          <w:rFonts w:cs="Segoe UI"/>
          <w:lang w:eastAsia="en-AU"/>
        </w:rPr>
        <w:t xml:space="preserve"> minority of learners w</w:t>
      </w:r>
      <w:r>
        <w:rPr>
          <w:rFonts w:cs="Segoe UI"/>
          <w:lang w:eastAsia="en-AU"/>
        </w:rPr>
        <w:t>ould</w:t>
      </w:r>
      <w:r w:rsidRPr="0071677F">
        <w:rPr>
          <w:rFonts w:cs="Segoe UI"/>
          <w:lang w:eastAsia="en-AU"/>
        </w:rPr>
        <w:t xml:space="preserve"> not be motivated, or be able, to</w:t>
      </w:r>
      <w:r>
        <w:rPr>
          <w:rFonts w:cs="Segoe UI"/>
          <w:lang w:eastAsia="en-AU"/>
        </w:rPr>
        <w:t xml:space="preserve"> </w:t>
      </w:r>
      <w:r w:rsidRPr="0071677F">
        <w:rPr>
          <w:rFonts w:cs="Segoe UI"/>
          <w:lang w:eastAsia="en-AU"/>
        </w:rPr>
        <w:t>fully comply with the requirement</w:t>
      </w:r>
      <w:r>
        <w:rPr>
          <w:rFonts w:cs="Segoe UI"/>
          <w:lang w:eastAsia="en-AU"/>
        </w:rPr>
        <w:t xml:space="preserve"> </w:t>
      </w:r>
      <w:r w:rsidRPr="0071677F">
        <w:rPr>
          <w:rFonts w:cs="Segoe UI"/>
          <w:lang w:eastAsia="en-AU"/>
        </w:rPr>
        <w:t>and this may not be detected by examining log</w:t>
      </w:r>
      <w:r>
        <w:rPr>
          <w:rFonts w:cs="Segoe UI"/>
          <w:lang w:eastAsia="en-AU"/>
        </w:rPr>
        <w:t xml:space="preserve"> </w:t>
      </w:r>
      <w:r w:rsidRPr="0071677F">
        <w:rPr>
          <w:rFonts w:cs="Segoe UI"/>
          <w:lang w:eastAsia="en-AU"/>
        </w:rPr>
        <w:t xml:space="preserve">books. Based on these considerations and experience interstate suggesting </w:t>
      </w:r>
      <w:r>
        <w:rPr>
          <w:rFonts w:cs="Segoe UI"/>
          <w:lang w:eastAsia="en-AU"/>
        </w:rPr>
        <w:t xml:space="preserve">that </w:t>
      </w:r>
      <w:r w:rsidRPr="0071677F">
        <w:rPr>
          <w:rFonts w:cs="Segoe UI"/>
          <w:lang w:eastAsia="en-AU"/>
        </w:rPr>
        <w:t>most</w:t>
      </w:r>
      <w:r>
        <w:rPr>
          <w:rFonts w:cs="Segoe UI"/>
          <w:lang w:eastAsia="en-AU"/>
        </w:rPr>
        <w:t xml:space="preserve"> </w:t>
      </w:r>
      <w:r w:rsidRPr="0071677F">
        <w:rPr>
          <w:rFonts w:cs="Segoe UI"/>
          <w:lang w:eastAsia="en-AU"/>
        </w:rPr>
        <w:t xml:space="preserve">learners comply with minimum mandatory </w:t>
      </w:r>
      <w:r>
        <w:rPr>
          <w:rFonts w:cs="Segoe UI"/>
          <w:lang w:eastAsia="en-AU"/>
        </w:rPr>
        <w:t>supervised driving</w:t>
      </w:r>
      <w:r w:rsidRPr="0071677F">
        <w:rPr>
          <w:rFonts w:cs="Segoe UI"/>
          <w:lang w:eastAsia="en-AU"/>
        </w:rPr>
        <w:t xml:space="preserve"> hour</w:t>
      </w:r>
      <w:r>
        <w:rPr>
          <w:rFonts w:cs="Segoe UI"/>
          <w:lang w:eastAsia="en-AU"/>
        </w:rPr>
        <w:t>s requirements, it wa</w:t>
      </w:r>
      <w:r w:rsidRPr="0071677F">
        <w:rPr>
          <w:rFonts w:cs="Segoe UI"/>
          <w:lang w:eastAsia="en-AU"/>
        </w:rPr>
        <w:t xml:space="preserve">s </w:t>
      </w:r>
      <w:r>
        <w:rPr>
          <w:rFonts w:cs="Segoe UI"/>
          <w:lang w:eastAsia="en-AU"/>
        </w:rPr>
        <w:t xml:space="preserve">estimated </w:t>
      </w:r>
      <w:r w:rsidRPr="0071677F">
        <w:rPr>
          <w:rFonts w:cs="Segoe UI"/>
          <w:lang w:eastAsia="en-AU"/>
        </w:rPr>
        <w:t xml:space="preserve">that average of 94.1 hours </w:t>
      </w:r>
      <w:r>
        <w:rPr>
          <w:rFonts w:cs="Segoe UI"/>
          <w:lang w:eastAsia="en-AU"/>
        </w:rPr>
        <w:t>driven</w:t>
      </w:r>
      <w:r w:rsidRPr="0071677F">
        <w:rPr>
          <w:rFonts w:cs="Segoe UI"/>
          <w:lang w:eastAsia="en-AU"/>
        </w:rPr>
        <w:t xml:space="preserve"> by learners </w:t>
      </w:r>
      <w:r>
        <w:rPr>
          <w:rFonts w:cs="Segoe UI"/>
          <w:lang w:eastAsia="en-AU"/>
        </w:rPr>
        <w:t>prior to July 2007 would</w:t>
      </w:r>
      <w:r w:rsidRPr="0071677F">
        <w:rPr>
          <w:rFonts w:cs="Segoe UI"/>
          <w:lang w:eastAsia="en-AU"/>
        </w:rPr>
        <w:t xml:space="preserve"> increase by 20 hours on</w:t>
      </w:r>
      <w:r>
        <w:rPr>
          <w:rFonts w:cs="Segoe UI"/>
          <w:lang w:eastAsia="en-AU"/>
        </w:rPr>
        <w:t xml:space="preserve"> </w:t>
      </w:r>
      <w:r w:rsidRPr="0071677F">
        <w:rPr>
          <w:rFonts w:cs="Segoe UI"/>
          <w:lang w:eastAsia="en-AU"/>
        </w:rPr>
        <w:t xml:space="preserve">average. This </w:t>
      </w:r>
      <w:r>
        <w:rPr>
          <w:rFonts w:cs="Segoe UI"/>
          <w:lang w:eastAsia="en-AU"/>
        </w:rPr>
        <w:t>amounts to</w:t>
      </w:r>
      <w:r w:rsidRPr="0071677F">
        <w:rPr>
          <w:rFonts w:cs="Segoe UI"/>
          <w:lang w:eastAsia="en-AU"/>
        </w:rPr>
        <w:t xml:space="preserve"> 80% of the additional 25.9 hours </w:t>
      </w:r>
      <w:r>
        <w:rPr>
          <w:rFonts w:cs="Segoe UI"/>
          <w:lang w:eastAsia="en-AU"/>
        </w:rPr>
        <w:t>that</w:t>
      </w:r>
      <w:r w:rsidRPr="0071677F">
        <w:rPr>
          <w:rFonts w:cs="Segoe UI"/>
          <w:lang w:eastAsia="en-AU"/>
        </w:rPr>
        <w:t xml:space="preserve"> would be required if </w:t>
      </w:r>
      <w:r>
        <w:rPr>
          <w:rFonts w:cs="Segoe UI"/>
          <w:lang w:eastAsia="en-AU"/>
        </w:rPr>
        <w:t xml:space="preserve">the whole cohort of </w:t>
      </w:r>
      <w:r w:rsidRPr="0071677F">
        <w:rPr>
          <w:rFonts w:cs="Segoe UI"/>
          <w:lang w:eastAsia="en-AU"/>
        </w:rPr>
        <w:t>all</w:t>
      </w:r>
      <w:r>
        <w:rPr>
          <w:rFonts w:cs="Segoe UI"/>
          <w:lang w:eastAsia="en-AU"/>
        </w:rPr>
        <w:t xml:space="preserve"> </w:t>
      </w:r>
      <w:r w:rsidRPr="0071677F">
        <w:rPr>
          <w:rFonts w:cs="Segoe UI"/>
          <w:lang w:eastAsia="en-AU"/>
        </w:rPr>
        <w:t>learners w</w:t>
      </w:r>
      <w:r>
        <w:rPr>
          <w:rFonts w:cs="Segoe UI"/>
          <w:lang w:eastAsia="en-AU"/>
        </w:rPr>
        <w:t>as</w:t>
      </w:r>
      <w:r w:rsidRPr="0071677F">
        <w:rPr>
          <w:rFonts w:cs="Segoe UI"/>
          <w:lang w:eastAsia="en-AU"/>
        </w:rPr>
        <w:t xml:space="preserve"> to achieve an average of 120 hours practice.</w:t>
      </w:r>
    </w:p>
    <w:p w14:paraId="6ECB3060" w14:textId="77777777" w:rsidR="007314A9" w:rsidRDefault="007314A9">
      <w:pPr>
        <w:pStyle w:val="TextPara"/>
        <w:rPr>
          <w:rFonts w:cs="Segoe UI"/>
          <w:lang w:eastAsia="en-AU"/>
        </w:rPr>
      </w:pPr>
      <w:r>
        <w:rPr>
          <w:rFonts w:cs="Segoe UI"/>
          <w:lang w:eastAsia="en-AU"/>
        </w:rPr>
        <w:t xml:space="preserve">DoT believes there are </w:t>
      </w:r>
      <w:r w:rsidR="008D417F">
        <w:rPr>
          <w:rFonts w:cs="Segoe UI"/>
          <w:lang w:eastAsia="en-AU"/>
        </w:rPr>
        <w:t>three</w:t>
      </w:r>
      <w:r>
        <w:rPr>
          <w:rFonts w:cs="Segoe UI"/>
          <w:lang w:eastAsia="en-AU"/>
        </w:rPr>
        <w:t xml:space="preserve"> ways for learner drivers to achieve this additional 20 hours</w:t>
      </w:r>
      <w:r w:rsidR="00E238BE">
        <w:rPr>
          <w:rFonts w:cs="Segoe UI"/>
          <w:lang w:eastAsia="en-AU"/>
        </w:rPr>
        <w:t>:</w:t>
      </w:r>
      <w:r w:rsidR="008D417F">
        <w:rPr>
          <w:rFonts w:cs="Segoe UI"/>
          <w:lang w:eastAsia="en-AU"/>
        </w:rPr>
        <w:t xml:space="preserve"> professional driving instruction,</w:t>
      </w:r>
      <w:r w:rsidR="00E238BE">
        <w:rPr>
          <w:rFonts w:cs="Segoe UI"/>
          <w:lang w:eastAsia="en-AU"/>
        </w:rPr>
        <w:t xml:space="preserve"> switching from passenger to driver </w:t>
      </w:r>
      <w:r w:rsidR="002A77E4">
        <w:rPr>
          <w:rFonts w:cs="Segoe UI"/>
          <w:lang w:eastAsia="en-AU"/>
        </w:rPr>
        <w:t xml:space="preserve">or </w:t>
      </w:r>
      <w:r w:rsidR="00E238BE">
        <w:rPr>
          <w:rFonts w:cs="Segoe UI"/>
          <w:lang w:eastAsia="en-AU"/>
        </w:rPr>
        <w:t xml:space="preserve">driving otherwise unrequired trips. </w:t>
      </w:r>
      <w:r w:rsidR="008D417F">
        <w:rPr>
          <w:rFonts w:cs="Segoe UI"/>
          <w:lang w:eastAsia="en-AU"/>
        </w:rPr>
        <w:t xml:space="preserve">DoT believes approximately 10 per cent of these hours, 2 hours, will be made up from professional instructors. This is based on previous findings that up 11 per cent of all learner driving hours come from driving with professional instructors. </w:t>
      </w:r>
      <w:r w:rsidR="00E238BE">
        <w:rPr>
          <w:rFonts w:cs="Segoe UI"/>
          <w:lang w:eastAsia="en-AU"/>
        </w:rPr>
        <w:t>For learner</w:t>
      </w:r>
      <w:r w:rsidR="008D417F">
        <w:rPr>
          <w:rFonts w:cs="Segoe UI"/>
          <w:lang w:eastAsia="en-AU"/>
        </w:rPr>
        <w:t xml:space="preserve"> drivers to get the additional 18 hours by moving from passenger to driver, this requires first that there were </w:t>
      </w:r>
      <w:r w:rsidR="002A77E4">
        <w:rPr>
          <w:rFonts w:cs="Segoe UI"/>
          <w:lang w:eastAsia="en-AU"/>
        </w:rPr>
        <w:t>trips</w:t>
      </w:r>
      <w:r w:rsidR="008D417F">
        <w:rPr>
          <w:rFonts w:cs="Segoe UI"/>
          <w:lang w:eastAsia="en-AU"/>
        </w:rPr>
        <w:t xml:space="preserve"> where they were a passenger in a vehicle with a fully qualified driver. Alternatively, the extra 18 hours could be made up through the learner driver, as well as a fully licenced driver, taking extra trips. </w:t>
      </w:r>
      <w:r w:rsidR="007F5B9A">
        <w:t>No specific research has been done on</w:t>
      </w:r>
      <w:r w:rsidR="008F2CD4">
        <w:t xml:space="preserve"> </w:t>
      </w:r>
      <w:r w:rsidR="008D417F">
        <w:rPr>
          <w:rFonts w:cs="Segoe UI"/>
          <w:lang w:eastAsia="en-AU"/>
        </w:rPr>
        <w:t xml:space="preserve">the proportion of the remaining 18 hours that would come from passenger to driver hours or from extra trips. </w:t>
      </w:r>
    </w:p>
    <w:p w14:paraId="040BBF73" w14:textId="77777777" w:rsidR="00D54F0E" w:rsidRDefault="00676399" w:rsidP="00D54F0E">
      <w:pPr>
        <w:pStyle w:val="TextPara"/>
        <w:rPr>
          <w:rFonts w:cs="Segoe UI"/>
          <w:lang w:eastAsia="en-AU"/>
        </w:rPr>
      </w:pPr>
      <w:r>
        <w:rPr>
          <w:rFonts w:cs="Segoe UI"/>
          <w:lang w:eastAsia="en-AU"/>
        </w:rPr>
        <w:t xml:space="preserve">The cost to the community from additional professional driving instructors is estimated below. It is based on 2 additional hours of professional driving practice for the approximately 100,000 learner drivers who qualify for a probationary licence each year. </w:t>
      </w:r>
      <w:r w:rsidR="00D54F0E" w:rsidRPr="00EC58E0">
        <w:rPr>
          <w:rFonts w:cs="Segoe UI"/>
          <w:lang w:eastAsia="en-AU"/>
        </w:rPr>
        <w:t>Since learners obtain most (89%) of their practice through supervising drivers (family or</w:t>
      </w:r>
      <w:r w:rsidR="00D54F0E">
        <w:rPr>
          <w:rFonts w:cs="Segoe UI"/>
          <w:lang w:eastAsia="en-AU"/>
        </w:rPr>
        <w:t xml:space="preserve"> </w:t>
      </w:r>
      <w:r w:rsidR="00D54F0E" w:rsidRPr="00EC58E0">
        <w:rPr>
          <w:rFonts w:cs="Segoe UI"/>
          <w:lang w:eastAsia="en-AU"/>
        </w:rPr>
        <w:t xml:space="preserve">friends) and only 11% from </w:t>
      </w:r>
      <w:r w:rsidR="002D4863">
        <w:rPr>
          <w:rFonts w:cs="Segoe UI"/>
          <w:lang w:eastAsia="en-AU"/>
        </w:rPr>
        <w:t xml:space="preserve">professional </w:t>
      </w:r>
      <w:r w:rsidR="00D54F0E" w:rsidRPr="00EC58E0">
        <w:rPr>
          <w:rFonts w:cs="Segoe UI"/>
          <w:lang w:eastAsia="en-AU"/>
        </w:rPr>
        <w:t>driving instructors, it has been assumed that learners will obtain</w:t>
      </w:r>
      <w:r w:rsidR="00D54F0E">
        <w:rPr>
          <w:rFonts w:cs="Segoe UI"/>
          <w:lang w:eastAsia="en-AU"/>
        </w:rPr>
        <w:t xml:space="preserve"> </w:t>
      </w:r>
      <w:r w:rsidR="00D54F0E" w:rsidRPr="00EC58E0">
        <w:rPr>
          <w:rFonts w:cs="Segoe UI"/>
          <w:lang w:eastAsia="en-AU"/>
        </w:rPr>
        <w:t>the same proportion of extra supervised driving hours required through a supervising driver,</w:t>
      </w:r>
      <w:r w:rsidR="00D54F0E">
        <w:rPr>
          <w:rFonts w:cs="Segoe UI"/>
          <w:lang w:eastAsia="en-AU"/>
        </w:rPr>
        <w:t xml:space="preserve"> </w:t>
      </w:r>
      <w:r w:rsidR="00D54F0E" w:rsidRPr="00EC58E0">
        <w:rPr>
          <w:rFonts w:cs="Segoe UI"/>
          <w:lang w:eastAsia="en-AU"/>
        </w:rPr>
        <w:t>with an average increase of only 2 additional paid driving lessons</w:t>
      </w:r>
      <w:r w:rsidR="002D4863" w:rsidRPr="002D4863">
        <w:rPr>
          <w:rFonts w:cs="Segoe UI"/>
          <w:lang w:eastAsia="en-AU"/>
        </w:rPr>
        <w:t xml:space="preserve"> </w:t>
      </w:r>
      <w:r w:rsidR="002D4863" w:rsidRPr="00EC58E0">
        <w:rPr>
          <w:rFonts w:cs="Segoe UI"/>
          <w:lang w:eastAsia="en-AU"/>
        </w:rPr>
        <w:t xml:space="preserve">from </w:t>
      </w:r>
      <w:r w:rsidR="002D4863">
        <w:rPr>
          <w:rFonts w:cs="Segoe UI"/>
          <w:lang w:eastAsia="en-AU"/>
        </w:rPr>
        <w:t xml:space="preserve">professional </w:t>
      </w:r>
      <w:r w:rsidR="002D4863" w:rsidRPr="00EC58E0">
        <w:rPr>
          <w:rFonts w:cs="Segoe UI"/>
          <w:lang w:eastAsia="en-AU"/>
        </w:rPr>
        <w:t>driving instructors</w:t>
      </w:r>
      <w:r w:rsidR="00D54F0E" w:rsidRPr="00EC58E0">
        <w:rPr>
          <w:rFonts w:cs="Segoe UI"/>
          <w:lang w:eastAsia="en-AU"/>
        </w:rPr>
        <w:t xml:space="preserve">. The total cost of 2 </w:t>
      </w:r>
      <w:r w:rsidR="001E5AF7">
        <w:rPr>
          <w:rFonts w:cs="Segoe UI"/>
          <w:lang w:eastAsia="en-AU"/>
        </w:rPr>
        <w:t xml:space="preserve">one-hour driving </w:t>
      </w:r>
      <w:r w:rsidR="00D54F0E" w:rsidRPr="00EC58E0">
        <w:rPr>
          <w:rFonts w:cs="Segoe UI"/>
          <w:lang w:eastAsia="en-AU"/>
        </w:rPr>
        <w:t>lessons</w:t>
      </w:r>
      <w:r w:rsidR="00D54F0E">
        <w:rPr>
          <w:rFonts w:cs="Segoe UI"/>
          <w:lang w:eastAsia="en-AU"/>
        </w:rPr>
        <w:t xml:space="preserve"> </w:t>
      </w:r>
      <w:r w:rsidR="00D54F0E" w:rsidRPr="00EC58E0">
        <w:rPr>
          <w:rFonts w:cs="Segoe UI"/>
          <w:lang w:eastAsia="en-AU"/>
        </w:rPr>
        <w:t>at $</w:t>
      </w:r>
      <w:r w:rsidR="00C9141D">
        <w:rPr>
          <w:rFonts w:cs="Segoe UI"/>
          <w:lang w:eastAsia="en-AU"/>
        </w:rPr>
        <w:t>66</w:t>
      </w:r>
      <w:r w:rsidR="00D54F0E" w:rsidRPr="00EC58E0">
        <w:rPr>
          <w:rFonts w:cs="Segoe UI"/>
          <w:lang w:eastAsia="en-AU"/>
        </w:rPr>
        <w:t xml:space="preserve"> per lesson</w:t>
      </w:r>
      <w:r w:rsidR="00C9141D">
        <w:rPr>
          <w:rStyle w:val="EndnoteReference"/>
          <w:rFonts w:cs="Segoe UI"/>
          <w:lang w:eastAsia="en-AU"/>
        </w:rPr>
        <w:endnoteReference w:id="258"/>
      </w:r>
      <w:r w:rsidR="00D54F0E" w:rsidRPr="00EC58E0">
        <w:rPr>
          <w:rFonts w:cs="Segoe UI"/>
          <w:lang w:eastAsia="en-AU"/>
        </w:rPr>
        <w:t xml:space="preserve"> plus </w:t>
      </w:r>
      <w:r w:rsidR="001E5AF7">
        <w:rPr>
          <w:rFonts w:cs="Segoe UI"/>
          <w:lang w:eastAsia="en-AU"/>
        </w:rPr>
        <w:t xml:space="preserve">2 hours at </w:t>
      </w:r>
      <w:r w:rsidR="002A5C08">
        <w:rPr>
          <w:rFonts w:cs="Segoe UI"/>
          <w:lang w:eastAsia="en-AU"/>
        </w:rPr>
        <w:t>$14</w:t>
      </w:r>
      <w:r w:rsidR="00D54F0E" w:rsidRPr="00EC58E0">
        <w:rPr>
          <w:rFonts w:cs="Segoe UI"/>
          <w:lang w:eastAsia="en-AU"/>
        </w:rPr>
        <w:t>.</w:t>
      </w:r>
      <w:r w:rsidR="002A5C08">
        <w:rPr>
          <w:rFonts w:cs="Segoe UI"/>
          <w:lang w:eastAsia="en-AU"/>
        </w:rPr>
        <w:t>8</w:t>
      </w:r>
      <w:r w:rsidR="00D54F0E" w:rsidRPr="00EC58E0">
        <w:rPr>
          <w:rFonts w:cs="Segoe UI"/>
          <w:lang w:eastAsia="en-AU"/>
        </w:rPr>
        <w:t>5/hour</w:t>
      </w:r>
      <w:r w:rsidR="001E5AF7">
        <w:rPr>
          <w:rFonts w:cs="Segoe UI"/>
          <w:lang w:eastAsia="en-AU"/>
        </w:rPr>
        <w:t>,</w:t>
      </w:r>
      <w:r w:rsidR="00D54F0E">
        <w:rPr>
          <w:rStyle w:val="EndnoteReference"/>
          <w:rFonts w:cs="Segoe UI"/>
          <w:lang w:eastAsia="en-AU"/>
        </w:rPr>
        <w:endnoteReference w:id="259"/>
      </w:r>
      <w:r w:rsidR="00D54F0E" w:rsidRPr="00EC58E0">
        <w:rPr>
          <w:rFonts w:cs="Segoe UI"/>
          <w:lang w:eastAsia="en-AU"/>
        </w:rPr>
        <w:t xml:space="preserve"> which is the estimated value of time for private passenger</w:t>
      </w:r>
      <w:r w:rsidR="00D54F0E">
        <w:rPr>
          <w:rFonts w:cs="Segoe UI"/>
          <w:lang w:eastAsia="en-AU"/>
        </w:rPr>
        <w:t xml:space="preserve"> </w:t>
      </w:r>
      <w:r w:rsidR="00D54F0E" w:rsidRPr="00EC58E0">
        <w:rPr>
          <w:rFonts w:cs="Segoe UI"/>
          <w:lang w:eastAsia="en-AU"/>
        </w:rPr>
        <w:t>travel (as calculated by Austroads</w:t>
      </w:r>
      <w:r w:rsidR="00D54F0E">
        <w:rPr>
          <w:rStyle w:val="EndnoteReference"/>
          <w:rFonts w:cs="Segoe UI"/>
          <w:lang w:eastAsia="en-AU"/>
        </w:rPr>
        <w:endnoteReference w:id="260"/>
      </w:r>
      <w:r w:rsidR="00D54F0E" w:rsidRPr="00EC58E0">
        <w:rPr>
          <w:rFonts w:cs="Segoe UI"/>
          <w:lang w:eastAsia="en-AU"/>
        </w:rPr>
        <w:t xml:space="preserve"> and adjusted by CPI to 20</w:t>
      </w:r>
      <w:r w:rsidR="001E5AF7">
        <w:rPr>
          <w:rFonts w:cs="Segoe UI"/>
          <w:lang w:eastAsia="en-AU"/>
        </w:rPr>
        <w:t>18</w:t>
      </w:r>
      <w:r w:rsidR="00D54F0E" w:rsidRPr="00EC58E0">
        <w:rPr>
          <w:rFonts w:cs="Segoe UI"/>
          <w:lang w:eastAsia="en-AU"/>
        </w:rPr>
        <w:t>) would be</w:t>
      </w:r>
      <w:r w:rsidR="00D54F0E">
        <w:rPr>
          <w:rFonts w:cs="Segoe UI"/>
          <w:lang w:eastAsia="en-AU"/>
        </w:rPr>
        <w:t xml:space="preserve"> </w:t>
      </w:r>
      <w:r w:rsidR="00D54F0E" w:rsidRPr="00EC58E0">
        <w:rPr>
          <w:rFonts w:cs="Segoe UI"/>
          <w:lang w:eastAsia="en-AU"/>
        </w:rPr>
        <w:t>$1</w:t>
      </w:r>
      <w:r w:rsidR="002A5C08">
        <w:rPr>
          <w:rFonts w:cs="Segoe UI"/>
          <w:lang w:eastAsia="en-AU"/>
        </w:rPr>
        <w:t>61</w:t>
      </w:r>
      <w:r w:rsidR="00D54F0E" w:rsidRPr="00EC58E0">
        <w:rPr>
          <w:rFonts w:cs="Segoe UI"/>
          <w:lang w:eastAsia="en-AU"/>
        </w:rPr>
        <w:t>.</w:t>
      </w:r>
      <w:r w:rsidR="002A5C08">
        <w:rPr>
          <w:rFonts w:cs="Segoe UI"/>
          <w:lang w:eastAsia="en-AU"/>
        </w:rPr>
        <w:t>7</w:t>
      </w:r>
      <w:r w:rsidR="00D54F0E" w:rsidRPr="00EC58E0">
        <w:rPr>
          <w:rFonts w:cs="Segoe UI"/>
          <w:lang w:eastAsia="en-AU"/>
        </w:rPr>
        <w:t xml:space="preserve">0 per learner, </w:t>
      </w:r>
      <w:r w:rsidR="00D54F0E" w:rsidRPr="006B0877">
        <w:rPr>
          <w:rFonts w:cs="Segoe UI"/>
          <w:lang w:eastAsia="en-AU"/>
        </w:rPr>
        <w:t>or $</w:t>
      </w:r>
      <w:r w:rsidR="002A5C08" w:rsidRPr="006B0877">
        <w:rPr>
          <w:rFonts w:cs="Segoe UI"/>
          <w:lang w:eastAsia="en-AU"/>
        </w:rPr>
        <w:t>16</w:t>
      </w:r>
      <w:r w:rsidR="00D54F0E" w:rsidRPr="006B0877">
        <w:rPr>
          <w:rFonts w:cs="Segoe UI"/>
          <w:lang w:eastAsia="en-AU"/>
        </w:rPr>
        <w:t>.</w:t>
      </w:r>
      <w:r w:rsidR="002A5C08" w:rsidRPr="006B0877">
        <w:rPr>
          <w:rFonts w:cs="Segoe UI"/>
          <w:lang w:eastAsia="en-AU"/>
        </w:rPr>
        <w:t>17</w:t>
      </w:r>
      <w:r w:rsidR="00D54F0E" w:rsidRPr="006B0877">
        <w:rPr>
          <w:rFonts w:cs="Segoe UI"/>
          <w:lang w:eastAsia="en-AU"/>
        </w:rPr>
        <w:t xml:space="preserve"> million in total for</w:t>
      </w:r>
      <w:r w:rsidR="00F71834" w:rsidRPr="006B0877">
        <w:rPr>
          <w:rFonts w:cs="Segoe UI"/>
          <w:lang w:eastAsia="en-AU"/>
        </w:rPr>
        <w:t xml:space="preserve"> </w:t>
      </w:r>
      <w:r w:rsidR="00D54F0E" w:rsidRPr="006B0877">
        <w:rPr>
          <w:rFonts w:cs="Segoe UI"/>
          <w:lang w:eastAsia="en-AU"/>
        </w:rPr>
        <w:t>100,000 learners over the two years of their learner driver practice.</w:t>
      </w:r>
      <w:r w:rsidR="00E722FE">
        <w:rPr>
          <w:rFonts w:cs="Segoe UI"/>
          <w:lang w:eastAsia="en-AU"/>
        </w:rPr>
        <w:t xml:space="preserve"> </w:t>
      </w:r>
    </w:p>
    <w:p w14:paraId="51BC59E5" w14:textId="77777777" w:rsidR="00F54F6D" w:rsidRDefault="00ED4333" w:rsidP="00D54F0E">
      <w:pPr>
        <w:pStyle w:val="TextPara"/>
        <w:rPr>
          <w:rFonts w:cs="Segoe UI"/>
          <w:lang w:eastAsia="en-AU"/>
        </w:rPr>
      </w:pPr>
      <w:r>
        <w:rPr>
          <w:rFonts w:cs="Segoe UI"/>
          <w:lang w:eastAsia="en-AU"/>
        </w:rPr>
        <w:t>I</w:t>
      </w:r>
      <w:r w:rsidR="00D54F0E" w:rsidRPr="00953601">
        <w:rPr>
          <w:rFonts w:cs="Segoe UI"/>
          <w:lang w:eastAsia="en-AU"/>
        </w:rPr>
        <w:t>t is difficult to determine if there will be a quantifiable cost for the additional 18</w:t>
      </w:r>
      <w:r w:rsidR="00D54F0E">
        <w:rPr>
          <w:rFonts w:cs="Segoe UI"/>
          <w:lang w:eastAsia="en-AU"/>
        </w:rPr>
        <w:t xml:space="preserve"> </w:t>
      </w:r>
      <w:r w:rsidR="00D54F0E" w:rsidRPr="00953601">
        <w:rPr>
          <w:rFonts w:cs="Segoe UI"/>
          <w:lang w:eastAsia="en-AU"/>
        </w:rPr>
        <w:t>hours of supervised driving that would be undertaken with a parent or other family or friend</w:t>
      </w:r>
      <w:r w:rsidR="002A77E4">
        <w:rPr>
          <w:rFonts w:cs="Segoe UI"/>
          <w:lang w:eastAsia="en-AU"/>
        </w:rPr>
        <w:t xml:space="preserve"> because of </w:t>
      </w:r>
      <w:r w:rsidR="00676399">
        <w:rPr>
          <w:rFonts w:cs="Segoe UI"/>
          <w:lang w:eastAsia="en-AU"/>
        </w:rPr>
        <w:t xml:space="preserve">the </w:t>
      </w:r>
      <w:r w:rsidR="002A77E4">
        <w:rPr>
          <w:rFonts w:cs="Segoe UI"/>
          <w:lang w:eastAsia="en-AU"/>
        </w:rPr>
        <w:t>uncertainty</w:t>
      </w:r>
      <w:r w:rsidR="00676399">
        <w:rPr>
          <w:rFonts w:cs="Segoe UI"/>
          <w:lang w:eastAsia="en-AU"/>
        </w:rPr>
        <w:t xml:space="preserve"> of whether the extra 18 hours would be made up from passenger to driver hours or extra trips. </w:t>
      </w:r>
      <w:r w:rsidR="00D54F0E" w:rsidRPr="00953601">
        <w:rPr>
          <w:rFonts w:cs="Segoe UI"/>
          <w:lang w:eastAsia="en-AU"/>
        </w:rPr>
        <w:t>Focus groups conducted with learners and their parents suggest that in the more advanced</w:t>
      </w:r>
      <w:r w:rsidR="00D54F0E">
        <w:rPr>
          <w:rFonts w:cs="Segoe UI"/>
          <w:lang w:eastAsia="en-AU"/>
        </w:rPr>
        <w:t xml:space="preserve"> </w:t>
      </w:r>
      <w:r w:rsidR="00D54F0E" w:rsidRPr="00953601">
        <w:rPr>
          <w:rFonts w:cs="Segoe UI"/>
          <w:lang w:eastAsia="en-AU"/>
        </w:rPr>
        <w:t>stages of learner driving, most supervised practice is obtained by learners substituting</w:t>
      </w:r>
      <w:r w:rsidR="00D54F0E">
        <w:rPr>
          <w:rFonts w:cs="Segoe UI"/>
          <w:lang w:eastAsia="en-AU"/>
        </w:rPr>
        <w:t xml:space="preserve"> </w:t>
      </w:r>
      <w:r w:rsidR="00D54F0E" w:rsidRPr="00953601">
        <w:rPr>
          <w:rFonts w:cs="Segoe UI"/>
          <w:lang w:eastAsia="en-AU"/>
        </w:rPr>
        <w:t>“driving practice” for family driving trips that would ordinarily be undertaken by someone</w:t>
      </w:r>
      <w:r w:rsidR="00D54F0E">
        <w:rPr>
          <w:rFonts w:cs="Segoe UI"/>
          <w:lang w:eastAsia="en-AU"/>
        </w:rPr>
        <w:t xml:space="preserve"> </w:t>
      </w:r>
      <w:r w:rsidR="00D54F0E" w:rsidRPr="00953601">
        <w:rPr>
          <w:rFonts w:cs="Segoe UI"/>
          <w:lang w:eastAsia="en-AU"/>
        </w:rPr>
        <w:t xml:space="preserve">else (such as </w:t>
      </w:r>
      <w:r w:rsidR="00C84113">
        <w:rPr>
          <w:rFonts w:cs="Segoe UI"/>
          <w:lang w:eastAsia="en-AU"/>
        </w:rPr>
        <w:t xml:space="preserve">a </w:t>
      </w:r>
      <w:r w:rsidR="00D54F0E" w:rsidRPr="00953601">
        <w:rPr>
          <w:rFonts w:cs="Segoe UI"/>
          <w:lang w:eastAsia="en-AU"/>
        </w:rPr>
        <w:t>parent)</w:t>
      </w:r>
      <w:r w:rsidR="002A77E4">
        <w:rPr>
          <w:rFonts w:cs="Segoe UI"/>
          <w:lang w:eastAsia="en-AU"/>
        </w:rPr>
        <w:t>,</w:t>
      </w:r>
      <w:r w:rsidR="00D54F0E" w:rsidRPr="00953601">
        <w:rPr>
          <w:rFonts w:cs="Segoe UI"/>
          <w:lang w:eastAsia="en-AU"/>
        </w:rPr>
        <w:t xml:space="preserve"> </w:t>
      </w:r>
      <w:r w:rsidR="002A77E4">
        <w:rPr>
          <w:rFonts w:cs="Segoe UI"/>
          <w:lang w:eastAsia="en-AU"/>
        </w:rPr>
        <w:t>t</w:t>
      </w:r>
      <w:r w:rsidR="00676399">
        <w:rPr>
          <w:rFonts w:cs="Segoe UI"/>
          <w:lang w:eastAsia="en-AU"/>
        </w:rPr>
        <w:t xml:space="preserve">hat is, passenger to driver hours. </w:t>
      </w:r>
      <w:r w:rsidR="00D54F0E" w:rsidRPr="00953601">
        <w:rPr>
          <w:rFonts w:cs="Segoe UI"/>
          <w:lang w:eastAsia="en-AU"/>
        </w:rPr>
        <w:t>This is also the recommended approach encouraged in VicRoads and</w:t>
      </w:r>
      <w:r w:rsidR="00D54F0E">
        <w:rPr>
          <w:rFonts w:cs="Segoe UI"/>
          <w:lang w:eastAsia="en-AU"/>
        </w:rPr>
        <w:t xml:space="preserve"> </w:t>
      </w:r>
      <w:r w:rsidR="00D54F0E" w:rsidRPr="00953601">
        <w:rPr>
          <w:rFonts w:cs="Segoe UI"/>
          <w:lang w:eastAsia="en-AU"/>
        </w:rPr>
        <w:t>other publications targeted at young drivers.</w:t>
      </w:r>
      <w:r w:rsidR="00EE44E1">
        <w:rPr>
          <w:rFonts w:cs="Segoe UI"/>
          <w:lang w:eastAsia="en-AU"/>
        </w:rPr>
        <w:t xml:space="preserve"> </w:t>
      </w:r>
      <w:r w:rsidR="00676399">
        <w:rPr>
          <w:rFonts w:cs="Segoe UI"/>
          <w:lang w:eastAsia="en-AU"/>
        </w:rPr>
        <w:t xml:space="preserve">However, it is uncertain with any </w:t>
      </w:r>
      <w:r w:rsidR="002A77E4">
        <w:rPr>
          <w:rFonts w:cs="Segoe UI"/>
          <w:lang w:eastAsia="en-AU"/>
        </w:rPr>
        <w:t xml:space="preserve">great </w:t>
      </w:r>
      <w:r w:rsidR="00676399">
        <w:rPr>
          <w:rFonts w:cs="Segoe UI"/>
          <w:lang w:eastAsia="en-AU"/>
        </w:rPr>
        <w:t xml:space="preserve">precision what the proportion between passenger to </w:t>
      </w:r>
      <w:r w:rsidR="002A77E4">
        <w:rPr>
          <w:rFonts w:cs="Segoe UI"/>
          <w:lang w:eastAsia="en-AU"/>
        </w:rPr>
        <w:t>driver</w:t>
      </w:r>
      <w:r w:rsidR="00676399">
        <w:rPr>
          <w:rFonts w:cs="Segoe UI"/>
          <w:lang w:eastAsia="en-AU"/>
        </w:rPr>
        <w:t xml:space="preserve"> and extra trip driving hours would be. Accordingly, when estimating the cost to the community from the 120 hours </w:t>
      </w:r>
      <w:r w:rsidR="00676399">
        <w:rPr>
          <w:rFonts w:cs="Segoe UI"/>
          <w:lang w:eastAsia="en-AU"/>
        </w:rPr>
        <w:lastRenderedPageBreak/>
        <w:t>requirement, a range is presented. The lower bound of this range assumes all driving comes from the learner switching from passenger to driver. The upper bound of this range assumes all hours come from extra trips. I</w:t>
      </w:r>
      <w:r w:rsidR="00AC2794">
        <w:rPr>
          <w:rFonts w:cs="Segoe UI"/>
          <w:lang w:eastAsia="en-AU"/>
        </w:rPr>
        <w:t>f</w:t>
      </w:r>
      <w:r w:rsidR="00676399">
        <w:rPr>
          <w:rFonts w:cs="Segoe UI"/>
          <w:lang w:eastAsia="en-AU"/>
        </w:rPr>
        <w:t xml:space="preserve"> all the</w:t>
      </w:r>
      <w:r w:rsidR="002A77E4">
        <w:rPr>
          <w:rFonts w:cs="Segoe UI"/>
          <w:lang w:eastAsia="en-AU"/>
        </w:rPr>
        <w:t xml:space="preserve"> extra 18</w:t>
      </w:r>
      <w:r w:rsidR="00676399">
        <w:rPr>
          <w:rFonts w:cs="Segoe UI"/>
          <w:lang w:eastAsia="en-AU"/>
        </w:rPr>
        <w:t xml:space="preserve"> hours were to come from passenger to driver hours, the </w:t>
      </w:r>
      <w:r w:rsidR="002A77E4">
        <w:rPr>
          <w:rFonts w:cs="Segoe UI"/>
          <w:lang w:eastAsia="en-AU"/>
        </w:rPr>
        <w:t>additional</w:t>
      </w:r>
      <w:r w:rsidR="00676399">
        <w:rPr>
          <w:rFonts w:cs="Segoe UI"/>
          <w:lang w:eastAsia="en-AU"/>
        </w:rPr>
        <w:t xml:space="preserve"> cost is negligible. </w:t>
      </w:r>
      <w:r w:rsidR="00AC2794">
        <w:rPr>
          <w:rFonts w:cs="Segoe UI"/>
          <w:lang w:eastAsia="en-AU"/>
        </w:rPr>
        <w:t>On the other hand</w:t>
      </w:r>
      <w:r w:rsidR="002A77E4">
        <w:rPr>
          <w:rFonts w:cs="Segoe UI"/>
          <w:lang w:eastAsia="en-AU"/>
        </w:rPr>
        <w:t>, if</w:t>
      </w:r>
      <w:r w:rsidR="00676399">
        <w:rPr>
          <w:rFonts w:cs="Segoe UI"/>
          <w:lang w:eastAsia="en-AU"/>
        </w:rPr>
        <w:t xml:space="preserve"> </w:t>
      </w:r>
      <w:r w:rsidR="00EE44E1">
        <w:rPr>
          <w:rFonts w:cs="Segoe UI"/>
          <w:lang w:eastAsia="en-AU"/>
        </w:rPr>
        <w:t xml:space="preserve">the additional 18 </w:t>
      </w:r>
      <w:r w:rsidR="00F54F6D">
        <w:rPr>
          <w:rFonts w:cs="Segoe UI"/>
          <w:lang w:eastAsia="en-AU"/>
        </w:rPr>
        <w:t>h</w:t>
      </w:r>
      <w:r w:rsidR="00EE44E1">
        <w:rPr>
          <w:rFonts w:cs="Segoe UI"/>
          <w:lang w:eastAsia="en-AU"/>
        </w:rPr>
        <w:t xml:space="preserve">ours were </w:t>
      </w:r>
      <w:r w:rsidR="00676399">
        <w:rPr>
          <w:rFonts w:cs="Segoe UI"/>
          <w:lang w:eastAsia="en-AU"/>
        </w:rPr>
        <w:t>from extra trips</w:t>
      </w:r>
      <w:r w:rsidR="00EE44E1">
        <w:rPr>
          <w:rFonts w:cs="Segoe UI"/>
          <w:lang w:eastAsia="en-AU"/>
        </w:rPr>
        <w:t xml:space="preserve">, the cost is estimated to </w:t>
      </w:r>
      <w:r w:rsidR="00293A75">
        <w:rPr>
          <w:rFonts w:cs="Segoe UI"/>
          <w:lang w:eastAsia="en-AU"/>
        </w:rPr>
        <w:t xml:space="preserve">be $14.85/hour </w:t>
      </w:r>
      <w:r w:rsidR="002A77E4">
        <w:rPr>
          <w:rFonts w:cs="Segoe UI"/>
          <w:lang w:eastAsia="en-AU"/>
        </w:rPr>
        <w:t xml:space="preserve">each </w:t>
      </w:r>
      <w:r w:rsidR="00293A75">
        <w:rPr>
          <w:rFonts w:cs="Segoe UI"/>
          <w:lang w:eastAsia="en-AU"/>
        </w:rPr>
        <w:t xml:space="preserve">for 2 people, </w:t>
      </w:r>
      <w:r w:rsidR="00CD7902">
        <w:rPr>
          <w:rFonts w:cs="Segoe UI"/>
          <w:lang w:eastAsia="en-AU"/>
        </w:rPr>
        <w:t>amounting to</w:t>
      </w:r>
      <w:r w:rsidR="00293A75">
        <w:rPr>
          <w:rFonts w:cs="Segoe UI"/>
          <w:lang w:eastAsia="en-AU"/>
        </w:rPr>
        <w:t xml:space="preserve"> $534.60 per learner and $53.</w:t>
      </w:r>
      <w:r w:rsidR="0081006B">
        <w:rPr>
          <w:rFonts w:cs="Segoe UI"/>
          <w:lang w:eastAsia="en-AU"/>
        </w:rPr>
        <w:t>46</w:t>
      </w:r>
      <w:r w:rsidR="00293A75">
        <w:rPr>
          <w:rFonts w:cs="Segoe UI"/>
          <w:lang w:eastAsia="en-AU"/>
        </w:rPr>
        <w:t>m for the cohort</w:t>
      </w:r>
      <w:r w:rsidR="00676399">
        <w:rPr>
          <w:rFonts w:cs="Segoe UI"/>
          <w:lang w:eastAsia="en-AU"/>
        </w:rPr>
        <w:t xml:space="preserve"> per annum</w:t>
      </w:r>
      <w:r w:rsidR="00293A75">
        <w:rPr>
          <w:rFonts w:cs="Segoe UI"/>
          <w:lang w:eastAsia="en-AU"/>
        </w:rPr>
        <w:t>.</w:t>
      </w:r>
    </w:p>
    <w:p w14:paraId="41D18C18" w14:textId="77777777" w:rsidR="00D54F0E" w:rsidRPr="00953601" w:rsidRDefault="00293A75" w:rsidP="00D54F0E">
      <w:pPr>
        <w:pStyle w:val="TextPara"/>
        <w:rPr>
          <w:rFonts w:cs="Segoe UI"/>
          <w:lang w:eastAsia="en-AU"/>
        </w:rPr>
      </w:pPr>
      <w:r>
        <w:rPr>
          <w:rFonts w:cs="Segoe UI"/>
          <w:lang w:eastAsia="en-AU"/>
        </w:rPr>
        <w:t>The</w:t>
      </w:r>
      <w:r w:rsidR="00CD7902">
        <w:rPr>
          <w:rFonts w:cs="Segoe UI"/>
          <w:lang w:eastAsia="en-AU"/>
        </w:rPr>
        <w:t>refore, the</w:t>
      </w:r>
      <w:r>
        <w:rPr>
          <w:rFonts w:cs="Segoe UI"/>
          <w:lang w:eastAsia="en-AU"/>
        </w:rPr>
        <w:t xml:space="preserve"> </w:t>
      </w:r>
      <w:r w:rsidR="00676399">
        <w:rPr>
          <w:rFonts w:cs="Segoe UI"/>
          <w:lang w:eastAsia="en-AU"/>
        </w:rPr>
        <w:t>range of costs is between $16.17m than $69.63</w:t>
      </w:r>
      <w:r w:rsidR="008C046D">
        <w:rPr>
          <w:rFonts w:cs="Segoe UI"/>
          <w:lang w:eastAsia="en-AU"/>
        </w:rPr>
        <w:t>m per</w:t>
      </w:r>
      <w:r w:rsidR="00676399">
        <w:rPr>
          <w:rFonts w:cs="Segoe UI"/>
          <w:lang w:eastAsia="en-AU"/>
        </w:rPr>
        <w:t xml:space="preserve"> annum, or $161.2m and $69</w:t>
      </w:r>
      <w:r w:rsidR="008C046D">
        <w:rPr>
          <w:rFonts w:cs="Segoe UI"/>
          <w:lang w:eastAsia="en-AU"/>
        </w:rPr>
        <w:t xml:space="preserve">6.3m over the life of the regulations. </w:t>
      </w:r>
      <w:r w:rsidR="002A77E4">
        <w:rPr>
          <w:rFonts w:cs="Segoe UI"/>
          <w:lang w:eastAsia="en-AU"/>
        </w:rPr>
        <w:t xml:space="preserve">This includes the cost of extra professional instructor driving hours and the cost </w:t>
      </w:r>
      <w:r w:rsidR="00545346">
        <w:rPr>
          <w:rFonts w:cs="Segoe UI"/>
          <w:lang w:eastAsia="en-AU"/>
        </w:rPr>
        <w:t>of</w:t>
      </w:r>
      <w:r w:rsidR="002A77E4">
        <w:rPr>
          <w:rFonts w:cs="Segoe UI"/>
          <w:lang w:eastAsia="en-AU"/>
        </w:rPr>
        <w:t xml:space="preserve"> extra trips, if required. </w:t>
      </w:r>
      <w:r w:rsidR="008C046D">
        <w:rPr>
          <w:rFonts w:cs="Segoe UI"/>
          <w:lang w:eastAsia="en-AU"/>
        </w:rPr>
        <w:t>DoT believes that the safety benefits, as described in earlier sections, from mandating 120 hours outweigh these costs</w:t>
      </w:r>
      <w:r w:rsidR="00CD7902">
        <w:rPr>
          <w:rFonts w:cs="Segoe UI"/>
          <w:lang w:eastAsia="en-AU"/>
        </w:rPr>
        <w:t>.</w:t>
      </w:r>
    </w:p>
    <w:p w14:paraId="1EF84FC2" w14:textId="77777777" w:rsidR="00D54F0E" w:rsidRPr="00F6132B" w:rsidRDefault="00D54F0E" w:rsidP="00096B9B">
      <w:pPr>
        <w:pStyle w:val="TextPara"/>
        <w:rPr>
          <w:b/>
          <w:color w:val="595959" w:themeColor="text1" w:themeTint="A6"/>
        </w:rPr>
      </w:pPr>
      <w:r w:rsidRPr="00F6132B">
        <w:rPr>
          <w:b/>
          <w:color w:val="595959" w:themeColor="text1" w:themeTint="A6"/>
        </w:rPr>
        <w:t>L2P Learner Driver Mentor Program</w:t>
      </w:r>
    </w:p>
    <w:p w14:paraId="3718938D" w14:textId="77777777" w:rsidR="006A7A04" w:rsidRDefault="00486EEE" w:rsidP="00096B9B">
      <w:pPr>
        <w:pStyle w:val="TextPara"/>
        <w:rPr>
          <w:rFonts w:cs="Segoe UI"/>
          <w:lang w:eastAsia="en-AU"/>
        </w:rPr>
      </w:pPr>
      <w:r>
        <w:rPr>
          <w:rFonts w:cs="Segoe UI"/>
          <w:lang w:eastAsia="en-AU"/>
        </w:rPr>
        <w:t xml:space="preserve">In recognition that </w:t>
      </w:r>
      <w:r w:rsidR="00366406">
        <w:rPr>
          <w:rFonts w:cs="Segoe UI"/>
          <w:lang w:eastAsia="en-AU"/>
        </w:rPr>
        <w:t>a minority of young people</w:t>
      </w:r>
      <w:r w:rsidR="009A5495">
        <w:rPr>
          <w:rFonts w:cs="Segoe UI"/>
          <w:lang w:eastAsia="en-AU"/>
        </w:rPr>
        <w:t xml:space="preserve"> </w:t>
      </w:r>
      <w:r w:rsidR="00366406">
        <w:rPr>
          <w:rFonts w:cs="Segoe UI"/>
          <w:lang w:eastAsia="en-AU"/>
        </w:rPr>
        <w:t xml:space="preserve">will find it difficult to gain </w:t>
      </w:r>
      <w:r>
        <w:rPr>
          <w:rFonts w:cs="Segoe UI"/>
          <w:lang w:eastAsia="en-AU"/>
        </w:rPr>
        <w:t>120 hours of supervised</w:t>
      </w:r>
      <w:r w:rsidR="00366406">
        <w:rPr>
          <w:rFonts w:cs="Segoe UI"/>
          <w:lang w:eastAsia="en-AU"/>
        </w:rPr>
        <w:t xml:space="preserve"> driving experience </w:t>
      </w:r>
      <w:r>
        <w:rPr>
          <w:rFonts w:cs="Segoe UI"/>
          <w:lang w:eastAsia="en-AU"/>
        </w:rPr>
        <w:t xml:space="preserve">the government has introduced </w:t>
      </w:r>
      <w:r w:rsidR="00E53AE1">
        <w:rPr>
          <w:rFonts w:cs="Segoe UI"/>
          <w:lang w:eastAsia="en-AU"/>
        </w:rPr>
        <w:t>the L2P Learner Driver Mentor Program</w:t>
      </w:r>
      <w:r w:rsidR="009A5495">
        <w:rPr>
          <w:rFonts w:cs="Segoe UI"/>
          <w:lang w:eastAsia="en-AU"/>
        </w:rPr>
        <w:t>.</w:t>
      </w:r>
      <w:r w:rsidR="00DB16EA">
        <w:rPr>
          <w:rStyle w:val="EndnoteReference"/>
          <w:rFonts w:cs="Segoe UI"/>
          <w:lang w:eastAsia="en-AU"/>
        </w:rPr>
        <w:endnoteReference w:id="261"/>
      </w:r>
      <w:r w:rsidR="00E53AE1">
        <w:rPr>
          <w:rFonts w:cs="Segoe UI"/>
          <w:lang w:eastAsia="en-AU"/>
        </w:rPr>
        <w:t xml:space="preserve"> </w:t>
      </w:r>
      <w:r w:rsidR="009A5495">
        <w:rPr>
          <w:rFonts w:cs="Segoe UI"/>
          <w:lang w:eastAsia="en-AU"/>
        </w:rPr>
        <w:t xml:space="preserve">This is </w:t>
      </w:r>
      <w:r w:rsidR="00E10CBA">
        <w:rPr>
          <w:rFonts w:cs="Segoe UI"/>
          <w:lang w:eastAsia="en-AU"/>
        </w:rPr>
        <w:t>a</w:t>
      </w:r>
      <w:r w:rsidR="00E53AE1">
        <w:rPr>
          <w:rFonts w:cs="Segoe UI"/>
          <w:lang w:eastAsia="en-AU"/>
        </w:rPr>
        <w:t xml:space="preserve"> </w:t>
      </w:r>
      <w:r w:rsidR="00DB16EA" w:rsidRPr="00DB16EA">
        <w:rPr>
          <w:rFonts w:cs="Segoe UI"/>
          <w:lang w:eastAsia="en-AU"/>
        </w:rPr>
        <w:t xml:space="preserve">community-based program </w:t>
      </w:r>
      <w:r w:rsidR="009A5495">
        <w:rPr>
          <w:rFonts w:cs="Segoe UI"/>
          <w:lang w:eastAsia="en-AU"/>
        </w:rPr>
        <w:t xml:space="preserve">that provides vehicles and voluntary supervisors </w:t>
      </w:r>
      <w:r w:rsidR="00E53AE1">
        <w:rPr>
          <w:rFonts w:cs="Segoe UI"/>
          <w:lang w:eastAsia="en-AU"/>
        </w:rPr>
        <w:t xml:space="preserve">funded </w:t>
      </w:r>
      <w:r w:rsidR="007230DE">
        <w:rPr>
          <w:rFonts w:cs="Segoe UI"/>
          <w:lang w:eastAsia="en-AU"/>
        </w:rPr>
        <w:t>through</w:t>
      </w:r>
      <w:r w:rsidR="00E53AE1">
        <w:rPr>
          <w:rFonts w:cs="Segoe UI"/>
          <w:lang w:eastAsia="en-AU"/>
        </w:rPr>
        <w:t xml:space="preserve"> the Transport Accident Commission</w:t>
      </w:r>
      <w:r w:rsidR="009A5495">
        <w:rPr>
          <w:rFonts w:cs="Segoe UI"/>
          <w:lang w:eastAsia="en-AU"/>
        </w:rPr>
        <w:t>. It is</w:t>
      </w:r>
      <w:r w:rsidR="008E4C77" w:rsidRPr="008E4C77">
        <w:rPr>
          <w:rFonts w:cs="Segoe UI"/>
          <w:lang w:eastAsia="en-AU"/>
        </w:rPr>
        <w:t xml:space="preserve"> hosted by a range of local governments and health and community services</w:t>
      </w:r>
      <w:r w:rsidR="00E10CBA">
        <w:rPr>
          <w:rFonts w:cs="Segoe UI"/>
          <w:lang w:eastAsia="en-AU"/>
        </w:rPr>
        <w:t xml:space="preserve"> in Victoria</w:t>
      </w:r>
      <w:r w:rsidR="00E53AE1">
        <w:rPr>
          <w:rFonts w:cs="Segoe UI"/>
          <w:lang w:eastAsia="en-AU"/>
        </w:rPr>
        <w:t xml:space="preserve">. </w:t>
      </w:r>
      <w:r w:rsidR="007230DE">
        <w:rPr>
          <w:rFonts w:cs="Segoe UI"/>
          <w:lang w:eastAsia="en-AU"/>
        </w:rPr>
        <w:t xml:space="preserve">In 2015 </w:t>
      </w:r>
      <w:r w:rsidR="0057180B" w:rsidRPr="0057180B">
        <w:rPr>
          <w:rFonts w:cs="Segoe UI"/>
          <w:lang w:eastAsia="en-AU"/>
        </w:rPr>
        <w:t xml:space="preserve">the </w:t>
      </w:r>
      <w:r w:rsidR="009A5495">
        <w:rPr>
          <w:rFonts w:cs="Segoe UI"/>
          <w:lang w:eastAsia="en-AU"/>
        </w:rPr>
        <w:t xml:space="preserve">government </w:t>
      </w:r>
      <w:r w:rsidR="007230DE">
        <w:rPr>
          <w:rFonts w:cs="Segoe UI"/>
          <w:lang w:eastAsia="en-AU"/>
        </w:rPr>
        <w:t>committed</w:t>
      </w:r>
      <w:r w:rsidR="0057180B" w:rsidRPr="0057180B">
        <w:rPr>
          <w:rFonts w:cs="Segoe UI"/>
          <w:lang w:eastAsia="en-AU"/>
        </w:rPr>
        <w:t xml:space="preserve"> </w:t>
      </w:r>
      <w:r w:rsidR="007230DE" w:rsidRPr="0057180B">
        <w:rPr>
          <w:rFonts w:cs="Segoe UI"/>
          <w:lang w:eastAsia="en-AU"/>
        </w:rPr>
        <w:t xml:space="preserve">$16 million funding </w:t>
      </w:r>
      <w:r w:rsidR="00B37DBE">
        <w:rPr>
          <w:rFonts w:cs="Segoe UI"/>
          <w:lang w:eastAsia="en-AU"/>
        </w:rPr>
        <w:t>for</w:t>
      </w:r>
      <w:r w:rsidR="007230DE">
        <w:rPr>
          <w:rFonts w:cs="Segoe UI"/>
          <w:lang w:eastAsia="en-AU"/>
        </w:rPr>
        <w:t xml:space="preserve"> </w:t>
      </w:r>
      <w:r w:rsidR="007230DE" w:rsidRPr="0057180B">
        <w:rPr>
          <w:rFonts w:cs="Segoe UI"/>
          <w:lang w:eastAsia="en-AU"/>
        </w:rPr>
        <w:t>the L2P program over four years</w:t>
      </w:r>
      <w:r w:rsidR="007418F4">
        <w:rPr>
          <w:rFonts w:cs="Segoe UI"/>
          <w:lang w:eastAsia="en-AU"/>
        </w:rPr>
        <w:t>.</w:t>
      </w:r>
    </w:p>
    <w:p w14:paraId="44E16C67" w14:textId="77777777" w:rsidR="00381BD2" w:rsidRDefault="00584580" w:rsidP="00096B9B">
      <w:pPr>
        <w:pStyle w:val="TextPara"/>
        <w:rPr>
          <w:rFonts w:cs="Segoe UI"/>
          <w:lang w:eastAsia="en-AU"/>
        </w:rPr>
      </w:pPr>
      <w:r>
        <w:rPr>
          <w:rFonts w:cs="Segoe UI"/>
          <w:lang w:eastAsia="en-AU"/>
        </w:rPr>
        <w:t>Eligible l</w:t>
      </w:r>
      <w:r w:rsidR="00E53AE1">
        <w:rPr>
          <w:rFonts w:cs="Segoe UI"/>
          <w:lang w:eastAsia="en-AU"/>
        </w:rPr>
        <w:t xml:space="preserve">earners </w:t>
      </w:r>
      <w:r w:rsidR="00B4018B" w:rsidRPr="00B4018B">
        <w:rPr>
          <w:rFonts w:cs="Segoe UI"/>
          <w:lang w:eastAsia="en-AU"/>
        </w:rPr>
        <w:t>receive free professional driving lessons</w:t>
      </w:r>
      <w:r w:rsidR="00B4018B">
        <w:rPr>
          <w:rFonts w:cs="Segoe UI"/>
          <w:lang w:eastAsia="en-AU"/>
        </w:rPr>
        <w:t xml:space="preserve"> </w:t>
      </w:r>
      <w:r w:rsidR="00925195" w:rsidRPr="00925195">
        <w:rPr>
          <w:rFonts w:cs="Segoe UI"/>
          <w:lang w:eastAsia="en-AU"/>
        </w:rPr>
        <w:t xml:space="preserve">in the basics of driving a car </w:t>
      </w:r>
      <w:r w:rsidR="003378E6" w:rsidRPr="003378E6">
        <w:rPr>
          <w:rFonts w:cs="Segoe UI"/>
          <w:lang w:eastAsia="en-AU"/>
        </w:rPr>
        <w:t>with a registered Driving School</w:t>
      </w:r>
      <w:r w:rsidR="003378E6">
        <w:rPr>
          <w:rFonts w:cs="Segoe UI"/>
          <w:lang w:eastAsia="en-AU"/>
        </w:rPr>
        <w:t>. They</w:t>
      </w:r>
      <w:r w:rsidR="00925195">
        <w:rPr>
          <w:rFonts w:cs="Segoe UI"/>
          <w:lang w:eastAsia="en-AU"/>
        </w:rPr>
        <w:t xml:space="preserve"> </w:t>
      </w:r>
      <w:r w:rsidR="00E53AE1">
        <w:rPr>
          <w:rFonts w:cs="Segoe UI"/>
          <w:lang w:eastAsia="en-AU"/>
        </w:rPr>
        <w:t>are</w:t>
      </w:r>
      <w:r w:rsidR="00925195">
        <w:rPr>
          <w:rFonts w:cs="Segoe UI"/>
          <w:lang w:eastAsia="en-AU"/>
        </w:rPr>
        <w:t xml:space="preserve"> then</w:t>
      </w:r>
      <w:r w:rsidR="00E53AE1">
        <w:rPr>
          <w:rFonts w:cs="Segoe UI"/>
          <w:lang w:eastAsia="en-AU"/>
        </w:rPr>
        <w:t xml:space="preserve"> matched with fully licensed volunteer mentors</w:t>
      </w:r>
      <w:r>
        <w:rPr>
          <w:rFonts w:cs="Segoe UI"/>
          <w:lang w:eastAsia="en-AU"/>
        </w:rPr>
        <w:t xml:space="preserve">, who </w:t>
      </w:r>
      <w:r w:rsidR="000A3C15">
        <w:rPr>
          <w:rFonts w:cs="Segoe UI"/>
          <w:lang w:eastAsia="en-AU"/>
        </w:rPr>
        <w:t xml:space="preserve">must undertake a comprehensive VicRoads training program to become mentors. Learners may refer themselves to one of </w:t>
      </w:r>
      <w:r w:rsidR="001E3010">
        <w:rPr>
          <w:rFonts w:cs="Segoe UI"/>
          <w:lang w:eastAsia="en-AU"/>
        </w:rPr>
        <w:t>63</w:t>
      </w:r>
      <w:r w:rsidR="000A3C15">
        <w:rPr>
          <w:rFonts w:cs="Segoe UI"/>
          <w:lang w:eastAsia="en-AU"/>
        </w:rPr>
        <w:t xml:space="preserve"> </w:t>
      </w:r>
      <w:r w:rsidR="001E3010">
        <w:rPr>
          <w:rFonts w:cs="Segoe UI"/>
          <w:lang w:eastAsia="en-AU"/>
        </w:rPr>
        <w:t xml:space="preserve">local </w:t>
      </w:r>
      <w:r w:rsidR="000A3C15">
        <w:rPr>
          <w:rFonts w:cs="Segoe UI"/>
          <w:lang w:eastAsia="en-AU"/>
        </w:rPr>
        <w:t>L2P programs across Victoria or be referred by parents, schools, community agencies or other organisations.</w:t>
      </w:r>
    </w:p>
    <w:p w14:paraId="17087FA4" w14:textId="77777777" w:rsidR="00663062" w:rsidRDefault="00BF1683" w:rsidP="00096B9B">
      <w:pPr>
        <w:pStyle w:val="TextPara"/>
        <w:rPr>
          <w:rFonts w:cs="Segoe UI"/>
          <w:lang w:eastAsia="en-AU"/>
        </w:rPr>
      </w:pPr>
      <w:r>
        <w:rPr>
          <w:rFonts w:cs="Segoe UI"/>
          <w:lang w:eastAsia="en-AU"/>
        </w:rPr>
        <w:t xml:space="preserve">In the absence of a minimum number of </w:t>
      </w:r>
      <w:r w:rsidR="00383B9E">
        <w:rPr>
          <w:rFonts w:cs="Segoe UI"/>
          <w:lang w:eastAsia="en-AU"/>
        </w:rPr>
        <w:t xml:space="preserve">supervised </w:t>
      </w:r>
      <w:r>
        <w:rPr>
          <w:rFonts w:cs="Segoe UI"/>
          <w:lang w:eastAsia="en-AU"/>
        </w:rPr>
        <w:t xml:space="preserve">driving hours, </w:t>
      </w:r>
      <w:r w:rsidR="00383B9E">
        <w:rPr>
          <w:rFonts w:cs="Segoe UI"/>
          <w:lang w:eastAsia="en-AU"/>
        </w:rPr>
        <w:t xml:space="preserve">learners </w:t>
      </w:r>
      <w:r w:rsidR="0017451B">
        <w:rPr>
          <w:rFonts w:cs="Segoe UI"/>
          <w:lang w:eastAsia="en-AU"/>
        </w:rPr>
        <w:t xml:space="preserve">aged 16 years </w:t>
      </w:r>
      <w:r w:rsidR="00D72910">
        <w:rPr>
          <w:rFonts w:cs="Segoe UI"/>
          <w:lang w:eastAsia="en-AU"/>
        </w:rPr>
        <w:t xml:space="preserve">tended to complete </w:t>
      </w:r>
      <w:r w:rsidR="00A462C4">
        <w:rPr>
          <w:rFonts w:cs="Segoe UI"/>
          <w:lang w:eastAsia="en-AU"/>
        </w:rPr>
        <w:t xml:space="preserve">significantly </w:t>
      </w:r>
      <w:r w:rsidR="00D72910">
        <w:rPr>
          <w:rFonts w:cs="Segoe UI"/>
          <w:lang w:eastAsia="en-AU"/>
        </w:rPr>
        <w:t>more hours</w:t>
      </w:r>
      <w:r w:rsidR="008B45D7">
        <w:rPr>
          <w:rFonts w:cs="Segoe UI"/>
          <w:lang w:eastAsia="en-AU"/>
        </w:rPr>
        <w:t xml:space="preserve"> </w:t>
      </w:r>
      <w:r w:rsidR="00D72910">
        <w:rPr>
          <w:rFonts w:cs="Segoe UI"/>
          <w:lang w:eastAsia="en-AU"/>
        </w:rPr>
        <w:t xml:space="preserve">compared with those who obtained their learner permit closer to licensing age. On average learners in all age groups completed 94.1 supervised hours. </w:t>
      </w:r>
      <w:r>
        <w:rPr>
          <w:rFonts w:cs="Segoe UI"/>
          <w:lang w:eastAsia="en-AU"/>
        </w:rPr>
        <w:t xml:space="preserve">Compared </w:t>
      </w:r>
      <w:r w:rsidR="00A462C4">
        <w:rPr>
          <w:rFonts w:cs="Segoe UI"/>
          <w:lang w:eastAsia="en-AU"/>
        </w:rPr>
        <w:t xml:space="preserve">to a base case of </w:t>
      </w:r>
      <w:r>
        <w:rPr>
          <w:rFonts w:cs="Segoe UI"/>
          <w:lang w:eastAsia="en-AU"/>
        </w:rPr>
        <w:t xml:space="preserve">no </w:t>
      </w:r>
      <w:r w:rsidR="001D2FD4">
        <w:rPr>
          <w:rFonts w:cs="Segoe UI"/>
          <w:lang w:eastAsia="en-AU"/>
        </w:rPr>
        <w:t xml:space="preserve">mandated </w:t>
      </w:r>
      <w:r>
        <w:rPr>
          <w:rFonts w:cs="Segoe UI"/>
          <w:lang w:eastAsia="en-AU"/>
        </w:rPr>
        <w:t>minimum number of supervised driving hours,</w:t>
      </w:r>
      <w:r w:rsidR="00A462C4">
        <w:rPr>
          <w:rFonts w:cs="Segoe UI"/>
          <w:lang w:eastAsia="en-AU"/>
        </w:rPr>
        <w:t xml:space="preserve"> </w:t>
      </w:r>
      <w:r w:rsidR="001D2FD4">
        <w:rPr>
          <w:rFonts w:cs="Segoe UI"/>
          <w:lang w:eastAsia="en-AU"/>
        </w:rPr>
        <w:t xml:space="preserve">the proposed 120 hours has been found to reduce crash risk by 35%. This </w:t>
      </w:r>
      <w:r w:rsidR="00D97982">
        <w:rPr>
          <w:rFonts w:cs="Segoe UI"/>
          <w:lang w:eastAsia="en-AU"/>
        </w:rPr>
        <w:t xml:space="preserve">road safety </w:t>
      </w:r>
      <w:r w:rsidR="001D2FD4">
        <w:rPr>
          <w:rFonts w:cs="Segoe UI"/>
          <w:lang w:eastAsia="en-AU"/>
        </w:rPr>
        <w:t xml:space="preserve">benefit comes at a cost of between </w:t>
      </w:r>
      <w:r w:rsidR="001D2FD4" w:rsidRPr="00EC58E0">
        <w:rPr>
          <w:rFonts w:cs="Segoe UI"/>
          <w:lang w:eastAsia="en-AU"/>
        </w:rPr>
        <w:t>$1</w:t>
      </w:r>
      <w:r w:rsidR="001D2FD4">
        <w:rPr>
          <w:rFonts w:cs="Segoe UI"/>
          <w:lang w:eastAsia="en-AU"/>
        </w:rPr>
        <w:t>61</w:t>
      </w:r>
      <w:r w:rsidR="001D2FD4" w:rsidRPr="00EC58E0">
        <w:rPr>
          <w:rFonts w:cs="Segoe UI"/>
          <w:lang w:eastAsia="en-AU"/>
        </w:rPr>
        <w:t>.</w:t>
      </w:r>
      <w:r w:rsidR="001D2FD4">
        <w:rPr>
          <w:rFonts w:cs="Segoe UI"/>
          <w:lang w:eastAsia="en-AU"/>
        </w:rPr>
        <w:t>7</w:t>
      </w:r>
      <w:r w:rsidR="001D2FD4" w:rsidRPr="00EC58E0">
        <w:rPr>
          <w:rFonts w:cs="Segoe UI"/>
          <w:lang w:eastAsia="en-AU"/>
        </w:rPr>
        <w:t xml:space="preserve">0 </w:t>
      </w:r>
      <w:r w:rsidR="001D2FD4">
        <w:rPr>
          <w:rFonts w:cs="Segoe UI"/>
          <w:lang w:eastAsia="en-AU"/>
        </w:rPr>
        <w:t xml:space="preserve">and </w:t>
      </w:r>
      <w:r w:rsidR="00D97982">
        <w:rPr>
          <w:rFonts w:cs="Segoe UI"/>
          <w:lang w:eastAsia="en-AU"/>
        </w:rPr>
        <w:t xml:space="preserve">$696.30 </w:t>
      </w:r>
      <w:r w:rsidR="001D2FD4" w:rsidRPr="00EC58E0">
        <w:rPr>
          <w:rFonts w:cs="Segoe UI"/>
          <w:lang w:eastAsia="en-AU"/>
        </w:rPr>
        <w:t>per learner</w:t>
      </w:r>
      <w:r w:rsidR="00D97982">
        <w:rPr>
          <w:rFonts w:cs="Segoe UI"/>
          <w:lang w:eastAsia="en-AU"/>
        </w:rPr>
        <w:t>, which DoT believes to be reasonable.</w:t>
      </w:r>
      <w:r w:rsidR="001D2FD4">
        <w:rPr>
          <w:rFonts w:cs="Segoe UI"/>
          <w:lang w:eastAsia="en-AU"/>
        </w:rPr>
        <w:t xml:space="preserve"> </w:t>
      </w:r>
    </w:p>
    <w:p w14:paraId="3C157059" w14:textId="77777777" w:rsidR="004949C5" w:rsidRDefault="000C33B0" w:rsidP="00266B15">
      <w:pPr>
        <w:pStyle w:val="TextPara"/>
        <w:rPr>
          <w:b/>
        </w:rPr>
      </w:pPr>
      <w:r>
        <w:rPr>
          <w:b/>
        </w:rPr>
        <w:t>DoT</w:t>
      </w:r>
      <w:r w:rsidR="00122C1B" w:rsidRPr="00FB2029">
        <w:rPr>
          <w:b/>
        </w:rPr>
        <w:t>’s</w:t>
      </w:r>
      <w:r w:rsidR="00122C1B" w:rsidRPr="00FB2029" w:rsidDel="0061784C">
        <w:rPr>
          <w:b/>
        </w:rPr>
        <w:t xml:space="preserve"> </w:t>
      </w:r>
      <w:r w:rsidR="00122C1B" w:rsidRPr="00FB2029">
        <w:rPr>
          <w:b/>
        </w:rPr>
        <w:t xml:space="preserve">preferred option for </w:t>
      </w:r>
      <w:r w:rsidR="00CC54C1">
        <w:rPr>
          <w:b/>
        </w:rPr>
        <w:t>the minimum number of supervised driving</w:t>
      </w:r>
      <w:r w:rsidR="00122C1B" w:rsidRPr="00FB2029">
        <w:rPr>
          <w:b/>
        </w:rPr>
        <w:t xml:space="preserve"> </w:t>
      </w:r>
      <w:r w:rsidR="00A61DEF">
        <w:rPr>
          <w:b/>
        </w:rPr>
        <w:t xml:space="preserve">for a learner driver to obtain a probationary </w:t>
      </w:r>
      <w:r w:rsidR="00A61DEF" w:rsidRPr="00FB2029">
        <w:rPr>
          <w:b/>
        </w:rPr>
        <w:t xml:space="preserve">licence </w:t>
      </w:r>
      <w:r w:rsidR="00122C1B" w:rsidRPr="00FB2029">
        <w:rPr>
          <w:b/>
        </w:rPr>
        <w:t xml:space="preserve">is to retain </w:t>
      </w:r>
      <w:r w:rsidR="00122C1B">
        <w:rPr>
          <w:b/>
        </w:rPr>
        <w:t>the current requirement to complete 120 hours, including</w:t>
      </w:r>
      <w:r w:rsidR="00A61DEF">
        <w:rPr>
          <w:b/>
        </w:rPr>
        <w:t xml:space="preserve"> 20 hours of night-time driving</w:t>
      </w:r>
      <w:r w:rsidR="00D913C6">
        <w:rPr>
          <w:b/>
        </w:rPr>
        <w:t xml:space="preserve"> for learners </w:t>
      </w:r>
      <w:r w:rsidR="00E25781">
        <w:rPr>
          <w:b/>
        </w:rPr>
        <w:t>under</w:t>
      </w:r>
      <w:r w:rsidR="00D913C6">
        <w:rPr>
          <w:b/>
        </w:rPr>
        <w:t xml:space="preserve"> 21 years of age</w:t>
      </w:r>
      <w:r w:rsidR="00122C1B" w:rsidRPr="00FB2029">
        <w:rPr>
          <w:b/>
        </w:rPr>
        <w:t>.</w:t>
      </w:r>
      <w:r w:rsidR="00272502">
        <w:rPr>
          <w:b/>
        </w:rPr>
        <w:t xml:space="preserve"> </w:t>
      </w:r>
      <w:r w:rsidR="006601DA">
        <w:rPr>
          <w:b/>
        </w:rPr>
        <w:t xml:space="preserve">The </w:t>
      </w:r>
      <w:r w:rsidR="00D96C38">
        <w:rPr>
          <w:b/>
        </w:rPr>
        <w:t>120 hours</w:t>
      </w:r>
      <w:r w:rsidR="006601DA">
        <w:rPr>
          <w:b/>
        </w:rPr>
        <w:t xml:space="preserve"> requirement</w:t>
      </w:r>
      <w:r w:rsidR="00D96C38">
        <w:rPr>
          <w:b/>
        </w:rPr>
        <w:t xml:space="preserve"> </w:t>
      </w:r>
      <w:r w:rsidR="00AB4CCD">
        <w:rPr>
          <w:b/>
        </w:rPr>
        <w:t>is targeted to this cohort</w:t>
      </w:r>
      <w:r w:rsidR="006601DA">
        <w:rPr>
          <w:b/>
        </w:rPr>
        <w:t xml:space="preserve"> of learners</w:t>
      </w:r>
      <w:r w:rsidR="00AB4CCD">
        <w:rPr>
          <w:b/>
        </w:rPr>
        <w:t xml:space="preserve"> as they </w:t>
      </w:r>
      <w:r w:rsidR="00AB4CCD" w:rsidRPr="00AB4CCD">
        <w:rPr>
          <w:b/>
        </w:rPr>
        <w:t xml:space="preserve">have a much </w:t>
      </w:r>
      <w:r w:rsidR="00AB4CCD">
        <w:rPr>
          <w:b/>
        </w:rPr>
        <w:t>higher</w:t>
      </w:r>
      <w:r w:rsidR="00AB4CCD" w:rsidRPr="00AB4CCD">
        <w:rPr>
          <w:b/>
        </w:rPr>
        <w:t xml:space="preserve"> crash risk than </w:t>
      </w:r>
      <w:r w:rsidR="00AB4CCD">
        <w:rPr>
          <w:b/>
        </w:rPr>
        <w:t>older</w:t>
      </w:r>
      <w:r w:rsidR="00AB4CCD" w:rsidRPr="00AB4CCD">
        <w:rPr>
          <w:b/>
        </w:rPr>
        <w:t xml:space="preserve"> inexperienced drivers</w:t>
      </w:r>
      <w:r w:rsidR="004949C5">
        <w:rPr>
          <w:b/>
        </w:rPr>
        <w:t>.</w:t>
      </w:r>
      <w:r w:rsidR="00AB4CCD">
        <w:rPr>
          <w:b/>
        </w:rPr>
        <w:t xml:space="preserve"> </w:t>
      </w:r>
      <w:r w:rsidR="006601DA">
        <w:rPr>
          <w:b/>
        </w:rPr>
        <w:t>It has been shown that t</w:t>
      </w:r>
      <w:r w:rsidR="004949C5">
        <w:rPr>
          <w:b/>
        </w:rPr>
        <w:t xml:space="preserve">his requirement has resulted in a </w:t>
      </w:r>
      <w:r w:rsidR="006601DA">
        <w:rPr>
          <w:b/>
        </w:rPr>
        <w:t>substantial</w:t>
      </w:r>
      <w:r w:rsidR="004949C5">
        <w:rPr>
          <w:b/>
        </w:rPr>
        <w:t xml:space="preserve"> reduction</w:t>
      </w:r>
      <w:r w:rsidR="00923780">
        <w:rPr>
          <w:b/>
        </w:rPr>
        <w:t xml:space="preserve"> </w:t>
      </w:r>
      <w:r w:rsidR="004949C5">
        <w:rPr>
          <w:b/>
        </w:rPr>
        <w:t xml:space="preserve">in crash risk for </w:t>
      </w:r>
      <w:r w:rsidR="004949C5" w:rsidRPr="004949C5">
        <w:rPr>
          <w:b/>
        </w:rPr>
        <w:t xml:space="preserve">learners </w:t>
      </w:r>
      <w:r w:rsidR="006601DA">
        <w:rPr>
          <w:b/>
        </w:rPr>
        <w:t xml:space="preserve">with about 120 </w:t>
      </w:r>
      <w:r w:rsidR="004949C5" w:rsidRPr="004949C5">
        <w:rPr>
          <w:b/>
        </w:rPr>
        <w:t xml:space="preserve">hours of supervised experience </w:t>
      </w:r>
      <w:r w:rsidR="006601DA">
        <w:rPr>
          <w:b/>
        </w:rPr>
        <w:t xml:space="preserve">compared with </w:t>
      </w:r>
      <w:r w:rsidR="00923780">
        <w:rPr>
          <w:b/>
        </w:rPr>
        <w:t>considerably fewer</w:t>
      </w:r>
      <w:r w:rsidR="00AD462E">
        <w:rPr>
          <w:b/>
        </w:rPr>
        <w:t xml:space="preserve"> hours</w:t>
      </w:r>
      <w:r w:rsidR="004949C5" w:rsidRPr="004949C5">
        <w:rPr>
          <w:b/>
        </w:rPr>
        <w:t>.</w:t>
      </w:r>
    </w:p>
    <w:p w14:paraId="1D83E1E6" w14:textId="77777777" w:rsidR="00FE1579" w:rsidRDefault="004156B8" w:rsidP="00FE1579">
      <w:pPr>
        <w:pStyle w:val="TextPara"/>
        <w:spacing w:before="60" w:after="60"/>
        <w:rPr>
          <w:b/>
        </w:rPr>
      </w:pPr>
      <w:r>
        <w:rPr>
          <w:b/>
        </w:rPr>
        <w:t xml:space="preserve">This requirement </w:t>
      </w:r>
      <w:r w:rsidR="00B77923">
        <w:rPr>
          <w:b/>
        </w:rPr>
        <w:t>does not impose a considerable burden on the community</w:t>
      </w:r>
      <w:r w:rsidR="002C0548">
        <w:rPr>
          <w:b/>
        </w:rPr>
        <w:t xml:space="preserve">, given </w:t>
      </w:r>
      <w:r>
        <w:rPr>
          <w:b/>
        </w:rPr>
        <w:t xml:space="preserve">that </w:t>
      </w:r>
      <w:r w:rsidR="00FE1579">
        <w:rPr>
          <w:b/>
        </w:rPr>
        <w:t xml:space="preserve">– </w:t>
      </w:r>
    </w:p>
    <w:p w14:paraId="677DE6AE" w14:textId="77777777" w:rsidR="00FE1579" w:rsidRPr="00FE1579" w:rsidRDefault="00FE1579" w:rsidP="00FE1579">
      <w:pPr>
        <w:pStyle w:val="Bullet1-Black"/>
        <w:spacing w:before="60" w:after="60"/>
        <w:rPr>
          <w:b/>
        </w:rPr>
      </w:pPr>
      <w:r w:rsidRPr="00FE1579">
        <w:rPr>
          <w:b/>
        </w:rPr>
        <w:t xml:space="preserve">most </w:t>
      </w:r>
      <w:r w:rsidR="004156B8" w:rsidRPr="00FE1579">
        <w:rPr>
          <w:b/>
        </w:rPr>
        <w:t>of these hours are typically performed through everyday driving activities</w:t>
      </w:r>
    </w:p>
    <w:p w14:paraId="64078EE7" w14:textId="77777777" w:rsidR="00122C1B" w:rsidRPr="00FE1579" w:rsidRDefault="002C0548" w:rsidP="00FE1579">
      <w:pPr>
        <w:pStyle w:val="Bullet1-Black"/>
        <w:rPr>
          <w:b/>
        </w:rPr>
      </w:pPr>
      <w:r w:rsidRPr="00FE1579">
        <w:rPr>
          <w:b/>
        </w:rPr>
        <w:t>the community-based L2P Learner Driver Mentor Program is available to disadvantaged young Victorians</w:t>
      </w:r>
      <w:r w:rsidR="00D96C38" w:rsidRPr="00FE1579">
        <w:rPr>
          <w:b/>
        </w:rPr>
        <w:t>.</w:t>
      </w:r>
      <w:r w:rsidR="00A11C9A" w:rsidRPr="00FE1579">
        <w:rPr>
          <w:b/>
        </w:rPr>
        <w:t xml:space="preserve"> </w:t>
      </w:r>
    </w:p>
    <w:p w14:paraId="11023120" w14:textId="77777777" w:rsidR="00122C1B" w:rsidRDefault="00122C1B">
      <w:pPr>
        <w:pStyle w:val="NoSpacing"/>
      </w:pPr>
      <w:r>
        <w:t xml:space="preserve">Minimum age for driver licence </w:t>
      </w:r>
    </w:p>
    <w:p w14:paraId="1C23601C" w14:textId="77777777" w:rsidR="00122C1B" w:rsidRDefault="00122C1B" w:rsidP="00572D47">
      <w:pPr>
        <w:pStyle w:val="TextPara"/>
      </w:pPr>
      <w:r>
        <w:t xml:space="preserve">The first two stages in the national GLS framework set the minimum age for driver licence at 17 years, while the Exemplar </w:t>
      </w:r>
      <w:r w:rsidR="001A0A5C">
        <w:t xml:space="preserve">stage </w:t>
      </w:r>
      <w:r>
        <w:t>sets it at 18 years. All Australian jurisdictions set it at 17 years, except for the Northern Territory at 16</w:t>
      </w:r>
      <w:r>
        <w:rPr>
          <w:rFonts w:ascii="Calibri" w:hAnsi="Calibri" w:cs="Calibri"/>
        </w:rPr>
        <w:t>½</w:t>
      </w:r>
      <w:r>
        <w:t xml:space="preserve"> years and Victoria at 18 years. Only the Exemplar </w:t>
      </w:r>
      <w:r w:rsidR="001A0A5C">
        <w:t>stage recommends</w:t>
      </w:r>
      <w:r>
        <w:t xml:space="preserve"> the </w:t>
      </w:r>
      <w:r w:rsidR="001A0A5C">
        <w:t xml:space="preserve">same </w:t>
      </w:r>
      <w:r>
        <w:t xml:space="preserve">minimum licensing age of 18 years </w:t>
      </w:r>
      <w:r w:rsidR="001A0A5C">
        <w:t>that is set</w:t>
      </w:r>
      <w:r>
        <w:t xml:space="preserve"> in the </w:t>
      </w:r>
      <w:r w:rsidRPr="00D41A36">
        <w:rPr>
          <w:i/>
        </w:rPr>
        <w:t>RSA</w:t>
      </w:r>
      <w:r>
        <w:t>.</w:t>
      </w:r>
    </w:p>
    <w:p w14:paraId="142AD097" w14:textId="77777777" w:rsidR="00122C1B" w:rsidRDefault="00122C1B" w:rsidP="00266B15">
      <w:pPr>
        <w:pStyle w:val="TextPara"/>
      </w:pPr>
      <w:r>
        <w:t>The most definitive and largest cohort study to date to examine the effect of licensing age on road trauma was undertaken in the United Kingdom.</w:t>
      </w:r>
      <w:r>
        <w:rPr>
          <w:rStyle w:val="EndnoteReference"/>
        </w:rPr>
        <w:endnoteReference w:id="262"/>
      </w:r>
      <w:r>
        <w:t xml:space="preserve"> This study followed almost 30,000 young drivers from learner stage through their first years of licensed driving. Statistical models estimated that drivers who were </w:t>
      </w:r>
      <w:r>
        <w:lastRenderedPageBreak/>
        <w:t>licensed at 17 years of age had a 10% higher crash risk in their first year of driving than those who were licensed at 18 years. Critically, this effect of age on crashes was found to be independent of the effect of driving experience.</w:t>
      </w:r>
    </w:p>
    <w:p w14:paraId="4990F018" w14:textId="77777777" w:rsidR="00122C1B" w:rsidRPr="0080011D" w:rsidRDefault="007F7850" w:rsidP="00F5778B">
      <w:pPr>
        <w:pStyle w:val="TextPara"/>
      </w:pPr>
      <w:r>
        <w:t>In 2016</w:t>
      </w:r>
      <w:r>
        <w:rPr>
          <w:rStyle w:val="EndnoteReference"/>
        </w:rPr>
        <w:endnoteReference w:id="263"/>
      </w:r>
      <w:r>
        <w:t xml:space="preserve"> </w:t>
      </w:r>
      <w:r w:rsidR="00B6056B">
        <w:t>VicRoads and the TAC estimate</w:t>
      </w:r>
      <w:r>
        <w:t>d</w:t>
      </w:r>
      <w:r w:rsidR="00B6056B">
        <w:t xml:space="preserve"> the impact on road trauma in Victoria </w:t>
      </w:r>
      <w:r>
        <w:t>if</w:t>
      </w:r>
      <w:r w:rsidR="00B6056B">
        <w:t xml:space="preserve"> the licensing age </w:t>
      </w:r>
      <w:r>
        <w:t xml:space="preserve">were </w:t>
      </w:r>
      <w:r w:rsidR="00B6056B">
        <w:t>to be reduced from 18 years to 17 years. The analysis was based on</w:t>
      </w:r>
      <w:r w:rsidR="00BA55FF">
        <w:t xml:space="preserve"> </w:t>
      </w:r>
      <w:r w:rsidR="00F5778B">
        <w:t xml:space="preserve">2014 </w:t>
      </w:r>
      <w:r w:rsidR="00BA55FF">
        <w:t>data from</w:t>
      </w:r>
      <w:r w:rsidR="0041349D">
        <w:t xml:space="preserve"> New South Wales</w:t>
      </w:r>
      <w:r w:rsidR="003553C3">
        <w:t xml:space="preserve">, which </w:t>
      </w:r>
      <w:r w:rsidR="003553C3" w:rsidRPr="003553C3">
        <w:t>has a minimum licensing age of 17 years</w:t>
      </w:r>
      <w:r w:rsidR="003553C3">
        <w:t>.</w:t>
      </w:r>
      <w:r w:rsidR="00BA55FF">
        <w:t xml:space="preserve"> </w:t>
      </w:r>
      <w:r w:rsidR="00122C1B">
        <w:t xml:space="preserve">It </w:t>
      </w:r>
      <w:r w:rsidR="003553C3">
        <w:t>was</w:t>
      </w:r>
      <w:r w:rsidR="00122C1B">
        <w:t xml:space="preserve"> estimated</w:t>
      </w:r>
      <w:r>
        <w:t xml:space="preserve"> </w:t>
      </w:r>
      <w:r w:rsidR="00122C1B">
        <w:t>that</w:t>
      </w:r>
      <w:r w:rsidR="00F5778B">
        <w:t>,</w:t>
      </w:r>
      <w:r w:rsidR="00122C1B">
        <w:t xml:space="preserve"> </w:t>
      </w:r>
      <w:r w:rsidR="003553C3">
        <w:t xml:space="preserve">if Victoria were to lower the minimum age to 17 years, there would be an additional </w:t>
      </w:r>
      <w:r w:rsidR="00F5778B" w:rsidRPr="00F5778B">
        <w:t>34,097 young drivers</w:t>
      </w:r>
      <w:r w:rsidR="00F5778B">
        <w:t xml:space="preserve"> (</w:t>
      </w:r>
      <w:r w:rsidR="008254E7">
        <w:t>2</w:t>
      </w:r>
      <w:r w:rsidR="003553C3">
        <w:t>4,</w:t>
      </w:r>
      <w:r w:rsidR="008254E7">
        <w:t>4</w:t>
      </w:r>
      <w:r w:rsidR="003553C3">
        <w:t>0</w:t>
      </w:r>
      <w:r w:rsidR="008254E7">
        <w:t>4</w:t>
      </w:r>
      <w:r w:rsidR="003553C3">
        <w:t xml:space="preserve"> drivers </w:t>
      </w:r>
      <w:r w:rsidR="008254E7">
        <w:t>aged 17 years and 9,692 aged 18 years</w:t>
      </w:r>
      <w:r w:rsidR="00F5778B">
        <w:t>)</w:t>
      </w:r>
      <w:r w:rsidR="008254E7">
        <w:t xml:space="preserve"> </w:t>
      </w:r>
      <w:r w:rsidR="003553C3">
        <w:t xml:space="preserve">on the roads per year. </w:t>
      </w:r>
      <w:r w:rsidR="00F5778B">
        <w:t>Applying the 2016 fatality, serious injury and minor injury rates for all people in crashes</w:t>
      </w:r>
      <w:r w:rsidR="00F5778B" w:rsidRPr="00F5778B">
        <w:t xml:space="preserve"> </w:t>
      </w:r>
      <w:r>
        <w:t>involving 18-year-</w:t>
      </w:r>
      <w:r w:rsidR="00F5778B">
        <w:t xml:space="preserve">old drivers in Victoria to the </w:t>
      </w:r>
      <w:r w:rsidR="006E2C03">
        <w:t>full cohort of</w:t>
      </w:r>
      <w:r w:rsidR="00F5778B">
        <w:t xml:space="preserve"> 34,097 </w:t>
      </w:r>
      <w:r w:rsidR="006E2C03">
        <w:t xml:space="preserve">extra </w:t>
      </w:r>
      <w:r w:rsidR="00F5778B">
        <w:t>drivers</w:t>
      </w:r>
      <w:r w:rsidR="006E2C03">
        <w:t xml:space="preserve"> with an additional</w:t>
      </w:r>
      <w:r w:rsidR="00F5778B">
        <w:t xml:space="preserve"> </w:t>
      </w:r>
      <w:r w:rsidR="006E2C03">
        <w:t>10% higher risk for the 17-year-olds,</w:t>
      </w:r>
      <w:r w:rsidR="004E28D1">
        <w:rPr>
          <w:rStyle w:val="EndnoteReference"/>
        </w:rPr>
        <w:endnoteReference w:id="264"/>
      </w:r>
      <w:r w:rsidR="006E2C03">
        <w:t xml:space="preserve"> it was </w:t>
      </w:r>
      <w:r>
        <w:t>calculated</w:t>
      </w:r>
      <w:r w:rsidR="006E2C03">
        <w:t xml:space="preserve"> that </w:t>
      </w:r>
      <w:r w:rsidR="00122C1B">
        <w:t>having the licensing age set at 18 years saves 10 fatalities, 241 serious injuries, and 714 minor injuries each year</w:t>
      </w:r>
      <w:r w:rsidR="00D73870">
        <w:t xml:space="preserve"> in Victoria</w:t>
      </w:r>
      <w:r w:rsidR="00122C1B">
        <w:t xml:space="preserve">. The cost savings from this </w:t>
      </w:r>
      <w:r>
        <w:t>wa</w:t>
      </w:r>
      <w:r w:rsidR="00122C1B">
        <w:t>s estimated to be an average</w:t>
      </w:r>
      <w:r w:rsidR="00082FDF">
        <w:t xml:space="preserve"> of</w:t>
      </w:r>
      <w:r w:rsidR="00122C1B">
        <w:t xml:space="preserve"> $247 million</w:t>
      </w:r>
      <w:r w:rsidR="003D4D35">
        <w:rPr>
          <w:rStyle w:val="EndnoteReference"/>
        </w:rPr>
        <w:endnoteReference w:id="265"/>
      </w:r>
      <w:r w:rsidR="00122C1B">
        <w:t xml:space="preserve"> per year.</w:t>
      </w:r>
    </w:p>
    <w:p w14:paraId="5857AE3F" w14:textId="77777777" w:rsidR="00122C1B" w:rsidRPr="00F4115C" w:rsidRDefault="00122C1B" w:rsidP="00AB730A">
      <w:pPr>
        <w:pStyle w:val="TextPara"/>
        <w:rPr>
          <w:b/>
        </w:rPr>
      </w:pPr>
      <w:r w:rsidRPr="00FB2029">
        <w:rPr>
          <w:b/>
        </w:rPr>
        <w:t xml:space="preserve">This restriction is </w:t>
      </w:r>
      <w:r w:rsidR="002744A1">
        <w:rPr>
          <w:b/>
        </w:rPr>
        <w:t>contained</w:t>
      </w:r>
      <w:r w:rsidRPr="00FB2029">
        <w:rPr>
          <w:b/>
        </w:rPr>
        <w:t xml:space="preserve"> in the </w:t>
      </w:r>
      <w:r w:rsidRPr="00FB2029">
        <w:rPr>
          <w:b/>
          <w:i/>
        </w:rPr>
        <w:t>RSA</w:t>
      </w:r>
      <w:r w:rsidRPr="00FB2029">
        <w:rPr>
          <w:b/>
        </w:rPr>
        <w:t xml:space="preserve"> and, therefore, not covered in the proposed Regulations.</w:t>
      </w:r>
    </w:p>
    <w:p w14:paraId="36C48572" w14:textId="77777777" w:rsidR="00122C1B" w:rsidRDefault="00122C1B">
      <w:pPr>
        <w:pStyle w:val="NoSpacing"/>
      </w:pPr>
      <w:r>
        <w:t>Probationary period duration</w:t>
      </w:r>
    </w:p>
    <w:p w14:paraId="2C404919" w14:textId="77777777" w:rsidR="00122C1B" w:rsidRDefault="00122C1B" w:rsidP="00316325">
      <w:pPr>
        <w:pStyle w:val="TextPara"/>
      </w:pPr>
      <w:r>
        <w:t>Two stages in the national GLS framework specify the recommended duration of the probationary period: 3 years in Enhanced (1 year for P1 and 2 years for P2) and 4 years in Exemplar (1 year for P1 and 3 years for P2).</w:t>
      </w:r>
    </w:p>
    <w:p w14:paraId="39410007" w14:textId="77777777" w:rsidR="00122C1B" w:rsidRDefault="00122C1B" w:rsidP="00E96972">
      <w:pPr>
        <w:pStyle w:val="TextPara"/>
      </w:pPr>
      <w:r>
        <w:t>Most Australian jurisdictions, except for Victoria, are at the Enhanced stage with a 3-year probationary period and a graduation age of 20 years. Victoria is at the Exemplar stage with a probationary period of 4 years and a graduation age of 22 years.</w:t>
      </w:r>
      <w:r w:rsidRPr="00E96972">
        <w:t xml:space="preserve"> </w:t>
      </w:r>
      <w:r>
        <w:t xml:space="preserve">In the United States, probationary periods range from six months to two years, and graduation ages </w:t>
      </w:r>
      <w:r w:rsidR="002744A1">
        <w:t xml:space="preserve">range </w:t>
      </w:r>
      <w:r>
        <w:t>from 16½ to 18.</w:t>
      </w:r>
    </w:p>
    <w:p w14:paraId="0DAACC03" w14:textId="77777777" w:rsidR="00122C1B" w:rsidRDefault="00E527AA" w:rsidP="00E96972">
      <w:pPr>
        <w:pStyle w:val="TextPara"/>
      </w:pPr>
      <w:r>
        <w:t xml:space="preserve">One of the main differences between P2 and full licence </w:t>
      </w:r>
      <w:r w:rsidR="0067463D">
        <w:t xml:space="preserve">relates to </w:t>
      </w:r>
      <w:r>
        <w:t>alcohol consump</w:t>
      </w:r>
      <w:r w:rsidR="0067463D">
        <w:t>tion and driving.</w:t>
      </w:r>
      <w:r>
        <w:t xml:space="preserve"> </w:t>
      </w:r>
      <w:r w:rsidR="00031E5B">
        <w:t xml:space="preserve">During </w:t>
      </w:r>
      <w:r>
        <w:t xml:space="preserve">the P2 </w:t>
      </w:r>
      <w:r w:rsidR="00031E5B">
        <w:t>period</w:t>
      </w:r>
      <w:r>
        <w:t xml:space="preserve">, the driver must have a BAC of 0.00%, whereas fully licenced drivers can have a BAC up to 0.05%. </w:t>
      </w:r>
      <w:r w:rsidR="00122C1B">
        <w:t>Research in the US has found a positive correlation of age and BAC to crash risk.</w:t>
      </w:r>
      <w:r w:rsidR="00487E07">
        <w:rPr>
          <w:rStyle w:val="EndnoteReference"/>
        </w:rPr>
        <w:endnoteReference w:id="266"/>
      </w:r>
      <w:r w:rsidR="00122C1B">
        <w:t xml:space="preserve"> The interaction between positive BACs and under 21 driver age was </w:t>
      </w:r>
      <w:r w:rsidR="004653C8">
        <w:t>linked to</w:t>
      </w:r>
      <w:r w:rsidR="00122C1B">
        <w:t xml:space="preserve"> a substantially </w:t>
      </w:r>
      <w:r w:rsidR="009F3D1C">
        <w:t>greater</w:t>
      </w:r>
      <w:r w:rsidR="00122C1B">
        <w:t xml:space="preserve"> relative risk of a crash over and above the risk expected from the additi</w:t>
      </w:r>
      <w:r w:rsidR="004653C8">
        <w:t>onal</w:t>
      </w:r>
      <w:r w:rsidR="00122C1B">
        <w:t xml:space="preserve"> risk of positive BAC and young age alone. New Zealand research has also found this connection among driver fatalities at all BAC levels below 0.2%.</w:t>
      </w:r>
      <w:r w:rsidR="00FF70DF">
        <w:rPr>
          <w:rStyle w:val="EndnoteReference"/>
        </w:rPr>
        <w:endnoteReference w:id="267"/>
      </w:r>
      <w:r w:rsidR="00122C1B">
        <w:t xml:space="preserve"> </w:t>
      </w:r>
      <w:r w:rsidR="004653C8">
        <w:t>The r</w:t>
      </w:r>
      <w:r w:rsidR="00122C1B">
        <w:t>isk of fatality w</w:t>
      </w:r>
      <w:r w:rsidR="004653C8">
        <w:t>as</w:t>
      </w:r>
      <w:r w:rsidR="00122C1B">
        <w:t xml:space="preserve"> </w:t>
      </w:r>
      <w:r w:rsidR="004653C8">
        <w:t xml:space="preserve">considerably </w:t>
      </w:r>
      <w:r w:rsidR="00122C1B">
        <w:t xml:space="preserve">higher at all BAC levels for drivers aged under 20 years (over five times higher) and for drivers aged 20-29 (over three times higher) than for drivers aged 30 and over. This indicates that the zero BAC limit </w:t>
      </w:r>
      <w:r w:rsidR="00104B9D">
        <w:t>that applies</w:t>
      </w:r>
      <w:r w:rsidR="00122C1B">
        <w:t xml:space="preserve"> to probationary drivers is important for novice</w:t>
      </w:r>
      <w:r w:rsidR="00104B9D">
        <w:t xml:space="preserve"> driver</w:t>
      </w:r>
      <w:r w:rsidR="00122C1B">
        <w:t>s through to their 20s.</w:t>
      </w:r>
    </w:p>
    <w:p w14:paraId="6C613CCB" w14:textId="77777777" w:rsidR="00122C1B" w:rsidRDefault="00122C1B" w:rsidP="00316325">
      <w:pPr>
        <w:pStyle w:val="TextPara"/>
      </w:pPr>
      <w:r>
        <w:t xml:space="preserve">Victorian statistics have demonstrated a decline in alcohol-related (≥0.05% BAC) road deaths for </w:t>
      </w:r>
      <w:r w:rsidR="00AB34C4">
        <w:t xml:space="preserve">the </w:t>
      </w:r>
      <w:r>
        <w:t>18</w:t>
      </w:r>
      <w:r w:rsidR="00AB34C4">
        <w:t xml:space="preserve"> to </w:t>
      </w:r>
      <w:r>
        <w:t>20-year-olds from the 1980s to early 2000s in conjunction with a zero BAC and three-year</w:t>
      </w:r>
      <w:r w:rsidR="00865031">
        <w:t xml:space="preserve"> probationary</w:t>
      </w:r>
      <w:r>
        <w:t xml:space="preserve"> period</w:t>
      </w:r>
      <w:r w:rsidR="005B31AB">
        <w:t>.</w:t>
      </w:r>
      <w:r w:rsidR="00F26E5C">
        <w:rPr>
          <w:rStyle w:val="EndnoteReference"/>
        </w:rPr>
        <w:endnoteReference w:id="268"/>
      </w:r>
      <w:r>
        <w:t xml:space="preserve"> At the same time </w:t>
      </w:r>
      <w:r w:rsidR="00572581">
        <w:t xml:space="preserve">the </w:t>
      </w:r>
      <w:r>
        <w:t>21</w:t>
      </w:r>
      <w:r w:rsidR="00572581">
        <w:t xml:space="preserve"> to </w:t>
      </w:r>
      <w:r>
        <w:t>25-year-olds were found to have an increase in such deaths from the 1990s to early 2000s and in fact the highest rate of alcohol-involved fatalities of any age group</w:t>
      </w:r>
      <w:r w:rsidR="005B31AB">
        <w:t>.</w:t>
      </w:r>
      <w:r w:rsidR="005B31AB">
        <w:rPr>
          <w:rStyle w:val="EndnoteReference"/>
        </w:rPr>
        <w:endnoteReference w:id="269"/>
      </w:r>
      <w:r>
        <w:t xml:space="preserve"> This rate was 50% of all their fatalities compared to 21% of 18</w:t>
      </w:r>
      <w:r w:rsidR="00572581">
        <w:t xml:space="preserve"> to </w:t>
      </w:r>
      <w:r>
        <w:t xml:space="preserve">20-year-olds and 23% for over age 25 years. This contributed to the extension of the probationary period to 4 years in Victoria in 2008. </w:t>
      </w:r>
    </w:p>
    <w:p w14:paraId="6966304E" w14:textId="77777777" w:rsidR="00362B7F" w:rsidRDefault="00122C1B" w:rsidP="00362B7F">
      <w:pPr>
        <w:pStyle w:val="TextPara"/>
      </w:pPr>
      <w:r>
        <w:t>A Victorian GLS evaluation study</w:t>
      </w:r>
      <w:bookmarkStart w:id="350" w:name="_Ref532913813"/>
      <w:r>
        <w:rPr>
          <w:rStyle w:val="EndnoteReference"/>
        </w:rPr>
        <w:endnoteReference w:id="270"/>
      </w:r>
      <w:bookmarkEnd w:id="350"/>
      <w:r>
        <w:t xml:space="preserve"> conducted in 2017 compared fourth year licen</w:t>
      </w:r>
      <w:r w:rsidR="00AD523D">
        <w:t>s</w:t>
      </w:r>
      <w:r>
        <w:t>e</w:t>
      </w:r>
      <w:r w:rsidR="00AD523D">
        <w:t>d</w:t>
      </w:r>
      <w:r>
        <w:t xml:space="preserve"> drivers pre-2008, who would have been in their first year of a full licence, and those post-2008 in their fourth year of probation. The study found that </w:t>
      </w:r>
      <w:r w:rsidR="00362B7F">
        <w:t>the overall change in the casualty crash involvement of the young driver group as a whole, relative to the comparison group</w:t>
      </w:r>
      <w:r w:rsidR="0060659C">
        <w:t xml:space="preserve"> of licensed drivers</w:t>
      </w:r>
      <w:r w:rsidR="0060659C">
        <w:rPr>
          <w:rStyle w:val="EndnoteReference"/>
        </w:rPr>
        <w:endnoteReference w:id="271"/>
      </w:r>
      <w:r w:rsidR="00362B7F">
        <w:t xml:space="preserve"> during </w:t>
      </w:r>
      <w:r w:rsidR="009B351E">
        <w:t>high alcohol hours</w:t>
      </w:r>
      <w:r w:rsidR="009B351E">
        <w:rPr>
          <w:rStyle w:val="EndnoteReference"/>
        </w:rPr>
        <w:endnoteReference w:id="272"/>
      </w:r>
      <w:r w:rsidR="009B351E" w:rsidRPr="00A40421">
        <w:t xml:space="preserve"> </w:t>
      </w:r>
      <w:r w:rsidR="009B351E">
        <w:t>(</w:t>
      </w:r>
      <w:r w:rsidR="00362B7F">
        <w:t>HAH</w:t>
      </w:r>
      <w:r w:rsidR="009B351E">
        <w:t>)</w:t>
      </w:r>
      <w:r w:rsidR="00362B7F">
        <w:t xml:space="preserve">, was a reduction of 9.4%, but this change was not statistically significant. For fatal and serious injury crash involvements, there was a small 2.8% increase during HAH, but </w:t>
      </w:r>
      <w:r w:rsidR="00701447">
        <w:t>even</w:t>
      </w:r>
      <w:r w:rsidR="00362B7F">
        <w:t xml:space="preserve"> this </w:t>
      </w:r>
      <w:r w:rsidR="00701447">
        <w:t>was not statistically significant</w:t>
      </w:r>
      <w:r w:rsidR="00362B7F">
        <w:t>. Across all the analyses conducted, the only statistically significant result was a substantial 19.9% reduction in the rate of involvement of fourth year young drivers in metropolitan HAH casualty crashes</w:t>
      </w:r>
      <w:r w:rsidR="0060659C">
        <w:t xml:space="preserve"> </w:t>
      </w:r>
      <w:r w:rsidR="0060659C" w:rsidRPr="0060659C">
        <w:t>after taking account of the influences of the other variables</w:t>
      </w:r>
      <w:r w:rsidR="00FB6584">
        <w:t xml:space="preserve">, such as </w:t>
      </w:r>
      <w:r w:rsidR="00FB6584" w:rsidRPr="00FB6584">
        <w:t>improvements in the road network</w:t>
      </w:r>
      <w:r w:rsidR="00FB6584">
        <w:t xml:space="preserve"> and</w:t>
      </w:r>
      <w:r w:rsidR="00FB6584" w:rsidRPr="00FB6584">
        <w:t xml:space="preserve"> in the </w:t>
      </w:r>
      <w:r w:rsidR="00FB6584" w:rsidRPr="00FB6584">
        <w:lastRenderedPageBreak/>
        <w:t>vehicle fleet</w:t>
      </w:r>
      <w:r w:rsidR="00362B7F">
        <w:t>. A reduction in their single-vehicle crash involvements was the main contributor to this drop</w:t>
      </w:r>
      <w:r w:rsidR="00701447">
        <w:t xml:space="preserve">, which </w:t>
      </w:r>
      <w:r w:rsidR="00362B7F">
        <w:t>was partly offset by a corresponding increase in their crash involvements in country Victoria.</w:t>
      </w:r>
    </w:p>
    <w:p w14:paraId="10580438" w14:textId="77777777" w:rsidR="00122C1B" w:rsidRPr="00F4115C" w:rsidRDefault="000C33B0" w:rsidP="00AB730A">
      <w:pPr>
        <w:pStyle w:val="TextPara"/>
        <w:rPr>
          <w:b/>
        </w:rPr>
      </w:pPr>
      <w:r>
        <w:rPr>
          <w:b/>
        </w:rPr>
        <w:t>DoT</w:t>
      </w:r>
      <w:r w:rsidR="00122C1B" w:rsidRPr="00FB2029">
        <w:rPr>
          <w:b/>
        </w:rPr>
        <w:t>’s</w:t>
      </w:r>
      <w:r w:rsidR="00122C1B" w:rsidRPr="00FB2029" w:rsidDel="0061784C">
        <w:rPr>
          <w:b/>
        </w:rPr>
        <w:t xml:space="preserve"> </w:t>
      </w:r>
      <w:r w:rsidR="00122C1B" w:rsidRPr="00FB2029">
        <w:rPr>
          <w:b/>
        </w:rPr>
        <w:t xml:space="preserve">preferred option for this GLS component is to retain </w:t>
      </w:r>
      <w:r w:rsidR="00122C1B">
        <w:rPr>
          <w:b/>
        </w:rPr>
        <w:t xml:space="preserve">the current 4-year duration of the probationary period, being 1 year for </w:t>
      </w:r>
      <w:r w:rsidR="00122C1B" w:rsidRPr="00FB2029">
        <w:rPr>
          <w:b/>
        </w:rPr>
        <w:t xml:space="preserve">P1 </w:t>
      </w:r>
      <w:r w:rsidR="00122C1B">
        <w:rPr>
          <w:b/>
        </w:rPr>
        <w:t>and 3 years for P2</w:t>
      </w:r>
      <w:r w:rsidR="00753891">
        <w:rPr>
          <w:b/>
        </w:rPr>
        <w:t xml:space="preserve">, as the evidence points to a reduction in crash involvement </w:t>
      </w:r>
      <w:r w:rsidR="00706ACF">
        <w:rPr>
          <w:b/>
        </w:rPr>
        <w:t xml:space="preserve">in their fourth year of driving </w:t>
      </w:r>
      <w:r w:rsidR="00753891">
        <w:rPr>
          <w:b/>
        </w:rPr>
        <w:t xml:space="preserve">for </w:t>
      </w:r>
      <w:r w:rsidR="00706ACF">
        <w:rPr>
          <w:b/>
        </w:rPr>
        <w:t xml:space="preserve">post-2008 </w:t>
      </w:r>
      <w:r w:rsidR="00753891">
        <w:rPr>
          <w:b/>
        </w:rPr>
        <w:t>drivers who completed the 4 years of probation</w:t>
      </w:r>
      <w:r w:rsidR="00122C1B" w:rsidRPr="00FB2029">
        <w:rPr>
          <w:b/>
        </w:rPr>
        <w:t>.</w:t>
      </w:r>
      <w:r w:rsidR="008F4B0C">
        <w:rPr>
          <w:b/>
        </w:rPr>
        <w:t xml:space="preserve"> This restriction importantly requires that novice drivers stay alcohol free </w:t>
      </w:r>
      <w:r w:rsidR="00F26E5C">
        <w:rPr>
          <w:b/>
        </w:rPr>
        <w:t xml:space="preserve">while driving during the whole probationary period </w:t>
      </w:r>
      <w:r w:rsidR="008F4B0C">
        <w:rPr>
          <w:b/>
        </w:rPr>
        <w:t>to remove the risk of drink-driving related crashes.</w:t>
      </w:r>
    </w:p>
    <w:p w14:paraId="1BA690B1" w14:textId="77777777" w:rsidR="00122C1B" w:rsidRPr="00F4115C" w:rsidRDefault="00122C1B">
      <w:pPr>
        <w:pStyle w:val="NoSpacing"/>
      </w:pPr>
      <w:r>
        <w:t xml:space="preserve">No carrying of multiple passengers by P1 drivers </w:t>
      </w:r>
    </w:p>
    <w:p w14:paraId="6009A08E" w14:textId="700593F4" w:rsidR="00122C1B" w:rsidRDefault="00122C1B" w:rsidP="009A7545">
      <w:pPr>
        <w:pStyle w:val="TextPara"/>
      </w:pPr>
      <w:r>
        <w:t>Two stages in the national GLS framework restrict the carrying of passengers by P1 drivers</w:t>
      </w:r>
      <w:r w:rsidR="00284598">
        <w:t>. These are</w:t>
      </w:r>
      <w:r w:rsidR="00545FF1">
        <w:t>:</w:t>
      </w:r>
      <w:r w:rsidR="00284598">
        <w:t xml:space="preserve"> </w:t>
      </w:r>
      <w:r>
        <w:t xml:space="preserve">only one passenger at night (preferably at all times) in Enhanced </w:t>
      </w:r>
      <w:r w:rsidR="00284598">
        <w:t xml:space="preserve">stage </w:t>
      </w:r>
      <w:r>
        <w:t>and only one peer aged passenger at all times in Exemplar</w:t>
      </w:r>
      <w:r w:rsidR="00284598">
        <w:t xml:space="preserve"> stage</w:t>
      </w:r>
      <w:r>
        <w:t>.</w:t>
      </w:r>
    </w:p>
    <w:p w14:paraId="6C6141A6" w14:textId="77777777" w:rsidR="00122C1B" w:rsidRDefault="00122C1B" w:rsidP="009A7545">
      <w:pPr>
        <w:pStyle w:val="TextPara"/>
      </w:pPr>
      <w:r>
        <w:t>Currently Victoria and South Australia restrict all P1 drivers to carrying only one peer aged passenger (aged 16 to 21 years in Victoria and 16 to 20 years in SA) at all times, excluding their spouse or domestic partner, siblings and step-siblings in Victoria and immediate family members in SA. NSW and Queensland limit P1 drivers under 25 years of age to carrying only one peer aged passenger (aged under 21 years) between 11 pm and 5 am, in Queensland excluding immediate family members. The other Australian jurisdictions do not impose such a restriction.</w:t>
      </w:r>
    </w:p>
    <w:p w14:paraId="6A2063E1" w14:textId="77777777" w:rsidR="00122C1B" w:rsidRDefault="00122C1B" w:rsidP="00096B9B">
      <w:pPr>
        <w:pStyle w:val="TextPara"/>
      </w:pPr>
      <w:r w:rsidRPr="00E92EC0">
        <w:t>There is consistent evidence that peer passe</w:t>
      </w:r>
      <w:r>
        <w:t>nger restrictions are effective in reducing crash risk. Road safety research indicates that teenage drivers carrying passengers of about their own age</w:t>
      </w:r>
      <w:r w:rsidRPr="00670ABA">
        <w:t xml:space="preserve"> </w:t>
      </w:r>
      <w:r>
        <w:t>pose a high crash risk, although increased risk has been reported when the passengers of teen drivers were in their 20s.</w:t>
      </w:r>
      <w:r>
        <w:rPr>
          <w:rStyle w:val="EndnoteReference"/>
        </w:rPr>
        <w:endnoteReference w:id="273"/>
      </w:r>
      <w:r>
        <w:t xml:space="preserve"> As crash data do not include the relationship among occupants in crashes, it is not possible to easily determine whether such an exemption makes sense from a risk standpoint. </w:t>
      </w:r>
    </w:p>
    <w:p w14:paraId="77A4A233" w14:textId="77777777" w:rsidR="001A5848" w:rsidRDefault="001A5848" w:rsidP="001A5848">
      <w:pPr>
        <w:pStyle w:val="TextPara"/>
      </w:pPr>
      <w:r>
        <w:t xml:space="preserve">The </w:t>
      </w:r>
      <w:r w:rsidR="00E05831">
        <w:t xml:space="preserve">crash </w:t>
      </w:r>
      <w:r>
        <w:t>risks are highest for 16-17-year-old drivers but also elevated for 18-19-year-olds</w:t>
      </w:r>
      <w:r w:rsidR="00E05831">
        <w:t>.</w:t>
      </w:r>
      <w:r w:rsidR="00C65E7F">
        <w:rPr>
          <w:rStyle w:val="EndnoteReference"/>
        </w:rPr>
        <w:endnoteReference w:id="274"/>
      </w:r>
      <w:r>
        <w:t xml:space="preserve"> Crash risk is highest when multiple passengers are present, but even with one passenger is 1.5-2 times as high as when driving alone</w:t>
      </w:r>
      <w:r w:rsidR="00F84B65">
        <w:t>.</w:t>
      </w:r>
      <w:r w:rsidR="00F84B65">
        <w:rPr>
          <w:rStyle w:val="EndnoteReference"/>
        </w:rPr>
        <w:endnoteReference w:id="275"/>
      </w:r>
      <w:r>
        <w:t xml:space="preserve"> Although crash risk is higher at night, there is evidence that passengers increase young driver crash risk both during the day and night.</w:t>
      </w:r>
      <w:r w:rsidR="00F84B65">
        <w:rPr>
          <w:rStyle w:val="EndnoteReference"/>
        </w:rPr>
        <w:endnoteReference w:id="276"/>
      </w:r>
      <w:r>
        <w:t xml:space="preserve"> Passenger restrictions in North America apply during all times of the day. </w:t>
      </w:r>
      <w:r w:rsidRPr="009402C6">
        <w:t>All of these studies were based on cras</w:t>
      </w:r>
      <w:r>
        <w:t>hes during all times of the day and</w:t>
      </w:r>
      <w:r w:rsidRPr="009402C6">
        <w:t xml:space="preserve"> </w:t>
      </w:r>
      <w:r>
        <w:t>none of them looked separately at crashes during daytime and night-time.</w:t>
      </w:r>
    </w:p>
    <w:p w14:paraId="01EF7B36" w14:textId="77777777" w:rsidR="00122C1B" w:rsidRDefault="00122C1B" w:rsidP="00096B9B">
      <w:pPr>
        <w:pStyle w:val="TextPara"/>
      </w:pPr>
      <w:r>
        <w:t>26% per cent of first year probationary drivers involved in fatal crashes carry multiple passengers, but only 9% of their total driving is with multiple passengers.</w:t>
      </w:r>
      <w:r>
        <w:rPr>
          <w:rStyle w:val="EndnoteReference"/>
        </w:rPr>
        <w:endnoteReference w:id="277"/>
      </w:r>
      <w:r>
        <w:t xml:space="preserve"> Between 2000 and 2002 in Melbourne the fatal crash risk of P1 drivers carrying multiple passengers was over 0.08 per million kilometres travelled compared to 0.02 for those carrying none or only one passenger (therefore, the fatality risk was four times greater when carrying multiple passengers).</w:t>
      </w:r>
      <w:r>
        <w:rPr>
          <w:rStyle w:val="EndnoteReference"/>
        </w:rPr>
        <w:endnoteReference w:id="278"/>
      </w:r>
      <w:r>
        <w:t xml:space="preserve"> </w:t>
      </w:r>
    </w:p>
    <w:p w14:paraId="5B5683AF" w14:textId="1676791D" w:rsidR="00122C1B" w:rsidRDefault="00122C1B" w:rsidP="001D2380">
      <w:pPr>
        <w:pStyle w:val="TextPara"/>
        <w:rPr>
          <w:rFonts w:cs="Segoe UI"/>
        </w:rPr>
      </w:pPr>
      <w:r>
        <w:rPr>
          <w:rFonts w:cs="Segoe UI"/>
        </w:rPr>
        <w:t>The Victorian GLS evaluation study</w:t>
      </w:r>
      <w:r>
        <w:rPr>
          <w:rFonts w:cs="Segoe UI"/>
        </w:rPr>
        <w:fldChar w:fldCharType="begin"/>
      </w:r>
      <w:r>
        <w:rPr>
          <w:rFonts w:cs="Segoe UI"/>
        </w:rPr>
        <w:instrText xml:space="preserve"> NOTEREF _Ref532913813 \f \h </w:instrText>
      </w:r>
      <w:r>
        <w:rPr>
          <w:rFonts w:cs="Segoe UI"/>
        </w:rPr>
      </w:r>
      <w:r>
        <w:rPr>
          <w:rFonts w:cs="Segoe UI"/>
        </w:rPr>
        <w:fldChar w:fldCharType="separate"/>
      </w:r>
      <w:r w:rsidR="00EB4B02" w:rsidRPr="00EB4B02">
        <w:rPr>
          <w:rStyle w:val="EndnoteReference"/>
        </w:rPr>
        <w:t>269</w:t>
      </w:r>
      <w:r>
        <w:rPr>
          <w:rFonts w:cs="Segoe UI"/>
        </w:rPr>
        <w:fldChar w:fldCharType="end"/>
      </w:r>
      <w:r>
        <w:rPr>
          <w:rFonts w:cs="Segoe UI"/>
        </w:rPr>
        <w:t xml:space="preserve"> conducted in 2017 found that t</w:t>
      </w:r>
      <w:r w:rsidRPr="00294548">
        <w:rPr>
          <w:rFonts w:cs="Segoe UI"/>
        </w:rPr>
        <w:t>he peer passenger restriction on P1 licence holders (P-platers in their first year) was particularly effective at reducing crash involvement rates.</w:t>
      </w:r>
      <w:r>
        <w:rPr>
          <w:rFonts w:cs="Segoe UI"/>
        </w:rPr>
        <w:t xml:space="preserve"> F</w:t>
      </w:r>
      <w:r w:rsidRPr="00294548">
        <w:rPr>
          <w:rFonts w:cs="Segoe UI"/>
        </w:rPr>
        <w:t xml:space="preserve">or P1 drivers carrying </w:t>
      </w:r>
      <w:r w:rsidR="00923801">
        <w:rPr>
          <w:rFonts w:cs="Segoe UI"/>
        </w:rPr>
        <w:t xml:space="preserve">not </w:t>
      </w:r>
      <w:r w:rsidRPr="00294548">
        <w:rPr>
          <w:rFonts w:cs="Segoe UI"/>
        </w:rPr>
        <w:t>more than one peer passenger, there was a 69.2% decrease in their rate of involvement in fatal and serious injury crashes and a 69.8% corresponding reduction in all injury crashes (casualty crashes).</w:t>
      </w:r>
      <w:r>
        <w:rPr>
          <w:rFonts w:cs="Segoe UI"/>
        </w:rPr>
        <w:t xml:space="preserve"> </w:t>
      </w:r>
      <w:r w:rsidRPr="00294548">
        <w:rPr>
          <w:rFonts w:cs="Segoe UI"/>
        </w:rPr>
        <w:t>To complement these reductions in crash involvement rates, the proportion of self-reported trips with more than one peer passenger decreased from 13% pre-GLS to 5% post-GLS among P1 drivers.</w:t>
      </w:r>
    </w:p>
    <w:p w14:paraId="2106ABD7" w14:textId="77777777" w:rsidR="00E527AA" w:rsidRDefault="00E527AA" w:rsidP="001D2380">
      <w:pPr>
        <w:pStyle w:val="TextPara"/>
        <w:rPr>
          <w:rFonts w:cs="Segoe UI"/>
        </w:rPr>
      </w:pPr>
      <w:r>
        <w:rPr>
          <w:rFonts w:cs="Segoe UI"/>
        </w:rPr>
        <w:t xml:space="preserve">Restrictions on </w:t>
      </w:r>
      <w:r w:rsidR="003A0AC2">
        <w:rPr>
          <w:rFonts w:cs="Segoe UI"/>
        </w:rPr>
        <w:t xml:space="preserve">the </w:t>
      </w:r>
      <w:r>
        <w:rPr>
          <w:rFonts w:cs="Segoe UI"/>
        </w:rPr>
        <w:t>number of passengers has costs</w:t>
      </w:r>
      <w:r w:rsidR="00D81486">
        <w:rPr>
          <w:rFonts w:cs="Segoe UI"/>
        </w:rPr>
        <w:t xml:space="preserve"> associated with it</w:t>
      </w:r>
      <w:r w:rsidR="003A0AC2">
        <w:rPr>
          <w:rFonts w:cs="Segoe UI"/>
        </w:rPr>
        <w:t xml:space="preserve"> in terms of </w:t>
      </w:r>
      <w:r w:rsidR="00D81486">
        <w:rPr>
          <w:rFonts w:cs="Segoe UI"/>
        </w:rPr>
        <w:t xml:space="preserve">an </w:t>
      </w:r>
      <w:r>
        <w:rPr>
          <w:rFonts w:cs="Segoe UI"/>
        </w:rPr>
        <w:t xml:space="preserve">increased need </w:t>
      </w:r>
      <w:r w:rsidR="003A0AC2">
        <w:rPr>
          <w:rFonts w:cs="Segoe UI"/>
        </w:rPr>
        <w:t>for</w:t>
      </w:r>
      <w:r>
        <w:rPr>
          <w:rFonts w:cs="Segoe UI"/>
        </w:rPr>
        <w:t xml:space="preserve"> public transport and commercial passenger vehicles</w:t>
      </w:r>
      <w:r w:rsidR="005E11A0">
        <w:rPr>
          <w:rFonts w:cs="Segoe UI"/>
        </w:rPr>
        <w:t xml:space="preserve"> (or whatever substitute is used)</w:t>
      </w:r>
      <w:r>
        <w:rPr>
          <w:rFonts w:cs="Segoe UI"/>
        </w:rPr>
        <w:t xml:space="preserve">. </w:t>
      </w:r>
      <w:r w:rsidR="003A0AC2">
        <w:rPr>
          <w:rFonts w:cs="Segoe UI"/>
        </w:rPr>
        <w:t xml:space="preserve">There is no data available </w:t>
      </w:r>
      <w:r w:rsidR="00E44F6B">
        <w:rPr>
          <w:rFonts w:cs="Segoe UI"/>
        </w:rPr>
        <w:t xml:space="preserve">on the number of trips undertaken by P1 drivers </w:t>
      </w:r>
      <w:r w:rsidR="008F4AC3">
        <w:rPr>
          <w:rFonts w:cs="Segoe UI"/>
        </w:rPr>
        <w:t xml:space="preserve">where passengers in excess of the single peer passenger restriction are required to take alternative transport </w:t>
      </w:r>
      <w:r w:rsidR="003A0AC2">
        <w:rPr>
          <w:rFonts w:cs="Segoe UI"/>
        </w:rPr>
        <w:t xml:space="preserve">to </w:t>
      </w:r>
      <w:r w:rsidR="00E44F6B">
        <w:rPr>
          <w:rFonts w:cs="Segoe UI"/>
        </w:rPr>
        <w:t xml:space="preserve">enable the calculation of </w:t>
      </w:r>
      <w:r w:rsidR="003A0AC2">
        <w:rPr>
          <w:rFonts w:cs="Segoe UI"/>
        </w:rPr>
        <w:t>this cost in dollar terms.</w:t>
      </w:r>
    </w:p>
    <w:p w14:paraId="17FB2ABA" w14:textId="77777777" w:rsidR="00122C1B" w:rsidRDefault="00122C1B" w:rsidP="00096B9B">
      <w:pPr>
        <w:pStyle w:val="TextPara"/>
      </w:pPr>
      <w:r>
        <w:lastRenderedPageBreak/>
        <w:t>Under the proposed Regulations, the peer passenger restriction applies as follows:</w:t>
      </w:r>
    </w:p>
    <w:p w14:paraId="19A2F053" w14:textId="77777777" w:rsidR="00122C1B" w:rsidRDefault="00122C1B" w:rsidP="00096B9B">
      <w:pPr>
        <w:pStyle w:val="Bullet1-Black"/>
      </w:pPr>
      <w:r w:rsidRPr="0083530E">
        <w:rPr>
          <w:i/>
        </w:rPr>
        <w:t>Good driving record</w:t>
      </w:r>
      <w:r>
        <w:t>: For P1 drivers with a good driving record, the P1 period (and peer passenger restriction) lasts for 12 months.</w:t>
      </w:r>
    </w:p>
    <w:p w14:paraId="1AEA4FF6" w14:textId="77777777" w:rsidR="00122C1B" w:rsidRDefault="00122C1B" w:rsidP="00096B9B">
      <w:pPr>
        <w:pStyle w:val="Bullet1-Black"/>
      </w:pPr>
      <w:r w:rsidRPr="0083530E">
        <w:rPr>
          <w:i/>
        </w:rPr>
        <w:t>Bad driving record</w:t>
      </w:r>
      <w:r>
        <w:t xml:space="preserve">: Every time a P1 driver is suspended after committing a driving offence, the P1 licence period is extended by six months, plus the period of suspension. For these drivers, the peer passenger restriction will continue to apply for the entire P1 period, which will be at least six months longer than a driver with a good driving record. </w:t>
      </w:r>
    </w:p>
    <w:p w14:paraId="2A0A3F80" w14:textId="77777777" w:rsidR="00122C1B" w:rsidRDefault="00122C1B" w:rsidP="00096B9B">
      <w:pPr>
        <w:pStyle w:val="TextPara"/>
        <w:spacing w:after="60"/>
      </w:pPr>
      <w:r>
        <w:t xml:space="preserve">The proposed Regulations </w:t>
      </w:r>
      <w:r w:rsidR="00284598">
        <w:t>continue the</w:t>
      </w:r>
      <w:r>
        <w:t xml:space="preserve"> automatic exemption from the peer passenger restriction in the case of a P1 drivers who are – </w:t>
      </w:r>
    </w:p>
    <w:p w14:paraId="6632CEA4" w14:textId="77777777" w:rsidR="00122C1B" w:rsidRPr="00CD4E14" w:rsidRDefault="00122C1B" w:rsidP="00A23550">
      <w:pPr>
        <w:pStyle w:val="NumAlpha"/>
        <w:spacing w:before="60" w:after="60"/>
        <w:ind w:left="425"/>
      </w:pPr>
      <w:r>
        <w:t>police officers</w:t>
      </w:r>
      <w:r w:rsidRPr="005958D9">
        <w:t xml:space="preserve"> </w:t>
      </w:r>
      <w:r>
        <w:t xml:space="preserve">while </w:t>
      </w:r>
      <w:bookmarkStart w:id="351" w:name="_Hlk511827000"/>
      <w:r w:rsidRPr="00CD4E14">
        <w:t>driving a police vehicle in the course of the</w:t>
      </w:r>
      <w:r>
        <w:t>ir</w:t>
      </w:r>
      <w:r w:rsidRPr="00CD4E14">
        <w:t xml:space="preserve"> duties</w:t>
      </w:r>
      <w:bookmarkEnd w:id="351"/>
    </w:p>
    <w:p w14:paraId="462E4BCF" w14:textId="77777777" w:rsidR="00122C1B" w:rsidRDefault="00122C1B" w:rsidP="00A23550">
      <w:pPr>
        <w:pStyle w:val="NumAlpha"/>
        <w:spacing w:before="60" w:after="60"/>
        <w:ind w:left="425"/>
      </w:pPr>
      <w:r w:rsidRPr="00CD4E14">
        <w:t>driving an emergency vehicle in the course of their employment or duties, or in accordance with any terms o</w:t>
      </w:r>
      <w:r>
        <w:t>f a contract or any engagement</w:t>
      </w:r>
    </w:p>
    <w:p w14:paraId="791F230E" w14:textId="77777777" w:rsidR="00122C1B" w:rsidRPr="003F2E3A" w:rsidRDefault="003A6DAE" w:rsidP="00A23550">
      <w:pPr>
        <w:pStyle w:val="TextPara"/>
        <w:spacing w:before="60" w:after="60"/>
        <w:ind w:left="425"/>
      </w:pPr>
      <w:r>
        <w:t>or</w:t>
      </w:r>
    </w:p>
    <w:p w14:paraId="3A90CEA4" w14:textId="77777777" w:rsidR="00122C1B" w:rsidRDefault="00122C1B" w:rsidP="00A23550">
      <w:pPr>
        <w:pStyle w:val="NumAlpha"/>
        <w:spacing w:before="60"/>
      </w:pPr>
      <w:r w:rsidRPr="007A749E">
        <w:t xml:space="preserve">driving a motor vehicle with </w:t>
      </w:r>
      <w:r>
        <w:t>a supervising driver sitting beside them.</w:t>
      </w:r>
    </w:p>
    <w:p w14:paraId="60543B79" w14:textId="77777777" w:rsidR="00122C1B" w:rsidRDefault="00122C1B" w:rsidP="00096B9B">
      <w:pPr>
        <w:pStyle w:val="TextPara"/>
      </w:pPr>
      <w:r>
        <w:t xml:space="preserve">Under the </w:t>
      </w:r>
      <w:r w:rsidR="00284598">
        <w:t xml:space="preserve">current and </w:t>
      </w:r>
      <w:r>
        <w:t xml:space="preserve">proposed Regulations, P1 drivers may apply to VicRoads for an exemption from the peer passenger restriction. In their request, they must show that the nature of their </w:t>
      </w:r>
      <w:r w:rsidRPr="00B9319A">
        <w:t xml:space="preserve">essential activities, </w:t>
      </w:r>
      <w:r>
        <w:t xml:space="preserve">occupation, employment, essential activities or family circumstances is such that compliance with the regulation would impose undue hardship on them or their family. In deciding whether to grant an exemption and on what conditions, VicRoads must have regard to the likely effect of the decision on safe, efficient and equitable road use in Victoria and the applicant's driving experience and the circumstances in which it was obtained. </w:t>
      </w:r>
    </w:p>
    <w:p w14:paraId="1A7A7F41" w14:textId="77777777" w:rsidR="00FD2D9B" w:rsidRDefault="00C82B62" w:rsidP="00FD2D9B">
      <w:pPr>
        <w:pStyle w:val="TextPara"/>
      </w:pPr>
      <w:r>
        <w:t>C</w:t>
      </w:r>
      <w:r w:rsidR="00FD2D9B">
        <w:t>ompared to base case</w:t>
      </w:r>
      <w:r>
        <w:t xml:space="preserve"> with no such restriction</w:t>
      </w:r>
      <w:r w:rsidR="00FD2D9B">
        <w:t xml:space="preserve">, peer passenger restriction may impose a cost </w:t>
      </w:r>
      <w:r>
        <w:t xml:space="preserve">that is difficult to estimate </w:t>
      </w:r>
      <w:r w:rsidR="00FD2D9B">
        <w:t xml:space="preserve">in terms of </w:t>
      </w:r>
      <w:r w:rsidR="00FD2D9B" w:rsidRPr="00FD2D9B">
        <w:t xml:space="preserve">passengers in excess of the single peer passenger restriction </w:t>
      </w:r>
      <w:r w:rsidR="00FD2D9B">
        <w:t>needing</w:t>
      </w:r>
      <w:r w:rsidR="00FD2D9B" w:rsidRPr="00FD2D9B">
        <w:t xml:space="preserve"> to take alternative transport</w:t>
      </w:r>
      <w:r>
        <w:t>. However</w:t>
      </w:r>
      <w:r w:rsidR="00FD2D9B">
        <w:t xml:space="preserve">, the </w:t>
      </w:r>
      <w:r w:rsidR="00CC647C">
        <w:t xml:space="preserve">Department believes the </w:t>
      </w:r>
      <w:r w:rsidR="00FD2D9B">
        <w:t xml:space="preserve">road safety benefits of this restriction </w:t>
      </w:r>
      <w:r w:rsidR="00C65E7F">
        <w:t xml:space="preserve">in terms of reduced road safety risk </w:t>
      </w:r>
      <w:r w:rsidR="00CC647C">
        <w:t>are greater</w:t>
      </w:r>
      <w:r w:rsidR="00C65E7F">
        <w:t>.</w:t>
      </w:r>
      <w:r w:rsidR="00FD2D9B">
        <w:t xml:space="preserve"> </w:t>
      </w:r>
    </w:p>
    <w:p w14:paraId="6870A279" w14:textId="77777777" w:rsidR="00122C1B" w:rsidRDefault="000C33B0" w:rsidP="00F4115C">
      <w:pPr>
        <w:pStyle w:val="TextPara"/>
      </w:pPr>
      <w:r>
        <w:rPr>
          <w:b/>
        </w:rPr>
        <w:t>DoT</w:t>
      </w:r>
      <w:r w:rsidR="00122C1B" w:rsidRPr="00FB2029">
        <w:rPr>
          <w:b/>
        </w:rPr>
        <w:t>’s</w:t>
      </w:r>
      <w:r w:rsidR="00122C1B" w:rsidRPr="00FB2029" w:rsidDel="0061784C">
        <w:rPr>
          <w:b/>
        </w:rPr>
        <w:t xml:space="preserve"> </w:t>
      </w:r>
      <w:r w:rsidR="00122C1B" w:rsidRPr="00FB2029">
        <w:rPr>
          <w:b/>
        </w:rPr>
        <w:t xml:space="preserve">preferred option for this GLS component is to retain </w:t>
      </w:r>
      <w:r w:rsidR="00122C1B">
        <w:rPr>
          <w:b/>
        </w:rPr>
        <w:t xml:space="preserve">the current restriction of carrying only one peer passenger </w:t>
      </w:r>
      <w:r w:rsidR="00304906">
        <w:rPr>
          <w:b/>
        </w:rPr>
        <w:t xml:space="preserve">(excluding siblings) </w:t>
      </w:r>
      <w:r w:rsidR="00122C1B">
        <w:rPr>
          <w:b/>
        </w:rPr>
        <w:t>age</w:t>
      </w:r>
      <w:r w:rsidR="00477E73">
        <w:rPr>
          <w:b/>
        </w:rPr>
        <w:t>d</w:t>
      </w:r>
      <w:r w:rsidR="00122C1B">
        <w:rPr>
          <w:b/>
        </w:rPr>
        <w:t xml:space="preserve"> between 16 and 21 years during the P1 probationary period</w:t>
      </w:r>
      <w:r w:rsidR="008B4A60">
        <w:rPr>
          <w:b/>
        </w:rPr>
        <w:t xml:space="preserve">, as </w:t>
      </w:r>
      <w:r w:rsidR="00BF59F3">
        <w:rPr>
          <w:b/>
        </w:rPr>
        <w:t>research</w:t>
      </w:r>
      <w:r w:rsidR="00BF59F3" w:rsidRPr="00BF59F3">
        <w:rPr>
          <w:b/>
        </w:rPr>
        <w:t xml:space="preserve"> show</w:t>
      </w:r>
      <w:r w:rsidR="00BF59F3">
        <w:rPr>
          <w:b/>
        </w:rPr>
        <w:t>s</w:t>
      </w:r>
      <w:r w:rsidR="00BF59F3" w:rsidRPr="00BF59F3">
        <w:rPr>
          <w:b/>
        </w:rPr>
        <w:t xml:space="preserve"> </w:t>
      </w:r>
      <w:r w:rsidR="00BF59F3">
        <w:rPr>
          <w:b/>
        </w:rPr>
        <w:t>a significant</w:t>
      </w:r>
      <w:r w:rsidR="00BF59F3" w:rsidRPr="00BF59F3">
        <w:rPr>
          <w:b/>
        </w:rPr>
        <w:t xml:space="preserve"> </w:t>
      </w:r>
      <w:r w:rsidR="00BF59F3">
        <w:rPr>
          <w:b/>
        </w:rPr>
        <w:t xml:space="preserve">road safety </w:t>
      </w:r>
      <w:r w:rsidR="00BF59F3" w:rsidRPr="00BF59F3">
        <w:rPr>
          <w:b/>
        </w:rPr>
        <w:t xml:space="preserve">benefit in having a </w:t>
      </w:r>
      <w:r w:rsidR="00BF59F3">
        <w:rPr>
          <w:b/>
        </w:rPr>
        <w:t xml:space="preserve">peer passenger </w:t>
      </w:r>
      <w:r w:rsidR="00BF59F3" w:rsidRPr="00BF59F3">
        <w:rPr>
          <w:b/>
        </w:rPr>
        <w:t xml:space="preserve">restriction </w:t>
      </w:r>
      <w:r w:rsidR="00BF59F3">
        <w:rPr>
          <w:b/>
        </w:rPr>
        <w:t xml:space="preserve">applicable </w:t>
      </w:r>
      <w:r w:rsidR="00477E73" w:rsidRPr="00BF59F3">
        <w:rPr>
          <w:b/>
        </w:rPr>
        <w:t xml:space="preserve">day </w:t>
      </w:r>
      <w:r w:rsidR="00BF59F3" w:rsidRPr="00BF59F3">
        <w:rPr>
          <w:b/>
        </w:rPr>
        <w:t>and</w:t>
      </w:r>
      <w:r w:rsidR="00477E73" w:rsidRPr="00477E73">
        <w:rPr>
          <w:b/>
        </w:rPr>
        <w:t xml:space="preserve"> </w:t>
      </w:r>
      <w:r w:rsidR="00477E73" w:rsidRPr="00BF59F3">
        <w:rPr>
          <w:b/>
        </w:rPr>
        <w:t>night</w:t>
      </w:r>
      <w:r w:rsidR="00477E73">
        <w:rPr>
          <w:b/>
        </w:rPr>
        <w:t xml:space="preserve">. Moreover, </w:t>
      </w:r>
      <w:r w:rsidR="008B4A60">
        <w:rPr>
          <w:b/>
        </w:rPr>
        <w:t xml:space="preserve">the </w:t>
      </w:r>
      <w:r w:rsidR="008B4A60" w:rsidRPr="008B4A60">
        <w:rPr>
          <w:b/>
        </w:rPr>
        <w:t xml:space="preserve">2017 Victorian GLS evaluation study </w:t>
      </w:r>
      <w:r w:rsidR="008B4A60">
        <w:rPr>
          <w:b/>
        </w:rPr>
        <w:t>confirmed</w:t>
      </w:r>
      <w:r w:rsidR="008B4A60" w:rsidRPr="008B4A60">
        <w:rPr>
          <w:b/>
        </w:rPr>
        <w:t xml:space="preserve"> that the peer passenger restriction on P1 </w:t>
      </w:r>
      <w:r w:rsidR="008B4A60">
        <w:rPr>
          <w:b/>
        </w:rPr>
        <w:t>drivers</w:t>
      </w:r>
      <w:r w:rsidR="008B4A60" w:rsidRPr="008B4A60">
        <w:rPr>
          <w:b/>
        </w:rPr>
        <w:t xml:space="preserve"> was particularly effective at reducing crash involvement rates</w:t>
      </w:r>
      <w:r w:rsidR="00122C1B">
        <w:rPr>
          <w:b/>
        </w:rPr>
        <w:t>.</w:t>
      </w:r>
    </w:p>
    <w:p w14:paraId="4415EF32" w14:textId="77777777" w:rsidR="00122C1B" w:rsidRDefault="00122C1B">
      <w:pPr>
        <w:pStyle w:val="NoSpacing"/>
      </w:pPr>
      <w:r>
        <w:t>No late-night driving by P1 drivers</w:t>
      </w:r>
    </w:p>
    <w:p w14:paraId="188638F1" w14:textId="77777777" w:rsidR="00122C1B" w:rsidRDefault="00122C1B" w:rsidP="00096B9B">
      <w:pPr>
        <w:pStyle w:val="TextPara"/>
        <w:spacing w:after="0"/>
        <w:rPr>
          <w:rFonts w:cs="Segoe UI"/>
        </w:rPr>
      </w:pPr>
      <w:r>
        <w:rPr>
          <w:rFonts w:cs="Segoe UI"/>
        </w:rPr>
        <w:t>The national Exemplar GLS model includes a restriction on late night driving applicable to P1 probationary licence holders. Like New South Wales, Tasmania, the ACT and NT, Victoria has not implemented this restriction. Three jurisdictions prescribe a form of night time driving restriction:</w:t>
      </w:r>
    </w:p>
    <w:p w14:paraId="70433EFA" w14:textId="77777777" w:rsidR="00122C1B" w:rsidRDefault="00122C1B" w:rsidP="00096B9B">
      <w:pPr>
        <w:pStyle w:val="Bullet1-Black"/>
      </w:pPr>
      <w:r>
        <w:t>Western Australia imposes a qualified</w:t>
      </w:r>
      <w:r>
        <w:rPr>
          <w:rStyle w:val="EndnoteReference"/>
        </w:rPr>
        <w:endnoteReference w:id="279"/>
      </w:r>
      <w:r>
        <w:t xml:space="preserve"> night time driving restriction on novice drivers</w:t>
      </w:r>
      <w:r w:rsidDel="006E4E19">
        <w:t xml:space="preserve"> </w:t>
      </w:r>
      <w:r w:rsidR="003D50C4">
        <w:t>from</w:t>
      </w:r>
      <w:r>
        <w:t xml:space="preserve"> midnight to 5.00 am.</w:t>
      </w:r>
    </w:p>
    <w:p w14:paraId="5ED3FD52" w14:textId="77777777" w:rsidR="00122C1B" w:rsidRDefault="00122C1B" w:rsidP="00096B9B">
      <w:pPr>
        <w:pStyle w:val="Bullet1-Black"/>
      </w:pPr>
      <w:r>
        <w:t>South Australia imposes a night time driving restriction on P1 probationary drivers under 25 years</w:t>
      </w:r>
      <w:r w:rsidRPr="00DD0508">
        <w:t xml:space="preserve"> </w:t>
      </w:r>
      <w:r w:rsidR="003D50C4">
        <w:t>from</w:t>
      </w:r>
      <w:r>
        <w:t xml:space="preserve"> midnight to 5.00 am.</w:t>
      </w:r>
    </w:p>
    <w:p w14:paraId="05AA206A" w14:textId="77777777" w:rsidR="00122C1B" w:rsidRDefault="00122C1B" w:rsidP="00096B9B">
      <w:pPr>
        <w:pStyle w:val="Bullet1-Black"/>
      </w:pPr>
      <w:r>
        <w:t xml:space="preserve">Queensland imposes a night driving restriction for at least one year on drivers under 25 years who commit high speed offence or accumulate excessive demerit points resulting in suspension or good driving behaviour period or offence resulting in a court-imposed </w:t>
      </w:r>
      <w:r w:rsidR="00284598">
        <w:t xml:space="preserve">driving </w:t>
      </w:r>
      <w:r>
        <w:t xml:space="preserve">disqualification. </w:t>
      </w:r>
    </w:p>
    <w:p w14:paraId="6AAA2C04" w14:textId="77777777" w:rsidR="00122C1B" w:rsidRDefault="00122C1B" w:rsidP="00096B9B">
      <w:pPr>
        <w:pStyle w:val="TextPara"/>
        <w:rPr>
          <w:rFonts w:cs="Segoe UI"/>
        </w:rPr>
      </w:pPr>
      <w:r>
        <w:rPr>
          <w:rFonts w:cs="Segoe UI"/>
        </w:rPr>
        <w:t xml:space="preserve">When Victoria </w:t>
      </w:r>
      <w:r w:rsidR="00822EC9">
        <w:rPr>
          <w:rFonts w:cs="Segoe UI"/>
        </w:rPr>
        <w:t xml:space="preserve">implemented </w:t>
      </w:r>
      <w:r>
        <w:rPr>
          <w:rFonts w:cs="Segoe UI"/>
        </w:rPr>
        <w:t>enhancements to its GLS in 2008, the Victorian Government decided not to implement the late-night driving</w:t>
      </w:r>
      <w:r w:rsidRPr="00734324">
        <w:rPr>
          <w:rFonts w:cs="Segoe UI"/>
        </w:rPr>
        <w:t xml:space="preserve"> restriction</w:t>
      </w:r>
      <w:r>
        <w:rPr>
          <w:rFonts w:cs="Segoe UI"/>
        </w:rPr>
        <w:t xml:space="preserve">, given community </w:t>
      </w:r>
      <w:r w:rsidRPr="009013B6">
        <w:rPr>
          <w:rFonts w:cs="Segoe UI"/>
        </w:rPr>
        <w:t>concerns that the inconvenience and the impact of such a restriction on young people’s mobility would outweigh the safety benefits.</w:t>
      </w:r>
      <w:bookmarkStart w:id="352" w:name="_Ref518659250"/>
      <w:r w:rsidRPr="009013B6">
        <w:rPr>
          <w:rStyle w:val="EndnoteReference"/>
          <w:rFonts w:cs="Segoe UI"/>
        </w:rPr>
        <w:endnoteReference w:id="280"/>
      </w:r>
      <w:bookmarkEnd w:id="352"/>
      <w:r w:rsidRPr="009013B6">
        <w:rPr>
          <w:rFonts w:cs="Segoe UI"/>
        </w:rPr>
        <w:t xml:space="preserve"> </w:t>
      </w:r>
      <w:r>
        <w:rPr>
          <w:rFonts w:cs="Segoe UI"/>
        </w:rPr>
        <w:t xml:space="preserve">Moreover, </w:t>
      </w:r>
      <w:r>
        <w:rPr>
          <w:rFonts w:cs="Segoe UI"/>
        </w:rPr>
        <w:lastRenderedPageBreak/>
        <w:t>research had shown that a n</w:t>
      </w:r>
      <w:r w:rsidRPr="00B60523">
        <w:rPr>
          <w:rFonts w:cs="Segoe UI"/>
        </w:rPr>
        <w:t xml:space="preserve">ight time restriction might be an appropriate measure </w:t>
      </w:r>
      <w:r>
        <w:rPr>
          <w:rFonts w:cs="Segoe UI"/>
        </w:rPr>
        <w:t xml:space="preserve">for drivers </w:t>
      </w:r>
      <w:r w:rsidRPr="00B60523">
        <w:rPr>
          <w:rFonts w:cs="Segoe UI"/>
        </w:rPr>
        <w:t>licensed at 17 years of age</w:t>
      </w:r>
      <w:r w:rsidR="003D50C4">
        <w:rPr>
          <w:rFonts w:cs="Segoe UI"/>
        </w:rPr>
        <w:t>,</w:t>
      </w:r>
      <w:r w:rsidRPr="00B60523">
        <w:rPr>
          <w:rFonts w:cs="Segoe UI"/>
        </w:rPr>
        <w:t xml:space="preserve"> </w:t>
      </w:r>
      <w:r>
        <w:rPr>
          <w:rFonts w:cs="Segoe UI"/>
        </w:rPr>
        <w:t xml:space="preserve">who are typically </w:t>
      </w:r>
      <w:r w:rsidRPr="00B60523">
        <w:rPr>
          <w:rFonts w:cs="Segoe UI"/>
        </w:rPr>
        <w:t>still at school</w:t>
      </w:r>
      <w:r w:rsidR="003D50C4">
        <w:rPr>
          <w:rFonts w:cs="Segoe UI"/>
        </w:rPr>
        <w:t>,</w:t>
      </w:r>
      <w:r w:rsidRPr="00B60523">
        <w:rPr>
          <w:rFonts w:cs="Segoe UI"/>
        </w:rPr>
        <w:t xml:space="preserve"> but </w:t>
      </w:r>
      <w:r>
        <w:rPr>
          <w:rFonts w:cs="Segoe UI"/>
        </w:rPr>
        <w:t xml:space="preserve">is </w:t>
      </w:r>
      <w:r w:rsidRPr="00B60523">
        <w:rPr>
          <w:rFonts w:cs="Segoe UI"/>
        </w:rPr>
        <w:t>less relevant at 18 years</w:t>
      </w:r>
      <w:r>
        <w:rPr>
          <w:rFonts w:cs="Segoe UI"/>
        </w:rPr>
        <w:t>,</w:t>
      </w:r>
      <w:r w:rsidRPr="00B60523">
        <w:rPr>
          <w:rFonts w:cs="Segoe UI"/>
        </w:rPr>
        <w:t xml:space="preserve"> when a person </w:t>
      </w:r>
      <w:r>
        <w:rPr>
          <w:rFonts w:cs="Segoe UI"/>
        </w:rPr>
        <w:t>is likely to</w:t>
      </w:r>
      <w:r w:rsidRPr="00B60523">
        <w:rPr>
          <w:rFonts w:cs="Segoe UI"/>
        </w:rPr>
        <w:t xml:space="preserve"> be commencing work and independent living.</w:t>
      </w:r>
      <w:r>
        <w:rPr>
          <w:rStyle w:val="EndnoteReference"/>
          <w:rFonts w:cs="Segoe UI"/>
        </w:rPr>
        <w:endnoteReference w:id="281"/>
      </w:r>
      <w:r>
        <w:rPr>
          <w:rFonts w:cs="Segoe UI"/>
        </w:rPr>
        <w:t xml:space="preserve">  In the three jurisdictions (Queensland, SA and WA) that implemented this restriction in some form, the minimum licensing age is set at 17 years, while </w:t>
      </w:r>
      <w:r w:rsidRPr="00C664A3">
        <w:rPr>
          <w:rFonts w:cs="Segoe UI"/>
        </w:rPr>
        <w:t>in Victoria</w:t>
      </w:r>
      <w:r w:rsidRPr="00734324">
        <w:rPr>
          <w:rFonts w:cs="Segoe UI"/>
        </w:rPr>
        <w:t xml:space="preserve"> </w:t>
      </w:r>
      <w:r>
        <w:rPr>
          <w:rFonts w:cs="Segoe UI"/>
        </w:rPr>
        <w:t>it is set at 18 years.</w:t>
      </w:r>
    </w:p>
    <w:p w14:paraId="1D67876C" w14:textId="59945F6F" w:rsidR="00122C1B" w:rsidRDefault="000C33B0" w:rsidP="00096B9B">
      <w:pPr>
        <w:pStyle w:val="TextPara"/>
        <w:rPr>
          <w:rFonts w:cs="Segoe UI"/>
        </w:rPr>
      </w:pPr>
      <w:r>
        <w:rPr>
          <w:rFonts w:cs="Segoe UI"/>
        </w:rPr>
        <w:t>DoT</w:t>
      </w:r>
      <w:r w:rsidR="00122C1B" w:rsidRPr="009013B6">
        <w:rPr>
          <w:rFonts w:cs="Segoe UI"/>
        </w:rPr>
        <w:t xml:space="preserve"> also considered</w:t>
      </w:r>
      <w:r w:rsidR="00122C1B">
        <w:rPr>
          <w:rFonts w:cs="Segoe UI"/>
        </w:rPr>
        <w:t xml:space="preserve"> the fact that</w:t>
      </w:r>
      <w:r w:rsidR="00122C1B" w:rsidRPr="009013B6">
        <w:rPr>
          <w:rFonts w:cs="Segoe UI"/>
        </w:rPr>
        <w:t xml:space="preserve"> alternative travel arrangements can be more difficult for some young people, particularly those living on properties remote from country towns or on the fringes of the metropolitan area, if they are unable to get a lift home with unrestricted drivers.</w:t>
      </w:r>
      <w:r w:rsidR="00122C1B" w:rsidRPr="009013B6">
        <w:rPr>
          <w:rFonts w:cs="Segoe UI"/>
          <w:vertAlign w:val="superscript"/>
        </w:rPr>
        <w:fldChar w:fldCharType="begin"/>
      </w:r>
      <w:r w:rsidR="00122C1B" w:rsidRPr="009013B6">
        <w:rPr>
          <w:rFonts w:cs="Segoe UI"/>
        </w:rPr>
        <w:instrText xml:space="preserve"> NOTEREF _Ref518659250 \f \h </w:instrText>
      </w:r>
      <w:r w:rsidR="00122C1B">
        <w:rPr>
          <w:rFonts w:cs="Segoe UI"/>
          <w:vertAlign w:val="superscript"/>
        </w:rPr>
        <w:instrText xml:space="preserve"> \* MERGEFORMAT </w:instrText>
      </w:r>
      <w:r w:rsidR="00122C1B" w:rsidRPr="009013B6">
        <w:rPr>
          <w:rFonts w:cs="Segoe UI"/>
          <w:vertAlign w:val="superscript"/>
        </w:rPr>
      </w:r>
      <w:r w:rsidR="00122C1B" w:rsidRPr="009013B6">
        <w:rPr>
          <w:rFonts w:cs="Segoe UI"/>
          <w:vertAlign w:val="superscript"/>
        </w:rPr>
        <w:fldChar w:fldCharType="separate"/>
      </w:r>
      <w:r w:rsidR="00EB4B02" w:rsidRPr="00EB4B02">
        <w:rPr>
          <w:rStyle w:val="EndnoteReference"/>
        </w:rPr>
        <w:t>279</w:t>
      </w:r>
      <w:r w:rsidR="00122C1B" w:rsidRPr="009013B6">
        <w:rPr>
          <w:rFonts w:cs="Segoe UI"/>
          <w:vertAlign w:val="superscript"/>
        </w:rPr>
        <w:fldChar w:fldCharType="end"/>
      </w:r>
      <w:r w:rsidR="00122C1B" w:rsidRPr="00C844AC">
        <w:rPr>
          <w:rFonts w:cs="Segoe UI"/>
        </w:rPr>
        <w:t xml:space="preserve"> </w:t>
      </w:r>
    </w:p>
    <w:p w14:paraId="27C2F847" w14:textId="77777777" w:rsidR="00392176" w:rsidRDefault="00392176" w:rsidP="00096B9B">
      <w:pPr>
        <w:pStyle w:val="TextPara"/>
        <w:rPr>
          <w:rFonts w:cs="Segoe UI"/>
        </w:rPr>
      </w:pPr>
      <w:bookmarkStart w:id="353" w:name="_Hlk532480433"/>
      <w:r w:rsidRPr="00392176">
        <w:rPr>
          <w:rFonts w:cs="Segoe UI"/>
        </w:rPr>
        <w:t xml:space="preserve">VicRoads undertook some consultation in 2015 with young people and parents of young people to explore their acceptance of potential night time driving for newly licensed drivers in Victoria. This work was undertaken in response to one of the recommendations from a Coronial Inquest in 2012 following the deaths of five young men in a single vehicle crash. The research found that perceptions around the effectiveness of night time driving restrictions were mixed, and that compliance would be a major factor.   </w:t>
      </w:r>
    </w:p>
    <w:p w14:paraId="7DBB7E8D" w14:textId="77777777" w:rsidR="00122C1B" w:rsidRDefault="00122C1B" w:rsidP="00096B9B">
      <w:pPr>
        <w:pStyle w:val="TextPara"/>
        <w:rPr>
          <w:rFonts w:cs="Segoe UI"/>
        </w:rPr>
      </w:pPr>
      <w:r>
        <w:rPr>
          <w:rFonts w:cs="Segoe UI"/>
        </w:rPr>
        <w:t xml:space="preserve">In November 2017, in </w:t>
      </w:r>
      <w:r w:rsidR="000E111A">
        <w:rPr>
          <w:rFonts w:cs="Segoe UI"/>
        </w:rPr>
        <w:t>its</w:t>
      </w:r>
      <w:r>
        <w:rPr>
          <w:rFonts w:cs="Segoe UI"/>
        </w:rPr>
        <w:t xml:space="preserve"> r</w:t>
      </w:r>
      <w:r w:rsidRPr="00804925">
        <w:rPr>
          <w:rFonts w:cs="Segoe UI"/>
        </w:rPr>
        <w:t>esponse</w:t>
      </w:r>
      <w:r>
        <w:rPr>
          <w:rStyle w:val="EndnoteReference"/>
          <w:rFonts w:cs="Segoe UI"/>
        </w:rPr>
        <w:endnoteReference w:id="282"/>
      </w:r>
      <w:r w:rsidRPr="00804925">
        <w:rPr>
          <w:rFonts w:cs="Segoe UI"/>
        </w:rPr>
        <w:t xml:space="preserve"> to the</w:t>
      </w:r>
      <w:r>
        <w:rPr>
          <w:rFonts w:cs="Segoe UI"/>
        </w:rPr>
        <w:t xml:space="preserve"> </w:t>
      </w:r>
      <w:r w:rsidR="00EF3C54">
        <w:rPr>
          <w:rFonts w:cs="Segoe UI"/>
        </w:rPr>
        <w:t xml:space="preserve">parliamentary </w:t>
      </w:r>
      <w:r w:rsidR="00EF3C54" w:rsidRPr="00804925">
        <w:rPr>
          <w:rFonts w:cs="Segoe UI"/>
        </w:rPr>
        <w:t xml:space="preserve">inquiry </w:t>
      </w:r>
      <w:r w:rsidRPr="00804925">
        <w:rPr>
          <w:rFonts w:cs="Segoe UI"/>
        </w:rPr>
        <w:t>into lowering the probationary</w:t>
      </w:r>
      <w:r>
        <w:rPr>
          <w:rFonts w:cs="Segoe UI"/>
        </w:rPr>
        <w:t xml:space="preserve"> </w:t>
      </w:r>
      <w:r w:rsidRPr="00804925">
        <w:rPr>
          <w:rFonts w:cs="Segoe UI"/>
        </w:rPr>
        <w:t>driving age in Victoria to seventeen</w:t>
      </w:r>
      <w:r>
        <w:rPr>
          <w:rFonts w:cs="Segoe UI"/>
        </w:rPr>
        <w:t>, the government’s view was expressed that, w</w:t>
      </w:r>
      <w:r w:rsidRPr="001C7A07">
        <w:rPr>
          <w:rFonts w:cs="Segoe UI"/>
        </w:rPr>
        <w:t>hile evaluations have generally shown night time driving restrictions to be an effective crash</w:t>
      </w:r>
      <w:r>
        <w:rPr>
          <w:rFonts w:cs="Segoe UI"/>
        </w:rPr>
        <w:t xml:space="preserve"> </w:t>
      </w:r>
      <w:r w:rsidRPr="001C7A07">
        <w:rPr>
          <w:rFonts w:cs="Segoe UI"/>
        </w:rPr>
        <w:t>countermeasure as part of GLSs,</w:t>
      </w:r>
      <w:r>
        <w:rPr>
          <w:rFonts w:cs="Segoe UI"/>
        </w:rPr>
        <w:t xml:space="preserve"> the success of such restrictions depends on a high level of compliance. </w:t>
      </w:r>
      <w:r w:rsidR="00DA5637" w:rsidRPr="00C5449A">
        <w:rPr>
          <w:rFonts w:cs="Segoe UI"/>
        </w:rPr>
        <w:t xml:space="preserve">The </w:t>
      </w:r>
      <w:r w:rsidRPr="00C5449A">
        <w:rPr>
          <w:rFonts w:cs="Segoe UI"/>
        </w:rPr>
        <w:t>Transp</w:t>
      </w:r>
      <w:r w:rsidR="00EF3C54">
        <w:rPr>
          <w:rFonts w:cs="Segoe UI"/>
        </w:rPr>
        <w:t>ort Accident Commission</w:t>
      </w:r>
      <w:r w:rsidRPr="00C5449A">
        <w:rPr>
          <w:rFonts w:cs="Segoe UI"/>
        </w:rPr>
        <w:t xml:space="preserve"> </w:t>
      </w:r>
      <w:r>
        <w:rPr>
          <w:rFonts w:cs="Segoe UI"/>
        </w:rPr>
        <w:t>is</w:t>
      </w:r>
      <w:r w:rsidRPr="00C5449A">
        <w:rPr>
          <w:rFonts w:cs="Segoe UI"/>
        </w:rPr>
        <w:t xml:space="preserve"> </w:t>
      </w:r>
      <w:r w:rsidR="00DA5637">
        <w:rPr>
          <w:rFonts w:cs="Segoe UI"/>
        </w:rPr>
        <w:t>leading</w:t>
      </w:r>
      <w:r w:rsidRPr="00C5449A">
        <w:rPr>
          <w:rFonts w:cs="Segoe UI"/>
        </w:rPr>
        <w:t xml:space="preserve"> a project</w:t>
      </w:r>
      <w:r w:rsidR="00DA5637">
        <w:rPr>
          <w:rFonts w:cs="Segoe UI"/>
        </w:rPr>
        <w:t xml:space="preserve"> </w:t>
      </w:r>
      <w:r w:rsidR="00DA5637" w:rsidRPr="00DA5637">
        <w:rPr>
          <w:rFonts w:cs="Segoe UI"/>
        </w:rPr>
        <w:t>under Towards Zero</w:t>
      </w:r>
      <w:r w:rsidR="00DA5637">
        <w:rPr>
          <w:rFonts w:cs="Segoe UI"/>
        </w:rPr>
        <w:t>, in collaboration with VicRoads,</w:t>
      </w:r>
      <w:r w:rsidRPr="00C5449A">
        <w:rPr>
          <w:rFonts w:cs="Segoe UI"/>
        </w:rPr>
        <w:t xml:space="preserve"> to raise</w:t>
      </w:r>
      <w:r>
        <w:rPr>
          <w:rFonts w:cs="Segoe UI"/>
        </w:rPr>
        <w:t xml:space="preserve"> </w:t>
      </w:r>
      <w:r w:rsidRPr="00C5449A">
        <w:rPr>
          <w:rFonts w:cs="Segoe UI"/>
        </w:rPr>
        <w:t>awareness in the community of the risks associated with late</w:t>
      </w:r>
      <w:r>
        <w:rPr>
          <w:rFonts w:cs="Segoe UI"/>
        </w:rPr>
        <w:t>-</w:t>
      </w:r>
      <w:r w:rsidRPr="00C5449A">
        <w:rPr>
          <w:rFonts w:cs="Segoe UI"/>
        </w:rPr>
        <w:t>night driving among newly licensed</w:t>
      </w:r>
      <w:r>
        <w:rPr>
          <w:rFonts w:cs="Segoe UI"/>
        </w:rPr>
        <w:t xml:space="preserve"> </w:t>
      </w:r>
      <w:r w:rsidRPr="00C5449A">
        <w:rPr>
          <w:rFonts w:cs="Segoe UI"/>
        </w:rPr>
        <w:t>drivers.</w:t>
      </w:r>
      <w:r w:rsidR="00DA5637">
        <w:rPr>
          <w:rFonts w:cs="Segoe UI"/>
        </w:rPr>
        <w:t xml:space="preserve"> The project </w:t>
      </w:r>
      <w:r w:rsidR="00DA5637" w:rsidRPr="00DA5637">
        <w:rPr>
          <w:rFonts w:cs="Segoe UI"/>
        </w:rPr>
        <w:t>has involved an initial formative phase of work to inform the subsequent phase of public education, which would seek to raise awareness of the risks of driving at night among newly licensed drivers and, in turn, encourage newly licensed drivers to voluntarily limit the amount of driving they do at night until such time as they have accumulated more experience (and are therefore, less at risk).</w:t>
      </w:r>
    </w:p>
    <w:p w14:paraId="1CF2E15C" w14:textId="77777777" w:rsidR="00DA5637" w:rsidRPr="00DA5637" w:rsidRDefault="00DA5637" w:rsidP="00DA5637">
      <w:pPr>
        <w:pStyle w:val="TextPara"/>
        <w:rPr>
          <w:rFonts w:cs="Segoe UI"/>
        </w:rPr>
      </w:pPr>
      <w:r w:rsidRPr="00DA5637">
        <w:rPr>
          <w:rFonts w:cs="Segoe UI"/>
        </w:rPr>
        <w:t xml:space="preserve">This initial formative phase has involved, to date: </w:t>
      </w:r>
    </w:p>
    <w:p w14:paraId="2CBC3CE5" w14:textId="77777777" w:rsidR="00DA5637" w:rsidRPr="00DA5637" w:rsidRDefault="00DA5637" w:rsidP="009E2A14">
      <w:pPr>
        <w:pStyle w:val="Bullet1-Black"/>
      </w:pPr>
      <w:r w:rsidRPr="00DA5637">
        <w:t>Quantitative (survey) research with Victorian P plate drivers and parents of P plate drivers to gauge current awareness of the risks associated with night time driving and P plate drivers</w:t>
      </w:r>
      <w:r w:rsidR="00702310">
        <w:t>’</w:t>
      </w:r>
      <w:r w:rsidRPr="00DA5637">
        <w:t xml:space="preserve"> current exposure to night time driving; </w:t>
      </w:r>
    </w:p>
    <w:p w14:paraId="4C78F90E" w14:textId="77777777" w:rsidR="00DA5637" w:rsidRPr="00DA5637" w:rsidRDefault="00DA5637" w:rsidP="009E2A14">
      <w:pPr>
        <w:pStyle w:val="Bullet1-Black"/>
      </w:pPr>
      <w:r w:rsidRPr="00DA5637">
        <w:t xml:space="preserve">Qualitative (focus group) research with Victorian P plate drivers and their parents to probe further into their understanding of the risks associated with night time driving and opportunities to mitigate the risk. </w:t>
      </w:r>
    </w:p>
    <w:p w14:paraId="57F75C16" w14:textId="77777777" w:rsidR="00DA5637" w:rsidRPr="00DA5637" w:rsidRDefault="00DA5637" w:rsidP="00DA5637">
      <w:pPr>
        <w:pStyle w:val="TextPara"/>
        <w:rPr>
          <w:rFonts w:cs="Segoe UI"/>
        </w:rPr>
      </w:pPr>
      <w:r w:rsidRPr="00DA5637">
        <w:rPr>
          <w:rFonts w:cs="Segoe UI"/>
        </w:rPr>
        <w:t xml:space="preserve">Briefly, the research found that awareness of </w:t>
      </w:r>
      <w:r>
        <w:rPr>
          <w:rFonts w:cs="Segoe UI"/>
        </w:rPr>
        <w:t xml:space="preserve">the risk is low. Young drivers </w:t>
      </w:r>
      <w:r w:rsidRPr="00DA5637">
        <w:rPr>
          <w:rFonts w:cs="Segoe UI"/>
        </w:rPr>
        <w:t xml:space="preserve">are not making an active effort to minimise the amount of driving undertaken at night. Reasons for not driving at night are driven by other factors. </w:t>
      </w:r>
    </w:p>
    <w:p w14:paraId="47949534" w14:textId="77777777" w:rsidR="00DA5637" w:rsidRPr="00DA5637" w:rsidRDefault="00DA5637" w:rsidP="00DA5637">
      <w:pPr>
        <w:pStyle w:val="TextPara"/>
        <w:rPr>
          <w:rFonts w:cs="Segoe UI"/>
        </w:rPr>
      </w:pPr>
      <w:r>
        <w:rPr>
          <w:rFonts w:cs="Segoe UI"/>
        </w:rPr>
        <w:t>TAC</w:t>
      </w:r>
      <w:r w:rsidRPr="00DA5637">
        <w:rPr>
          <w:rFonts w:cs="Segoe UI"/>
        </w:rPr>
        <w:t xml:space="preserve"> </w:t>
      </w:r>
      <w:r>
        <w:rPr>
          <w:rFonts w:cs="Segoe UI"/>
        </w:rPr>
        <w:t>is</w:t>
      </w:r>
      <w:r w:rsidRPr="00DA5637">
        <w:rPr>
          <w:rFonts w:cs="Segoe UI"/>
        </w:rPr>
        <w:t xml:space="preserve"> currently planning a further phase of qualitative (focus group) research with Victorian P plate drivers and parents of P plate drivers to: understand the social, environmental and behavioural factors that influence night time driving among young drivers; identify opportunities where behavioural strategies may be able to influence change; and understand any barriers to influencing night time driving among young drivers. </w:t>
      </w:r>
    </w:p>
    <w:p w14:paraId="2A2CC43C" w14:textId="77777777" w:rsidR="00DA5637" w:rsidRPr="00C5449A" w:rsidRDefault="00DA5637" w:rsidP="00DA5637">
      <w:pPr>
        <w:pStyle w:val="TextPara"/>
        <w:rPr>
          <w:rFonts w:cs="Segoe UI"/>
        </w:rPr>
      </w:pPr>
      <w:r w:rsidRPr="00DA5637">
        <w:rPr>
          <w:rFonts w:cs="Segoe UI"/>
        </w:rPr>
        <w:t>This formative research is critical in helping to inform the design and focus of our public education campaigns to ensure that our target audiences are empowered to make a positive change.</w:t>
      </w:r>
    </w:p>
    <w:bookmarkEnd w:id="353"/>
    <w:p w14:paraId="1270EB32" w14:textId="77777777" w:rsidR="00122C1B" w:rsidRDefault="000C33B0" w:rsidP="00AB730A">
      <w:pPr>
        <w:pStyle w:val="TextPara"/>
        <w:rPr>
          <w:b/>
        </w:rPr>
      </w:pPr>
      <w:r>
        <w:rPr>
          <w:b/>
        </w:rPr>
        <w:t>DoT</w:t>
      </w:r>
      <w:r w:rsidR="00122C1B" w:rsidRPr="00FB2029">
        <w:rPr>
          <w:b/>
        </w:rPr>
        <w:t>’s</w:t>
      </w:r>
      <w:r w:rsidR="00122C1B" w:rsidRPr="00FB2029" w:rsidDel="0061784C">
        <w:rPr>
          <w:b/>
        </w:rPr>
        <w:t xml:space="preserve"> </w:t>
      </w:r>
      <w:r w:rsidR="00122C1B" w:rsidRPr="00FB2029">
        <w:rPr>
          <w:b/>
        </w:rPr>
        <w:t>preferred option for this GLS component is to</w:t>
      </w:r>
      <w:r w:rsidR="00122C1B">
        <w:rPr>
          <w:b/>
        </w:rPr>
        <w:t xml:space="preserve"> </w:t>
      </w:r>
      <w:r w:rsidR="00D5210B">
        <w:rPr>
          <w:b/>
        </w:rPr>
        <w:t>apply</w:t>
      </w:r>
      <w:r w:rsidR="00122C1B">
        <w:rPr>
          <w:b/>
        </w:rPr>
        <w:t xml:space="preserve"> the current government policy of not imposing any night time driving restriction on P1 drivers</w:t>
      </w:r>
      <w:r w:rsidR="00D05722">
        <w:rPr>
          <w:b/>
        </w:rPr>
        <w:t xml:space="preserve">, as </w:t>
      </w:r>
      <w:r w:rsidR="006108BC" w:rsidRPr="006108BC">
        <w:rPr>
          <w:b/>
        </w:rPr>
        <w:t>it would be premature to consider introduc</w:t>
      </w:r>
      <w:r w:rsidR="006108BC">
        <w:rPr>
          <w:b/>
        </w:rPr>
        <w:t xml:space="preserve">ing </w:t>
      </w:r>
      <w:r w:rsidR="00B2052D">
        <w:rPr>
          <w:b/>
        </w:rPr>
        <w:t>such</w:t>
      </w:r>
      <w:r w:rsidR="006108BC" w:rsidRPr="006108BC">
        <w:rPr>
          <w:b/>
        </w:rPr>
        <w:t xml:space="preserve"> restriction without </w:t>
      </w:r>
      <w:r w:rsidR="009E2A14">
        <w:rPr>
          <w:b/>
        </w:rPr>
        <w:t xml:space="preserve">TAC </w:t>
      </w:r>
      <w:r w:rsidR="006108BC" w:rsidRPr="006108BC">
        <w:rPr>
          <w:b/>
        </w:rPr>
        <w:t xml:space="preserve">first </w:t>
      </w:r>
      <w:r w:rsidR="009E2A14">
        <w:rPr>
          <w:b/>
        </w:rPr>
        <w:t xml:space="preserve">completing </w:t>
      </w:r>
      <w:r w:rsidR="006108BC" w:rsidRPr="006108BC">
        <w:rPr>
          <w:b/>
        </w:rPr>
        <w:t xml:space="preserve">the necessary </w:t>
      </w:r>
      <w:r w:rsidR="009E2A14">
        <w:rPr>
          <w:b/>
        </w:rPr>
        <w:t xml:space="preserve">research and </w:t>
      </w:r>
      <w:r w:rsidR="006108BC" w:rsidRPr="006108BC">
        <w:rPr>
          <w:b/>
        </w:rPr>
        <w:t>community consultation and education</w:t>
      </w:r>
      <w:r w:rsidR="00122C1B">
        <w:rPr>
          <w:b/>
        </w:rPr>
        <w:t>.</w:t>
      </w:r>
    </w:p>
    <w:p w14:paraId="10FB95E3" w14:textId="77777777" w:rsidR="00122C1B" w:rsidRDefault="00122C1B" w:rsidP="00F4115C">
      <w:pPr>
        <w:pStyle w:val="NoSpacing"/>
      </w:pPr>
      <w:r>
        <w:lastRenderedPageBreak/>
        <w:t xml:space="preserve">Probationary </w:t>
      </w:r>
      <w:r w:rsidR="00EF3C54">
        <w:t>prohibited v</w:t>
      </w:r>
      <w:r>
        <w:t>ehicle restriction</w:t>
      </w:r>
    </w:p>
    <w:p w14:paraId="1EB1EC33" w14:textId="77777777" w:rsidR="00122C1B" w:rsidRDefault="00122C1B" w:rsidP="008C0E8B">
      <w:pPr>
        <w:pStyle w:val="TextPara"/>
      </w:pPr>
      <w:r>
        <w:t xml:space="preserve">The </w:t>
      </w:r>
      <w:r w:rsidRPr="00F4621E">
        <w:rPr>
          <w:rFonts w:cs="Segoe UI"/>
        </w:rPr>
        <w:t>probationary prohibited vehicle</w:t>
      </w:r>
      <w:r w:rsidRPr="003B71DF">
        <w:rPr>
          <w:rStyle w:val="EndnoteReference"/>
          <w:rFonts w:cs="Segoe UI"/>
          <w:lang w:eastAsia="en-AU"/>
        </w:rPr>
        <w:endnoteReference w:id="283"/>
      </w:r>
      <w:r w:rsidRPr="00F4621E">
        <w:rPr>
          <w:rFonts w:cs="Segoe UI"/>
        </w:rPr>
        <w:t xml:space="preserve"> </w:t>
      </w:r>
      <w:r>
        <w:rPr>
          <w:rFonts w:cs="Segoe UI"/>
        </w:rPr>
        <w:t>(</w:t>
      </w:r>
      <w:r w:rsidRPr="00EF3C54">
        <w:rPr>
          <w:b/>
        </w:rPr>
        <w:t>PPV</w:t>
      </w:r>
      <w:r>
        <w:t xml:space="preserve">) </w:t>
      </w:r>
      <w:r w:rsidRPr="00117C96">
        <w:rPr>
          <w:lang w:eastAsia="en-AU"/>
        </w:rPr>
        <w:t xml:space="preserve">restriction </w:t>
      </w:r>
      <w:r>
        <w:rPr>
          <w:lang w:eastAsia="en-AU"/>
        </w:rPr>
        <w:t>is</w:t>
      </w:r>
      <w:r w:rsidRPr="00117C96">
        <w:rPr>
          <w:lang w:eastAsia="en-AU"/>
        </w:rPr>
        <w:t xml:space="preserve"> </w:t>
      </w:r>
      <w:r>
        <w:rPr>
          <w:lang w:eastAsia="en-AU"/>
        </w:rPr>
        <w:t xml:space="preserve">not included in the national GLS framework. This restriction </w:t>
      </w:r>
      <w:r w:rsidR="00D56C3D">
        <w:rPr>
          <w:lang w:eastAsia="en-AU"/>
        </w:rPr>
        <w:t xml:space="preserve">is </w:t>
      </w:r>
      <w:r w:rsidRPr="00117C96">
        <w:rPr>
          <w:lang w:eastAsia="en-AU"/>
        </w:rPr>
        <w:t>designed to minimise newly licensed drivers’ exposure to risky driving scenarios.</w:t>
      </w:r>
      <w:r>
        <w:rPr>
          <w:lang w:eastAsia="en-AU"/>
        </w:rPr>
        <w:t xml:space="preserve"> </w:t>
      </w:r>
      <w:r w:rsidRPr="00D5594C">
        <w:t>The driver</w:t>
      </w:r>
      <w:r>
        <w:t xml:space="preserve"> cohort</w:t>
      </w:r>
      <w:r w:rsidRPr="00D5594C">
        <w:t xml:space="preserve"> that </w:t>
      </w:r>
      <w:r>
        <w:t>is</w:t>
      </w:r>
      <w:r w:rsidRPr="00D5594C">
        <w:t xml:space="preserve"> most likely to commit speedin</w:t>
      </w:r>
      <w:r>
        <w:t>g offences consists of males aged 17</w:t>
      </w:r>
      <w:r w:rsidR="00D56C3D">
        <w:t xml:space="preserve"> to </w:t>
      </w:r>
      <w:r>
        <w:t>25 years, who</w:t>
      </w:r>
      <w:r w:rsidRPr="00D5594C">
        <w:t xml:space="preserve"> account for </w:t>
      </w:r>
      <w:r>
        <w:t>33%</w:t>
      </w:r>
      <w:r w:rsidRPr="00D5594C">
        <w:t xml:space="preserve"> of all sp</w:t>
      </w:r>
      <w:r>
        <w:t>eeding drivers involved in fatal crashes.</w:t>
      </w:r>
      <w:r>
        <w:rPr>
          <w:rStyle w:val="EndnoteReference"/>
        </w:rPr>
        <w:endnoteReference w:id="284"/>
      </w:r>
      <w:r>
        <w:t xml:space="preserve"> </w:t>
      </w:r>
    </w:p>
    <w:p w14:paraId="2ABF25FD" w14:textId="77777777" w:rsidR="00122C1B" w:rsidRDefault="00122C1B" w:rsidP="008C0E8B">
      <w:pPr>
        <w:pStyle w:val="TextPara"/>
      </w:pPr>
      <w:r>
        <w:rPr>
          <w:lang w:eastAsia="en-AU"/>
        </w:rPr>
        <w:t>One study</w:t>
      </w:r>
      <w:r>
        <w:rPr>
          <w:rStyle w:val="EndnoteReference"/>
          <w:lang w:eastAsia="en-AU"/>
        </w:rPr>
        <w:endnoteReference w:id="285"/>
      </w:r>
      <w:r>
        <w:rPr>
          <w:lang w:eastAsia="en-AU"/>
        </w:rPr>
        <w:t xml:space="preserve"> found that, </w:t>
      </w:r>
      <w:r w:rsidRPr="00D473C2">
        <w:rPr>
          <w:lang w:eastAsia="en-AU"/>
        </w:rPr>
        <w:t xml:space="preserve">young drivers of </w:t>
      </w:r>
      <w:r>
        <w:rPr>
          <w:lang w:eastAsia="en-AU"/>
        </w:rPr>
        <w:t>PPVs</w:t>
      </w:r>
      <w:r w:rsidRPr="00D473C2">
        <w:rPr>
          <w:lang w:eastAsia="en-AU"/>
        </w:rPr>
        <w:t xml:space="preserve"> undertook more risks, </w:t>
      </w:r>
      <w:r>
        <w:rPr>
          <w:lang w:eastAsia="en-AU"/>
        </w:rPr>
        <w:t>such as</w:t>
      </w:r>
      <w:r w:rsidRPr="00D473C2">
        <w:rPr>
          <w:lang w:eastAsia="en-AU"/>
        </w:rPr>
        <w:t xml:space="preserve"> deliberate speeding and reckless driving. This contributed to a rise in the crash involvement of performance vehicles during night-time hours, when recreational driving associated with higher risk-taking was </w:t>
      </w:r>
      <w:r>
        <w:rPr>
          <w:lang w:eastAsia="en-AU"/>
        </w:rPr>
        <w:t>most</w:t>
      </w:r>
      <w:r w:rsidRPr="00417B6B">
        <w:rPr>
          <w:lang w:eastAsia="en-AU"/>
        </w:rPr>
        <w:t xml:space="preserve"> </w:t>
      </w:r>
      <w:r>
        <w:rPr>
          <w:lang w:eastAsia="en-AU"/>
        </w:rPr>
        <w:t>common</w:t>
      </w:r>
      <w:r w:rsidRPr="00D473C2">
        <w:rPr>
          <w:lang w:eastAsia="en-AU"/>
        </w:rPr>
        <w:t>.</w:t>
      </w:r>
      <w:r>
        <w:rPr>
          <w:lang w:eastAsia="en-AU"/>
        </w:rPr>
        <w:t xml:space="preserve"> </w:t>
      </w:r>
      <w:r>
        <w:t>However, in a more recent study,</w:t>
      </w:r>
      <w:r>
        <w:rPr>
          <w:rStyle w:val="EndnoteReference"/>
          <w:rFonts w:cs="Segoe UI"/>
        </w:rPr>
        <w:endnoteReference w:id="286"/>
      </w:r>
      <w:r>
        <w:t xml:space="preserve"> crash data from Australia and New Zealand, and vehicle licensing data from New Zealand were used to estimate the risk of PPVs relative to other vehicles in the fleet. For owners aged under 25, a statistically significant 69% elevated injury crash involvement risk ratio was estimated for the PPVs subject to restrictions in Australia in comparison with their risk with other vehicles controlling for other relevant factors (using owners aged 40–59 as a comparison group). Injuries in PPV</w:t>
      </w:r>
      <w:r w:rsidR="00AD6927">
        <w:t>s</w:t>
      </w:r>
      <w:r>
        <w:t xml:space="preserve"> were estimated to increase compared to their rate in other vehicles by 101% (also using owners aged 40–59 as a comparison group). Despite the higher relative risk for PPVs, they were relatively rare in the fleets studied, and the potential reduction in young driver injury rates from banning these vehicles was estimated to range from 0.4% in New Zealand to 2.5% in the Australian States of Queensland and Victoria</w:t>
      </w:r>
      <w:r>
        <w:rPr>
          <w:rFonts w:cs="Segoe UI"/>
        </w:rPr>
        <w:t>.</w:t>
      </w:r>
      <w:r w:rsidRPr="007705C7">
        <w:t xml:space="preserve"> </w:t>
      </w:r>
    </w:p>
    <w:p w14:paraId="02211D00" w14:textId="77777777" w:rsidR="00122C1B" w:rsidRPr="00117C96" w:rsidRDefault="00122C1B" w:rsidP="008C0E8B">
      <w:pPr>
        <w:pStyle w:val="TextPara"/>
        <w:widowControl w:val="0"/>
        <w:rPr>
          <w:rFonts w:cs="Segoe UI"/>
          <w:lang w:eastAsia="en-AU"/>
        </w:rPr>
      </w:pPr>
      <w:r>
        <w:rPr>
          <w:rFonts w:cs="Segoe UI"/>
          <w:lang w:eastAsia="en-AU"/>
        </w:rPr>
        <w:t>The current definition of</w:t>
      </w:r>
      <w:r w:rsidRPr="00BB5BA6">
        <w:rPr>
          <w:rFonts w:cs="Segoe UI"/>
          <w:lang w:eastAsia="en-AU"/>
        </w:rPr>
        <w:t xml:space="preserve"> </w:t>
      </w:r>
      <w:r>
        <w:rPr>
          <w:rFonts w:cs="Segoe UI"/>
          <w:lang w:eastAsia="en-AU"/>
        </w:rPr>
        <w:t>PPV</w:t>
      </w:r>
      <w:r w:rsidRPr="00117C96">
        <w:rPr>
          <w:rFonts w:cs="Segoe UI"/>
          <w:lang w:eastAsia="en-AU"/>
        </w:rPr>
        <w:t xml:space="preserve">, introduced in July 2014, </w:t>
      </w:r>
      <w:r>
        <w:rPr>
          <w:rFonts w:cs="Segoe UI"/>
          <w:lang w:eastAsia="en-AU"/>
        </w:rPr>
        <w:t xml:space="preserve">is based </w:t>
      </w:r>
      <w:r w:rsidRPr="00117C96">
        <w:rPr>
          <w:rFonts w:cs="Segoe UI"/>
          <w:lang w:eastAsia="en-AU"/>
        </w:rPr>
        <w:t xml:space="preserve">on </w:t>
      </w:r>
      <w:r>
        <w:rPr>
          <w:rFonts w:cs="Segoe UI"/>
          <w:lang w:eastAsia="en-AU"/>
        </w:rPr>
        <w:t>the date of manufacture a</w:t>
      </w:r>
      <w:r w:rsidRPr="005F2A3D">
        <w:rPr>
          <w:rFonts w:cs="Segoe UI"/>
          <w:lang w:eastAsia="en-AU"/>
        </w:rPr>
        <w:t xml:space="preserve">s </w:t>
      </w:r>
      <w:r>
        <w:rPr>
          <w:rFonts w:cs="Segoe UI"/>
          <w:lang w:eastAsia="en-AU"/>
        </w:rPr>
        <w:t xml:space="preserve">shown on </w:t>
      </w:r>
      <w:r w:rsidRPr="00117C96">
        <w:rPr>
          <w:rFonts w:cs="Segoe UI"/>
          <w:lang w:eastAsia="en-AU"/>
        </w:rPr>
        <w:t xml:space="preserve">the </w:t>
      </w:r>
      <w:r>
        <w:rPr>
          <w:rFonts w:cs="Segoe UI"/>
          <w:lang w:eastAsia="en-AU"/>
        </w:rPr>
        <w:t>vehicle’s</w:t>
      </w:r>
      <w:r w:rsidRPr="00117C96">
        <w:rPr>
          <w:rFonts w:cs="Segoe UI"/>
          <w:lang w:eastAsia="en-AU"/>
        </w:rPr>
        <w:t xml:space="preserve"> compliance</w:t>
      </w:r>
      <w:r>
        <w:rPr>
          <w:rFonts w:cs="Segoe UI"/>
          <w:lang w:eastAsia="en-AU"/>
        </w:rPr>
        <w:t xml:space="preserve"> </w:t>
      </w:r>
      <w:r w:rsidRPr="00117C96">
        <w:rPr>
          <w:rFonts w:cs="Segoe UI"/>
          <w:lang w:eastAsia="en-AU"/>
        </w:rPr>
        <w:t>pla</w:t>
      </w:r>
      <w:r>
        <w:rPr>
          <w:rFonts w:cs="Segoe UI"/>
          <w:lang w:eastAsia="en-AU"/>
        </w:rPr>
        <w:t xml:space="preserve">te (or, </w:t>
      </w:r>
      <w:r w:rsidRPr="00117C96">
        <w:rPr>
          <w:rFonts w:cs="Segoe UI"/>
          <w:lang w:eastAsia="en-AU"/>
        </w:rPr>
        <w:t>for used imports</w:t>
      </w:r>
      <w:r>
        <w:rPr>
          <w:rFonts w:cs="Segoe UI"/>
          <w:lang w:eastAsia="en-AU"/>
        </w:rPr>
        <w:t>, the ‘B</w:t>
      </w:r>
      <w:r w:rsidRPr="00117C96">
        <w:rPr>
          <w:rFonts w:cs="Segoe UI"/>
          <w:lang w:eastAsia="en-AU"/>
        </w:rPr>
        <w:t>uil</w:t>
      </w:r>
      <w:r>
        <w:rPr>
          <w:rFonts w:cs="Segoe UI"/>
          <w:lang w:eastAsia="en-AU"/>
        </w:rPr>
        <w:t>t D</w:t>
      </w:r>
      <w:r w:rsidRPr="00117C96">
        <w:rPr>
          <w:rFonts w:cs="Segoe UI"/>
          <w:lang w:eastAsia="en-AU"/>
        </w:rPr>
        <w:t>ate</w:t>
      </w:r>
      <w:r>
        <w:rPr>
          <w:rFonts w:cs="Segoe UI"/>
          <w:lang w:eastAsia="en-AU"/>
        </w:rPr>
        <w:t>’</w:t>
      </w:r>
      <w:r w:rsidRPr="00117C96">
        <w:rPr>
          <w:rFonts w:cs="Segoe UI"/>
          <w:lang w:eastAsia="en-AU"/>
        </w:rPr>
        <w:t xml:space="preserve"> </w:t>
      </w:r>
      <w:r w:rsidRPr="008F6786">
        <w:rPr>
          <w:rFonts w:cs="Segoe UI"/>
          <w:lang w:eastAsia="en-AU"/>
        </w:rPr>
        <w:t>recorded on a metal plate or component of the vehicle</w:t>
      </w:r>
      <w:r w:rsidRPr="00117C96">
        <w:rPr>
          <w:rFonts w:cs="Segoe UI"/>
          <w:lang w:eastAsia="en-AU"/>
        </w:rPr>
        <w:t>).</w:t>
      </w:r>
      <w:r>
        <w:rPr>
          <w:rStyle w:val="EndnoteReference"/>
          <w:rFonts w:cs="Segoe UI"/>
          <w:lang w:eastAsia="en-AU"/>
        </w:rPr>
        <w:endnoteReference w:id="287"/>
      </w:r>
      <w:r w:rsidRPr="00117C96">
        <w:rPr>
          <w:rFonts w:cs="Segoe UI"/>
          <w:lang w:eastAsia="en-AU"/>
        </w:rPr>
        <w:t xml:space="preserve"> Th</w:t>
      </w:r>
      <w:r>
        <w:rPr>
          <w:rFonts w:cs="Segoe UI"/>
          <w:lang w:eastAsia="en-AU"/>
        </w:rPr>
        <w:t>is</w:t>
      </w:r>
      <w:r w:rsidRPr="00117C96">
        <w:rPr>
          <w:rFonts w:cs="Segoe UI"/>
          <w:lang w:eastAsia="en-AU"/>
        </w:rPr>
        <w:t xml:space="preserve"> </w:t>
      </w:r>
      <w:r w:rsidR="00AD6927">
        <w:rPr>
          <w:rFonts w:cs="Segoe UI"/>
          <w:lang w:eastAsia="en-AU"/>
        </w:rPr>
        <w:t>definition</w:t>
      </w:r>
      <w:r>
        <w:rPr>
          <w:rFonts w:cs="Segoe UI"/>
          <w:lang w:eastAsia="en-AU"/>
        </w:rPr>
        <w:t xml:space="preserve"> </w:t>
      </w:r>
      <w:r w:rsidRPr="00117C96">
        <w:rPr>
          <w:rFonts w:cs="Segoe UI"/>
          <w:lang w:eastAsia="en-AU"/>
        </w:rPr>
        <w:t xml:space="preserve">change </w:t>
      </w:r>
      <w:r>
        <w:rPr>
          <w:rFonts w:cs="Segoe UI"/>
          <w:lang w:eastAsia="en-AU"/>
        </w:rPr>
        <w:t>aligns to the national standard on high powered vehicles set by Austroads in 2012.</w:t>
      </w:r>
      <w:r>
        <w:rPr>
          <w:rStyle w:val="EndnoteReference"/>
          <w:rFonts w:cs="Segoe UI"/>
          <w:lang w:eastAsia="en-AU"/>
        </w:rPr>
        <w:endnoteReference w:id="288"/>
      </w:r>
    </w:p>
    <w:p w14:paraId="4B62446B" w14:textId="77777777" w:rsidR="00122C1B" w:rsidRDefault="00122C1B" w:rsidP="008C0E8B">
      <w:pPr>
        <w:pStyle w:val="TextPara"/>
        <w:spacing w:after="60"/>
        <w:rPr>
          <w:lang w:eastAsia="en-AU"/>
        </w:rPr>
      </w:pPr>
      <w:r>
        <w:rPr>
          <w:lang w:eastAsia="en-AU"/>
        </w:rPr>
        <w:t xml:space="preserve">A vehicle qualifies as a PPV under the definition in the current regulations, if it is – </w:t>
      </w:r>
    </w:p>
    <w:p w14:paraId="13E7984A" w14:textId="702DE9C0" w:rsidR="00122C1B" w:rsidRDefault="00122C1B" w:rsidP="008C0E8B">
      <w:pPr>
        <w:pStyle w:val="Bullet1-Black"/>
      </w:pPr>
      <w:r>
        <w:t>a</w:t>
      </w:r>
      <w:r w:rsidRPr="00117C96">
        <w:t xml:space="preserve"> vehicle </w:t>
      </w:r>
      <w:r w:rsidRPr="001215CD">
        <w:t>manufactured</w:t>
      </w:r>
      <w:r w:rsidRPr="00117C96">
        <w:t xml:space="preserve"> </w:t>
      </w:r>
      <w:r w:rsidRPr="00853F33">
        <w:rPr>
          <w:u w:val="single"/>
        </w:rPr>
        <w:t>on or after</w:t>
      </w:r>
      <w:r w:rsidRPr="006B1DB2">
        <w:t xml:space="preserve"> 1 January 2010</w:t>
      </w:r>
      <w:r>
        <w:rPr>
          <w:rStyle w:val="EndnoteReference"/>
        </w:rPr>
        <w:endnoteReference w:id="289"/>
      </w:r>
      <w:r w:rsidRPr="00117C96">
        <w:t xml:space="preserve"> </w:t>
      </w:r>
      <w:r>
        <w:t xml:space="preserve">and </w:t>
      </w:r>
      <w:r w:rsidRPr="00117C96">
        <w:t>has a power to mass ratio of greater than 130 kilowatts per tonne, or an engine</w:t>
      </w:r>
      <w:r>
        <w:t xml:space="preserve"> that</w:t>
      </w:r>
      <w:r w:rsidRPr="00117C96">
        <w:t xml:space="preserve"> has been </w:t>
      </w:r>
      <w:r w:rsidRPr="007513B3">
        <w:t xml:space="preserve">modified </w:t>
      </w:r>
      <w:r>
        <w:t>(</w:t>
      </w:r>
      <w:r w:rsidRPr="00117C96">
        <w:t>other than by the manu</w:t>
      </w:r>
      <w:r>
        <w:t>facturer during its manufacture)</w:t>
      </w:r>
      <w:r w:rsidRPr="007513B3">
        <w:t xml:space="preserve"> to increase performance, (i.e. the </w:t>
      </w:r>
      <w:r w:rsidR="00AD6927">
        <w:t>vehicle’s</w:t>
      </w:r>
      <w:r w:rsidRPr="007513B3">
        <w:t xml:space="preserve"> speed capacity and how quickly it can accelerate to reac</w:t>
      </w:r>
      <w:r w:rsidRPr="003B71DF">
        <w:t xml:space="preserve">h the </w:t>
      </w:r>
      <w:r w:rsidR="008143FB" w:rsidRPr="003B71DF">
        <w:t>high-speed</w:t>
      </w:r>
      <w:r w:rsidRPr="003B71DF">
        <w:t xml:space="preserve"> levels</w:t>
      </w:r>
      <w:r>
        <w:t>)</w:t>
      </w:r>
    </w:p>
    <w:p w14:paraId="36CA0A14" w14:textId="77777777" w:rsidR="00122C1B" w:rsidRPr="00117C96" w:rsidRDefault="00122C1B" w:rsidP="008C0E8B">
      <w:pPr>
        <w:pStyle w:val="Bullet1-Black"/>
        <w:numPr>
          <w:ilvl w:val="0"/>
          <w:numId w:val="0"/>
        </w:numPr>
        <w:ind w:left="387"/>
      </w:pPr>
      <w:r>
        <w:t>or</w:t>
      </w:r>
      <w:r w:rsidRPr="00117C96">
        <w:t> </w:t>
      </w:r>
    </w:p>
    <w:p w14:paraId="7FF167C5" w14:textId="77777777" w:rsidR="00122C1B" w:rsidRPr="00117C96" w:rsidRDefault="00122C1B" w:rsidP="008C0E8B">
      <w:pPr>
        <w:pStyle w:val="Bullet1-Black"/>
      </w:pPr>
      <w:r>
        <w:t>a</w:t>
      </w:r>
      <w:r w:rsidRPr="00117C96">
        <w:t xml:space="preserve"> vehicle manufactured </w:t>
      </w:r>
      <w:r w:rsidRPr="00853F33">
        <w:rPr>
          <w:u w:val="single"/>
        </w:rPr>
        <w:t>before</w:t>
      </w:r>
      <w:r w:rsidRPr="006B1DB2">
        <w:t xml:space="preserve"> 1 January 2010</w:t>
      </w:r>
      <w:r w:rsidRPr="00117C96">
        <w:t xml:space="preserve"> </w:t>
      </w:r>
      <w:r w:rsidR="00C56D3B">
        <w:t>that</w:t>
      </w:r>
      <w:r w:rsidRPr="00117C96">
        <w:t xml:space="preserve"> has – </w:t>
      </w:r>
    </w:p>
    <w:p w14:paraId="6B26EDD8" w14:textId="77777777" w:rsidR="00122C1B" w:rsidRDefault="00122C1B" w:rsidP="00EB4B02">
      <w:pPr>
        <w:pStyle w:val="NumAlpha"/>
        <w:numPr>
          <w:ilvl w:val="0"/>
          <w:numId w:val="25"/>
        </w:numPr>
        <w:spacing w:before="60" w:after="60"/>
        <w:ind w:left="670" w:hanging="284"/>
      </w:pPr>
      <w:r w:rsidRPr="00117C96">
        <w:t xml:space="preserve">an engine with eight </w:t>
      </w:r>
      <w:r w:rsidRPr="00663F3D">
        <w:t>cylinders or more</w:t>
      </w:r>
    </w:p>
    <w:p w14:paraId="4F7F6C48" w14:textId="77777777" w:rsidR="00122C1B" w:rsidRPr="00F56214" w:rsidRDefault="00122C1B" w:rsidP="00EB4B02">
      <w:pPr>
        <w:pStyle w:val="NumAlpha"/>
        <w:numPr>
          <w:ilvl w:val="0"/>
          <w:numId w:val="25"/>
        </w:numPr>
        <w:spacing w:before="60" w:after="60"/>
        <w:ind w:left="670" w:hanging="284"/>
      </w:pPr>
      <w:r w:rsidRPr="00663F3D">
        <w:t xml:space="preserve">an engine that is </w:t>
      </w:r>
      <w:r w:rsidRPr="00F56214">
        <w:t>turbocharged or supercharged (other than a diesel-powered vehicle)</w:t>
      </w:r>
    </w:p>
    <w:p w14:paraId="6669E6E3" w14:textId="77777777" w:rsidR="00122C1B" w:rsidRPr="00F56214" w:rsidRDefault="00122C1B" w:rsidP="00F64366">
      <w:pPr>
        <w:pStyle w:val="NumAlpha"/>
        <w:spacing w:before="60" w:after="60"/>
        <w:ind w:left="671"/>
      </w:pPr>
      <w:r w:rsidRPr="00F56214">
        <w:t>an engine that has been modified to increase the vehicle's performance (other than a modification made by the manufacturer in the course of the manufacture of the vehicle)</w:t>
      </w:r>
    </w:p>
    <w:p w14:paraId="07CB7F6A" w14:textId="77777777" w:rsidR="00122C1B" w:rsidRPr="00F56214" w:rsidRDefault="00122C1B" w:rsidP="00F64366">
      <w:pPr>
        <w:pStyle w:val="NumAlpha"/>
        <w:numPr>
          <w:ilvl w:val="0"/>
          <w:numId w:val="0"/>
        </w:numPr>
        <w:spacing w:before="60" w:after="60"/>
        <w:ind w:left="671"/>
      </w:pPr>
      <w:r w:rsidRPr="00F56214">
        <w:t>or</w:t>
      </w:r>
    </w:p>
    <w:p w14:paraId="24E3BD08" w14:textId="77777777" w:rsidR="00122C1B" w:rsidRDefault="00122C1B" w:rsidP="00F64366">
      <w:pPr>
        <w:pStyle w:val="NumAlpha"/>
        <w:spacing w:before="60" w:after="60"/>
        <w:ind w:left="671"/>
      </w:pPr>
      <w:r w:rsidRPr="00F56214">
        <w:t>been declared by VicRoads</w:t>
      </w:r>
      <w:r w:rsidRPr="00117C96">
        <w:t xml:space="preserve"> as a probationary prohibited vehicle due to its class or modification (listed in the probationary vehicle database</w:t>
      </w:r>
      <w:r>
        <w:t xml:space="preserve"> published on the VicRoads website</w:t>
      </w:r>
      <w:r>
        <w:rPr>
          <w:rStyle w:val="EndnoteReference"/>
          <w:rFonts w:cs="Segoe UI"/>
        </w:rPr>
        <w:endnoteReference w:id="290"/>
      </w:r>
      <w:r w:rsidRPr="00117C96">
        <w:t>).</w:t>
      </w:r>
    </w:p>
    <w:p w14:paraId="4FD7A63C" w14:textId="77777777" w:rsidR="00122C1B" w:rsidRPr="00853F33" w:rsidRDefault="00122C1B" w:rsidP="008C0E8B">
      <w:pPr>
        <w:pStyle w:val="TextPara"/>
      </w:pPr>
      <w:r w:rsidRPr="00853F33">
        <w:t xml:space="preserve">The application of the current definition </w:t>
      </w:r>
      <w:r>
        <w:t xml:space="preserve">of </w:t>
      </w:r>
      <w:r w:rsidRPr="00853F33">
        <w:t xml:space="preserve">PPVs </w:t>
      </w:r>
      <w:r>
        <w:t xml:space="preserve">that were </w:t>
      </w:r>
      <w:r w:rsidRPr="00853F33">
        <w:t xml:space="preserve">manufactured </w:t>
      </w:r>
      <w:r w:rsidRPr="00853F33">
        <w:rPr>
          <w:u w:val="single"/>
        </w:rPr>
        <w:t>before</w:t>
      </w:r>
      <w:r w:rsidRPr="00853F33">
        <w:t xml:space="preserve"> 1 January 2010 is very complex, as it refers to four elements: the number of cylinders; whether the engine is turbocharged or supercharged; whether engine was modified to increase performance; and whether the vehicle is a nominated high performance 6-cylinder engine. </w:t>
      </w:r>
    </w:p>
    <w:p w14:paraId="1F112CD5" w14:textId="77777777" w:rsidR="00122C1B" w:rsidRDefault="00122C1B" w:rsidP="008C0E8B">
      <w:pPr>
        <w:pStyle w:val="TextPara"/>
      </w:pPr>
      <w:r w:rsidRPr="00853F33">
        <w:t>The proposed Regulations would simplify the definition of PPV by applying the current definition for motor vehicles manufactured on or after 1 January 2010 to all motor vehicles regardless of the date of their manufacture. This means that a PPV would be defined as a vehicle with a power-to-mass ratio</w:t>
      </w:r>
      <w:r>
        <w:t xml:space="preserve"> </w:t>
      </w:r>
      <w:r w:rsidRPr="00853F33">
        <w:t>of greater than 130 kilowatts per tonne, or an engine that has been modified to increase performance (</w:t>
      </w:r>
      <w:r>
        <w:t xml:space="preserve">other than </w:t>
      </w:r>
      <w:r w:rsidRPr="00853F33">
        <w:t>by the manufacturer during the manufacture of the vehicle). </w:t>
      </w:r>
    </w:p>
    <w:p w14:paraId="70F1A378" w14:textId="77777777" w:rsidR="00122C1B" w:rsidRPr="00117C96" w:rsidRDefault="00122C1B" w:rsidP="008C0E8B">
      <w:pPr>
        <w:pStyle w:val="TextPara"/>
        <w:rPr>
          <w:rFonts w:cs="Segoe UI"/>
          <w:szCs w:val="20"/>
        </w:rPr>
      </w:pPr>
      <w:r w:rsidRPr="00853F33">
        <w:lastRenderedPageBreak/>
        <w:t>This</w:t>
      </w:r>
      <w:r>
        <w:t xml:space="preserve"> </w:t>
      </w:r>
      <w:r w:rsidRPr="00853F33">
        <w:t xml:space="preserve">proposed </w:t>
      </w:r>
      <w:r>
        <w:t>change</w:t>
      </w:r>
      <w:r w:rsidRPr="00853F33">
        <w:t xml:space="preserve"> </w:t>
      </w:r>
      <w:r>
        <w:t>would</w:t>
      </w:r>
      <w:r w:rsidRPr="00853F33">
        <w:t xml:space="preserve"> </w:t>
      </w:r>
      <w:r>
        <w:t xml:space="preserve">continue to </w:t>
      </w:r>
      <w:r w:rsidRPr="00853F33">
        <w:t xml:space="preserve">align </w:t>
      </w:r>
      <w:r>
        <w:t xml:space="preserve">Victoria </w:t>
      </w:r>
      <w:r w:rsidRPr="00853F33">
        <w:t>with the relevant Austroads national standard for PPVs set in 2012</w:t>
      </w:r>
      <w:r>
        <w:t xml:space="preserve">. Moreover, the </w:t>
      </w:r>
      <w:r w:rsidRPr="00853F33">
        <w:t>simplif</w:t>
      </w:r>
      <w:r>
        <w:t>ied</w:t>
      </w:r>
      <w:r w:rsidRPr="00853F33">
        <w:t xml:space="preserve"> PPV definition </w:t>
      </w:r>
      <w:r>
        <w:t xml:space="preserve">would </w:t>
      </w:r>
      <w:r w:rsidRPr="00853F33">
        <w:t>make it easier for all stakeholders to understand</w:t>
      </w:r>
      <w:r>
        <w:t xml:space="preserve"> and apply</w:t>
      </w:r>
      <w:r w:rsidRPr="00853F33">
        <w:t>.</w:t>
      </w:r>
      <w:r>
        <w:t xml:space="preserve"> It </w:t>
      </w:r>
      <w:r w:rsidRPr="00117C96">
        <w:rPr>
          <w:rFonts w:cs="Segoe UI"/>
          <w:lang w:eastAsia="en-AU"/>
        </w:rPr>
        <w:t>w</w:t>
      </w:r>
      <w:r>
        <w:rPr>
          <w:rFonts w:cs="Segoe UI"/>
          <w:lang w:eastAsia="en-AU"/>
        </w:rPr>
        <w:t>ould</w:t>
      </w:r>
      <w:r w:rsidRPr="00117C96">
        <w:rPr>
          <w:rFonts w:cs="Segoe UI"/>
          <w:lang w:eastAsia="en-AU"/>
        </w:rPr>
        <w:t xml:space="preserve"> </w:t>
      </w:r>
      <w:r>
        <w:rPr>
          <w:rFonts w:cs="Segoe UI"/>
          <w:lang w:eastAsia="en-AU"/>
        </w:rPr>
        <w:t>also enable</w:t>
      </w:r>
      <w:r w:rsidRPr="00117C96">
        <w:rPr>
          <w:rFonts w:cs="Segoe UI"/>
          <w:lang w:eastAsia="en-AU"/>
        </w:rPr>
        <w:t xml:space="preserve"> more consistent and less ambiguous messaging with regard to safe vehicle purchase advice. The</w:t>
      </w:r>
      <w:r>
        <w:rPr>
          <w:rFonts w:cs="Segoe UI"/>
          <w:lang w:eastAsia="en-AU"/>
        </w:rPr>
        <w:t xml:space="preserve"> standard</w:t>
      </w:r>
      <w:r w:rsidRPr="00117C96">
        <w:rPr>
          <w:rFonts w:cs="Segoe UI"/>
          <w:lang w:eastAsia="en-AU"/>
        </w:rPr>
        <w:t xml:space="preserve"> w</w:t>
      </w:r>
      <w:r>
        <w:rPr>
          <w:rFonts w:cs="Segoe UI"/>
          <w:lang w:eastAsia="en-AU"/>
        </w:rPr>
        <w:t>ould</w:t>
      </w:r>
      <w:r w:rsidRPr="00117C96">
        <w:rPr>
          <w:rFonts w:cs="Segoe UI"/>
          <w:lang w:eastAsia="en-AU"/>
        </w:rPr>
        <w:t xml:space="preserve"> be </w:t>
      </w:r>
      <w:r>
        <w:rPr>
          <w:rFonts w:cs="Segoe UI"/>
          <w:lang w:eastAsia="en-AU"/>
        </w:rPr>
        <w:t xml:space="preserve">simpler and </w:t>
      </w:r>
      <w:r w:rsidRPr="00117C96">
        <w:rPr>
          <w:rFonts w:cs="Segoe UI"/>
          <w:lang w:eastAsia="en-AU"/>
        </w:rPr>
        <w:t xml:space="preserve">easier </w:t>
      </w:r>
      <w:r>
        <w:rPr>
          <w:rFonts w:cs="Segoe UI"/>
          <w:lang w:eastAsia="en-AU"/>
        </w:rPr>
        <w:t xml:space="preserve">for drivers to </w:t>
      </w:r>
      <w:r w:rsidRPr="00117C96">
        <w:rPr>
          <w:rFonts w:cs="Segoe UI"/>
          <w:lang w:eastAsia="en-AU"/>
        </w:rPr>
        <w:t xml:space="preserve">comply with, and </w:t>
      </w:r>
      <w:r>
        <w:rPr>
          <w:rFonts w:cs="Segoe UI"/>
          <w:lang w:eastAsia="en-AU"/>
        </w:rPr>
        <w:t xml:space="preserve">for police to </w:t>
      </w:r>
      <w:r w:rsidRPr="00117C96">
        <w:rPr>
          <w:rFonts w:cs="Segoe UI"/>
          <w:lang w:eastAsia="en-AU"/>
        </w:rPr>
        <w:t xml:space="preserve">enforce, as </w:t>
      </w:r>
      <w:r>
        <w:rPr>
          <w:rFonts w:cs="Segoe UI"/>
          <w:lang w:eastAsia="en-AU"/>
        </w:rPr>
        <w:t xml:space="preserve">the process </w:t>
      </w:r>
      <w:r w:rsidRPr="00117C96">
        <w:rPr>
          <w:rFonts w:cs="Segoe UI"/>
          <w:lang w:eastAsia="en-AU"/>
        </w:rPr>
        <w:t>w</w:t>
      </w:r>
      <w:r>
        <w:rPr>
          <w:rFonts w:cs="Segoe UI"/>
          <w:lang w:eastAsia="en-AU"/>
        </w:rPr>
        <w:t>ould</w:t>
      </w:r>
      <w:r w:rsidRPr="00117C96">
        <w:rPr>
          <w:rFonts w:cs="Segoe UI"/>
          <w:lang w:eastAsia="en-AU"/>
        </w:rPr>
        <w:t xml:space="preserve"> be more streamlined</w:t>
      </w:r>
      <w:r>
        <w:rPr>
          <w:rFonts w:cs="Segoe UI"/>
          <w:lang w:eastAsia="en-AU"/>
        </w:rPr>
        <w:t xml:space="preserve"> by </w:t>
      </w:r>
      <w:r w:rsidRPr="00117C96">
        <w:rPr>
          <w:rFonts w:cs="Segoe UI"/>
          <w:lang w:eastAsia="en-AU"/>
        </w:rPr>
        <w:t>eliminat</w:t>
      </w:r>
      <w:r>
        <w:rPr>
          <w:rFonts w:cs="Segoe UI"/>
          <w:lang w:eastAsia="en-AU"/>
        </w:rPr>
        <w:t>ing</w:t>
      </w:r>
      <w:r w:rsidRPr="00117C96">
        <w:rPr>
          <w:rFonts w:cs="Segoe UI"/>
          <w:lang w:eastAsia="en-AU"/>
        </w:rPr>
        <w:t xml:space="preserve"> the need for exemption application</w:t>
      </w:r>
      <w:r>
        <w:rPr>
          <w:rFonts w:cs="Segoe UI"/>
          <w:lang w:eastAsia="en-AU"/>
        </w:rPr>
        <w:t>s</w:t>
      </w:r>
      <w:r w:rsidRPr="00117C96">
        <w:rPr>
          <w:rFonts w:cs="Segoe UI"/>
          <w:lang w:eastAsia="en-AU"/>
        </w:rPr>
        <w:t xml:space="preserve"> for the lower performance turbocharged or supercharged vehicles manufactured prior to 1 January 2010</w:t>
      </w:r>
      <w:r>
        <w:rPr>
          <w:rFonts w:cs="Segoe UI"/>
          <w:lang w:eastAsia="en-AU"/>
        </w:rPr>
        <w:t>. T</w:t>
      </w:r>
      <w:r w:rsidRPr="00117C96">
        <w:rPr>
          <w:rFonts w:cs="Segoe UI"/>
          <w:lang w:eastAsia="en-AU"/>
        </w:rPr>
        <w:t>hese vehicles will be assessed just like all other vehicles</w:t>
      </w:r>
      <w:r>
        <w:rPr>
          <w:rFonts w:cs="Segoe UI"/>
          <w:lang w:eastAsia="en-AU"/>
        </w:rPr>
        <w:t xml:space="preserve"> with a</w:t>
      </w:r>
      <w:r w:rsidRPr="00117C96">
        <w:rPr>
          <w:rFonts w:cs="Segoe UI"/>
          <w:lang w:eastAsia="en-AU"/>
        </w:rPr>
        <w:t xml:space="preserve"> </w:t>
      </w:r>
      <w:r w:rsidR="00C56D3B">
        <w:rPr>
          <w:rFonts w:cs="Segoe UI"/>
          <w:lang w:eastAsia="en-AU"/>
        </w:rPr>
        <w:t>power-to-mass ratio</w:t>
      </w:r>
      <w:r w:rsidRPr="00117C96">
        <w:rPr>
          <w:rFonts w:cs="Segoe UI"/>
          <w:lang w:eastAsia="en-AU"/>
        </w:rPr>
        <w:t xml:space="preserve"> </w:t>
      </w:r>
      <w:r>
        <w:rPr>
          <w:rFonts w:cs="Segoe UI"/>
          <w:lang w:eastAsia="en-AU"/>
        </w:rPr>
        <w:t xml:space="preserve">that </w:t>
      </w:r>
      <w:r w:rsidRPr="00117C96">
        <w:rPr>
          <w:rFonts w:cs="Segoe UI"/>
          <w:lang w:eastAsia="en-AU"/>
        </w:rPr>
        <w:t>is not greater than 130</w:t>
      </w:r>
      <w:r>
        <w:rPr>
          <w:rFonts w:cs="Segoe UI"/>
          <w:lang w:eastAsia="en-AU"/>
        </w:rPr>
        <w:t xml:space="preserve"> </w:t>
      </w:r>
      <w:r w:rsidRPr="00117C96">
        <w:t>kilowatts per tonne</w:t>
      </w:r>
      <w:r w:rsidRPr="00117C96">
        <w:rPr>
          <w:rFonts w:cs="Segoe UI"/>
          <w:lang w:eastAsia="en-AU"/>
        </w:rPr>
        <w:t>.</w:t>
      </w:r>
      <w:r w:rsidRPr="00117C96">
        <w:rPr>
          <w:rFonts w:cs="Segoe UI"/>
          <w:szCs w:val="20"/>
        </w:rPr>
        <w:t xml:space="preserve"> </w:t>
      </w:r>
    </w:p>
    <w:p w14:paraId="0119265D" w14:textId="77777777" w:rsidR="00122C1B" w:rsidRDefault="00122C1B" w:rsidP="008C0E8B">
      <w:pPr>
        <w:pStyle w:val="TextPara"/>
        <w:keepNext/>
      </w:pPr>
      <w:r w:rsidRPr="00853F33">
        <w:t xml:space="preserve">Based on data from VicRoads’ PPV database, under the proposed definition, the status of </w:t>
      </w:r>
      <w:r>
        <w:t>–</w:t>
      </w:r>
    </w:p>
    <w:p w14:paraId="3CE16353" w14:textId="77777777" w:rsidR="00122C1B" w:rsidRDefault="00122C1B" w:rsidP="008C0E8B">
      <w:pPr>
        <w:pStyle w:val="Bullet1-Black"/>
      </w:pPr>
      <w:r w:rsidRPr="00853F33">
        <w:t>3,910 vehicle variants will change f</w:t>
      </w:r>
      <w:r>
        <w:t>rom ‘prohibited’ to ‘approved’</w:t>
      </w:r>
    </w:p>
    <w:p w14:paraId="2DAC4112" w14:textId="77777777" w:rsidR="00122C1B" w:rsidRDefault="00122C1B" w:rsidP="008C0E8B">
      <w:pPr>
        <w:pStyle w:val="Bullet1-Black"/>
      </w:pPr>
      <w:r w:rsidRPr="00853F33">
        <w:t xml:space="preserve">1,994 vehicle variants (which equates to approximately 44 makes and models) will change from ‘exemption required’ to ‘approved’ </w:t>
      </w:r>
    </w:p>
    <w:p w14:paraId="44490D48" w14:textId="77777777" w:rsidR="00122C1B" w:rsidRPr="00853F33" w:rsidRDefault="00122C1B" w:rsidP="008C0E8B">
      <w:pPr>
        <w:pStyle w:val="Bullet1-Black"/>
      </w:pPr>
      <w:r w:rsidRPr="00853F33">
        <w:t>274 vehicle variants will change from ‘approved’ to ‘prohibited’ and an exemption application would be required for th</w:t>
      </w:r>
      <w:r>
        <w:t>is</w:t>
      </w:r>
      <w:r w:rsidRPr="00853F33">
        <w:t xml:space="preserve"> group.</w:t>
      </w:r>
      <w:r w:rsidRPr="00853F33">
        <w:rPr>
          <w:rStyle w:val="EndnoteReference"/>
        </w:rPr>
        <w:endnoteReference w:id="291"/>
      </w:r>
    </w:p>
    <w:p w14:paraId="418F5068" w14:textId="77777777" w:rsidR="00122C1B" w:rsidRDefault="00122C1B" w:rsidP="008C0E8B">
      <w:pPr>
        <w:pStyle w:val="TextPara"/>
        <w:spacing w:after="60"/>
        <w:rPr>
          <w:rFonts w:cs="Segoe UI"/>
          <w:lang w:eastAsia="en-AU"/>
        </w:rPr>
      </w:pPr>
      <w:bookmarkStart w:id="354" w:name="_Hlk1119379"/>
      <w:r>
        <w:rPr>
          <w:rFonts w:cs="Segoe UI"/>
          <w:lang w:eastAsia="en-AU"/>
        </w:rPr>
        <w:t xml:space="preserve">Under the proposed Regulations automatic </w:t>
      </w:r>
      <w:r w:rsidRPr="003D47CC">
        <w:rPr>
          <w:rFonts w:cs="Segoe UI"/>
          <w:lang w:eastAsia="en-AU"/>
        </w:rPr>
        <w:t>exemption</w:t>
      </w:r>
      <w:r>
        <w:rPr>
          <w:rFonts w:cs="Segoe UI"/>
          <w:lang w:eastAsia="en-AU"/>
        </w:rPr>
        <w:t>s</w:t>
      </w:r>
      <w:r w:rsidRPr="003D47CC">
        <w:rPr>
          <w:rFonts w:cs="Segoe UI"/>
          <w:lang w:eastAsia="en-AU"/>
        </w:rPr>
        <w:t xml:space="preserve"> </w:t>
      </w:r>
      <w:r>
        <w:rPr>
          <w:rFonts w:cs="Segoe UI"/>
          <w:lang w:eastAsia="en-AU"/>
        </w:rPr>
        <w:t xml:space="preserve">from the PPV restriction would be provided to </w:t>
      </w:r>
      <w:r w:rsidR="0066032A">
        <w:rPr>
          <w:rFonts w:cs="Segoe UI"/>
          <w:lang w:eastAsia="en-AU"/>
        </w:rPr>
        <w:t>probationary drivers</w:t>
      </w:r>
      <w:r>
        <w:rPr>
          <w:rFonts w:cs="Segoe UI"/>
          <w:lang w:eastAsia="en-AU"/>
        </w:rPr>
        <w:t>, who</w:t>
      </w:r>
      <w:r>
        <w:t xml:space="preserve"> </w:t>
      </w:r>
      <w:r w:rsidR="009C5475">
        <w:t>meet one of the following criteria</w:t>
      </w:r>
      <w:r>
        <w:t xml:space="preserve"> </w:t>
      </w:r>
      <w:r>
        <w:rPr>
          <w:rFonts w:cs="Segoe UI"/>
          <w:lang w:eastAsia="en-AU"/>
        </w:rPr>
        <w:t xml:space="preserve">– </w:t>
      </w:r>
    </w:p>
    <w:p w14:paraId="320C8A09" w14:textId="77777777" w:rsidR="00122C1B" w:rsidRDefault="0066032A" w:rsidP="008C0E8B">
      <w:pPr>
        <w:pStyle w:val="Bullet1-Black"/>
      </w:pPr>
      <w:r>
        <w:t>they are</w:t>
      </w:r>
      <w:r w:rsidR="009C5475">
        <w:t xml:space="preserve"> </w:t>
      </w:r>
      <w:r w:rsidR="00122C1B" w:rsidRPr="003D47CC">
        <w:t xml:space="preserve">required to </w:t>
      </w:r>
      <w:r w:rsidR="00122C1B">
        <w:t>drive a PPV</w:t>
      </w:r>
      <w:r w:rsidR="00122C1B" w:rsidRPr="003D47CC">
        <w:t xml:space="preserve"> in the course of </w:t>
      </w:r>
      <w:r w:rsidR="00122C1B">
        <w:t>their</w:t>
      </w:r>
      <w:r w:rsidR="00122C1B" w:rsidRPr="003D47CC">
        <w:t xml:space="preserve"> employment and at the request of the</w:t>
      </w:r>
      <w:r w:rsidR="00122C1B">
        <w:t>ir</w:t>
      </w:r>
      <w:r w:rsidR="00122C1B" w:rsidRPr="003D47CC">
        <w:t xml:space="preserve"> employer</w:t>
      </w:r>
      <w:r w:rsidR="00092FA7">
        <w:t>; or</w:t>
      </w:r>
    </w:p>
    <w:p w14:paraId="26185676" w14:textId="77777777" w:rsidR="00122C1B" w:rsidRDefault="0066032A" w:rsidP="008C0E8B">
      <w:pPr>
        <w:pStyle w:val="Bullet1-Black"/>
      </w:pPr>
      <w:r>
        <w:t>they are</w:t>
      </w:r>
      <w:r w:rsidR="009C5475">
        <w:t xml:space="preserve"> </w:t>
      </w:r>
      <w:r w:rsidR="00122C1B" w:rsidRPr="003D47CC">
        <w:t xml:space="preserve">self-employed </w:t>
      </w:r>
      <w:r w:rsidR="00C56D3B">
        <w:t>and</w:t>
      </w:r>
      <w:r w:rsidR="00122C1B" w:rsidRPr="003D47CC">
        <w:t xml:space="preserve"> ha</w:t>
      </w:r>
      <w:r w:rsidR="00122C1B">
        <w:t>ve</w:t>
      </w:r>
      <w:r w:rsidR="00122C1B" w:rsidRPr="003D47CC">
        <w:t xml:space="preserve"> an Australian Business Name</w:t>
      </w:r>
      <w:r w:rsidR="00DB27CE">
        <w:t xml:space="preserve"> for their business</w:t>
      </w:r>
      <w:r w:rsidR="00122C1B">
        <w:t>,</w:t>
      </w:r>
      <w:r w:rsidR="00122C1B" w:rsidRPr="003D47CC">
        <w:t xml:space="preserve"> when driving </w:t>
      </w:r>
      <w:r w:rsidR="00122C1B">
        <w:t xml:space="preserve">a PPV </w:t>
      </w:r>
      <w:r w:rsidR="00DB27CE" w:rsidRPr="003D47CC">
        <w:t xml:space="preserve">in the course of </w:t>
      </w:r>
      <w:r w:rsidR="00DB27CE">
        <w:t>their business</w:t>
      </w:r>
      <w:r w:rsidR="00DB27CE" w:rsidRPr="003D47CC">
        <w:t xml:space="preserve"> </w:t>
      </w:r>
      <w:r w:rsidR="00DB27CE">
        <w:t>or</w:t>
      </w:r>
      <w:r w:rsidR="00DB27CE" w:rsidRPr="003D47CC">
        <w:t xml:space="preserve"> </w:t>
      </w:r>
      <w:r w:rsidR="00122C1B" w:rsidRPr="003D47CC">
        <w:t>to and from</w:t>
      </w:r>
      <w:r w:rsidR="00DB27CE">
        <w:t xml:space="preserve"> the</w:t>
      </w:r>
      <w:r w:rsidR="00122C1B" w:rsidRPr="003D47CC">
        <w:t xml:space="preserve"> work</w:t>
      </w:r>
      <w:r w:rsidR="00DB27CE">
        <w:t>place of that business</w:t>
      </w:r>
      <w:r w:rsidR="00092FA7">
        <w:t>; or</w:t>
      </w:r>
      <w:r w:rsidR="00122C1B" w:rsidRPr="003D47CC">
        <w:t xml:space="preserve"> </w:t>
      </w:r>
    </w:p>
    <w:p w14:paraId="0EB9A285" w14:textId="77777777" w:rsidR="00122C1B" w:rsidRDefault="0066032A" w:rsidP="008C0E8B">
      <w:pPr>
        <w:pStyle w:val="Bullet1-Black"/>
      </w:pPr>
      <w:r>
        <w:t>they are</w:t>
      </w:r>
      <w:r w:rsidR="009C5475">
        <w:t xml:space="preserve"> </w:t>
      </w:r>
      <w:r w:rsidR="00122C1B">
        <w:t>police officer</w:t>
      </w:r>
      <w:r>
        <w:t>s</w:t>
      </w:r>
      <w:r w:rsidR="00122C1B">
        <w:t xml:space="preserve"> who drive</w:t>
      </w:r>
      <w:r w:rsidR="00C56D3B">
        <w:t xml:space="preserve"> the</w:t>
      </w:r>
      <w:r w:rsidR="00122C1B">
        <w:t xml:space="preserve"> PPV in the course of duty</w:t>
      </w:r>
      <w:r w:rsidR="00092FA7">
        <w:t>; or</w:t>
      </w:r>
    </w:p>
    <w:p w14:paraId="029C7DE5" w14:textId="77777777" w:rsidR="00424D84" w:rsidRDefault="0066032A" w:rsidP="00424D84">
      <w:pPr>
        <w:pStyle w:val="Bullet1-Black"/>
      </w:pPr>
      <w:r>
        <w:t>they are</w:t>
      </w:r>
      <w:r w:rsidR="009C5475">
        <w:t xml:space="preserve"> </w:t>
      </w:r>
      <w:r w:rsidR="00424D84">
        <w:t xml:space="preserve">driving a PPV with a fully licensed driver sitting beside them </w:t>
      </w:r>
      <w:r w:rsidR="008561C5">
        <w:t>who</w:t>
      </w:r>
      <w:r w:rsidR="00424D84">
        <w:t xml:space="preserve"> is supervising the</w:t>
      </w:r>
      <w:r w:rsidR="00092FA7">
        <w:t xml:space="preserve">ir </w:t>
      </w:r>
      <w:r w:rsidR="00424D84">
        <w:t>driv</w:t>
      </w:r>
      <w:r w:rsidR="00092FA7">
        <w:t>ing;</w:t>
      </w:r>
      <w:r w:rsidR="00424D84">
        <w:rPr>
          <w:rStyle w:val="EndnoteReference"/>
        </w:rPr>
        <w:endnoteReference w:id="292"/>
      </w:r>
      <w:r w:rsidR="00092FA7">
        <w:t xml:space="preserve"> or</w:t>
      </w:r>
    </w:p>
    <w:p w14:paraId="489668CC" w14:textId="77777777" w:rsidR="00C56D3B" w:rsidRDefault="0066032A" w:rsidP="008C0E8B">
      <w:pPr>
        <w:pStyle w:val="Bullet1-Black"/>
      </w:pPr>
      <w:r>
        <w:t>they are</w:t>
      </w:r>
      <w:r w:rsidR="00092FA7">
        <w:t xml:space="preserve"> </w:t>
      </w:r>
      <w:r w:rsidR="00122C1B" w:rsidRPr="005F2838">
        <w:t>driv</w:t>
      </w:r>
      <w:r w:rsidR="00122C1B">
        <w:t>ing a PPV,</w:t>
      </w:r>
      <w:r w:rsidR="00122C1B" w:rsidRPr="005F2838">
        <w:t xml:space="preserve"> </w:t>
      </w:r>
      <w:r w:rsidR="00122C1B">
        <w:t xml:space="preserve">which </w:t>
      </w:r>
      <w:r w:rsidR="00122C1B" w:rsidRPr="005F2838">
        <w:t>is also a heavy vehicle</w:t>
      </w:r>
      <w:r w:rsidR="00122C1B">
        <w:t>,</w:t>
      </w:r>
      <w:r w:rsidR="00122C1B" w:rsidRPr="005F2838">
        <w:t xml:space="preserve"> </w:t>
      </w:r>
      <w:r w:rsidR="00C56D3B">
        <w:t>and</w:t>
      </w:r>
      <w:r w:rsidR="00122C1B">
        <w:t xml:space="preserve"> they</w:t>
      </w:r>
      <w:r w:rsidR="00C56D3B">
        <w:t xml:space="preserve"> </w:t>
      </w:r>
      <w:r w:rsidR="006C31CB">
        <w:t>meet all the following</w:t>
      </w:r>
      <w:r w:rsidR="00B75544">
        <w:t xml:space="preserve"> </w:t>
      </w:r>
      <w:r w:rsidR="00C56D3B">
        <w:t xml:space="preserve">– </w:t>
      </w:r>
    </w:p>
    <w:p w14:paraId="4D3F3333" w14:textId="77777777" w:rsidR="000A640D" w:rsidRDefault="006C31CB" w:rsidP="000A640D">
      <w:pPr>
        <w:pStyle w:val="Bullet2-Green"/>
      </w:pPr>
      <w:r>
        <w:t xml:space="preserve">they do not </w:t>
      </w:r>
      <w:r w:rsidR="00122C1B" w:rsidRPr="005F2838">
        <w:t>hold a driver licence that authorises driv</w:t>
      </w:r>
      <w:r w:rsidR="00122C1B">
        <w:t xml:space="preserve">ing </w:t>
      </w:r>
      <w:r w:rsidR="00122C1B" w:rsidRPr="005F2838">
        <w:t>that vehicle</w:t>
      </w:r>
      <w:r w:rsidR="0066032A">
        <w:t>; and</w:t>
      </w:r>
    </w:p>
    <w:p w14:paraId="0C9C1B40" w14:textId="77777777" w:rsidR="000A640D" w:rsidRDefault="006C31CB" w:rsidP="000A640D">
      <w:pPr>
        <w:pStyle w:val="Bullet2-Green"/>
      </w:pPr>
      <w:r>
        <w:t xml:space="preserve">they </w:t>
      </w:r>
      <w:r w:rsidR="00122C1B">
        <w:t>hold a driver licence of another category</w:t>
      </w:r>
      <w:r w:rsidR="0066032A">
        <w:t>; and</w:t>
      </w:r>
    </w:p>
    <w:p w14:paraId="5BCE130E" w14:textId="77777777" w:rsidR="006C31CB" w:rsidRDefault="006C31CB" w:rsidP="000A640D">
      <w:pPr>
        <w:pStyle w:val="Bullet2-Green"/>
      </w:pPr>
      <w:r>
        <w:t xml:space="preserve">they </w:t>
      </w:r>
      <w:r w:rsidR="00122C1B">
        <w:t>have a person, who holds an Australian driver licence appropriate for the category of vehicle being dri</w:t>
      </w:r>
      <w:r>
        <w:t>ven, sitting beside the</w:t>
      </w:r>
      <w:r w:rsidR="008561C5">
        <w:t>m</w:t>
      </w:r>
      <w:r w:rsidR="0066032A">
        <w:t>; and</w:t>
      </w:r>
    </w:p>
    <w:p w14:paraId="0BBDF1C1" w14:textId="77777777" w:rsidR="00122C1B" w:rsidRDefault="00122C1B" w:rsidP="000A640D">
      <w:pPr>
        <w:pStyle w:val="Bullet2-Green"/>
      </w:pPr>
      <w:r>
        <w:t>there is a ‘driver under instruction’ plate affixed to, and facing out from, th</w:t>
      </w:r>
      <w:r w:rsidR="006C31CB">
        <w:t>e front and rear of the vehicle.</w:t>
      </w:r>
    </w:p>
    <w:bookmarkEnd w:id="354"/>
    <w:p w14:paraId="10F041A6" w14:textId="77777777" w:rsidR="00122C1B" w:rsidRDefault="000C33B0" w:rsidP="008C0E8B">
      <w:pPr>
        <w:pStyle w:val="TextPara"/>
      </w:pPr>
      <w:r>
        <w:t>DoT</w:t>
      </w:r>
      <w:r w:rsidR="00122C1B">
        <w:t xml:space="preserve"> considers these exemptions to be reasonable and not to pose any significant risk to road safety, given that </w:t>
      </w:r>
      <w:bookmarkStart w:id="355" w:name="_Hlk511829386"/>
      <w:r w:rsidR="00122C1B">
        <w:t xml:space="preserve">it is less likely that driving PPVs in the course of </w:t>
      </w:r>
      <w:r w:rsidR="000A640D">
        <w:t>one’s</w:t>
      </w:r>
      <w:r w:rsidR="00122C1B">
        <w:t xml:space="preserve"> employment would involve behaviour that would put </w:t>
      </w:r>
      <w:r w:rsidR="000A640D">
        <w:t>one’s employment</w:t>
      </w:r>
      <w:r w:rsidR="00122C1B">
        <w:t xml:space="preserve"> at risk</w:t>
      </w:r>
      <w:bookmarkEnd w:id="355"/>
      <w:r w:rsidR="00122C1B">
        <w:t>. The exemption applicable in the above cases does not</w:t>
      </w:r>
      <w:r w:rsidR="00122C1B" w:rsidRPr="003D47CC">
        <w:t xml:space="preserve"> permit </w:t>
      </w:r>
      <w:r w:rsidR="00122C1B">
        <w:t xml:space="preserve">any of these probationary drivers </w:t>
      </w:r>
      <w:r w:rsidR="00122C1B" w:rsidRPr="003D47CC">
        <w:t xml:space="preserve">to drive a PPV at any time for social </w:t>
      </w:r>
      <w:r w:rsidR="00122C1B">
        <w:t>purposes</w:t>
      </w:r>
      <w:r w:rsidR="00122C1B" w:rsidRPr="003D47CC">
        <w:t xml:space="preserve"> or reasons</w:t>
      </w:r>
      <w:r w:rsidR="00122C1B">
        <w:t xml:space="preserve"> </w:t>
      </w:r>
      <w:r w:rsidR="00122C1B" w:rsidRPr="003D47CC">
        <w:t>unrelated to work.</w:t>
      </w:r>
      <w:r w:rsidR="00122C1B">
        <w:t xml:space="preserve"> </w:t>
      </w:r>
    </w:p>
    <w:p w14:paraId="6C132A2F" w14:textId="77777777" w:rsidR="00122C1B" w:rsidRPr="00117C96" w:rsidRDefault="00122C1B" w:rsidP="008C0E8B">
      <w:pPr>
        <w:pStyle w:val="TextPara"/>
        <w:rPr>
          <w:rFonts w:cs="Segoe UI"/>
          <w:lang w:eastAsia="en-AU"/>
        </w:rPr>
      </w:pPr>
      <w:bookmarkStart w:id="356" w:name="_Hlk1119638"/>
      <w:r>
        <w:rPr>
          <w:rFonts w:cs="Segoe UI"/>
          <w:lang w:eastAsia="en-AU"/>
        </w:rPr>
        <w:t xml:space="preserve">Apart from these automatic exemptions, under the proposed Regulations probationary licence holders may </w:t>
      </w:r>
      <w:r w:rsidRPr="00117C96">
        <w:rPr>
          <w:rFonts w:cs="Segoe UI"/>
          <w:lang w:eastAsia="en-AU"/>
        </w:rPr>
        <w:t xml:space="preserve">apply </w:t>
      </w:r>
      <w:r>
        <w:rPr>
          <w:rFonts w:cs="Segoe UI"/>
          <w:lang w:eastAsia="en-AU"/>
        </w:rPr>
        <w:t>to VicRoads for</w:t>
      </w:r>
      <w:r w:rsidRPr="00117C96">
        <w:rPr>
          <w:rFonts w:cs="Segoe UI"/>
          <w:lang w:eastAsia="en-AU"/>
        </w:rPr>
        <w:t xml:space="preserve"> </w:t>
      </w:r>
      <w:r>
        <w:rPr>
          <w:rFonts w:cs="Segoe UI"/>
          <w:lang w:eastAsia="en-AU"/>
        </w:rPr>
        <w:t>an exemption from the PPV restriction.</w:t>
      </w:r>
      <w:r w:rsidRPr="00117C96">
        <w:rPr>
          <w:rFonts w:cs="Segoe UI"/>
          <w:lang w:eastAsia="en-AU"/>
        </w:rPr>
        <w:t xml:space="preserve"> </w:t>
      </w:r>
      <w:r>
        <w:rPr>
          <w:rFonts w:cs="Segoe UI"/>
          <w:lang w:eastAsia="en-AU"/>
        </w:rPr>
        <w:t xml:space="preserve">VicRoads may grant such applications </w:t>
      </w:r>
      <w:r w:rsidRPr="00AF74FA">
        <w:rPr>
          <w:rFonts w:cs="Segoe UI"/>
          <w:lang w:eastAsia="en-AU"/>
        </w:rPr>
        <w:t>if</w:t>
      </w:r>
      <w:r>
        <w:rPr>
          <w:rFonts w:cs="Segoe UI"/>
          <w:lang w:eastAsia="en-AU"/>
        </w:rPr>
        <w:t xml:space="preserve"> </w:t>
      </w:r>
      <w:r w:rsidRPr="00AF74FA">
        <w:rPr>
          <w:rFonts w:cs="Segoe UI"/>
          <w:lang w:eastAsia="en-AU"/>
        </w:rPr>
        <w:t>the nature of the applicant's essential activities, occupation, employment or family circumstances is such that compliance with the requirement would impose undue hardship on the applicant or the applicant's family</w:t>
      </w:r>
      <w:r>
        <w:rPr>
          <w:rFonts w:cs="Segoe UI"/>
          <w:lang w:eastAsia="en-AU"/>
        </w:rPr>
        <w:t xml:space="preserve">. </w:t>
      </w:r>
    </w:p>
    <w:bookmarkEnd w:id="356"/>
    <w:p w14:paraId="364645B6" w14:textId="77777777" w:rsidR="00122C1B" w:rsidRDefault="00122C1B" w:rsidP="008C0E8B">
      <w:pPr>
        <w:pStyle w:val="TextPara"/>
        <w:rPr>
          <w:rFonts w:cs="Segoe UI"/>
          <w:lang w:eastAsia="en-AU"/>
        </w:rPr>
      </w:pPr>
      <w:r w:rsidRPr="00117C96">
        <w:rPr>
          <w:rFonts w:cs="Segoe UI"/>
          <w:lang w:eastAsia="en-AU"/>
        </w:rPr>
        <w:t xml:space="preserve">In </w:t>
      </w:r>
      <w:r>
        <w:rPr>
          <w:rFonts w:cs="Segoe UI"/>
          <w:lang w:eastAsia="en-AU"/>
        </w:rPr>
        <w:t xml:space="preserve">financial year </w:t>
      </w:r>
      <w:r w:rsidRPr="00117C96">
        <w:rPr>
          <w:rFonts w:cs="Segoe UI"/>
          <w:lang w:eastAsia="en-AU"/>
        </w:rPr>
        <w:t>2016</w:t>
      </w:r>
      <w:r>
        <w:rPr>
          <w:rFonts w:cs="Segoe UI"/>
          <w:lang w:eastAsia="en-AU"/>
        </w:rPr>
        <w:t>/17</w:t>
      </w:r>
      <w:r w:rsidRPr="00117C96">
        <w:rPr>
          <w:rFonts w:cs="Segoe UI"/>
          <w:lang w:eastAsia="en-AU"/>
        </w:rPr>
        <w:t xml:space="preserve">, </w:t>
      </w:r>
      <w:r>
        <w:rPr>
          <w:rFonts w:cs="Segoe UI"/>
          <w:lang w:eastAsia="en-AU"/>
        </w:rPr>
        <w:t>VicRoads received 397</w:t>
      </w:r>
      <w:r w:rsidRPr="00117C96">
        <w:rPr>
          <w:rFonts w:cs="Segoe UI"/>
          <w:lang w:eastAsia="en-AU"/>
        </w:rPr>
        <w:t xml:space="preserve"> </w:t>
      </w:r>
      <w:r>
        <w:rPr>
          <w:rFonts w:cs="Segoe UI"/>
          <w:lang w:eastAsia="en-AU"/>
        </w:rPr>
        <w:t xml:space="preserve">PPV-related </w:t>
      </w:r>
      <w:r w:rsidRPr="00117C96">
        <w:rPr>
          <w:rFonts w:cs="Segoe UI"/>
          <w:lang w:eastAsia="en-AU"/>
        </w:rPr>
        <w:t>exemption applications</w:t>
      </w:r>
      <w:r>
        <w:rPr>
          <w:rFonts w:cs="Segoe UI"/>
          <w:lang w:eastAsia="en-AU"/>
        </w:rPr>
        <w:t>. O</w:t>
      </w:r>
      <w:r w:rsidRPr="00117C96">
        <w:rPr>
          <w:rFonts w:cs="Segoe UI"/>
          <w:lang w:eastAsia="en-AU"/>
        </w:rPr>
        <w:t xml:space="preserve">f </w:t>
      </w:r>
      <w:r>
        <w:rPr>
          <w:rFonts w:cs="Segoe UI"/>
          <w:lang w:eastAsia="en-AU"/>
        </w:rPr>
        <w:t xml:space="preserve">these, 97 (24%) were based on hardship and 300 applications (76%) related to exemption for lower performance turbocharged or </w:t>
      </w:r>
      <w:r w:rsidRPr="004F3CF7">
        <w:rPr>
          <w:rFonts w:cs="Segoe UI"/>
          <w:lang w:eastAsia="en-AU"/>
        </w:rPr>
        <w:t>supercharged</w:t>
      </w:r>
      <w:r>
        <w:rPr>
          <w:rFonts w:cs="Segoe UI"/>
          <w:lang w:eastAsia="en-AU"/>
        </w:rPr>
        <w:t xml:space="preserve"> vehicles. Of the 300, 264 (88%) were successful</w:t>
      </w:r>
      <w:r w:rsidRPr="00117C96">
        <w:rPr>
          <w:rFonts w:cs="Segoe UI"/>
          <w:lang w:eastAsia="en-AU"/>
        </w:rPr>
        <w:t>.</w:t>
      </w:r>
      <w:r w:rsidRPr="00254D54">
        <w:rPr>
          <w:rFonts w:cs="Segoe UI"/>
          <w:lang w:eastAsia="en-AU"/>
        </w:rPr>
        <w:t xml:space="preserve"> </w:t>
      </w:r>
      <w:r>
        <w:rPr>
          <w:rFonts w:cs="Segoe UI"/>
          <w:lang w:eastAsia="en-AU"/>
        </w:rPr>
        <w:t xml:space="preserve">By simplifying the PPV definition under the proposed Regulations, the number of </w:t>
      </w:r>
      <w:r w:rsidRPr="00117C96">
        <w:rPr>
          <w:rFonts w:cs="Segoe UI"/>
          <w:lang w:eastAsia="en-AU"/>
        </w:rPr>
        <w:t xml:space="preserve">PPV </w:t>
      </w:r>
      <w:r>
        <w:rPr>
          <w:rFonts w:cs="Segoe UI"/>
          <w:lang w:eastAsia="en-AU"/>
        </w:rPr>
        <w:t>exemption applications would</w:t>
      </w:r>
      <w:r w:rsidR="007E72E9">
        <w:rPr>
          <w:rFonts w:cs="Segoe UI"/>
          <w:lang w:eastAsia="en-AU"/>
        </w:rPr>
        <w:t xml:space="preserve"> likely</w:t>
      </w:r>
      <w:r>
        <w:rPr>
          <w:rFonts w:cs="Segoe UI"/>
          <w:lang w:eastAsia="en-AU"/>
        </w:rPr>
        <w:t xml:space="preserve"> be significantly lower</w:t>
      </w:r>
      <w:r w:rsidRPr="00117C96">
        <w:rPr>
          <w:rFonts w:cs="Segoe UI"/>
          <w:lang w:eastAsia="en-AU"/>
        </w:rPr>
        <w:t>.</w:t>
      </w:r>
    </w:p>
    <w:p w14:paraId="40ED1BAD" w14:textId="77777777" w:rsidR="00CF49B8" w:rsidRDefault="00D81486" w:rsidP="008C0E8B">
      <w:pPr>
        <w:pStyle w:val="TextPara"/>
      </w:pPr>
      <w:r>
        <w:lastRenderedPageBreak/>
        <w:t>The proposed PPV r</w:t>
      </w:r>
      <w:r w:rsidR="00CF49B8" w:rsidRPr="00CF49B8">
        <w:t>estriction has costs</w:t>
      </w:r>
      <w:r>
        <w:t xml:space="preserve"> associated with it</w:t>
      </w:r>
      <w:r w:rsidR="00CF49B8" w:rsidRPr="00CF49B8">
        <w:t xml:space="preserve"> in terms of</w:t>
      </w:r>
      <w:r w:rsidR="00AD3286">
        <w:t xml:space="preserve"> needing to use </w:t>
      </w:r>
      <w:r w:rsidR="00AD3286" w:rsidRPr="00CF49B8">
        <w:t xml:space="preserve">public transport </w:t>
      </w:r>
      <w:r w:rsidR="00AD3286">
        <w:t>or</w:t>
      </w:r>
      <w:r w:rsidR="00AD3286" w:rsidRPr="00CF49B8">
        <w:t xml:space="preserve"> commercial passenger vehicles (or whatever substitute is used)</w:t>
      </w:r>
      <w:r w:rsidR="00AD3286">
        <w:t>, where the only vehicle to which P1 drivers have</w:t>
      </w:r>
      <w:r w:rsidR="00CF49B8" w:rsidRPr="00CF49B8">
        <w:t xml:space="preserve"> </w:t>
      </w:r>
      <w:r w:rsidR="00322E8D">
        <w:t xml:space="preserve">access </w:t>
      </w:r>
      <w:r w:rsidR="00AD3286">
        <w:t>is a PPV</w:t>
      </w:r>
      <w:r w:rsidR="00322E8D">
        <w:t xml:space="preserve"> vehicle</w:t>
      </w:r>
      <w:r w:rsidR="00AD3286">
        <w:t>,</w:t>
      </w:r>
      <w:r w:rsidR="00322E8D">
        <w:t xml:space="preserve"> such as </w:t>
      </w:r>
      <w:r w:rsidR="00E150B4">
        <w:t>a</w:t>
      </w:r>
      <w:r w:rsidR="00322E8D">
        <w:t xml:space="preserve"> family car</w:t>
      </w:r>
      <w:r w:rsidR="00E150B4">
        <w:t xml:space="preserve"> and there is no supervising driver for that trip</w:t>
      </w:r>
      <w:r w:rsidR="00322E8D">
        <w:t xml:space="preserve">. </w:t>
      </w:r>
      <w:r w:rsidR="00CF49B8" w:rsidRPr="00CF49B8">
        <w:t xml:space="preserve">There is no data available on the number of </w:t>
      </w:r>
      <w:r w:rsidR="00F60D6F">
        <w:t xml:space="preserve">instances where </w:t>
      </w:r>
      <w:r w:rsidR="00CF49B8" w:rsidRPr="00CF49B8">
        <w:t xml:space="preserve">P1 drivers are required to take alternative transport </w:t>
      </w:r>
      <w:r w:rsidR="00F60D6F">
        <w:t xml:space="preserve">or source a suitable vehicle </w:t>
      </w:r>
      <w:r w:rsidR="00CF49B8" w:rsidRPr="00CF49B8">
        <w:t>to enable the calculation of this cost in dollar terms</w:t>
      </w:r>
      <w:r w:rsidR="00F546B5">
        <w:t>.</w:t>
      </w:r>
    </w:p>
    <w:p w14:paraId="634B9D67" w14:textId="77777777" w:rsidR="006A13F4" w:rsidRDefault="00F546B5" w:rsidP="00F546B5">
      <w:pPr>
        <w:pStyle w:val="TextPara"/>
      </w:pPr>
      <w:r>
        <w:t xml:space="preserve">Compared to base case with no such restriction, </w:t>
      </w:r>
      <w:r w:rsidR="00F60D6F">
        <w:t>the PPV</w:t>
      </w:r>
      <w:r>
        <w:t xml:space="preserve"> restriction may impose a cost that is difficult to estimate in terms of </w:t>
      </w:r>
      <w:r w:rsidR="006A13F4">
        <w:t xml:space="preserve">the number of instances where </w:t>
      </w:r>
      <w:r w:rsidR="00F60D6F">
        <w:t xml:space="preserve">P1 drivers only have access to a PPV vehicle </w:t>
      </w:r>
      <w:r w:rsidR="00704521">
        <w:t>but no supervising driver and,</w:t>
      </w:r>
      <w:r w:rsidR="006A13F4">
        <w:t xml:space="preserve"> therefore</w:t>
      </w:r>
      <w:r w:rsidR="00704521">
        <w:t>,</w:t>
      </w:r>
      <w:r w:rsidR="006A13F4">
        <w:t xml:space="preserve"> </w:t>
      </w:r>
      <w:r>
        <w:t>need</w:t>
      </w:r>
      <w:r w:rsidRPr="00FD2D9B">
        <w:t xml:space="preserve"> to take alternative transport</w:t>
      </w:r>
      <w:r>
        <w:t xml:space="preserve">. </w:t>
      </w:r>
      <w:r w:rsidR="00CA2FBD">
        <w:t xml:space="preserve">However, P1 drivers may apply for an exemption </w:t>
      </w:r>
      <w:r w:rsidR="00CA2FBD" w:rsidRPr="00CA2FBD">
        <w:t xml:space="preserve">if </w:t>
      </w:r>
      <w:r w:rsidR="00CA2FBD">
        <w:t xml:space="preserve">this restriction </w:t>
      </w:r>
      <w:r w:rsidR="00CA2FBD" w:rsidRPr="00CA2FBD">
        <w:t>impose</w:t>
      </w:r>
      <w:r w:rsidR="00CA2FBD">
        <w:t>s</w:t>
      </w:r>
      <w:r w:rsidR="00CA2FBD" w:rsidRPr="00CA2FBD">
        <w:t xml:space="preserve"> undue hardship </w:t>
      </w:r>
      <w:r w:rsidR="00FD5EC4">
        <w:t xml:space="preserve">due to the nature of the drivers’ </w:t>
      </w:r>
      <w:r w:rsidR="00CA2FBD" w:rsidRPr="00CA2FBD">
        <w:t>essential activities, occupation, employment or family circumstances</w:t>
      </w:r>
      <w:r w:rsidR="00FD5EC4">
        <w:t>.</w:t>
      </w:r>
    </w:p>
    <w:p w14:paraId="66E26549" w14:textId="77777777" w:rsidR="00122C1B" w:rsidRPr="00117C96" w:rsidRDefault="00122C1B" w:rsidP="008C0E8B">
      <w:pPr>
        <w:pStyle w:val="TextPara"/>
      </w:pPr>
      <w:r>
        <w:t>One other proposed change relating to the PPV restriction affects Club Permits. At present, t</w:t>
      </w:r>
      <w:r w:rsidRPr="004F6F8B">
        <w:t xml:space="preserve">here are about </w:t>
      </w:r>
      <w:r>
        <w:t>78</w:t>
      </w:r>
      <w:r w:rsidRPr="004F6F8B">
        <w:t xml:space="preserve">,000 vehicles covered by </w:t>
      </w:r>
      <w:r>
        <w:t xml:space="preserve">the </w:t>
      </w:r>
      <w:r w:rsidRPr="004F6F8B">
        <w:t>Club Permit</w:t>
      </w:r>
      <w:r>
        <w:t xml:space="preserve"> Scheme, which regulates the operation of the vehicle on the road, restricting the number of days in the year it may be driven on public roads to 45 days or 90 days, depending on the permit conditions. T</w:t>
      </w:r>
      <w:r w:rsidRPr="004F6F8B">
        <w:t>he cars</w:t>
      </w:r>
      <w:r>
        <w:t xml:space="preserve"> covered by Club Permits</w:t>
      </w:r>
      <w:r w:rsidRPr="004F6F8B">
        <w:t xml:space="preserve"> are more than 25 years old and would have lower safety features </w:t>
      </w:r>
      <w:r>
        <w:t xml:space="preserve">and, thus, potentially </w:t>
      </w:r>
      <w:r w:rsidRPr="004F6F8B">
        <w:t>pos</w:t>
      </w:r>
      <w:r>
        <w:t>e</w:t>
      </w:r>
      <w:r w:rsidRPr="004F6F8B">
        <w:t xml:space="preserve"> a higher risk</w:t>
      </w:r>
      <w:r>
        <w:t xml:space="preserve"> to road safety</w:t>
      </w:r>
      <w:r w:rsidRPr="004F6F8B">
        <w:t>.</w:t>
      </w:r>
      <w:r>
        <w:t xml:space="preserve"> </w:t>
      </w:r>
    </w:p>
    <w:p w14:paraId="16549ECD" w14:textId="77777777" w:rsidR="000936D2" w:rsidRDefault="00122C1B" w:rsidP="008C0E8B">
      <w:pPr>
        <w:pStyle w:val="TextPara"/>
      </w:pPr>
      <w:r w:rsidRPr="00117C96">
        <w:t xml:space="preserve">The current </w:t>
      </w:r>
      <w:r>
        <w:t xml:space="preserve">PPV </w:t>
      </w:r>
      <w:r w:rsidRPr="00117C96">
        <w:t xml:space="preserve">restriction </w:t>
      </w:r>
      <w:r w:rsidR="00C80CEB">
        <w:t>does not include</w:t>
      </w:r>
      <w:r w:rsidRPr="00117C96">
        <w:t xml:space="preserve"> Club Permit vehicles</w:t>
      </w:r>
      <w:r>
        <w:t xml:space="preserve"> </w:t>
      </w:r>
      <w:r w:rsidR="001A2A3F">
        <w:t>unless they have</w:t>
      </w:r>
      <w:r w:rsidRPr="001215CD">
        <w:t xml:space="preserve"> been modified to increase the</w:t>
      </w:r>
      <w:r w:rsidR="001A2A3F">
        <w:t>ir</w:t>
      </w:r>
      <w:r w:rsidRPr="001215CD">
        <w:t xml:space="preserve"> performance (other than a modification made by the manufacturer </w:t>
      </w:r>
      <w:r>
        <w:t>during</w:t>
      </w:r>
      <w:r w:rsidRPr="001215CD">
        <w:t xml:space="preserve"> the manufacture of the vehicle)</w:t>
      </w:r>
      <w:r w:rsidRPr="00117C96">
        <w:t>.</w:t>
      </w:r>
      <w:r>
        <w:t xml:space="preserve"> Under the proposed Regulations, </w:t>
      </w:r>
      <w:r w:rsidRPr="00117C96">
        <w:t xml:space="preserve">the PPV restriction will apply to </w:t>
      </w:r>
      <w:r w:rsidR="001A2A3F">
        <w:t xml:space="preserve">all </w:t>
      </w:r>
      <w:r w:rsidRPr="00117C96">
        <w:t>vehicles on the Club Permit scheme</w:t>
      </w:r>
      <w:r>
        <w:t xml:space="preserve"> </w:t>
      </w:r>
      <w:r w:rsidR="001A2A3F">
        <w:t xml:space="preserve">that </w:t>
      </w:r>
      <w:r w:rsidR="001A2A3F" w:rsidRPr="00117C96">
        <w:t>ha</w:t>
      </w:r>
      <w:r w:rsidR="001A2A3F">
        <w:t>ve</w:t>
      </w:r>
      <w:r w:rsidR="001A2A3F" w:rsidRPr="00117C96">
        <w:t xml:space="preserve"> a power to mass ratio of greater than 130 kilowatts per tonne, or an engine</w:t>
      </w:r>
      <w:r w:rsidR="001A2A3F">
        <w:t xml:space="preserve"> that</w:t>
      </w:r>
      <w:r w:rsidR="001A2A3F" w:rsidRPr="00117C96">
        <w:t xml:space="preserve"> has been </w:t>
      </w:r>
      <w:r w:rsidR="001A2A3F" w:rsidRPr="007513B3">
        <w:t xml:space="preserve">modified </w:t>
      </w:r>
      <w:r w:rsidR="001A2A3F">
        <w:t>(</w:t>
      </w:r>
      <w:r w:rsidR="001A2A3F" w:rsidRPr="00117C96">
        <w:t>other than by the manu</w:t>
      </w:r>
      <w:r w:rsidR="001A2A3F">
        <w:t>facturer during its manufacture)</w:t>
      </w:r>
      <w:r w:rsidR="001A2A3F" w:rsidRPr="007513B3">
        <w:t xml:space="preserve"> to increase performance</w:t>
      </w:r>
      <w:r w:rsidRPr="00117C96">
        <w:t>.</w:t>
      </w:r>
      <w:r w:rsidRPr="009A7C6A">
        <w:t xml:space="preserve"> </w:t>
      </w:r>
      <w:r>
        <w:t xml:space="preserve">It is important that </w:t>
      </w:r>
      <w:r w:rsidRPr="00EE47FA">
        <w:t xml:space="preserve">the rules </w:t>
      </w:r>
      <w:r>
        <w:t>relating to the</w:t>
      </w:r>
      <w:r w:rsidRPr="00EE47FA">
        <w:t xml:space="preserve"> P</w:t>
      </w:r>
      <w:r>
        <w:t>PV restriction for probationary drivers applies to all PPVs without exceptions.</w:t>
      </w:r>
    </w:p>
    <w:p w14:paraId="475CECEC" w14:textId="77777777" w:rsidR="00122C1B" w:rsidRPr="00F4115C" w:rsidRDefault="000C33B0" w:rsidP="008C0E8B">
      <w:pPr>
        <w:pStyle w:val="TextPara"/>
        <w:rPr>
          <w:b/>
        </w:rPr>
      </w:pPr>
      <w:r>
        <w:rPr>
          <w:b/>
        </w:rPr>
        <w:t>DoT</w:t>
      </w:r>
      <w:r w:rsidR="00122C1B" w:rsidRPr="00F4115C">
        <w:rPr>
          <w:b/>
        </w:rPr>
        <w:t>’s preferred option is to retain the current PPV restriction with the abovementioned change to the definition</w:t>
      </w:r>
      <w:r w:rsidR="00BB7285">
        <w:rPr>
          <w:b/>
        </w:rPr>
        <w:t xml:space="preserve"> for both standard registration and club permit vehicles</w:t>
      </w:r>
      <w:r w:rsidR="002F3557">
        <w:rPr>
          <w:b/>
        </w:rPr>
        <w:t xml:space="preserve">, as </w:t>
      </w:r>
      <w:r w:rsidR="002F3557" w:rsidRPr="002F3557">
        <w:rPr>
          <w:b/>
        </w:rPr>
        <w:t xml:space="preserve">young drivers of PPVs </w:t>
      </w:r>
      <w:r w:rsidR="002F3557">
        <w:rPr>
          <w:b/>
        </w:rPr>
        <w:t xml:space="preserve">are known to </w:t>
      </w:r>
      <w:r w:rsidR="002F3557" w:rsidRPr="002F3557">
        <w:rPr>
          <w:b/>
        </w:rPr>
        <w:t>t</w:t>
      </w:r>
      <w:r w:rsidR="00B41115">
        <w:rPr>
          <w:b/>
        </w:rPr>
        <w:t>a</w:t>
      </w:r>
      <w:r w:rsidR="002F3557" w:rsidRPr="002F3557">
        <w:rPr>
          <w:b/>
        </w:rPr>
        <w:t>k</w:t>
      </w:r>
      <w:r w:rsidR="00B41115">
        <w:rPr>
          <w:b/>
        </w:rPr>
        <w:t>e</w:t>
      </w:r>
      <w:r w:rsidR="002F3557" w:rsidRPr="002F3557">
        <w:rPr>
          <w:b/>
        </w:rPr>
        <w:t xml:space="preserve"> more risks, such as deliberate speeding and reckless driving</w:t>
      </w:r>
      <w:r w:rsidR="002F3557">
        <w:rPr>
          <w:b/>
        </w:rPr>
        <w:t xml:space="preserve">, </w:t>
      </w:r>
      <w:r w:rsidR="002F3557" w:rsidRPr="002F3557">
        <w:rPr>
          <w:b/>
        </w:rPr>
        <w:t>contribut</w:t>
      </w:r>
      <w:r w:rsidR="002F3557">
        <w:rPr>
          <w:b/>
        </w:rPr>
        <w:t>ing</w:t>
      </w:r>
      <w:r w:rsidR="002F3557" w:rsidRPr="002F3557">
        <w:rPr>
          <w:b/>
        </w:rPr>
        <w:t xml:space="preserve"> to a rise in the crash involvement of performance vehicles during night-time hours, when recreational driving associated with higher risk-taking </w:t>
      </w:r>
      <w:r w:rsidR="002F3557">
        <w:rPr>
          <w:b/>
        </w:rPr>
        <w:t>is</w:t>
      </w:r>
      <w:r w:rsidR="002F3557" w:rsidRPr="002F3557">
        <w:rPr>
          <w:b/>
        </w:rPr>
        <w:t xml:space="preserve"> most common</w:t>
      </w:r>
      <w:r w:rsidR="00122C1B" w:rsidRPr="00F4115C">
        <w:rPr>
          <w:b/>
        </w:rPr>
        <w:t>.</w:t>
      </w:r>
    </w:p>
    <w:p w14:paraId="52F9FA64" w14:textId="77777777" w:rsidR="00122C1B" w:rsidRDefault="00122C1B" w:rsidP="00F4115C">
      <w:pPr>
        <w:pStyle w:val="NoSpacing"/>
      </w:pPr>
      <w:r w:rsidRPr="009520B4">
        <w:t xml:space="preserve">Learner approved </w:t>
      </w:r>
      <w:r>
        <w:t>motorcycle restriction</w:t>
      </w:r>
    </w:p>
    <w:p w14:paraId="5B07B44E" w14:textId="77777777" w:rsidR="00B41115" w:rsidRPr="009520B4" w:rsidRDefault="00B41115" w:rsidP="00B41115">
      <w:pPr>
        <w:pStyle w:val="TextPara"/>
      </w:pPr>
      <w:r w:rsidRPr="009520B4">
        <w:t xml:space="preserve">The </w:t>
      </w:r>
      <w:r w:rsidR="00740707" w:rsidRPr="00740707">
        <w:t xml:space="preserve">Learner Approved Motorcycle </w:t>
      </w:r>
      <w:r w:rsidR="00740707">
        <w:t>Scheme (</w:t>
      </w:r>
      <w:r>
        <w:t>LAMS</w:t>
      </w:r>
      <w:r w:rsidR="00740707">
        <w:t>)</w:t>
      </w:r>
      <w:r>
        <w:t xml:space="preserve"> </w:t>
      </w:r>
      <w:r w:rsidRPr="009520B4">
        <w:t xml:space="preserve">list </w:t>
      </w:r>
      <w:r w:rsidR="008A57EB">
        <w:t>identifies</w:t>
      </w:r>
      <w:r w:rsidRPr="009520B4">
        <w:t xml:space="preserve"> </w:t>
      </w:r>
      <w:r w:rsidR="008A57EB">
        <w:t>motorcycles</w:t>
      </w:r>
      <w:r w:rsidRPr="009520B4">
        <w:t xml:space="preserve"> </w:t>
      </w:r>
      <w:r w:rsidR="007C330B">
        <w:t xml:space="preserve">that </w:t>
      </w:r>
      <w:r w:rsidR="007C330B" w:rsidRPr="00141DF8">
        <w:t xml:space="preserve">are considered suitable for learners and </w:t>
      </w:r>
      <w:r w:rsidR="007C330B">
        <w:t xml:space="preserve">novice </w:t>
      </w:r>
      <w:r w:rsidR="007C330B" w:rsidRPr="00141DF8">
        <w:t xml:space="preserve">riders </w:t>
      </w:r>
      <w:r w:rsidR="007C330B">
        <w:t xml:space="preserve">as they have </w:t>
      </w:r>
      <w:r w:rsidRPr="009520B4">
        <w:t xml:space="preserve">better handling characteristics and advanced safety features like ABS and combined braking systems. </w:t>
      </w:r>
      <w:r w:rsidR="00D9736A">
        <w:t xml:space="preserve">This ensures that </w:t>
      </w:r>
      <w:r w:rsidR="008502F5" w:rsidRPr="009520B4">
        <w:t>learners and novice riders</w:t>
      </w:r>
      <w:r w:rsidR="008502F5">
        <w:t xml:space="preserve"> are not </w:t>
      </w:r>
      <w:r w:rsidR="00EE2B2C">
        <w:t>exposed</w:t>
      </w:r>
      <w:r w:rsidR="008502F5">
        <w:t xml:space="preserve"> to </w:t>
      </w:r>
      <w:r w:rsidR="00D9736A">
        <w:t>m</w:t>
      </w:r>
      <w:r w:rsidRPr="009520B4">
        <w:t xml:space="preserve">otorcycles </w:t>
      </w:r>
      <w:r w:rsidR="00D9736A">
        <w:t xml:space="preserve">that </w:t>
      </w:r>
      <w:r w:rsidR="00355442">
        <w:t>require extensive</w:t>
      </w:r>
      <w:r w:rsidR="00EE2B2C">
        <w:t xml:space="preserve"> experience to handle. Th</w:t>
      </w:r>
      <w:r w:rsidR="00355442">
        <w:t>ese</w:t>
      </w:r>
      <w:r w:rsidR="00EE2B2C">
        <w:t xml:space="preserve"> includes motorcycles that </w:t>
      </w:r>
      <w:r w:rsidR="008502F5">
        <w:t>have been</w:t>
      </w:r>
      <w:r w:rsidRPr="009520B4">
        <w:t xml:space="preserve"> found to be over-represented in crashes. For example, the LAMS restricts access to high risk </w:t>
      </w:r>
      <w:r>
        <w:t xml:space="preserve">two-stroke </w:t>
      </w:r>
      <w:r w:rsidRPr="009520B4">
        <w:t>race replica 250cc motorcycles that</w:t>
      </w:r>
      <w:r>
        <w:t xml:space="preserve"> produce a large power output compared to their relative low weight and are therefore a safety risk to learners and inexperienced riders. </w:t>
      </w:r>
      <w:r w:rsidRPr="009520B4">
        <w:t xml:space="preserve">These bikes are heavily restricted mechanically for the purposes of Australian Design Rule compliance. </w:t>
      </w:r>
      <w:r>
        <w:t>High powered two-stroke motorcycles, particularly the race replicas, are difficult to control as power is delivered in a relatively narrow band at high engine revolutions making the motorcycle more sensitive to rider control.</w:t>
      </w:r>
      <w:r>
        <w:rPr>
          <w:rStyle w:val="EndnoteReference"/>
        </w:rPr>
        <w:endnoteReference w:id="293"/>
      </w:r>
      <w:r w:rsidRPr="009520B4" w:rsidDel="008822F6">
        <w:t xml:space="preserve"> </w:t>
      </w:r>
    </w:p>
    <w:p w14:paraId="519CF657" w14:textId="77777777" w:rsidR="00740707" w:rsidRDefault="00740707" w:rsidP="00740707">
      <w:pPr>
        <w:pStyle w:val="TextPara"/>
      </w:pPr>
      <w:r w:rsidRPr="004376C1">
        <w:t>Managed by VicRoads</w:t>
      </w:r>
      <w:r>
        <w:t>,</w:t>
      </w:r>
      <w:r w:rsidRPr="004376C1">
        <w:t xml:space="preserve"> the LAMS register lists approved motorcycle </w:t>
      </w:r>
      <w:r>
        <w:t>and scooter</w:t>
      </w:r>
      <w:r w:rsidRPr="009520B4">
        <w:t xml:space="preserve"> </w:t>
      </w:r>
      <w:r w:rsidRPr="004376C1">
        <w:t xml:space="preserve">models with an engine capacity </w:t>
      </w:r>
      <w:r>
        <w:t xml:space="preserve">from </w:t>
      </w:r>
      <w:r w:rsidRPr="004376C1">
        <w:t>261</w:t>
      </w:r>
      <w:r>
        <w:t xml:space="preserve">cc to </w:t>
      </w:r>
      <w:r w:rsidRPr="004376C1">
        <w:t>660cc</w:t>
      </w:r>
      <w:r w:rsidRPr="009520B4">
        <w:t xml:space="preserve"> that are considered suitable for learners and </w:t>
      </w:r>
      <w:r>
        <w:t xml:space="preserve">novice </w:t>
      </w:r>
      <w:r w:rsidRPr="009520B4">
        <w:t xml:space="preserve">riders with a </w:t>
      </w:r>
      <w:r>
        <w:t xml:space="preserve">LAMS </w:t>
      </w:r>
      <w:r w:rsidRPr="009520B4">
        <w:t>restriction on their licence</w:t>
      </w:r>
      <w:r w:rsidRPr="004376C1">
        <w:t xml:space="preserve">. </w:t>
      </w:r>
      <w:r>
        <w:t>Learners and inexperienced motorcycle riders need to ride less powerful motorcycles while they are learning and until they gain sufficient skills and experience to handle more powerful motorcycles.</w:t>
      </w:r>
    </w:p>
    <w:p w14:paraId="0DA357ED" w14:textId="77777777" w:rsidR="00740707" w:rsidRPr="009520B4" w:rsidRDefault="00740707" w:rsidP="00740707">
      <w:pPr>
        <w:pStyle w:val="TextPara"/>
      </w:pPr>
      <w:r w:rsidRPr="009520B4">
        <w:t xml:space="preserve">As new models of motorcycles are released onto the market by manufacturers, the </w:t>
      </w:r>
      <w:r>
        <w:t>LAMS register</w:t>
      </w:r>
      <w:r w:rsidRPr="009520B4">
        <w:t xml:space="preserve"> is updated with new models that are suitable for learners.</w:t>
      </w:r>
      <w:r>
        <w:t xml:space="preserve"> The</w:t>
      </w:r>
      <w:r w:rsidRPr="009520B4">
        <w:t xml:space="preserve"> list of approved motorcycle and scooter models is based on assessing the Australian Design Rule compliance data provided by manufacturers, which is </w:t>
      </w:r>
      <w:r w:rsidRPr="009520B4">
        <w:lastRenderedPageBreak/>
        <w:t>primarily the motorcycle</w:t>
      </w:r>
      <w:r>
        <w:t>’s power-to-</w:t>
      </w:r>
      <w:r w:rsidRPr="009520B4">
        <w:t xml:space="preserve">weight </w:t>
      </w:r>
      <w:r>
        <w:t>ratio</w:t>
      </w:r>
      <w:r w:rsidRPr="009520B4">
        <w:t>. The motorcycle will th</w:t>
      </w:r>
      <w:r>
        <w:t>en be considered for inclusion i</w:t>
      </w:r>
      <w:r w:rsidRPr="009520B4">
        <w:t>n the li</w:t>
      </w:r>
      <w:r>
        <w:t>st, if the power-to-</w:t>
      </w:r>
      <w:r w:rsidRPr="009520B4">
        <w:t>weight ratio does not exceed 150kw/tonne and the engine capacity does not exceed 660cc. Motorcycles fitting these criteria will then be assessed to determine whether they are suitable learner and novice bikes.</w:t>
      </w:r>
    </w:p>
    <w:p w14:paraId="4E70DD4A" w14:textId="77777777" w:rsidR="00122C1B" w:rsidRDefault="00122C1B" w:rsidP="00E62A11">
      <w:pPr>
        <w:pStyle w:val="TextPara"/>
      </w:pPr>
      <w:r>
        <w:rPr>
          <w:lang w:eastAsia="en-AU"/>
        </w:rPr>
        <w:t xml:space="preserve">The </w:t>
      </w:r>
      <w:r w:rsidRPr="001235E9">
        <w:rPr>
          <w:lang w:eastAsia="en-AU"/>
        </w:rPr>
        <w:t>learner approved motorcycle restriction</w:t>
      </w:r>
      <w:r>
        <w:rPr>
          <w:lang w:eastAsia="en-AU"/>
        </w:rPr>
        <w:t xml:space="preserve"> is included in the national Motorcycle GLS model.</w:t>
      </w:r>
      <w:r>
        <w:t xml:space="preserve"> One of the </w:t>
      </w:r>
      <w:r w:rsidRPr="009520B4">
        <w:t>licence condition code</w:t>
      </w:r>
      <w:r>
        <w:t>s prescribed in</w:t>
      </w:r>
      <w:r w:rsidRPr="009520B4">
        <w:t xml:space="preserve"> the </w:t>
      </w:r>
      <w:r>
        <w:t>NDLS</w:t>
      </w:r>
      <w:r w:rsidRPr="009520B4">
        <w:rPr>
          <w:rStyle w:val="EndnoteReference"/>
        </w:rPr>
        <w:endnoteReference w:id="294"/>
      </w:r>
      <w:r w:rsidRPr="009520B4">
        <w:t xml:space="preserve"> provid</w:t>
      </w:r>
      <w:r>
        <w:t>es</w:t>
      </w:r>
      <w:r w:rsidRPr="009520B4">
        <w:t xml:space="preserve"> for a restricted engine capacity for a </w:t>
      </w:r>
      <w:r>
        <w:t>motorcycle</w:t>
      </w:r>
      <w:r w:rsidRPr="009520B4">
        <w:t xml:space="preserve"> rider and</w:t>
      </w:r>
      <w:r>
        <w:t>,</w:t>
      </w:r>
      <w:r w:rsidRPr="009520B4">
        <w:t xml:space="preserve"> therefore</w:t>
      </w:r>
      <w:r>
        <w:t>,</w:t>
      </w:r>
      <w:r w:rsidRPr="009520B4">
        <w:t xml:space="preserve"> allows for the operation of a </w:t>
      </w:r>
      <w:r>
        <w:t xml:space="preserve">LAMS </w:t>
      </w:r>
      <w:r w:rsidR="005F1EDE">
        <w:t xml:space="preserve">scheme </w:t>
      </w:r>
      <w:r>
        <w:t>by driver licensing authorities, including VicRoads</w:t>
      </w:r>
      <w:r w:rsidRPr="009520B4">
        <w:t xml:space="preserve">. </w:t>
      </w:r>
    </w:p>
    <w:p w14:paraId="5AE63094" w14:textId="77777777" w:rsidR="005F1EDE" w:rsidRDefault="005A732C" w:rsidP="005A732C">
      <w:pPr>
        <w:pStyle w:val="TextPara"/>
      </w:pPr>
      <w:r>
        <w:t xml:space="preserve">On obtaining a motorcycle learner permit </w:t>
      </w:r>
      <w:r w:rsidR="004142BA">
        <w:t xml:space="preserve">a rider </w:t>
      </w:r>
      <w:r>
        <w:t>typically</w:t>
      </w:r>
      <w:r w:rsidR="0079457A">
        <w:t xml:space="preserve"> purchases a motorcycle</w:t>
      </w:r>
      <w:r w:rsidR="004142BA">
        <w:t>.</w:t>
      </w:r>
      <w:r w:rsidR="0079457A">
        <w:t xml:space="preserve"> </w:t>
      </w:r>
      <w:r w:rsidR="001A321E">
        <w:t xml:space="preserve">Unlike with cars, where it is common for families to own at least one car, </w:t>
      </w:r>
      <w:r w:rsidR="005F1EDE">
        <w:t xml:space="preserve">only </w:t>
      </w:r>
      <w:r w:rsidR="001A321E">
        <w:t xml:space="preserve">a </w:t>
      </w:r>
      <w:r w:rsidR="005F1EDE">
        <w:t xml:space="preserve">very </w:t>
      </w:r>
      <w:r w:rsidR="001A321E">
        <w:t xml:space="preserve">small minority of families own a motorcycle. </w:t>
      </w:r>
      <w:r w:rsidR="0080783A">
        <w:t xml:space="preserve">As a learner rider would </w:t>
      </w:r>
      <w:r w:rsidR="004E6425">
        <w:t xml:space="preserve">in </w:t>
      </w:r>
      <w:r w:rsidR="0080783A">
        <w:t>most</w:t>
      </w:r>
      <w:r w:rsidR="004E6425">
        <w:t xml:space="preserve"> cases</w:t>
      </w:r>
      <w:r w:rsidR="0080783A">
        <w:t xml:space="preserve"> need to buy a motorcycle to practice on (in place of </w:t>
      </w:r>
      <w:r w:rsidR="00D96CCD">
        <w:t xml:space="preserve">using </w:t>
      </w:r>
      <w:r w:rsidR="0080783A">
        <w:t>a family</w:t>
      </w:r>
      <w:r w:rsidR="00D96CCD">
        <w:t>-owned</w:t>
      </w:r>
      <w:r w:rsidR="0080783A">
        <w:t xml:space="preserve"> </w:t>
      </w:r>
      <w:r w:rsidR="00D96CCD">
        <w:t>higher-powered motorcycle)</w:t>
      </w:r>
      <w:r w:rsidR="0080783A">
        <w:t>, there is no additional cost associated with having to purchase a LAMS model</w:t>
      </w:r>
      <w:r w:rsidR="004E6425">
        <w:t>.</w:t>
      </w:r>
      <w:r w:rsidR="005F1EDE">
        <w:t xml:space="preserve"> </w:t>
      </w:r>
      <w:r w:rsidR="00C41CCF">
        <w:t xml:space="preserve">LAMS models do not generally cost more than non-LAMS models. </w:t>
      </w:r>
      <w:r>
        <w:t xml:space="preserve">Compared to </w:t>
      </w:r>
      <w:r w:rsidR="004E6425">
        <w:t xml:space="preserve">a </w:t>
      </w:r>
      <w:r>
        <w:t xml:space="preserve">base case with no </w:t>
      </w:r>
      <w:r w:rsidR="004E6425">
        <w:t>LAMS</w:t>
      </w:r>
      <w:r>
        <w:t xml:space="preserve"> restriction, th</w:t>
      </w:r>
      <w:r w:rsidR="004E6425">
        <w:t xml:space="preserve">is </w:t>
      </w:r>
      <w:r>
        <w:t xml:space="preserve">restriction </w:t>
      </w:r>
      <w:r w:rsidR="004E6425">
        <w:t>impose</w:t>
      </w:r>
      <w:r w:rsidR="005F1EDE">
        <w:t>s</w:t>
      </w:r>
      <w:r w:rsidR="004E6425">
        <w:t xml:space="preserve"> </w:t>
      </w:r>
      <w:r w:rsidR="005F1EDE">
        <w:t>little to no</w:t>
      </w:r>
      <w:r w:rsidR="004E6425">
        <w:t xml:space="preserve"> additional cost. </w:t>
      </w:r>
    </w:p>
    <w:p w14:paraId="4BE28FA8" w14:textId="77777777" w:rsidR="00122C1B" w:rsidRDefault="00122C1B" w:rsidP="00E62A11">
      <w:pPr>
        <w:pStyle w:val="TextPara"/>
      </w:pPr>
      <w:r>
        <w:t xml:space="preserve">The proposed Regulations authorise VicRoads to approve a motorcycle or class of motorcycles to be a learner approved motorcycle by notice published in the Government Gazette or by issuing a certificate of registration in accordance with the vehicle registration regulations indicating that the motorcycle is a learner approved motor cycle. </w:t>
      </w:r>
    </w:p>
    <w:p w14:paraId="4DADFD77" w14:textId="77777777" w:rsidR="00122C1B" w:rsidRDefault="000C33B0" w:rsidP="00C74B92">
      <w:pPr>
        <w:pStyle w:val="TextPara"/>
      </w:pPr>
      <w:r>
        <w:rPr>
          <w:b/>
        </w:rPr>
        <w:t>DoT</w:t>
      </w:r>
      <w:r w:rsidR="00122C1B" w:rsidRPr="00FB2029">
        <w:rPr>
          <w:b/>
        </w:rPr>
        <w:t xml:space="preserve">’s preferred option is to retain the current </w:t>
      </w:r>
      <w:r w:rsidR="00122C1B">
        <w:rPr>
          <w:b/>
        </w:rPr>
        <w:t>LAMS</w:t>
      </w:r>
      <w:r w:rsidR="00122C1B" w:rsidRPr="00FB2029">
        <w:rPr>
          <w:b/>
        </w:rPr>
        <w:t xml:space="preserve"> restriction</w:t>
      </w:r>
      <w:r w:rsidR="00122C1B">
        <w:rPr>
          <w:b/>
        </w:rPr>
        <w:t xml:space="preserve"> applicable to learners and probationary riders</w:t>
      </w:r>
      <w:r w:rsidR="002F3557">
        <w:rPr>
          <w:b/>
        </w:rPr>
        <w:t xml:space="preserve">, as it </w:t>
      </w:r>
      <w:r w:rsidR="00B2052D">
        <w:rPr>
          <w:b/>
        </w:rPr>
        <w:t xml:space="preserve">is consistent with the NDLS and </w:t>
      </w:r>
      <w:r w:rsidR="002F3557" w:rsidRPr="002F3557">
        <w:rPr>
          <w:b/>
        </w:rPr>
        <w:t xml:space="preserve">identifies motorcycles that are considered suitable for learners and </w:t>
      </w:r>
      <w:r w:rsidR="006514B5">
        <w:rPr>
          <w:b/>
        </w:rPr>
        <w:t xml:space="preserve">novice </w:t>
      </w:r>
      <w:r w:rsidR="002F3557" w:rsidRPr="002F3557">
        <w:rPr>
          <w:b/>
        </w:rPr>
        <w:t xml:space="preserve">riders </w:t>
      </w:r>
      <w:r w:rsidR="006514B5">
        <w:rPr>
          <w:b/>
        </w:rPr>
        <w:t>as they are easier to handle and safer to ride during</w:t>
      </w:r>
      <w:r w:rsidR="002F3557" w:rsidRPr="002F3557">
        <w:rPr>
          <w:b/>
        </w:rPr>
        <w:t xml:space="preserve"> their restricted period</w:t>
      </w:r>
      <w:r w:rsidR="00122C1B">
        <w:rPr>
          <w:b/>
        </w:rPr>
        <w:t>.</w:t>
      </w:r>
    </w:p>
    <w:p w14:paraId="26E1AB7A" w14:textId="77777777" w:rsidR="00122C1B" w:rsidRDefault="00122C1B" w:rsidP="006713F9">
      <w:pPr>
        <w:pStyle w:val="Heading3"/>
      </w:pPr>
      <w:bookmarkStart w:id="357" w:name="_Toc10703429"/>
      <w:r>
        <w:t>Preferred GLS model</w:t>
      </w:r>
      <w:bookmarkEnd w:id="357"/>
    </w:p>
    <w:p w14:paraId="3A7C3AB7" w14:textId="77777777" w:rsidR="00122C1B" w:rsidRDefault="00122C1B" w:rsidP="00C1124F">
      <w:pPr>
        <w:pStyle w:val="TextPara"/>
      </w:pPr>
      <w:r>
        <w:t xml:space="preserve">The GLS consists of three main phases: the </w:t>
      </w:r>
      <w:r w:rsidRPr="00FD0AEB">
        <w:rPr>
          <w:i/>
        </w:rPr>
        <w:t>learner phase</w:t>
      </w:r>
      <w:r>
        <w:t xml:space="preserve"> of driving under a full licence holder’s supervision, the </w:t>
      </w:r>
      <w:r w:rsidRPr="00FD0AEB">
        <w:t>restricted</w:t>
      </w:r>
      <w:r w:rsidRPr="00FD0AEB">
        <w:rPr>
          <w:i/>
        </w:rPr>
        <w:t xml:space="preserve"> probationary licence phase</w:t>
      </w:r>
      <w:r>
        <w:t xml:space="preserve"> (made up of two sub-phases: P1 and P2), leading to the </w:t>
      </w:r>
      <w:r w:rsidRPr="00FD0AEB">
        <w:rPr>
          <w:i/>
        </w:rPr>
        <w:t>full licence phase</w:t>
      </w:r>
      <w:r>
        <w:t xml:space="preserve">. As novice drivers go through these phases, some restrictions are imposed to minimise exposure to situations known to be high risk or dangerous, such as zero blood or breath alcohol concentration limit, </w:t>
      </w:r>
      <w:r w:rsidR="00FD0AEB">
        <w:t xml:space="preserve">a </w:t>
      </w:r>
      <w:r>
        <w:t>peer passenger restriction and no mobile phone use</w:t>
      </w:r>
      <w:r w:rsidR="00FD0AEB">
        <w:t xml:space="preserve"> while driving</w:t>
      </w:r>
      <w:r>
        <w:t>. Other measures further ensure road safety for young and novice drivers. In this way, new drivers g</w:t>
      </w:r>
      <w:r w:rsidR="00FD0AEB">
        <w:t>ain experience under low-</w:t>
      </w:r>
      <w:r>
        <w:t>risk driving conditions before getting their full licence. The relevant restrictions are gradually lifted as a driver progresses through the GLS stages.</w:t>
      </w:r>
    </w:p>
    <w:p w14:paraId="4AE55EB0" w14:textId="77777777" w:rsidR="00F6179F" w:rsidRDefault="008435A1" w:rsidP="008435A1">
      <w:pPr>
        <w:pStyle w:val="TextPara"/>
      </w:pPr>
      <w:bookmarkStart w:id="358" w:name="_Ref515293107"/>
      <w:r>
        <w:t xml:space="preserve">Section 22 </w:t>
      </w:r>
      <w:r w:rsidR="006C29F5">
        <w:t>provides</w:t>
      </w:r>
      <w:r>
        <w:t xml:space="preserve"> a minimum learner permit age of 16 years to drive a car and 18 years to ride a motorcycle. Section 19 of the </w:t>
      </w:r>
      <w:r>
        <w:rPr>
          <w:i/>
        </w:rPr>
        <w:t>RSA</w:t>
      </w:r>
      <w:r>
        <w:t xml:space="preserve"> prescribes the minimum age for a driver licence at 18 years. </w:t>
      </w:r>
    </w:p>
    <w:p w14:paraId="5C6E6877" w14:textId="77777777" w:rsidR="008435A1" w:rsidRPr="00881045" w:rsidRDefault="008435A1" w:rsidP="008435A1">
      <w:pPr>
        <w:pStyle w:val="TextPara"/>
      </w:pPr>
      <w:r>
        <w:t xml:space="preserve">The </w:t>
      </w:r>
      <w:r w:rsidRPr="008435A1">
        <w:rPr>
          <w:i/>
        </w:rPr>
        <w:t>RSA</w:t>
      </w:r>
      <w:r>
        <w:t xml:space="preserve"> </w:t>
      </w:r>
      <w:r w:rsidR="00F6179F">
        <w:t>also provides</w:t>
      </w:r>
      <w:r>
        <w:t xml:space="preserve"> that learner permits and</w:t>
      </w:r>
      <w:r w:rsidRPr="004E24CD">
        <w:t xml:space="preserve"> driver licence</w:t>
      </w:r>
      <w:r>
        <w:t>s</w:t>
      </w:r>
      <w:r w:rsidRPr="004E24CD">
        <w:t xml:space="preserve"> may be applied for, granted, renewed or refused only in accordance with the regulations</w:t>
      </w:r>
      <w:r>
        <w:t>,</w:t>
      </w:r>
    </w:p>
    <w:bookmarkEnd w:id="358"/>
    <w:p w14:paraId="12AA97F7" w14:textId="77777777" w:rsidR="00122C1B" w:rsidRDefault="00122C1B" w:rsidP="00640005">
      <w:pPr>
        <w:pStyle w:val="TextPara"/>
        <w:spacing w:after="60"/>
      </w:pPr>
      <w:r>
        <w:t xml:space="preserve">Section 91(5) of the </w:t>
      </w:r>
      <w:r w:rsidRPr="005642BA">
        <w:rPr>
          <w:i/>
        </w:rPr>
        <w:t>RSA</w:t>
      </w:r>
      <w:r>
        <w:t xml:space="preserve"> enables VicRoads to make regulations to cover matters listed in Schedule 2 of the </w:t>
      </w:r>
      <w:r w:rsidRPr="008B271E">
        <w:rPr>
          <w:i/>
        </w:rPr>
        <w:t>RSA</w:t>
      </w:r>
      <w:r>
        <w:t xml:space="preserve"> including GLS-related matters, such as:</w:t>
      </w:r>
    </w:p>
    <w:p w14:paraId="3594A670" w14:textId="77777777" w:rsidR="00122C1B" w:rsidRDefault="00122C1B" w:rsidP="00CB53EB">
      <w:pPr>
        <w:pStyle w:val="Bullet1-Black"/>
        <w:spacing w:before="0"/>
        <w:ind w:left="386" w:hanging="244"/>
      </w:pPr>
      <w:r>
        <w:t>setting tests and qualifications requirements for learner permit and driver licences</w:t>
      </w:r>
    </w:p>
    <w:p w14:paraId="22C1EA03" w14:textId="77777777" w:rsidR="00122C1B" w:rsidRDefault="00122C1B" w:rsidP="00CB53EB">
      <w:pPr>
        <w:pStyle w:val="Bullet1-Black"/>
        <w:spacing w:before="0"/>
        <w:ind w:left="386" w:hanging="244"/>
      </w:pPr>
      <w:r>
        <w:t xml:space="preserve">establishing classes of probationary licences </w:t>
      </w:r>
      <w:r w:rsidR="00454C37">
        <w:t>based</w:t>
      </w:r>
      <w:r>
        <w:t xml:space="preserve"> on a person's age, experience or any other factor</w:t>
      </w:r>
    </w:p>
    <w:p w14:paraId="043B27F8" w14:textId="77777777" w:rsidR="00122C1B" w:rsidRDefault="00122C1B" w:rsidP="00CB53EB">
      <w:pPr>
        <w:pStyle w:val="Bullet1-Black"/>
        <w:spacing w:before="0"/>
        <w:ind w:left="386" w:hanging="244"/>
      </w:pPr>
      <w:r>
        <w:t>setting periods of probation for each class of probationary licence</w:t>
      </w:r>
    </w:p>
    <w:p w14:paraId="6C791561" w14:textId="77777777" w:rsidR="00122C1B" w:rsidRDefault="00122C1B" w:rsidP="00CB53EB">
      <w:pPr>
        <w:pStyle w:val="Bullet1-Black"/>
        <w:spacing w:before="0"/>
        <w:ind w:left="386" w:hanging="244"/>
      </w:pPr>
      <w:r>
        <w:t>setting requirements for progressing from one class of probationary licence to another</w:t>
      </w:r>
    </w:p>
    <w:p w14:paraId="7C362498" w14:textId="77777777" w:rsidR="00122C1B" w:rsidRDefault="00122C1B" w:rsidP="00CB53EB">
      <w:pPr>
        <w:pStyle w:val="Bullet1-Black"/>
        <w:spacing w:before="0"/>
        <w:ind w:left="386" w:hanging="244"/>
      </w:pPr>
      <w:r>
        <w:t>prescribing extensions of a probationary period for persons who commit a specified offence or who have their driver licence suspended.</w:t>
      </w:r>
      <w:r>
        <w:rPr>
          <w:rStyle w:val="EndnoteReference"/>
        </w:rPr>
        <w:endnoteReference w:id="295"/>
      </w:r>
    </w:p>
    <w:p w14:paraId="4426CCE3" w14:textId="77777777" w:rsidR="00122C1B" w:rsidRDefault="00292BD6" w:rsidP="00C1124F">
      <w:pPr>
        <w:pStyle w:val="TextPara"/>
      </w:pPr>
      <w:r>
        <w:lastRenderedPageBreak/>
        <w:t xml:space="preserve">The preferred GLS </w:t>
      </w:r>
      <w:r w:rsidR="00B52291">
        <w:t>components</w:t>
      </w:r>
      <w:r>
        <w:t xml:space="preserve"> must be consistent with the relevant provisions of the </w:t>
      </w:r>
      <w:r w:rsidRPr="00A51F7A">
        <w:rPr>
          <w:i/>
        </w:rPr>
        <w:t>RSA</w:t>
      </w:r>
      <w:r>
        <w:t xml:space="preserve">. </w:t>
      </w:r>
      <w:r w:rsidR="00122C1B">
        <w:t xml:space="preserve">The proposed Regulations supplement the relevant </w:t>
      </w:r>
      <w:r w:rsidR="00122C1B" w:rsidRPr="004B68AC">
        <w:rPr>
          <w:i/>
        </w:rPr>
        <w:t>RSA</w:t>
      </w:r>
      <w:r w:rsidR="00122C1B">
        <w:t xml:space="preserve"> provisions </w:t>
      </w:r>
      <w:r w:rsidR="00F6179F">
        <w:t>and</w:t>
      </w:r>
      <w:r w:rsidR="00122C1B">
        <w:t xml:space="preserve"> implement the GLS components </w:t>
      </w:r>
      <w:r w:rsidR="001E7168">
        <w:t xml:space="preserve">and restrictions </w:t>
      </w:r>
      <w:r w:rsidR="00D50EAD">
        <w:t xml:space="preserve">as </w:t>
      </w:r>
      <w:r w:rsidR="00122C1B">
        <w:t xml:space="preserve">discussed in </w:t>
      </w:r>
      <w:r w:rsidR="00D50EAD">
        <w:t>this Chapter of the RIS.</w:t>
      </w:r>
      <w:r w:rsidR="00122C1B">
        <w:t xml:space="preserve"> </w:t>
      </w:r>
    </w:p>
    <w:p w14:paraId="1F8EE913" w14:textId="4E2375A6" w:rsidR="007440B4" w:rsidRDefault="00122C1B" w:rsidP="003D04DD">
      <w:pPr>
        <w:pStyle w:val="TextPara"/>
      </w:pPr>
      <w:r>
        <w:t>The 2017 Victorian GLS evaluation</w:t>
      </w:r>
      <w:r w:rsidR="001E7168">
        <w:t xml:space="preserve"> conducted by VicRoads</w:t>
      </w:r>
      <w:r>
        <w:t xml:space="preserve"> </w:t>
      </w:r>
      <w:r w:rsidR="00173DB1">
        <w:t>confirmed</w:t>
      </w:r>
      <w:r w:rsidRPr="00E356E2">
        <w:t xml:space="preserve"> that the </w:t>
      </w:r>
      <w:r>
        <w:t xml:space="preserve">GLS, as currently implemented in Victoria, </w:t>
      </w:r>
      <w:r w:rsidRPr="00E356E2">
        <w:t>is working effectively</w:t>
      </w:r>
      <w:r w:rsidRPr="0087337B">
        <w:t xml:space="preserve"> in improving the safety of young drivers</w:t>
      </w:r>
      <w:r>
        <w:t xml:space="preserve">. </w:t>
      </w:r>
      <w:r w:rsidR="00545FF1">
        <w:t>This study also provided evidence that the Exemplar stage of the GLS provides additional safety benefits compared with the other two stages. For example, as discussed previously, the study found</w:t>
      </w:r>
      <w:r w:rsidR="00545FF1" w:rsidRPr="00545FF1">
        <w:t xml:space="preserve"> that the peer passenger restriction on P1 licence holders was particularly effective at reducing crash involvement rates. For P1 drivers carrying not more than one peer passenger, there was a 69.2% decrease in their rate of involvement in fatal and serious injury crashes and a 69.8% corresponding reduction in all injury crashes (casualty crashes).</w:t>
      </w:r>
    </w:p>
    <w:p w14:paraId="489031C1" w14:textId="16233C50" w:rsidR="00D76E1C" w:rsidRPr="00E20352" w:rsidRDefault="00122C1B" w:rsidP="003D04DD">
      <w:pPr>
        <w:pStyle w:val="TextPara"/>
        <w:rPr>
          <w:b/>
        </w:rPr>
      </w:pPr>
      <w:r w:rsidRPr="00753453">
        <w:rPr>
          <w:b/>
        </w:rPr>
        <w:t xml:space="preserve">For the reasons stated for each GLS component in </w:t>
      </w:r>
      <w:r w:rsidR="00D50EAD" w:rsidRPr="00753453">
        <w:rPr>
          <w:b/>
        </w:rPr>
        <w:t>s</w:t>
      </w:r>
      <w:r w:rsidRPr="00753453">
        <w:rPr>
          <w:b/>
        </w:rPr>
        <w:t xml:space="preserve">ection </w:t>
      </w:r>
      <w:r w:rsidRPr="00753453">
        <w:rPr>
          <w:b/>
        </w:rPr>
        <w:fldChar w:fldCharType="begin"/>
      </w:r>
      <w:r w:rsidRPr="00753453">
        <w:rPr>
          <w:b/>
        </w:rPr>
        <w:instrText xml:space="preserve"> REF _Ref532995462 \r \h </w:instrText>
      </w:r>
      <w:r w:rsidR="00184E55">
        <w:rPr>
          <w:b/>
        </w:rPr>
        <w:instrText xml:space="preserve"> \* MERGEFORMAT </w:instrText>
      </w:r>
      <w:r w:rsidRPr="00753453">
        <w:rPr>
          <w:b/>
        </w:rPr>
      </w:r>
      <w:r w:rsidRPr="00753453">
        <w:rPr>
          <w:b/>
        </w:rPr>
        <w:fldChar w:fldCharType="separate"/>
      </w:r>
      <w:r w:rsidR="00EB4B02">
        <w:rPr>
          <w:b/>
        </w:rPr>
        <w:t>4.4.2</w:t>
      </w:r>
      <w:r w:rsidRPr="00753453">
        <w:rPr>
          <w:b/>
        </w:rPr>
        <w:fldChar w:fldCharType="end"/>
      </w:r>
      <w:r w:rsidRPr="00753453">
        <w:rPr>
          <w:b/>
        </w:rPr>
        <w:t xml:space="preserve">, </w:t>
      </w:r>
      <w:r w:rsidR="000C33B0" w:rsidRPr="00753453">
        <w:rPr>
          <w:b/>
        </w:rPr>
        <w:t>DoT</w:t>
      </w:r>
      <w:r w:rsidR="002D7E02" w:rsidRPr="00753453">
        <w:rPr>
          <w:b/>
        </w:rPr>
        <w:t xml:space="preserve"> proposes</w:t>
      </w:r>
      <w:r w:rsidR="00700FC1" w:rsidRPr="00753453">
        <w:rPr>
          <w:b/>
        </w:rPr>
        <w:t xml:space="preserve"> to retain </w:t>
      </w:r>
      <w:r w:rsidRPr="00753453">
        <w:rPr>
          <w:b/>
        </w:rPr>
        <w:t xml:space="preserve">the </w:t>
      </w:r>
      <w:r w:rsidR="00B52291" w:rsidRPr="00753453">
        <w:rPr>
          <w:b/>
        </w:rPr>
        <w:t xml:space="preserve">current </w:t>
      </w:r>
      <w:r w:rsidRPr="00753453">
        <w:rPr>
          <w:b/>
        </w:rPr>
        <w:t xml:space="preserve">GLS </w:t>
      </w:r>
      <w:r w:rsidR="00700FC1" w:rsidRPr="00753453">
        <w:rPr>
          <w:b/>
        </w:rPr>
        <w:t>a</w:t>
      </w:r>
      <w:r w:rsidR="002761FF" w:rsidRPr="00753453">
        <w:rPr>
          <w:b/>
        </w:rPr>
        <w:t>s the preferred model</w:t>
      </w:r>
      <w:r w:rsidRPr="00753453">
        <w:rPr>
          <w:b/>
        </w:rPr>
        <w:t>, as its effectiveness is derived from its components working in combination with each other as a package. Varying these components without sufficient evidence that doing so would produce better road safety outcomes would risk jeopardising the effectiveness of the</w:t>
      </w:r>
      <w:r w:rsidR="002761FF" w:rsidRPr="00753453">
        <w:rPr>
          <w:b/>
        </w:rPr>
        <w:t xml:space="preserve"> current</w:t>
      </w:r>
      <w:r w:rsidRPr="00753453">
        <w:rPr>
          <w:b/>
        </w:rPr>
        <w:t xml:space="preserve"> scheme as a whole.</w:t>
      </w:r>
      <w:r w:rsidR="00D76E1C" w:rsidRPr="00753453">
        <w:rPr>
          <w:rFonts w:cs="Segoe UI"/>
          <w:b/>
        </w:rPr>
        <w:t xml:space="preserve"> </w:t>
      </w:r>
    </w:p>
    <w:p w14:paraId="5ED18743" w14:textId="77777777" w:rsidR="005B1E7A" w:rsidRDefault="005B1E7A" w:rsidP="00CD4501">
      <w:pPr>
        <w:pStyle w:val="TextPara"/>
      </w:pPr>
      <w:bookmarkStart w:id="359" w:name="_Ref503884355"/>
      <w:bookmarkStart w:id="360" w:name="_Ref503884365"/>
      <w:bookmarkStart w:id="361" w:name="_Ref527475239"/>
      <w:bookmarkStart w:id="362" w:name="_Toc508286830"/>
      <w:bookmarkStart w:id="363" w:name="_Hlk508727099"/>
      <w:bookmarkStart w:id="364" w:name="_Hlk508727415"/>
      <w:bookmarkStart w:id="365" w:name="_Hlk508727414"/>
      <w:bookmarkStart w:id="366" w:name="_Ref527473175"/>
      <w:bookmarkStart w:id="367" w:name="_Ref527542935"/>
      <w:bookmarkStart w:id="368" w:name="_Toc508286832"/>
      <w:bookmarkEnd w:id="211"/>
    </w:p>
    <w:p w14:paraId="273F007D" w14:textId="77777777" w:rsidR="00CD4501" w:rsidRPr="00CD4501" w:rsidRDefault="00CD4501" w:rsidP="00CD4501">
      <w:pPr>
        <w:pStyle w:val="TextPara"/>
        <w:rPr>
          <w:lang w:eastAsia="en-AU"/>
        </w:rPr>
        <w:sectPr w:rsidR="00CD4501" w:rsidRPr="00CD4501" w:rsidSect="00910C49">
          <w:headerReference w:type="even" r:id="rId43"/>
          <w:headerReference w:type="default" r:id="rId44"/>
          <w:headerReference w:type="first" r:id="rId45"/>
          <w:endnotePr>
            <w:numFmt w:val="decimal"/>
          </w:endnotePr>
          <w:pgSz w:w="11906" w:h="16838" w:code="9"/>
          <w:pgMar w:top="1418" w:right="1134" w:bottom="1418" w:left="1247" w:header="567" w:footer="397" w:gutter="0"/>
          <w:cols w:space="708"/>
          <w:docGrid w:linePitch="360"/>
        </w:sectPr>
      </w:pPr>
    </w:p>
    <w:p w14:paraId="37028B82" w14:textId="77777777" w:rsidR="00122C1B" w:rsidRPr="00117C96" w:rsidRDefault="00122C1B" w:rsidP="006713F9">
      <w:pPr>
        <w:pStyle w:val="Heading1"/>
      </w:pPr>
      <w:bookmarkStart w:id="369" w:name="_Ref1134931"/>
      <w:bookmarkStart w:id="370" w:name="_Ref1134958"/>
      <w:bookmarkStart w:id="371" w:name="_Toc10703430"/>
      <w:r w:rsidRPr="00117C96">
        <w:lastRenderedPageBreak/>
        <w:t xml:space="preserve">Recognition of other jurisdictions’ </w:t>
      </w:r>
      <w:r>
        <w:t>driver</w:t>
      </w:r>
      <w:r w:rsidRPr="00117C96">
        <w:t xml:space="preserve"> licences and experience</w:t>
      </w:r>
      <w:bookmarkEnd w:id="359"/>
      <w:bookmarkEnd w:id="360"/>
      <w:bookmarkEnd w:id="361"/>
      <w:bookmarkEnd w:id="369"/>
      <w:bookmarkEnd w:id="370"/>
      <w:bookmarkEnd w:id="371"/>
    </w:p>
    <w:p w14:paraId="77AEDABB" w14:textId="77777777" w:rsidR="00122C1B" w:rsidRDefault="00122C1B" w:rsidP="001A063E">
      <w:pPr>
        <w:pStyle w:val="Heading2"/>
      </w:pPr>
      <w:bookmarkStart w:id="372" w:name="_Toc10703431"/>
      <w:r w:rsidRPr="00117C96">
        <w:t>Problem</w:t>
      </w:r>
      <w:bookmarkEnd w:id="372"/>
    </w:p>
    <w:p w14:paraId="0A0A3657" w14:textId="77777777" w:rsidR="00122C1B" w:rsidRDefault="00122C1B" w:rsidP="00DA40E0">
      <w:pPr>
        <w:pStyle w:val="TextPara"/>
        <w:rPr>
          <w:rFonts w:cs="Segoe UI"/>
        </w:rPr>
      </w:pPr>
      <w:r>
        <w:rPr>
          <w:rFonts w:cs="Segoe UI"/>
        </w:rPr>
        <w:t xml:space="preserve">While interstate drivers and permanent residence visa holders are currently required to convert their interstate or overseas driver licence to a Victorian one within a specified period, </w:t>
      </w:r>
      <w:r w:rsidRPr="00117C96">
        <w:rPr>
          <w:rFonts w:cs="Segoe UI"/>
        </w:rPr>
        <w:t xml:space="preserve">temporary residence visa </w:t>
      </w:r>
      <w:r>
        <w:rPr>
          <w:rFonts w:cs="Segoe UI"/>
        </w:rPr>
        <w:t xml:space="preserve">holders may </w:t>
      </w:r>
      <w:r w:rsidRPr="00117C96">
        <w:rPr>
          <w:rFonts w:cs="Segoe UI"/>
        </w:rPr>
        <w:t>continue to drive</w:t>
      </w:r>
      <w:r>
        <w:rPr>
          <w:rFonts w:cs="Segoe UI"/>
        </w:rPr>
        <w:t xml:space="preserve"> in Victoria</w:t>
      </w:r>
      <w:r w:rsidRPr="00117C96">
        <w:rPr>
          <w:rFonts w:cs="Segoe UI"/>
        </w:rPr>
        <w:t xml:space="preserve"> with </w:t>
      </w:r>
      <w:r>
        <w:rPr>
          <w:rFonts w:cs="Segoe UI"/>
        </w:rPr>
        <w:t>a valid</w:t>
      </w:r>
      <w:r w:rsidRPr="00117C96">
        <w:rPr>
          <w:rFonts w:cs="Segoe UI"/>
        </w:rPr>
        <w:t xml:space="preserve"> overseas licence </w:t>
      </w:r>
      <w:r>
        <w:rPr>
          <w:rFonts w:cs="Segoe UI"/>
        </w:rPr>
        <w:t>indefinitely. From migration data available for 2014-15</w:t>
      </w:r>
      <w:r>
        <w:rPr>
          <w:rStyle w:val="EndnoteReference"/>
          <w:rFonts w:cs="Segoe UI"/>
        </w:rPr>
        <w:endnoteReference w:id="296"/>
      </w:r>
      <w:r>
        <w:rPr>
          <w:rFonts w:cs="Segoe UI"/>
        </w:rPr>
        <w:t xml:space="preserve"> it is estimated that about 92.5% of temporary visa holders in Victoria resided </w:t>
      </w:r>
      <w:r w:rsidR="0036729C">
        <w:rPr>
          <w:rFonts w:cs="Segoe UI"/>
        </w:rPr>
        <w:t xml:space="preserve">here </w:t>
      </w:r>
      <w:r>
        <w:rPr>
          <w:rFonts w:cs="Segoe UI"/>
        </w:rPr>
        <w:t>for at least 12 months.</w:t>
      </w:r>
    </w:p>
    <w:p w14:paraId="44D36B91" w14:textId="77777777" w:rsidR="00122C1B" w:rsidRDefault="00122C1B" w:rsidP="00DA40E0">
      <w:pPr>
        <w:pStyle w:val="TextPara"/>
        <w:spacing w:after="60"/>
        <w:rPr>
          <w:rFonts w:cs="Segoe UI"/>
        </w:rPr>
      </w:pPr>
      <w:r>
        <w:rPr>
          <w:rFonts w:cs="Segoe UI"/>
        </w:rPr>
        <w:t>This situation creates potential road safety and enforcement issues in terms of:</w:t>
      </w:r>
    </w:p>
    <w:p w14:paraId="7DD269D8" w14:textId="77777777" w:rsidR="00122C1B" w:rsidRDefault="00122C1B" w:rsidP="00DA40E0">
      <w:pPr>
        <w:pStyle w:val="Bullet1-Black"/>
      </w:pPr>
      <w:r>
        <w:t>overseas drivers, who become Victorian residents, possibly having inadequate driving skills levels and insufficient knowledge of</w:t>
      </w:r>
      <w:r w:rsidR="0036729C">
        <w:t xml:space="preserve"> the</w:t>
      </w:r>
      <w:r>
        <w:t xml:space="preserve"> Victorian road rules and environment</w:t>
      </w:r>
    </w:p>
    <w:p w14:paraId="0C339150" w14:textId="77777777" w:rsidR="00122C1B" w:rsidRDefault="00122C1B" w:rsidP="00DA40E0">
      <w:pPr>
        <w:pStyle w:val="Bullet1-Black"/>
      </w:pPr>
      <w:r>
        <w:t xml:space="preserve">the </w:t>
      </w:r>
      <w:bookmarkStart w:id="373" w:name="_Hlk536527562"/>
      <w:r>
        <w:t>inability to enforce road safety laws and regulations and apply sanctions, such as alcohol interlock in the case of overseas drivers, who are not registered in the Victorian licensing system</w:t>
      </w:r>
      <w:bookmarkEnd w:id="373"/>
      <w:r>
        <w:t>.</w:t>
      </w:r>
    </w:p>
    <w:p w14:paraId="315A57B2" w14:textId="77777777" w:rsidR="00122C1B" w:rsidRDefault="00122C1B" w:rsidP="006713F9">
      <w:pPr>
        <w:pStyle w:val="Heading3"/>
      </w:pPr>
      <w:bookmarkStart w:id="374" w:name="_Toc513628800"/>
      <w:bookmarkStart w:id="375" w:name="_Toc512346987"/>
      <w:bookmarkStart w:id="376" w:name="_Toc513047210"/>
      <w:bookmarkStart w:id="377" w:name="_Toc513128985"/>
      <w:bookmarkStart w:id="378" w:name="_Toc513212974"/>
      <w:bookmarkStart w:id="379" w:name="_Toc513213181"/>
      <w:bookmarkStart w:id="380" w:name="_Toc513213391"/>
      <w:bookmarkStart w:id="381" w:name="_Toc513628801"/>
      <w:bookmarkStart w:id="382" w:name="_Toc512346988"/>
      <w:bookmarkStart w:id="383" w:name="_Toc513047211"/>
      <w:bookmarkStart w:id="384" w:name="_Toc513128986"/>
      <w:bookmarkStart w:id="385" w:name="_Toc513212975"/>
      <w:bookmarkStart w:id="386" w:name="_Toc513213182"/>
      <w:bookmarkStart w:id="387" w:name="_Toc513213392"/>
      <w:bookmarkStart w:id="388" w:name="_Toc513628802"/>
      <w:bookmarkStart w:id="389" w:name="_Toc512346989"/>
      <w:bookmarkStart w:id="390" w:name="_Toc513047212"/>
      <w:bookmarkStart w:id="391" w:name="_Toc513128987"/>
      <w:bookmarkStart w:id="392" w:name="_Toc513212976"/>
      <w:bookmarkStart w:id="393" w:name="_Toc513213183"/>
      <w:bookmarkStart w:id="394" w:name="_Toc513213393"/>
      <w:bookmarkStart w:id="395" w:name="_Toc513628803"/>
      <w:bookmarkStart w:id="396" w:name="_Toc512346990"/>
      <w:bookmarkStart w:id="397" w:name="_Toc513047213"/>
      <w:bookmarkStart w:id="398" w:name="_Toc513128988"/>
      <w:bookmarkStart w:id="399" w:name="_Toc513212977"/>
      <w:bookmarkStart w:id="400" w:name="_Toc513213184"/>
      <w:bookmarkStart w:id="401" w:name="_Toc513213394"/>
      <w:bookmarkStart w:id="402" w:name="_Toc513628804"/>
      <w:bookmarkStart w:id="403" w:name="_Toc512346991"/>
      <w:bookmarkStart w:id="404" w:name="_Toc513047214"/>
      <w:bookmarkStart w:id="405" w:name="_Toc513128989"/>
      <w:bookmarkStart w:id="406" w:name="_Toc513212978"/>
      <w:bookmarkStart w:id="407" w:name="_Toc513213185"/>
      <w:bookmarkStart w:id="408" w:name="_Toc513213395"/>
      <w:bookmarkStart w:id="409" w:name="_Toc513628805"/>
      <w:bookmarkStart w:id="410" w:name="_Toc512346992"/>
      <w:bookmarkStart w:id="411" w:name="_Toc513047215"/>
      <w:bookmarkStart w:id="412" w:name="_Toc513128990"/>
      <w:bookmarkStart w:id="413" w:name="_Toc513212979"/>
      <w:bookmarkStart w:id="414" w:name="_Toc513213186"/>
      <w:bookmarkStart w:id="415" w:name="_Toc513213396"/>
      <w:bookmarkStart w:id="416" w:name="_Toc513628806"/>
      <w:bookmarkStart w:id="417" w:name="_Ref2761170"/>
      <w:bookmarkStart w:id="418" w:name="_Toc10703432"/>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t>Road s</w:t>
      </w:r>
      <w:r w:rsidRPr="0043089A">
        <w:t>afety issues</w:t>
      </w:r>
      <w:bookmarkEnd w:id="417"/>
      <w:bookmarkEnd w:id="418"/>
    </w:p>
    <w:p w14:paraId="71E312E4" w14:textId="77777777" w:rsidR="00122C1B" w:rsidRDefault="00122C1B" w:rsidP="00DA40E0">
      <w:pPr>
        <w:pStyle w:val="TextPara"/>
        <w:spacing w:after="60"/>
      </w:pPr>
      <w:r>
        <w:t xml:space="preserve">As stated above, </w:t>
      </w:r>
      <w:r w:rsidRPr="00117C96">
        <w:rPr>
          <w:rFonts w:cs="Segoe UI"/>
        </w:rPr>
        <w:t xml:space="preserve">temporary residence visa </w:t>
      </w:r>
      <w:r>
        <w:rPr>
          <w:rFonts w:cs="Segoe UI"/>
        </w:rPr>
        <w:t xml:space="preserve">holders are currently allowed to </w:t>
      </w:r>
      <w:r w:rsidRPr="00117C96">
        <w:rPr>
          <w:rFonts w:cs="Segoe UI"/>
        </w:rPr>
        <w:t>continue to drive</w:t>
      </w:r>
      <w:r>
        <w:rPr>
          <w:rFonts w:cs="Segoe UI"/>
        </w:rPr>
        <w:t xml:space="preserve"> in Victoria</w:t>
      </w:r>
      <w:r w:rsidRPr="00117C96">
        <w:rPr>
          <w:rFonts w:cs="Segoe UI"/>
        </w:rPr>
        <w:t xml:space="preserve"> with </w:t>
      </w:r>
      <w:r>
        <w:rPr>
          <w:rFonts w:cs="Segoe UI"/>
        </w:rPr>
        <w:t>a valid</w:t>
      </w:r>
      <w:r w:rsidRPr="00117C96">
        <w:rPr>
          <w:rFonts w:cs="Segoe UI"/>
        </w:rPr>
        <w:t xml:space="preserve"> overseas licence </w:t>
      </w:r>
      <w:r>
        <w:rPr>
          <w:rFonts w:cs="Segoe UI"/>
        </w:rPr>
        <w:t xml:space="preserve">indefinitely. </w:t>
      </w:r>
      <w:r>
        <w:t>Overseas drivers, who become permanent or temporary residents of Victoria, pose a potential road safety risk as their driving skill levels and their knowledge of</w:t>
      </w:r>
      <w:r w:rsidR="00F8592B">
        <w:t xml:space="preserve"> the</w:t>
      </w:r>
      <w:r>
        <w:t xml:space="preserve"> Victorian road rules and environment</w:t>
      </w:r>
      <w:r w:rsidR="00F8592B">
        <w:t xml:space="preserve"> may be</w:t>
      </w:r>
      <w:r w:rsidRPr="000A6BEF">
        <w:t xml:space="preserve"> </w:t>
      </w:r>
      <w:r>
        <w:t>insufficient.</w:t>
      </w:r>
      <w:r w:rsidRPr="00142BCB">
        <w:t xml:space="preserve"> </w:t>
      </w:r>
      <w:r>
        <w:t xml:space="preserve">This </w:t>
      </w:r>
      <w:r w:rsidR="00F8592B">
        <w:t xml:space="preserve">risk </w:t>
      </w:r>
      <w:r>
        <w:t xml:space="preserve">is particularly </w:t>
      </w:r>
      <w:r w:rsidR="00F8592B">
        <w:t>high in the case of</w:t>
      </w:r>
      <w:r>
        <w:t xml:space="preserve"> drivers, who </w:t>
      </w:r>
      <w:r w:rsidR="00BC2A55">
        <w:t xml:space="preserve">hold a temporary visa and </w:t>
      </w:r>
      <w:r>
        <w:t>originate from non-recognised countries</w:t>
      </w:r>
      <w:bookmarkStart w:id="419" w:name="_Ref506545133"/>
      <w:r w:rsidR="00BC2A55">
        <w:t>.</w:t>
      </w:r>
      <w:r>
        <w:rPr>
          <w:rStyle w:val="EndnoteReference"/>
        </w:rPr>
        <w:endnoteReference w:id="297"/>
      </w:r>
      <w:bookmarkEnd w:id="419"/>
      <w:r w:rsidR="006C26E1">
        <w:t xml:space="preserve"> At</w:t>
      </w:r>
      <w:r w:rsidR="000D1735">
        <w:t xml:space="preserve"> present</w:t>
      </w:r>
      <w:r w:rsidR="006C26E1">
        <w:t>,</w:t>
      </w:r>
      <w:r w:rsidR="00D53B9D">
        <w:t xml:space="preserve"> the</w:t>
      </w:r>
      <w:r w:rsidR="006C26E1">
        <w:t>se drivers</w:t>
      </w:r>
      <w:r w:rsidR="00D53B9D">
        <w:t xml:space="preserve"> </w:t>
      </w:r>
      <w:r>
        <w:t>are</w:t>
      </w:r>
      <w:r w:rsidR="00D53B9D">
        <w:t xml:space="preserve"> not</w:t>
      </w:r>
      <w:r>
        <w:t xml:space="preserve"> required to </w:t>
      </w:r>
      <w:r w:rsidR="006C26E1">
        <w:t>obtain a Victorian licence by undertaking</w:t>
      </w:r>
      <w:r w:rsidR="000D1735">
        <w:t xml:space="preserve"> and </w:t>
      </w:r>
      <w:r>
        <w:t>pass</w:t>
      </w:r>
      <w:r w:rsidR="006C26E1">
        <w:t>ing</w:t>
      </w:r>
      <w:r>
        <w:t xml:space="preserve"> the road rules knowledge</w:t>
      </w:r>
      <w:r w:rsidR="000D1735">
        <w:t>,</w:t>
      </w:r>
      <w:r>
        <w:t xml:space="preserve"> </w:t>
      </w:r>
      <w:r w:rsidR="000D1735">
        <w:t xml:space="preserve">the </w:t>
      </w:r>
      <w:r>
        <w:t xml:space="preserve">hazard perception </w:t>
      </w:r>
      <w:r w:rsidR="000D1735">
        <w:t>and</w:t>
      </w:r>
      <w:r>
        <w:t xml:space="preserve"> the practical drive test</w:t>
      </w:r>
      <w:r w:rsidR="000D1735">
        <w:t>s</w:t>
      </w:r>
      <w:r>
        <w:t>.</w:t>
      </w:r>
    </w:p>
    <w:p w14:paraId="2F589CC1" w14:textId="77777777" w:rsidR="00122C1B" w:rsidRDefault="00122C1B" w:rsidP="00DA40E0">
      <w:pPr>
        <w:pStyle w:val="TextPara"/>
        <w:spacing w:after="60"/>
      </w:pPr>
      <w:r>
        <w:t xml:space="preserve">In relation to overseas drivers visiting Victoria as tourists, Australia is a signatory to the </w:t>
      </w:r>
      <w:r w:rsidRPr="00CB6CA4">
        <w:t>United Nations Convention on Road Traffic</w:t>
      </w:r>
      <w:r>
        <w:t xml:space="preserve"> 1949. Under that Convention, Australia is obliged to allow international visitors to drive around the country, using their driver licence and an international driving permit issued in their home country.</w:t>
      </w:r>
      <w:r>
        <w:rPr>
          <w:rStyle w:val="EndnoteReference"/>
          <w:rFonts w:cs="Segoe UI"/>
        </w:rPr>
        <w:endnoteReference w:id="298"/>
      </w:r>
      <w:r>
        <w:t xml:space="preserve"> </w:t>
      </w:r>
    </w:p>
    <w:p w14:paraId="75826F8D" w14:textId="77777777" w:rsidR="00122C1B" w:rsidRDefault="00122C1B" w:rsidP="00DA40E0">
      <w:pPr>
        <w:pStyle w:val="TextPara"/>
        <w:spacing w:after="60"/>
      </w:pPr>
      <w:r w:rsidRPr="00E23C93">
        <w:t xml:space="preserve">International tourists visiting Victoria are </w:t>
      </w:r>
      <w:r>
        <w:t>currently authorised to drive with</w:t>
      </w:r>
      <w:r w:rsidRPr="00E23C93">
        <w:t xml:space="preserve"> their overseas driver licence</w:t>
      </w:r>
      <w:r>
        <w:t xml:space="preserve"> because their case is different from that of overseas migrants. This authorisation is justified on the basis that: </w:t>
      </w:r>
    </w:p>
    <w:p w14:paraId="27FE7374" w14:textId="77777777" w:rsidR="00122C1B" w:rsidRDefault="00122C1B" w:rsidP="00EB4B02">
      <w:pPr>
        <w:pStyle w:val="NumAlpha"/>
        <w:numPr>
          <w:ilvl w:val="0"/>
          <w:numId w:val="26"/>
        </w:numPr>
        <w:ind w:left="426" w:hanging="284"/>
      </w:pPr>
      <w:r w:rsidRPr="00834344">
        <w:t>T</w:t>
      </w:r>
      <w:r w:rsidRPr="00302A47">
        <w:t>heir</w:t>
      </w:r>
      <w:r w:rsidRPr="00E23C93">
        <w:t xml:space="preserve"> presence in Victoria </w:t>
      </w:r>
      <w:r>
        <w:t>is typically of a short duration.</w:t>
      </w:r>
      <w:r w:rsidRPr="000105E2">
        <w:t xml:space="preserve"> </w:t>
      </w:r>
      <w:r w:rsidRPr="00D7275E">
        <w:t>About</w:t>
      </w:r>
      <w:r w:rsidRPr="00B508D2">
        <w:t xml:space="preserve"> half of </w:t>
      </w:r>
      <w:r>
        <w:t xml:space="preserve">all </w:t>
      </w:r>
      <w:r w:rsidRPr="00B508D2">
        <w:t xml:space="preserve">international tourists visiting </w:t>
      </w:r>
      <w:r>
        <w:t>Victoria</w:t>
      </w:r>
      <w:r w:rsidRPr="00B508D2">
        <w:t xml:space="preserve"> stay for </w:t>
      </w:r>
      <w:r>
        <w:t>less</w:t>
      </w:r>
      <w:r w:rsidRPr="00B508D2">
        <w:t xml:space="preserve"> than </w:t>
      </w:r>
      <w:r>
        <w:t>two</w:t>
      </w:r>
      <w:r w:rsidRPr="00B508D2">
        <w:t xml:space="preserve"> weeks and about three-quarters </w:t>
      </w:r>
      <w:r>
        <w:t>for less</w:t>
      </w:r>
      <w:r w:rsidRPr="00B508D2">
        <w:t xml:space="preserve"> than </w:t>
      </w:r>
      <w:r>
        <w:t>four</w:t>
      </w:r>
      <w:r w:rsidRPr="00B508D2">
        <w:t xml:space="preserve"> weeks.</w:t>
      </w:r>
      <w:r w:rsidRPr="00B508D2">
        <w:rPr>
          <w:rStyle w:val="EndnoteReference"/>
        </w:rPr>
        <w:endnoteReference w:id="299"/>
      </w:r>
    </w:p>
    <w:p w14:paraId="679FED19" w14:textId="77777777" w:rsidR="00122C1B" w:rsidRPr="00D7275E" w:rsidRDefault="00122C1B" w:rsidP="00DA40E0">
      <w:pPr>
        <w:pStyle w:val="NumAlpha"/>
      </w:pPr>
      <w:r w:rsidRPr="00834344">
        <w:t xml:space="preserve">They do not meet the </w:t>
      </w:r>
      <w:r w:rsidRPr="00D7275E">
        <w:t xml:space="preserve">residential requirements that apply to permanent and temporary visa holders. </w:t>
      </w:r>
    </w:p>
    <w:p w14:paraId="7D57CE9D" w14:textId="565775E6" w:rsidR="00122C1B" w:rsidRDefault="00122C1B" w:rsidP="00DA40E0">
      <w:pPr>
        <w:pStyle w:val="NumAlpha"/>
      </w:pPr>
      <w:r w:rsidRPr="00D7275E">
        <w:t xml:space="preserve">There is </w:t>
      </w:r>
      <w:r w:rsidR="00751FEB">
        <w:t>limited</w:t>
      </w:r>
      <w:r w:rsidR="00751FEB" w:rsidRPr="00D7275E">
        <w:t xml:space="preserve"> </w:t>
      </w:r>
      <w:r w:rsidRPr="00D7275E">
        <w:t>evidence to su</w:t>
      </w:r>
      <w:r>
        <w:t xml:space="preserve">ggest that international tourists </w:t>
      </w:r>
      <w:r w:rsidR="00E83DB2">
        <w:t>pose an unjustifiable road safety risk</w:t>
      </w:r>
      <w:r>
        <w:t xml:space="preserve"> during their visit to Australia. </w:t>
      </w:r>
    </w:p>
    <w:p w14:paraId="2C9E6AE0" w14:textId="77777777" w:rsidR="00122C1B" w:rsidRPr="00C23537" w:rsidRDefault="00122C1B" w:rsidP="00DA40E0">
      <w:pPr>
        <w:pStyle w:val="TextPara"/>
        <w:keepNext/>
        <w:spacing w:after="60"/>
        <w:rPr>
          <w:rFonts w:cs="Segoe UI"/>
        </w:rPr>
      </w:pPr>
      <w:r>
        <w:rPr>
          <w:rFonts w:cs="Segoe UI"/>
        </w:rPr>
        <w:t>A 2014</w:t>
      </w:r>
      <w:r w:rsidRPr="00C23537">
        <w:rPr>
          <w:rFonts w:cs="Segoe UI"/>
        </w:rPr>
        <w:t xml:space="preserve"> study</w:t>
      </w:r>
      <w:r>
        <w:rPr>
          <w:rStyle w:val="EndnoteReference"/>
          <w:rFonts w:cs="Segoe UI"/>
        </w:rPr>
        <w:endnoteReference w:id="300"/>
      </w:r>
      <w:r>
        <w:rPr>
          <w:rFonts w:cs="Segoe UI"/>
        </w:rPr>
        <w:t xml:space="preserve"> on </w:t>
      </w:r>
      <w:r w:rsidRPr="00570587">
        <w:rPr>
          <w:rFonts w:cs="Segoe UI"/>
        </w:rPr>
        <w:t>crash risk of international visitors to Victoria</w:t>
      </w:r>
      <w:r>
        <w:rPr>
          <w:rFonts w:cs="Segoe UI"/>
          <w:vertAlign w:val="superscript"/>
        </w:rPr>
        <w:t xml:space="preserve"> </w:t>
      </w:r>
      <w:r>
        <w:rPr>
          <w:rFonts w:cs="Segoe UI"/>
        </w:rPr>
        <w:t>focusing on tourists found</w:t>
      </w:r>
      <w:r w:rsidRPr="00C23537">
        <w:rPr>
          <w:rFonts w:cs="Segoe UI"/>
        </w:rPr>
        <w:t xml:space="preserve"> that:</w:t>
      </w:r>
    </w:p>
    <w:p w14:paraId="5476E75E" w14:textId="77777777" w:rsidR="00122C1B" w:rsidRPr="00C23537" w:rsidRDefault="00122C1B" w:rsidP="00DA40E0">
      <w:pPr>
        <w:pStyle w:val="Bullet1-Black"/>
      </w:pPr>
      <w:r w:rsidRPr="00C23537">
        <w:t>Visitors are at grea</w:t>
      </w:r>
      <w:r>
        <w:t xml:space="preserve">ter risk when </w:t>
      </w:r>
      <w:r w:rsidRPr="005F6F8B">
        <w:t>they</w:t>
      </w:r>
      <w:r>
        <w:t xml:space="preserve"> first arrive.</w:t>
      </w:r>
    </w:p>
    <w:p w14:paraId="7096F2BD" w14:textId="77777777" w:rsidR="00122C1B" w:rsidRPr="00C23537" w:rsidRDefault="00122C1B" w:rsidP="00DA40E0">
      <w:pPr>
        <w:pStyle w:val="Bullet1-Black"/>
      </w:pPr>
      <w:r w:rsidRPr="00C23537">
        <w:t>Visitors from right-hand drive countries are overrepresented in TA</w:t>
      </w:r>
      <w:r>
        <w:t>C claims on a per visitor basis.</w:t>
      </w:r>
    </w:p>
    <w:p w14:paraId="69EB2495" w14:textId="77777777" w:rsidR="00122C1B" w:rsidRPr="00C23537" w:rsidRDefault="00122C1B" w:rsidP="00DA40E0">
      <w:pPr>
        <w:pStyle w:val="Bullet1-Black"/>
      </w:pPr>
      <w:r w:rsidRPr="00C23537">
        <w:t>Visitors from non-English-speaking countries are under-</w:t>
      </w:r>
      <w:r w:rsidRPr="00282517">
        <w:t>represented</w:t>
      </w:r>
      <w:r w:rsidRPr="00C23537">
        <w:t xml:space="preserve"> in TAC claims on a per visitor basis (this may reflect differing travel p</w:t>
      </w:r>
      <w:r>
        <w:t>atterns and/</w:t>
      </w:r>
      <w:r w:rsidRPr="00C23537">
        <w:t>or a reduced likelihood of submitting a claim for non-English-spe</w:t>
      </w:r>
      <w:r>
        <w:t>akers injured in road crashes).</w:t>
      </w:r>
    </w:p>
    <w:p w14:paraId="7CE765EE" w14:textId="77777777" w:rsidR="00122C1B" w:rsidRPr="00C23537" w:rsidRDefault="00122C1B" w:rsidP="00DA40E0">
      <w:pPr>
        <w:pStyle w:val="Bullet1-Black"/>
      </w:pPr>
      <w:r w:rsidRPr="00C23537">
        <w:t>When involved in a crash, drivers licensed overseas are more likely to be at fault than Victorian licence holders.</w:t>
      </w:r>
    </w:p>
    <w:p w14:paraId="543E5AB0" w14:textId="77777777" w:rsidR="00122C1B" w:rsidRDefault="00122C1B" w:rsidP="00DA40E0">
      <w:pPr>
        <w:pStyle w:val="TextPara"/>
        <w:rPr>
          <w:rFonts w:cs="Segoe UI"/>
        </w:rPr>
      </w:pPr>
      <w:r w:rsidRPr="00C23537">
        <w:t xml:space="preserve">There are several reasons why international visitors would be expected to be at greater risk when travelling by road in Victoria than Victorian residents. </w:t>
      </w:r>
      <w:r w:rsidRPr="00C23537">
        <w:rPr>
          <w:rFonts w:cs="Segoe UI"/>
        </w:rPr>
        <w:t>Research</w:t>
      </w:r>
      <w:r>
        <w:rPr>
          <w:rFonts w:cs="Segoe UI"/>
        </w:rPr>
        <w:t xml:space="preserve"> literature</w:t>
      </w:r>
      <w:r w:rsidRPr="00C23537">
        <w:rPr>
          <w:rFonts w:cs="Segoe UI"/>
        </w:rPr>
        <w:t xml:space="preserve"> reviewed in the same study</w:t>
      </w:r>
      <w:r>
        <w:rPr>
          <w:rStyle w:val="EndnoteReference"/>
          <w:rFonts w:cs="Segoe UI"/>
        </w:rPr>
        <w:endnoteReference w:id="301"/>
      </w:r>
      <w:r>
        <w:rPr>
          <w:rFonts w:cs="Segoe UI"/>
        </w:rPr>
        <w:t xml:space="preserve"> </w:t>
      </w:r>
      <w:r w:rsidRPr="00C23537">
        <w:rPr>
          <w:rFonts w:cs="Segoe UI"/>
        </w:rPr>
        <w:t>show</w:t>
      </w:r>
      <w:r>
        <w:rPr>
          <w:rFonts w:cs="Segoe UI"/>
        </w:rPr>
        <w:t>ed</w:t>
      </w:r>
      <w:r w:rsidRPr="00C23537">
        <w:rPr>
          <w:rFonts w:cs="Segoe UI"/>
        </w:rPr>
        <w:t xml:space="preserve"> that </w:t>
      </w:r>
      <w:r w:rsidRPr="00C23537">
        <w:rPr>
          <w:rFonts w:cs="Segoe UI"/>
        </w:rPr>
        <w:lastRenderedPageBreak/>
        <w:t>drivers from overseas were more likely to be involved in fatigue-related crashes</w:t>
      </w:r>
      <w:r>
        <w:rPr>
          <w:rFonts w:cs="Segoe UI"/>
        </w:rPr>
        <w:t xml:space="preserve"> with</w:t>
      </w:r>
      <w:r w:rsidRPr="00C60170">
        <w:t xml:space="preserve"> </w:t>
      </w:r>
      <w:r w:rsidRPr="00C23537">
        <w:t>a high proportion of travel in remote and harsh environments</w:t>
      </w:r>
      <w:r>
        <w:t xml:space="preserve"> and</w:t>
      </w:r>
      <w:r w:rsidRPr="00C23537">
        <w:t xml:space="preserve"> </w:t>
      </w:r>
      <w:r>
        <w:t xml:space="preserve">in </w:t>
      </w:r>
      <w:r w:rsidRPr="00C23537">
        <w:t>unfamiliar conditions (</w:t>
      </w:r>
      <w:r>
        <w:t>e.g.</w:t>
      </w:r>
      <w:r w:rsidRPr="00C23537">
        <w:t xml:space="preserve"> </w:t>
      </w:r>
      <w:r>
        <w:t>in very high temperatures</w:t>
      </w:r>
      <w:r w:rsidRPr="00C23537">
        <w:t xml:space="preserve"> and </w:t>
      </w:r>
      <w:r>
        <w:t xml:space="preserve">for </w:t>
      </w:r>
      <w:r w:rsidRPr="00C23537">
        <w:t xml:space="preserve">long distances), </w:t>
      </w:r>
      <w:r w:rsidR="00505765">
        <w:t xml:space="preserve">more likely to </w:t>
      </w:r>
      <w:r w:rsidRPr="00C23537">
        <w:rPr>
          <w:rFonts w:cs="Segoe UI"/>
        </w:rPr>
        <w:t>fail to keep left</w:t>
      </w:r>
      <w:r w:rsidR="00505765">
        <w:rPr>
          <w:rFonts w:cs="Segoe UI"/>
        </w:rPr>
        <w:t xml:space="preserve"> and</w:t>
      </w:r>
      <w:r w:rsidRPr="00C23537">
        <w:t xml:space="preserve"> to use protective equipment (</w:t>
      </w:r>
      <w:r>
        <w:t>seat belt</w:t>
      </w:r>
      <w:r w:rsidRPr="00C23537">
        <w:t>s and helmets)</w:t>
      </w:r>
      <w:r>
        <w:t>,</w:t>
      </w:r>
      <w:r w:rsidRPr="00C23537">
        <w:rPr>
          <w:rFonts w:cs="Segoe UI"/>
        </w:rPr>
        <w:t xml:space="preserve"> </w:t>
      </w:r>
      <w:r>
        <w:rPr>
          <w:rFonts w:cs="Segoe UI"/>
        </w:rPr>
        <w:t xml:space="preserve">and </w:t>
      </w:r>
      <w:r w:rsidR="00505765">
        <w:rPr>
          <w:rFonts w:cs="Segoe UI"/>
        </w:rPr>
        <w:t xml:space="preserve">more likely to be involved in </w:t>
      </w:r>
      <w:r w:rsidRPr="00C23537">
        <w:rPr>
          <w:rFonts w:cs="Segoe UI"/>
        </w:rPr>
        <w:t>incidents associated with disorientation</w:t>
      </w:r>
      <w:r>
        <w:rPr>
          <w:rFonts w:cs="Segoe UI"/>
        </w:rPr>
        <w:t>.</w:t>
      </w:r>
    </w:p>
    <w:p w14:paraId="7729FC42" w14:textId="77777777" w:rsidR="00122C1B" w:rsidRPr="00C23537" w:rsidRDefault="00122C1B" w:rsidP="00DA40E0">
      <w:pPr>
        <w:pStyle w:val="TextPara"/>
        <w:rPr>
          <w:rFonts w:cs="Segoe UI"/>
        </w:rPr>
      </w:pPr>
      <w:r w:rsidRPr="00C23537">
        <w:rPr>
          <w:rFonts w:cs="Segoe UI"/>
        </w:rPr>
        <w:t xml:space="preserve">The reviewed literature also showed that international visitors were more likely to be involved in a crash as a passenger than as a driver, most likely because tourists generally travel in groups rather than drive solo. International visitors from right-hand drive countries were also particularly at risk as pedestrians. Although the literature and crash analyses suggest that international visitors have a higher crash risk than locals </w:t>
      </w:r>
      <w:r w:rsidR="00ED2AF7">
        <w:rPr>
          <w:rFonts w:cs="Segoe UI"/>
        </w:rPr>
        <w:t>in</w:t>
      </w:r>
      <w:r w:rsidRPr="00C23537">
        <w:rPr>
          <w:rFonts w:cs="Segoe UI"/>
        </w:rPr>
        <w:t xml:space="preserve"> all road</w:t>
      </w:r>
      <w:r>
        <w:rPr>
          <w:rFonts w:cs="Segoe UI"/>
        </w:rPr>
        <w:t>-</w:t>
      </w:r>
      <w:r w:rsidRPr="00C23537">
        <w:rPr>
          <w:rFonts w:cs="Segoe UI"/>
        </w:rPr>
        <w:t>user types, this cannot be confirmed without detailed travel patterns and exposure data.</w:t>
      </w:r>
    </w:p>
    <w:p w14:paraId="20BF6684" w14:textId="77777777" w:rsidR="00122C1B" w:rsidRDefault="00122C1B" w:rsidP="00DA40E0">
      <w:pPr>
        <w:pStyle w:val="TextPara"/>
      </w:pPr>
      <w:r w:rsidRPr="00C23537">
        <w:rPr>
          <w:rFonts w:cs="Segoe UI"/>
        </w:rPr>
        <w:t xml:space="preserve">Police-reported crash data </w:t>
      </w:r>
      <w:r>
        <w:rPr>
          <w:rFonts w:cs="Segoe UI"/>
        </w:rPr>
        <w:t>from an earlier study</w:t>
      </w:r>
      <w:r>
        <w:rPr>
          <w:rStyle w:val="EndnoteReference"/>
          <w:rFonts w:cs="Segoe UI"/>
        </w:rPr>
        <w:endnoteReference w:id="302"/>
      </w:r>
      <w:r>
        <w:rPr>
          <w:rFonts w:cs="Segoe UI"/>
        </w:rPr>
        <w:t xml:space="preserve"> had </w:t>
      </w:r>
      <w:r w:rsidRPr="00C23537">
        <w:rPr>
          <w:rFonts w:cs="Segoe UI"/>
        </w:rPr>
        <w:t>showed a slight overrepresentation of visiting drivers in vehicle rollovers and loss of control</w:t>
      </w:r>
      <w:r w:rsidRPr="006B1459">
        <w:t xml:space="preserve"> </w:t>
      </w:r>
      <w:r>
        <w:t>(</w:t>
      </w:r>
      <w:r w:rsidRPr="00C23537">
        <w:t>probably related to their choice of vehicle and lack of familiarity with rural roads</w:t>
      </w:r>
      <w:r>
        <w:t>)</w:t>
      </w:r>
      <w:r w:rsidRPr="00C23537">
        <w:rPr>
          <w:rFonts w:cs="Segoe UI"/>
        </w:rPr>
        <w:t xml:space="preserve">, often associated with fatigue, although </w:t>
      </w:r>
      <w:r>
        <w:rPr>
          <w:rFonts w:cs="Segoe UI"/>
        </w:rPr>
        <w:t>seat belt</w:t>
      </w:r>
      <w:r w:rsidRPr="00C23537">
        <w:rPr>
          <w:rFonts w:cs="Segoe UI"/>
        </w:rPr>
        <w:t xml:space="preserve"> wearing was similar for visitors and locals. The literature review </w:t>
      </w:r>
      <w:r>
        <w:rPr>
          <w:rFonts w:cs="Segoe UI"/>
        </w:rPr>
        <w:t>indicated</w:t>
      </w:r>
      <w:r w:rsidRPr="00C23537">
        <w:rPr>
          <w:rFonts w:cs="Segoe UI"/>
        </w:rPr>
        <w:t xml:space="preserve"> that visitors were less likely than local drivers to be involved in speed and alcohol related crashes and incidents associated with lack of attention.</w:t>
      </w:r>
    </w:p>
    <w:p w14:paraId="69CC9737" w14:textId="77777777" w:rsidR="00122C1B" w:rsidRPr="00C23537" w:rsidRDefault="00122C1B" w:rsidP="00DA40E0">
      <w:pPr>
        <w:pStyle w:val="TextPara"/>
        <w:spacing w:after="0"/>
        <w:rPr>
          <w:rFonts w:cs="Segoe UI"/>
        </w:rPr>
      </w:pPr>
      <w:r w:rsidRPr="00C23537">
        <w:rPr>
          <w:rFonts w:cs="Segoe UI"/>
        </w:rPr>
        <w:t xml:space="preserve">Based on VicRoads data for </w:t>
      </w:r>
      <w:r>
        <w:rPr>
          <w:rFonts w:cs="Segoe UI"/>
        </w:rPr>
        <w:t xml:space="preserve">tourist </w:t>
      </w:r>
      <w:r w:rsidRPr="00C23537">
        <w:rPr>
          <w:rFonts w:cs="Segoe UI"/>
        </w:rPr>
        <w:t xml:space="preserve">drivers and motorcycle riders, the proportion of casualties varies with injury severity. </w:t>
      </w:r>
      <w:r w:rsidRPr="00111C40">
        <w:rPr>
          <w:rFonts w:cs="Segoe UI"/>
        </w:rPr>
        <w:t>National Coronial Information System (NCIS)</w:t>
      </w:r>
      <w:r>
        <w:rPr>
          <w:rFonts w:cs="Segoe UI"/>
        </w:rPr>
        <w:t xml:space="preserve"> data showed that </w:t>
      </w:r>
      <w:r w:rsidRPr="00C23537">
        <w:rPr>
          <w:rFonts w:cs="Segoe UI"/>
        </w:rPr>
        <w:t xml:space="preserve">between 2002 and 2011 </w:t>
      </w:r>
      <w:r>
        <w:rPr>
          <w:rFonts w:cs="Segoe UI"/>
        </w:rPr>
        <w:t>only about</w:t>
      </w:r>
      <w:r w:rsidRPr="00C23537">
        <w:rPr>
          <w:rFonts w:cs="Segoe UI"/>
        </w:rPr>
        <w:t xml:space="preserve"> 0.7% of </w:t>
      </w:r>
      <w:r w:rsidRPr="0017507A">
        <w:rPr>
          <w:rFonts w:cs="Segoe UI"/>
        </w:rPr>
        <w:t>road crash fatalities</w:t>
      </w:r>
      <w:r>
        <w:rPr>
          <w:rFonts w:cs="Segoe UI"/>
        </w:rPr>
        <w:t xml:space="preserve"> in Victoria were </w:t>
      </w:r>
      <w:r w:rsidRPr="00C23537">
        <w:rPr>
          <w:rFonts w:cs="Segoe UI"/>
        </w:rPr>
        <w:t>international visitors</w:t>
      </w:r>
      <w:r>
        <w:rPr>
          <w:rFonts w:cs="Segoe UI"/>
        </w:rPr>
        <w:t>,</w:t>
      </w:r>
      <w:r w:rsidRPr="00C23537">
        <w:rPr>
          <w:rFonts w:cs="Segoe UI"/>
        </w:rPr>
        <w:t xml:space="preserve"> </w:t>
      </w:r>
      <w:r>
        <w:rPr>
          <w:rFonts w:cs="Segoe UI"/>
        </w:rPr>
        <w:t xml:space="preserve">who also comprised </w:t>
      </w:r>
      <w:r w:rsidRPr="009672F3">
        <w:rPr>
          <w:rFonts w:cs="Segoe UI"/>
        </w:rPr>
        <w:t>0.9% of drivers and riders seriously injured and 1.0% of those suffering other injuries</w:t>
      </w:r>
      <w:r>
        <w:rPr>
          <w:rFonts w:cs="Segoe UI"/>
        </w:rPr>
        <w:t>.</w:t>
      </w:r>
      <w:r>
        <w:rPr>
          <w:rStyle w:val="EndnoteReference"/>
          <w:rFonts w:cs="Segoe UI"/>
        </w:rPr>
        <w:endnoteReference w:id="303"/>
      </w:r>
    </w:p>
    <w:p w14:paraId="68D1FAD6" w14:textId="77777777" w:rsidR="00122C1B" w:rsidRPr="00C23537" w:rsidRDefault="00122C1B" w:rsidP="00DA40E0">
      <w:pPr>
        <w:pStyle w:val="TextPara"/>
      </w:pPr>
      <w:r>
        <w:t xml:space="preserve">To address the issue of road safety of tourists, the Victorian government </w:t>
      </w:r>
      <w:r w:rsidRPr="00B24914">
        <w:t>launched a</w:t>
      </w:r>
      <w:r>
        <w:t>n educational</w:t>
      </w:r>
      <w:r w:rsidRPr="00B24914">
        <w:t xml:space="preserve"> campaign </w:t>
      </w:r>
      <w:r>
        <w:t xml:space="preserve">in December 2017 </w:t>
      </w:r>
      <w:r w:rsidRPr="00B24914">
        <w:t>to help international visitors drive with confidence and stay safe on Victoria</w:t>
      </w:r>
      <w:r>
        <w:t>n</w:t>
      </w:r>
      <w:r w:rsidRPr="00B24914">
        <w:t xml:space="preserve"> roads</w:t>
      </w:r>
      <w:r>
        <w:t xml:space="preserve">. </w:t>
      </w:r>
      <w:r w:rsidRPr="00B24914">
        <w:t>The Visiting Driver Road Safety Program</w:t>
      </w:r>
      <w:r>
        <w:rPr>
          <w:rStyle w:val="EndnoteReference"/>
        </w:rPr>
        <w:endnoteReference w:id="304"/>
      </w:r>
      <w:r w:rsidRPr="00B24914">
        <w:t xml:space="preserve"> focus</w:t>
      </w:r>
      <w:r>
        <w:t>es</w:t>
      </w:r>
      <w:r w:rsidRPr="00B24914">
        <w:t xml:space="preserve"> on visiting drivers travelling on unfamiliar roads in unfamiliar conditions.</w:t>
      </w:r>
      <w:r>
        <w:t xml:space="preserve"> </w:t>
      </w:r>
      <w:r w:rsidRPr="00617240">
        <w:t xml:space="preserve">The Department of Transport </w:t>
      </w:r>
      <w:r>
        <w:t xml:space="preserve">leads this </w:t>
      </w:r>
      <w:r w:rsidRPr="00617240">
        <w:t>initiative</w:t>
      </w:r>
      <w:r>
        <w:t xml:space="preserve"> </w:t>
      </w:r>
      <w:r w:rsidRPr="00617240">
        <w:t>in partnership with VicRoads</w:t>
      </w:r>
      <w:r>
        <w:t>,</w:t>
      </w:r>
      <w:r w:rsidRPr="00617240">
        <w:t xml:space="preserve"> Victoria Police and the Transport Accident Commission.</w:t>
      </w:r>
      <w:r>
        <w:t xml:space="preserve"> Modelled on the successful New Zealand international driver safety project, the initiative is supported by the major vehicle rental companies, which recognise the critical responsibility that they have in ensuring their customers are aware of road safety risks. The safety messages are distributed to visiting drivers through various channels, including bi-lingual videos, digital advertising, social media and promotional materials within hire vehicles.</w:t>
      </w:r>
    </w:p>
    <w:p w14:paraId="5A90C61F" w14:textId="77777777" w:rsidR="00122C1B" w:rsidRDefault="00122C1B" w:rsidP="006713F9">
      <w:pPr>
        <w:pStyle w:val="Heading3"/>
      </w:pPr>
      <w:bookmarkStart w:id="420" w:name="_Toc10703433"/>
      <w:r w:rsidRPr="0043089A">
        <w:t>Enforcement issues</w:t>
      </w:r>
      <w:bookmarkEnd w:id="420"/>
    </w:p>
    <w:p w14:paraId="7F0D800E" w14:textId="77777777" w:rsidR="00122C1B" w:rsidRDefault="00122C1B" w:rsidP="00DA40E0">
      <w:pPr>
        <w:pStyle w:val="TextPara"/>
        <w:rPr>
          <w:rFonts w:cs="Segoe UI"/>
        </w:rPr>
      </w:pPr>
      <w:r>
        <w:rPr>
          <w:rFonts w:cs="Segoe UI"/>
        </w:rPr>
        <w:t>Overseas drivers intending to reside in Victoria for an extended period cannot be managed in the same way as Victorian drivers until they are brought within the Victorian licensing system.</w:t>
      </w:r>
    </w:p>
    <w:p w14:paraId="43F68F66" w14:textId="77777777" w:rsidR="00122C1B" w:rsidRPr="0043089A" w:rsidRDefault="00122C1B" w:rsidP="00DA40E0">
      <w:pPr>
        <w:pStyle w:val="TextPara"/>
      </w:pPr>
      <w:r>
        <w:rPr>
          <w:rFonts w:cs="Segoe UI"/>
        </w:rPr>
        <w:t>L</w:t>
      </w:r>
      <w:r w:rsidRPr="00117C96">
        <w:rPr>
          <w:rFonts w:cs="Segoe UI"/>
        </w:rPr>
        <w:t xml:space="preserve">icence conditions, </w:t>
      </w:r>
      <w:r>
        <w:rPr>
          <w:rFonts w:cs="Segoe UI"/>
        </w:rPr>
        <w:t>such as</w:t>
      </w:r>
      <w:r w:rsidRPr="00117C96">
        <w:rPr>
          <w:rFonts w:cs="Segoe UI"/>
        </w:rPr>
        <w:t xml:space="preserve"> the imposition of alcohol interlock device</w:t>
      </w:r>
      <w:r>
        <w:rPr>
          <w:rFonts w:cs="Segoe UI"/>
        </w:rPr>
        <w:t>s</w:t>
      </w:r>
      <w:r w:rsidRPr="00117C96">
        <w:rPr>
          <w:rFonts w:cs="Segoe UI"/>
        </w:rPr>
        <w:t xml:space="preserve"> after conviction for a drink-driving offence, cannot be attached to overseas issued licences.</w:t>
      </w:r>
    </w:p>
    <w:p w14:paraId="64E80EB3" w14:textId="7452CB80" w:rsidR="00122C1B" w:rsidRPr="0043089A" w:rsidRDefault="00122C1B" w:rsidP="00DA40E0">
      <w:pPr>
        <w:pStyle w:val="TextPara"/>
      </w:pPr>
      <w:r>
        <w:t xml:space="preserve">However, disqualification </w:t>
      </w:r>
      <w:r w:rsidRPr="00F45D7C">
        <w:t xml:space="preserve">sanctions </w:t>
      </w:r>
      <w:r>
        <w:t xml:space="preserve">are </w:t>
      </w:r>
      <w:r w:rsidRPr="00F45D7C">
        <w:t>appl</w:t>
      </w:r>
      <w:r>
        <w:t>ied</w:t>
      </w:r>
      <w:r w:rsidRPr="00F45D7C">
        <w:t xml:space="preserve"> to</w:t>
      </w:r>
      <w:r>
        <w:t xml:space="preserve"> </w:t>
      </w:r>
      <w:r w:rsidRPr="00F45D7C">
        <w:t>overseas drivers</w:t>
      </w:r>
      <w:r>
        <w:t>,</w:t>
      </w:r>
      <w:r w:rsidRPr="00F45D7C">
        <w:t xml:space="preserve"> who incur demerit points for driving offences</w:t>
      </w:r>
      <w:r>
        <w:t>.</w:t>
      </w:r>
      <w:r w:rsidRPr="00F45D7C">
        <w:t xml:space="preserve"> </w:t>
      </w:r>
      <w:r>
        <w:t>The demerit points threshold applicable to o</w:t>
      </w:r>
      <w:r w:rsidRPr="006F407D">
        <w:t>verseas licence holder</w:t>
      </w:r>
      <w:r>
        <w:t>s, who are under</w:t>
      </w:r>
      <w:r w:rsidRPr="006F407D">
        <w:t xml:space="preserve"> 22 years of age</w:t>
      </w:r>
      <w:r>
        <w:t>, is 5 points in any 12-month period or 12 points in any 3-year period. The threshold for those aged 22 years or older is 12 points in any 3-year period</w:t>
      </w:r>
      <w:r w:rsidR="00C86389">
        <w:t xml:space="preserve">. </w:t>
      </w:r>
      <w:r>
        <w:t>A</w:t>
      </w:r>
      <w:r w:rsidRPr="00F45D7C">
        <w:t xml:space="preserve"> disqualification notice</w:t>
      </w:r>
      <w:r>
        <w:t xml:space="preserve"> is issued to overseas</w:t>
      </w:r>
      <w:r w:rsidRPr="00F45D7C">
        <w:t xml:space="preserve"> drivers who </w:t>
      </w:r>
      <w:r>
        <w:t xml:space="preserve">reach or exceed the applicable threshold and bans them from </w:t>
      </w:r>
      <w:r w:rsidRPr="00F45D7C">
        <w:t>driving in Victoria and from obtaining a Victorian driver licence or learner permit</w:t>
      </w:r>
      <w:r>
        <w:t xml:space="preserve"> during the disqualification period.</w:t>
      </w:r>
    </w:p>
    <w:p w14:paraId="3588D048" w14:textId="77777777" w:rsidR="00122C1B" w:rsidRDefault="00122C1B" w:rsidP="006713F9">
      <w:pPr>
        <w:pStyle w:val="Heading3"/>
      </w:pPr>
      <w:bookmarkStart w:id="421" w:name="_Toc10703434"/>
      <w:r w:rsidRPr="0043089A">
        <w:t>Other issues</w:t>
      </w:r>
      <w:bookmarkEnd w:id="421"/>
      <w:r w:rsidRPr="0043089A">
        <w:t xml:space="preserve"> </w:t>
      </w:r>
    </w:p>
    <w:p w14:paraId="5CAB192B" w14:textId="77777777" w:rsidR="00122C1B" w:rsidRPr="003610BB" w:rsidRDefault="00122C1B" w:rsidP="00DA40E0">
      <w:pPr>
        <w:pStyle w:val="TextPara"/>
        <w:rPr>
          <w:rFonts w:cs="Segoe UI"/>
        </w:rPr>
      </w:pPr>
      <w:r w:rsidRPr="003610BB">
        <w:rPr>
          <w:rFonts w:cs="Segoe UI"/>
        </w:rPr>
        <w:t>Different licence conversion periods currently apply, depending on the place of origin of the driver relocating to Victoria as a resident. Interstate and New Zealand drivers</w:t>
      </w:r>
      <w:r>
        <w:rPr>
          <w:rFonts w:cs="Segoe UI"/>
        </w:rPr>
        <w:t xml:space="preserve"> must convert within three months and permanent resident visa holders within six months.</w:t>
      </w:r>
    </w:p>
    <w:p w14:paraId="2AF17D9C" w14:textId="77777777" w:rsidR="00122C1B" w:rsidRDefault="00122C1B" w:rsidP="00DA40E0">
      <w:pPr>
        <w:pStyle w:val="TextPara"/>
      </w:pPr>
      <w:r>
        <w:rPr>
          <w:rFonts w:cs="Segoe UI"/>
        </w:rPr>
        <w:t xml:space="preserve">Relocating to another state or country typically involves </w:t>
      </w:r>
      <w:r w:rsidRPr="003610BB">
        <w:rPr>
          <w:rFonts w:cs="Segoe UI"/>
        </w:rPr>
        <w:t>perform</w:t>
      </w:r>
      <w:r>
        <w:rPr>
          <w:rFonts w:cs="Segoe UI"/>
        </w:rPr>
        <w:t>ing</w:t>
      </w:r>
      <w:r w:rsidRPr="003610BB">
        <w:t xml:space="preserve"> high priority tasks that </w:t>
      </w:r>
      <w:r>
        <w:t>re-</w:t>
      </w:r>
      <w:r w:rsidRPr="003610BB">
        <w:t>settl</w:t>
      </w:r>
      <w:r>
        <w:t>ement</w:t>
      </w:r>
      <w:r w:rsidRPr="003610BB">
        <w:t xml:space="preserve"> necessitates, </w:t>
      </w:r>
      <w:r>
        <w:t>such as house hunting, job searching</w:t>
      </w:r>
      <w:r w:rsidRPr="003610BB">
        <w:t xml:space="preserve"> and finding schools for children.</w:t>
      </w:r>
      <w:r>
        <w:t xml:space="preserve"> The initial months of re-settlement are particularly challenging for new Victorian residents holding an overseas licence issued in</w:t>
      </w:r>
      <w:r>
        <w:rPr>
          <w:rFonts w:cs="Segoe UI"/>
        </w:rPr>
        <w:t xml:space="preserve"> one </w:t>
      </w:r>
      <w:r>
        <w:rPr>
          <w:rFonts w:cs="Segoe UI"/>
        </w:rPr>
        <w:lastRenderedPageBreak/>
        <w:t>of the non-recognised countries.</w:t>
      </w:r>
      <w:bookmarkStart w:id="422" w:name="_Ref521403814"/>
      <w:r>
        <w:rPr>
          <w:rStyle w:val="EndnoteReference"/>
          <w:rFonts w:cs="Segoe UI"/>
        </w:rPr>
        <w:endnoteReference w:id="305"/>
      </w:r>
      <w:bookmarkEnd w:id="422"/>
      <w:r>
        <w:rPr>
          <w:rFonts w:cs="Segoe UI"/>
        </w:rPr>
        <w:t xml:space="preserve"> They are required to pass the computer-based road rules knowledge and hazard perception tests, and the practical drive test to acquire a Victorian licence. They need to allow for </w:t>
      </w:r>
      <w:r w:rsidRPr="008515AC">
        <w:t>the</w:t>
      </w:r>
      <w:r>
        <w:t xml:space="preserve"> </w:t>
      </w:r>
      <w:r w:rsidRPr="008515AC">
        <w:t xml:space="preserve">lead times </w:t>
      </w:r>
      <w:r>
        <w:t>relating to</w:t>
      </w:r>
      <w:r w:rsidRPr="008515AC">
        <w:t xml:space="preserve"> </w:t>
      </w:r>
      <w:r>
        <w:t xml:space="preserve">the </w:t>
      </w:r>
      <w:r w:rsidRPr="008515AC">
        <w:t>test booking process</w:t>
      </w:r>
      <w:r>
        <w:t xml:space="preserve">. It is important that they be allowed </w:t>
      </w:r>
      <w:r w:rsidRPr="005A3F37">
        <w:t xml:space="preserve">sufficient time to </w:t>
      </w:r>
      <w:r>
        <w:t xml:space="preserve">prepare for the </w:t>
      </w:r>
      <w:r w:rsidRPr="008515AC">
        <w:t>test</w:t>
      </w:r>
      <w:r>
        <w:t>s,</w:t>
      </w:r>
      <w:r w:rsidRPr="008515AC">
        <w:t xml:space="preserve"> </w:t>
      </w:r>
      <w:r w:rsidRPr="005A3F37">
        <w:t>acclimatise to driving conditions</w:t>
      </w:r>
      <w:r>
        <w:t xml:space="preserve"> in Victoria</w:t>
      </w:r>
      <w:r w:rsidRPr="005A3F37">
        <w:t xml:space="preserve">, </w:t>
      </w:r>
      <w:r>
        <w:t xml:space="preserve">and </w:t>
      </w:r>
      <w:r w:rsidRPr="005A3F37">
        <w:t>understand driving assessment requirements</w:t>
      </w:r>
      <w:r>
        <w:t xml:space="preserve"> in order to</w:t>
      </w:r>
      <w:r w:rsidRPr="005A3F37">
        <w:t xml:space="preserve"> improve their chances of passing the test</w:t>
      </w:r>
      <w:r>
        <w:t>s</w:t>
      </w:r>
      <w:r w:rsidRPr="005A3F37">
        <w:t xml:space="preserve"> at first attempt.</w:t>
      </w:r>
    </w:p>
    <w:p w14:paraId="0D6C8E3C" w14:textId="77777777" w:rsidR="00122C1B" w:rsidRDefault="00122C1B" w:rsidP="006713F9">
      <w:pPr>
        <w:pStyle w:val="Heading3"/>
      </w:pPr>
      <w:bookmarkStart w:id="423" w:name="_Toc511921475"/>
      <w:bookmarkStart w:id="424" w:name="_Toc511921669"/>
      <w:bookmarkStart w:id="425" w:name="_Toc512242244"/>
      <w:bookmarkStart w:id="426" w:name="_Toc512346997"/>
      <w:bookmarkStart w:id="427" w:name="_Toc513047220"/>
      <w:bookmarkStart w:id="428" w:name="_Toc513128995"/>
      <w:bookmarkStart w:id="429" w:name="_Toc513212984"/>
      <w:bookmarkStart w:id="430" w:name="_Toc513213191"/>
      <w:bookmarkStart w:id="431" w:name="_Toc513213401"/>
      <w:bookmarkStart w:id="432" w:name="_Toc513628811"/>
      <w:bookmarkStart w:id="433" w:name="_Toc10703435"/>
      <w:bookmarkEnd w:id="423"/>
      <w:bookmarkEnd w:id="424"/>
      <w:bookmarkEnd w:id="425"/>
      <w:bookmarkEnd w:id="426"/>
      <w:bookmarkEnd w:id="427"/>
      <w:bookmarkEnd w:id="428"/>
      <w:bookmarkEnd w:id="429"/>
      <w:bookmarkEnd w:id="430"/>
      <w:bookmarkEnd w:id="431"/>
      <w:bookmarkEnd w:id="432"/>
      <w:r>
        <w:t>Problem dimensions</w:t>
      </w:r>
      <w:bookmarkEnd w:id="433"/>
    </w:p>
    <w:p w14:paraId="18994EFE" w14:textId="2755E144" w:rsidR="00122C1B" w:rsidRDefault="00122C1B" w:rsidP="00DA40E0">
      <w:pPr>
        <w:pStyle w:val="TextPara"/>
        <w:rPr>
          <w:rFonts w:cs="Segoe UI"/>
        </w:rPr>
      </w:pPr>
      <w:r>
        <w:rPr>
          <w:rFonts w:cs="Segoe UI"/>
        </w:rPr>
        <w:t>In 2015-16</w:t>
      </w:r>
      <w:r w:rsidR="00C86389">
        <w:rPr>
          <w:rFonts w:cs="Segoe UI"/>
        </w:rPr>
        <w:t>,</w:t>
      </w:r>
      <w:r>
        <w:rPr>
          <w:rFonts w:cs="Segoe UI"/>
        </w:rPr>
        <w:t xml:space="preserve"> there were 138,000 people who migrated from overseas and became permanent or temporary residents of Victoria.</w:t>
      </w:r>
      <w:r>
        <w:rPr>
          <w:rStyle w:val="EndnoteReference"/>
          <w:rFonts w:cs="Segoe UI"/>
        </w:rPr>
        <w:endnoteReference w:id="306"/>
      </w:r>
      <w:r>
        <w:rPr>
          <w:rFonts w:cs="Segoe UI"/>
        </w:rPr>
        <w:t xml:space="preserve"> Of these, about 41,500 (30%) held a permanent visa and about 96,500 (70%) a temporary visa.</w:t>
      </w:r>
    </w:p>
    <w:p w14:paraId="4C782CC8" w14:textId="403F5845" w:rsidR="00122C1B" w:rsidRDefault="00122C1B" w:rsidP="00DA40E0">
      <w:pPr>
        <w:pStyle w:val="TextPara"/>
        <w:rPr>
          <w:rFonts w:cs="Segoe UI"/>
        </w:rPr>
      </w:pPr>
      <w:r w:rsidRPr="00117C96">
        <w:rPr>
          <w:rFonts w:cs="Segoe UI"/>
        </w:rPr>
        <w:t>In 2016 about 90,000 interstate drivers converted their interstate licence to a Victorian</w:t>
      </w:r>
      <w:r w:rsidR="00ED2AF7">
        <w:rPr>
          <w:rFonts w:cs="Segoe UI"/>
        </w:rPr>
        <w:t xml:space="preserve"> licence</w:t>
      </w:r>
      <w:r>
        <w:rPr>
          <w:rFonts w:cs="Segoe UI"/>
        </w:rPr>
        <w:t>, which is a straightforward process not requiring any drive test. A</w:t>
      </w:r>
      <w:r w:rsidRPr="00117C96">
        <w:rPr>
          <w:rFonts w:cs="Segoe UI"/>
        </w:rPr>
        <w:t xml:space="preserve">bout </w:t>
      </w:r>
      <w:r>
        <w:rPr>
          <w:rFonts w:cs="Segoe UI"/>
        </w:rPr>
        <w:t>4</w:t>
      </w:r>
      <w:r w:rsidRPr="00117C96">
        <w:rPr>
          <w:rFonts w:cs="Segoe UI"/>
        </w:rPr>
        <w:t xml:space="preserve">2,100 </w:t>
      </w:r>
      <w:r>
        <w:rPr>
          <w:rFonts w:cs="Segoe UI"/>
        </w:rPr>
        <w:t xml:space="preserve">overseas drivers (about </w:t>
      </w:r>
      <w:r w:rsidRPr="000A2512">
        <w:rPr>
          <w:rFonts w:cs="Segoe UI"/>
        </w:rPr>
        <w:t>30%</w:t>
      </w:r>
      <w:r>
        <w:rPr>
          <w:rFonts w:cs="Segoe UI"/>
        </w:rPr>
        <w:t xml:space="preserve"> of new </w:t>
      </w:r>
      <w:r w:rsidRPr="000A2512">
        <w:rPr>
          <w:rFonts w:cs="Segoe UI"/>
        </w:rPr>
        <w:t>arrivals almost equally split between permanent and temporary visa holders) conve</w:t>
      </w:r>
      <w:r w:rsidRPr="00117C96">
        <w:rPr>
          <w:rFonts w:cs="Segoe UI"/>
        </w:rPr>
        <w:t xml:space="preserve">rted their overseas licence to a Victorian licence. </w:t>
      </w:r>
      <w:r>
        <w:rPr>
          <w:rFonts w:cs="Segoe UI"/>
        </w:rPr>
        <w:t xml:space="preserve">Of these, </w:t>
      </w:r>
      <w:r w:rsidRPr="00117C96">
        <w:rPr>
          <w:rFonts w:cs="Segoe UI"/>
        </w:rPr>
        <w:t xml:space="preserve">22,900 overseas drivers </w:t>
      </w:r>
      <w:r>
        <w:rPr>
          <w:rFonts w:cs="Segoe UI"/>
        </w:rPr>
        <w:t>did not require a driving test as their licence was issued by a recognised country.</w:t>
      </w:r>
      <w:r>
        <w:rPr>
          <w:rFonts w:cs="Segoe UI"/>
        </w:rPr>
        <w:fldChar w:fldCharType="begin"/>
      </w:r>
      <w:r>
        <w:rPr>
          <w:rFonts w:cs="Segoe UI"/>
        </w:rPr>
        <w:instrText xml:space="preserve"> NOTEREF _Ref521403814 \f \h </w:instrText>
      </w:r>
      <w:r>
        <w:rPr>
          <w:rFonts w:cs="Segoe UI"/>
        </w:rPr>
      </w:r>
      <w:r>
        <w:rPr>
          <w:rFonts w:cs="Segoe UI"/>
        </w:rPr>
        <w:fldChar w:fldCharType="separate"/>
      </w:r>
      <w:r w:rsidR="00EB4B02" w:rsidRPr="00EB4B02">
        <w:rPr>
          <w:rStyle w:val="EndnoteReference"/>
        </w:rPr>
        <w:t>304</w:t>
      </w:r>
      <w:r>
        <w:rPr>
          <w:rFonts w:cs="Segoe UI"/>
        </w:rPr>
        <w:fldChar w:fldCharType="end"/>
      </w:r>
      <w:r>
        <w:rPr>
          <w:rFonts w:cs="Segoe UI"/>
        </w:rPr>
        <w:t xml:space="preserve"> The remaining </w:t>
      </w:r>
      <w:r w:rsidRPr="00117C96">
        <w:rPr>
          <w:rFonts w:cs="Segoe UI"/>
        </w:rPr>
        <w:t xml:space="preserve">19,200 </w:t>
      </w:r>
      <w:r>
        <w:rPr>
          <w:rFonts w:cs="Segoe UI"/>
        </w:rPr>
        <w:t>drivers came from non-recognised countries</w:t>
      </w:r>
      <w:r>
        <w:rPr>
          <w:rFonts w:cs="Segoe UI"/>
        </w:rPr>
        <w:fldChar w:fldCharType="begin"/>
      </w:r>
      <w:r>
        <w:rPr>
          <w:rFonts w:cs="Segoe UI"/>
        </w:rPr>
        <w:instrText xml:space="preserve"> NOTEREF _Ref521403814 \f \h </w:instrText>
      </w:r>
      <w:r>
        <w:rPr>
          <w:rFonts w:cs="Segoe UI"/>
        </w:rPr>
      </w:r>
      <w:r>
        <w:rPr>
          <w:rFonts w:cs="Segoe UI"/>
        </w:rPr>
        <w:fldChar w:fldCharType="separate"/>
      </w:r>
      <w:r w:rsidR="00EB4B02" w:rsidRPr="00EB4B02">
        <w:rPr>
          <w:rStyle w:val="EndnoteReference"/>
        </w:rPr>
        <w:t>304</w:t>
      </w:r>
      <w:r>
        <w:rPr>
          <w:rFonts w:cs="Segoe UI"/>
        </w:rPr>
        <w:fldChar w:fldCharType="end"/>
      </w:r>
      <w:r>
        <w:rPr>
          <w:rFonts w:cs="Segoe UI"/>
        </w:rPr>
        <w:t xml:space="preserve"> and </w:t>
      </w:r>
      <w:r w:rsidRPr="00117C96">
        <w:rPr>
          <w:rFonts w:cs="Segoe UI"/>
        </w:rPr>
        <w:t xml:space="preserve">undertook about 37,000 driving assessments to convert </w:t>
      </w:r>
      <w:r>
        <w:rPr>
          <w:rFonts w:cs="Segoe UI"/>
        </w:rPr>
        <w:t xml:space="preserve">their licence </w:t>
      </w:r>
      <w:r w:rsidRPr="00117C96">
        <w:rPr>
          <w:rFonts w:cs="Segoe UI"/>
        </w:rPr>
        <w:t>with a drive test pass rate of 58%</w:t>
      </w:r>
      <w:r>
        <w:rPr>
          <w:rFonts w:cs="Segoe UI"/>
        </w:rPr>
        <w:t xml:space="preserve"> (equivalent to an average of almost two attempts per driver).</w:t>
      </w:r>
    </w:p>
    <w:p w14:paraId="395ACB93" w14:textId="7E655279" w:rsidR="00122C1B" w:rsidRPr="00117C96" w:rsidRDefault="00122C1B" w:rsidP="00DA40E0">
      <w:pPr>
        <w:pStyle w:val="TextPara"/>
        <w:rPr>
          <w:rFonts w:cs="Segoe UI"/>
        </w:rPr>
      </w:pPr>
      <w:r>
        <w:rPr>
          <w:rFonts w:cs="Segoe UI"/>
        </w:rPr>
        <w:t>A</w:t>
      </w:r>
      <w:r w:rsidRPr="00117C96">
        <w:rPr>
          <w:rFonts w:cs="Segoe UI"/>
        </w:rPr>
        <w:t xml:space="preserve"> survey </w:t>
      </w:r>
      <w:r>
        <w:rPr>
          <w:rFonts w:cs="Segoe UI"/>
        </w:rPr>
        <w:t xml:space="preserve">of all overseas licence conversions was </w:t>
      </w:r>
      <w:r w:rsidRPr="00117C96">
        <w:rPr>
          <w:rFonts w:cs="Segoe UI"/>
        </w:rPr>
        <w:t>conducted between March and May 2017 at four major VicRoads Customer Service Centres (</w:t>
      </w:r>
      <w:r>
        <w:rPr>
          <w:rFonts w:cs="Segoe UI"/>
        </w:rPr>
        <w:t xml:space="preserve">in </w:t>
      </w:r>
      <w:r w:rsidRPr="00117C96">
        <w:rPr>
          <w:rFonts w:cs="Segoe UI"/>
        </w:rPr>
        <w:t>Carlton, Burwood, Dandenong</w:t>
      </w:r>
      <w:r>
        <w:rPr>
          <w:rFonts w:cs="Segoe UI"/>
        </w:rPr>
        <w:t xml:space="preserve"> and</w:t>
      </w:r>
      <w:r w:rsidRPr="00117C96">
        <w:rPr>
          <w:rFonts w:cs="Segoe UI"/>
        </w:rPr>
        <w:t xml:space="preserve"> Broadmeadows), where there is a </w:t>
      </w:r>
      <w:r>
        <w:rPr>
          <w:rFonts w:cs="Segoe UI"/>
        </w:rPr>
        <w:t>mix</w:t>
      </w:r>
      <w:r w:rsidRPr="00117C96">
        <w:rPr>
          <w:rFonts w:cs="Segoe UI"/>
        </w:rPr>
        <w:t xml:space="preserve"> of overseas students and a reasonable number of temporary work visa holders. Just over half of the overseas licence conversions (5</w:t>
      </w:r>
      <w:r>
        <w:rPr>
          <w:rFonts w:cs="Segoe UI"/>
        </w:rPr>
        <w:t>1</w:t>
      </w:r>
      <w:r w:rsidRPr="00117C96">
        <w:rPr>
          <w:rFonts w:cs="Segoe UI"/>
        </w:rPr>
        <w:t xml:space="preserve">%) </w:t>
      </w:r>
      <w:r>
        <w:rPr>
          <w:rFonts w:cs="Segoe UI"/>
        </w:rPr>
        <w:t xml:space="preserve">related to temporary visa holders, even </w:t>
      </w:r>
      <w:r w:rsidRPr="00117C96">
        <w:rPr>
          <w:rFonts w:cs="Segoe UI"/>
        </w:rPr>
        <w:t xml:space="preserve">though there is </w:t>
      </w:r>
      <w:r>
        <w:rPr>
          <w:rFonts w:cs="Segoe UI"/>
        </w:rPr>
        <w:t xml:space="preserve">currently </w:t>
      </w:r>
      <w:r w:rsidRPr="00117C96">
        <w:rPr>
          <w:rFonts w:cs="Segoe UI"/>
        </w:rPr>
        <w:t>no requirement for them to convert their licence</w:t>
      </w:r>
      <w:r>
        <w:rPr>
          <w:rFonts w:cs="Segoe UI"/>
        </w:rPr>
        <w:t>, and just under half (49%) to permanent visa holders</w:t>
      </w:r>
      <w:r w:rsidRPr="00117C96">
        <w:rPr>
          <w:rFonts w:cs="Segoe UI"/>
        </w:rPr>
        <w:t xml:space="preserve">. </w:t>
      </w:r>
      <w:r w:rsidR="00005479">
        <w:rPr>
          <w:rFonts w:cs="Segoe UI"/>
        </w:rPr>
        <w:t xml:space="preserve">It should be noted </w:t>
      </w:r>
      <w:r w:rsidR="00B45AB6">
        <w:rPr>
          <w:rFonts w:cs="Segoe UI"/>
        </w:rPr>
        <w:t xml:space="preserve">that </w:t>
      </w:r>
      <w:r w:rsidR="00005479">
        <w:rPr>
          <w:rFonts w:cs="Segoe UI"/>
        </w:rPr>
        <w:t>because of the higher student and temporary work visa holder population near these four service centres, the state</w:t>
      </w:r>
      <w:r w:rsidR="003223A4">
        <w:rPr>
          <w:rFonts w:cs="Segoe UI"/>
        </w:rPr>
        <w:t>-</w:t>
      </w:r>
      <w:r w:rsidR="00005479">
        <w:rPr>
          <w:rFonts w:cs="Segoe UI"/>
        </w:rPr>
        <w:t xml:space="preserve">wide proportion of temporary visa holders converting licences may be lower. </w:t>
      </w:r>
      <w:r w:rsidRPr="00117C96">
        <w:rPr>
          <w:rFonts w:cs="Segoe UI"/>
        </w:rPr>
        <w:t>Of the temporary</w:t>
      </w:r>
      <w:r w:rsidR="00110466">
        <w:rPr>
          <w:rFonts w:cs="Segoe UI"/>
        </w:rPr>
        <w:t xml:space="preserve"> </w:t>
      </w:r>
      <w:r w:rsidRPr="00117C96">
        <w:rPr>
          <w:rFonts w:cs="Segoe UI"/>
        </w:rPr>
        <w:t>visa</w:t>
      </w:r>
      <w:r w:rsidR="00110466">
        <w:rPr>
          <w:rFonts w:cs="Segoe UI"/>
        </w:rPr>
        <w:t xml:space="preserve"> </w:t>
      </w:r>
      <w:r w:rsidRPr="00117C96">
        <w:rPr>
          <w:rFonts w:cs="Segoe UI"/>
        </w:rPr>
        <w:t xml:space="preserve">holders </w:t>
      </w:r>
      <w:r>
        <w:rPr>
          <w:rFonts w:cs="Segoe UI"/>
        </w:rPr>
        <w:t>group</w:t>
      </w:r>
      <w:r w:rsidRPr="00117C96">
        <w:rPr>
          <w:rFonts w:cs="Segoe UI"/>
        </w:rPr>
        <w:t xml:space="preserve">, 41% </w:t>
      </w:r>
      <w:r>
        <w:rPr>
          <w:rFonts w:cs="Segoe UI"/>
        </w:rPr>
        <w:t xml:space="preserve">were </w:t>
      </w:r>
      <w:r w:rsidRPr="00117C96">
        <w:rPr>
          <w:rFonts w:cs="Segoe UI"/>
        </w:rPr>
        <w:t xml:space="preserve">required to undertake a drive test </w:t>
      </w:r>
      <w:r>
        <w:rPr>
          <w:rFonts w:cs="Segoe UI"/>
        </w:rPr>
        <w:t xml:space="preserve">as they originated </w:t>
      </w:r>
      <w:r w:rsidRPr="00117C96">
        <w:rPr>
          <w:rFonts w:cs="Segoe UI"/>
        </w:rPr>
        <w:t>from non-recognised countries.</w:t>
      </w:r>
    </w:p>
    <w:p w14:paraId="6B4094DA" w14:textId="3148DE6D" w:rsidR="00122C1B" w:rsidRDefault="00122C1B" w:rsidP="00DA40E0">
      <w:pPr>
        <w:pStyle w:val="TextPara"/>
        <w:spacing w:after="0"/>
        <w:rPr>
          <w:rFonts w:cs="Segoe UI"/>
        </w:rPr>
      </w:pPr>
      <w:r>
        <w:rPr>
          <w:rFonts w:cs="Segoe UI"/>
        </w:rPr>
        <w:t>Fr</w:t>
      </w:r>
      <w:r w:rsidRPr="00117C96">
        <w:rPr>
          <w:rFonts w:cs="Segoe UI"/>
        </w:rPr>
        <w:t>om Aug</w:t>
      </w:r>
      <w:r>
        <w:rPr>
          <w:rFonts w:cs="Segoe UI"/>
        </w:rPr>
        <w:t>ust</w:t>
      </w:r>
      <w:r w:rsidRPr="00117C96">
        <w:rPr>
          <w:rFonts w:cs="Segoe UI"/>
        </w:rPr>
        <w:t xml:space="preserve"> 2015 to July 2016</w:t>
      </w:r>
      <w:r>
        <w:rPr>
          <w:rFonts w:cs="Segoe UI"/>
        </w:rPr>
        <w:t xml:space="preserve">, </w:t>
      </w:r>
      <w:r w:rsidRPr="00117C96">
        <w:rPr>
          <w:rFonts w:cs="Segoe UI"/>
        </w:rPr>
        <w:t xml:space="preserve">there were 19,194 drivers from non-recognised countries and 22,942 from recognised countries who converted to Victorian licences. Applying the </w:t>
      </w:r>
      <w:r>
        <w:rPr>
          <w:rFonts w:cs="Segoe UI"/>
        </w:rPr>
        <w:t>percent</w:t>
      </w:r>
      <w:r w:rsidRPr="00117C96">
        <w:rPr>
          <w:rFonts w:cs="Segoe UI"/>
        </w:rPr>
        <w:t>age figures from the survey results to the figure of 19,194 drivers, who converted licences issued by non-recognised countries, the current overseas licence conversion volume breakdown was derived as shown in</w:t>
      </w:r>
      <w:r>
        <w:rPr>
          <w:rFonts w:cs="Segoe UI"/>
        </w:rPr>
        <w:t xml:space="preserve"> </w:t>
      </w:r>
      <w:r>
        <w:rPr>
          <w:rFonts w:cs="Segoe UI"/>
        </w:rPr>
        <w:fldChar w:fldCharType="begin"/>
      </w:r>
      <w:r>
        <w:rPr>
          <w:rFonts w:cs="Segoe UI"/>
        </w:rPr>
        <w:instrText xml:space="preserve"> REF _Ref499904682 \h </w:instrText>
      </w:r>
      <w:r>
        <w:rPr>
          <w:rFonts w:cs="Segoe UI"/>
        </w:rPr>
      </w:r>
      <w:r>
        <w:rPr>
          <w:rFonts w:cs="Segoe UI"/>
        </w:rPr>
        <w:fldChar w:fldCharType="separate"/>
      </w:r>
      <w:r w:rsidR="00EB4B02" w:rsidRPr="00117C96">
        <w:t xml:space="preserve">Table </w:t>
      </w:r>
      <w:r w:rsidR="00EB4B02">
        <w:rPr>
          <w:noProof/>
        </w:rPr>
        <w:t>21</w:t>
      </w:r>
      <w:r>
        <w:rPr>
          <w:rFonts w:cs="Segoe UI"/>
        </w:rPr>
        <w:fldChar w:fldCharType="end"/>
      </w:r>
      <w:r w:rsidRPr="00117C96">
        <w:rPr>
          <w:rFonts w:cs="Segoe UI"/>
        </w:rPr>
        <w:t>.</w:t>
      </w:r>
    </w:p>
    <w:p w14:paraId="279B4FDB" w14:textId="249D397F" w:rsidR="00122C1B" w:rsidRPr="00117C96" w:rsidRDefault="00122C1B" w:rsidP="00DA40E0">
      <w:pPr>
        <w:pStyle w:val="Caption"/>
      </w:pPr>
      <w:bookmarkStart w:id="434" w:name="_Ref499904682"/>
      <w:bookmarkStart w:id="435" w:name="_Toc10703714"/>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21</w:t>
      </w:r>
      <w:r w:rsidR="00BC6B2E">
        <w:rPr>
          <w:noProof/>
        </w:rPr>
        <w:fldChar w:fldCharType="end"/>
      </w:r>
      <w:bookmarkEnd w:id="434"/>
      <w:r w:rsidRPr="00117C96">
        <w:t xml:space="preserve"> – Current overseas driver licence conversion volumes (Aug 2015-July 2016)</w:t>
      </w:r>
      <w:bookmarkEnd w:id="435"/>
    </w:p>
    <w:tbl>
      <w:tblPr>
        <w:tblStyle w:val="RIS-Table2"/>
        <w:tblW w:w="9497" w:type="dxa"/>
        <w:tblLayout w:type="fixed"/>
        <w:tblLook w:val="04A0" w:firstRow="1" w:lastRow="0" w:firstColumn="1" w:lastColumn="0" w:noHBand="0" w:noVBand="1"/>
      </w:tblPr>
      <w:tblGrid>
        <w:gridCol w:w="2410"/>
        <w:gridCol w:w="1418"/>
        <w:gridCol w:w="1417"/>
        <w:gridCol w:w="2126"/>
        <w:gridCol w:w="2126"/>
      </w:tblGrid>
      <w:tr w:rsidR="00122C1B" w:rsidRPr="00117C96" w14:paraId="1274B7E3" w14:textId="77777777" w:rsidTr="00EF3D55">
        <w:trPr>
          <w:cnfStyle w:val="100000000000" w:firstRow="1" w:lastRow="0" w:firstColumn="0" w:lastColumn="0" w:oddVBand="0" w:evenVBand="0" w:oddHBand="0" w:evenHBand="0" w:firstRowFirstColumn="0" w:firstRowLastColumn="0" w:lastRowFirstColumn="0" w:lastRowLastColumn="0"/>
        </w:trPr>
        <w:tc>
          <w:tcPr>
            <w:tcW w:w="2410" w:type="dxa"/>
          </w:tcPr>
          <w:p w14:paraId="0C534453" w14:textId="77777777" w:rsidR="00122C1B" w:rsidRPr="00117C96" w:rsidRDefault="00122C1B" w:rsidP="00EF3D55">
            <w:pPr>
              <w:pStyle w:val="TableHeaders"/>
            </w:pPr>
            <w:r w:rsidRPr="00117C96">
              <w:t>Licence Conversion</w:t>
            </w:r>
          </w:p>
        </w:tc>
        <w:tc>
          <w:tcPr>
            <w:tcW w:w="1418" w:type="dxa"/>
          </w:tcPr>
          <w:p w14:paraId="7170EDBB" w14:textId="77777777" w:rsidR="00122C1B" w:rsidRPr="00117C96" w:rsidRDefault="00122C1B" w:rsidP="00EF3D55">
            <w:pPr>
              <w:pStyle w:val="TableHeaders"/>
            </w:pPr>
            <w:r w:rsidRPr="00117C96">
              <w:t>Licences</w:t>
            </w:r>
            <w:r>
              <w:t xml:space="preserve"> (</w:t>
            </w:r>
            <w:r w:rsidRPr="00117C96">
              <w:t>No.</w:t>
            </w:r>
            <w:r>
              <w:t>)</w:t>
            </w:r>
          </w:p>
        </w:tc>
        <w:tc>
          <w:tcPr>
            <w:tcW w:w="1417" w:type="dxa"/>
          </w:tcPr>
          <w:p w14:paraId="145D0703" w14:textId="77777777" w:rsidR="00122C1B" w:rsidRPr="00117C96" w:rsidRDefault="00122C1B" w:rsidP="00EF3D55">
            <w:pPr>
              <w:pStyle w:val="TableHeaders"/>
            </w:pPr>
            <w:r w:rsidRPr="00117C96">
              <w:t>Licences</w:t>
            </w:r>
            <w:r>
              <w:t xml:space="preserve"> (%)</w:t>
            </w:r>
          </w:p>
        </w:tc>
        <w:tc>
          <w:tcPr>
            <w:tcW w:w="2126" w:type="dxa"/>
          </w:tcPr>
          <w:p w14:paraId="4FE2BD1B" w14:textId="77777777" w:rsidR="00122C1B" w:rsidRPr="00117C96" w:rsidRDefault="00122C1B" w:rsidP="00EF3D55">
            <w:pPr>
              <w:pStyle w:val="TableHeaders"/>
            </w:pPr>
            <w:r w:rsidRPr="00117C96">
              <w:t>Permanent Visa</w:t>
            </w:r>
            <w:r>
              <w:t xml:space="preserve"> (</w:t>
            </w:r>
            <w:r w:rsidRPr="00117C96">
              <w:t>No.</w:t>
            </w:r>
            <w:r>
              <w:t>)</w:t>
            </w:r>
            <w:r w:rsidR="00005479">
              <w:t>*</w:t>
            </w:r>
          </w:p>
        </w:tc>
        <w:tc>
          <w:tcPr>
            <w:tcW w:w="2126" w:type="dxa"/>
          </w:tcPr>
          <w:p w14:paraId="487D856E" w14:textId="77777777" w:rsidR="00122C1B" w:rsidRPr="00117C96" w:rsidRDefault="00122C1B" w:rsidP="00EF3D55">
            <w:pPr>
              <w:pStyle w:val="TableHeaders"/>
            </w:pPr>
            <w:r w:rsidRPr="00117C96">
              <w:t xml:space="preserve">Temporary Visa </w:t>
            </w:r>
            <w:r>
              <w:t>(</w:t>
            </w:r>
            <w:r w:rsidRPr="00117C96">
              <w:t>No.</w:t>
            </w:r>
            <w:r>
              <w:t>)</w:t>
            </w:r>
          </w:p>
        </w:tc>
      </w:tr>
      <w:tr w:rsidR="00122C1B" w:rsidRPr="00D63BE4" w14:paraId="63BA057B" w14:textId="77777777" w:rsidTr="00EF3D55">
        <w:tc>
          <w:tcPr>
            <w:tcW w:w="2410" w:type="dxa"/>
          </w:tcPr>
          <w:p w14:paraId="22BF3AA9" w14:textId="77777777" w:rsidR="00122C1B" w:rsidRPr="00D63BE4" w:rsidRDefault="00122C1B" w:rsidP="00EF3D55">
            <w:pPr>
              <w:pStyle w:val="TableParagraph"/>
            </w:pPr>
            <w:r w:rsidRPr="00D63BE4">
              <w:t>Non-Recognised Countries</w:t>
            </w:r>
          </w:p>
        </w:tc>
        <w:tc>
          <w:tcPr>
            <w:tcW w:w="1418" w:type="dxa"/>
          </w:tcPr>
          <w:p w14:paraId="1D3A2BE8" w14:textId="77777777" w:rsidR="00122C1B" w:rsidRPr="00D63BE4" w:rsidRDefault="00122C1B" w:rsidP="00EF3D55">
            <w:pPr>
              <w:pStyle w:val="TableParagraph"/>
              <w:ind w:right="145"/>
              <w:jc w:val="right"/>
            </w:pPr>
            <w:r w:rsidRPr="00D63BE4">
              <w:t xml:space="preserve">     19,194</w:t>
            </w:r>
          </w:p>
        </w:tc>
        <w:tc>
          <w:tcPr>
            <w:tcW w:w="1417" w:type="dxa"/>
          </w:tcPr>
          <w:p w14:paraId="5BB313D5" w14:textId="77777777" w:rsidR="00122C1B" w:rsidRPr="00D63BE4" w:rsidRDefault="00122C1B" w:rsidP="00EF3D55">
            <w:pPr>
              <w:pStyle w:val="TableParagraph"/>
              <w:ind w:right="145"/>
              <w:jc w:val="right"/>
            </w:pPr>
            <w:r>
              <w:t>45.5</w:t>
            </w:r>
          </w:p>
        </w:tc>
        <w:tc>
          <w:tcPr>
            <w:tcW w:w="2126" w:type="dxa"/>
          </w:tcPr>
          <w:p w14:paraId="000CC732" w14:textId="77777777" w:rsidR="00122C1B" w:rsidRPr="00D63BE4" w:rsidRDefault="00122C1B" w:rsidP="00EF3D55">
            <w:pPr>
              <w:pStyle w:val="TableParagraph"/>
              <w:ind w:right="145"/>
              <w:jc w:val="right"/>
            </w:pPr>
            <w:r w:rsidRPr="00D63BE4">
              <w:t>10,449</w:t>
            </w:r>
          </w:p>
        </w:tc>
        <w:tc>
          <w:tcPr>
            <w:tcW w:w="2126" w:type="dxa"/>
          </w:tcPr>
          <w:p w14:paraId="05428376" w14:textId="77777777" w:rsidR="00122C1B" w:rsidRPr="00D63BE4" w:rsidRDefault="00122C1B" w:rsidP="00EF3D55">
            <w:pPr>
              <w:pStyle w:val="TableParagraph"/>
              <w:ind w:right="145"/>
              <w:jc w:val="right"/>
            </w:pPr>
            <w:r w:rsidRPr="00D63BE4">
              <w:t>8,745</w:t>
            </w:r>
          </w:p>
        </w:tc>
      </w:tr>
      <w:tr w:rsidR="00122C1B" w:rsidRPr="00117C96" w14:paraId="08D8D09D" w14:textId="77777777" w:rsidTr="00EF3D55">
        <w:trPr>
          <w:cnfStyle w:val="000000010000" w:firstRow="0" w:lastRow="0" w:firstColumn="0" w:lastColumn="0" w:oddVBand="0" w:evenVBand="0" w:oddHBand="0" w:evenHBand="1" w:firstRowFirstColumn="0" w:firstRowLastColumn="0" w:lastRowFirstColumn="0" w:lastRowLastColumn="0"/>
        </w:trPr>
        <w:tc>
          <w:tcPr>
            <w:tcW w:w="2410" w:type="dxa"/>
          </w:tcPr>
          <w:p w14:paraId="72712F58" w14:textId="77777777" w:rsidR="00122C1B" w:rsidRPr="00117C96" w:rsidRDefault="00122C1B" w:rsidP="00EF3D55">
            <w:pPr>
              <w:pStyle w:val="TableParagraph"/>
              <w:rPr>
                <w:color w:val="37424A"/>
              </w:rPr>
            </w:pPr>
            <w:r w:rsidRPr="00117C96">
              <w:t>Recognised Countries</w:t>
            </w:r>
          </w:p>
        </w:tc>
        <w:tc>
          <w:tcPr>
            <w:tcW w:w="1418" w:type="dxa"/>
          </w:tcPr>
          <w:p w14:paraId="7B322DAA" w14:textId="77777777" w:rsidR="00122C1B" w:rsidRPr="00117C96" w:rsidRDefault="00122C1B" w:rsidP="00EF3D55">
            <w:pPr>
              <w:pStyle w:val="TableParagraph"/>
              <w:ind w:right="145"/>
              <w:jc w:val="right"/>
            </w:pPr>
            <w:r w:rsidRPr="00117C96">
              <w:t xml:space="preserve">     22,942 </w:t>
            </w:r>
          </w:p>
        </w:tc>
        <w:tc>
          <w:tcPr>
            <w:tcW w:w="1417" w:type="dxa"/>
          </w:tcPr>
          <w:p w14:paraId="4F0EC5C6" w14:textId="77777777" w:rsidR="00122C1B" w:rsidRPr="00117C96" w:rsidRDefault="00122C1B" w:rsidP="00EF3D55">
            <w:pPr>
              <w:pStyle w:val="TableParagraph"/>
              <w:ind w:right="145"/>
              <w:jc w:val="right"/>
            </w:pPr>
            <w:r>
              <w:t>54.5</w:t>
            </w:r>
          </w:p>
        </w:tc>
        <w:tc>
          <w:tcPr>
            <w:tcW w:w="2126" w:type="dxa"/>
          </w:tcPr>
          <w:p w14:paraId="04C60FE1" w14:textId="77777777" w:rsidR="00122C1B" w:rsidRPr="00117C96" w:rsidRDefault="00122C1B" w:rsidP="00EF3D55">
            <w:pPr>
              <w:pStyle w:val="TableParagraph"/>
              <w:ind w:right="145"/>
              <w:jc w:val="right"/>
            </w:pPr>
            <w:r w:rsidRPr="00117C96">
              <w:t>10,335</w:t>
            </w:r>
          </w:p>
        </w:tc>
        <w:tc>
          <w:tcPr>
            <w:tcW w:w="2126" w:type="dxa"/>
          </w:tcPr>
          <w:p w14:paraId="3D5BE123" w14:textId="77777777" w:rsidR="00122C1B" w:rsidRPr="00117C96" w:rsidRDefault="00122C1B" w:rsidP="00EF3D55">
            <w:pPr>
              <w:pStyle w:val="TableParagraph"/>
              <w:ind w:right="145"/>
              <w:jc w:val="right"/>
            </w:pPr>
            <w:r w:rsidRPr="00117C96">
              <w:t>12,607</w:t>
            </w:r>
          </w:p>
        </w:tc>
      </w:tr>
      <w:tr w:rsidR="00122C1B" w:rsidRPr="00783DFB" w14:paraId="3529A712" w14:textId="77777777" w:rsidTr="00EF3D55">
        <w:tc>
          <w:tcPr>
            <w:tcW w:w="2410" w:type="dxa"/>
            <w:shd w:val="clear" w:color="auto" w:fill="DDE8F4" w:themeFill="text2" w:themeFillTint="1A"/>
          </w:tcPr>
          <w:p w14:paraId="00C7C2CC" w14:textId="77777777" w:rsidR="00122C1B" w:rsidRPr="00783DFB" w:rsidRDefault="00122C1B" w:rsidP="00EF3D55">
            <w:pPr>
              <w:pStyle w:val="TableParagraph"/>
              <w:rPr>
                <w:b/>
                <w:color w:val="37424A"/>
              </w:rPr>
            </w:pPr>
            <w:r>
              <w:rPr>
                <w:b/>
              </w:rPr>
              <w:t>Total</w:t>
            </w:r>
          </w:p>
        </w:tc>
        <w:tc>
          <w:tcPr>
            <w:tcW w:w="1418" w:type="dxa"/>
            <w:shd w:val="clear" w:color="auto" w:fill="DDE8F4" w:themeFill="text2" w:themeFillTint="1A"/>
          </w:tcPr>
          <w:p w14:paraId="0A88C296" w14:textId="77777777" w:rsidR="00122C1B" w:rsidRPr="00783DFB" w:rsidRDefault="00122C1B" w:rsidP="00EF3D55">
            <w:pPr>
              <w:pStyle w:val="TableParagraph"/>
              <w:ind w:right="145"/>
              <w:jc w:val="right"/>
              <w:rPr>
                <w:b/>
              </w:rPr>
            </w:pPr>
            <w:r w:rsidRPr="00783DFB">
              <w:rPr>
                <w:b/>
              </w:rPr>
              <w:t xml:space="preserve">     42,136</w:t>
            </w:r>
          </w:p>
        </w:tc>
        <w:tc>
          <w:tcPr>
            <w:tcW w:w="1417" w:type="dxa"/>
            <w:shd w:val="clear" w:color="auto" w:fill="DDE8F4" w:themeFill="text2" w:themeFillTint="1A"/>
          </w:tcPr>
          <w:p w14:paraId="3B9DA9FE" w14:textId="77777777" w:rsidR="00122C1B" w:rsidRPr="00783DFB" w:rsidRDefault="00122C1B" w:rsidP="00EF3D55">
            <w:pPr>
              <w:pStyle w:val="TableParagraph"/>
              <w:ind w:right="145"/>
              <w:jc w:val="right"/>
              <w:rPr>
                <w:b/>
              </w:rPr>
            </w:pPr>
            <w:r w:rsidRPr="00783DFB">
              <w:rPr>
                <w:b/>
              </w:rPr>
              <w:t>100</w:t>
            </w:r>
            <w:r>
              <w:rPr>
                <w:b/>
              </w:rPr>
              <w:t>.0</w:t>
            </w:r>
          </w:p>
        </w:tc>
        <w:tc>
          <w:tcPr>
            <w:tcW w:w="2126" w:type="dxa"/>
            <w:shd w:val="clear" w:color="auto" w:fill="DDE8F4" w:themeFill="text2" w:themeFillTint="1A"/>
          </w:tcPr>
          <w:p w14:paraId="2A8F4EC7" w14:textId="77777777" w:rsidR="00122C1B" w:rsidRPr="00783DFB" w:rsidRDefault="00122C1B" w:rsidP="00EF3D55">
            <w:pPr>
              <w:pStyle w:val="TableParagraph"/>
              <w:ind w:right="145"/>
              <w:jc w:val="right"/>
              <w:rPr>
                <w:b/>
              </w:rPr>
            </w:pPr>
            <w:r w:rsidRPr="00783DFB">
              <w:rPr>
                <w:b/>
              </w:rPr>
              <w:t>20,784</w:t>
            </w:r>
          </w:p>
        </w:tc>
        <w:tc>
          <w:tcPr>
            <w:tcW w:w="2126" w:type="dxa"/>
            <w:shd w:val="clear" w:color="auto" w:fill="DDE8F4" w:themeFill="text2" w:themeFillTint="1A"/>
          </w:tcPr>
          <w:p w14:paraId="56CDEDD3" w14:textId="77777777" w:rsidR="00122C1B" w:rsidRPr="00783DFB" w:rsidRDefault="00122C1B" w:rsidP="00EF3D55">
            <w:pPr>
              <w:pStyle w:val="TableParagraph"/>
              <w:ind w:right="145"/>
              <w:jc w:val="right"/>
              <w:rPr>
                <w:b/>
              </w:rPr>
            </w:pPr>
            <w:r w:rsidRPr="00783DFB">
              <w:rPr>
                <w:b/>
              </w:rPr>
              <w:t>21,352</w:t>
            </w:r>
          </w:p>
        </w:tc>
      </w:tr>
    </w:tbl>
    <w:p w14:paraId="19FB3B34" w14:textId="77777777" w:rsidR="003223A4" w:rsidRDefault="003223A4" w:rsidP="00E74EF3">
      <w:pPr>
        <w:pStyle w:val="TableParagraph"/>
        <w:spacing w:after="120"/>
        <w:ind w:left="851"/>
      </w:pPr>
      <w:r>
        <w:t>*</w:t>
      </w:r>
      <w:r w:rsidR="00E74EF3">
        <w:t xml:space="preserve"> </w:t>
      </w:r>
      <w:r>
        <w:t xml:space="preserve">Extrapolated based on four major service centres. May not be representative of </w:t>
      </w:r>
      <w:r w:rsidR="00E74EF3">
        <w:t>Victoria</w:t>
      </w:r>
      <w:r>
        <w:t xml:space="preserve"> as</w:t>
      </w:r>
      <w:r w:rsidR="00E74EF3">
        <w:t xml:space="preserve"> a</w:t>
      </w:r>
      <w:r>
        <w:t xml:space="preserve"> whole.</w:t>
      </w:r>
    </w:p>
    <w:p w14:paraId="561AEF50" w14:textId="77777777" w:rsidR="00122C1B" w:rsidRDefault="00122C1B" w:rsidP="00DA40E0">
      <w:pPr>
        <w:pStyle w:val="Source"/>
      </w:pPr>
      <w:r w:rsidRPr="00117C96">
        <w:t>Source: VicRoads DLS and CSCs Survey March-May 2017</w:t>
      </w:r>
    </w:p>
    <w:p w14:paraId="625BBD75" w14:textId="77777777" w:rsidR="00122C1B" w:rsidRPr="00117C96" w:rsidRDefault="00122C1B" w:rsidP="001A063E">
      <w:pPr>
        <w:pStyle w:val="Heading2"/>
      </w:pPr>
      <w:bookmarkStart w:id="436" w:name="_Toc10703436"/>
      <w:r w:rsidRPr="00117C96">
        <w:t>Objective</w:t>
      </w:r>
      <w:bookmarkEnd w:id="436"/>
    </w:p>
    <w:p w14:paraId="748012D5" w14:textId="77777777" w:rsidR="00122C1B" w:rsidRDefault="00122C1B" w:rsidP="00DA40E0">
      <w:pPr>
        <w:pStyle w:val="TextPara"/>
        <w:rPr>
          <w:rFonts w:cs="Segoe UI"/>
        </w:rPr>
      </w:pPr>
      <w:r>
        <w:rPr>
          <w:rFonts w:cs="Segoe UI"/>
        </w:rPr>
        <w:t xml:space="preserve">Address potential road safety and law enforcement risks posed by drivers, </w:t>
      </w:r>
      <w:r w:rsidRPr="00117C96">
        <w:rPr>
          <w:rFonts w:cs="Segoe UI"/>
        </w:rPr>
        <w:t xml:space="preserve">who </w:t>
      </w:r>
      <w:r>
        <w:rPr>
          <w:rFonts w:cs="Segoe UI"/>
        </w:rPr>
        <w:t>relocate</w:t>
      </w:r>
      <w:r w:rsidRPr="00117C96">
        <w:rPr>
          <w:rFonts w:cs="Segoe UI"/>
        </w:rPr>
        <w:t xml:space="preserve"> to Victoria from interstate or overseas, </w:t>
      </w:r>
      <w:r>
        <w:rPr>
          <w:rFonts w:cs="Segoe UI"/>
        </w:rPr>
        <w:t xml:space="preserve">and are outside </w:t>
      </w:r>
      <w:r w:rsidRPr="00117C96">
        <w:rPr>
          <w:rFonts w:cs="Segoe UI"/>
        </w:rPr>
        <w:t>the Victorian licensing system</w:t>
      </w:r>
      <w:r>
        <w:rPr>
          <w:rFonts w:cs="Segoe UI"/>
        </w:rPr>
        <w:t>.</w:t>
      </w:r>
    </w:p>
    <w:p w14:paraId="705F73B5" w14:textId="77777777" w:rsidR="00122C1B" w:rsidRDefault="00122C1B" w:rsidP="001A063E">
      <w:pPr>
        <w:pStyle w:val="Heading2"/>
      </w:pPr>
      <w:bookmarkStart w:id="437" w:name="_Toc10703437"/>
      <w:r>
        <w:t>Current situation</w:t>
      </w:r>
      <w:bookmarkEnd w:id="437"/>
    </w:p>
    <w:p w14:paraId="18E6CA30" w14:textId="77777777" w:rsidR="00551248" w:rsidRPr="00117C96" w:rsidRDefault="00551248" w:rsidP="00551248">
      <w:pPr>
        <w:pStyle w:val="TextPara"/>
        <w:spacing w:after="60"/>
        <w:rPr>
          <w:rFonts w:cs="Segoe UI"/>
        </w:rPr>
      </w:pPr>
      <w:r>
        <w:rPr>
          <w:rFonts w:cs="Segoe UI"/>
        </w:rPr>
        <w:t>Under the existing regulations t</w:t>
      </w:r>
      <w:r w:rsidRPr="00117C96">
        <w:rPr>
          <w:rFonts w:cs="Segoe UI"/>
        </w:rPr>
        <w:t xml:space="preserve">here are </w:t>
      </w:r>
      <w:r>
        <w:rPr>
          <w:rFonts w:cs="Segoe UI"/>
        </w:rPr>
        <w:t>four</w:t>
      </w:r>
      <w:r w:rsidRPr="00117C96">
        <w:rPr>
          <w:rFonts w:cs="Segoe UI"/>
        </w:rPr>
        <w:t xml:space="preserve"> groups of licensed drivers on Victorian roads: </w:t>
      </w:r>
    </w:p>
    <w:p w14:paraId="68E74869" w14:textId="77777777" w:rsidR="00551248" w:rsidRPr="00117C96" w:rsidRDefault="00551248" w:rsidP="00551248">
      <w:pPr>
        <w:pStyle w:val="Bullet1-Black"/>
      </w:pPr>
      <w:r w:rsidRPr="00117C96">
        <w:t>Victorian licence holders</w:t>
      </w:r>
    </w:p>
    <w:p w14:paraId="0BD1CE19" w14:textId="77777777" w:rsidR="00551248" w:rsidRPr="00117C96" w:rsidRDefault="00551248" w:rsidP="00551248">
      <w:pPr>
        <w:pStyle w:val="Bullet1-Black"/>
      </w:pPr>
      <w:r>
        <w:lastRenderedPageBreak/>
        <w:t>i</w:t>
      </w:r>
      <w:r w:rsidRPr="00117C96">
        <w:t>nterstate licence holders</w:t>
      </w:r>
    </w:p>
    <w:p w14:paraId="0ADC426B" w14:textId="77777777" w:rsidR="00551248" w:rsidRPr="00117C96" w:rsidRDefault="00551248" w:rsidP="00551248">
      <w:pPr>
        <w:pStyle w:val="Bullet1-Black"/>
      </w:pPr>
      <w:r w:rsidRPr="00117C96">
        <w:t>New Zealand licence holders</w:t>
      </w:r>
    </w:p>
    <w:p w14:paraId="3EECB23A" w14:textId="77777777" w:rsidR="00551248" w:rsidRPr="00117C96" w:rsidRDefault="00551248" w:rsidP="00551248">
      <w:pPr>
        <w:pStyle w:val="Bullet1-Black"/>
      </w:pPr>
      <w:r>
        <w:t>o</w:t>
      </w:r>
      <w:r w:rsidRPr="00117C96">
        <w:t>ther overseas licence holders</w:t>
      </w:r>
      <w:r>
        <w:t>.</w:t>
      </w:r>
    </w:p>
    <w:p w14:paraId="197E2D1F" w14:textId="77777777" w:rsidR="00A7343C" w:rsidRDefault="00A7343C" w:rsidP="00C76943">
      <w:pPr>
        <w:pStyle w:val="TextPara"/>
        <w:rPr>
          <w:rFonts w:cs="Segoe UI"/>
        </w:rPr>
      </w:pPr>
      <w:r>
        <w:rPr>
          <w:rFonts w:cs="Segoe UI"/>
        </w:rPr>
        <w:t>Anyone</w:t>
      </w:r>
      <w:r w:rsidRPr="00117C96">
        <w:rPr>
          <w:rFonts w:cs="Segoe UI"/>
        </w:rPr>
        <w:t xml:space="preserve"> relocat</w:t>
      </w:r>
      <w:r>
        <w:rPr>
          <w:rFonts w:cs="Segoe UI"/>
        </w:rPr>
        <w:t>ing</w:t>
      </w:r>
      <w:r w:rsidRPr="00117C96">
        <w:rPr>
          <w:rFonts w:cs="Segoe UI"/>
        </w:rPr>
        <w:t xml:space="preserve"> from interstate and overseas </w:t>
      </w:r>
      <w:r>
        <w:rPr>
          <w:rFonts w:cs="Segoe UI"/>
        </w:rPr>
        <w:t>in</w:t>
      </w:r>
      <w:r w:rsidRPr="00117C96">
        <w:rPr>
          <w:rFonts w:cs="Segoe UI"/>
        </w:rPr>
        <w:t xml:space="preserve"> Victoria</w:t>
      </w:r>
      <w:r>
        <w:rPr>
          <w:rFonts w:cs="Segoe UI"/>
        </w:rPr>
        <w:t xml:space="preserve"> with the </w:t>
      </w:r>
      <w:r w:rsidRPr="00117C96">
        <w:rPr>
          <w:rFonts w:cs="Segoe UI"/>
        </w:rPr>
        <w:t>inten</w:t>
      </w:r>
      <w:r>
        <w:rPr>
          <w:rFonts w:cs="Segoe UI"/>
        </w:rPr>
        <w:t>tion of</w:t>
      </w:r>
      <w:r w:rsidRPr="00117C96">
        <w:rPr>
          <w:rFonts w:cs="Segoe UI"/>
        </w:rPr>
        <w:t xml:space="preserve"> resid</w:t>
      </w:r>
      <w:r>
        <w:rPr>
          <w:rFonts w:cs="Segoe UI"/>
        </w:rPr>
        <w:t>ing there</w:t>
      </w:r>
      <w:r w:rsidRPr="00117C96">
        <w:rPr>
          <w:rFonts w:cs="Segoe UI"/>
        </w:rPr>
        <w:t xml:space="preserve"> for extended periods</w:t>
      </w:r>
      <w:r>
        <w:rPr>
          <w:rFonts w:cs="Segoe UI"/>
        </w:rPr>
        <w:t xml:space="preserve"> may </w:t>
      </w:r>
      <w:r w:rsidRPr="00117C96">
        <w:rPr>
          <w:rFonts w:cs="Segoe UI"/>
        </w:rPr>
        <w:t xml:space="preserve">hold a </w:t>
      </w:r>
      <w:r>
        <w:rPr>
          <w:rFonts w:cs="Segoe UI"/>
        </w:rPr>
        <w:t>driver</w:t>
      </w:r>
      <w:r w:rsidRPr="00117C96">
        <w:rPr>
          <w:rFonts w:cs="Segoe UI"/>
        </w:rPr>
        <w:t xml:space="preserve"> licence issued in another jurisdiction</w:t>
      </w:r>
      <w:r>
        <w:rPr>
          <w:rFonts w:cs="Segoe UI"/>
        </w:rPr>
        <w:t xml:space="preserve"> or country.</w:t>
      </w:r>
      <w:r w:rsidRPr="00117C96">
        <w:rPr>
          <w:rFonts w:cs="Segoe UI"/>
        </w:rPr>
        <w:t xml:space="preserve"> </w:t>
      </w:r>
    </w:p>
    <w:p w14:paraId="1895ADC5" w14:textId="77777777" w:rsidR="00A7343C" w:rsidRPr="00117C96" w:rsidRDefault="00A7343C" w:rsidP="00C76943">
      <w:pPr>
        <w:pStyle w:val="TextPara"/>
        <w:rPr>
          <w:rFonts w:cs="Segoe UI"/>
        </w:rPr>
      </w:pPr>
      <w:r>
        <w:rPr>
          <w:rFonts w:cs="Segoe UI"/>
        </w:rPr>
        <w:t xml:space="preserve">While interstate drivers and permanent residence visa holders are required to convert to a Victorian licence within a specified period (three months and six months respectively under the current Regulations), </w:t>
      </w:r>
      <w:r w:rsidRPr="00117C96">
        <w:rPr>
          <w:rFonts w:cs="Segoe UI"/>
        </w:rPr>
        <w:t xml:space="preserve">temporary residence visas </w:t>
      </w:r>
      <w:r>
        <w:rPr>
          <w:rFonts w:cs="Segoe UI"/>
        </w:rPr>
        <w:t xml:space="preserve">holders are currently allowed to </w:t>
      </w:r>
      <w:r w:rsidRPr="00117C96">
        <w:rPr>
          <w:rFonts w:cs="Segoe UI"/>
        </w:rPr>
        <w:t>continue to drive</w:t>
      </w:r>
      <w:r>
        <w:rPr>
          <w:rFonts w:cs="Segoe UI"/>
        </w:rPr>
        <w:t xml:space="preserve"> in Victoria</w:t>
      </w:r>
      <w:r w:rsidRPr="00117C96">
        <w:rPr>
          <w:rFonts w:cs="Segoe UI"/>
        </w:rPr>
        <w:t xml:space="preserve"> </w:t>
      </w:r>
      <w:r>
        <w:rPr>
          <w:rFonts w:cs="Segoe UI"/>
        </w:rPr>
        <w:t>on</w:t>
      </w:r>
      <w:r w:rsidRPr="00117C96">
        <w:rPr>
          <w:rFonts w:cs="Segoe UI"/>
        </w:rPr>
        <w:t xml:space="preserve"> their overseas licence indefinitely</w:t>
      </w:r>
      <w:r>
        <w:rPr>
          <w:rFonts w:cs="Segoe UI"/>
        </w:rPr>
        <w:t xml:space="preserve">. </w:t>
      </w:r>
    </w:p>
    <w:p w14:paraId="41381830" w14:textId="77777777" w:rsidR="00A7343C" w:rsidRDefault="00A7343C" w:rsidP="00C76943">
      <w:pPr>
        <w:pStyle w:val="TextPara"/>
        <w:keepNext/>
        <w:spacing w:after="60"/>
        <w:rPr>
          <w:rFonts w:cs="Segoe UI"/>
        </w:rPr>
      </w:pPr>
      <w:r>
        <w:rPr>
          <w:rFonts w:cs="Segoe UI"/>
        </w:rPr>
        <w:t>This situation creates potential road safety and enforcement issues in terms of:</w:t>
      </w:r>
    </w:p>
    <w:p w14:paraId="2004B711" w14:textId="77777777" w:rsidR="00A7343C" w:rsidRDefault="00A7343C" w:rsidP="00CD48D2">
      <w:pPr>
        <w:pStyle w:val="Bullet1-Black"/>
      </w:pPr>
      <w:r>
        <w:t>overseas drivers having inadequate driving skills levels, and insufficient driver knowledge of Victorian road rules and environment</w:t>
      </w:r>
    </w:p>
    <w:p w14:paraId="6FEFC18B" w14:textId="77777777" w:rsidR="00A7343C" w:rsidRDefault="00A7343C" w:rsidP="00CD48D2">
      <w:pPr>
        <w:pStyle w:val="Bullet1-Black"/>
      </w:pPr>
      <w:r>
        <w:t xml:space="preserve">inability to enforce all road safety laws and regulations in the case of </w:t>
      </w:r>
      <w:r w:rsidRPr="00FF7E30">
        <w:t>interstate</w:t>
      </w:r>
      <w:r>
        <w:t xml:space="preserve"> and overseas drivers, who are not registered in the Victorian Licensing System.</w:t>
      </w:r>
    </w:p>
    <w:p w14:paraId="5BE0DE71" w14:textId="77777777" w:rsidR="00122C1B" w:rsidRDefault="00122C1B" w:rsidP="00DA40E0">
      <w:pPr>
        <w:pStyle w:val="TextPara"/>
        <w:rPr>
          <w:rFonts w:cs="Segoe UI"/>
        </w:rPr>
      </w:pPr>
      <w:r w:rsidRPr="00117C96">
        <w:rPr>
          <w:rFonts w:cs="Segoe UI"/>
        </w:rPr>
        <w:t xml:space="preserve">Most residents of Victoria are required to hold a Victorian learner permit or driver licence, if they wish to drive in Victoria. However, some Victorian residents are </w:t>
      </w:r>
      <w:r>
        <w:rPr>
          <w:rFonts w:cs="Segoe UI"/>
        </w:rPr>
        <w:t>authorised to</w:t>
      </w:r>
      <w:r w:rsidRPr="00117C96">
        <w:rPr>
          <w:rFonts w:cs="Segoe UI"/>
        </w:rPr>
        <w:t xml:space="preserve"> drive </w:t>
      </w:r>
      <w:r>
        <w:rPr>
          <w:rFonts w:cs="Segoe UI"/>
        </w:rPr>
        <w:t>with</w:t>
      </w:r>
      <w:r w:rsidRPr="00117C96">
        <w:rPr>
          <w:rFonts w:cs="Segoe UI"/>
        </w:rPr>
        <w:t xml:space="preserve"> their non-Victorian licence for a period</w:t>
      </w:r>
      <w:r>
        <w:rPr>
          <w:rFonts w:cs="Segoe UI"/>
        </w:rPr>
        <w:t xml:space="preserve"> of three months, if they have an interstate or New Zealand licence, or six months, if they hold an overseas driver licence and a permanent residence visa.</w:t>
      </w:r>
      <w:r w:rsidRPr="00117C96">
        <w:rPr>
          <w:rFonts w:cs="Segoe UI"/>
        </w:rPr>
        <w:t xml:space="preserve"> </w:t>
      </w:r>
      <w:r>
        <w:rPr>
          <w:rFonts w:cs="Segoe UI"/>
        </w:rPr>
        <w:t xml:space="preserve">Once the relevant authorisation </w:t>
      </w:r>
      <w:r w:rsidRPr="00117C96">
        <w:rPr>
          <w:rFonts w:cs="Segoe UI"/>
        </w:rPr>
        <w:t>period expires, they must obtain a Victorian driver licence to continue to drive in Victoria.</w:t>
      </w:r>
      <w:r w:rsidRPr="00006544">
        <w:rPr>
          <w:rFonts w:cs="Segoe UI"/>
        </w:rPr>
        <w:t xml:space="preserve"> </w:t>
      </w:r>
      <w:r>
        <w:rPr>
          <w:rFonts w:cs="Segoe UI"/>
        </w:rPr>
        <w:t>The requirement to convert their licence does not apply to drivers with a temporary residence visa, who may continue to drive with a valid overseas licence for the duration of their visa.</w:t>
      </w:r>
    </w:p>
    <w:p w14:paraId="5CC27316" w14:textId="61CB3FE4" w:rsidR="00122C1B" w:rsidRDefault="00122C1B" w:rsidP="00DA40E0">
      <w:pPr>
        <w:pStyle w:val="TextPara"/>
      </w:pPr>
      <w:r w:rsidRPr="00117C96">
        <w:rPr>
          <w:rFonts w:cs="Segoe UI"/>
        </w:rPr>
        <w:t xml:space="preserve">Different conversion requirements apply to </w:t>
      </w:r>
      <w:r>
        <w:rPr>
          <w:rFonts w:cs="Segoe UI"/>
        </w:rPr>
        <w:t>overseas drivers</w:t>
      </w:r>
      <w:r w:rsidRPr="00117C96">
        <w:rPr>
          <w:rFonts w:cs="Segoe UI"/>
        </w:rPr>
        <w:t xml:space="preserve"> from </w:t>
      </w:r>
      <w:r w:rsidRPr="00514FF7">
        <w:rPr>
          <w:rFonts w:cs="Segoe UI"/>
        </w:rPr>
        <w:t>recognised</w:t>
      </w:r>
      <w:r w:rsidRPr="00117C96">
        <w:rPr>
          <w:rFonts w:cs="Segoe UI"/>
        </w:rPr>
        <w:t xml:space="preserve"> countries and </w:t>
      </w:r>
      <w:r w:rsidRPr="00514FF7">
        <w:rPr>
          <w:rFonts w:cs="Segoe UI"/>
        </w:rPr>
        <w:t>non-recognised</w:t>
      </w:r>
      <w:r>
        <w:rPr>
          <w:rFonts w:cs="Segoe UI"/>
        </w:rPr>
        <w:t xml:space="preserve"> countries.</w:t>
      </w:r>
      <w:r>
        <w:rPr>
          <w:rFonts w:cs="Segoe UI"/>
        </w:rPr>
        <w:fldChar w:fldCharType="begin"/>
      </w:r>
      <w:r>
        <w:rPr>
          <w:rFonts w:cs="Segoe UI"/>
        </w:rPr>
        <w:instrText xml:space="preserve"> NOTEREF _Ref521403814 \f \h </w:instrText>
      </w:r>
      <w:r>
        <w:rPr>
          <w:rFonts w:cs="Segoe UI"/>
        </w:rPr>
      </w:r>
      <w:r>
        <w:rPr>
          <w:rFonts w:cs="Segoe UI"/>
        </w:rPr>
        <w:fldChar w:fldCharType="separate"/>
      </w:r>
      <w:r w:rsidR="00EB4B02" w:rsidRPr="00EB4B02">
        <w:rPr>
          <w:rStyle w:val="EndnoteReference"/>
        </w:rPr>
        <w:t>304</w:t>
      </w:r>
      <w:r>
        <w:rPr>
          <w:rFonts w:cs="Segoe UI"/>
        </w:rPr>
        <w:fldChar w:fldCharType="end"/>
      </w:r>
      <w:r w:rsidRPr="007E425D">
        <w:t xml:space="preserve"> Under a national standard set by Austroads,</w:t>
      </w:r>
      <w:bookmarkStart w:id="438" w:name="_Ref506548666"/>
      <w:r w:rsidRPr="007E425D">
        <w:rPr>
          <w:rStyle w:val="EndnoteReference"/>
        </w:rPr>
        <w:endnoteReference w:id="307"/>
      </w:r>
      <w:bookmarkEnd w:id="438"/>
      <w:r w:rsidRPr="007E425D">
        <w:t xml:space="preserve"> Australian state and territory driver licensing agencies recognise certain overseas countries and jurisdictions as having comparable licensing standards to Australia. Individual applicants from recognised countries listed on the Austroads website</w:t>
      </w:r>
      <w:r>
        <w:rPr>
          <w:rFonts w:cs="Segoe UI"/>
        </w:rPr>
        <w:fldChar w:fldCharType="begin"/>
      </w:r>
      <w:r>
        <w:rPr>
          <w:rFonts w:cs="Segoe UI"/>
        </w:rPr>
        <w:instrText xml:space="preserve"> NOTEREF _Ref521403814 \f \h </w:instrText>
      </w:r>
      <w:r>
        <w:rPr>
          <w:rFonts w:cs="Segoe UI"/>
        </w:rPr>
      </w:r>
      <w:r>
        <w:rPr>
          <w:rFonts w:cs="Segoe UI"/>
        </w:rPr>
        <w:fldChar w:fldCharType="separate"/>
      </w:r>
      <w:r w:rsidR="00EB4B02" w:rsidRPr="00EB4B02">
        <w:rPr>
          <w:rStyle w:val="EndnoteReference"/>
        </w:rPr>
        <w:t>304</w:t>
      </w:r>
      <w:r>
        <w:rPr>
          <w:rFonts w:cs="Segoe UI"/>
        </w:rPr>
        <w:fldChar w:fldCharType="end"/>
      </w:r>
      <w:r w:rsidRPr="007E425D">
        <w:t xml:space="preserve"> are </w:t>
      </w:r>
      <w:r>
        <w:t>not required to</w:t>
      </w:r>
      <w:r w:rsidRPr="007E425D">
        <w:t xml:space="preserve"> undertak</w:t>
      </w:r>
      <w:r>
        <w:t>e</w:t>
      </w:r>
      <w:r w:rsidRPr="007E425D">
        <w:t xml:space="preserve"> a </w:t>
      </w:r>
      <w:r>
        <w:t xml:space="preserve">road rules </w:t>
      </w:r>
      <w:r w:rsidRPr="007E425D">
        <w:t>knowledge and drive/ride test when applying for an Australian car or motorcycle licence.</w:t>
      </w:r>
    </w:p>
    <w:p w14:paraId="2AC5EB42" w14:textId="77777777" w:rsidR="00122C1B" w:rsidRDefault="00122C1B" w:rsidP="00DA40E0">
      <w:pPr>
        <w:pStyle w:val="TextPara"/>
      </w:pPr>
      <w:r>
        <w:t>I</w:t>
      </w:r>
      <w:r w:rsidRPr="00117C96">
        <w:t>nterstate driver licence holders are required to convert</w:t>
      </w:r>
      <w:r>
        <w:t xml:space="preserve"> to a corresponding Victorian licence</w:t>
      </w:r>
      <w:r w:rsidRPr="00117C96">
        <w:t xml:space="preserve">, if they have resided in Victoria for a continuous period of three months or more. There </w:t>
      </w:r>
      <w:r>
        <w:t>is</w:t>
      </w:r>
      <w:r w:rsidRPr="00117C96">
        <w:t xml:space="preserve"> no </w:t>
      </w:r>
      <w:r>
        <w:t>driving re-test requirement for i</w:t>
      </w:r>
      <w:r w:rsidRPr="00117C96">
        <w:t>nterstate drivers</w:t>
      </w:r>
      <w:r>
        <w:t>. They</w:t>
      </w:r>
      <w:r w:rsidRPr="00117C96">
        <w:t xml:space="preserve"> </w:t>
      </w:r>
      <w:r>
        <w:t xml:space="preserve">are issued with a Victorian licence that expires on the same date as their interstate licence. </w:t>
      </w:r>
      <w:r w:rsidRPr="00117C96">
        <w:t xml:space="preserve">Interstate heavy vehicle endorsements </w:t>
      </w:r>
      <w:r>
        <w:t>are</w:t>
      </w:r>
      <w:r w:rsidRPr="00117C96">
        <w:t xml:space="preserve"> converted to </w:t>
      </w:r>
      <w:r>
        <w:t>their</w:t>
      </w:r>
      <w:r w:rsidRPr="00117C96">
        <w:t xml:space="preserve"> equivalent in Victoria.</w:t>
      </w:r>
    </w:p>
    <w:p w14:paraId="05DF1BC5" w14:textId="77777777" w:rsidR="00122C1B" w:rsidRPr="00117C96" w:rsidRDefault="00122C1B" w:rsidP="00DA40E0">
      <w:pPr>
        <w:pStyle w:val="TextPara"/>
      </w:pPr>
      <w:r>
        <w:t xml:space="preserve">When converting, </w:t>
      </w:r>
      <w:r w:rsidRPr="00117C96">
        <w:t xml:space="preserve">New Zealand drivers pay the </w:t>
      </w:r>
      <w:r>
        <w:t xml:space="preserve">normal </w:t>
      </w:r>
      <w:r w:rsidRPr="00117C96">
        <w:t>licence fee</w:t>
      </w:r>
      <w:r>
        <w:t xml:space="preserve"> to be issued with a new Victorian licence</w:t>
      </w:r>
      <w:r w:rsidRPr="00117C96">
        <w:t xml:space="preserve">. New Zealand heavy vehicle </w:t>
      </w:r>
      <w:r>
        <w:t>categories</w:t>
      </w:r>
      <w:r w:rsidRPr="00117C96">
        <w:t xml:space="preserve"> </w:t>
      </w:r>
      <w:r>
        <w:t>are</w:t>
      </w:r>
      <w:r w:rsidRPr="00117C96">
        <w:t xml:space="preserve"> converted to </w:t>
      </w:r>
      <w:r>
        <w:t>their</w:t>
      </w:r>
      <w:r w:rsidRPr="00117C96">
        <w:t xml:space="preserve"> equivalent in Victoria</w:t>
      </w:r>
      <w:r>
        <w:t xml:space="preserve"> except for the multi-combination category</w:t>
      </w:r>
      <w:r w:rsidRPr="00117C96">
        <w:t>.</w:t>
      </w:r>
    </w:p>
    <w:p w14:paraId="5B391168" w14:textId="77777777" w:rsidR="00122C1B" w:rsidRDefault="00122C1B" w:rsidP="00DA40E0">
      <w:pPr>
        <w:pStyle w:val="TextPara"/>
      </w:pPr>
      <w:r>
        <w:t>Victoria</w:t>
      </w:r>
      <w:r w:rsidRPr="00117C96">
        <w:t xml:space="preserve"> is the only jurisdiction </w:t>
      </w:r>
      <w:r>
        <w:t xml:space="preserve">in Australia to allow overseas drivers, who hold a permanent visa, a period of six months (rather than three </w:t>
      </w:r>
      <w:r w:rsidR="00C91AE7">
        <w:t xml:space="preserve">suggested </w:t>
      </w:r>
      <w:r>
        <w:t xml:space="preserve">under the NDLS) to convert their overseas licence. Victoria adopted a longer conversion period for these drivers, as </w:t>
      </w:r>
      <w:r w:rsidR="000C33B0">
        <w:t>DoT</w:t>
      </w:r>
      <w:r>
        <w:t xml:space="preserve"> deemed it to be more reasonable, </w:t>
      </w:r>
      <w:r w:rsidRPr="00117C96">
        <w:t>acknowledg</w:t>
      </w:r>
      <w:r>
        <w:t>ing</w:t>
      </w:r>
      <w:r w:rsidRPr="00117C96">
        <w:t xml:space="preserve"> and </w:t>
      </w:r>
      <w:r>
        <w:t>allowing for</w:t>
      </w:r>
      <w:r w:rsidRPr="00117C96">
        <w:t xml:space="preserve"> the practicalities of </w:t>
      </w:r>
      <w:r>
        <w:t>the first months of re-</w:t>
      </w:r>
      <w:r w:rsidRPr="00117C96">
        <w:t>settlement in Australia</w:t>
      </w:r>
      <w:r>
        <w:t xml:space="preserve"> to</w:t>
      </w:r>
      <w:r w:rsidRPr="00117C96">
        <w:t xml:space="preserve"> </w:t>
      </w:r>
      <w:r w:rsidRPr="0004025D">
        <w:t>perform</w:t>
      </w:r>
      <w:r>
        <w:t xml:space="preserve"> </w:t>
      </w:r>
      <w:r w:rsidRPr="0004025D">
        <w:t xml:space="preserve">other </w:t>
      </w:r>
      <w:r>
        <w:t>more pressing</w:t>
      </w:r>
      <w:r w:rsidRPr="0004025D">
        <w:t xml:space="preserve"> tasks, </w:t>
      </w:r>
      <w:r>
        <w:t>such as</w:t>
      </w:r>
      <w:r w:rsidRPr="0004025D">
        <w:t xml:space="preserve"> house hunting, job searching, </w:t>
      </w:r>
      <w:r>
        <w:t xml:space="preserve">and </w:t>
      </w:r>
      <w:r w:rsidRPr="0004025D">
        <w:t>finding schools for children</w:t>
      </w:r>
      <w:r>
        <w:t xml:space="preserve">. In the case of drivers from non-recognised countries, a longer period also allows for </w:t>
      </w:r>
      <w:r w:rsidRPr="0004025D">
        <w:t xml:space="preserve">the lead times for </w:t>
      </w:r>
      <w:r>
        <w:t xml:space="preserve">road rules knowledge and </w:t>
      </w:r>
      <w:r w:rsidRPr="0004025D">
        <w:t>drive test</w:t>
      </w:r>
      <w:r>
        <w:t>s</w:t>
      </w:r>
      <w:r w:rsidRPr="0004025D">
        <w:t xml:space="preserve"> preparation and test booking process</w:t>
      </w:r>
      <w:r>
        <w:t>, which typically takes several weeks</w:t>
      </w:r>
      <w:r w:rsidRPr="0004025D">
        <w:t>.</w:t>
      </w:r>
    </w:p>
    <w:p w14:paraId="375DAF81" w14:textId="77777777" w:rsidR="00122C1B" w:rsidRDefault="00122C1B" w:rsidP="00DA40E0">
      <w:pPr>
        <w:pStyle w:val="TextPara"/>
      </w:pPr>
      <w:r>
        <w:t xml:space="preserve">Under the current </w:t>
      </w:r>
      <w:r w:rsidR="00587B9E">
        <w:t>Regulations</w:t>
      </w:r>
      <w:r>
        <w:t>, the period of six months is calculated from when the visa wa</w:t>
      </w:r>
      <w:r w:rsidRPr="00117C96">
        <w:t>s issued</w:t>
      </w:r>
      <w:r>
        <w:t>,</w:t>
      </w:r>
      <w:r w:rsidRPr="00117C96">
        <w:t xml:space="preserve"> </w:t>
      </w:r>
      <w:r>
        <w:t>if the person was present in Australia when</w:t>
      </w:r>
      <w:r w:rsidR="00587B9E">
        <w:t xml:space="preserve"> it was</w:t>
      </w:r>
      <w:r>
        <w:t xml:space="preserve"> issued, </w:t>
      </w:r>
      <w:r w:rsidRPr="00117C96">
        <w:t>or from arrival in Australia</w:t>
      </w:r>
      <w:r>
        <w:t>, if</w:t>
      </w:r>
      <w:r w:rsidR="00587B9E">
        <w:t xml:space="preserve"> the driver was</w:t>
      </w:r>
      <w:r>
        <w:t xml:space="preserve"> outside Australia at the time of issue, in effect requiring residence in Victoria for six months. Under the NDLS, they are required to convert their overseas licence three months after being issued with a permanent residence </w:t>
      </w:r>
      <w:r>
        <w:lastRenderedPageBreak/>
        <w:t>visa.</w:t>
      </w:r>
      <w:r>
        <w:rPr>
          <w:rStyle w:val="EndnoteReference"/>
        </w:rPr>
        <w:endnoteReference w:id="308"/>
      </w:r>
      <w:r>
        <w:t xml:space="preserve"> </w:t>
      </w:r>
      <w:r w:rsidR="00587B9E">
        <w:t>Victoria</w:t>
      </w:r>
      <w:r w:rsidRPr="00BC39ED">
        <w:t xml:space="preserve"> considered that </w:t>
      </w:r>
      <w:r>
        <w:t>such a</w:t>
      </w:r>
      <w:r w:rsidRPr="00117C96">
        <w:t xml:space="preserve"> </w:t>
      </w:r>
      <w:r>
        <w:t xml:space="preserve">deviation from the NDLS </w:t>
      </w:r>
      <w:r w:rsidRPr="00117C96">
        <w:t xml:space="preserve">was </w:t>
      </w:r>
      <w:r>
        <w:t>needed</w:t>
      </w:r>
      <w:r w:rsidRPr="00117C96">
        <w:t xml:space="preserve"> to </w:t>
      </w:r>
      <w:r>
        <w:t xml:space="preserve">prevent an undesirable situation, where overseas drivers, who are issued with a permanent residence visa when outside Australia, arrive in Australia more than three months after its issue and are not permitted to drive </w:t>
      </w:r>
      <w:r w:rsidR="00587B9E">
        <w:t>on</w:t>
      </w:r>
      <w:r>
        <w:t xml:space="preserve"> the overseas licence from their date of arrival. All the other Australian jurisdictions except for Tasmania</w:t>
      </w:r>
      <w:r>
        <w:rPr>
          <w:rStyle w:val="EndnoteReference"/>
        </w:rPr>
        <w:endnoteReference w:id="309"/>
      </w:r>
      <w:r>
        <w:t xml:space="preserve"> require residence in th</w:t>
      </w:r>
      <w:r w:rsidR="00587B9E">
        <w:t>eir</w:t>
      </w:r>
      <w:r>
        <w:t xml:space="preserve"> </w:t>
      </w:r>
      <w:r w:rsidR="00587B9E">
        <w:t xml:space="preserve">state </w:t>
      </w:r>
      <w:r>
        <w:t xml:space="preserve">or </w:t>
      </w:r>
      <w:r w:rsidR="00587B9E">
        <w:t xml:space="preserve">territory </w:t>
      </w:r>
      <w:r>
        <w:t>for the duration of the prescribed period before the authorisation to drive with their overseas licence ceases.</w:t>
      </w:r>
    </w:p>
    <w:p w14:paraId="2022B0D9" w14:textId="77777777" w:rsidR="00122C1B" w:rsidRPr="00117C96" w:rsidRDefault="00122C1B" w:rsidP="001A063E">
      <w:pPr>
        <w:pStyle w:val="Heading2"/>
      </w:pPr>
      <w:bookmarkStart w:id="439" w:name="_Toc10703438"/>
      <w:r>
        <w:t xml:space="preserve">Driving licence conversion </w:t>
      </w:r>
      <w:r w:rsidRPr="00117C96">
        <w:t>options</w:t>
      </w:r>
      <w:bookmarkEnd w:id="439"/>
      <w:r>
        <w:t xml:space="preserve"> </w:t>
      </w:r>
    </w:p>
    <w:p w14:paraId="6DE72529" w14:textId="77777777" w:rsidR="00122C1B" w:rsidRDefault="00122C1B" w:rsidP="006713F9">
      <w:pPr>
        <w:pStyle w:val="Heading3"/>
      </w:pPr>
      <w:bookmarkStart w:id="440" w:name="_Toc10703439"/>
      <w:r>
        <w:t>Options considered</w:t>
      </w:r>
      <w:bookmarkEnd w:id="440"/>
    </w:p>
    <w:p w14:paraId="578975CD" w14:textId="77777777" w:rsidR="006B0F45" w:rsidRDefault="00122C1B" w:rsidP="00DA40E0">
      <w:pPr>
        <w:pStyle w:val="TextPara"/>
      </w:pPr>
      <w:r>
        <w:t xml:space="preserve">Five </w:t>
      </w:r>
      <w:r w:rsidRPr="008F68D4">
        <w:t>options</w:t>
      </w:r>
      <w:r w:rsidRPr="00320918">
        <w:rPr>
          <w:rStyle w:val="EndnoteTextChar"/>
          <w:vertAlign w:val="superscript"/>
        </w:rPr>
        <w:endnoteReference w:id="310"/>
      </w:r>
      <w:r w:rsidRPr="00320918">
        <w:rPr>
          <w:vertAlign w:val="superscript"/>
        </w:rPr>
        <w:t xml:space="preserve"> </w:t>
      </w:r>
      <w:r>
        <w:t xml:space="preserve">based on the duration of the period of authorisation to drive with an interstate or overseas licence were considered and </w:t>
      </w:r>
      <w:r w:rsidR="006B0F45">
        <w:t xml:space="preserve">compared with the reference point described below </w:t>
      </w:r>
      <w:r w:rsidR="006B0F45" w:rsidRPr="008F68D4">
        <w:rPr>
          <w:lang w:eastAsia="en-AU"/>
        </w:rPr>
        <w:t xml:space="preserve">to determine the most appropriate </w:t>
      </w:r>
      <w:r w:rsidR="006B0F45">
        <w:rPr>
          <w:lang w:eastAsia="en-AU"/>
        </w:rPr>
        <w:t>duration of such authorisation period.</w:t>
      </w:r>
    </w:p>
    <w:p w14:paraId="4F79267E" w14:textId="77777777" w:rsidR="006B0F45" w:rsidRDefault="006B0F45" w:rsidP="006B0F45">
      <w:pPr>
        <w:pStyle w:val="TextPara"/>
      </w:pPr>
      <w:r>
        <w:rPr>
          <w:b/>
        </w:rPr>
        <w:t>Reference point</w:t>
      </w:r>
      <w:r>
        <w:t xml:space="preserve">:  In the absence of any regulations, the base case consists of the relevant provisions of </w:t>
      </w:r>
      <w:r w:rsidR="00902719">
        <w:t xml:space="preserve">section 18(1) of </w:t>
      </w:r>
      <w:r w:rsidR="00ED0B42" w:rsidRPr="00ED0B42">
        <w:t xml:space="preserve">the </w:t>
      </w:r>
      <w:r w:rsidR="00ED0B42">
        <w:rPr>
          <w:i/>
        </w:rPr>
        <w:t xml:space="preserve">RSA </w:t>
      </w:r>
      <w:r w:rsidR="00ED0B42" w:rsidRPr="00ED0B42">
        <w:t>which</w:t>
      </w:r>
      <w:r w:rsidR="00ED0B42">
        <w:t xml:space="preserve"> </w:t>
      </w:r>
      <w:r w:rsidR="009E1EAD">
        <w:t>allows</w:t>
      </w:r>
      <w:r>
        <w:t xml:space="preserve"> persons </w:t>
      </w:r>
      <w:r w:rsidR="00C25E6F">
        <w:t>hold</w:t>
      </w:r>
      <w:r w:rsidR="00BD31C1">
        <w:t>ing</w:t>
      </w:r>
      <w:r w:rsidR="00C25E6F">
        <w:t xml:space="preserve"> </w:t>
      </w:r>
      <w:r w:rsidR="009E1EAD">
        <w:t>a licence issued interstate or overseas to</w:t>
      </w:r>
      <w:r>
        <w:t xml:space="preserve"> </w:t>
      </w:r>
      <w:r w:rsidRPr="0097574C">
        <w:t xml:space="preserve">be </w:t>
      </w:r>
      <w:r w:rsidR="009E1EAD">
        <w:t>authorised by</w:t>
      </w:r>
      <w:r w:rsidRPr="0097574C">
        <w:t xml:space="preserve"> the regulations</w:t>
      </w:r>
      <w:r>
        <w:t xml:space="preserve"> </w:t>
      </w:r>
      <w:r w:rsidR="009E1EAD">
        <w:t>to</w:t>
      </w:r>
      <w:r w:rsidRPr="00D13096">
        <w:t xml:space="preserve"> </w:t>
      </w:r>
      <w:r w:rsidR="009E1EAD">
        <w:t>drive in</w:t>
      </w:r>
      <w:r w:rsidRPr="00D13096">
        <w:t xml:space="preserve"> </w:t>
      </w:r>
      <w:r>
        <w:t xml:space="preserve">Victoria. Without such </w:t>
      </w:r>
      <w:r w:rsidR="009E1EAD">
        <w:t xml:space="preserve">authorisation in the regulations </w:t>
      </w:r>
      <w:r>
        <w:t xml:space="preserve">they would be </w:t>
      </w:r>
      <w:r w:rsidR="009E1EAD">
        <w:t>liable for</w:t>
      </w:r>
      <w:r>
        <w:t xml:space="preserve"> the offence of unlicensed driving. The </w:t>
      </w:r>
      <w:r>
        <w:rPr>
          <w:i/>
        </w:rPr>
        <w:t>RSA</w:t>
      </w:r>
      <w:r>
        <w:t xml:space="preserve"> does not specify whether, and in what circumstances, interstate and overseas licences are required to be converted to Victorian licences.</w:t>
      </w:r>
    </w:p>
    <w:p w14:paraId="75C694A0" w14:textId="77777777" w:rsidR="00756822" w:rsidRDefault="00756822" w:rsidP="00756822">
      <w:pPr>
        <w:pStyle w:val="TextPara"/>
      </w:pPr>
      <w:r>
        <w:t xml:space="preserve">Therefore, in the absence of regulations </w:t>
      </w:r>
      <w:r w:rsidR="00FF6284">
        <w:t xml:space="preserve">authorising </w:t>
      </w:r>
      <w:r>
        <w:t>non-Victorian licence</w:t>
      </w:r>
      <w:r w:rsidR="005D0394">
        <w:t xml:space="preserve"> holders to drive in Victoria</w:t>
      </w:r>
      <w:r>
        <w:t xml:space="preserve">, </w:t>
      </w:r>
      <w:r w:rsidR="005D0394">
        <w:t xml:space="preserve">these drivers </w:t>
      </w:r>
      <w:r>
        <w:t>would be liable for unlicensed driving</w:t>
      </w:r>
      <w:r w:rsidR="005D0394">
        <w:t>.</w:t>
      </w:r>
      <w:r>
        <w:t xml:space="preserve"> </w:t>
      </w:r>
      <w:r w:rsidR="00917835">
        <w:t xml:space="preserve">This does not apply to </w:t>
      </w:r>
      <w:r w:rsidR="00017FA2">
        <w:t>o</w:t>
      </w:r>
      <w:r w:rsidR="005D0394">
        <w:t>verseas visitors</w:t>
      </w:r>
      <w:r w:rsidR="003062AB">
        <w:t xml:space="preserve"> </w:t>
      </w:r>
      <w:r w:rsidR="00017FA2">
        <w:t>for the duration of their visit.</w:t>
      </w:r>
    </w:p>
    <w:p w14:paraId="5E40AAB2" w14:textId="77777777" w:rsidR="006B0F45" w:rsidRDefault="006B0F45" w:rsidP="006B0F45">
      <w:pPr>
        <w:pStyle w:val="TextPara"/>
      </w:pPr>
      <w:r>
        <w:t xml:space="preserve">It is recognised that the NDLS guidelines, </w:t>
      </w:r>
      <w:r w:rsidRPr="00B349F9">
        <w:t>as defined in Commonwealth regulations</w:t>
      </w:r>
      <w:r>
        <w:rPr>
          <w:rStyle w:val="EndnoteReference"/>
        </w:rPr>
        <w:endnoteReference w:id="311"/>
      </w:r>
      <w:r w:rsidRPr="00B349F9">
        <w:t xml:space="preserve"> made in 2006</w:t>
      </w:r>
      <w:r>
        <w:t xml:space="preserve"> and last updated in 2016,</w:t>
      </w:r>
      <w:r w:rsidRPr="00B349F9">
        <w:t xml:space="preserve"> </w:t>
      </w:r>
      <w:r>
        <w:t>do not form part of the base case</w:t>
      </w:r>
      <w:r w:rsidRPr="00B64238">
        <w:t xml:space="preserve"> </w:t>
      </w:r>
      <w:r>
        <w:t>as they do not have the force of law. Thus, in the absence of any proposed Regulations, the NDLS does not automatically apply to Victoria.</w:t>
      </w:r>
    </w:p>
    <w:p w14:paraId="71E15025" w14:textId="5145AA9D" w:rsidR="006B0F45" w:rsidRDefault="006B0F45" w:rsidP="006B0F45">
      <w:pPr>
        <w:pStyle w:val="TextPara"/>
      </w:pPr>
      <w:r>
        <w:t xml:space="preserve">However, Victoria is generally committed to implement the NDLS to the extent that is practicable, given that it </w:t>
      </w:r>
      <w:r w:rsidRPr="00B349F9">
        <w:t xml:space="preserve">is a national agreement relating to driver licensing, including the recognition </w:t>
      </w:r>
      <w:r>
        <w:t xml:space="preserve">and conversion </w:t>
      </w:r>
      <w:r w:rsidRPr="00B349F9">
        <w:t>of i</w:t>
      </w:r>
      <w:r>
        <w:t>nterstate and overseas licences.</w:t>
      </w:r>
      <w:r w:rsidRPr="004104FB">
        <w:t xml:space="preserve"> </w:t>
      </w:r>
      <w:r>
        <w:t>Therefore, i</w:t>
      </w:r>
      <w:r w:rsidRPr="006F7495">
        <w:t xml:space="preserve">n considering </w:t>
      </w:r>
      <w:r>
        <w:t xml:space="preserve">any proposed Regulations on licence conversion and any exemptions referred to in the abovementioned provisions of the </w:t>
      </w:r>
      <w:r w:rsidRPr="00D535A7">
        <w:rPr>
          <w:i/>
        </w:rPr>
        <w:t>RSA</w:t>
      </w:r>
      <w:r w:rsidRPr="006F7495">
        <w:t>,</w:t>
      </w:r>
      <w:r>
        <w:t xml:space="preserve"> it would be most appropriate to use the NDLS guidelines as a </w:t>
      </w:r>
      <w:r w:rsidRPr="001F1D34">
        <w:t xml:space="preserve">reference point for the analysis </w:t>
      </w:r>
      <w:r>
        <w:t>of</w:t>
      </w:r>
      <w:r w:rsidRPr="001F1D34">
        <w:t xml:space="preserve"> </w:t>
      </w:r>
      <w:r>
        <w:t>option</w:t>
      </w:r>
      <w:r w:rsidRPr="001F1D34">
        <w:t>s</w:t>
      </w:r>
      <w:r>
        <w:t xml:space="preserve"> in section </w:t>
      </w:r>
      <w:r w:rsidR="00850043">
        <w:fldChar w:fldCharType="begin"/>
      </w:r>
      <w:r w:rsidR="00850043">
        <w:instrText xml:space="preserve"> REF _Ref2761747 \r \h </w:instrText>
      </w:r>
      <w:r w:rsidR="00850043">
        <w:fldChar w:fldCharType="separate"/>
      </w:r>
      <w:r w:rsidR="00EB4B02">
        <w:t>5.4.2</w:t>
      </w:r>
      <w:r w:rsidR="00850043">
        <w:fldChar w:fldCharType="end"/>
      </w:r>
      <w:r w:rsidR="00850043">
        <w:t xml:space="preserve"> </w:t>
      </w:r>
      <w:r>
        <w:t>below</w:t>
      </w:r>
      <w:r w:rsidRPr="001F1D34">
        <w:t>.</w:t>
      </w:r>
      <w:r>
        <w:t xml:space="preserve">  Not doing so would lead to an unreasonable scenario in which interstate and overseas drivers would be liable for unlicensed driving.</w:t>
      </w:r>
    </w:p>
    <w:p w14:paraId="6BCC8157" w14:textId="77777777" w:rsidR="00122C1B" w:rsidRPr="00945E02" w:rsidRDefault="00122C1B" w:rsidP="00DA40E0">
      <w:pPr>
        <w:pStyle w:val="TextPara"/>
      </w:pPr>
      <w:r>
        <w:t>According to the NDLS</w:t>
      </w:r>
      <w:r w:rsidR="007073FA">
        <w:t xml:space="preserve"> regulations,</w:t>
      </w:r>
      <w:r>
        <w:t xml:space="preserve"> for overseas licence holders with a permanent residence visa, the authorisation to drive with their overseas licence ceases three months after being issued with the visa, regardless of the date of arrival in Australia. If they arrive in Australia three months after the visa was issued, they are not authorised to drive when they arrive. Overseas licence holders with a temporary residence visa</w:t>
      </w:r>
      <w:r w:rsidRPr="007519B5">
        <w:t xml:space="preserve"> </w:t>
      </w:r>
      <w:r>
        <w:t xml:space="preserve">are allowed to drive in Victoria with their overseas licence </w:t>
      </w:r>
      <w:r w:rsidRPr="002C4542">
        <w:t>indefinitely</w:t>
      </w:r>
      <w:r>
        <w:t xml:space="preserve">, as long as their </w:t>
      </w:r>
      <w:r w:rsidR="00ED5EFD">
        <w:t xml:space="preserve">overseas </w:t>
      </w:r>
      <w:r>
        <w:t>licence is valid and current.</w:t>
      </w:r>
      <w:r w:rsidRPr="009F795C">
        <w:t xml:space="preserve"> </w:t>
      </w:r>
      <w:r>
        <w:t>Interstate drivers cease to be authorised to drive with their interstate licence, if they have resided in Victoria for a continuous period of three months.</w:t>
      </w:r>
    </w:p>
    <w:p w14:paraId="1F8AE802" w14:textId="77777777" w:rsidR="00122C1B" w:rsidRDefault="00122C1B" w:rsidP="00DA40E0">
      <w:pPr>
        <w:pStyle w:val="TextPara"/>
        <w:keepNext/>
        <w:spacing w:after="0"/>
      </w:pPr>
      <w:bookmarkStart w:id="441" w:name="_Ref503189851"/>
      <w:r w:rsidRPr="00BA6D84">
        <w:rPr>
          <w:b/>
        </w:rPr>
        <w:t>Option 1</w:t>
      </w:r>
      <w:r>
        <w:rPr>
          <w:b/>
        </w:rPr>
        <w:t xml:space="preserve"> – No change from current </w:t>
      </w:r>
      <w:r w:rsidR="00ED5EFD">
        <w:rPr>
          <w:b/>
        </w:rPr>
        <w:t>Regulations</w:t>
      </w:r>
      <w:r w:rsidRPr="008F68D4">
        <w:t>:</w:t>
      </w:r>
      <w:r>
        <w:t xml:space="preserve"> For overseas (other than New Zealand) licence holders </w:t>
      </w:r>
      <w:r w:rsidR="00ED5EFD">
        <w:t xml:space="preserve">with </w:t>
      </w:r>
      <w:r>
        <w:t>a permanent residence visa, the authorisation to drive in Victoria with an overseas licence ceases six months from:</w:t>
      </w:r>
    </w:p>
    <w:p w14:paraId="2EF362E1" w14:textId="77777777" w:rsidR="00122C1B" w:rsidRDefault="00122C1B" w:rsidP="00DA40E0">
      <w:pPr>
        <w:pStyle w:val="Bullet1-Black"/>
      </w:pPr>
      <w:r>
        <w:t>the date of arrival in Australia, if the visa was issued while they are overseas</w:t>
      </w:r>
    </w:p>
    <w:p w14:paraId="4A251686" w14:textId="77777777" w:rsidR="00122C1B" w:rsidRDefault="00122C1B" w:rsidP="00DA40E0">
      <w:pPr>
        <w:pStyle w:val="Bullet1-Black"/>
        <w:numPr>
          <w:ilvl w:val="0"/>
          <w:numId w:val="0"/>
        </w:numPr>
        <w:ind w:left="387"/>
      </w:pPr>
      <w:r>
        <w:t xml:space="preserve">or </w:t>
      </w:r>
    </w:p>
    <w:p w14:paraId="0BDDE2C8" w14:textId="77777777" w:rsidR="00122C1B" w:rsidRDefault="00122C1B" w:rsidP="00DA40E0">
      <w:pPr>
        <w:pStyle w:val="Bullet1-Black"/>
      </w:pPr>
      <w:r>
        <w:t xml:space="preserve">the date the visa was issued, if they are already in the country when the visa was issued. </w:t>
      </w:r>
    </w:p>
    <w:p w14:paraId="5A51CCCD" w14:textId="77777777" w:rsidR="00122C1B" w:rsidRDefault="00122C1B" w:rsidP="00DA40E0">
      <w:pPr>
        <w:pStyle w:val="TextPara"/>
      </w:pPr>
      <w:r>
        <w:t>For interstate and New Zealand licence holders, the authorisation to drive with their interstate or New Zealand licence ceases, if they have resided in Victoria for a continuous period of three months.</w:t>
      </w:r>
    </w:p>
    <w:p w14:paraId="0F2AAC84" w14:textId="77777777" w:rsidR="00122C1B" w:rsidRDefault="00122C1B" w:rsidP="00DA40E0">
      <w:pPr>
        <w:pStyle w:val="TextPara"/>
      </w:pPr>
      <w:r>
        <w:lastRenderedPageBreak/>
        <w:t>Overseas licence holders with temporary residence visa</w:t>
      </w:r>
      <w:r w:rsidRPr="007519B5">
        <w:t xml:space="preserve"> </w:t>
      </w:r>
      <w:r>
        <w:t xml:space="preserve">are authorised to drive with their overseas licence </w:t>
      </w:r>
      <w:r w:rsidRPr="002C4542">
        <w:t>indefinitely</w:t>
      </w:r>
      <w:r w:rsidRPr="000774CC">
        <w:t xml:space="preserve"> </w:t>
      </w:r>
      <w:r>
        <w:t>provided this is still valid and current. They are not required to convert to a Victorian licence at all.</w:t>
      </w:r>
    </w:p>
    <w:p w14:paraId="732907D6" w14:textId="77777777" w:rsidR="00122C1B" w:rsidRDefault="00122C1B" w:rsidP="00DA40E0">
      <w:pPr>
        <w:pStyle w:val="TextPara"/>
      </w:pPr>
      <w:r>
        <w:t>This option represents the situation under the current Regulations.</w:t>
      </w:r>
    </w:p>
    <w:p w14:paraId="081E8C50" w14:textId="77777777" w:rsidR="00122C1B" w:rsidRDefault="00122C1B" w:rsidP="00DA40E0">
      <w:pPr>
        <w:pStyle w:val="TextPara"/>
        <w:spacing w:after="0"/>
      </w:pPr>
      <w:r w:rsidRPr="00BA6D84">
        <w:rPr>
          <w:b/>
        </w:rPr>
        <w:t>Option 2</w:t>
      </w:r>
      <w:r>
        <w:rPr>
          <w:b/>
        </w:rPr>
        <w:t xml:space="preserve"> – </w:t>
      </w:r>
      <w:r w:rsidRPr="008A784B">
        <w:rPr>
          <w:b/>
        </w:rPr>
        <w:t xml:space="preserve">Current regulations plus </w:t>
      </w:r>
      <w:r w:rsidRPr="00891918">
        <w:rPr>
          <w:b/>
        </w:rPr>
        <w:t>temporary visa holders</w:t>
      </w:r>
      <w:r>
        <w:rPr>
          <w:b/>
        </w:rPr>
        <w:t>’ inclusion</w:t>
      </w:r>
      <w:r w:rsidRPr="007C1CBE">
        <w:t>:</w:t>
      </w:r>
      <w:r>
        <w:t xml:space="preserve"> For overseas (other than New Zealand) licence holders </w:t>
      </w:r>
      <w:r w:rsidR="00ED5EFD">
        <w:t xml:space="preserve">with </w:t>
      </w:r>
      <w:r>
        <w:t xml:space="preserve">a permanent </w:t>
      </w:r>
      <w:r w:rsidR="00ED5EFD">
        <w:t>or</w:t>
      </w:r>
      <w:r>
        <w:t xml:space="preserve"> temporary residence visa, the authorisation to drive in Victoria with an overseas licence ceases six months from:</w:t>
      </w:r>
    </w:p>
    <w:p w14:paraId="16F99E60" w14:textId="77777777" w:rsidR="00122C1B" w:rsidRDefault="00122C1B" w:rsidP="00DA40E0">
      <w:pPr>
        <w:pStyle w:val="Bullet1-Black"/>
      </w:pPr>
      <w:r>
        <w:t>the date of arrival in Australia, if the visa was issued while they are overseas</w:t>
      </w:r>
    </w:p>
    <w:p w14:paraId="013D7D07" w14:textId="77777777" w:rsidR="00122C1B" w:rsidRDefault="00122C1B" w:rsidP="00DA40E0">
      <w:pPr>
        <w:pStyle w:val="Bullet1-Black"/>
        <w:numPr>
          <w:ilvl w:val="0"/>
          <w:numId w:val="0"/>
        </w:numPr>
        <w:ind w:left="387"/>
      </w:pPr>
      <w:r>
        <w:t xml:space="preserve">or </w:t>
      </w:r>
    </w:p>
    <w:p w14:paraId="2EF23934" w14:textId="77777777" w:rsidR="00122C1B" w:rsidRDefault="00122C1B" w:rsidP="00DA40E0">
      <w:pPr>
        <w:pStyle w:val="Bullet1-Black"/>
      </w:pPr>
      <w:r>
        <w:t>the date the visa was issued, if they are already in the country when the visa</w:t>
      </w:r>
      <w:r w:rsidR="00ED5EFD">
        <w:t xml:space="preserve"> was</w:t>
      </w:r>
      <w:r>
        <w:t xml:space="preserve"> issued. </w:t>
      </w:r>
    </w:p>
    <w:p w14:paraId="1D895A8F" w14:textId="77777777" w:rsidR="00122C1B" w:rsidRDefault="00122C1B" w:rsidP="00DA40E0">
      <w:pPr>
        <w:pStyle w:val="TextPara"/>
      </w:pPr>
      <w:r>
        <w:t>For interstate and New Zealand licence holders, the authorisation to drive with their interstate or New Zealand licence ceases, if they have resided in Victoria for a continuous period of three months.</w:t>
      </w:r>
    </w:p>
    <w:p w14:paraId="3963D6AF" w14:textId="77777777" w:rsidR="00122C1B" w:rsidRDefault="00122C1B" w:rsidP="00DA40E0">
      <w:pPr>
        <w:pStyle w:val="TextPara"/>
      </w:pPr>
      <w:r>
        <w:t>This option represents the situation under the current Regulations (i.e. Option 1) with one important difference: overseas licence holders with a temporary residence visa are also required to convert to a Victorian licence within the first six months of residing in Victoria. At the end of the authorisation period, the right to drive with</w:t>
      </w:r>
      <w:r w:rsidRPr="008F68D4">
        <w:t xml:space="preserve"> the interstate or overseas licence would </w:t>
      </w:r>
      <w:r>
        <w:t>cease</w:t>
      </w:r>
      <w:r w:rsidRPr="008F68D4">
        <w:t xml:space="preserve"> and the driver would become unlicensed</w:t>
      </w:r>
      <w:r>
        <w:t>.</w:t>
      </w:r>
    </w:p>
    <w:p w14:paraId="462FD8A5" w14:textId="77777777" w:rsidR="00122C1B" w:rsidRPr="008F68D4" w:rsidRDefault="00122C1B" w:rsidP="00DA40E0">
      <w:pPr>
        <w:pStyle w:val="TextPara"/>
      </w:pPr>
      <w:r w:rsidRPr="008F68D4">
        <w:t xml:space="preserve">This </w:t>
      </w:r>
      <w:r>
        <w:t xml:space="preserve">option </w:t>
      </w:r>
      <w:r w:rsidRPr="008F68D4">
        <w:t xml:space="preserve">was considered </w:t>
      </w:r>
      <w:r>
        <w:t>because it would address the current apparent anomaly of overseas drivers with a temporary visa</w:t>
      </w:r>
      <w:r w:rsidRPr="007114EA">
        <w:t xml:space="preserve"> </w:t>
      </w:r>
      <w:r>
        <w:t>being authorised to drive indefinitely without a Victorian licence.</w:t>
      </w:r>
    </w:p>
    <w:p w14:paraId="349704AA" w14:textId="77777777" w:rsidR="00122C1B" w:rsidRDefault="00122C1B" w:rsidP="00DA40E0">
      <w:pPr>
        <w:pStyle w:val="TextPara"/>
      </w:pPr>
      <w:r w:rsidRPr="002051D1">
        <w:rPr>
          <w:b/>
        </w:rPr>
        <w:t>Option 3</w:t>
      </w:r>
      <w:r>
        <w:rPr>
          <w:b/>
        </w:rPr>
        <w:t xml:space="preserve"> – </w:t>
      </w:r>
      <w:r w:rsidRPr="008A784B">
        <w:rPr>
          <w:b/>
        </w:rPr>
        <w:t xml:space="preserve">All </w:t>
      </w:r>
      <w:r>
        <w:rPr>
          <w:b/>
        </w:rPr>
        <w:t xml:space="preserve">interstate and overseas drivers </w:t>
      </w:r>
      <w:r w:rsidRPr="008A784B">
        <w:rPr>
          <w:b/>
        </w:rPr>
        <w:t>to convert within 3 months</w:t>
      </w:r>
      <w:r>
        <w:rPr>
          <w:b/>
        </w:rPr>
        <w:t xml:space="preserve"> of residency in Victoria</w:t>
      </w:r>
      <w:r w:rsidRPr="008F68D4">
        <w:t>:</w:t>
      </w:r>
      <w:r>
        <w:t xml:space="preserve"> Authorisation </w:t>
      </w:r>
      <w:r w:rsidRPr="008F68D4">
        <w:t>to</w:t>
      </w:r>
      <w:r>
        <w:t xml:space="preserve"> drive with an interstate or overseas</w:t>
      </w:r>
      <w:r w:rsidRPr="008F68D4">
        <w:t xml:space="preserve"> licence ceases </w:t>
      </w:r>
      <w:r>
        <w:t>after residing in Victoria for</w:t>
      </w:r>
      <w:r w:rsidRPr="008F68D4">
        <w:t xml:space="preserve"> </w:t>
      </w:r>
      <w:r>
        <w:t>three</w:t>
      </w:r>
      <w:r w:rsidRPr="007C1CBE">
        <w:t xml:space="preserve"> months</w:t>
      </w:r>
      <w:r>
        <w:t>. This applies to all holders of an interstate or overseas (including New Zealand) licence, who have a permanent or temporary residence visa. At the expiration of the authorisation period,</w:t>
      </w:r>
      <w:r w:rsidRPr="008F68D4">
        <w:t xml:space="preserve"> the right to drive on the interstate or overseas licence would </w:t>
      </w:r>
      <w:r>
        <w:t>cease</w:t>
      </w:r>
      <w:r w:rsidRPr="008F68D4">
        <w:t xml:space="preserve"> and the driver would become unlicensed.</w:t>
      </w:r>
    </w:p>
    <w:p w14:paraId="209AB59E" w14:textId="77777777" w:rsidR="00122C1B" w:rsidRPr="008F68D4" w:rsidRDefault="00122C1B" w:rsidP="00DA40E0">
      <w:pPr>
        <w:pStyle w:val="TextPara"/>
      </w:pPr>
      <w:r>
        <w:t>Under this option, the determining factor for the authorisation is the period of residency rather than the timing of the issuing of the residence visa.</w:t>
      </w:r>
    </w:p>
    <w:p w14:paraId="6A36294A" w14:textId="77777777" w:rsidR="00122C1B" w:rsidRDefault="00122C1B" w:rsidP="00DA40E0">
      <w:pPr>
        <w:pStyle w:val="TextPara"/>
      </w:pPr>
      <w:r w:rsidRPr="008F68D4">
        <w:t xml:space="preserve">This option was considered </w:t>
      </w:r>
      <w:r>
        <w:t>because</w:t>
      </w:r>
      <w:r w:rsidRPr="008F68D4">
        <w:t xml:space="preserve"> </w:t>
      </w:r>
      <w:r>
        <w:t>the timeframe</w:t>
      </w:r>
      <w:r w:rsidRPr="008F68D4">
        <w:t xml:space="preserve"> aligns with </w:t>
      </w:r>
      <w:r>
        <w:t xml:space="preserve">the national standard and </w:t>
      </w:r>
      <w:r w:rsidRPr="008F68D4">
        <w:t>other Australian jurisdictions</w:t>
      </w:r>
      <w:r>
        <w:t>,</w:t>
      </w:r>
      <w:r w:rsidRPr="008F68D4">
        <w:t xml:space="preserve"> wh</w:t>
      </w:r>
      <w:r>
        <w:t>ich apply a three</w:t>
      </w:r>
      <w:r w:rsidRPr="008F68D4">
        <w:t>-month period for conversion for interstate and permanent residents</w:t>
      </w:r>
      <w:r>
        <w:t>. However, it goes further in that the conversion requirement is extended to overseas drivers with a temporary visa, thereby addressing the current anomaly of this group being able to drive indefinitely without a Victorian licence.</w:t>
      </w:r>
      <w:r>
        <w:rPr>
          <w:rStyle w:val="EndnoteReference"/>
        </w:rPr>
        <w:endnoteReference w:id="312"/>
      </w:r>
      <w:r>
        <w:t xml:space="preserve"> </w:t>
      </w:r>
    </w:p>
    <w:p w14:paraId="3ADAF33F" w14:textId="77777777" w:rsidR="00122C1B" w:rsidRPr="008F68D4" w:rsidRDefault="00122C1B" w:rsidP="00DA40E0">
      <w:pPr>
        <w:pStyle w:val="TextPara"/>
        <w:keepLines/>
      </w:pPr>
      <w:r w:rsidRPr="002051D1">
        <w:rPr>
          <w:b/>
        </w:rPr>
        <w:t xml:space="preserve">Option </w:t>
      </w:r>
      <w:r>
        <w:rPr>
          <w:b/>
        </w:rPr>
        <w:t xml:space="preserve">4 – </w:t>
      </w:r>
      <w:r w:rsidRPr="008A784B">
        <w:rPr>
          <w:b/>
        </w:rPr>
        <w:t xml:space="preserve">All </w:t>
      </w:r>
      <w:r>
        <w:rPr>
          <w:b/>
        </w:rPr>
        <w:t xml:space="preserve">interstate and overseas drivers </w:t>
      </w:r>
      <w:r w:rsidRPr="008A784B">
        <w:rPr>
          <w:b/>
        </w:rPr>
        <w:t xml:space="preserve">to convert within </w:t>
      </w:r>
      <w:r>
        <w:rPr>
          <w:b/>
        </w:rPr>
        <w:t>6</w:t>
      </w:r>
      <w:r w:rsidRPr="008A784B">
        <w:rPr>
          <w:b/>
        </w:rPr>
        <w:t xml:space="preserve"> months</w:t>
      </w:r>
      <w:r>
        <w:rPr>
          <w:b/>
        </w:rPr>
        <w:t xml:space="preserve"> of residency in Victoria</w:t>
      </w:r>
      <w:r w:rsidRPr="008F68D4">
        <w:t>:</w:t>
      </w:r>
      <w:r>
        <w:t xml:space="preserve"> Authorisation</w:t>
      </w:r>
      <w:r w:rsidRPr="008F68D4">
        <w:t xml:space="preserve"> to </w:t>
      </w:r>
      <w:r>
        <w:t xml:space="preserve">drive with an interstate or overseas </w:t>
      </w:r>
      <w:r w:rsidRPr="008F68D4">
        <w:t xml:space="preserve">licence ceases </w:t>
      </w:r>
      <w:r>
        <w:t>after residing in Victoria for</w:t>
      </w:r>
      <w:r w:rsidRPr="008F68D4">
        <w:t xml:space="preserve"> </w:t>
      </w:r>
      <w:r>
        <w:t>six</w:t>
      </w:r>
      <w:r w:rsidRPr="007C1CBE">
        <w:t xml:space="preserve"> months</w:t>
      </w:r>
      <w:r>
        <w:t>. This applies to all holders of an interstate or overseas (including New Zealand) licence, who have a permanent or temporary residence visa. At the expiration of the authorisation period,</w:t>
      </w:r>
      <w:r w:rsidRPr="008F68D4">
        <w:t xml:space="preserve"> the right to drive on the interstate or overseas licence would be removed and the driver would become unlicensed.</w:t>
      </w:r>
    </w:p>
    <w:p w14:paraId="7CB278EC" w14:textId="77777777" w:rsidR="00122C1B" w:rsidRPr="008F68D4" w:rsidRDefault="00122C1B" w:rsidP="00DA40E0">
      <w:pPr>
        <w:pStyle w:val="TextPara"/>
      </w:pPr>
      <w:r>
        <w:t>Similar to Option 3, the determining factor for the authorisation period under this option is the period of residency rather than the timing of the issuing of the residence visa.</w:t>
      </w:r>
    </w:p>
    <w:p w14:paraId="65D5E90C" w14:textId="77777777" w:rsidR="00122C1B" w:rsidRDefault="00122C1B" w:rsidP="00DA40E0">
      <w:pPr>
        <w:pStyle w:val="TextPara"/>
      </w:pPr>
      <w:r w:rsidRPr="008F68D4">
        <w:t xml:space="preserve">This </w:t>
      </w:r>
      <w:r>
        <w:t xml:space="preserve">option </w:t>
      </w:r>
      <w:r w:rsidRPr="008F68D4">
        <w:t>was considered as</w:t>
      </w:r>
      <w:r>
        <w:t xml:space="preserve"> VicRoads currently applies a six-</w:t>
      </w:r>
      <w:r w:rsidRPr="008F68D4">
        <w:t>month</w:t>
      </w:r>
      <w:r>
        <w:t xml:space="preserve"> authorisation</w:t>
      </w:r>
      <w:r w:rsidRPr="008F68D4">
        <w:t xml:space="preserve"> period </w:t>
      </w:r>
      <w:r>
        <w:t xml:space="preserve">to overseas drivers with a </w:t>
      </w:r>
      <w:r w:rsidRPr="008F68D4">
        <w:t>permanent residen</w:t>
      </w:r>
      <w:r>
        <w:t>ce visa.</w:t>
      </w:r>
    </w:p>
    <w:p w14:paraId="5A5A602D" w14:textId="24C998AB" w:rsidR="00122C1B" w:rsidRDefault="00122C1B" w:rsidP="00DA40E0">
      <w:pPr>
        <w:pStyle w:val="TextPara"/>
      </w:pPr>
      <w:r>
        <w:fldChar w:fldCharType="begin"/>
      </w:r>
      <w:r>
        <w:instrText xml:space="preserve"> REF _Ref506555148 \h </w:instrText>
      </w:r>
      <w:r>
        <w:fldChar w:fldCharType="separate"/>
      </w:r>
      <w:r w:rsidR="00EB4B02">
        <w:t xml:space="preserve">Table </w:t>
      </w:r>
      <w:r w:rsidR="00EB4B02">
        <w:rPr>
          <w:noProof/>
        </w:rPr>
        <w:t>22</w:t>
      </w:r>
      <w:r>
        <w:fldChar w:fldCharType="end"/>
      </w:r>
      <w:r>
        <w:t xml:space="preserve"> shows how the options compare in terms of licence conversion periods.</w:t>
      </w:r>
    </w:p>
    <w:p w14:paraId="582890FD" w14:textId="4C916A16" w:rsidR="00122C1B" w:rsidRPr="008F68D4" w:rsidRDefault="00122C1B" w:rsidP="00DA40E0">
      <w:pPr>
        <w:pStyle w:val="Caption"/>
      </w:pPr>
      <w:bookmarkStart w:id="442" w:name="_Ref506555148"/>
      <w:bookmarkStart w:id="443" w:name="_Toc10703715"/>
      <w:r>
        <w:lastRenderedPageBreak/>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22</w:t>
      </w:r>
      <w:r w:rsidR="00BC6B2E">
        <w:rPr>
          <w:noProof/>
        </w:rPr>
        <w:fldChar w:fldCharType="end"/>
      </w:r>
      <w:bookmarkEnd w:id="441"/>
      <w:bookmarkEnd w:id="442"/>
      <w:r>
        <w:t xml:space="preserve"> </w:t>
      </w:r>
      <w:r w:rsidRPr="00F0554D">
        <w:t xml:space="preserve">– </w:t>
      </w:r>
      <w:r>
        <w:t>Options considered for Victorian licence conversion</w:t>
      </w:r>
      <w:bookmarkEnd w:id="443"/>
      <w:r>
        <w:t xml:space="preserve"> </w:t>
      </w:r>
    </w:p>
    <w:tbl>
      <w:tblPr>
        <w:tblStyle w:val="RIS-Table2"/>
        <w:tblW w:w="9781" w:type="dxa"/>
        <w:tblLayout w:type="fixed"/>
        <w:tblLook w:val="04A0" w:firstRow="1" w:lastRow="0" w:firstColumn="1" w:lastColumn="0" w:noHBand="0" w:noVBand="1"/>
      </w:tblPr>
      <w:tblGrid>
        <w:gridCol w:w="2268"/>
        <w:gridCol w:w="1134"/>
        <w:gridCol w:w="1418"/>
        <w:gridCol w:w="1559"/>
        <w:gridCol w:w="1701"/>
        <w:gridCol w:w="1701"/>
      </w:tblGrid>
      <w:tr w:rsidR="00122C1B" w:rsidRPr="008F68D4" w14:paraId="679D6EE3" w14:textId="77777777" w:rsidTr="00EF3D55">
        <w:trPr>
          <w:cnfStyle w:val="100000000000" w:firstRow="1" w:lastRow="0" w:firstColumn="0" w:lastColumn="0" w:oddVBand="0" w:evenVBand="0" w:oddHBand="0" w:evenHBand="0" w:firstRowFirstColumn="0" w:firstRowLastColumn="0" w:lastRowFirstColumn="0" w:lastRowLastColumn="0"/>
        </w:trPr>
        <w:tc>
          <w:tcPr>
            <w:tcW w:w="2268" w:type="dxa"/>
          </w:tcPr>
          <w:p w14:paraId="274F104E" w14:textId="77777777" w:rsidR="00122C1B" w:rsidRPr="008F68D4" w:rsidRDefault="00122C1B" w:rsidP="00EF3D55">
            <w:pPr>
              <w:pStyle w:val="TableHeaders"/>
              <w:keepNext/>
            </w:pPr>
            <w:r>
              <w:t>Licence Holder</w:t>
            </w:r>
          </w:p>
        </w:tc>
        <w:tc>
          <w:tcPr>
            <w:tcW w:w="1134" w:type="dxa"/>
          </w:tcPr>
          <w:p w14:paraId="1F314460" w14:textId="77777777" w:rsidR="00122C1B" w:rsidRPr="0016275D" w:rsidRDefault="00E43956" w:rsidP="00EF3D55">
            <w:pPr>
              <w:pStyle w:val="TableHeaders"/>
              <w:keepNext/>
            </w:pPr>
            <w:r>
              <w:rPr>
                <w:rFonts w:cs="Segoe UI"/>
                <w:szCs w:val="18"/>
              </w:rPr>
              <w:t xml:space="preserve">Reference Point </w:t>
            </w:r>
            <w:r w:rsidRPr="002A3F2E">
              <w:rPr>
                <w:rFonts w:cs="Segoe UI"/>
                <w:szCs w:val="18"/>
              </w:rPr>
              <w:t>(</w:t>
            </w:r>
            <w:r w:rsidRPr="005B58D4">
              <w:rPr>
                <w:rFonts w:cs="Segoe UI"/>
                <w:szCs w:val="18"/>
              </w:rPr>
              <w:t>RSA</w:t>
            </w:r>
            <w:r>
              <w:rPr>
                <w:rFonts w:cs="Segoe UI"/>
                <w:szCs w:val="18"/>
              </w:rPr>
              <w:t xml:space="preserve"> &amp; </w:t>
            </w:r>
            <w:r w:rsidRPr="005B58D4">
              <w:rPr>
                <w:rFonts w:cs="Segoe UI"/>
                <w:szCs w:val="18"/>
              </w:rPr>
              <w:t>NDLS</w:t>
            </w:r>
            <w:r w:rsidRPr="002A3F2E">
              <w:rPr>
                <w:rFonts w:cs="Segoe UI"/>
                <w:szCs w:val="18"/>
              </w:rPr>
              <w:t>)</w:t>
            </w:r>
          </w:p>
        </w:tc>
        <w:tc>
          <w:tcPr>
            <w:tcW w:w="1418" w:type="dxa"/>
          </w:tcPr>
          <w:p w14:paraId="4018C7A7" w14:textId="77777777" w:rsidR="00122C1B" w:rsidRPr="008F68D4" w:rsidRDefault="00122C1B" w:rsidP="00EF3D55">
            <w:pPr>
              <w:pStyle w:val="TableHeaders"/>
              <w:keepNext/>
            </w:pPr>
            <w:r>
              <w:t>Option 1</w:t>
            </w:r>
            <w:r>
              <w:br/>
              <w:t>Current regulations</w:t>
            </w:r>
          </w:p>
        </w:tc>
        <w:tc>
          <w:tcPr>
            <w:tcW w:w="1559" w:type="dxa"/>
          </w:tcPr>
          <w:p w14:paraId="11B03507" w14:textId="77777777" w:rsidR="00122C1B" w:rsidRPr="008F68D4" w:rsidRDefault="00122C1B" w:rsidP="00EF3D55">
            <w:pPr>
              <w:pStyle w:val="TableHeaders"/>
              <w:keepNext/>
            </w:pPr>
            <w:r>
              <w:t>Option 2</w:t>
            </w:r>
            <w:r>
              <w:br/>
              <w:t>Current regulations plus temp visa inclusion</w:t>
            </w:r>
          </w:p>
        </w:tc>
        <w:tc>
          <w:tcPr>
            <w:tcW w:w="1701" w:type="dxa"/>
          </w:tcPr>
          <w:p w14:paraId="2FEEFB7A" w14:textId="77777777" w:rsidR="00122C1B" w:rsidRPr="008F68D4" w:rsidRDefault="00122C1B" w:rsidP="00EF3D55">
            <w:pPr>
              <w:pStyle w:val="TableHeaders"/>
              <w:keepNext/>
            </w:pPr>
            <w:r>
              <w:t>Option 3</w:t>
            </w:r>
            <w:r>
              <w:br/>
              <w:t xml:space="preserve">All to convert within 3 months </w:t>
            </w:r>
            <w:r w:rsidRPr="00B90777">
              <w:t>of residenc</w:t>
            </w:r>
            <w:r>
              <w:t>y</w:t>
            </w:r>
            <w:r w:rsidRPr="00B90777">
              <w:t xml:space="preserve"> in Victoria</w:t>
            </w:r>
          </w:p>
        </w:tc>
        <w:tc>
          <w:tcPr>
            <w:tcW w:w="1701" w:type="dxa"/>
          </w:tcPr>
          <w:p w14:paraId="7E32380E" w14:textId="77777777" w:rsidR="00122C1B" w:rsidRPr="008F68D4" w:rsidRDefault="00122C1B" w:rsidP="00EF3D55">
            <w:pPr>
              <w:pStyle w:val="TableHeaders"/>
              <w:keepNext/>
            </w:pPr>
            <w:r>
              <w:t>Option 4</w:t>
            </w:r>
            <w:r>
              <w:br/>
              <w:t xml:space="preserve">All to convert within 6 months </w:t>
            </w:r>
            <w:r w:rsidRPr="00B90777">
              <w:t>of residenc</w:t>
            </w:r>
            <w:r>
              <w:t>y</w:t>
            </w:r>
            <w:r w:rsidRPr="00B90777">
              <w:t xml:space="preserve"> in Victoria</w:t>
            </w:r>
          </w:p>
        </w:tc>
      </w:tr>
      <w:tr w:rsidR="00122C1B" w:rsidRPr="008F68D4" w14:paraId="07F250F7" w14:textId="77777777" w:rsidTr="00EF3D55">
        <w:tc>
          <w:tcPr>
            <w:tcW w:w="2268" w:type="dxa"/>
          </w:tcPr>
          <w:p w14:paraId="1DB3F9C5" w14:textId="77777777" w:rsidR="00122C1B" w:rsidRPr="008F68D4" w:rsidRDefault="00122C1B" w:rsidP="00EF3D55">
            <w:pPr>
              <w:pStyle w:val="TableParagraph"/>
            </w:pPr>
            <w:r>
              <w:t>Driver with interstate or New Zealand licence</w:t>
            </w:r>
          </w:p>
        </w:tc>
        <w:tc>
          <w:tcPr>
            <w:tcW w:w="1134" w:type="dxa"/>
          </w:tcPr>
          <w:p w14:paraId="1C81C559" w14:textId="77777777" w:rsidR="00122C1B" w:rsidRPr="008F68D4" w:rsidRDefault="00122C1B" w:rsidP="00EF3D55">
            <w:pPr>
              <w:pStyle w:val="TableParagraph"/>
              <w:jc w:val="center"/>
            </w:pPr>
            <w:r>
              <w:t>3 months</w:t>
            </w:r>
          </w:p>
        </w:tc>
        <w:tc>
          <w:tcPr>
            <w:tcW w:w="1418" w:type="dxa"/>
          </w:tcPr>
          <w:p w14:paraId="397CA573" w14:textId="77777777" w:rsidR="00122C1B" w:rsidRPr="008F68D4" w:rsidRDefault="00122C1B" w:rsidP="00EF3D55">
            <w:pPr>
              <w:pStyle w:val="TableParagraph"/>
              <w:jc w:val="center"/>
              <w:rPr>
                <w:rFonts w:eastAsia="Times New Roman"/>
                <w:color w:val="000000"/>
              </w:rPr>
            </w:pPr>
            <w:r>
              <w:t>3 months</w:t>
            </w:r>
          </w:p>
        </w:tc>
        <w:tc>
          <w:tcPr>
            <w:tcW w:w="1559" w:type="dxa"/>
          </w:tcPr>
          <w:p w14:paraId="7DE3F681" w14:textId="77777777" w:rsidR="00122C1B" w:rsidRPr="008F68D4" w:rsidRDefault="00122C1B" w:rsidP="00EF3D55">
            <w:pPr>
              <w:pStyle w:val="TableParagraph"/>
              <w:jc w:val="center"/>
              <w:rPr>
                <w:rFonts w:eastAsia="Times New Roman"/>
                <w:color w:val="000000"/>
              </w:rPr>
            </w:pPr>
            <w:r>
              <w:t>3 months</w:t>
            </w:r>
          </w:p>
        </w:tc>
        <w:tc>
          <w:tcPr>
            <w:tcW w:w="1701" w:type="dxa"/>
          </w:tcPr>
          <w:p w14:paraId="2D74A8E0" w14:textId="77777777" w:rsidR="00122C1B" w:rsidRPr="008F68D4" w:rsidRDefault="00122C1B" w:rsidP="00EF3D55">
            <w:pPr>
              <w:pStyle w:val="TableParagraph"/>
              <w:jc w:val="center"/>
              <w:rPr>
                <w:rFonts w:eastAsia="Times New Roman"/>
                <w:color w:val="000000"/>
              </w:rPr>
            </w:pPr>
            <w:r>
              <w:t>3 months</w:t>
            </w:r>
          </w:p>
        </w:tc>
        <w:tc>
          <w:tcPr>
            <w:tcW w:w="1701" w:type="dxa"/>
          </w:tcPr>
          <w:p w14:paraId="6F7F7682" w14:textId="77777777" w:rsidR="00122C1B" w:rsidRPr="008F68D4" w:rsidRDefault="00122C1B" w:rsidP="00EF3D55">
            <w:pPr>
              <w:pStyle w:val="TableParagraph"/>
              <w:jc w:val="center"/>
              <w:rPr>
                <w:rFonts w:eastAsia="Times New Roman"/>
                <w:color w:val="000000"/>
              </w:rPr>
            </w:pPr>
            <w:r>
              <w:t>6 months</w:t>
            </w:r>
          </w:p>
        </w:tc>
      </w:tr>
      <w:tr w:rsidR="00122C1B" w:rsidRPr="008F68D4" w14:paraId="00ED300A" w14:textId="77777777" w:rsidTr="00EF3D55">
        <w:trPr>
          <w:cnfStyle w:val="000000010000" w:firstRow="0" w:lastRow="0" w:firstColumn="0" w:lastColumn="0" w:oddVBand="0" w:evenVBand="0" w:oddHBand="0" w:evenHBand="1" w:firstRowFirstColumn="0" w:firstRowLastColumn="0" w:lastRowFirstColumn="0" w:lastRowLastColumn="0"/>
        </w:trPr>
        <w:tc>
          <w:tcPr>
            <w:tcW w:w="2268" w:type="dxa"/>
          </w:tcPr>
          <w:p w14:paraId="7618D165" w14:textId="77777777" w:rsidR="00122C1B" w:rsidRPr="008F68D4" w:rsidRDefault="00122C1B" w:rsidP="00EF3D55">
            <w:pPr>
              <w:pStyle w:val="TableParagraph"/>
            </w:pPr>
            <w:r>
              <w:t>Driver with permanent visa and overseas licence</w:t>
            </w:r>
          </w:p>
        </w:tc>
        <w:tc>
          <w:tcPr>
            <w:tcW w:w="1134" w:type="dxa"/>
          </w:tcPr>
          <w:p w14:paraId="3125FC57" w14:textId="77777777" w:rsidR="00122C1B" w:rsidRPr="008F68D4" w:rsidRDefault="00122C1B" w:rsidP="00EF3D55">
            <w:pPr>
              <w:pStyle w:val="TableParagraph"/>
              <w:jc w:val="center"/>
            </w:pPr>
            <w:r>
              <w:t>3 months</w:t>
            </w:r>
          </w:p>
        </w:tc>
        <w:tc>
          <w:tcPr>
            <w:tcW w:w="1418" w:type="dxa"/>
          </w:tcPr>
          <w:p w14:paraId="194E57C5" w14:textId="77777777" w:rsidR="00122C1B" w:rsidRPr="008F68D4" w:rsidRDefault="00122C1B" w:rsidP="00EF3D55">
            <w:pPr>
              <w:pStyle w:val="TableParagraph"/>
              <w:jc w:val="center"/>
              <w:rPr>
                <w:rFonts w:eastAsia="Times New Roman"/>
                <w:color w:val="000000"/>
              </w:rPr>
            </w:pPr>
            <w:r>
              <w:t>6 months</w:t>
            </w:r>
          </w:p>
        </w:tc>
        <w:tc>
          <w:tcPr>
            <w:tcW w:w="1559" w:type="dxa"/>
          </w:tcPr>
          <w:p w14:paraId="6D89E2F3" w14:textId="77777777" w:rsidR="00122C1B" w:rsidRPr="008F68D4" w:rsidRDefault="00122C1B" w:rsidP="00EF3D55">
            <w:pPr>
              <w:pStyle w:val="TableParagraph"/>
              <w:jc w:val="center"/>
              <w:rPr>
                <w:rFonts w:eastAsia="Times New Roman"/>
                <w:color w:val="000000"/>
              </w:rPr>
            </w:pPr>
            <w:r>
              <w:t>6 months</w:t>
            </w:r>
          </w:p>
        </w:tc>
        <w:tc>
          <w:tcPr>
            <w:tcW w:w="1701" w:type="dxa"/>
          </w:tcPr>
          <w:p w14:paraId="5DD481EE" w14:textId="77777777" w:rsidR="00122C1B" w:rsidRPr="008F68D4" w:rsidRDefault="00122C1B" w:rsidP="00EF3D55">
            <w:pPr>
              <w:pStyle w:val="TableParagraph"/>
              <w:jc w:val="center"/>
              <w:rPr>
                <w:rFonts w:eastAsia="Times New Roman"/>
                <w:color w:val="000000"/>
              </w:rPr>
            </w:pPr>
            <w:r>
              <w:t>3 months</w:t>
            </w:r>
          </w:p>
        </w:tc>
        <w:tc>
          <w:tcPr>
            <w:tcW w:w="1701" w:type="dxa"/>
          </w:tcPr>
          <w:p w14:paraId="3C8978D4" w14:textId="77777777" w:rsidR="00122C1B" w:rsidRPr="008F68D4" w:rsidRDefault="00122C1B" w:rsidP="00EF3D55">
            <w:pPr>
              <w:pStyle w:val="TableParagraph"/>
              <w:jc w:val="center"/>
              <w:rPr>
                <w:rFonts w:eastAsia="Times New Roman"/>
                <w:color w:val="000000"/>
              </w:rPr>
            </w:pPr>
            <w:r>
              <w:t>6 months</w:t>
            </w:r>
          </w:p>
        </w:tc>
      </w:tr>
      <w:tr w:rsidR="00122C1B" w:rsidRPr="008F68D4" w14:paraId="23D52275" w14:textId="77777777" w:rsidTr="00EF3D55">
        <w:tc>
          <w:tcPr>
            <w:tcW w:w="2268" w:type="dxa"/>
          </w:tcPr>
          <w:p w14:paraId="2658AD00" w14:textId="77777777" w:rsidR="00122C1B" w:rsidRPr="008F68D4" w:rsidRDefault="00122C1B" w:rsidP="00EF3D55">
            <w:pPr>
              <w:pStyle w:val="TableParagraph"/>
            </w:pPr>
            <w:r>
              <w:t>Driver with temporary visa and overseas licence</w:t>
            </w:r>
          </w:p>
        </w:tc>
        <w:tc>
          <w:tcPr>
            <w:tcW w:w="1134" w:type="dxa"/>
          </w:tcPr>
          <w:p w14:paraId="32F1A9C6" w14:textId="77777777" w:rsidR="00122C1B" w:rsidRPr="008F68D4" w:rsidRDefault="00122C1B" w:rsidP="00EF3D55">
            <w:pPr>
              <w:pStyle w:val="TableParagraph"/>
              <w:jc w:val="center"/>
            </w:pPr>
            <w:r>
              <w:t>No need to convert</w:t>
            </w:r>
          </w:p>
        </w:tc>
        <w:tc>
          <w:tcPr>
            <w:tcW w:w="1418" w:type="dxa"/>
          </w:tcPr>
          <w:p w14:paraId="7C0AEEED" w14:textId="77777777" w:rsidR="00122C1B" w:rsidRPr="008F68D4" w:rsidRDefault="00122C1B" w:rsidP="00EF3D55">
            <w:pPr>
              <w:pStyle w:val="TableParagraph"/>
              <w:jc w:val="center"/>
            </w:pPr>
            <w:r>
              <w:t>No need to convert</w:t>
            </w:r>
          </w:p>
        </w:tc>
        <w:tc>
          <w:tcPr>
            <w:tcW w:w="1559" w:type="dxa"/>
          </w:tcPr>
          <w:p w14:paraId="4A7CE20F" w14:textId="77777777" w:rsidR="00122C1B" w:rsidRPr="008F68D4" w:rsidRDefault="00122C1B" w:rsidP="00EF3D55">
            <w:pPr>
              <w:pStyle w:val="TableParagraph"/>
              <w:jc w:val="center"/>
              <w:rPr>
                <w:rFonts w:eastAsia="Times New Roman"/>
                <w:color w:val="000000"/>
              </w:rPr>
            </w:pPr>
            <w:r>
              <w:t>6 months</w:t>
            </w:r>
          </w:p>
        </w:tc>
        <w:tc>
          <w:tcPr>
            <w:tcW w:w="1701" w:type="dxa"/>
          </w:tcPr>
          <w:p w14:paraId="33F94785" w14:textId="77777777" w:rsidR="00122C1B" w:rsidRPr="008F68D4" w:rsidRDefault="00122C1B" w:rsidP="00EF3D55">
            <w:pPr>
              <w:pStyle w:val="TableParagraph"/>
              <w:jc w:val="center"/>
              <w:rPr>
                <w:rFonts w:eastAsia="Times New Roman"/>
                <w:color w:val="000000"/>
              </w:rPr>
            </w:pPr>
            <w:r>
              <w:t>3 months</w:t>
            </w:r>
          </w:p>
        </w:tc>
        <w:tc>
          <w:tcPr>
            <w:tcW w:w="1701" w:type="dxa"/>
          </w:tcPr>
          <w:p w14:paraId="7D398CA2" w14:textId="77777777" w:rsidR="00122C1B" w:rsidRPr="008F68D4" w:rsidRDefault="00122C1B" w:rsidP="00EF3D55">
            <w:pPr>
              <w:pStyle w:val="TableParagraph"/>
              <w:jc w:val="center"/>
              <w:rPr>
                <w:rFonts w:eastAsia="Times New Roman"/>
                <w:color w:val="000000"/>
              </w:rPr>
            </w:pPr>
            <w:r>
              <w:t>6 months</w:t>
            </w:r>
          </w:p>
        </w:tc>
      </w:tr>
    </w:tbl>
    <w:p w14:paraId="4297A2DE" w14:textId="77777777" w:rsidR="00122C1B" w:rsidRDefault="00122C1B" w:rsidP="00DA40E0">
      <w:pPr>
        <w:pStyle w:val="TextPara"/>
        <w:spacing w:before="240"/>
      </w:pPr>
      <w:r w:rsidRPr="00D5409F">
        <w:rPr>
          <w:b/>
        </w:rPr>
        <w:t>Option 5</w:t>
      </w:r>
      <w:r>
        <w:t xml:space="preserve"> consisting of a</w:t>
      </w:r>
      <w:r w:rsidRPr="00787053">
        <w:t>ll interstate and overseas drivers convert</w:t>
      </w:r>
      <w:r>
        <w:t>ing to a Victorian after</w:t>
      </w:r>
      <w:r w:rsidRPr="00787053">
        <w:t xml:space="preserve"> </w:t>
      </w:r>
      <w:r>
        <w:t>12</w:t>
      </w:r>
      <w:r w:rsidRPr="00787053">
        <w:t xml:space="preserve"> months</w:t>
      </w:r>
      <w:r>
        <w:t xml:space="preserve"> of residency was initially considered. However, after further analysis, it was discarded on the basis that it would allow new residents from overseas too long a period, in which to avoid the enforcement of l</w:t>
      </w:r>
      <w:r w:rsidRPr="00117C96">
        <w:rPr>
          <w:rFonts w:cs="Segoe UI"/>
        </w:rPr>
        <w:t xml:space="preserve">icence conditions, </w:t>
      </w:r>
      <w:r>
        <w:rPr>
          <w:rFonts w:cs="Segoe UI"/>
        </w:rPr>
        <w:t>such as</w:t>
      </w:r>
      <w:r w:rsidRPr="00117C96">
        <w:rPr>
          <w:rFonts w:cs="Segoe UI"/>
        </w:rPr>
        <w:t xml:space="preserve"> the imposition of alcohol interlock device</w:t>
      </w:r>
      <w:r>
        <w:rPr>
          <w:rFonts w:cs="Segoe UI"/>
        </w:rPr>
        <w:t>s</w:t>
      </w:r>
      <w:r w:rsidRPr="00117C96">
        <w:rPr>
          <w:rFonts w:cs="Segoe UI"/>
        </w:rPr>
        <w:t xml:space="preserve"> after conviction for a drink-driving offence, </w:t>
      </w:r>
      <w:r>
        <w:rPr>
          <w:rFonts w:cs="Segoe UI"/>
        </w:rPr>
        <w:t xml:space="preserve">as these </w:t>
      </w:r>
      <w:r w:rsidRPr="00117C96">
        <w:rPr>
          <w:rFonts w:cs="Segoe UI"/>
        </w:rPr>
        <w:t>cannot be attached to overseas issued licences.</w:t>
      </w:r>
    </w:p>
    <w:p w14:paraId="4E4FF99C" w14:textId="77777777" w:rsidR="00122C1B" w:rsidRDefault="00122C1B" w:rsidP="006713F9">
      <w:pPr>
        <w:pStyle w:val="Heading3"/>
      </w:pPr>
      <w:bookmarkStart w:id="444" w:name="_Ref2761707"/>
      <w:bookmarkStart w:id="445" w:name="_Ref2761747"/>
      <w:bookmarkStart w:id="446" w:name="_Toc10703440"/>
      <w:r>
        <w:t>Options assessment</w:t>
      </w:r>
      <w:bookmarkEnd w:id="444"/>
      <w:bookmarkEnd w:id="445"/>
      <w:bookmarkEnd w:id="446"/>
    </w:p>
    <w:p w14:paraId="6D27C324" w14:textId="77777777" w:rsidR="00122C1B" w:rsidRDefault="00122C1B" w:rsidP="00EA637D">
      <w:pPr>
        <w:pStyle w:val="Heading4"/>
      </w:pPr>
      <w:r>
        <w:t>Options scoring</w:t>
      </w:r>
    </w:p>
    <w:p w14:paraId="29762461" w14:textId="77777777" w:rsidR="00122C1B" w:rsidRDefault="00122C1B" w:rsidP="00DA40E0">
      <w:pPr>
        <w:pStyle w:val="TextPara"/>
      </w:pPr>
      <w:r>
        <w:t xml:space="preserve">In assessing the options, the Base Case was given a zero score and the other options were assessed against it. A negative raw or weighted score indicates a deterioration from the Base Case, while a positive raw or weighted score would indicate an improvement to it. </w:t>
      </w:r>
    </w:p>
    <w:p w14:paraId="345E7116" w14:textId="70F2723D" w:rsidR="00122C1B" w:rsidRPr="00C43FBE" w:rsidRDefault="00122C1B" w:rsidP="00DA40E0">
      <w:pPr>
        <w:pStyle w:val="TextPara"/>
      </w:pPr>
      <w:r>
        <w:fldChar w:fldCharType="begin"/>
      </w:r>
      <w:r>
        <w:instrText xml:space="preserve"> REF _Ref506558672 \h </w:instrText>
      </w:r>
      <w:r>
        <w:fldChar w:fldCharType="separate"/>
      </w:r>
      <w:r w:rsidR="00EB4B02" w:rsidRPr="00117C96">
        <w:t xml:space="preserve">Table </w:t>
      </w:r>
      <w:r w:rsidR="00EB4B02">
        <w:rPr>
          <w:noProof/>
        </w:rPr>
        <w:t>23</w:t>
      </w:r>
      <w:r>
        <w:fldChar w:fldCharType="end"/>
      </w:r>
      <w:r>
        <w:t xml:space="preserve"> shows the scores assigned to each criterion for all options when compared to the Base Case.</w:t>
      </w:r>
    </w:p>
    <w:p w14:paraId="26251649" w14:textId="232C6E46" w:rsidR="00122C1B" w:rsidRDefault="00122C1B" w:rsidP="00DA40E0">
      <w:pPr>
        <w:pStyle w:val="Caption"/>
      </w:pPr>
      <w:bookmarkStart w:id="447" w:name="_Ref506558672"/>
      <w:bookmarkStart w:id="448" w:name="_Toc10703716"/>
      <w:r w:rsidRPr="00117C96">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23</w:t>
      </w:r>
      <w:r w:rsidR="00BC6B2E">
        <w:rPr>
          <w:noProof/>
        </w:rPr>
        <w:fldChar w:fldCharType="end"/>
      </w:r>
      <w:bookmarkEnd w:id="447"/>
      <w:r w:rsidRPr="00117C96">
        <w:t xml:space="preserve"> – Recognition of other jurisdictions’ driving licences and experience: Comparative weighted scores for options considered</w:t>
      </w:r>
      <w:bookmarkEnd w:id="448"/>
    </w:p>
    <w:tbl>
      <w:tblPr>
        <w:tblStyle w:val="RIS-Table"/>
        <w:tblW w:w="9639" w:type="dxa"/>
        <w:tblInd w:w="-5" w:type="dxa"/>
        <w:tblLayout w:type="fixed"/>
        <w:tblLook w:val="04A0" w:firstRow="1" w:lastRow="0" w:firstColumn="1" w:lastColumn="0" w:noHBand="0" w:noVBand="1"/>
      </w:tblPr>
      <w:tblGrid>
        <w:gridCol w:w="1276"/>
        <w:gridCol w:w="1134"/>
        <w:gridCol w:w="709"/>
        <w:gridCol w:w="709"/>
        <w:gridCol w:w="708"/>
        <w:gridCol w:w="709"/>
        <w:gridCol w:w="709"/>
        <w:gridCol w:w="709"/>
        <w:gridCol w:w="708"/>
        <w:gridCol w:w="709"/>
        <w:gridCol w:w="709"/>
        <w:gridCol w:w="850"/>
      </w:tblGrid>
      <w:tr w:rsidR="00122C1B" w:rsidRPr="00E85A14" w14:paraId="031E736A" w14:textId="77777777" w:rsidTr="00EF3D55">
        <w:trPr>
          <w:cnfStyle w:val="100000000000" w:firstRow="1" w:lastRow="0" w:firstColumn="0" w:lastColumn="0" w:oddVBand="0" w:evenVBand="0" w:oddHBand="0" w:evenHBand="0" w:firstRowFirstColumn="0" w:firstRowLastColumn="0" w:lastRowFirstColumn="0" w:lastRowLastColumn="0"/>
        </w:trPr>
        <w:tc>
          <w:tcPr>
            <w:tcW w:w="1276" w:type="dxa"/>
            <w:vMerge w:val="restart"/>
            <w:tcBorders>
              <w:bottom w:val="single" w:sz="4" w:space="0" w:color="D9D9D9" w:themeColor="background1" w:themeShade="D9"/>
              <w:right w:val="single" w:sz="4" w:space="0" w:color="D9D9D9" w:themeColor="background1" w:themeShade="D9"/>
            </w:tcBorders>
            <w:vAlign w:val="center"/>
          </w:tcPr>
          <w:p w14:paraId="77D4B852" w14:textId="77777777" w:rsidR="00122C1B" w:rsidRPr="002A3F2E" w:rsidRDefault="00122C1B" w:rsidP="00EF3D55">
            <w:pPr>
              <w:pStyle w:val="TableHeaders"/>
              <w:rPr>
                <w:rFonts w:cs="Segoe UI"/>
                <w:szCs w:val="18"/>
              </w:rPr>
            </w:pPr>
            <w:r w:rsidRPr="002A3F2E">
              <w:rPr>
                <w:rFonts w:cs="Segoe UI"/>
                <w:szCs w:val="18"/>
              </w:rPr>
              <w:t>Criterion</w:t>
            </w:r>
          </w:p>
        </w:tc>
        <w:tc>
          <w:tcPr>
            <w:tcW w:w="1134" w:type="dxa"/>
            <w:vMerge w:val="restart"/>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B01EC5" w14:textId="77777777" w:rsidR="00122C1B" w:rsidRPr="002A3F2E" w:rsidRDefault="00122C1B" w:rsidP="00EF3D55">
            <w:pPr>
              <w:pStyle w:val="TableHeaders"/>
              <w:rPr>
                <w:rFonts w:cs="Segoe UI"/>
                <w:szCs w:val="18"/>
              </w:rPr>
            </w:pPr>
            <w:r w:rsidRPr="002A3F2E">
              <w:rPr>
                <w:rFonts w:cs="Segoe UI"/>
                <w:szCs w:val="18"/>
              </w:rPr>
              <w:t>Weighting</w:t>
            </w:r>
          </w:p>
        </w:tc>
        <w:tc>
          <w:tcPr>
            <w:tcW w:w="1418"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994482" w14:textId="77777777" w:rsidR="00122C1B" w:rsidRPr="002A3F2E" w:rsidRDefault="008607C5" w:rsidP="00EF3D55">
            <w:pPr>
              <w:pStyle w:val="TableHeaders"/>
              <w:rPr>
                <w:rFonts w:cs="Segoe UI"/>
                <w:szCs w:val="18"/>
              </w:rPr>
            </w:pPr>
            <w:r>
              <w:rPr>
                <w:rFonts w:cs="Segoe UI"/>
                <w:szCs w:val="18"/>
              </w:rPr>
              <w:t xml:space="preserve">Reference Point </w:t>
            </w:r>
            <w:r w:rsidR="00122C1B" w:rsidRPr="002A3F2E">
              <w:rPr>
                <w:rFonts w:cs="Segoe UI"/>
                <w:szCs w:val="18"/>
              </w:rPr>
              <w:t>(</w:t>
            </w:r>
            <w:r w:rsidR="00122C1B" w:rsidRPr="005B58D4">
              <w:rPr>
                <w:rFonts w:cs="Segoe UI"/>
                <w:szCs w:val="18"/>
              </w:rPr>
              <w:t>RSA</w:t>
            </w:r>
            <w:r w:rsidR="00122C1B">
              <w:rPr>
                <w:rFonts w:cs="Segoe UI"/>
                <w:szCs w:val="18"/>
              </w:rPr>
              <w:t xml:space="preserve"> &amp; </w:t>
            </w:r>
            <w:r w:rsidR="00122C1B" w:rsidRPr="005B58D4">
              <w:rPr>
                <w:rFonts w:cs="Segoe UI"/>
                <w:szCs w:val="18"/>
              </w:rPr>
              <w:t>NDLS</w:t>
            </w:r>
            <w:r w:rsidR="00122C1B" w:rsidRPr="002A3F2E">
              <w:rPr>
                <w:rFonts w:cs="Segoe UI"/>
                <w:szCs w:val="18"/>
              </w:rPr>
              <w:t>)</w:t>
            </w:r>
          </w:p>
        </w:tc>
        <w:tc>
          <w:tcPr>
            <w:tcW w:w="1417"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BE5FA02" w14:textId="77777777" w:rsidR="00122C1B" w:rsidRPr="002A3F2E" w:rsidRDefault="00122C1B" w:rsidP="00EF3D55">
            <w:pPr>
              <w:pStyle w:val="TableHeaders"/>
              <w:rPr>
                <w:rFonts w:cs="Segoe UI"/>
                <w:szCs w:val="18"/>
              </w:rPr>
            </w:pPr>
            <w:r w:rsidRPr="002A3F2E">
              <w:rPr>
                <w:rFonts w:cs="Segoe UI"/>
                <w:szCs w:val="18"/>
              </w:rPr>
              <w:t>OPTION 1</w:t>
            </w:r>
            <w:r w:rsidRPr="002A3F2E">
              <w:rPr>
                <w:rFonts w:cs="Segoe UI"/>
                <w:szCs w:val="18"/>
              </w:rPr>
              <w:br/>
              <w:t xml:space="preserve">Current </w:t>
            </w:r>
            <w:r>
              <w:rPr>
                <w:rFonts w:cs="Segoe UI"/>
                <w:szCs w:val="18"/>
              </w:rPr>
              <w:br/>
            </w:r>
            <w:r w:rsidRPr="002A3F2E">
              <w:rPr>
                <w:rFonts w:cs="Segoe UI"/>
                <w:szCs w:val="18"/>
              </w:rPr>
              <w:t>reg</w:t>
            </w:r>
            <w:r>
              <w:rPr>
                <w:rFonts w:cs="Segoe UI"/>
                <w:szCs w:val="18"/>
              </w:rPr>
              <w:t>ulations</w:t>
            </w:r>
            <w:r>
              <w:rPr>
                <w:rFonts w:cs="Segoe UI"/>
                <w:szCs w:val="18"/>
              </w:rPr>
              <w:br/>
            </w:r>
          </w:p>
        </w:tc>
        <w:tc>
          <w:tcPr>
            <w:tcW w:w="1418"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60B4DCD7" w14:textId="77777777" w:rsidR="00122C1B" w:rsidRPr="002A3F2E" w:rsidRDefault="00122C1B" w:rsidP="00EF3D55">
            <w:pPr>
              <w:pStyle w:val="TableHeaders"/>
              <w:rPr>
                <w:rFonts w:cs="Segoe UI"/>
                <w:szCs w:val="18"/>
              </w:rPr>
            </w:pPr>
            <w:r w:rsidRPr="002A3F2E">
              <w:rPr>
                <w:rFonts w:cs="Segoe UI"/>
                <w:szCs w:val="18"/>
              </w:rPr>
              <w:t>OPTION 2</w:t>
            </w:r>
            <w:r w:rsidRPr="002A3F2E">
              <w:rPr>
                <w:rFonts w:cs="Segoe UI"/>
                <w:szCs w:val="18"/>
              </w:rPr>
              <w:br/>
              <w:t xml:space="preserve">Current regs </w:t>
            </w:r>
            <w:r w:rsidRPr="002A3F2E">
              <w:rPr>
                <w:rFonts w:cs="Segoe UI"/>
                <w:szCs w:val="18"/>
              </w:rPr>
              <w:br/>
              <w:t>plus temp visa inclusion</w:t>
            </w:r>
          </w:p>
        </w:tc>
        <w:tc>
          <w:tcPr>
            <w:tcW w:w="1417" w:type="dxa"/>
            <w:gridSpan w:val="2"/>
            <w:tcBorders>
              <w:left w:val="single" w:sz="4" w:space="0" w:color="D9D9D9" w:themeColor="background1" w:themeShade="D9"/>
              <w:bottom w:val="single" w:sz="4" w:space="0" w:color="D9D9D9" w:themeColor="background1" w:themeShade="D9"/>
              <w:right w:val="single" w:sz="18" w:space="0" w:color="0070C0"/>
            </w:tcBorders>
          </w:tcPr>
          <w:p w14:paraId="15891433" w14:textId="77777777" w:rsidR="00122C1B" w:rsidRPr="002A3F2E" w:rsidRDefault="00122C1B" w:rsidP="00EF3D55">
            <w:pPr>
              <w:pStyle w:val="TableHeaders"/>
              <w:rPr>
                <w:rFonts w:cs="Segoe UI"/>
                <w:szCs w:val="18"/>
              </w:rPr>
            </w:pPr>
            <w:r w:rsidRPr="002A3F2E">
              <w:rPr>
                <w:rFonts w:cs="Segoe UI"/>
                <w:szCs w:val="18"/>
              </w:rPr>
              <w:t>OPTION 3</w:t>
            </w:r>
            <w:r w:rsidRPr="002A3F2E">
              <w:rPr>
                <w:rFonts w:cs="Segoe UI"/>
                <w:szCs w:val="18"/>
              </w:rPr>
              <w:br/>
              <w:t>All to convert within 3 months</w:t>
            </w:r>
          </w:p>
        </w:tc>
        <w:tc>
          <w:tcPr>
            <w:tcW w:w="1559" w:type="dxa"/>
            <w:gridSpan w:val="2"/>
            <w:tcBorders>
              <w:top w:val="single" w:sz="18" w:space="0" w:color="0070C0"/>
              <w:left w:val="single" w:sz="18" w:space="0" w:color="0070C0"/>
              <w:bottom w:val="single" w:sz="4" w:space="0" w:color="D9D9D9" w:themeColor="background1" w:themeShade="D9"/>
              <w:right w:val="single" w:sz="18" w:space="0" w:color="0070C0"/>
            </w:tcBorders>
          </w:tcPr>
          <w:p w14:paraId="46D8B82D" w14:textId="77777777" w:rsidR="00122C1B" w:rsidRPr="002A3F2E" w:rsidRDefault="00122C1B" w:rsidP="00EF3D55">
            <w:pPr>
              <w:pStyle w:val="TableHeaders"/>
              <w:rPr>
                <w:rFonts w:cs="Segoe UI"/>
                <w:szCs w:val="18"/>
              </w:rPr>
            </w:pPr>
            <w:r w:rsidRPr="002A3F2E">
              <w:rPr>
                <w:rFonts w:cs="Segoe UI"/>
                <w:szCs w:val="18"/>
              </w:rPr>
              <w:t>OPTION 4</w:t>
            </w:r>
            <w:r w:rsidRPr="002A3F2E">
              <w:rPr>
                <w:rFonts w:cs="Segoe UI"/>
                <w:szCs w:val="18"/>
              </w:rPr>
              <w:br/>
              <w:t>All to convert within 6 months</w:t>
            </w:r>
          </w:p>
        </w:tc>
      </w:tr>
      <w:tr w:rsidR="008103DD" w:rsidRPr="00E85A14" w14:paraId="55AA7857" w14:textId="77777777" w:rsidTr="00EF3D55">
        <w:tc>
          <w:tcPr>
            <w:tcW w:w="1276" w:type="dxa"/>
            <w:vMerge/>
            <w:tcBorders>
              <w:top w:val="single" w:sz="4" w:space="0" w:color="D9D9D9" w:themeColor="background1" w:themeShade="D9"/>
              <w:right w:val="single" w:sz="4" w:space="0" w:color="D9D9D9" w:themeColor="background1" w:themeShade="D9"/>
            </w:tcBorders>
          </w:tcPr>
          <w:p w14:paraId="423E4D8C" w14:textId="77777777" w:rsidR="00122C1B" w:rsidRPr="00E85A14" w:rsidRDefault="00122C1B" w:rsidP="00EF3D55">
            <w:pPr>
              <w:pStyle w:val="TableParagraph"/>
              <w:spacing w:line="240" w:lineRule="auto"/>
              <w:rPr>
                <w:rFonts w:ascii="Arial Narrow" w:hAnsi="Arial Narrow"/>
                <w:szCs w:val="18"/>
              </w:rPr>
            </w:pPr>
          </w:p>
        </w:tc>
        <w:tc>
          <w:tcPr>
            <w:tcW w:w="1134" w:type="dxa"/>
            <w:vMerge/>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tcPr>
          <w:p w14:paraId="6B31DBDC" w14:textId="77777777" w:rsidR="00122C1B" w:rsidRPr="00E85A14" w:rsidRDefault="00122C1B" w:rsidP="00EF3D55">
            <w:pPr>
              <w:pStyle w:val="TableParagraph"/>
              <w:ind w:right="99"/>
              <w:jc w:val="right"/>
              <w:rPr>
                <w:rFonts w:ascii="Arial Narrow" w:hAnsi="Arial Narrow"/>
                <w:szCs w:val="18"/>
              </w:rPr>
            </w:pPr>
          </w:p>
        </w:tc>
        <w:tc>
          <w:tcPr>
            <w:tcW w:w="709"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0A1F3F"/>
          </w:tcPr>
          <w:p w14:paraId="72CC7C42" w14:textId="77777777" w:rsidR="00122C1B" w:rsidRPr="00621837" w:rsidRDefault="00122C1B" w:rsidP="00EF3D55">
            <w:pPr>
              <w:pStyle w:val="TableParagraph"/>
              <w:spacing w:line="240" w:lineRule="auto"/>
              <w:ind w:left="-57"/>
              <w:jc w:val="center"/>
              <w:rPr>
                <w:rFonts w:cs="Segoe UI"/>
                <w:b/>
                <w:szCs w:val="18"/>
              </w:rPr>
            </w:pPr>
            <w:r w:rsidRPr="00621837">
              <w:rPr>
                <w:rFonts w:cs="Segoe UI"/>
                <w:b/>
                <w:szCs w:val="18"/>
              </w:rPr>
              <w:t>Raw Score</w:t>
            </w:r>
          </w:p>
        </w:tc>
        <w:tc>
          <w:tcPr>
            <w:tcW w:w="709"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0A1F3F"/>
          </w:tcPr>
          <w:p w14:paraId="29C7DB33" w14:textId="77777777" w:rsidR="00122C1B" w:rsidRPr="00621837" w:rsidRDefault="00122C1B" w:rsidP="00EF3D55">
            <w:pPr>
              <w:pStyle w:val="TableParagraph"/>
              <w:spacing w:line="240" w:lineRule="auto"/>
              <w:ind w:left="-57"/>
              <w:jc w:val="center"/>
              <w:rPr>
                <w:rFonts w:cs="Segoe UI"/>
                <w:b/>
                <w:szCs w:val="18"/>
              </w:rPr>
            </w:pPr>
            <w:r w:rsidRPr="00621837">
              <w:rPr>
                <w:rFonts w:cs="Segoe UI"/>
                <w:b/>
                <w:szCs w:val="18"/>
              </w:rPr>
              <w:t>W’ted Score</w:t>
            </w:r>
          </w:p>
        </w:tc>
        <w:tc>
          <w:tcPr>
            <w:tcW w:w="708"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0A1F3F"/>
          </w:tcPr>
          <w:p w14:paraId="73310AAB" w14:textId="77777777" w:rsidR="00122C1B" w:rsidRPr="00621837" w:rsidRDefault="00122C1B" w:rsidP="00EF3D55">
            <w:pPr>
              <w:pStyle w:val="TableParagraph"/>
              <w:spacing w:line="240" w:lineRule="auto"/>
              <w:ind w:left="-57"/>
              <w:jc w:val="center"/>
              <w:rPr>
                <w:rFonts w:eastAsia="Times New Roman" w:cs="Segoe UI"/>
                <w:b/>
                <w:szCs w:val="18"/>
              </w:rPr>
            </w:pPr>
            <w:r w:rsidRPr="00621837">
              <w:rPr>
                <w:rFonts w:cs="Segoe UI"/>
                <w:b/>
                <w:szCs w:val="18"/>
              </w:rPr>
              <w:t>Raw Score</w:t>
            </w:r>
          </w:p>
        </w:tc>
        <w:tc>
          <w:tcPr>
            <w:tcW w:w="709"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0A1F3F"/>
          </w:tcPr>
          <w:p w14:paraId="3B73257A" w14:textId="77777777" w:rsidR="00122C1B" w:rsidRPr="00621837" w:rsidRDefault="00122C1B" w:rsidP="00EF3D55">
            <w:pPr>
              <w:pStyle w:val="TableParagraph"/>
              <w:spacing w:line="240" w:lineRule="auto"/>
              <w:ind w:left="-57"/>
              <w:jc w:val="center"/>
              <w:rPr>
                <w:rFonts w:eastAsia="Times New Roman" w:cs="Segoe UI"/>
                <w:b/>
                <w:szCs w:val="18"/>
              </w:rPr>
            </w:pPr>
            <w:r w:rsidRPr="00621837">
              <w:rPr>
                <w:rFonts w:cs="Segoe UI"/>
                <w:b/>
                <w:szCs w:val="18"/>
              </w:rPr>
              <w:t>W’ted Score</w:t>
            </w:r>
          </w:p>
        </w:tc>
        <w:tc>
          <w:tcPr>
            <w:tcW w:w="709"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0A1F3F"/>
          </w:tcPr>
          <w:p w14:paraId="4B718DC4" w14:textId="77777777" w:rsidR="00122C1B" w:rsidRPr="00621837" w:rsidRDefault="00122C1B" w:rsidP="00EF3D55">
            <w:pPr>
              <w:pStyle w:val="TableParagraph"/>
              <w:spacing w:line="240" w:lineRule="auto"/>
              <w:ind w:left="-57"/>
              <w:jc w:val="center"/>
              <w:rPr>
                <w:rFonts w:eastAsia="Times New Roman" w:cs="Segoe UI"/>
                <w:b/>
                <w:szCs w:val="18"/>
              </w:rPr>
            </w:pPr>
            <w:r w:rsidRPr="00621837">
              <w:rPr>
                <w:rFonts w:cs="Segoe UI"/>
                <w:b/>
                <w:szCs w:val="18"/>
              </w:rPr>
              <w:t>Raw Score</w:t>
            </w:r>
          </w:p>
        </w:tc>
        <w:tc>
          <w:tcPr>
            <w:tcW w:w="709"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0A1F3F"/>
          </w:tcPr>
          <w:p w14:paraId="5E5866E0" w14:textId="77777777" w:rsidR="00122C1B" w:rsidRPr="00621837" w:rsidRDefault="00122C1B" w:rsidP="00EF3D55">
            <w:pPr>
              <w:pStyle w:val="TableParagraph"/>
              <w:spacing w:line="240" w:lineRule="auto"/>
              <w:ind w:left="-57"/>
              <w:jc w:val="center"/>
              <w:rPr>
                <w:rFonts w:eastAsia="Times New Roman" w:cs="Segoe UI"/>
                <w:b/>
                <w:szCs w:val="18"/>
              </w:rPr>
            </w:pPr>
            <w:r w:rsidRPr="00621837">
              <w:rPr>
                <w:rFonts w:cs="Segoe UI"/>
                <w:b/>
                <w:szCs w:val="18"/>
              </w:rPr>
              <w:t>W’ted Score</w:t>
            </w:r>
          </w:p>
        </w:tc>
        <w:tc>
          <w:tcPr>
            <w:tcW w:w="708"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0A1F3F"/>
          </w:tcPr>
          <w:p w14:paraId="006F94F1" w14:textId="77777777" w:rsidR="00122C1B" w:rsidRPr="00621837" w:rsidRDefault="00122C1B" w:rsidP="00EF3D55">
            <w:pPr>
              <w:pStyle w:val="TableParagraph"/>
              <w:spacing w:line="240" w:lineRule="auto"/>
              <w:ind w:left="-57"/>
              <w:jc w:val="center"/>
              <w:rPr>
                <w:rFonts w:eastAsia="Times New Roman" w:cs="Segoe UI"/>
                <w:b/>
                <w:szCs w:val="18"/>
              </w:rPr>
            </w:pPr>
            <w:r w:rsidRPr="00621837">
              <w:rPr>
                <w:rFonts w:cs="Segoe UI"/>
                <w:b/>
                <w:szCs w:val="18"/>
              </w:rPr>
              <w:t>Raw Score</w:t>
            </w:r>
          </w:p>
        </w:tc>
        <w:tc>
          <w:tcPr>
            <w:tcW w:w="709" w:type="dxa"/>
            <w:tcBorders>
              <w:top w:val="single" w:sz="4" w:space="0" w:color="D9D9D9" w:themeColor="background1" w:themeShade="D9"/>
              <w:left w:val="single" w:sz="4" w:space="0" w:color="D9D9D9" w:themeColor="background1" w:themeShade="D9"/>
              <w:right w:val="single" w:sz="18" w:space="0" w:color="0070C0"/>
            </w:tcBorders>
            <w:shd w:val="clear" w:color="auto" w:fill="0A1F3F"/>
          </w:tcPr>
          <w:p w14:paraId="53B194CD" w14:textId="77777777" w:rsidR="00122C1B" w:rsidRPr="00621837" w:rsidRDefault="00122C1B" w:rsidP="00EF3D55">
            <w:pPr>
              <w:pStyle w:val="TableParagraph"/>
              <w:spacing w:line="240" w:lineRule="auto"/>
              <w:ind w:left="-57"/>
              <w:jc w:val="center"/>
              <w:rPr>
                <w:rFonts w:eastAsia="Times New Roman" w:cs="Segoe UI"/>
                <w:b/>
                <w:szCs w:val="18"/>
              </w:rPr>
            </w:pPr>
            <w:r w:rsidRPr="00621837">
              <w:rPr>
                <w:rFonts w:cs="Segoe UI"/>
                <w:b/>
                <w:szCs w:val="18"/>
              </w:rPr>
              <w:t>W’ted Score</w:t>
            </w:r>
          </w:p>
        </w:tc>
        <w:tc>
          <w:tcPr>
            <w:tcW w:w="709" w:type="dxa"/>
            <w:tcBorders>
              <w:top w:val="single" w:sz="4" w:space="0" w:color="D9D9D9" w:themeColor="background1" w:themeShade="D9"/>
              <w:left w:val="single" w:sz="18" w:space="0" w:color="0070C0"/>
              <w:bottom w:val="single" w:sz="4" w:space="0" w:color="BFBFBF" w:themeColor="background1" w:themeShade="BF"/>
              <w:right w:val="single" w:sz="4" w:space="0" w:color="D9D9D9" w:themeColor="background1" w:themeShade="D9"/>
            </w:tcBorders>
            <w:shd w:val="clear" w:color="auto" w:fill="0A1F3F"/>
          </w:tcPr>
          <w:p w14:paraId="5EA65F9A" w14:textId="77777777" w:rsidR="00122C1B" w:rsidRPr="00621837" w:rsidRDefault="00122C1B" w:rsidP="00EF3D55">
            <w:pPr>
              <w:pStyle w:val="TableParagraph"/>
              <w:spacing w:line="240" w:lineRule="auto"/>
              <w:ind w:left="-57"/>
              <w:jc w:val="center"/>
              <w:rPr>
                <w:rFonts w:eastAsia="Times New Roman" w:cs="Segoe UI"/>
                <w:b/>
                <w:szCs w:val="18"/>
              </w:rPr>
            </w:pPr>
            <w:r w:rsidRPr="00621837">
              <w:rPr>
                <w:rFonts w:cs="Segoe UI"/>
                <w:b/>
                <w:szCs w:val="18"/>
              </w:rPr>
              <w:t>Raw Score</w:t>
            </w:r>
          </w:p>
        </w:tc>
        <w:tc>
          <w:tcPr>
            <w:tcW w:w="850"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18" w:space="0" w:color="0070C0"/>
            </w:tcBorders>
            <w:shd w:val="clear" w:color="auto" w:fill="0A1F3F"/>
          </w:tcPr>
          <w:p w14:paraId="2FAE882A" w14:textId="77777777" w:rsidR="00122C1B" w:rsidRPr="00621837" w:rsidRDefault="00122C1B" w:rsidP="00EF3D55">
            <w:pPr>
              <w:pStyle w:val="TableParagraph"/>
              <w:spacing w:line="240" w:lineRule="auto"/>
              <w:ind w:left="-57"/>
              <w:jc w:val="center"/>
              <w:rPr>
                <w:rFonts w:eastAsia="Times New Roman" w:cs="Segoe UI"/>
                <w:b/>
                <w:szCs w:val="18"/>
              </w:rPr>
            </w:pPr>
            <w:r w:rsidRPr="00621837">
              <w:rPr>
                <w:rFonts w:cs="Segoe UI"/>
                <w:b/>
                <w:szCs w:val="18"/>
              </w:rPr>
              <w:t>W’ted Score</w:t>
            </w:r>
          </w:p>
        </w:tc>
      </w:tr>
      <w:tr w:rsidR="00122C1B" w:rsidRPr="00234C32" w14:paraId="1CDA0B13" w14:textId="77777777" w:rsidTr="00EF3D55">
        <w:trPr>
          <w:cnfStyle w:val="000000010000" w:firstRow="0" w:lastRow="0" w:firstColumn="0" w:lastColumn="0" w:oddVBand="0" w:evenVBand="0" w:oddHBand="0" w:evenHBand="1" w:firstRowFirstColumn="0" w:firstRowLastColumn="0" w:lastRowFirstColumn="0" w:lastRowLastColumn="0"/>
        </w:trPr>
        <w:tc>
          <w:tcPr>
            <w:tcW w:w="1276" w:type="dxa"/>
            <w:tcBorders>
              <w:right w:val="nil"/>
            </w:tcBorders>
          </w:tcPr>
          <w:p w14:paraId="07D78D95" w14:textId="77777777" w:rsidR="00122C1B" w:rsidRPr="00234C32" w:rsidRDefault="00122C1B" w:rsidP="00EF3D55">
            <w:pPr>
              <w:pStyle w:val="TableParagraph"/>
              <w:keepNext/>
              <w:spacing w:line="240" w:lineRule="auto"/>
              <w:rPr>
                <w:rFonts w:cs="Segoe UI"/>
                <w:b/>
                <w:i/>
                <w:szCs w:val="18"/>
              </w:rPr>
            </w:pPr>
            <w:r w:rsidRPr="00234C32">
              <w:rPr>
                <w:rFonts w:cs="Segoe UI"/>
                <w:b/>
                <w:i/>
                <w:szCs w:val="18"/>
              </w:rPr>
              <w:t>BENEFITS</w:t>
            </w:r>
          </w:p>
        </w:tc>
        <w:tc>
          <w:tcPr>
            <w:tcW w:w="1134" w:type="dxa"/>
            <w:tcBorders>
              <w:left w:val="nil"/>
              <w:right w:val="nil"/>
            </w:tcBorders>
          </w:tcPr>
          <w:p w14:paraId="735F36C9" w14:textId="77777777" w:rsidR="00122C1B" w:rsidRPr="00234C32" w:rsidRDefault="00122C1B" w:rsidP="00EF3D55">
            <w:pPr>
              <w:pStyle w:val="TableParagraph"/>
              <w:keepNext/>
              <w:spacing w:line="240" w:lineRule="auto"/>
              <w:ind w:right="170"/>
              <w:jc w:val="right"/>
              <w:rPr>
                <w:rFonts w:cs="Segoe UI"/>
                <w:b/>
                <w:i/>
                <w:szCs w:val="18"/>
              </w:rPr>
            </w:pPr>
          </w:p>
        </w:tc>
        <w:tc>
          <w:tcPr>
            <w:tcW w:w="709" w:type="dxa"/>
            <w:tcBorders>
              <w:left w:val="nil"/>
              <w:right w:val="nil"/>
            </w:tcBorders>
            <w:vAlign w:val="center"/>
          </w:tcPr>
          <w:p w14:paraId="26C5BCED" w14:textId="77777777" w:rsidR="00122C1B" w:rsidRPr="00234C32" w:rsidRDefault="00122C1B" w:rsidP="00EF3D55">
            <w:pPr>
              <w:pStyle w:val="TableParagraph"/>
              <w:keepNext/>
              <w:spacing w:line="240" w:lineRule="auto"/>
              <w:ind w:right="57"/>
              <w:jc w:val="right"/>
              <w:rPr>
                <w:rFonts w:cs="Segoe UI"/>
                <w:b/>
                <w:i/>
                <w:color w:val="000000"/>
                <w:szCs w:val="18"/>
              </w:rPr>
            </w:pPr>
          </w:p>
        </w:tc>
        <w:tc>
          <w:tcPr>
            <w:tcW w:w="709" w:type="dxa"/>
            <w:tcBorders>
              <w:left w:val="nil"/>
              <w:right w:val="nil"/>
            </w:tcBorders>
            <w:vAlign w:val="center"/>
          </w:tcPr>
          <w:p w14:paraId="0AED85FA" w14:textId="77777777" w:rsidR="00122C1B" w:rsidRPr="00234C32" w:rsidRDefault="00122C1B" w:rsidP="00EF3D55">
            <w:pPr>
              <w:pStyle w:val="TableParagraph"/>
              <w:keepNext/>
              <w:spacing w:line="240" w:lineRule="auto"/>
              <w:ind w:right="57"/>
              <w:jc w:val="right"/>
              <w:rPr>
                <w:rFonts w:cs="Segoe UI"/>
                <w:b/>
                <w:i/>
                <w:color w:val="000000"/>
                <w:szCs w:val="18"/>
              </w:rPr>
            </w:pPr>
          </w:p>
        </w:tc>
        <w:tc>
          <w:tcPr>
            <w:tcW w:w="708" w:type="dxa"/>
            <w:tcBorders>
              <w:left w:val="nil"/>
              <w:right w:val="nil"/>
            </w:tcBorders>
            <w:vAlign w:val="center"/>
          </w:tcPr>
          <w:p w14:paraId="55396BEF" w14:textId="77777777" w:rsidR="00122C1B" w:rsidRPr="00234C32" w:rsidRDefault="00122C1B" w:rsidP="00EF3D55">
            <w:pPr>
              <w:pStyle w:val="TableParagraph"/>
              <w:keepNext/>
              <w:spacing w:line="240" w:lineRule="auto"/>
              <w:ind w:right="57"/>
              <w:jc w:val="right"/>
              <w:rPr>
                <w:rFonts w:cs="Segoe UI"/>
                <w:b/>
                <w:i/>
                <w:color w:val="000000"/>
                <w:szCs w:val="18"/>
              </w:rPr>
            </w:pPr>
          </w:p>
        </w:tc>
        <w:tc>
          <w:tcPr>
            <w:tcW w:w="709" w:type="dxa"/>
            <w:tcBorders>
              <w:left w:val="nil"/>
              <w:right w:val="nil"/>
            </w:tcBorders>
            <w:vAlign w:val="center"/>
          </w:tcPr>
          <w:p w14:paraId="16EE9ECC" w14:textId="77777777" w:rsidR="00122C1B" w:rsidRPr="00234C32" w:rsidRDefault="00122C1B" w:rsidP="00EF3D55">
            <w:pPr>
              <w:pStyle w:val="TableParagraph"/>
              <w:keepNext/>
              <w:spacing w:line="240" w:lineRule="auto"/>
              <w:ind w:right="57"/>
              <w:jc w:val="right"/>
              <w:rPr>
                <w:rFonts w:cs="Segoe UI"/>
                <w:b/>
                <w:i/>
                <w:color w:val="000000"/>
                <w:szCs w:val="18"/>
              </w:rPr>
            </w:pPr>
          </w:p>
        </w:tc>
        <w:tc>
          <w:tcPr>
            <w:tcW w:w="709" w:type="dxa"/>
            <w:tcBorders>
              <w:left w:val="nil"/>
              <w:right w:val="nil"/>
            </w:tcBorders>
            <w:vAlign w:val="center"/>
          </w:tcPr>
          <w:p w14:paraId="5B4EABF5" w14:textId="77777777" w:rsidR="00122C1B" w:rsidRPr="00234C32" w:rsidRDefault="00122C1B" w:rsidP="00EF3D55">
            <w:pPr>
              <w:pStyle w:val="TableParagraph"/>
              <w:keepNext/>
              <w:spacing w:line="240" w:lineRule="auto"/>
              <w:ind w:right="57"/>
              <w:jc w:val="right"/>
              <w:rPr>
                <w:rFonts w:cs="Segoe UI"/>
                <w:b/>
                <w:i/>
                <w:color w:val="000000"/>
                <w:szCs w:val="18"/>
              </w:rPr>
            </w:pPr>
          </w:p>
        </w:tc>
        <w:tc>
          <w:tcPr>
            <w:tcW w:w="709" w:type="dxa"/>
            <w:tcBorders>
              <w:left w:val="nil"/>
              <w:right w:val="nil"/>
            </w:tcBorders>
            <w:vAlign w:val="center"/>
          </w:tcPr>
          <w:p w14:paraId="7427CA84" w14:textId="77777777" w:rsidR="00122C1B" w:rsidRPr="00234C32" w:rsidRDefault="00122C1B" w:rsidP="00EF3D55">
            <w:pPr>
              <w:pStyle w:val="TableParagraph"/>
              <w:keepNext/>
              <w:spacing w:line="240" w:lineRule="auto"/>
              <w:ind w:right="57"/>
              <w:jc w:val="right"/>
              <w:rPr>
                <w:rFonts w:cs="Segoe UI"/>
                <w:b/>
                <w:i/>
                <w:color w:val="000000"/>
                <w:szCs w:val="18"/>
              </w:rPr>
            </w:pPr>
          </w:p>
        </w:tc>
        <w:tc>
          <w:tcPr>
            <w:tcW w:w="708" w:type="dxa"/>
            <w:tcBorders>
              <w:left w:val="nil"/>
              <w:right w:val="nil"/>
            </w:tcBorders>
            <w:vAlign w:val="center"/>
          </w:tcPr>
          <w:p w14:paraId="3591151A" w14:textId="77777777" w:rsidR="00122C1B" w:rsidRPr="00234C32" w:rsidRDefault="00122C1B" w:rsidP="00EF3D55">
            <w:pPr>
              <w:pStyle w:val="TableParagraph"/>
              <w:keepNext/>
              <w:spacing w:line="240" w:lineRule="auto"/>
              <w:ind w:right="57"/>
              <w:jc w:val="right"/>
              <w:rPr>
                <w:rFonts w:cs="Segoe UI"/>
                <w:b/>
                <w:i/>
                <w:color w:val="000000"/>
                <w:szCs w:val="18"/>
              </w:rPr>
            </w:pPr>
          </w:p>
        </w:tc>
        <w:tc>
          <w:tcPr>
            <w:tcW w:w="709" w:type="dxa"/>
            <w:tcBorders>
              <w:left w:val="nil"/>
              <w:right w:val="single" w:sz="18" w:space="0" w:color="0070C0"/>
            </w:tcBorders>
            <w:vAlign w:val="center"/>
          </w:tcPr>
          <w:p w14:paraId="19E356B2" w14:textId="77777777" w:rsidR="00122C1B" w:rsidRPr="00234C32" w:rsidRDefault="00122C1B" w:rsidP="00EF3D55">
            <w:pPr>
              <w:pStyle w:val="TableParagraph"/>
              <w:keepNext/>
              <w:spacing w:line="240" w:lineRule="auto"/>
              <w:ind w:right="57"/>
              <w:jc w:val="right"/>
              <w:rPr>
                <w:rFonts w:cs="Segoe UI"/>
                <w:b/>
                <w:i/>
                <w:color w:val="000000"/>
                <w:szCs w:val="18"/>
              </w:rPr>
            </w:pPr>
          </w:p>
        </w:tc>
        <w:tc>
          <w:tcPr>
            <w:tcW w:w="709" w:type="dxa"/>
            <w:tcBorders>
              <w:left w:val="single" w:sz="18" w:space="0" w:color="0070C0"/>
              <w:right w:val="nil"/>
            </w:tcBorders>
            <w:vAlign w:val="center"/>
          </w:tcPr>
          <w:p w14:paraId="4181B2BF" w14:textId="77777777" w:rsidR="00122C1B" w:rsidRPr="00234C32" w:rsidRDefault="00122C1B" w:rsidP="00EF3D55">
            <w:pPr>
              <w:pStyle w:val="TableParagraph"/>
              <w:keepNext/>
              <w:spacing w:line="240" w:lineRule="auto"/>
              <w:ind w:right="57"/>
              <w:jc w:val="right"/>
              <w:rPr>
                <w:rFonts w:cs="Segoe UI"/>
                <w:b/>
                <w:i/>
                <w:color w:val="000000"/>
                <w:szCs w:val="18"/>
              </w:rPr>
            </w:pPr>
          </w:p>
        </w:tc>
        <w:tc>
          <w:tcPr>
            <w:tcW w:w="850" w:type="dxa"/>
            <w:tcBorders>
              <w:left w:val="nil"/>
              <w:right w:val="single" w:sz="18" w:space="0" w:color="0070C0"/>
            </w:tcBorders>
            <w:vAlign w:val="center"/>
          </w:tcPr>
          <w:p w14:paraId="27B31930" w14:textId="77777777" w:rsidR="00122C1B" w:rsidRPr="00234C32" w:rsidRDefault="00122C1B" w:rsidP="00EF3D55">
            <w:pPr>
              <w:pStyle w:val="TableParagraph"/>
              <w:keepNext/>
              <w:spacing w:line="240" w:lineRule="auto"/>
              <w:ind w:right="57"/>
              <w:jc w:val="right"/>
              <w:rPr>
                <w:rFonts w:cs="Segoe UI"/>
                <w:b/>
                <w:i/>
                <w:color w:val="000000"/>
                <w:szCs w:val="18"/>
              </w:rPr>
            </w:pPr>
          </w:p>
        </w:tc>
      </w:tr>
      <w:tr w:rsidR="00122C1B" w:rsidRPr="00E85A14" w14:paraId="7142481D" w14:textId="77777777" w:rsidTr="00FB62BD">
        <w:tc>
          <w:tcPr>
            <w:tcW w:w="1276" w:type="dxa"/>
            <w:shd w:val="clear" w:color="auto" w:fill="auto"/>
          </w:tcPr>
          <w:p w14:paraId="73E79A10" w14:textId="77777777" w:rsidR="00122C1B" w:rsidRPr="009D368D" w:rsidRDefault="00122C1B" w:rsidP="00EF3D55">
            <w:pPr>
              <w:pStyle w:val="TableParagraph"/>
              <w:spacing w:line="240" w:lineRule="auto"/>
              <w:rPr>
                <w:rFonts w:cs="Segoe UI"/>
                <w:szCs w:val="18"/>
              </w:rPr>
            </w:pPr>
            <w:r w:rsidRPr="009D368D">
              <w:rPr>
                <w:rFonts w:cs="Segoe UI"/>
                <w:szCs w:val="18"/>
              </w:rPr>
              <w:t>Safety</w:t>
            </w:r>
          </w:p>
        </w:tc>
        <w:tc>
          <w:tcPr>
            <w:tcW w:w="1134" w:type="dxa"/>
            <w:shd w:val="clear" w:color="auto" w:fill="auto"/>
          </w:tcPr>
          <w:p w14:paraId="170E4091" w14:textId="77777777" w:rsidR="00122C1B" w:rsidRPr="009D368D" w:rsidRDefault="00122C1B" w:rsidP="00EF3D55">
            <w:pPr>
              <w:pStyle w:val="TableParagraph"/>
              <w:spacing w:line="240" w:lineRule="auto"/>
              <w:ind w:right="170"/>
              <w:jc w:val="right"/>
              <w:rPr>
                <w:rFonts w:cs="Segoe UI"/>
                <w:szCs w:val="18"/>
              </w:rPr>
            </w:pPr>
            <w:r>
              <w:rPr>
                <w:rFonts w:cs="Segoe UI"/>
                <w:szCs w:val="18"/>
              </w:rPr>
              <w:t>40</w:t>
            </w:r>
            <w:r w:rsidRPr="009D368D">
              <w:rPr>
                <w:rFonts w:cs="Segoe UI"/>
                <w:szCs w:val="18"/>
              </w:rPr>
              <w:t>%</w:t>
            </w:r>
          </w:p>
        </w:tc>
        <w:tc>
          <w:tcPr>
            <w:tcW w:w="709" w:type="dxa"/>
            <w:shd w:val="clear" w:color="auto" w:fill="auto"/>
            <w:vAlign w:val="center"/>
          </w:tcPr>
          <w:p w14:paraId="18CFABC2"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w:t>
            </w:r>
          </w:p>
        </w:tc>
        <w:tc>
          <w:tcPr>
            <w:tcW w:w="709" w:type="dxa"/>
            <w:shd w:val="clear" w:color="auto" w:fill="auto"/>
            <w:vAlign w:val="center"/>
          </w:tcPr>
          <w:p w14:paraId="71FCE3FA"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0.00</w:t>
            </w:r>
          </w:p>
        </w:tc>
        <w:tc>
          <w:tcPr>
            <w:tcW w:w="708" w:type="dxa"/>
            <w:shd w:val="clear" w:color="auto" w:fill="auto"/>
            <w:vAlign w:val="center"/>
          </w:tcPr>
          <w:p w14:paraId="0DC2D7FF" w14:textId="77777777" w:rsidR="00122C1B" w:rsidRPr="009D368D" w:rsidRDefault="00FF0F22" w:rsidP="00EF3D55">
            <w:pPr>
              <w:pStyle w:val="TableParagraph"/>
              <w:spacing w:line="240" w:lineRule="auto"/>
              <w:ind w:right="57"/>
              <w:jc w:val="right"/>
              <w:rPr>
                <w:rFonts w:cs="Segoe UI"/>
                <w:noProof/>
                <w:szCs w:val="18"/>
              </w:rPr>
            </w:pPr>
            <w:r>
              <w:rPr>
                <w:rFonts w:cs="Segoe UI"/>
                <w:color w:val="000000"/>
                <w:szCs w:val="18"/>
              </w:rPr>
              <w:t>-1</w:t>
            </w:r>
          </w:p>
        </w:tc>
        <w:tc>
          <w:tcPr>
            <w:tcW w:w="709" w:type="dxa"/>
            <w:shd w:val="clear" w:color="auto" w:fill="auto"/>
            <w:vAlign w:val="center"/>
          </w:tcPr>
          <w:p w14:paraId="06E513F4" w14:textId="77777777" w:rsidR="00122C1B" w:rsidRPr="009D368D" w:rsidRDefault="00FF0F22" w:rsidP="00EF3D55">
            <w:pPr>
              <w:pStyle w:val="TableParagraph"/>
              <w:spacing w:line="240" w:lineRule="auto"/>
              <w:jc w:val="right"/>
              <w:rPr>
                <w:rFonts w:cs="Segoe UI"/>
                <w:noProof/>
                <w:szCs w:val="18"/>
              </w:rPr>
            </w:pPr>
            <w:r>
              <w:rPr>
                <w:rFonts w:cs="Segoe UI"/>
                <w:color w:val="000000"/>
                <w:szCs w:val="18"/>
              </w:rPr>
              <w:t>-</w:t>
            </w:r>
            <w:r w:rsidR="00122C1B">
              <w:rPr>
                <w:rFonts w:cs="Segoe UI"/>
                <w:color w:val="000000"/>
                <w:szCs w:val="18"/>
              </w:rPr>
              <w:t>0.</w:t>
            </w:r>
            <w:r>
              <w:rPr>
                <w:rFonts w:cs="Segoe UI"/>
                <w:color w:val="000000"/>
                <w:szCs w:val="18"/>
              </w:rPr>
              <w:t>4</w:t>
            </w:r>
            <w:r w:rsidR="00122C1B">
              <w:rPr>
                <w:rFonts w:cs="Segoe UI"/>
                <w:color w:val="000000"/>
                <w:szCs w:val="18"/>
              </w:rPr>
              <w:t>0</w:t>
            </w:r>
          </w:p>
        </w:tc>
        <w:tc>
          <w:tcPr>
            <w:tcW w:w="709" w:type="dxa"/>
            <w:shd w:val="clear" w:color="auto" w:fill="auto"/>
            <w:vAlign w:val="center"/>
          </w:tcPr>
          <w:p w14:paraId="1D3B219A" w14:textId="77777777" w:rsidR="00122C1B" w:rsidRPr="009D368D" w:rsidRDefault="00122C1B" w:rsidP="00EF3D55">
            <w:pPr>
              <w:pStyle w:val="TableParagraph"/>
              <w:spacing w:line="240" w:lineRule="auto"/>
              <w:ind w:right="57"/>
              <w:jc w:val="right"/>
              <w:rPr>
                <w:rFonts w:cs="Segoe UI"/>
                <w:noProof/>
                <w:szCs w:val="18"/>
              </w:rPr>
            </w:pPr>
            <w:r>
              <w:rPr>
                <w:rFonts w:cs="Segoe UI"/>
                <w:color w:val="000000"/>
                <w:szCs w:val="18"/>
              </w:rPr>
              <w:t>+3</w:t>
            </w:r>
          </w:p>
        </w:tc>
        <w:tc>
          <w:tcPr>
            <w:tcW w:w="709" w:type="dxa"/>
            <w:shd w:val="clear" w:color="auto" w:fill="auto"/>
            <w:vAlign w:val="center"/>
          </w:tcPr>
          <w:p w14:paraId="0084E000"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+1.20</w:t>
            </w:r>
          </w:p>
        </w:tc>
        <w:tc>
          <w:tcPr>
            <w:tcW w:w="708" w:type="dxa"/>
            <w:shd w:val="clear" w:color="auto" w:fill="auto"/>
            <w:vAlign w:val="center"/>
          </w:tcPr>
          <w:p w14:paraId="04920551" w14:textId="77777777" w:rsidR="00122C1B" w:rsidRPr="009D368D" w:rsidRDefault="00122C1B" w:rsidP="00EF3D55">
            <w:pPr>
              <w:pStyle w:val="TableParagraph"/>
              <w:spacing w:line="240" w:lineRule="auto"/>
              <w:ind w:right="57"/>
              <w:jc w:val="right"/>
              <w:rPr>
                <w:rFonts w:cs="Segoe UI"/>
                <w:noProof/>
                <w:szCs w:val="18"/>
              </w:rPr>
            </w:pPr>
            <w:r>
              <w:rPr>
                <w:rFonts w:cs="Segoe UI"/>
                <w:color w:val="000000"/>
                <w:szCs w:val="18"/>
              </w:rPr>
              <w:t>+5</w:t>
            </w:r>
          </w:p>
        </w:tc>
        <w:tc>
          <w:tcPr>
            <w:tcW w:w="709" w:type="dxa"/>
            <w:tcBorders>
              <w:right w:val="single" w:sz="18" w:space="0" w:color="0070C0"/>
            </w:tcBorders>
            <w:shd w:val="clear" w:color="auto" w:fill="auto"/>
            <w:vAlign w:val="center"/>
          </w:tcPr>
          <w:p w14:paraId="70E2B96F"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+2.00</w:t>
            </w:r>
          </w:p>
        </w:tc>
        <w:tc>
          <w:tcPr>
            <w:tcW w:w="709" w:type="dxa"/>
            <w:tcBorders>
              <w:left w:val="single" w:sz="18" w:space="0" w:color="0070C0"/>
            </w:tcBorders>
            <w:shd w:val="clear" w:color="auto" w:fill="auto"/>
            <w:vAlign w:val="center"/>
          </w:tcPr>
          <w:p w14:paraId="44F0C7D3" w14:textId="77777777" w:rsidR="00122C1B" w:rsidRPr="00ED1D52" w:rsidRDefault="00122C1B" w:rsidP="00EF3D55">
            <w:pPr>
              <w:pStyle w:val="TableParagraph"/>
              <w:spacing w:line="240" w:lineRule="auto"/>
              <w:ind w:right="57"/>
              <w:jc w:val="right"/>
              <w:rPr>
                <w:rFonts w:cs="Segoe UI"/>
                <w:color w:val="000000"/>
                <w:szCs w:val="18"/>
              </w:rPr>
            </w:pPr>
            <w:r>
              <w:rPr>
                <w:rFonts w:cs="Segoe UI"/>
                <w:color w:val="000000"/>
                <w:szCs w:val="18"/>
              </w:rPr>
              <w:t>+3</w:t>
            </w:r>
          </w:p>
        </w:tc>
        <w:tc>
          <w:tcPr>
            <w:tcW w:w="850" w:type="dxa"/>
            <w:tcBorders>
              <w:right w:val="single" w:sz="18" w:space="0" w:color="0070C0"/>
            </w:tcBorders>
            <w:shd w:val="clear" w:color="auto" w:fill="auto"/>
            <w:vAlign w:val="center"/>
          </w:tcPr>
          <w:p w14:paraId="642EC4D7"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+1.20</w:t>
            </w:r>
          </w:p>
        </w:tc>
      </w:tr>
      <w:tr w:rsidR="00122C1B" w:rsidRPr="00E85A14" w14:paraId="5C73AC94" w14:textId="77777777" w:rsidTr="00FB62BD">
        <w:trPr>
          <w:cnfStyle w:val="000000010000" w:firstRow="0" w:lastRow="0" w:firstColumn="0" w:lastColumn="0" w:oddVBand="0" w:evenVBand="0" w:oddHBand="0" w:evenHBand="1" w:firstRowFirstColumn="0" w:firstRowLastColumn="0" w:lastRowFirstColumn="0" w:lastRowLastColumn="0"/>
        </w:trPr>
        <w:tc>
          <w:tcPr>
            <w:tcW w:w="1276" w:type="dxa"/>
            <w:tcBorders>
              <w:bottom w:val="single" w:sz="4" w:space="0" w:color="BFBFBF" w:themeColor="background1" w:themeShade="BF"/>
            </w:tcBorders>
            <w:shd w:val="clear" w:color="auto" w:fill="auto"/>
          </w:tcPr>
          <w:p w14:paraId="16D582D7" w14:textId="77777777" w:rsidR="00122C1B" w:rsidRPr="009D368D" w:rsidRDefault="00122C1B" w:rsidP="00EF3D55">
            <w:pPr>
              <w:pStyle w:val="TableParagraph"/>
              <w:spacing w:line="240" w:lineRule="auto"/>
              <w:rPr>
                <w:rFonts w:cs="Segoe UI"/>
                <w:szCs w:val="18"/>
              </w:rPr>
            </w:pPr>
            <w:r w:rsidRPr="009D368D">
              <w:rPr>
                <w:rFonts w:cs="Segoe UI"/>
                <w:szCs w:val="18"/>
              </w:rPr>
              <w:t>Equity</w:t>
            </w:r>
          </w:p>
        </w:tc>
        <w:tc>
          <w:tcPr>
            <w:tcW w:w="1134" w:type="dxa"/>
            <w:tcBorders>
              <w:bottom w:val="single" w:sz="4" w:space="0" w:color="BFBFBF" w:themeColor="background1" w:themeShade="BF"/>
            </w:tcBorders>
            <w:shd w:val="clear" w:color="auto" w:fill="auto"/>
          </w:tcPr>
          <w:p w14:paraId="180920CA" w14:textId="77777777" w:rsidR="00122C1B" w:rsidRPr="009D368D" w:rsidRDefault="00122C1B" w:rsidP="00EF3D55">
            <w:pPr>
              <w:pStyle w:val="TableParagraph"/>
              <w:spacing w:line="240" w:lineRule="auto"/>
              <w:ind w:right="170"/>
              <w:jc w:val="right"/>
              <w:rPr>
                <w:rFonts w:cs="Segoe UI"/>
                <w:szCs w:val="18"/>
              </w:rPr>
            </w:pPr>
            <w:r w:rsidRPr="009D368D">
              <w:rPr>
                <w:rFonts w:cs="Segoe UI"/>
                <w:szCs w:val="18"/>
              </w:rPr>
              <w:t>5%</w:t>
            </w:r>
          </w:p>
        </w:tc>
        <w:tc>
          <w:tcPr>
            <w:tcW w:w="709" w:type="dxa"/>
            <w:tcBorders>
              <w:bottom w:val="single" w:sz="4" w:space="0" w:color="BFBFBF" w:themeColor="background1" w:themeShade="BF"/>
            </w:tcBorders>
            <w:shd w:val="clear" w:color="auto" w:fill="auto"/>
            <w:vAlign w:val="center"/>
          </w:tcPr>
          <w:p w14:paraId="313B9F14"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w:t>
            </w:r>
          </w:p>
        </w:tc>
        <w:tc>
          <w:tcPr>
            <w:tcW w:w="709" w:type="dxa"/>
            <w:tcBorders>
              <w:bottom w:val="single" w:sz="4" w:space="0" w:color="BFBFBF" w:themeColor="background1" w:themeShade="BF"/>
            </w:tcBorders>
            <w:shd w:val="clear" w:color="auto" w:fill="auto"/>
            <w:vAlign w:val="center"/>
          </w:tcPr>
          <w:p w14:paraId="575296DC"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0.00</w:t>
            </w:r>
          </w:p>
        </w:tc>
        <w:tc>
          <w:tcPr>
            <w:tcW w:w="708" w:type="dxa"/>
            <w:tcBorders>
              <w:bottom w:val="single" w:sz="4" w:space="0" w:color="BFBFBF" w:themeColor="background1" w:themeShade="BF"/>
            </w:tcBorders>
            <w:shd w:val="clear" w:color="auto" w:fill="auto"/>
            <w:vAlign w:val="center"/>
          </w:tcPr>
          <w:p w14:paraId="16725289" w14:textId="77777777" w:rsidR="00122C1B" w:rsidRPr="009D368D" w:rsidRDefault="00B47DEB" w:rsidP="00EF3D55">
            <w:pPr>
              <w:pStyle w:val="TableParagraph"/>
              <w:spacing w:line="240" w:lineRule="auto"/>
              <w:ind w:right="57"/>
              <w:jc w:val="right"/>
              <w:rPr>
                <w:rFonts w:cs="Segoe UI"/>
                <w:szCs w:val="18"/>
              </w:rPr>
            </w:pPr>
            <w:r>
              <w:rPr>
                <w:rFonts w:cs="Segoe UI"/>
                <w:color w:val="000000"/>
                <w:szCs w:val="18"/>
              </w:rPr>
              <w:t>-</w:t>
            </w:r>
            <w:r w:rsidR="00122C1B">
              <w:rPr>
                <w:rFonts w:cs="Segoe UI"/>
                <w:color w:val="000000"/>
                <w:szCs w:val="18"/>
              </w:rPr>
              <w:t>1</w:t>
            </w:r>
          </w:p>
        </w:tc>
        <w:tc>
          <w:tcPr>
            <w:tcW w:w="709" w:type="dxa"/>
            <w:tcBorders>
              <w:bottom w:val="single" w:sz="4" w:space="0" w:color="BFBFBF" w:themeColor="background1" w:themeShade="BF"/>
            </w:tcBorders>
            <w:shd w:val="clear" w:color="auto" w:fill="auto"/>
            <w:vAlign w:val="center"/>
          </w:tcPr>
          <w:p w14:paraId="3AD518BA" w14:textId="77777777" w:rsidR="00122C1B" w:rsidRPr="009D368D" w:rsidRDefault="00122C1B" w:rsidP="00EF3D55">
            <w:pPr>
              <w:pStyle w:val="TableParagraph"/>
              <w:spacing w:line="240" w:lineRule="auto"/>
              <w:jc w:val="right"/>
              <w:rPr>
                <w:rFonts w:eastAsia="Times New Roman" w:cs="Segoe UI"/>
                <w:szCs w:val="18"/>
              </w:rPr>
            </w:pPr>
            <w:r>
              <w:rPr>
                <w:rFonts w:cs="Segoe UI"/>
                <w:color w:val="000000"/>
                <w:szCs w:val="18"/>
              </w:rPr>
              <w:t>+0.05</w:t>
            </w:r>
          </w:p>
        </w:tc>
        <w:tc>
          <w:tcPr>
            <w:tcW w:w="709" w:type="dxa"/>
            <w:tcBorders>
              <w:bottom w:val="single" w:sz="4" w:space="0" w:color="BFBFBF" w:themeColor="background1" w:themeShade="BF"/>
            </w:tcBorders>
            <w:shd w:val="clear" w:color="auto" w:fill="auto"/>
            <w:vAlign w:val="center"/>
          </w:tcPr>
          <w:p w14:paraId="1C2271F0"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+3</w:t>
            </w:r>
          </w:p>
        </w:tc>
        <w:tc>
          <w:tcPr>
            <w:tcW w:w="709" w:type="dxa"/>
            <w:tcBorders>
              <w:bottom w:val="single" w:sz="4" w:space="0" w:color="BFBFBF" w:themeColor="background1" w:themeShade="BF"/>
            </w:tcBorders>
            <w:shd w:val="clear" w:color="auto" w:fill="auto"/>
            <w:vAlign w:val="center"/>
          </w:tcPr>
          <w:p w14:paraId="7079B9E9"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+0.15</w:t>
            </w:r>
          </w:p>
        </w:tc>
        <w:tc>
          <w:tcPr>
            <w:tcW w:w="708" w:type="dxa"/>
            <w:tcBorders>
              <w:bottom w:val="single" w:sz="4" w:space="0" w:color="BFBFBF" w:themeColor="background1" w:themeShade="BF"/>
            </w:tcBorders>
            <w:shd w:val="clear" w:color="auto" w:fill="auto"/>
            <w:vAlign w:val="center"/>
          </w:tcPr>
          <w:p w14:paraId="08DE028E"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+5</w:t>
            </w:r>
          </w:p>
        </w:tc>
        <w:tc>
          <w:tcPr>
            <w:tcW w:w="709" w:type="dxa"/>
            <w:tcBorders>
              <w:bottom w:val="single" w:sz="4" w:space="0" w:color="BFBFBF" w:themeColor="background1" w:themeShade="BF"/>
              <w:right w:val="single" w:sz="18" w:space="0" w:color="0070C0"/>
            </w:tcBorders>
            <w:shd w:val="clear" w:color="auto" w:fill="auto"/>
            <w:vAlign w:val="center"/>
          </w:tcPr>
          <w:p w14:paraId="4814AC12"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+0.25</w:t>
            </w:r>
          </w:p>
        </w:tc>
        <w:tc>
          <w:tcPr>
            <w:tcW w:w="709" w:type="dxa"/>
            <w:tcBorders>
              <w:left w:val="single" w:sz="18" w:space="0" w:color="0070C0"/>
              <w:bottom w:val="single" w:sz="4" w:space="0" w:color="BFBFBF" w:themeColor="background1" w:themeShade="BF"/>
            </w:tcBorders>
            <w:shd w:val="clear" w:color="auto" w:fill="auto"/>
            <w:vAlign w:val="center"/>
          </w:tcPr>
          <w:p w14:paraId="5C1A0801"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+5</w:t>
            </w:r>
          </w:p>
        </w:tc>
        <w:tc>
          <w:tcPr>
            <w:tcW w:w="850" w:type="dxa"/>
            <w:tcBorders>
              <w:bottom w:val="single" w:sz="4" w:space="0" w:color="BFBFBF" w:themeColor="background1" w:themeShade="BF"/>
              <w:right w:val="single" w:sz="18" w:space="0" w:color="0070C0"/>
            </w:tcBorders>
            <w:shd w:val="clear" w:color="auto" w:fill="auto"/>
            <w:vAlign w:val="center"/>
          </w:tcPr>
          <w:p w14:paraId="6DB1E38E"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+0.25</w:t>
            </w:r>
          </w:p>
        </w:tc>
      </w:tr>
      <w:tr w:rsidR="00122C1B" w:rsidRPr="00E85A14" w14:paraId="46A71D11" w14:textId="77777777" w:rsidTr="00FB62BD">
        <w:tc>
          <w:tcPr>
            <w:tcW w:w="1276" w:type="dxa"/>
            <w:tcBorders>
              <w:bottom w:val="single" w:sz="12" w:space="0" w:color="BFBFBF" w:themeColor="background1" w:themeShade="BF"/>
            </w:tcBorders>
            <w:shd w:val="clear" w:color="auto" w:fill="auto"/>
          </w:tcPr>
          <w:p w14:paraId="5CB09C7B" w14:textId="77777777" w:rsidR="00122C1B" w:rsidRPr="009D368D" w:rsidRDefault="00122C1B" w:rsidP="00EF3D55">
            <w:pPr>
              <w:pStyle w:val="TableParagraph"/>
              <w:spacing w:line="240" w:lineRule="auto"/>
              <w:rPr>
                <w:rFonts w:cs="Segoe UI"/>
                <w:szCs w:val="18"/>
              </w:rPr>
            </w:pPr>
            <w:r w:rsidRPr="009D368D">
              <w:rPr>
                <w:rFonts w:cs="Segoe UI"/>
                <w:szCs w:val="18"/>
              </w:rPr>
              <w:t>Effectiveness</w:t>
            </w:r>
          </w:p>
        </w:tc>
        <w:tc>
          <w:tcPr>
            <w:tcW w:w="1134" w:type="dxa"/>
            <w:tcBorders>
              <w:bottom w:val="single" w:sz="12" w:space="0" w:color="BFBFBF" w:themeColor="background1" w:themeShade="BF"/>
            </w:tcBorders>
            <w:shd w:val="clear" w:color="auto" w:fill="auto"/>
          </w:tcPr>
          <w:p w14:paraId="7E6FF80A" w14:textId="77777777" w:rsidR="00122C1B" w:rsidRPr="009D368D" w:rsidRDefault="00122C1B" w:rsidP="00EF3D55">
            <w:pPr>
              <w:pStyle w:val="TableParagraph"/>
              <w:spacing w:line="240" w:lineRule="auto"/>
              <w:ind w:right="170"/>
              <w:jc w:val="right"/>
              <w:rPr>
                <w:rFonts w:cs="Segoe UI"/>
                <w:szCs w:val="18"/>
              </w:rPr>
            </w:pPr>
            <w:r w:rsidRPr="009D368D">
              <w:rPr>
                <w:rFonts w:cs="Segoe UI"/>
                <w:szCs w:val="18"/>
              </w:rPr>
              <w:t>5%</w:t>
            </w:r>
          </w:p>
        </w:tc>
        <w:tc>
          <w:tcPr>
            <w:tcW w:w="709" w:type="dxa"/>
            <w:tcBorders>
              <w:bottom w:val="single" w:sz="12" w:space="0" w:color="BFBFBF" w:themeColor="background1" w:themeShade="BF"/>
            </w:tcBorders>
            <w:shd w:val="clear" w:color="auto" w:fill="auto"/>
            <w:vAlign w:val="center"/>
          </w:tcPr>
          <w:p w14:paraId="288BA446"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w:t>
            </w:r>
          </w:p>
        </w:tc>
        <w:tc>
          <w:tcPr>
            <w:tcW w:w="709" w:type="dxa"/>
            <w:tcBorders>
              <w:bottom w:val="single" w:sz="12" w:space="0" w:color="BFBFBF" w:themeColor="background1" w:themeShade="BF"/>
            </w:tcBorders>
            <w:shd w:val="clear" w:color="auto" w:fill="auto"/>
            <w:vAlign w:val="center"/>
          </w:tcPr>
          <w:p w14:paraId="1029E906"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0.00</w:t>
            </w:r>
          </w:p>
        </w:tc>
        <w:tc>
          <w:tcPr>
            <w:tcW w:w="708" w:type="dxa"/>
            <w:tcBorders>
              <w:bottom w:val="single" w:sz="12" w:space="0" w:color="BFBFBF" w:themeColor="background1" w:themeShade="BF"/>
            </w:tcBorders>
            <w:shd w:val="clear" w:color="auto" w:fill="auto"/>
            <w:vAlign w:val="center"/>
          </w:tcPr>
          <w:p w14:paraId="32DD4B9F" w14:textId="77777777" w:rsidR="00122C1B" w:rsidRPr="00A511F5" w:rsidRDefault="00122C1B" w:rsidP="00EF3D55">
            <w:pPr>
              <w:pStyle w:val="TableParagraph"/>
              <w:spacing w:line="240" w:lineRule="auto"/>
              <w:ind w:right="57"/>
              <w:jc w:val="right"/>
              <w:rPr>
                <w:rFonts w:cs="Segoe UI"/>
                <w:szCs w:val="18"/>
              </w:rPr>
            </w:pPr>
            <w:r>
              <w:rPr>
                <w:rFonts w:cs="Segoe UI"/>
                <w:szCs w:val="18"/>
              </w:rPr>
              <w:t>+3</w:t>
            </w:r>
          </w:p>
        </w:tc>
        <w:tc>
          <w:tcPr>
            <w:tcW w:w="709" w:type="dxa"/>
            <w:tcBorders>
              <w:bottom w:val="single" w:sz="12" w:space="0" w:color="BFBFBF" w:themeColor="background1" w:themeShade="BF"/>
            </w:tcBorders>
            <w:shd w:val="clear" w:color="auto" w:fill="auto"/>
            <w:vAlign w:val="center"/>
          </w:tcPr>
          <w:p w14:paraId="6EAACE54" w14:textId="77777777" w:rsidR="00122C1B" w:rsidRPr="009D368D" w:rsidRDefault="00122C1B" w:rsidP="00EF3D55">
            <w:pPr>
              <w:pStyle w:val="TableParagraph"/>
              <w:spacing w:line="240" w:lineRule="auto"/>
              <w:jc w:val="right"/>
              <w:rPr>
                <w:rFonts w:eastAsia="Times New Roman" w:cs="Segoe UI"/>
                <w:szCs w:val="18"/>
              </w:rPr>
            </w:pPr>
            <w:r>
              <w:rPr>
                <w:rFonts w:cs="Segoe UI"/>
                <w:color w:val="000000"/>
                <w:szCs w:val="18"/>
              </w:rPr>
              <w:t>+0.15</w:t>
            </w:r>
          </w:p>
        </w:tc>
        <w:tc>
          <w:tcPr>
            <w:tcW w:w="709" w:type="dxa"/>
            <w:tcBorders>
              <w:bottom w:val="single" w:sz="12" w:space="0" w:color="BFBFBF" w:themeColor="background1" w:themeShade="BF"/>
            </w:tcBorders>
            <w:shd w:val="clear" w:color="auto" w:fill="auto"/>
            <w:vAlign w:val="center"/>
          </w:tcPr>
          <w:p w14:paraId="29BA55DE"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+5</w:t>
            </w:r>
          </w:p>
        </w:tc>
        <w:tc>
          <w:tcPr>
            <w:tcW w:w="709" w:type="dxa"/>
            <w:tcBorders>
              <w:bottom w:val="single" w:sz="12" w:space="0" w:color="BFBFBF" w:themeColor="background1" w:themeShade="BF"/>
            </w:tcBorders>
            <w:shd w:val="clear" w:color="auto" w:fill="auto"/>
            <w:vAlign w:val="center"/>
          </w:tcPr>
          <w:p w14:paraId="6C7CE81C"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+0.25</w:t>
            </w:r>
          </w:p>
        </w:tc>
        <w:tc>
          <w:tcPr>
            <w:tcW w:w="708" w:type="dxa"/>
            <w:tcBorders>
              <w:bottom w:val="single" w:sz="12" w:space="0" w:color="BFBFBF" w:themeColor="background1" w:themeShade="BF"/>
            </w:tcBorders>
            <w:shd w:val="clear" w:color="auto" w:fill="auto"/>
            <w:vAlign w:val="center"/>
          </w:tcPr>
          <w:p w14:paraId="0EE1586F"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w:t>
            </w:r>
            <w:r w:rsidR="001B2D2F">
              <w:rPr>
                <w:rFonts w:cs="Segoe UI"/>
                <w:color w:val="000000"/>
                <w:szCs w:val="18"/>
              </w:rPr>
              <w:t>3</w:t>
            </w:r>
          </w:p>
        </w:tc>
        <w:tc>
          <w:tcPr>
            <w:tcW w:w="709" w:type="dxa"/>
            <w:tcBorders>
              <w:bottom w:val="single" w:sz="12" w:space="0" w:color="BFBFBF" w:themeColor="background1" w:themeShade="BF"/>
              <w:right w:val="single" w:sz="18" w:space="0" w:color="0070C0"/>
            </w:tcBorders>
            <w:shd w:val="clear" w:color="auto" w:fill="auto"/>
            <w:vAlign w:val="center"/>
          </w:tcPr>
          <w:p w14:paraId="760A6147"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w:t>
            </w:r>
            <w:r w:rsidR="001B2D2F">
              <w:rPr>
                <w:rFonts w:cs="Segoe UI"/>
                <w:color w:val="000000"/>
                <w:szCs w:val="18"/>
              </w:rPr>
              <w:t>15</w:t>
            </w:r>
          </w:p>
        </w:tc>
        <w:tc>
          <w:tcPr>
            <w:tcW w:w="709" w:type="dxa"/>
            <w:tcBorders>
              <w:left w:val="single" w:sz="18" w:space="0" w:color="0070C0"/>
              <w:bottom w:val="single" w:sz="12" w:space="0" w:color="BFBFBF" w:themeColor="background1" w:themeShade="BF"/>
            </w:tcBorders>
            <w:shd w:val="clear" w:color="auto" w:fill="auto"/>
            <w:vAlign w:val="center"/>
          </w:tcPr>
          <w:p w14:paraId="0742E186"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+10</w:t>
            </w:r>
          </w:p>
        </w:tc>
        <w:tc>
          <w:tcPr>
            <w:tcW w:w="850" w:type="dxa"/>
            <w:tcBorders>
              <w:bottom w:val="single" w:sz="12" w:space="0" w:color="BFBFBF" w:themeColor="background1" w:themeShade="BF"/>
              <w:right w:val="single" w:sz="18" w:space="0" w:color="0070C0"/>
            </w:tcBorders>
            <w:shd w:val="clear" w:color="auto" w:fill="auto"/>
            <w:vAlign w:val="center"/>
          </w:tcPr>
          <w:p w14:paraId="2BD2878E"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+0.50</w:t>
            </w:r>
          </w:p>
        </w:tc>
      </w:tr>
      <w:tr w:rsidR="008103DD" w:rsidRPr="00234C32" w14:paraId="59F50029" w14:textId="77777777" w:rsidTr="00EF3D55">
        <w:trPr>
          <w:cnfStyle w:val="000000010000" w:firstRow="0" w:lastRow="0" w:firstColumn="0" w:lastColumn="0" w:oddVBand="0" w:evenVBand="0" w:oddHBand="0" w:evenHBand="1" w:firstRowFirstColumn="0" w:firstRowLastColumn="0" w:lastRowFirstColumn="0" w:lastRowLastColumn="0"/>
        </w:trPr>
        <w:tc>
          <w:tcPr>
            <w:tcW w:w="1276" w:type="dxa"/>
            <w:tcBorders>
              <w:top w:val="single" w:sz="12" w:space="0" w:color="BFBFBF" w:themeColor="background1" w:themeShade="BF"/>
              <w:bottom w:val="single" w:sz="4" w:space="0" w:color="BFBFBF" w:themeColor="background1" w:themeShade="BF"/>
              <w:right w:val="nil"/>
            </w:tcBorders>
          </w:tcPr>
          <w:p w14:paraId="1412DDC9" w14:textId="77777777" w:rsidR="00122C1B" w:rsidRPr="00234C32" w:rsidRDefault="00122C1B" w:rsidP="00EF3D55">
            <w:pPr>
              <w:pStyle w:val="TableParagraph"/>
              <w:spacing w:line="240" w:lineRule="auto"/>
              <w:rPr>
                <w:rFonts w:cs="Segoe UI"/>
                <w:b/>
                <w:i/>
                <w:szCs w:val="18"/>
              </w:rPr>
            </w:pPr>
            <w:r w:rsidRPr="00234C32">
              <w:rPr>
                <w:rFonts w:cs="Segoe UI"/>
                <w:b/>
                <w:i/>
                <w:szCs w:val="18"/>
              </w:rPr>
              <w:t>COSTS</w:t>
            </w:r>
          </w:p>
        </w:tc>
        <w:tc>
          <w:tcPr>
            <w:tcW w:w="1134" w:type="dxa"/>
            <w:tcBorders>
              <w:top w:val="single" w:sz="12" w:space="0" w:color="BFBFBF" w:themeColor="background1" w:themeShade="BF"/>
              <w:left w:val="nil"/>
              <w:bottom w:val="single" w:sz="4" w:space="0" w:color="BFBFBF" w:themeColor="background1" w:themeShade="BF"/>
              <w:right w:val="nil"/>
            </w:tcBorders>
            <w:vAlign w:val="center"/>
          </w:tcPr>
          <w:p w14:paraId="32D31BDF" w14:textId="77777777" w:rsidR="00122C1B" w:rsidRPr="00234C32" w:rsidRDefault="00122C1B" w:rsidP="00EF3D55">
            <w:pPr>
              <w:pStyle w:val="TableParagraph"/>
              <w:spacing w:line="240" w:lineRule="auto"/>
              <w:rPr>
                <w:rFonts w:cs="Segoe UI"/>
                <w:b/>
                <w:i/>
                <w:szCs w:val="18"/>
              </w:rPr>
            </w:pPr>
          </w:p>
        </w:tc>
        <w:tc>
          <w:tcPr>
            <w:tcW w:w="709" w:type="dxa"/>
            <w:tcBorders>
              <w:top w:val="single" w:sz="12" w:space="0" w:color="BFBFBF" w:themeColor="background1" w:themeShade="BF"/>
              <w:left w:val="nil"/>
              <w:bottom w:val="single" w:sz="4" w:space="0" w:color="BFBFBF" w:themeColor="background1" w:themeShade="BF"/>
              <w:right w:val="nil"/>
            </w:tcBorders>
            <w:vAlign w:val="center"/>
          </w:tcPr>
          <w:p w14:paraId="67E10829" w14:textId="77777777" w:rsidR="00122C1B" w:rsidRPr="00234C32" w:rsidRDefault="00122C1B" w:rsidP="00EF3D55">
            <w:pPr>
              <w:pStyle w:val="TableParagraph"/>
              <w:spacing w:line="240" w:lineRule="auto"/>
              <w:rPr>
                <w:rFonts w:cs="Segoe UI"/>
                <w:b/>
                <w:i/>
                <w:szCs w:val="18"/>
              </w:rPr>
            </w:pPr>
          </w:p>
        </w:tc>
        <w:tc>
          <w:tcPr>
            <w:tcW w:w="709" w:type="dxa"/>
            <w:tcBorders>
              <w:top w:val="single" w:sz="12" w:space="0" w:color="BFBFBF" w:themeColor="background1" w:themeShade="BF"/>
              <w:left w:val="nil"/>
              <w:bottom w:val="single" w:sz="4" w:space="0" w:color="BFBFBF" w:themeColor="background1" w:themeShade="BF"/>
              <w:right w:val="nil"/>
            </w:tcBorders>
            <w:vAlign w:val="center"/>
          </w:tcPr>
          <w:p w14:paraId="3F02F80B" w14:textId="77777777" w:rsidR="00122C1B" w:rsidRPr="00234C32" w:rsidRDefault="00122C1B" w:rsidP="00EF3D55">
            <w:pPr>
              <w:pStyle w:val="TableParagraph"/>
              <w:spacing w:line="240" w:lineRule="auto"/>
              <w:rPr>
                <w:rFonts w:cs="Segoe UI"/>
                <w:b/>
                <w:i/>
                <w:szCs w:val="18"/>
              </w:rPr>
            </w:pPr>
          </w:p>
        </w:tc>
        <w:tc>
          <w:tcPr>
            <w:tcW w:w="708" w:type="dxa"/>
            <w:tcBorders>
              <w:top w:val="single" w:sz="12" w:space="0" w:color="BFBFBF" w:themeColor="background1" w:themeShade="BF"/>
              <w:left w:val="nil"/>
              <w:bottom w:val="single" w:sz="4" w:space="0" w:color="BFBFBF" w:themeColor="background1" w:themeShade="BF"/>
              <w:right w:val="nil"/>
            </w:tcBorders>
            <w:vAlign w:val="center"/>
          </w:tcPr>
          <w:p w14:paraId="6FF28E18" w14:textId="77777777" w:rsidR="00122C1B" w:rsidRPr="00234C32" w:rsidRDefault="00122C1B" w:rsidP="00EF3D55">
            <w:pPr>
              <w:pStyle w:val="TableParagraph"/>
              <w:spacing w:line="240" w:lineRule="auto"/>
              <w:rPr>
                <w:rFonts w:cs="Segoe UI"/>
                <w:b/>
                <w:i/>
                <w:szCs w:val="18"/>
              </w:rPr>
            </w:pPr>
          </w:p>
        </w:tc>
        <w:tc>
          <w:tcPr>
            <w:tcW w:w="709" w:type="dxa"/>
            <w:tcBorders>
              <w:top w:val="single" w:sz="12" w:space="0" w:color="BFBFBF" w:themeColor="background1" w:themeShade="BF"/>
              <w:left w:val="nil"/>
              <w:bottom w:val="single" w:sz="4" w:space="0" w:color="BFBFBF" w:themeColor="background1" w:themeShade="BF"/>
              <w:right w:val="nil"/>
            </w:tcBorders>
            <w:vAlign w:val="center"/>
          </w:tcPr>
          <w:p w14:paraId="47420F3A" w14:textId="77777777" w:rsidR="00122C1B" w:rsidRPr="00234C32" w:rsidRDefault="00122C1B" w:rsidP="00EF3D55">
            <w:pPr>
              <w:pStyle w:val="TableParagraph"/>
              <w:spacing w:line="240" w:lineRule="auto"/>
              <w:rPr>
                <w:rFonts w:cs="Segoe UI"/>
                <w:b/>
                <w:i/>
                <w:szCs w:val="18"/>
              </w:rPr>
            </w:pPr>
          </w:p>
        </w:tc>
        <w:tc>
          <w:tcPr>
            <w:tcW w:w="709" w:type="dxa"/>
            <w:tcBorders>
              <w:top w:val="single" w:sz="12" w:space="0" w:color="BFBFBF" w:themeColor="background1" w:themeShade="BF"/>
              <w:left w:val="nil"/>
              <w:bottom w:val="single" w:sz="4" w:space="0" w:color="BFBFBF" w:themeColor="background1" w:themeShade="BF"/>
              <w:right w:val="nil"/>
            </w:tcBorders>
            <w:vAlign w:val="center"/>
          </w:tcPr>
          <w:p w14:paraId="4C4EFC1C" w14:textId="77777777" w:rsidR="00122C1B" w:rsidRPr="00234C32" w:rsidRDefault="00122C1B" w:rsidP="00EF3D55">
            <w:pPr>
              <w:pStyle w:val="TableParagraph"/>
              <w:spacing w:line="240" w:lineRule="auto"/>
              <w:rPr>
                <w:rFonts w:cs="Segoe UI"/>
                <w:b/>
                <w:i/>
                <w:szCs w:val="18"/>
              </w:rPr>
            </w:pPr>
          </w:p>
        </w:tc>
        <w:tc>
          <w:tcPr>
            <w:tcW w:w="709" w:type="dxa"/>
            <w:tcBorders>
              <w:top w:val="single" w:sz="12" w:space="0" w:color="BFBFBF" w:themeColor="background1" w:themeShade="BF"/>
              <w:left w:val="nil"/>
              <w:bottom w:val="single" w:sz="4" w:space="0" w:color="BFBFBF" w:themeColor="background1" w:themeShade="BF"/>
              <w:right w:val="nil"/>
            </w:tcBorders>
            <w:vAlign w:val="center"/>
          </w:tcPr>
          <w:p w14:paraId="0D2AA86C" w14:textId="77777777" w:rsidR="00122C1B" w:rsidRPr="005C2B71" w:rsidRDefault="00122C1B" w:rsidP="00EF3D55">
            <w:pPr>
              <w:pStyle w:val="TableParagraph"/>
              <w:spacing w:line="240" w:lineRule="auto"/>
              <w:jc w:val="right"/>
              <w:rPr>
                <w:rFonts w:cs="Segoe UI"/>
                <w:color w:val="000000"/>
                <w:szCs w:val="18"/>
              </w:rPr>
            </w:pPr>
          </w:p>
        </w:tc>
        <w:tc>
          <w:tcPr>
            <w:tcW w:w="708" w:type="dxa"/>
            <w:tcBorders>
              <w:top w:val="single" w:sz="12" w:space="0" w:color="BFBFBF" w:themeColor="background1" w:themeShade="BF"/>
              <w:left w:val="nil"/>
              <w:bottom w:val="single" w:sz="4" w:space="0" w:color="BFBFBF" w:themeColor="background1" w:themeShade="BF"/>
              <w:right w:val="nil"/>
            </w:tcBorders>
            <w:vAlign w:val="center"/>
          </w:tcPr>
          <w:p w14:paraId="388C0071" w14:textId="77777777" w:rsidR="00122C1B" w:rsidRPr="00234C32" w:rsidRDefault="00122C1B" w:rsidP="00EF3D55">
            <w:pPr>
              <w:pStyle w:val="TableParagraph"/>
              <w:spacing w:line="240" w:lineRule="auto"/>
              <w:rPr>
                <w:rFonts w:cs="Segoe UI"/>
                <w:b/>
                <w:i/>
                <w:szCs w:val="18"/>
              </w:rPr>
            </w:pPr>
          </w:p>
        </w:tc>
        <w:tc>
          <w:tcPr>
            <w:tcW w:w="709" w:type="dxa"/>
            <w:tcBorders>
              <w:top w:val="single" w:sz="12" w:space="0" w:color="BFBFBF" w:themeColor="background1" w:themeShade="BF"/>
              <w:left w:val="nil"/>
              <w:bottom w:val="single" w:sz="4" w:space="0" w:color="BFBFBF" w:themeColor="background1" w:themeShade="BF"/>
              <w:right w:val="single" w:sz="18" w:space="0" w:color="0070C0"/>
            </w:tcBorders>
            <w:vAlign w:val="center"/>
          </w:tcPr>
          <w:p w14:paraId="6DF9B448" w14:textId="77777777" w:rsidR="00122C1B" w:rsidRPr="005C2B71" w:rsidRDefault="00122C1B" w:rsidP="00EF3D55">
            <w:pPr>
              <w:pStyle w:val="TableParagraph"/>
              <w:spacing w:line="240" w:lineRule="auto"/>
              <w:jc w:val="right"/>
              <w:rPr>
                <w:rFonts w:cs="Segoe UI"/>
                <w:color w:val="000000"/>
                <w:szCs w:val="18"/>
              </w:rPr>
            </w:pPr>
          </w:p>
        </w:tc>
        <w:tc>
          <w:tcPr>
            <w:tcW w:w="709" w:type="dxa"/>
            <w:tcBorders>
              <w:top w:val="single" w:sz="12" w:space="0" w:color="BFBFBF" w:themeColor="background1" w:themeShade="BF"/>
              <w:left w:val="single" w:sz="18" w:space="0" w:color="0070C0"/>
              <w:bottom w:val="single" w:sz="4" w:space="0" w:color="BFBFBF" w:themeColor="background1" w:themeShade="BF"/>
              <w:right w:val="nil"/>
            </w:tcBorders>
            <w:vAlign w:val="center"/>
          </w:tcPr>
          <w:p w14:paraId="1F862811" w14:textId="77777777" w:rsidR="00122C1B" w:rsidRPr="00234C32" w:rsidRDefault="00122C1B" w:rsidP="00EF3D55">
            <w:pPr>
              <w:pStyle w:val="TableParagraph"/>
              <w:spacing w:line="240" w:lineRule="auto"/>
              <w:rPr>
                <w:rFonts w:cs="Segoe UI"/>
                <w:b/>
                <w:i/>
                <w:szCs w:val="18"/>
              </w:rPr>
            </w:pPr>
          </w:p>
        </w:tc>
        <w:tc>
          <w:tcPr>
            <w:tcW w:w="850" w:type="dxa"/>
            <w:tcBorders>
              <w:top w:val="single" w:sz="12" w:space="0" w:color="BFBFBF" w:themeColor="background1" w:themeShade="BF"/>
              <w:left w:val="nil"/>
              <w:bottom w:val="single" w:sz="4" w:space="0" w:color="BFBFBF" w:themeColor="background1" w:themeShade="BF"/>
              <w:right w:val="single" w:sz="18" w:space="0" w:color="0070C0"/>
            </w:tcBorders>
            <w:vAlign w:val="center"/>
          </w:tcPr>
          <w:p w14:paraId="78BBDC07" w14:textId="77777777" w:rsidR="00122C1B" w:rsidRPr="005C2B71" w:rsidRDefault="00122C1B" w:rsidP="00EF3D55">
            <w:pPr>
              <w:pStyle w:val="TableParagraph"/>
              <w:spacing w:line="240" w:lineRule="auto"/>
              <w:jc w:val="right"/>
              <w:rPr>
                <w:rFonts w:cs="Segoe UI"/>
                <w:color w:val="000000"/>
                <w:szCs w:val="18"/>
              </w:rPr>
            </w:pPr>
          </w:p>
        </w:tc>
      </w:tr>
      <w:tr w:rsidR="00122C1B" w:rsidRPr="00E85A14" w14:paraId="4E8FBF33" w14:textId="77777777" w:rsidTr="00EF3D55">
        <w:tc>
          <w:tcPr>
            <w:tcW w:w="1276" w:type="dxa"/>
            <w:tcBorders>
              <w:top w:val="single" w:sz="4" w:space="0" w:color="BFBFBF" w:themeColor="background1" w:themeShade="BF"/>
              <w:bottom w:val="single" w:sz="4" w:space="0" w:color="BFBFBF" w:themeColor="background1" w:themeShade="BF"/>
            </w:tcBorders>
          </w:tcPr>
          <w:p w14:paraId="27141C68" w14:textId="77777777" w:rsidR="00122C1B" w:rsidRPr="009D368D" w:rsidRDefault="00122C1B" w:rsidP="00EF3D55">
            <w:pPr>
              <w:pStyle w:val="TableParagraph"/>
              <w:spacing w:line="240" w:lineRule="auto"/>
              <w:rPr>
                <w:rFonts w:cs="Segoe UI"/>
                <w:szCs w:val="18"/>
              </w:rPr>
            </w:pPr>
            <w:r w:rsidRPr="009D368D">
              <w:rPr>
                <w:rFonts w:cs="Segoe UI"/>
                <w:szCs w:val="18"/>
              </w:rPr>
              <w:t>Cost to Government</w:t>
            </w:r>
          </w:p>
        </w:tc>
        <w:tc>
          <w:tcPr>
            <w:tcW w:w="1134" w:type="dxa"/>
            <w:tcBorders>
              <w:top w:val="single" w:sz="4" w:space="0" w:color="BFBFBF" w:themeColor="background1" w:themeShade="BF"/>
              <w:bottom w:val="single" w:sz="4" w:space="0" w:color="BFBFBF" w:themeColor="background1" w:themeShade="BF"/>
            </w:tcBorders>
            <w:vAlign w:val="center"/>
          </w:tcPr>
          <w:p w14:paraId="499290C1" w14:textId="77777777" w:rsidR="00122C1B" w:rsidRPr="009D368D" w:rsidRDefault="00122C1B" w:rsidP="00EF3D55">
            <w:pPr>
              <w:pStyle w:val="TableParagraph"/>
              <w:spacing w:line="240" w:lineRule="auto"/>
              <w:ind w:right="170"/>
              <w:jc w:val="right"/>
              <w:rPr>
                <w:rFonts w:cs="Segoe UI"/>
                <w:szCs w:val="18"/>
              </w:rPr>
            </w:pPr>
            <w:r>
              <w:rPr>
                <w:rFonts w:cs="Segoe UI"/>
                <w:szCs w:val="18"/>
              </w:rPr>
              <w:t>20</w:t>
            </w:r>
            <w:r w:rsidRPr="009D368D">
              <w:rPr>
                <w:rFonts w:cs="Segoe UI"/>
                <w:szCs w:val="18"/>
              </w:rPr>
              <w:t>%</w:t>
            </w:r>
          </w:p>
        </w:tc>
        <w:tc>
          <w:tcPr>
            <w:tcW w:w="709" w:type="dxa"/>
            <w:tcBorders>
              <w:top w:val="single" w:sz="4" w:space="0" w:color="BFBFBF" w:themeColor="background1" w:themeShade="BF"/>
              <w:bottom w:val="single" w:sz="4" w:space="0" w:color="BFBFBF" w:themeColor="background1" w:themeShade="BF"/>
            </w:tcBorders>
            <w:vAlign w:val="center"/>
          </w:tcPr>
          <w:p w14:paraId="16C82730"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w:t>
            </w:r>
          </w:p>
        </w:tc>
        <w:tc>
          <w:tcPr>
            <w:tcW w:w="709" w:type="dxa"/>
            <w:tcBorders>
              <w:top w:val="single" w:sz="4" w:space="0" w:color="BFBFBF" w:themeColor="background1" w:themeShade="BF"/>
              <w:bottom w:val="single" w:sz="4" w:space="0" w:color="BFBFBF" w:themeColor="background1" w:themeShade="BF"/>
            </w:tcBorders>
            <w:vAlign w:val="center"/>
          </w:tcPr>
          <w:p w14:paraId="17942592"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0.00</w:t>
            </w:r>
          </w:p>
        </w:tc>
        <w:tc>
          <w:tcPr>
            <w:tcW w:w="708" w:type="dxa"/>
            <w:tcBorders>
              <w:top w:val="single" w:sz="4" w:space="0" w:color="BFBFBF" w:themeColor="background1" w:themeShade="BF"/>
              <w:bottom w:val="single" w:sz="4" w:space="0" w:color="BFBFBF" w:themeColor="background1" w:themeShade="BF"/>
            </w:tcBorders>
            <w:vAlign w:val="center"/>
          </w:tcPr>
          <w:p w14:paraId="2972104E" w14:textId="77777777" w:rsidR="00122C1B" w:rsidRPr="009D368D" w:rsidRDefault="00122C1B" w:rsidP="00EF3D55">
            <w:pPr>
              <w:pStyle w:val="TableParagraph"/>
              <w:spacing w:line="240" w:lineRule="auto"/>
              <w:ind w:right="57"/>
              <w:jc w:val="right"/>
              <w:rPr>
                <w:rFonts w:cs="Segoe UI"/>
                <w:szCs w:val="18"/>
              </w:rPr>
            </w:pPr>
            <w:r>
              <w:rPr>
                <w:rFonts w:cs="Segoe UI"/>
                <w:szCs w:val="18"/>
              </w:rPr>
              <w:t>0</w:t>
            </w:r>
          </w:p>
        </w:tc>
        <w:tc>
          <w:tcPr>
            <w:tcW w:w="709" w:type="dxa"/>
            <w:tcBorders>
              <w:top w:val="single" w:sz="4" w:space="0" w:color="BFBFBF" w:themeColor="background1" w:themeShade="BF"/>
              <w:bottom w:val="single" w:sz="4" w:space="0" w:color="BFBFBF" w:themeColor="background1" w:themeShade="BF"/>
            </w:tcBorders>
            <w:vAlign w:val="center"/>
          </w:tcPr>
          <w:p w14:paraId="17E85801" w14:textId="77777777" w:rsidR="00122C1B" w:rsidRPr="009D368D" w:rsidRDefault="00122C1B" w:rsidP="00EF3D55">
            <w:pPr>
              <w:pStyle w:val="TableParagraph"/>
              <w:spacing w:line="240" w:lineRule="auto"/>
              <w:jc w:val="right"/>
              <w:rPr>
                <w:rFonts w:cs="Segoe UI"/>
                <w:szCs w:val="18"/>
              </w:rPr>
            </w:pPr>
            <w:r>
              <w:rPr>
                <w:rFonts w:cs="Segoe UI"/>
                <w:color w:val="000000"/>
                <w:szCs w:val="18"/>
              </w:rPr>
              <w:t>0.00</w:t>
            </w:r>
          </w:p>
        </w:tc>
        <w:tc>
          <w:tcPr>
            <w:tcW w:w="709" w:type="dxa"/>
            <w:tcBorders>
              <w:top w:val="single" w:sz="4" w:space="0" w:color="BFBFBF" w:themeColor="background1" w:themeShade="BF"/>
              <w:bottom w:val="single" w:sz="4" w:space="0" w:color="BFBFBF" w:themeColor="background1" w:themeShade="BF"/>
            </w:tcBorders>
            <w:vAlign w:val="center"/>
          </w:tcPr>
          <w:p w14:paraId="4784E5C5"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w:t>
            </w:r>
            <w:r w:rsidR="008E5637">
              <w:rPr>
                <w:rFonts w:cs="Segoe UI"/>
                <w:color w:val="000000"/>
                <w:szCs w:val="18"/>
              </w:rPr>
              <w:t>1</w:t>
            </w:r>
          </w:p>
        </w:tc>
        <w:tc>
          <w:tcPr>
            <w:tcW w:w="709" w:type="dxa"/>
            <w:tcBorders>
              <w:top w:val="single" w:sz="4" w:space="0" w:color="BFBFBF" w:themeColor="background1" w:themeShade="BF"/>
              <w:bottom w:val="single" w:sz="4" w:space="0" w:color="BFBFBF" w:themeColor="background1" w:themeShade="BF"/>
            </w:tcBorders>
            <w:vAlign w:val="center"/>
          </w:tcPr>
          <w:p w14:paraId="506F9460"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w:t>
            </w:r>
            <w:r w:rsidR="008E5637">
              <w:rPr>
                <w:rFonts w:cs="Segoe UI"/>
                <w:color w:val="000000"/>
                <w:szCs w:val="18"/>
              </w:rPr>
              <w:t>2</w:t>
            </w:r>
            <w:r>
              <w:rPr>
                <w:rFonts w:cs="Segoe UI"/>
                <w:color w:val="000000"/>
                <w:szCs w:val="18"/>
              </w:rPr>
              <w:t>0</w:t>
            </w:r>
          </w:p>
        </w:tc>
        <w:tc>
          <w:tcPr>
            <w:tcW w:w="708" w:type="dxa"/>
            <w:tcBorders>
              <w:top w:val="single" w:sz="4" w:space="0" w:color="BFBFBF" w:themeColor="background1" w:themeShade="BF"/>
              <w:bottom w:val="single" w:sz="4" w:space="0" w:color="BFBFBF" w:themeColor="background1" w:themeShade="BF"/>
            </w:tcBorders>
            <w:vAlign w:val="center"/>
          </w:tcPr>
          <w:p w14:paraId="639C1099"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-5</w:t>
            </w:r>
          </w:p>
        </w:tc>
        <w:tc>
          <w:tcPr>
            <w:tcW w:w="709" w:type="dxa"/>
            <w:tcBorders>
              <w:top w:val="single" w:sz="4" w:space="0" w:color="BFBFBF" w:themeColor="background1" w:themeShade="BF"/>
              <w:bottom w:val="single" w:sz="4" w:space="0" w:color="BFBFBF" w:themeColor="background1" w:themeShade="BF"/>
              <w:right w:val="single" w:sz="18" w:space="0" w:color="0070C0"/>
            </w:tcBorders>
            <w:vAlign w:val="center"/>
          </w:tcPr>
          <w:p w14:paraId="7535A2BB"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-1.00</w:t>
            </w:r>
          </w:p>
        </w:tc>
        <w:tc>
          <w:tcPr>
            <w:tcW w:w="709" w:type="dxa"/>
            <w:tcBorders>
              <w:top w:val="single" w:sz="4" w:space="0" w:color="BFBFBF" w:themeColor="background1" w:themeShade="BF"/>
              <w:left w:val="single" w:sz="18" w:space="0" w:color="0070C0"/>
              <w:bottom w:val="single" w:sz="4" w:space="0" w:color="BFBFBF" w:themeColor="background1" w:themeShade="BF"/>
            </w:tcBorders>
            <w:vAlign w:val="center"/>
          </w:tcPr>
          <w:p w14:paraId="25B0E861"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-1</w:t>
            </w:r>
          </w:p>
        </w:tc>
        <w:tc>
          <w:tcPr>
            <w:tcW w:w="850" w:type="dxa"/>
            <w:tcBorders>
              <w:top w:val="single" w:sz="4" w:space="0" w:color="BFBFBF" w:themeColor="background1" w:themeShade="BF"/>
              <w:bottom w:val="single" w:sz="4" w:space="0" w:color="BFBFBF" w:themeColor="background1" w:themeShade="BF"/>
              <w:right w:val="single" w:sz="18" w:space="0" w:color="0070C0"/>
            </w:tcBorders>
            <w:vAlign w:val="center"/>
          </w:tcPr>
          <w:p w14:paraId="0ECFA23D"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-0.20</w:t>
            </w:r>
          </w:p>
        </w:tc>
      </w:tr>
      <w:tr w:rsidR="008103DD" w:rsidRPr="00E85A14" w14:paraId="318EE3CF" w14:textId="77777777" w:rsidTr="00EF3D55">
        <w:trPr>
          <w:cnfStyle w:val="000000010000" w:firstRow="0" w:lastRow="0" w:firstColumn="0" w:lastColumn="0" w:oddVBand="0" w:evenVBand="0" w:oddHBand="0" w:evenHBand="1" w:firstRowFirstColumn="0" w:firstRowLastColumn="0" w:lastRowFirstColumn="0" w:lastRowLastColumn="0"/>
        </w:trPr>
        <w:tc>
          <w:tcPr>
            <w:tcW w:w="1276" w:type="dxa"/>
            <w:tcBorders>
              <w:bottom w:val="single" w:sz="4" w:space="0" w:color="BFBFBF" w:themeColor="background1" w:themeShade="BF"/>
            </w:tcBorders>
            <w:shd w:val="clear" w:color="auto" w:fill="F2F2F2" w:themeFill="background1" w:themeFillShade="F2"/>
          </w:tcPr>
          <w:p w14:paraId="7BA6D47A" w14:textId="77777777" w:rsidR="00122C1B" w:rsidRPr="009D368D" w:rsidRDefault="00122C1B" w:rsidP="00EF3D55">
            <w:pPr>
              <w:pStyle w:val="TableParagraph"/>
              <w:spacing w:line="240" w:lineRule="auto"/>
              <w:rPr>
                <w:rFonts w:cs="Segoe UI"/>
                <w:szCs w:val="18"/>
              </w:rPr>
            </w:pPr>
            <w:r w:rsidRPr="009D368D">
              <w:rPr>
                <w:rFonts w:cs="Segoe UI"/>
                <w:szCs w:val="18"/>
              </w:rPr>
              <w:t>Cost to Community</w:t>
            </w:r>
          </w:p>
        </w:tc>
        <w:tc>
          <w:tcPr>
            <w:tcW w:w="1134" w:type="dxa"/>
            <w:tcBorders>
              <w:bottom w:val="single" w:sz="4" w:space="0" w:color="BFBFBF" w:themeColor="background1" w:themeShade="BF"/>
            </w:tcBorders>
            <w:shd w:val="clear" w:color="auto" w:fill="F2F2F2" w:themeFill="background1" w:themeFillShade="F2"/>
            <w:vAlign w:val="center"/>
          </w:tcPr>
          <w:p w14:paraId="4A323B10" w14:textId="77777777" w:rsidR="00122C1B" w:rsidRPr="009D368D" w:rsidRDefault="00122C1B" w:rsidP="00EF3D55">
            <w:pPr>
              <w:pStyle w:val="TableParagraph"/>
              <w:spacing w:line="240" w:lineRule="auto"/>
              <w:ind w:right="170"/>
              <w:jc w:val="right"/>
              <w:rPr>
                <w:rFonts w:cs="Segoe UI"/>
                <w:szCs w:val="18"/>
              </w:rPr>
            </w:pPr>
            <w:r w:rsidRPr="009D368D">
              <w:rPr>
                <w:rFonts w:cs="Segoe UI"/>
                <w:szCs w:val="18"/>
              </w:rPr>
              <w:t>2</w:t>
            </w:r>
            <w:r>
              <w:rPr>
                <w:rFonts w:cs="Segoe UI"/>
                <w:szCs w:val="18"/>
              </w:rPr>
              <w:t>0</w:t>
            </w:r>
            <w:r w:rsidRPr="009D368D">
              <w:rPr>
                <w:rFonts w:cs="Segoe UI"/>
                <w:szCs w:val="18"/>
              </w:rPr>
              <w:t>%</w:t>
            </w:r>
          </w:p>
        </w:tc>
        <w:tc>
          <w:tcPr>
            <w:tcW w:w="709" w:type="dxa"/>
            <w:tcBorders>
              <w:bottom w:val="single" w:sz="4" w:space="0" w:color="BFBFBF" w:themeColor="background1" w:themeShade="BF"/>
            </w:tcBorders>
            <w:shd w:val="clear" w:color="auto" w:fill="F2F2F2" w:themeFill="background1" w:themeFillShade="F2"/>
            <w:vAlign w:val="center"/>
          </w:tcPr>
          <w:p w14:paraId="0410C0A3"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w:t>
            </w:r>
          </w:p>
        </w:tc>
        <w:tc>
          <w:tcPr>
            <w:tcW w:w="709" w:type="dxa"/>
            <w:tcBorders>
              <w:bottom w:val="single" w:sz="4" w:space="0" w:color="BFBFBF" w:themeColor="background1" w:themeShade="BF"/>
            </w:tcBorders>
            <w:shd w:val="clear" w:color="auto" w:fill="F2F2F2" w:themeFill="background1" w:themeFillShade="F2"/>
            <w:vAlign w:val="center"/>
          </w:tcPr>
          <w:p w14:paraId="11BAEF4E"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0.00</w:t>
            </w:r>
          </w:p>
        </w:tc>
        <w:tc>
          <w:tcPr>
            <w:tcW w:w="708" w:type="dxa"/>
            <w:tcBorders>
              <w:bottom w:val="single" w:sz="4" w:space="0" w:color="BFBFBF" w:themeColor="background1" w:themeShade="BF"/>
            </w:tcBorders>
            <w:shd w:val="clear" w:color="auto" w:fill="F2F2F2" w:themeFill="background1" w:themeFillShade="F2"/>
            <w:vAlign w:val="center"/>
          </w:tcPr>
          <w:p w14:paraId="4B7B3EC1" w14:textId="77777777" w:rsidR="00122C1B" w:rsidRPr="009D368D" w:rsidRDefault="00122C1B" w:rsidP="00EF3D55">
            <w:pPr>
              <w:pStyle w:val="TableParagraph"/>
              <w:spacing w:line="240" w:lineRule="auto"/>
              <w:ind w:right="57"/>
              <w:jc w:val="right"/>
              <w:rPr>
                <w:rFonts w:cs="Segoe UI"/>
                <w:noProof/>
                <w:szCs w:val="18"/>
              </w:rPr>
            </w:pPr>
            <w:r>
              <w:rPr>
                <w:rFonts w:cs="Segoe UI"/>
                <w:color w:val="000000"/>
                <w:szCs w:val="18"/>
              </w:rPr>
              <w:t>0</w:t>
            </w:r>
          </w:p>
        </w:tc>
        <w:tc>
          <w:tcPr>
            <w:tcW w:w="709" w:type="dxa"/>
            <w:tcBorders>
              <w:bottom w:val="single" w:sz="4" w:space="0" w:color="BFBFBF" w:themeColor="background1" w:themeShade="BF"/>
            </w:tcBorders>
            <w:shd w:val="clear" w:color="auto" w:fill="F2F2F2" w:themeFill="background1" w:themeFillShade="F2"/>
            <w:vAlign w:val="center"/>
          </w:tcPr>
          <w:p w14:paraId="52234D86" w14:textId="77777777" w:rsidR="00122C1B" w:rsidRPr="009D368D" w:rsidRDefault="00122C1B" w:rsidP="00EF3D55">
            <w:pPr>
              <w:pStyle w:val="TableParagraph"/>
              <w:spacing w:line="240" w:lineRule="auto"/>
              <w:jc w:val="right"/>
              <w:rPr>
                <w:rFonts w:eastAsia="Times New Roman" w:cs="Segoe UI"/>
                <w:szCs w:val="18"/>
              </w:rPr>
            </w:pPr>
            <w:r>
              <w:rPr>
                <w:rFonts w:cs="Segoe UI"/>
                <w:color w:val="000000"/>
                <w:szCs w:val="18"/>
              </w:rPr>
              <w:t>0.00</w:t>
            </w:r>
          </w:p>
        </w:tc>
        <w:tc>
          <w:tcPr>
            <w:tcW w:w="709" w:type="dxa"/>
            <w:tcBorders>
              <w:bottom w:val="single" w:sz="4" w:space="0" w:color="BFBFBF" w:themeColor="background1" w:themeShade="BF"/>
            </w:tcBorders>
            <w:shd w:val="clear" w:color="auto" w:fill="F2F2F2" w:themeFill="background1" w:themeFillShade="F2"/>
            <w:vAlign w:val="center"/>
          </w:tcPr>
          <w:p w14:paraId="2F61FE99" w14:textId="77777777" w:rsidR="00122C1B" w:rsidRPr="009D368D" w:rsidRDefault="00122C1B" w:rsidP="00EF3D55">
            <w:pPr>
              <w:pStyle w:val="TableParagraph"/>
              <w:spacing w:line="240" w:lineRule="auto"/>
              <w:ind w:right="57"/>
              <w:jc w:val="right"/>
              <w:rPr>
                <w:rFonts w:cs="Segoe UI"/>
                <w:noProof/>
                <w:szCs w:val="18"/>
              </w:rPr>
            </w:pPr>
            <w:r>
              <w:rPr>
                <w:rFonts w:cs="Segoe UI"/>
                <w:color w:val="000000"/>
                <w:szCs w:val="18"/>
              </w:rPr>
              <w:t>-</w:t>
            </w:r>
            <w:r w:rsidR="008E5637">
              <w:rPr>
                <w:rFonts w:cs="Segoe UI"/>
                <w:color w:val="000000"/>
                <w:szCs w:val="18"/>
              </w:rPr>
              <w:t>1</w:t>
            </w:r>
          </w:p>
        </w:tc>
        <w:tc>
          <w:tcPr>
            <w:tcW w:w="709" w:type="dxa"/>
            <w:tcBorders>
              <w:bottom w:val="single" w:sz="4" w:space="0" w:color="BFBFBF" w:themeColor="background1" w:themeShade="BF"/>
            </w:tcBorders>
            <w:shd w:val="clear" w:color="auto" w:fill="F2F2F2" w:themeFill="background1" w:themeFillShade="F2"/>
            <w:vAlign w:val="center"/>
          </w:tcPr>
          <w:p w14:paraId="5D710328"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w:t>
            </w:r>
            <w:r w:rsidR="008E5637">
              <w:rPr>
                <w:rFonts w:cs="Segoe UI"/>
                <w:color w:val="000000"/>
                <w:szCs w:val="18"/>
              </w:rPr>
              <w:t>2</w:t>
            </w:r>
            <w:r>
              <w:rPr>
                <w:rFonts w:cs="Segoe UI"/>
                <w:color w:val="000000"/>
                <w:szCs w:val="18"/>
              </w:rPr>
              <w:t>0</w:t>
            </w:r>
          </w:p>
        </w:tc>
        <w:tc>
          <w:tcPr>
            <w:tcW w:w="708" w:type="dxa"/>
            <w:tcBorders>
              <w:bottom w:val="single" w:sz="4" w:space="0" w:color="BFBFBF" w:themeColor="background1" w:themeShade="BF"/>
            </w:tcBorders>
            <w:shd w:val="clear" w:color="auto" w:fill="F2F2F2" w:themeFill="background1" w:themeFillShade="F2"/>
            <w:vAlign w:val="center"/>
          </w:tcPr>
          <w:p w14:paraId="5392EB9F" w14:textId="77777777" w:rsidR="00122C1B" w:rsidRPr="009D368D" w:rsidRDefault="00122C1B" w:rsidP="00EF3D55">
            <w:pPr>
              <w:pStyle w:val="TableParagraph"/>
              <w:spacing w:line="240" w:lineRule="auto"/>
              <w:ind w:right="57"/>
              <w:jc w:val="right"/>
              <w:rPr>
                <w:rFonts w:cs="Segoe UI"/>
                <w:noProof/>
                <w:szCs w:val="18"/>
              </w:rPr>
            </w:pPr>
            <w:r>
              <w:rPr>
                <w:rFonts w:cs="Segoe UI"/>
                <w:color w:val="000000"/>
                <w:szCs w:val="18"/>
              </w:rPr>
              <w:t>-5</w:t>
            </w:r>
          </w:p>
        </w:tc>
        <w:tc>
          <w:tcPr>
            <w:tcW w:w="709" w:type="dxa"/>
            <w:tcBorders>
              <w:bottom w:val="single" w:sz="4" w:space="0" w:color="BFBFBF" w:themeColor="background1" w:themeShade="BF"/>
              <w:right w:val="single" w:sz="18" w:space="0" w:color="0070C0"/>
            </w:tcBorders>
            <w:shd w:val="clear" w:color="auto" w:fill="F2F2F2" w:themeFill="background1" w:themeFillShade="F2"/>
            <w:vAlign w:val="center"/>
          </w:tcPr>
          <w:p w14:paraId="466627A6"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-1.00</w:t>
            </w:r>
          </w:p>
        </w:tc>
        <w:tc>
          <w:tcPr>
            <w:tcW w:w="709" w:type="dxa"/>
            <w:tcBorders>
              <w:left w:val="single" w:sz="18" w:space="0" w:color="0070C0"/>
              <w:bottom w:val="single" w:sz="4" w:space="0" w:color="BFBFBF" w:themeColor="background1" w:themeShade="BF"/>
            </w:tcBorders>
            <w:shd w:val="clear" w:color="auto" w:fill="F2F2F2" w:themeFill="background1" w:themeFillShade="F2"/>
            <w:vAlign w:val="center"/>
          </w:tcPr>
          <w:p w14:paraId="580BF2EE" w14:textId="77777777" w:rsidR="00122C1B" w:rsidRPr="009D368D" w:rsidRDefault="00122C1B" w:rsidP="00EF3D55">
            <w:pPr>
              <w:pStyle w:val="TableParagraph"/>
              <w:spacing w:line="240" w:lineRule="auto"/>
              <w:ind w:right="57"/>
              <w:jc w:val="right"/>
              <w:rPr>
                <w:rFonts w:cs="Segoe UI"/>
                <w:noProof/>
                <w:szCs w:val="18"/>
              </w:rPr>
            </w:pPr>
            <w:r>
              <w:rPr>
                <w:rFonts w:cs="Segoe UI"/>
                <w:color w:val="000000"/>
                <w:szCs w:val="18"/>
              </w:rPr>
              <w:t>-1</w:t>
            </w:r>
          </w:p>
        </w:tc>
        <w:tc>
          <w:tcPr>
            <w:tcW w:w="850" w:type="dxa"/>
            <w:tcBorders>
              <w:bottom w:val="single" w:sz="4" w:space="0" w:color="BFBFBF" w:themeColor="background1" w:themeShade="BF"/>
              <w:right w:val="single" w:sz="18" w:space="0" w:color="0070C0"/>
            </w:tcBorders>
            <w:shd w:val="clear" w:color="auto" w:fill="F2F2F2" w:themeFill="background1" w:themeFillShade="F2"/>
            <w:vAlign w:val="center"/>
          </w:tcPr>
          <w:p w14:paraId="5D737651"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-0.20</w:t>
            </w:r>
          </w:p>
        </w:tc>
      </w:tr>
      <w:tr w:rsidR="00122C1B" w:rsidRPr="00E85A14" w14:paraId="270E8171" w14:textId="77777777" w:rsidTr="00EF3D55">
        <w:tc>
          <w:tcPr>
            <w:tcW w:w="1276" w:type="dxa"/>
            <w:tcBorders>
              <w:bottom w:val="single" w:sz="12" w:space="0" w:color="BFBFBF" w:themeColor="background1" w:themeShade="BF"/>
            </w:tcBorders>
          </w:tcPr>
          <w:p w14:paraId="51C642A2" w14:textId="77777777" w:rsidR="00122C1B" w:rsidRPr="009D368D" w:rsidRDefault="00E24F2D" w:rsidP="00EF3D55">
            <w:pPr>
              <w:pStyle w:val="TableParagraph"/>
              <w:spacing w:line="240" w:lineRule="auto"/>
              <w:rPr>
                <w:rFonts w:cs="Segoe UI"/>
                <w:szCs w:val="18"/>
              </w:rPr>
            </w:pPr>
            <w:r>
              <w:rPr>
                <w:rFonts w:cs="Segoe UI"/>
                <w:szCs w:val="18"/>
              </w:rPr>
              <w:t>Complex</w:t>
            </w:r>
            <w:r w:rsidRPr="009D368D">
              <w:rPr>
                <w:rFonts w:cs="Segoe UI"/>
                <w:szCs w:val="18"/>
              </w:rPr>
              <w:t>ity</w:t>
            </w:r>
          </w:p>
        </w:tc>
        <w:tc>
          <w:tcPr>
            <w:tcW w:w="1134" w:type="dxa"/>
            <w:tcBorders>
              <w:bottom w:val="single" w:sz="12" w:space="0" w:color="BFBFBF" w:themeColor="background1" w:themeShade="BF"/>
            </w:tcBorders>
          </w:tcPr>
          <w:p w14:paraId="3DF710CD" w14:textId="77777777" w:rsidR="00122C1B" w:rsidRPr="009D368D" w:rsidRDefault="00122C1B" w:rsidP="00EF3D55">
            <w:pPr>
              <w:pStyle w:val="TableParagraph"/>
              <w:spacing w:line="240" w:lineRule="auto"/>
              <w:ind w:right="170"/>
              <w:jc w:val="right"/>
              <w:rPr>
                <w:rFonts w:cs="Segoe UI"/>
                <w:szCs w:val="18"/>
              </w:rPr>
            </w:pPr>
            <w:r>
              <w:rPr>
                <w:rFonts w:cs="Segoe UI"/>
                <w:szCs w:val="18"/>
              </w:rPr>
              <w:t>10</w:t>
            </w:r>
            <w:r w:rsidRPr="009D368D">
              <w:rPr>
                <w:rFonts w:cs="Segoe UI"/>
                <w:szCs w:val="18"/>
              </w:rPr>
              <w:t>%</w:t>
            </w:r>
          </w:p>
        </w:tc>
        <w:tc>
          <w:tcPr>
            <w:tcW w:w="709" w:type="dxa"/>
            <w:tcBorders>
              <w:bottom w:val="single" w:sz="12" w:space="0" w:color="BFBFBF" w:themeColor="background1" w:themeShade="BF"/>
            </w:tcBorders>
            <w:vAlign w:val="center"/>
          </w:tcPr>
          <w:p w14:paraId="4A4C5B0B"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w:t>
            </w:r>
          </w:p>
        </w:tc>
        <w:tc>
          <w:tcPr>
            <w:tcW w:w="709" w:type="dxa"/>
            <w:tcBorders>
              <w:bottom w:val="single" w:sz="12" w:space="0" w:color="BFBFBF" w:themeColor="background1" w:themeShade="BF"/>
            </w:tcBorders>
            <w:vAlign w:val="center"/>
          </w:tcPr>
          <w:p w14:paraId="6E4D9547"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0.00</w:t>
            </w:r>
          </w:p>
        </w:tc>
        <w:tc>
          <w:tcPr>
            <w:tcW w:w="708" w:type="dxa"/>
            <w:tcBorders>
              <w:bottom w:val="single" w:sz="12" w:space="0" w:color="BFBFBF" w:themeColor="background1" w:themeShade="BF"/>
            </w:tcBorders>
            <w:vAlign w:val="center"/>
          </w:tcPr>
          <w:p w14:paraId="3164AE4B"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-1</w:t>
            </w:r>
          </w:p>
        </w:tc>
        <w:tc>
          <w:tcPr>
            <w:tcW w:w="709" w:type="dxa"/>
            <w:tcBorders>
              <w:bottom w:val="single" w:sz="12" w:space="0" w:color="BFBFBF" w:themeColor="background1" w:themeShade="BF"/>
            </w:tcBorders>
            <w:vAlign w:val="center"/>
          </w:tcPr>
          <w:p w14:paraId="7E7F437E" w14:textId="77777777" w:rsidR="00122C1B" w:rsidRPr="009D368D" w:rsidRDefault="00122C1B" w:rsidP="00EF3D55">
            <w:pPr>
              <w:pStyle w:val="TableParagraph"/>
              <w:spacing w:line="240" w:lineRule="auto"/>
              <w:jc w:val="right"/>
              <w:rPr>
                <w:rFonts w:eastAsia="Times New Roman" w:cs="Segoe UI"/>
                <w:szCs w:val="18"/>
              </w:rPr>
            </w:pPr>
            <w:r>
              <w:rPr>
                <w:rFonts w:cs="Segoe UI"/>
                <w:color w:val="000000"/>
                <w:szCs w:val="18"/>
              </w:rPr>
              <w:t>-0.10</w:t>
            </w:r>
          </w:p>
        </w:tc>
        <w:tc>
          <w:tcPr>
            <w:tcW w:w="709" w:type="dxa"/>
            <w:tcBorders>
              <w:bottom w:val="single" w:sz="12" w:space="0" w:color="BFBFBF" w:themeColor="background1" w:themeShade="BF"/>
            </w:tcBorders>
            <w:vAlign w:val="center"/>
          </w:tcPr>
          <w:p w14:paraId="734D2737"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0</w:t>
            </w:r>
          </w:p>
        </w:tc>
        <w:tc>
          <w:tcPr>
            <w:tcW w:w="709" w:type="dxa"/>
            <w:tcBorders>
              <w:bottom w:val="single" w:sz="12" w:space="0" w:color="BFBFBF" w:themeColor="background1" w:themeShade="BF"/>
            </w:tcBorders>
            <w:vAlign w:val="center"/>
          </w:tcPr>
          <w:p w14:paraId="71E65F4A"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0.00</w:t>
            </w:r>
          </w:p>
        </w:tc>
        <w:tc>
          <w:tcPr>
            <w:tcW w:w="708" w:type="dxa"/>
            <w:tcBorders>
              <w:bottom w:val="single" w:sz="12" w:space="0" w:color="BFBFBF" w:themeColor="background1" w:themeShade="BF"/>
            </w:tcBorders>
            <w:vAlign w:val="center"/>
          </w:tcPr>
          <w:p w14:paraId="2DE292E5"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+3</w:t>
            </w:r>
          </w:p>
        </w:tc>
        <w:tc>
          <w:tcPr>
            <w:tcW w:w="709" w:type="dxa"/>
            <w:tcBorders>
              <w:bottom w:val="single" w:sz="12" w:space="0" w:color="BFBFBF" w:themeColor="background1" w:themeShade="BF"/>
              <w:right w:val="single" w:sz="18" w:space="0" w:color="0070C0"/>
            </w:tcBorders>
            <w:vAlign w:val="center"/>
          </w:tcPr>
          <w:p w14:paraId="682A1C27"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+0.30</w:t>
            </w:r>
          </w:p>
        </w:tc>
        <w:tc>
          <w:tcPr>
            <w:tcW w:w="709" w:type="dxa"/>
            <w:tcBorders>
              <w:left w:val="single" w:sz="18" w:space="0" w:color="0070C0"/>
              <w:bottom w:val="single" w:sz="12" w:space="0" w:color="BFBFBF" w:themeColor="background1" w:themeShade="BF"/>
            </w:tcBorders>
            <w:vAlign w:val="center"/>
          </w:tcPr>
          <w:p w14:paraId="3286F084" w14:textId="77777777" w:rsidR="00122C1B" w:rsidRPr="009D368D" w:rsidRDefault="00122C1B" w:rsidP="00EF3D55">
            <w:pPr>
              <w:pStyle w:val="TableParagraph"/>
              <w:spacing w:line="240" w:lineRule="auto"/>
              <w:ind w:right="57"/>
              <w:jc w:val="right"/>
              <w:rPr>
                <w:rFonts w:cs="Segoe UI"/>
                <w:szCs w:val="18"/>
              </w:rPr>
            </w:pPr>
            <w:r>
              <w:rPr>
                <w:rFonts w:cs="Segoe UI"/>
                <w:color w:val="000000"/>
                <w:szCs w:val="18"/>
              </w:rPr>
              <w:t>+3</w:t>
            </w:r>
          </w:p>
        </w:tc>
        <w:tc>
          <w:tcPr>
            <w:tcW w:w="850" w:type="dxa"/>
            <w:tcBorders>
              <w:bottom w:val="single" w:sz="12" w:space="0" w:color="BFBFBF" w:themeColor="background1" w:themeShade="BF"/>
              <w:right w:val="single" w:sz="18" w:space="0" w:color="0070C0"/>
            </w:tcBorders>
            <w:vAlign w:val="center"/>
          </w:tcPr>
          <w:p w14:paraId="7DC5C474" w14:textId="77777777" w:rsidR="00122C1B" w:rsidRPr="005C2B71" w:rsidRDefault="00122C1B" w:rsidP="00EF3D55">
            <w:pPr>
              <w:pStyle w:val="TableParagraph"/>
              <w:spacing w:line="240" w:lineRule="auto"/>
              <w:jc w:val="right"/>
              <w:rPr>
                <w:rFonts w:cs="Segoe UI"/>
                <w:color w:val="000000"/>
                <w:szCs w:val="18"/>
              </w:rPr>
            </w:pPr>
            <w:r>
              <w:rPr>
                <w:rFonts w:cs="Segoe UI"/>
                <w:color w:val="000000"/>
                <w:szCs w:val="18"/>
              </w:rPr>
              <w:t>+0.30</w:t>
            </w:r>
          </w:p>
        </w:tc>
      </w:tr>
      <w:tr w:rsidR="00122C1B" w:rsidRPr="00C43FBE" w14:paraId="2487B1F6" w14:textId="77777777" w:rsidTr="00EF3D55">
        <w:trPr>
          <w:cnfStyle w:val="000000010000" w:firstRow="0" w:lastRow="0" w:firstColumn="0" w:lastColumn="0" w:oddVBand="0" w:evenVBand="0" w:oddHBand="0" w:evenHBand="1" w:firstRowFirstColumn="0" w:firstRowLastColumn="0" w:lastRowFirstColumn="0" w:lastRowLastColumn="0"/>
        </w:trPr>
        <w:tc>
          <w:tcPr>
            <w:tcW w:w="1276" w:type="dxa"/>
            <w:tcBorders>
              <w:top w:val="single" w:sz="12" w:space="0" w:color="BFBFBF" w:themeColor="background1" w:themeShade="BF"/>
            </w:tcBorders>
          </w:tcPr>
          <w:p w14:paraId="728883B8" w14:textId="77777777" w:rsidR="00122C1B" w:rsidRPr="00C43FBE" w:rsidRDefault="00122C1B" w:rsidP="00EF3D55">
            <w:pPr>
              <w:pStyle w:val="TableParagraph"/>
              <w:spacing w:line="240" w:lineRule="auto"/>
              <w:rPr>
                <w:rFonts w:cs="Segoe UI"/>
                <w:b/>
                <w:szCs w:val="18"/>
              </w:rPr>
            </w:pPr>
            <w:r w:rsidRPr="00C43FBE">
              <w:rPr>
                <w:rFonts w:cs="Segoe UI"/>
                <w:b/>
                <w:szCs w:val="18"/>
              </w:rPr>
              <w:t>Total</w:t>
            </w:r>
          </w:p>
        </w:tc>
        <w:tc>
          <w:tcPr>
            <w:tcW w:w="1134" w:type="dxa"/>
            <w:tcBorders>
              <w:top w:val="single" w:sz="12" w:space="0" w:color="BFBFBF" w:themeColor="background1" w:themeShade="BF"/>
            </w:tcBorders>
          </w:tcPr>
          <w:p w14:paraId="7A322878" w14:textId="77777777" w:rsidR="00122C1B" w:rsidRPr="00C43FBE" w:rsidRDefault="00122C1B" w:rsidP="00EF3D55">
            <w:pPr>
              <w:pStyle w:val="TableParagraph"/>
              <w:spacing w:line="240" w:lineRule="auto"/>
              <w:ind w:right="170"/>
              <w:jc w:val="right"/>
              <w:rPr>
                <w:rFonts w:cs="Segoe UI"/>
                <w:b/>
                <w:szCs w:val="18"/>
              </w:rPr>
            </w:pPr>
            <w:r w:rsidRPr="00C43FBE">
              <w:rPr>
                <w:rFonts w:cs="Segoe UI"/>
                <w:b/>
                <w:szCs w:val="18"/>
              </w:rPr>
              <w:t>100%</w:t>
            </w:r>
          </w:p>
        </w:tc>
        <w:tc>
          <w:tcPr>
            <w:tcW w:w="709" w:type="dxa"/>
            <w:tcBorders>
              <w:top w:val="single" w:sz="12" w:space="0" w:color="BFBFBF" w:themeColor="background1" w:themeShade="BF"/>
            </w:tcBorders>
          </w:tcPr>
          <w:p w14:paraId="714782E5" w14:textId="77777777" w:rsidR="00122C1B" w:rsidRPr="00C43FBE" w:rsidRDefault="00122C1B" w:rsidP="00EF3D55">
            <w:pPr>
              <w:pStyle w:val="TableParagraph"/>
              <w:spacing w:line="240" w:lineRule="auto"/>
              <w:ind w:right="57"/>
              <w:jc w:val="right"/>
              <w:rPr>
                <w:rFonts w:cs="Segoe UI"/>
                <w:b/>
                <w:szCs w:val="18"/>
              </w:rPr>
            </w:pPr>
          </w:p>
        </w:tc>
        <w:tc>
          <w:tcPr>
            <w:tcW w:w="709" w:type="dxa"/>
            <w:tcBorders>
              <w:top w:val="single" w:sz="12" w:space="0" w:color="BFBFBF" w:themeColor="background1" w:themeShade="BF"/>
            </w:tcBorders>
          </w:tcPr>
          <w:p w14:paraId="5F757C68" w14:textId="77777777" w:rsidR="00122C1B" w:rsidRPr="00C43FBE" w:rsidRDefault="00122C1B" w:rsidP="00EF3D55">
            <w:pPr>
              <w:pStyle w:val="TableParagraph"/>
              <w:spacing w:line="240" w:lineRule="auto"/>
              <w:ind w:right="57"/>
              <w:jc w:val="right"/>
              <w:rPr>
                <w:rFonts w:cs="Segoe UI"/>
                <w:b/>
                <w:szCs w:val="18"/>
              </w:rPr>
            </w:pPr>
            <w:r>
              <w:rPr>
                <w:rFonts w:cs="Segoe UI"/>
                <w:b/>
                <w:noProof/>
                <w:szCs w:val="18"/>
              </w:rPr>
              <w:t>0.00</w:t>
            </w:r>
          </w:p>
        </w:tc>
        <w:tc>
          <w:tcPr>
            <w:tcW w:w="708" w:type="dxa"/>
            <w:tcBorders>
              <w:top w:val="single" w:sz="12" w:space="0" w:color="BFBFBF" w:themeColor="background1" w:themeShade="BF"/>
            </w:tcBorders>
          </w:tcPr>
          <w:p w14:paraId="39328D4E" w14:textId="77777777" w:rsidR="00122C1B" w:rsidRPr="00C43FBE" w:rsidRDefault="00122C1B" w:rsidP="00EF3D55">
            <w:pPr>
              <w:pStyle w:val="TableParagraph"/>
              <w:spacing w:line="240" w:lineRule="auto"/>
              <w:ind w:right="57"/>
              <w:jc w:val="right"/>
              <w:rPr>
                <w:rFonts w:cs="Segoe UI"/>
                <w:b/>
                <w:noProof/>
                <w:szCs w:val="18"/>
              </w:rPr>
            </w:pPr>
          </w:p>
        </w:tc>
        <w:tc>
          <w:tcPr>
            <w:tcW w:w="709" w:type="dxa"/>
            <w:tcBorders>
              <w:top w:val="single" w:sz="12" w:space="0" w:color="BFBFBF" w:themeColor="background1" w:themeShade="BF"/>
            </w:tcBorders>
          </w:tcPr>
          <w:p w14:paraId="6363B5E9" w14:textId="77777777" w:rsidR="00122C1B" w:rsidRPr="005C2B71" w:rsidRDefault="00FF0F22" w:rsidP="00EF3D55">
            <w:pPr>
              <w:pStyle w:val="TableParagraph"/>
              <w:spacing w:line="240" w:lineRule="auto"/>
              <w:jc w:val="right"/>
              <w:rPr>
                <w:rFonts w:cs="Segoe UI"/>
                <w:b/>
                <w:color w:val="000000"/>
                <w:szCs w:val="18"/>
              </w:rPr>
            </w:pPr>
            <w:r>
              <w:rPr>
                <w:rFonts w:cs="Segoe UI"/>
                <w:b/>
                <w:color w:val="000000"/>
                <w:szCs w:val="18"/>
              </w:rPr>
              <w:t>-</w:t>
            </w:r>
            <w:r w:rsidR="00122C1B">
              <w:rPr>
                <w:rFonts w:cs="Segoe UI"/>
                <w:b/>
                <w:color w:val="000000"/>
                <w:szCs w:val="18"/>
              </w:rPr>
              <w:t>0.</w:t>
            </w:r>
            <w:r w:rsidR="00B47DEB">
              <w:rPr>
                <w:rFonts w:cs="Segoe UI"/>
                <w:b/>
                <w:color w:val="000000"/>
                <w:szCs w:val="18"/>
              </w:rPr>
              <w:t>4</w:t>
            </w:r>
            <w:r w:rsidR="00122C1B">
              <w:rPr>
                <w:rFonts w:cs="Segoe UI"/>
                <w:b/>
                <w:color w:val="000000"/>
                <w:szCs w:val="18"/>
              </w:rPr>
              <w:t>0</w:t>
            </w:r>
          </w:p>
        </w:tc>
        <w:tc>
          <w:tcPr>
            <w:tcW w:w="709" w:type="dxa"/>
            <w:tcBorders>
              <w:top w:val="single" w:sz="12" w:space="0" w:color="BFBFBF" w:themeColor="background1" w:themeShade="BF"/>
            </w:tcBorders>
          </w:tcPr>
          <w:p w14:paraId="03469DEA" w14:textId="77777777" w:rsidR="00122C1B" w:rsidRPr="00C43FBE" w:rsidRDefault="00122C1B" w:rsidP="00EF3D55">
            <w:pPr>
              <w:pStyle w:val="TableParagraph"/>
              <w:spacing w:line="240" w:lineRule="auto"/>
              <w:ind w:right="57"/>
              <w:jc w:val="right"/>
              <w:rPr>
                <w:rFonts w:cs="Segoe UI"/>
                <w:b/>
                <w:noProof/>
                <w:szCs w:val="18"/>
              </w:rPr>
            </w:pPr>
          </w:p>
        </w:tc>
        <w:tc>
          <w:tcPr>
            <w:tcW w:w="709" w:type="dxa"/>
            <w:tcBorders>
              <w:top w:val="single" w:sz="12" w:space="0" w:color="BFBFBF" w:themeColor="background1" w:themeShade="BF"/>
            </w:tcBorders>
          </w:tcPr>
          <w:p w14:paraId="4724CD8F" w14:textId="77777777" w:rsidR="00122C1B" w:rsidRPr="005C2B71" w:rsidRDefault="00122C1B" w:rsidP="00EF3D55">
            <w:pPr>
              <w:pStyle w:val="TableParagraph"/>
              <w:spacing w:line="240" w:lineRule="auto"/>
              <w:jc w:val="right"/>
              <w:rPr>
                <w:rFonts w:cs="Segoe UI"/>
                <w:b/>
                <w:color w:val="000000"/>
                <w:szCs w:val="18"/>
              </w:rPr>
            </w:pPr>
            <w:r>
              <w:rPr>
                <w:rFonts w:cs="Segoe UI"/>
                <w:b/>
                <w:color w:val="000000"/>
                <w:szCs w:val="18"/>
              </w:rPr>
              <w:t>+</w:t>
            </w:r>
            <w:r w:rsidR="008E5637">
              <w:rPr>
                <w:rFonts w:cs="Segoe UI"/>
                <w:b/>
                <w:color w:val="000000"/>
                <w:szCs w:val="18"/>
              </w:rPr>
              <w:t>1</w:t>
            </w:r>
            <w:r>
              <w:rPr>
                <w:rFonts w:cs="Segoe UI"/>
                <w:b/>
                <w:color w:val="000000"/>
                <w:szCs w:val="18"/>
              </w:rPr>
              <w:t>.</w:t>
            </w:r>
            <w:r w:rsidR="008E5637">
              <w:rPr>
                <w:rFonts w:cs="Segoe UI"/>
                <w:b/>
                <w:color w:val="000000"/>
                <w:szCs w:val="18"/>
              </w:rPr>
              <w:t>2</w:t>
            </w:r>
            <w:r>
              <w:rPr>
                <w:rFonts w:cs="Segoe UI"/>
                <w:b/>
                <w:color w:val="000000"/>
                <w:szCs w:val="18"/>
              </w:rPr>
              <w:t>0</w:t>
            </w:r>
          </w:p>
        </w:tc>
        <w:tc>
          <w:tcPr>
            <w:tcW w:w="708" w:type="dxa"/>
            <w:tcBorders>
              <w:top w:val="single" w:sz="12" w:space="0" w:color="BFBFBF" w:themeColor="background1" w:themeShade="BF"/>
            </w:tcBorders>
          </w:tcPr>
          <w:p w14:paraId="69EEBF97" w14:textId="77777777" w:rsidR="00122C1B" w:rsidRPr="005C2B71" w:rsidRDefault="00122C1B" w:rsidP="00EF3D55">
            <w:pPr>
              <w:pStyle w:val="TableParagraph"/>
              <w:spacing w:line="240" w:lineRule="auto"/>
              <w:ind w:right="57"/>
              <w:jc w:val="right"/>
              <w:rPr>
                <w:rFonts w:cs="Segoe UI"/>
                <w:b/>
                <w:noProof/>
                <w:szCs w:val="18"/>
              </w:rPr>
            </w:pPr>
          </w:p>
        </w:tc>
        <w:tc>
          <w:tcPr>
            <w:tcW w:w="709" w:type="dxa"/>
            <w:tcBorders>
              <w:top w:val="single" w:sz="12" w:space="0" w:color="BFBFBF" w:themeColor="background1" w:themeShade="BF"/>
              <w:right w:val="single" w:sz="18" w:space="0" w:color="0070C0"/>
            </w:tcBorders>
          </w:tcPr>
          <w:p w14:paraId="0738F021" w14:textId="77777777" w:rsidR="00122C1B" w:rsidRPr="005C2B71" w:rsidRDefault="00122C1B" w:rsidP="00EF3D55">
            <w:pPr>
              <w:pStyle w:val="TableParagraph"/>
              <w:spacing w:line="240" w:lineRule="auto"/>
              <w:jc w:val="right"/>
              <w:rPr>
                <w:rFonts w:cs="Segoe UI"/>
                <w:b/>
                <w:color w:val="000000"/>
                <w:szCs w:val="18"/>
              </w:rPr>
            </w:pPr>
            <w:r>
              <w:rPr>
                <w:rFonts w:cs="Segoe UI"/>
                <w:b/>
                <w:color w:val="000000"/>
                <w:szCs w:val="18"/>
              </w:rPr>
              <w:t>+0.80</w:t>
            </w:r>
          </w:p>
        </w:tc>
        <w:tc>
          <w:tcPr>
            <w:tcW w:w="709" w:type="dxa"/>
            <w:tcBorders>
              <w:top w:val="single" w:sz="12" w:space="0" w:color="BFBFBF" w:themeColor="background1" w:themeShade="BF"/>
              <w:left w:val="single" w:sz="18" w:space="0" w:color="0070C0"/>
              <w:bottom w:val="single" w:sz="18" w:space="0" w:color="0070C0"/>
            </w:tcBorders>
          </w:tcPr>
          <w:p w14:paraId="2E60E786" w14:textId="77777777" w:rsidR="00122C1B" w:rsidRPr="00C43FBE" w:rsidRDefault="00122C1B" w:rsidP="00EF3D55">
            <w:pPr>
              <w:pStyle w:val="TableParagraph"/>
              <w:spacing w:line="240" w:lineRule="auto"/>
              <w:ind w:right="57"/>
              <w:jc w:val="right"/>
              <w:rPr>
                <w:rFonts w:cs="Segoe UI"/>
                <w:b/>
                <w:noProof/>
                <w:szCs w:val="18"/>
              </w:rPr>
            </w:pPr>
          </w:p>
        </w:tc>
        <w:tc>
          <w:tcPr>
            <w:tcW w:w="850" w:type="dxa"/>
            <w:tcBorders>
              <w:top w:val="single" w:sz="12" w:space="0" w:color="BFBFBF" w:themeColor="background1" w:themeShade="BF"/>
              <w:bottom w:val="single" w:sz="18" w:space="0" w:color="0070C0"/>
              <w:right w:val="single" w:sz="18" w:space="0" w:color="0070C0"/>
            </w:tcBorders>
          </w:tcPr>
          <w:p w14:paraId="569EC8BC" w14:textId="77777777" w:rsidR="00122C1B" w:rsidRPr="005C2B71" w:rsidRDefault="00122C1B" w:rsidP="00EF3D55">
            <w:pPr>
              <w:pStyle w:val="TableParagraph"/>
              <w:spacing w:line="240" w:lineRule="auto"/>
              <w:jc w:val="right"/>
              <w:rPr>
                <w:rFonts w:cs="Segoe UI"/>
                <w:b/>
                <w:color w:val="000000"/>
                <w:szCs w:val="18"/>
              </w:rPr>
            </w:pPr>
            <w:r>
              <w:rPr>
                <w:rFonts w:cs="Segoe UI"/>
                <w:b/>
                <w:color w:val="000000"/>
                <w:szCs w:val="18"/>
              </w:rPr>
              <w:t>+1</w:t>
            </w:r>
            <w:r w:rsidRPr="005C2B71">
              <w:rPr>
                <w:rFonts w:cs="Segoe UI"/>
                <w:b/>
                <w:color w:val="000000"/>
                <w:szCs w:val="18"/>
              </w:rPr>
              <w:t>.</w:t>
            </w:r>
            <w:r>
              <w:rPr>
                <w:rFonts w:cs="Segoe UI"/>
                <w:b/>
                <w:color w:val="000000"/>
                <w:szCs w:val="18"/>
              </w:rPr>
              <w:t>85</w:t>
            </w:r>
          </w:p>
        </w:tc>
      </w:tr>
    </w:tbl>
    <w:p w14:paraId="04C2DFCC" w14:textId="77777777" w:rsidR="00122C1B" w:rsidRDefault="00122C1B" w:rsidP="00EA637D">
      <w:pPr>
        <w:pStyle w:val="Heading4"/>
      </w:pPr>
      <w:r>
        <w:lastRenderedPageBreak/>
        <w:t>Options analysis</w:t>
      </w:r>
    </w:p>
    <w:p w14:paraId="431035C7" w14:textId="750C22A7" w:rsidR="00122C1B" w:rsidRPr="00C43FBE" w:rsidRDefault="00122C1B" w:rsidP="00DA40E0">
      <w:pPr>
        <w:pStyle w:val="TextPara"/>
      </w:pPr>
      <w:r>
        <w:t xml:space="preserve">Each of the four options was </w:t>
      </w:r>
      <w:r w:rsidRPr="00C43FBE">
        <w:t xml:space="preserve">assessed against </w:t>
      </w:r>
      <w:r>
        <w:t xml:space="preserve">the </w:t>
      </w:r>
      <w:r w:rsidR="00210C8F">
        <w:t xml:space="preserve">reference point provided by the NDLS </w:t>
      </w:r>
      <w:r w:rsidR="0092317F">
        <w:t xml:space="preserve">and </w:t>
      </w:r>
      <w:r w:rsidR="0092317F" w:rsidRPr="0092317F">
        <w:rPr>
          <w:i/>
        </w:rPr>
        <w:t>RSA</w:t>
      </w:r>
      <w:r w:rsidR="0092317F">
        <w:t xml:space="preserve"> </w:t>
      </w:r>
      <w:r>
        <w:t xml:space="preserve">applying </w:t>
      </w:r>
      <w:r w:rsidRPr="00C43FBE">
        <w:t xml:space="preserve">the </w:t>
      </w:r>
      <w:r>
        <w:t>six</w:t>
      </w:r>
      <w:r w:rsidRPr="00C43FBE">
        <w:t xml:space="preserve"> criteria defined in </w:t>
      </w:r>
      <w:r w:rsidR="00740045" w:rsidRPr="00C43FBE">
        <w:t xml:space="preserve">section </w:t>
      </w:r>
      <w:r>
        <w:fldChar w:fldCharType="begin"/>
      </w:r>
      <w:r>
        <w:instrText xml:space="preserve"> REF _Ref506558844 \r \h </w:instrText>
      </w:r>
      <w:r>
        <w:fldChar w:fldCharType="separate"/>
      </w:r>
      <w:r w:rsidR="00EB4B02">
        <w:t>2.5.3.1</w:t>
      </w:r>
      <w:r>
        <w:fldChar w:fldCharType="end"/>
      </w:r>
      <w:r w:rsidRPr="00C43FBE">
        <w:t xml:space="preserve"> above, namely</w:t>
      </w:r>
      <w:r>
        <w:t>,</w:t>
      </w:r>
      <w:r w:rsidRPr="00C43FBE">
        <w:t xml:space="preserve"> </w:t>
      </w:r>
      <w:r>
        <w:t xml:space="preserve">on the benefits side: </w:t>
      </w:r>
      <w:r w:rsidRPr="00155EAD">
        <w:rPr>
          <w:i/>
        </w:rPr>
        <w:t>safety</w:t>
      </w:r>
      <w:r w:rsidRPr="00C43FBE">
        <w:t xml:space="preserve">, </w:t>
      </w:r>
      <w:r w:rsidRPr="00155EAD">
        <w:rPr>
          <w:i/>
        </w:rPr>
        <w:t>equity</w:t>
      </w:r>
      <w:r w:rsidRPr="00C43FBE">
        <w:t xml:space="preserve"> and </w:t>
      </w:r>
      <w:r w:rsidRPr="00155EAD">
        <w:rPr>
          <w:i/>
        </w:rPr>
        <w:t>effectiveness</w:t>
      </w:r>
      <w:r>
        <w:t xml:space="preserve">; and on the cost side: </w:t>
      </w:r>
      <w:r w:rsidRPr="00155EAD">
        <w:rPr>
          <w:i/>
        </w:rPr>
        <w:t>cost to government</w:t>
      </w:r>
      <w:r>
        <w:rPr>
          <w:i/>
        </w:rPr>
        <w:t>,</w:t>
      </w:r>
      <w:r>
        <w:t xml:space="preserve"> </w:t>
      </w:r>
      <w:r w:rsidRPr="00155EAD">
        <w:rPr>
          <w:i/>
        </w:rPr>
        <w:t>cost to community</w:t>
      </w:r>
      <w:r>
        <w:t xml:space="preserve"> and </w:t>
      </w:r>
      <w:r w:rsidR="00313909">
        <w:rPr>
          <w:i/>
        </w:rPr>
        <w:t>complex</w:t>
      </w:r>
      <w:r w:rsidR="00313909" w:rsidRPr="00155EAD">
        <w:rPr>
          <w:i/>
        </w:rPr>
        <w:t>ity</w:t>
      </w:r>
      <w:r>
        <w:rPr>
          <w:i/>
        </w:rPr>
        <w:t>.</w:t>
      </w:r>
    </w:p>
    <w:p w14:paraId="5FEBF4A0" w14:textId="77777777" w:rsidR="00122C1B" w:rsidRDefault="00122C1B" w:rsidP="00DA40E0">
      <w:pPr>
        <w:pStyle w:val="NoSpacing"/>
      </w:pPr>
      <w:r>
        <w:t>Safety</w:t>
      </w:r>
    </w:p>
    <w:p w14:paraId="7A147616" w14:textId="77777777" w:rsidR="00122C1B" w:rsidRDefault="00122C1B" w:rsidP="00DA40E0">
      <w:pPr>
        <w:pStyle w:val="TextPara"/>
      </w:pPr>
      <w:r>
        <w:t xml:space="preserve">From a road safety perspective, </w:t>
      </w:r>
      <w:r w:rsidRPr="0031168A">
        <w:t xml:space="preserve">there is no evidence to suggest that having a </w:t>
      </w:r>
      <w:r>
        <w:t>six</w:t>
      </w:r>
      <w:r w:rsidRPr="0031168A">
        <w:t xml:space="preserve">-month conversion period </w:t>
      </w:r>
      <w:r w:rsidRPr="004A52B1">
        <w:t>currently allowed for permanent resident visa holders presents an unacceptable safety risk to other road users, compared to a three-month period</w:t>
      </w:r>
      <w:r w:rsidRPr="00D74339">
        <w:t>. There is no reason why the same would not to apply to temporary visa holders</w:t>
      </w:r>
      <w:r w:rsidRPr="004A52B1">
        <w:t>.</w:t>
      </w:r>
      <w:r w:rsidR="002F460D">
        <w:t xml:space="preserve"> </w:t>
      </w:r>
      <w:r w:rsidR="005F03E4">
        <w:t xml:space="preserve">Bringing </w:t>
      </w:r>
      <w:r w:rsidR="002F460D">
        <w:t xml:space="preserve">permanent and temporary visa holders </w:t>
      </w:r>
      <w:r w:rsidR="005F03E4">
        <w:t xml:space="preserve">earlier into the Victorian licensing system </w:t>
      </w:r>
      <w:r w:rsidR="00EC5FE1">
        <w:t>facilitates</w:t>
      </w:r>
      <w:r w:rsidR="005F03E4">
        <w:t xml:space="preserve"> more effective enforcement </w:t>
      </w:r>
      <w:r w:rsidR="00992A98">
        <w:t xml:space="preserve">of road rules </w:t>
      </w:r>
      <w:r w:rsidR="005F03E4">
        <w:t>through confirmed identity of overseas drivers</w:t>
      </w:r>
      <w:r w:rsidR="00EC5FE1">
        <w:t xml:space="preserve"> and</w:t>
      </w:r>
      <w:r w:rsidR="00992A98">
        <w:t xml:space="preserve"> </w:t>
      </w:r>
      <w:r w:rsidR="00992A98" w:rsidRPr="004A52B1">
        <w:t>managing their driving behaviou</w:t>
      </w:r>
      <w:r w:rsidR="00992A98">
        <w:t>r</w:t>
      </w:r>
      <w:r w:rsidR="00EC5FE1">
        <w:t xml:space="preserve"> </w:t>
      </w:r>
      <w:r w:rsidR="00992A98">
        <w:t>(</w:t>
      </w:r>
      <w:r w:rsidR="00EC5FE1">
        <w:t>imposition of alcohol interlocks in cases of drink-driving offences</w:t>
      </w:r>
      <w:r w:rsidR="00992A98">
        <w:t>)</w:t>
      </w:r>
      <w:r w:rsidR="00EC5FE1">
        <w:t>.</w:t>
      </w:r>
      <w:r w:rsidRPr="004A52B1">
        <w:t xml:space="preserve"> </w:t>
      </w:r>
      <w:r w:rsidR="00C50F1E" w:rsidRPr="004A52B1">
        <w:t>Up to about 20,000 temporary resident visa holders would be affected.</w:t>
      </w:r>
    </w:p>
    <w:p w14:paraId="7E0333A2" w14:textId="77777777" w:rsidR="00122C1B" w:rsidRDefault="00122C1B" w:rsidP="005F31E8">
      <w:pPr>
        <w:pStyle w:val="TextPara"/>
      </w:pPr>
      <w:r>
        <w:t xml:space="preserve">Option 3 was scored </w:t>
      </w:r>
      <w:r w:rsidRPr="000002AD">
        <w:rPr>
          <w:i/>
        </w:rPr>
        <w:t>moderate positive</w:t>
      </w:r>
      <w:r>
        <w:t xml:space="preserve"> (+5) as </w:t>
      </w:r>
      <w:r w:rsidRPr="007837A5">
        <w:t>temporary visa holders</w:t>
      </w:r>
      <w:r>
        <w:t xml:space="preserve"> are required to convert their overseas licence, which </w:t>
      </w:r>
      <w:r w:rsidRPr="007837A5">
        <w:t>bring</w:t>
      </w:r>
      <w:r>
        <w:t>s</w:t>
      </w:r>
      <w:r w:rsidRPr="007837A5">
        <w:t xml:space="preserve"> them within the </w:t>
      </w:r>
      <w:r>
        <w:t xml:space="preserve">Victorian licensing </w:t>
      </w:r>
      <w:r w:rsidRPr="007837A5">
        <w:t>system</w:t>
      </w:r>
      <w:r>
        <w:t xml:space="preserve"> </w:t>
      </w:r>
      <w:r w:rsidR="00E65324">
        <w:t>rather</w:t>
      </w:r>
      <w:r w:rsidR="004A52B1">
        <w:t xml:space="preserve"> than </w:t>
      </w:r>
      <w:r w:rsidR="00E65324">
        <w:t xml:space="preserve">exempting them as per </w:t>
      </w:r>
      <w:r w:rsidR="004A52B1">
        <w:t>the reference point of the NDLS.</w:t>
      </w:r>
      <w:r>
        <w:t xml:space="preserve"> </w:t>
      </w:r>
      <w:r w:rsidR="005F31E8">
        <w:t xml:space="preserve">These drivers are required to convert to a Victorian licence within the same period as the permanent visa holders and interstate drivers as </w:t>
      </w:r>
      <w:r w:rsidR="006867F6">
        <w:t xml:space="preserve">stated in </w:t>
      </w:r>
      <w:r w:rsidR="005F31E8">
        <w:t>the NDLS (three months)</w:t>
      </w:r>
      <w:r w:rsidR="00817BB6">
        <w:t>.</w:t>
      </w:r>
      <w:r w:rsidR="005F31E8">
        <w:t xml:space="preserve"> </w:t>
      </w:r>
      <w:r w:rsidR="006867F6">
        <w:t>Requiring all overseas and interstate drivers to convert to a Victorian licence ensures certainty of identity for enforcement purposes</w:t>
      </w:r>
      <w:r w:rsidR="002A0FE8">
        <w:t>.</w:t>
      </w:r>
      <w:r w:rsidR="005F31E8" w:rsidRPr="002A0FE8" w:rsidDel="005F31E8">
        <w:t xml:space="preserve"> </w:t>
      </w:r>
      <w:r w:rsidR="002A0FE8" w:rsidRPr="002A0FE8">
        <w:t xml:space="preserve">A three months </w:t>
      </w:r>
      <w:r w:rsidR="00817BB6">
        <w:t xml:space="preserve">licence </w:t>
      </w:r>
      <w:r w:rsidR="002A0FE8" w:rsidRPr="002A0FE8">
        <w:t>conversion period</w:t>
      </w:r>
      <w:r w:rsidR="002A0FE8">
        <w:t xml:space="preserve"> provides earl</w:t>
      </w:r>
      <w:r w:rsidR="007203D1">
        <w:t>y</w:t>
      </w:r>
      <w:r w:rsidR="002A0FE8">
        <w:t xml:space="preserve"> certainty of identity.</w:t>
      </w:r>
      <w:r w:rsidR="002A0FE8" w:rsidRPr="002A0FE8">
        <w:t xml:space="preserve"> </w:t>
      </w:r>
    </w:p>
    <w:p w14:paraId="5BE0C19D" w14:textId="77777777" w:rsidR="00122C1B" w:rsidRDefault="00122C1B" w:rsidP="005F31E8">
      <w:pPr>
        <w:pStyle w:val="TextPara"/>
      </w:pPr>
      <w:r>
        <w:t xml:space="preserve">Options 2 and 4 were scored </w:t>
      </w:r>
      <w:r w:rsidRPr="000002AD">
        <w:rPr>
          <w:i/>
        </w:rPr>
        <w:t>small positive</w:t>
      </w:r>
      <w:r>
        <w:t xml:space="preserve"> (+3) because, while </w:t>
      </w:r>
      <w:r w:rsidRPr="007837A5">
        <w:t>temporary visa holders</w:t>
      </w:r>
      <w:r>
        <w:t xml:space="preserve"> are required to convert their overseas licence, they are brought into</w:t>
      </w:r>
      <w:r w:rsidRPr="007837A5">
        <w:t xml:space="preserve"> the </w:t>
      </w:r>
      <w:r>
        <w:t xml:space="preserve">Victorian licensing </w:t>
      </w:r>
      <w:r w:rsidRPr="007837A5">
        <w:t>system</w:t>
      </w:r>
      <w:r>
        <w:t xml:space="preserve"> within six months, which poses a low risk of delay in </w:t>
      </w:r>
      <w:r w:rsidR="005F31E8">
        <w:t xml:space="preserve">effective </w:t>
      </w:r>
      <w:r>
        <w:t>enforcement.</w:t>
      </w:r>
    </w:p>
    <w:p w14:paraId="5870964D" w14:textId="77777777" w:rsidR="00122C1B" w:rsidRDefault="00122C1B" w:rsidP="00DA40E0">
      <w:pPr>
        <w:pStyle w:val="TextPara"/>
      </w:pPr>
      <w:r>
        <w:t xml:space="preserve">Option 1 was scored </w:t>
      </w:r>
      <w:r w:rsidR="00A56705">
        <w:rPr>
          <w:i/>
        </w:rPr>
        <w:t>insignificant</w:t>
      </w:r>
      <w:r w:rsidR="00FF0F22">
        <w:rPr>
          <w:i/>
        </w:rPr>
        <w:t xml:space="preserve"> nega</w:t>
      </w:r>
      <w:r w:rsidR="00FF0F22" w:rsidRPr="000002AD">
        <w:rPr>
          <w:i/>
        </w:rPr>
        <w:t>tive</w:t>
      </w:r>
      <w:r w:rsidR="00FF0F22">
        <w:t xml:space="preserve"> (-1) because</w:t>
      </w:r>
      <w:r w:rsidR="00A56705">
        <w:t>,</w:t>
      </w:r>
      <w:r w:rsidR="00FF0F22">
        <w:t xml:space="preserve"> </w:t>
      </w:r>
      <w:r w:rsidR="00A56705">
        <w:t xml:space="preserve">although it has </w:t>
      </w:r>
      <w:r>
        <w:t xml:space="preserve">the same </w:t>
      </w:r>
      <w:r w:rsidR="00A56705">
        <w:t xml:space="preserve">conversion cohort </w:t>
      </w:r>
      <w:r>
        <w:t xml:space="preserve">as the </w:t>
      </w:r>
      <w:r w:rsidR="00210C8F">
        <w:t>reference point of the NDLS</w:t>
      </w:r>
      <w:r w:rsidR="00A56705" w:rsidRPr="00D611E1">
        <w:t>,</w:t>
      </w:r>
      <w:r w:rsidR="00210C8F">
        <w:t xml:space="preserve"> </w:t>
      </w:r>
      <w:r w:rsidR="00A56705">
        <w:t xml:space="preserve">it allows permanent visa holders </w:t>
      </w:r>
      <w:r w:rsidR="00BF0AD0">
        <w:t>six</w:t>
      </w:r>
      <w:r w:rsidR="00A56705">
        <w:t xml:space="preserve"> months to convert which poses a low risk of delay in effective enforcement for this group</w:t>
      </w:r>
      <w:r w:rsidRPr="00241B31">
        <w:t>.</w:t>
      </w:r>
    </w:p>
    <w:p w14:paraId="7242E1E2" w14:textId="77777777" w:rsidR="00122C1B" w:rsidRDefault="00122C1B" w:rsidP="00DA40E0">
      <w:pPr>
        <w:pStyle w:val="NoSpacing"/>
      </w:pPr>
      <w:r>
        <w:t>Equity</w:t>
      </w:r>
    </w:p>
    <w:p w14:paraId="0AE09A1C" w14:textId="77777777" w:rsidR="00122C1B" w:rsidRDefault="00122C1B" w:rsidP="00DA40E0">
      <w:pPr>
        <w:pStyle w:val="TextPara"/>
      </w:pPr>
      <w:r>
        <w:t>In terms of equity, Options 3 and 4 were scored equally high (</w:t>
      </w:r>
      <w:r w:rsidRPr="00D611E1">
        <w:rPr>
          <w:i/>
        </w:rPr>
        <w:t>moderate positive</w:t>
      </w:r>
      <w:r>
        <w:t xml:space="preserve"> +5), because under both Options, the </w:t>
      </w:r>
      <w:r w:rsidRPr="006D5691">
        <w:t xml:space="preserve">holders </w:t>
      </w:r>
      <w:r>
        <w:t xml:space="preserve">of interstate, New Zealand and overseas licences (including both </w:t>
      </w:r>
      <w:r w:rsidRPr="006D5691">
        <w:t xml:space="preserve">temporary </w:t>
      </w:r>
      <w:r>
        <w:t>and</w:t>
      </w:r>
      <w:r w:rsidRPr="006D5691">
        <w:t xml:space="preserve"> permanent </w:t>
      </w:r>
      <w:r>
        <w:t xml:space="preserve">residence </w:t>
      </w:r>
      <w:r w:rsidRPr="006D5691">
        <w:t>visa</w:t>
      </w:r>
      <w:r>
        <w:t xml:space="preserve"> holders)</w:t>
      </w:r>
      <w:r w:rsidRPr="006D5691">
        <w:t xml:space="preserve"> </w:t>
      </w:r>
      <w:r>
        <w:t>are treated in the same way for the purposes of driving licence conversion</w:t>
      </w:r>
      <w:r w:rsidRPr="006D5691">
        <w:t>.</w:t>
      </w:r>
      <w:r>
        <w:t xml:space="preserve"> </w:t>
      </w:r>
      <w:r w:rsidR="00D611E1">
        <w:t xml:space="preserve">All cohorts of drivers are treated the same unlike </w:t>
      </w:r>
      <w:r w:rsidR="00ED0F3D">
        <w:t xml:space="preserve">under </w:t>
      </w:r>
      <w:r w:rsidR="00D611E1">
        <w:t>the reference point of the NDLS</w:t>
      </w:r>
      <w:r w:rsidR="00ED0F3D">
        <w:t xml:space="preserve"> which exempts temporary visa holders from the requirement to convert their overseas licence.</w:t>
      </w:r>
    </w:p>
    <w:p w14:paraId="6584D326" w14:textId="77777777" w:rsidR="00122C1B" w:rsidRDefault="00122C1B" w:rsidP="00DA40E0">
      <w:pPr>
        <w:pStyle w:val="TextPara"/>
      </w:pPr>
      <w:r w:rsidRPr="006D5691">
        <w:t xml:space="preserve">Option </w:t>
      </w:r>
      <w:r>
        <w:t>2 was scored lower (</w:t>
      </w:r>
      <w:r w:rsidRPr="00D611E1">
        <w:rPr>
          <w:i/>
        </w:rPr>
        <w:t>small positive</w:t>
      </w:r>
      <w:r>
        <w:t xml:space="preserve"> +3) </w:t>
      </w:r>
      <w:r w:rsidR="00BA74E6">
        <w:t xml:space="preserve">as compared with the reference point of the NDLS </w:t>
      </w:r>
      <w:r>
        <w:t>because</w:t>
      </w:r>
      <w:r w:rsidR="006033B9">
        <w:t>,</w:t>
      </w:r>
      <w:r>
        <w:t xml:space="preserve"> </w:t>
      </w:r>
      <w:r w:rsidR="00ED0F3D">
        <w:t>while all cohorts of drivers are required to convert their non-Victorian licence, the conversion period varies across cohorts</w:t>
      </w:r>
      <w:r w:rsidR="006033B9">
        <w:t>.</w:t>
      </w:r>
      <w:r w:rsidR="00ED0F3D">
        <w:t xml:space="preserve"> </w:t>
      </w:r>
      <w:r w:rsidR="006033B9">
        <w:t xml:space="preserve">Interstate </w:t>
      </w:r>
      <w:r>
        <w:t xml:space="preserve">and New Zealand driver licence holders have </w:t>
      </w:r>
      <w:r w:rsidR="006033B9">
        <w:t>a shorter period</w:t>
      </w:r>
      <w:r>
        <w:t xml:space="preserve"> (three months) to convert compared with other overseas drivers (six months).</w:t>
      </w:r>
    </w:p>
    <w:p w14:paraId="33A554BD" w14:textId="77777777" w:rsidR="00122C1B" w:rsidRDefault="00122C1B" w:rsidP="00DA40E0">
      <w:pPr>
        <w:pStyle w:val="TextPara"/>
      </w:pPr>
      <w:r>
        <w:t>Option 1 was scored lowest (</w:t>
      </w:r>
      <w:r w:rsidRPr="00D611E1">
        <w:rPr>
          <w:i/>
        </w:rPr>
        <w:t xml:space="preserve">insignificant </w:t>
      </w:r>
      <w:r w:rsidR="00B47DEB">
        <w:rPr>
          <w:i/>
        </w:rPr>
        <w:t>negative</w:t>
      </w:r>
      <w:r w:rsidR="00B47DEB">
        <w:t xml:space="preserve"> -</w:t>
      </w:r>
      <w:r>
        <w:t xml:space="preserve">1) as compared with the </w:t>
      </w:r>
      <w:r w:rsidR="000450BB">
        <w:t xml:space="preserve">NDLS </w:t>
      </w:r>
      <w:r w:rsidR="00740045">
        <w:t>because</w:t>
      </w:r>
      <w:r w:rsidR="00042ACA">
        <w:t>, although it applies to the same cohorts of drivers,</w:t>
      </w:r>
      <w:r>
        <w:t xml:space="preserve"> it provides </w:t>
      </w:r>
      <w:r w:rsidR="00D74339">
        <w:t xml:space="preserve">permanent </w:t>
      </w:r>
      <w:r>
        <w:t xml:space="preserve">visa holders </w:t>
      </w:r>
      <w:r w:rsidR="00042ACA">
        <w:t>with a period of</w:t>
      </w:r>
      <w:r>
        <w:t xml:space="preserve"> six months from arrival in Australia to convert to a Victorian licence</w:t>
      </w:r>
      <w:r w:rsidR="006F6592">
        <w:t>.</w:t>
      </w:r>
      <w:r w:rsidR="00D74339">
        <w:t xml:space="preserve"> </w:t>
      </w:r>
      <w:r w:rsidR="00B47DEB">
        <w:t xml:space="preserve">This </w:t>
      </w:r>
      <w:r w:rsidR="00EE33D1">
        <w:t>provides</w:t>
      </w:r>
      <w:r w:rsidR="00042ACA">
        <w:t xml:space="preserve"> the permanent visa holders </w:t>
      </w:r>
      <w:r w:rsidR="00EE33D1">
        <w:t xml:space="preserve">with a longer period </w:t>
      </w:r>
      <w:r w:rsidR="0099691E">
        <w:t>of exemption from getting a Victorian licence</w:t>
      </w:r>
      <w:r w:rsidR="00D91B60">
        <w:t xml:space="preserve"> </w:t>
      </w:r>
      <w:r w:rsidR="00042ACA">
        <w:t xml:space="preserve">compared to the </w:t>
      </w:r>
      <w:r w:rsidR="00D74339">
        <w:t xml:space="preserve">interstate </w:t>
      </w:r>
      <w:r w:rsidR="006F6592">
        <w:t xml:space="preserve">and New Zealand </w:t>
      </w:r>
      <w:r w:rsidR="00D74339">
        <w:t>drivers</w:t>
      </w:r>
      <w:r w:rsidR="00EE33D1">
        <w:t>, who are exempted for only three months</w:t>
      </w:r>
      <w:r w:rsidR="006F6592">
        <w:t>.</w:t>
      </w:r>
    </w:p>
    <w:p w14:paraId="68B09AC5" w14:textId="77777777" w:rsidR="00122C1B" w:rsidRDefault="00122C1B" w:rsidP="00DA40E0">
      <w:pPr>
        <w:pStyle w:val="NoSpacing"/>
      </w:pPr>
      <w:r>
        <w:t>Effectiveness</w:t>
      </w:r>
    </w:p>
    <w:p w14:paraId="5A2E55AD" w14:textId="77777777" w:rsidR="00740045" w:rsidRDefault="00122C1B" w:rsidP="00DA40E0">
      <w:pPr>
        <w:pStyle w:val="TextPara"/>
      </w:pPr>
      <w:r>
        <w:t xml:space="preserve">Option 4 was scored </w:t>
      </w:r>
      <w:r w:rsidRPr="00B97C9B">
        <w:rPr>
          <w:i/>
        </w:rPr>
        <w:t>strong positive</w:t>
      </w:r>
      <w:r>
        <w:t xml:space="preserve"> (+10) because all interstate and overseas licence holders are required to convert to a Victorian licence within a six-month residency timeframe. T</w:t>
      </w:r>
      <w:r w:rsidRPr="006D5691">
        <w:t xml:space="preserve">he </w:t>
      </w:r>
      <w:r>
        <w:t>authorisation</w:t>
      </w:r>
      <w:r w:rsidRPr="006D5691">
        <w:t xml:space="preserve"> period of </w:t>
      </w:r>
      <w:r>
        <w:t>six</w:t>
      </w:r>
      <w:r w:rsidRPr="006D5691">
        <w:t xml:space="preserve"> months</w:t>
      </w:r>
      <w:r>
        <w:t xml:space="preserve"> applicable to all interstate and overseas permanent and temporary resident drivers</w:t>
      </w:r>
      <w:r w:rsidRPr="006D5691">
        <w:t xml:space="preserve"> </w:t>
      </w:r>
      <w:r>
        <w:t xml:space="preserve">is based on </w:t>
      </w:r>
      <w:r>
        <w:lastRenderedPageBreak/>
        <w:t xml:space="preserve">residency (instead of the date of issue of </w:t>
      </w:r>
      <w:r w:rsidR="00B424F9">
        <w:t xml:space="preserve">the </w:t>
      </w:r>
      <w:r>
        <w:t>visa or date of arrival in Australia in the case of overseas drivers).</w:t>
      </w:r>
    </w:p>
    <w:p w14:paraId="3E99AD15" w14:textId="77777777" w:rsidR="00122C1B" w:rsidRDefault="000C33B0" w:rsidP="00DA40E0">
      <w:pPr>
        <w:pStyle w:val="TextPara"/>
      </w:pPr>
      <w:r>
        <w:t>DoT</w:t>
      </w:r>
      <w:r w:rsidR="00122C1B">
        <w:t xml:space="preserve"> considers a six-month period to be more reasonable for o</w:t>
      </w:r>
      <w:r w:rsidR="00122C1B" w:rsidRPr="006D5691">
        <w:t>verseas drivers</w:t>
      </w:r>
      <w:r w:rsidR="00122C1B">
        <w:t>,</w:t>
      </w:r>
      <w:r w:rsidR="00122C1B" w:rsidRPr="006D5691">
        <w:t xml:space="preserve"> </w:t>
      </w:r>
      <w:r w:rsidR="00122C1B">
        <w:t>who are required to sit for hazard perception, road rules and drive tests, as it</w:t>
      </w:r>
      <w:r w:rsidR="00122C1B" w:rsidRPr="006D5691">
        <w:t xml:space="preserve"> provides </w:t>
      </w:r>
      <w:r w:rsidR="00122C1B">
        <w:t xml:space="preserve">them with </w:t>
      </w:r>
      <w:r w:rsidR="00122C1B" w:rsidRPr="006D5691">
        <w:t xml:space="preserve">sufficient time for (a) performing other higher priority tasks that settling in Victoria necessitates and (b) the lead times for </w:t>
      </w:r>
      <w:r w:rsidR="00122C1B">
        <w:t xml:space="preserve">any assessment </w:t>
      </w:r>
      <w:r w:rsidR="00122C1B" w:rsidRPr="006D5691">
        <w:t xml:space="preserve">preparation and booking </w:t>
      </w:r>
      <w:r w:rsidR="00122C1B">
        <w:t>lead times.</w:t>
      </w:r>
      <w:r w:rsidR="00122C1B" w:rsidRPr="006D5691">
        <w:t xml:space="preserve"> </w:t>
      </w:r>
      <w:r>
        <w:t>DoT</w:t>
      </w:r>
      <w:r w:rsidR="00122C1B">
        <w:t xml:space="preserve"> considers i</w:t>
      </w:r>
      <w:r w:rsidR="00122C1B" w:rsidRPr="006D5691">
        <w:t xml:space="preserve">t </w:t>
      </w:r>
      <w:r w:rsidR="00122C1B">
        <w:t>important to allow these drivers adequate</w:t>
      </w:r>
      <w:r w:rsidR="00122C1B" w:rsidRPr="006D5691">
        <w:t xml:space="preserve"> time </w:t>
      </w:r>
      <w:r w:rsidR="00122C1B">
        <w:t xml:space="preserve">for assessment preparation so that an applicant can </w:t>
      </w:r>
      <w:r w:rsidR="00122C1B" w:rsidRPr="006D5691">
        <w:t xml:space="preserve">acclimatise to </w:t>
      </w:r>
      <w:r w:rsidR="00122C1B">
        <w:t xml:space="preserve">Victorian </w:t>
      </w:r>
      <w:r w:rsidR="00122C1B" w:rsidRPr="006D5691">
        <w:t>driving conditions, understand assessment requirements</w:t>
      </w:r>
      <w:r w:rsidR="00122C1B">
        <w:t xml:space="preserve"> and criteria</w:t>
      </w:r>
      <w:r w:rsidR="001143F5">
        <w:t>,</w:t>
      </w:r>
      <w:r w:rsidR="00122C1B">
        <w:t xml:space="preserve"> and undertake driving lessons if required. The additional time also allows a person time to re-sit any assessments they may fail. Option 4 facilitates a </w:t>
      </w:r>
      <w:r w:rsidR="00B91CE4">
        <w:t xml:space="preserve">much </w:t>
      </w:r>
      <w:r w:rsidR="00122C1B">
        <w:t xml:space="preserve">higher rate of compliance than the </w:t>
      </w:r>
      <w:r w:rsidR="00B424F9">
        <w:t>NDLS</w:t>
      </w:r>
      <w:r w:rsidR="00122C1B">
        <w:t xml:space="preserve"> as it provides </w:t>
      </w:r>
      <w:r w:rsidR="001D6077">
        <w:t>a</w:t>
      </w:r>
      <w:r w:rsidR="00122C1B">
        <w:t xml:space="preserve"> </w:t>
      </w:r>
      <w:r w:rsidR="001D6077">
        <w:t xml:space="preserve">more </w:t>
      </w:r>
      <w:r w:rsidR="00122C1B">
        <w:t xml:space="preserve">reasonable </w:t>
      </w:r>
      <w:r w:rsidR="00B91CE4">
        <w:t>timeframe</w:t>
      </w:r>
      <w:r w:rsidR="00122C1B">
        <w:t xml:space="preserve"> for </w:t>
      </w:r>
      <w:r w:rsidR="00EC2E81">
        <w:t xml:space="preserve">both </w:t>
      </w:r>
      <w:r w:rsidR="00122C1B">
        <w:t xml:space="preserve">interstate and overseas drivers to comply with the proposed regulation. </w:t>
      </w:r>
      <w:r w:rsidR="00A801F2">
        <w:t>Setting a six-</w:t>
      </w:r>
      <w:r w:rsidR="004C695F">
        <w:t xml:space="preserve">month exemption period based on residency ensures that </w:t>
      </w:r>
      <w:r w:rsidR="00B912D5">
        <w:t>visitors</w:t>
      </w:r>
      <w:r w:rsidR="000B204B">
        <w:t xml:space="preserve"> who </w:t>
      </w:r>
      <w:r w:rsidR="004C695F">
        <w:t xml:space="preserve">have no intention to reside in Victoria </w:t>
      </w:r>
      <w:r w:rsidR="00A801F2">
        <w:t>are excluded from this requirement.</w:t>
      </w:r>
    </w:p>
    <w:p w14:paraId="2891D34D" w14:textId="77777777" w:rsidR="00122C1B" w:rsidRDefault="00122C1B" w:rsidP="00DA40E0">
      <w:pPr>
        <w:pStyle w:val="TextPara"/>
      </w:pPr>
      <w:r>
        <w:t xml:space="preserve">Options 2 was scored </w:t>
      </w:r>
      <w:r w:rsidRPr="00B97C9B">
        <w:rPr>
          <w:i/>
        </w:rPr>
        <w:t>moderate positive</w:t>
      </w:r>
      <w:r>
        <w:t xml:space="preserve"> (+5) because</w:t>
      </w:r>
      <w:r w:rsidR="00B95382">
        <w:t xml:space="preserve"> </w:t>
      </w:r>
      <w:r>
        <w:t xml:space="preserve">all interstate and overseas licence holders are required to convert to a Victorian licence but within different timeframes. </w:t>
      </w:r>
      <w:r w:rsidR="00B61765">
        <w:t xml:space="preserve">Under the NDLS, temporary visa holders are indefinitely exempt. </w:t>
      </w:r>
      <w:r>
        <w:t xml:space="preserve">While </w:t>
      </w:r>
      <w:r w:rsidR="005D4D0A">
        <w:t xml:space="preserve">Option 2 </w:t>
      </w:r>
      <w:r>
        <w:t xml:space="preserve">allows </w:t>
      </w:r>
      <w:r w:rsidRPr="006D5691">
        <w:t>overseas drivers</w:t>
      </w:r>
      <w:r>
        <w:t xml:space="preserve"> the same authorisation</w:t>
      </w:r>
      <w:r w:rsidRPr="006D5691">
        <w:t xml:space="preserve"> period of </w:t>
      </w:r>
      <w:r>
        <w:t>six</w:t>
      </w:r>
      <w:r w:rsidRPr="006D5691">
        <w:t xml:space="preserve"> months</w:t>
      </w:r>
      <w:r>
        <w:t>, interstate drivers relocating to Victoria are only allowed three months, which is in</w:t>
      </w:r>
      <w:r w:rsidRPr="006D5691">
        <w:t>sufficient time for performing other higher priority tasks that settling in Victoria necessitates</w:t>
      </w:r>
      <w:r>
        <w:t xml:space="preserve">. </w:t>
      </w:r>
      <w:r w:rsidR="00EC2E81">
        <w:t xml:space="preserve">For overseas drivers </w:t>
      </w:r>
      <w:r>
        <w:t>this Option is based on date of issue of the visa or date of arrival in Australia</w:t>
      </w:r>
      <w:r w:rsidR="00EC2E81">
        <w:t xml:space="preserve"> as </w:t>
      </w:r>
      <w:r w:rsidR="005D4D0A">
        <w:t>is the case under</w:t>
      </w:r>
      <w:r w:rsidR="00EC2E81">
        <w:t xml:space="preserve"> the NDLS</w:t>
      </w:r>
      <w:r>
        <w:t xml:space="preserve">. This means that, if they spend time in other parts of Australia prior to settling in Victoria, the authorisation period is reduced by that time or may even have expired before they take up residence in Victoria. </w:t>
      </w:r>
      <w:r w:rsidR="005D4D0A">
        <w:t xml:space="preserve">While it provides a more reasonable period for overseas drivers to convert than NDLS, the </w:t>
      </w:r>
      <w:r w:rsidR="00185C34">
        <w:t xml:space="preserve">commencement date of the period linked to visa issue date or date of arrival in Australia is problematic for those who </w:t>
      </w:r>
      <w:r w:rsidR="00E14792">
        <w:t xml:space="preserve">do not </w:t>
      </w:r>
      <w:r w:rsidR="00185C34">
        <w:t xml:space="preserve">travel to Australia </w:t>
      </w:r>
      <w:r w:rsidR="00E14792">
        <w:t>soon</w:t>
      </w:r>
      <w:r w:rsidR="00185C34">
        <w:t xml:space="preserve"> after the visa is issued</w:t>
      </w:r>
      <w:r w:rsidR="00E14792" w:rsidRPr="00E14792">
        <w:t xml:space="preserve"> </w:t>
      </w:r>
      <w:r w:rsidR="00E14792">
        <w:t>and settle in Victoria upon arrival</w:t>
      </w:r>
      <w:r w:rsidR="00185C34">
        <w:t xml:space="preserve">. </w:t>
      </w:r>
      <w:r w:rsidR="00E14792">
        <w:t xml:space="preserve">This could result in inadvertent non-compliance. </w:t>
      </w:r>
    </w:p>
    <w:p w14:paraId="7D63EE30" w14:textId="77777777" w:rsidR="00122C1B" w:rsidRDefault="00122C1B" w:rsidP="00DA40E0">
      <w:pPr>
        <w:pStyle w:val="TextPara"/>
      </w:pPr>
      <w:r>
        <w:t xml:space="preserve">Option 3 was scored </w:t>
      </w:r>
      <w:r w:rsidRPr="0083040D">
        <w:rPr>
          <w:i/>
        </w:rPr>
        <w:t>moderate positive</w:t>
      </w:r>
      <w:r>
        <w:t xml:space="preserve"> (+5) because</w:t>
      </w:r>
      <w:r w:rsidR="00E14792">
        <w:t xml:space="preserve"> </w:t>
      </w:r>
      <w:r>
        <w:t xml:space="preserve">all interstate and overseas licence holders are required to convert to a Victorian licence within a three-month residency timeframe. </w:t>
      </w:r>
      <w:r w:rsidR="008C72D5">
        <w:t xml:space="preserve">Under the NDLS, temporary visa holders are permitted to drive with their overseas licence indefinitely. </w:t>
      </w:r>
      <w:r w:rsidR="00B8418D">
        <w:t>In addition to this, a</w:t>
      </w:r>
      <w:r w:rsidR="00B72BBF">
        <w:t>lthough</w:t>
      </w:r>
      <w:r w:rsidR="00B8418D">
        <w:t xml:space="preserve"> both</w:t>
      </w:r>
      <w:r w:rsidR="00B72BBF">
        <w:t xml:space="preserve"> </w:t>
      </w:r>
      <w:r w:rsidR="003C2432">
        <w:t xml:space="preserve">Option 3 and the NDLS provide overseas drivers </w:t>
      </w:r>
      <w:r w:rsidR="00B72BBF">
        <w:t xml:space="preserve">three months </w:t>
      </w:r>
      <w:r w:rsidR="003C2432">
        <w:t xml:space="preserve">to </w:t>
      </w:r>
      <w:r w:rsidR="00B72BBF">
        <w:t>conver</w:t>
      </w:r>
      <w:r w:rsidR="003C2432">
        <w:t>t</w:t>
      </w:r>
      <w:r w:rsidR="00B72BBF">
        <w:t xml:space="preserve">, Option 3 </w:t>
      </w:r>
      <w:r w:rsidR="003C2432">
        <w:t>ensures that these drivers are provided with the full three months from the date of settling in Victoria as a resident rather than from the visa issue date or their arrival in Australia</w:t>
      </w:r>
      <w:r w:rsidR="0036220B">
        <w:t xml:space="preserve">, thereby providing them with a </w:t>
      </w:r>
      <w:r w:rsidR="00E55C3C">
        <w:t>better</w:t>
      </w:r>
      <w:r w:rsidR="0036220B">
        <w:t xml:space="preserve"> opportunity to comply.</w:t>
      </w:r>
    </w:p>
    <w:p w14:paraId="7DB590A2" w14:textId="77777777" w:rsidR="00122C1B" w:rsidRDefault="00122C1B" w:rsidP="00DA40E0">
      <w:pPr>
        <w:pStyle w:val="TextPara"/>
      </w:pPr>
      <w:r>
        <w:t xml:space="preserve">Option 1 was scored </w:t>
      </w:r>
      <w:r w:rsidRPr="0083040D">
        <w:rPr>
          <w:i/>
        </w:rPr>
        <w:t>small positive</w:t>
      </w:r>
      <w:r>
        <w:t xml:space="preserve"> (+3) because</w:t>
      </w:r>
      <w:r w:rsidR="0003450E">
        <w:t>, there is a lower risk of inadvertent unlicensed driving by permanent visa holders who are allowed 6 months to convert</w:t>
      </w:r>
      <w:r w:rsidR="00F32F42">
        <w:t xml:space="preserve"> rather than 3 months u</w:t>
      </w:r>
      <w:r w:rsidR="00E55C3C">
        <w:t>nder the NDLS.</w:t>
      </w:r>
      <w:r>
        <w:t xml:space="preserve"> </w:t>
      </w:r>
      <w:r w:rsidR="00F32F42">
        <w:t>As with the NDLS, temporary visa holders are not required to convert</w:t>
      </w:r>
      <w:r w:rsidR="0087346A">
        <w:t>, while interstate and New Zealand drivers have 3 months to obtain a Victorian licence</w:t>
      </w:r>
      <w:r w:rsidR="00F32F42">
        <w:t xml:space="preserve">. </w:t>
      </w:r>
      <w:r w:rsidR="0057104F">
        <w:t>T</w:t>
      </w:r>
      <w:r>
        <w:t>he determining factor for the period of authorisation is</w:t>
      </w:r>
      <w:r w:rsidR="0057104F">
        <w:t xml:space="preserve"> the same under this Option and the NDLS, that is, </w:t>
      </w:r>
      <w:r>
        <w:t>the timing of the issuing of the residence visa or the date of arrival in Australia</w:t>
      </w:r>
      <w:r w:rsidRPr="000C3563">
        <w:t xml:space="preserve"> </w:t>
      </w:r>
      <w:r>
        <w:t>rather than the period of residency in Victoria.</w:t>
      </w:r>
      <w:r w:rsidR="0087346A">
        <w:t xml:space="preserve"> This poses the same level of high risk of non-compliance under both Option 1 and the NDLS</w:t>
      </w:r>
      <w:r w:rsidR="0057104F">
        <w:t>.</w:t>
      </w:r>
    </w:p>
    <w:p w14:paraId="397A97F4" w14:textId="77777777" w:rsidR="00122C1B" w:rsidRDefault="00122C1B" w:rsidP="00DA40E0">
      <w:pPr>
        <w:pStyle w:val="NoSpacing"/>
      </w:pPr>
      <w:r>
        <w:t xml:space="preserve">Cost to </w:t>
      </w:r>
      <w:r w:rsidR="004B2A75">
        <w:t>Government</w:t>
      </w:r>
    </w:p>
    <w:p w14:paraId="2F244448" w14:textId="77777777" w:rsidR="00B74AF5" w:rsidRDefault="004D7F84" w:rsidP="00DA40E0">
      <w:pPr>
        <w:pStyle w:val="TextPara"/>
      </w:pPr>
      <w:r>
        <w:t xml:space="preserve">The cost to Government consists of the </w:t>
      </w:r>
      <w:r w:rsidR="002D0941">
        <w:t xml:space="preserve">annual </w:t>
      </w:r>
      <w:r>
        <w:t>cost of VicRoads to conduct evidence of identity checks, book and conduct learner permit tests, hazard perception tests and drive tests, issue permit or licence, and provide interpreter services where required.</w:t>
      </w:r>
      <w:r w:rsidR="00550098">
        <w:t xml:space="preserve"> Government charges fees for some of these services. </w:t>
      </w:r>
      <w:r w:rsidR="00A511B0">
        <w:t xml:space="preserve">The cost for </w:t>
      </w:r>
      <w:r w:rsidR="004F46B3">
        <w:t>each</w:t>
      </w:r>
      <w:r w:rsidR="00A511B0">
        <w:t xml:space="preserve"> option </w:t>
      </w:r>
      <w:r w:rsidR="00A44A6C">
        <w:t>was estimated on the basis of</w:t>
      </w:r>
      <w:r w:rsidR="00B74AF5">
        <w:t>:</w:t>
      </w:r>
    </w:p>
    <w:p w14:paraId="1D5C536D" w14:textId="77777777" w:rsidR="00B74AF5" w:rsidRDefault="00A44A6C" w:rsidP="00B74AF5">
      <w:pPr>
        <w:pStyle w:val="Bullet1-Black"/>
      </w:pPr>
      <w:r>
        <w:t xml:space="preserve">the number of transactions in </w:t>
      </w:r>
      <w:r w:rsidR="00E71475">
        <w:t>the Queue Management System (</w:t>
      </w:r>
      <w:r>
        <w:t>QMS</w:t>
      </w:r>
      <w:r w:rsidR="00E71475">
        <w:t>)</w:t>
      </w:r>
      <w:r>
        <w:t xml:space="preserve"> </w:t>
      </w:r>
      <w:r w:rsidR="00A37D96">
        <w:t>for each service</w:t>
      </w:r>
      <w:r w:rsidR="000F5F33">
        <w:t>,</w:t>
      </w:r>
      <w:r w:rsidR="000F5F33" w:rsidRPr="000F5F33">
        <w:t xml:space="preserve"> </w:t>
      </w:r>
      <w:r w:rsidR="000F5F33">
        <w:t>the related staff effort</w:t>
      </w:r>
      <w:r w:rsidR="000F5F33" w:rsidRPr="000F5F33">
        <w:t xml:space="preserve"> </w:t>
      </w:r>
      <w:r w:rsidR="000F5F33">
        <w:t>cost and the overhead cost associated with their processing</w:t>
      </w:r>
    </w:p>
    <w:p w14:paraId="79F94B32" w14:textId="77777777" w:rsidR="000F5F33" w:rsidRDefault="000F5F33" w:rsidP="000F5F33">
      <w:pPr>
        <w:pStyle w:val="Bullet1-Black"/>
      </w:pPr>
      <w:r>
        <w:lastRenderedPageBreak/>
        <w:t>the number of temporary visa holders residing in Victoria and their countries of origin</w:t>
      </w:r>
      <w:r w:rsidR="00D016A4">
        <w:t xml:space="preserve"> to estimate the volumes </w:t>
      </w:r>
      <w:r w:rsidR="001376F3">
        <w:t>of</w:t>
      </w:r>
      <w:r w:rsidR="00D016A4">
        <w:t xml:space="preserve"> hazard perception and drive tests, licence conversions</w:t>
      </w:r>
      <w:r w:rsidR="001376F3">
        <w:t>,</w:t>
      </w:r>
      <w:r w:rsidR="00D016A4">
        <w:t xml:space="preserve"> and learner permit tests </w:t>
      </w:r>
      <w:r w:rsidR="00CF11D6">
        <w:t>(</w:t>
      </w:r>
      <w:r w:rsidR="00D016A4">
        <w:t xml:space="preserve">where </w:t>
      </w:r>
      <w:r w:rsidR="006C737F">
        <w:t>the applicant fails the drive test</w:t>
      </w:r>
      <w:r w:rsidR="00CF11D6">
        <w:t>)</w:t>
      </w:r>
      <w:r w:rsidR="006C737F">
        <w:t>.</w:t>
      </w:r>
    </w:p>
    <w:p w14:paraId="6BC6ABC2" w14:textId="77777777" w:rsidR="004D7F84" w:rsidRDefault="00A37D96" w:rsidP="00DA40E0">
      <w:pPr>
        <w:pStyle w:val="TextPara"/>
      </w:pPr>
      <w:r>
        <w:t xml:space="preserve">This cost </w:t>
      </w:r>
      <w:r w:rsidR="004F46B3">
        <w:t>is</w:t>
      </w:r>
      <w:r w:rsidR="00716A08">
        <w:t xml:space="preserve"> compared to the </w:t>
      </w:r>
      <w:r w:rsidR="000E30C1">
        <w:t>reference point</w:t>
      </w:r>
      <w:r>
        <w:t xml:space="preserve"> for each option</w:t>
      </w:r>
      <w:r w:rsidR="00716A08">
        <w:t xml:space="preserve">. </w:t>
      </w:r>
      <w:bookmarkStart w:id="449" w:name="_Hlk4423427"/>
      <w:r w:rsidR="00716A08">
        <w:t xml:space="preserve">Any </w:t>
      </w:r>
      <w:r w:rsidR="00DE3611">
        <w:t xml:space="preserve">net change in cost referred to below is </w:t>
      </w:r>
      <w:r w:rsidR="00E7690C">
        <w:t xml:space="preserve">cost </w:t>
      </w:r>
      <w:r w:rsidR="00716A08">
        <w:t xml:space="preserve">difference </w:t>
      </w:r>
      <w:r w:rsidR="00E7690C">
        <w:t>between</w:t>
      </w:r>
      <w:r w:rsidR="00716A08">
        <w:t xml:space="preserve"> the </w:t>
      </w:r>
      <w:r w:rsidR="000E30C1">
        <w:t>reference point</w:t>
      </w:r>
      <w:r w:rsidR="00716A08">
        <w:t xml:space="preserve"> </w:t>
      </w:r>
      <w:r w:rsidR="00E7690C">
        <w:t>and the option</w:t>
      </w:r>
      <w:r w:rsidR="00716A08">
        <w:t>.</w:t>
      </w:r>
      <w:r w:rsidR="00B74AF5">
        <w:t xml:space="preserve"> </w:t>
      </w:r>
      <w:bookmarkEnd w:id="449"/>
      <w:r w:rsidR="00550098">
        <w:t xml:space="preserve"> </w:t>
      </w:r>
    </w:p>
    <w:p w14:paraId="3FB80F36" w14:textId="3AED3637" w:rsidR="00122C1B" w:rsidRDefault="00122C1B" w:rsidP="00DA40E0">
      <w:pPr>
        <w:pStyle w:val="TextPara"/>
      </w:pPr>
      <w:r w:rsidRPr="00C5576F">
        <w:t>Option 1</w:t>
      </w:r>
      <w:r>
        <w:t xml:space="preserve"> was scored </w:t>
      </w:r>
      <w:r w:rsidRPr="009117EE">
        <w:rPr>
          <w:i/>
        </w:rPr>
        <w:t>neutral</w:t>
      </w:r>
      <w:r>
        <w:t xml:space="preserve"> (0) because there is no change </w:t>
      </w:r>
      <w:r w:rsidRPr="00C5576F">
        <w:t xml:space="preserve">in </w:t>
      </w:r>
      <w:r>
        <w:t>net costs to Government, as a permanen</w:t>
      </w:r>
      <w:r w:rsidRPr="00C5576F">
        <w:t xml:space="preserve">t visa </w:t>
      </w:r>
      <w:r>
        <w:t>holder is allowed to reside indefinitely in Australia and the overseas licence would have to be converted at some stage. It would, therefore, make no difference to the costs to Government, if the licence conversion occurs within three months (</w:t>
      </w:r>
      <w:r w:rsidR="0030341C">
        <w:t xml:space="preserve">under </w:t>
      </w:r>
      <w:r w:rsidR="000450BB">
        <w:t>the NDLS</w:t>
      </w:r>
      <w:r>
        <w:t>) or six months (Option 1).</w:t>
      </w:r>
    </w:p>
    <w:p w14:paraId="132C6D73" w14:textId="77777777" w:rsidR="00122C1B" w:rsidRPr="003F63F2" w:rsidRDefault="00122C1B" w:rsidP="00DA40E0">
      <w:pPr>
        <w:pStyle w:val="TextPara"/>
      </w:pPr>
      <w:r>
        <w:t xml:space="preserve">Option 4 was scored </w:t>
      </w:r>
      <w:r w:rsidRPr="00B46B05">
        <w:rPr>
          <w:i/>
        </w:rPr>
        <w:t>insignificant negative</w:t>
      </w:r>
      <w:r>
        <w:t xml:space="preserve"> (-1) because, while it requires temporary visa holders to convert within six months, </w:t>
      </w:r>
      <w:r w:rsidR="004D3226">
        <w:t xml:space="preserve">the cost of this is partly offset by the reduction in the number of </w:t>
      </w:r>
      <w:r>
        <w:t xml:space="preserve">interstate and New Zealand drivers </w:t>
      </w:r>
      <w:r w:rsidR="004D3226">
        <w:t xml:space="preserve">who are not required </w:t>
      </w:r>
      <w:r>
        <w:t xml:space="preserve">to convert their licence, if they stay </w:t>
      </w:r>
      <w:r w:rsidRPr="00714155">
        <w:t xml:space="preserve">in Victoria for less than six months. The </w:t>
      </w:r>
      <w:r w:rsidR="005228F7">
        <w:t>increase</w:t>
      </w:r>
      <w:r w:rsidR="00716A08">
        <w:t xml:space="preserve"> in </w:t>
      </w:r>
      <w:r w:rsidR="00716A08" w:rsidRPr="00714155">
        <w:t xml:space="preserve">annual </w:t>
      </w:r>
      <w:r w:rsidR="005228F7">
        <w:t xml:space="preserve">net </w:t>
      </w:r>
      <w:r w:rsidR="00716A08">
        <w:t xml:space="preserve">cost </w:t>
      </w:r>
      <w:r w:rsidR="005228F7" w:rsidRPr="00714155">
        <w:t xml:space="preserve">to Government </w:t>
      </w:r>
      <w:r w:rsidR="00716A08">
        <w:t xml:space="preserve">for this option </w:t>
      </w:r>
      <w:r w:rsidRPr="00714155">
        <w:t>is estimated at $</w:t>
      </w:r>
      <w:r w:rsidRPr="003F63F2">
        <w:t>1.19m.</w:t>
      </w:r>
      <w:r w:rsidR="00F0115A" w:rsidRPr="003F63F2">
        <w:t xml:space="preserve"> </w:t>
      </w:r>
    </w:p>
    <w:p w14:paraId="2A6F9EA9" w14:textId="77777777" w:rsidR="00122C1B" w:rsidRPr="003F63F2" w:rsidRDefault="00122C1B" w:rsidP="00DA40E0">
      <w:pPr>
        <w:pStyle w:val="TextPara"/>
      </w:pPr>
      <w:r w:rsidRPr="003F63F2">
        <w:t xml:space="preserve">Options 2 was scored </w:t>
      </w:r>
      <w:r w:rsidR="008E5637" w:rsidRPr="003F63F2">
        <w:rPr>
          <w:i/>
        </w:rPr>
        <w:t xml:space="preserve">insignificant </w:t>
      </w:r>
      <w:r w:rsidRPr="003F63F2">
        <w:rPr>
          <w:i/>
        </w:rPr>
        <w:t>negative</w:t>
      </w:r>
      <w:r w:rsidRPr="003F63F2">
        <w:t xml:space="preserve"> (-</w:t>
      </w:r>
      <w:r w:rsidR="008E5637" w:rsidRPr="003F63F2">
        <w:t>1</w:t>
      </w:r>
      <w:r w:rsidRPr="003F63F2">
        <w:t xml:space="preserve">) because temporary visa holders are required to convert within six months. </w:t>
      </w:r>
      <w:r w:rsidR="005228F7" w:rsidRPr="003F63F2">
        <w:t xml:space="preserve">The increase in annual net cost to Government for this option </w:t>
      </w:r>
      <w:r w:rsidRPr="003F63F2">
        <w:t>is estimated at $1.26m.</w:t>
      </w:r>
    </w:p>
    <w:p w14:paraId="1726709F" w14:textId="77777777" w:rsidR="00122C1B" w:rsidRPr="009B1ABE" w:rsidRDefault="00122C1B" w:rsidP="00DA40E0">
      <w:pPr>
        <w:pStyle w:val="TextPara"/>
      </w:pPr>
      <w:r w:rsidRPr="003F63F2">
        <w:t xml:space="preserve">Option 3 was scored </w:t>
      </w:r>
      <w:r w:rsidRPr="003F63F2">
        <w:rPr>
          <w:i/>
        </w:rPr>
        <w:t>moderate negative</w:t>
      </w:r>
      <w:r w:rsidRPr="003F63F2">
        <w:t xml:space="preserve"> (-5) because</w:t>
      </w:r>
      <w:r w:rsidR="00090239">
        <w:t>,</w:t>
      </w:r>
      <w:r w:rsidRPr="003F63F2">
        <w:t xml:space="preserve"> </w:t>
      </w:r>
      <w:r w:rsidR="00090239" w:rsidRPr="003F63F2">
        <w:t>in addition to interstate and New Zealand drivers and other overseas drivers holding a permanent visa</w:t>
      </w:r>
      <w:r w:rsidR="00090239">
        <w:t>,</w:t>
      </w:r>
      <w:r w:rsidR="00090239" w:rsidRPr="003F63F2">
        <w:t xml:space="preserve"> </w:t>
      </w:r>
      <w:r w:rsidRPr="003F63F2">
        <w:t xml:space="preserve">temporary visa holders are </w:t>
      </w:r>
      <w:r w:rsidR="00090239">
        <w:t xml:space="preserve">also </w:t>
      </w:r>
      <w:r w:rsidRPr="003F63F2">
        <w:t>required to convert their overseas licence after thr</w:t>
      </w:r>
      <w:r w:rsidR="00090239">
        <w:t>ee months residence in Victoria</w:t>
      </w:r>
      <w:r w:rsidRPr="003F63F2">
        <w:t>. This option would result in a moderate increase in annual net costs to Government estimated at $2.09m.</w:t>
      </w:r>
    </w:p>
    <w:p w14:paraId="38BB3238" w14:textId="77777777" w:rsidR="00122C1B" w:rsidRDefault="00122C1B" w:rsidP="00DA40E0">
      <w:pPr>
        <w:pStyle w:val="NoSpacing"/>
      </w:pPr>
      <w:r>
        <w:t xml:space="preserve">Cost to </w:t>
      </w:r>
      <w:r w:rsidR="004B2A75">
        <w:t>Community</w:t>
      </w:r>
    </w:p>
    <w:p w14:paraId="00825980" w14:textId="77777777" w:rsidR="005228F7" w:rsidRDefault="005228F7" w:rsidP="005228F7">
      <w:pPr>
        <w:pStyle w:val="TextPara"/>
      </w:pPr>
      <w:r>
        <w:t xml:space="preserve">The cost to </w:t>
      </w:r>
      <w:r w:rsidR="00216C91">
        <w:t>community</w:t>
      </w:r>
      <w:r>
        <w:t xml:space="preserve"> consists of the </w:t>
      </w:r>
      <w:r w:rsidR="004B2A75">
        <w:t xml:space="preserve">fees paid for </w:t>
      </w:r>
      <w:r>
        <w:t>book</w:t>
      </w:r>
      <w:r w:rsidR="004B2A75">
        <w:t>ing</w:t>
      </w:r>
      <w:r>
        <w:t xml:space="preserve"> and </w:t>
      </w:r>
      <w:r w:rsidR="004B2A75">
        <w:t>undertaking</w:t>
      </w:r>
      <w:r>
        <w:t xml:space="preserve"> learner permit tests, hazard perception tests and drive tests, </w:t>
      </w:r>
      <w:r w:rsidR="004B2A75">
        <w:t xml:space="preserve">and </w:t>
      </w:r>
      <w:r>
        <w:t>permit or licence</w:t>
      </w:r>
      <w:r w:rsidR="004B2A75" w:rsidRPr="004B2A75">
        <w:t xml:space="preserve"> </w:t>
      </w:r>
      <w:r w:rsidR="004B2A75">
        <w:t>issue</w:t>
      </w:r>
      <w:r>
        <w:t xml:space="preserve">. </w:t>
      </w:r>
      <w:r w:rsidR="00AF6246">
        <w:t xml:space="preserve">These costs include the </w:t>
      </w:r>
      <w:r w:rsidR="00E36B36">
        <w:t xml:space="preserve">travel time to and from the test location. </w:t>
      </w:r>
      <w:r>
        <w:t xml:space="preserve">The cost for </w:t>
      </w:r>
      <w:r w:rsidR="004F46B3">
        <w:t xml:space="preserve">each </w:t>
      </w:r>
      <w:r>
        <w:t xml:space="preserve">option </w:t>
      </w:r>
      <w:r w:rsidR="004F46B3">
        <w:t>is</w:t>
      </w:r>
      <w:r>
        <w:t xml:space="preserve"> compared to the </w:t>
      </w:r>
      <w:r w:rsidR="00066C97">
        <w:t>reference point</w:t>
      </w:r>
      <w:r>
        <w:t xml:space="preserve">. </w:t>
      </w:r>
      <w:r w:rsidR="00E7690C">
        <w:t>Any net change in cost referred to below is cost difference between the reference point and the option.</w:t>
      </w:r>
    </w:p>
    <w:p w14:paraId="23B03E19" w14:textId="77777777" w:rsidR="00122C1B" w:rsidRDefault="00122C1B" w:rsidP="00DA40E0">
      <w:pPr>
        <w:pStyle w:val="TextPara"/>
      </w:pPr>
      <w:r w:rsidRPr="00D03D1E">
        <w:t>Option 1</w:t>
      </w:r>
      <w:r>
        <w:t xml:space="preserve"> was scored </w:t>
      </w:r>
      <w:r w:rsidRPr="003E4890">
        <w:rPr>
          <w:i/>
        </w:rPr>
        <w:t>neutral</w:t>
      </w:r>
      <w:r w:rsidRPr="00D03D1E">
        <w:t xml:space="preserve"> </w:t>
      </w:r>
      <w:r>
        <w:t>(0</w:t>
      </w:r>
      <w:r w:rsidRPr="00D03D1E">
        <w:t>)</w:t>
      </w:r>
      <w:r>
        <w:t xml:space="preserve"> because there is no change </w:t>
      </w:r>
      <w:r w:rsidRPr="00D03D1E">
        <w:t xml:space="preserve">in </w:t>
      </w:r>
      <w:r>
        <w:t>burden</w:t>
      </w:r>
      <w:r w:rsidRPr="00D03D1E">
        <w:t xml:space="preserve"> to the customer</w:t>
      </w:r>
      <w:r>
        <w:t>.</w:t>
      </w:r>
      <w:r w:rsidRPr="00D03D1E">
        <w:t xml:space="preserve"> </w:t>
      </w:r>
      <w:r>
        <w:t>There is no change for interstate and New Zealand drivers. As permanen</w:t>
      </w:r>
      <w:r w:rsidRPr="00C5576F">
        <w:t xml:space="preserve">t visa </w:t>
      </w:r>
      <w:r>
        <w:t>holders are allowed to reside indefinitely in Australia, they would have to convert their overseas licence at some stage. It would, therefore, make no difference to the cost to the customer, if the licence conversion occurs within three months (</w:t>
      </w:r>
      <w:r w:rsidR="00066C97">
        <w:t xml:space="preserve">under </w:t>
      </w:r>
      <w:r w:rsidR="000450BB">
        <w:t>the NDLS</w:t>
      </w:r>
      <w:r>
        <w:t xml:space="preserve">) or six months (Option 1). </w:t>
      </w:r>
    </w:p>
    <w:p w14:paraId="3B4AFA35" w14:textId="77777777" w:rsidR="00122C1B" w:rsidRPr="003F63F2" w:rsidRDefault="00122C1B" w:rsidP="00DA40E0">
      <w:pPr>
        <w:pStyle w:val="TextPara"/>
      </w:pPr>
      <w:r>
        <w:t xml:space="preserve">Option 4 was scored </w:t>
      </w:r>
      <w:r w:rsidRPr="00B46B05">
        <w:rPr>
          <w:i/>
        </w:rPr>
        <w:t>insignificant negative</w:t>
      </w:r>
      <w:r>
        <w:t xml:space="preserve"> (-1) because, while it introduces a burden for temporary visa holders to convert within six months, it removes the burden for interstate and New Zealand drivers to convert their licence, if they stay in Victoria for less than six months. </w:t>
      </w:r>
      <w:r w:rsidR="004F46B3" w:rsidRPr="00714155">
        <w:t xml:space="preserve">The </w:t>
      </w:r>
      <w:r w:rsidR="004F46B3">
        <w:t xml:space="preserve">increase in </w:t>
      </w:r>
      <w:r w:rsidR="004F46B3" w:rsidRPr="00714155">
        <w:t xml:space="preserve">annual </w:t>
      </w:r>
      <w:r w:rsidR="004F46B3">
        <w:t xml:space="preserve">net cost </w:t>
      </w:r>
      <w:r w:rsidR="004F46B3" w:rsidRPr="00714155">
        <w:t xml:space="preserve">to </w:t>
      </w:r>
      <w:r>
        <w:t xml:space="preserve">customers is estimated at </w:t>
      </w:r>
      <w:r w:rsidRPr="003F63F2">
        <w:t>$</w:t>
      </w:r>
      <w:r w:rsidR="006069F5" w:rsidRPr="003F63F2">
        <w:t>0.</w:t>
      </w:r>
      <w:r w:rsidR="00216C91" w:rsidRPr="003F63F2">
        <w:t>92</w:t>
      </w:r>
      <w:r w:rsidRPr="003F63F2">
        <w:t>m.</w:t>
      </w:r>
      <w:r w:rsidR="008B2FF2" w:rsidRPr="003F63F2">
        <w:t xml:space="preserve"> </w:t>
      </w:r>
    </w:p>
    <w:p w14:paraId="466DA047" w14:textId="77777777" w:rsidR="00122C1B" w:rsidRPr="003F63F2" w:rsidRDefault="00122C1B" w:rsidP="00DA40E0">
      <w:pPr>
        <w:pStyle w:val="TextPara"/>
      </w:pPr>
      <w:r w:rsidRPr="003F63F2">
        <w:t xml:space="preserve">Option 2 was scored </w:t>
      </w:r>
      <w:r w:rsidR="008E5637" w:rsidRPr="003F63F2">
        <w:rPr>
          <w:i/>
        </w:rPr>
        <w:t xml:space="preserve">insignificant </w:t>
      </w:r>
      <w:r w:rsidRPr="003F63F2">
        <w:rPr>
          <w:i/>
        </w:rPr>
        <w:t>negative</w:t>
      </w:r>
      <w:r w:rsidRPr="003F63F2">
        <w:t xml:space="preserve"> (-</w:t>
      </w:r>
      <w:r w:rsidR="008E5637" w:rsidRPr="003F63F2">
        <w:t>1</w:t>
      </w:r>
      <w:r w:rsidRPr="003F63F2">
        <w:t xml:space="preserve">) because it introduces a burden for temporary visa holders to convert within six months. </w:t>
      </w:r>
      <w:r w:rsidR="004F46B3" w:rsidRPr="003F63F2">
        <w:t xml:space="preserve">The increase in annual net cost to </w:t>
      </w:r>
      <w:r w:rsidRPr="003F63F2">
        <w:t>customers is estimated at $</w:t>
      </w:r>
      <w:r w:rsidR="006069F5" w:rsidRPr="003F63F2">
        <w:t>0.</w:t>
      </w:r>
      <w:r w:rsidR="00216C91" w:rsidRPr="003F63F2">
        <w:t>96</w:t>
      </w:r>
      <w:r w:rsidRPr="003F63F2">
        <w:t>m.</w:t>
      </w:r>
    </w:p>
    <w:p w14:paraId="76AA9DDB" w14:textId="77777777" w:rsidR="00122C1B" w:rsidRPr="009B1ABE" w:rsidRDefault="00122C1B" w:rsidP="00DA40E0">
      <w:pPr>
        <w:pStyle w:val="TextPara"/>
      </w:pPr>
      <w:r w:rsidRPr="003F63F2">
        <w:t xml:space="preserve">Option 3 was scored </w:t>
      </w:r>
      <w:r w:rsidRPr="003F63F2">
        <w:rPr>
          <w:i/>
        </w:rPr>
        <w:t>moderate negative</w:t>
      </w:r>
      <w:r w:rsidRPr="003F63F2">
        <w:t xml:space="preserve"> (-5) because it introduces a burden for temporary visa holders to convert after three months residence in Victoria, in addition to interstate and New Zealand drivers and other overseas drivers holding a permanent visa. </w:t>
      </w:r>
      <w:r w:rsidR="004F46B3" w:rsidRPr="003F63F2">
        <w:t>The increase in annual net cost to</w:t>
      </w:r>
      <w:r w:rsidRPr="003F63F2">
        <w:t xml:space="preserve"> customers is estimated at $</w:t>
      </w:r>
      <w:r w:rsidR="00216C91" w:rsidRPr="003F63F2">
        <w:t>1</w:t>
      </w:r>
      <w:r w:rsidR="006069F5" w:rsidRPr="003F63F2">
        <w:t>.3</w:t>
      </w:r>
      <w:r w:rsidR="00216C91" w:rsidRPr="003F63F2">
        <w:t>0</w:t>
      </w:r>
      <w:r w:rsidRPr="003F63F2">
        <w:t>m.</w:t>
      </w:r>
    </w:p>
    <w:p w14:paraId="0A76C124" w14:textId="77777777" w:rsidR="00122C1B" w:rsidRDefault="006D2191" w:rsidP="00DA40E0">
      <w:pPr>
        <w:pStyle w:val="NoSpacing"/>
      </w:pPr>
      <w:bookmarkStart w:id="450" w:name="_Hlk8390754"/>
      <w:r>
        <w:t>Complexity</w:t>
      </w:r>
    </w:p>
    <w:bookmarkEnd w:id="450"/>
    <w:p w14:paraId="08DC28D2" w14:textId="77777777" w:rsidR="00122C1B" w:rsidRDefault="00122C1B" w:rsidP="00DA40E0">
      <w:pPr>
        <w:pStyle w:val="TextPara"/>
      </w:pPr>
      <w:r>
        <w:t xml:space="preserve">Options 3 and 4 were both scored </w:t>
      </w:r>
      <w:r w:rsidRPr="003E3847">
        <w:rPr>
          <w:i/>
        </w:rPr>
        <w:t>small positive</w:t>
      </w:r>
      <w:r>
        <w:t xml:space="preserve"> (+3) </w:t>
      </w:r>
      <w:r w:rsidR="00996E20">
        <w:t>because</w:t>
      </w:r>
      <w:r>
        <w:t xml:space="preserve"> </w:t>
      </w:r>
      <w:r w:rsidR="009763D7">
        <w:t xml:space="preserve">under </w:t>
      </w:r>
      <w:r>
        <w:t>both</w:t>
      </w:r>
      <w:r w:rsidR="00996E20">
        <w:t xml:space="preserve"> options</w:t>
      </w:r>
      <w:r w:rsidR="006D2191">
        <w:t xml:space="preserve"> </w:t>
      </w:r>
      <w:r>
        <w:t>the same licence conversion rule</w:t>
      </w:r>
      <w:r w:rsidR="00996E20">
        <w:t>s apply</w:t>
      </w:r>
      <w:r w:rsidR="009763D7">
        <w:t>,</w:t>
      </w:r>
      <w:r>
        <w:t xml:space="preserve"> in terms of</w:t>
      </w:r>
      <w:r w:rsidR="009763D7">
        <w:t xml:space="preserve"> the </w:t>
      </w:r>
      <w:r w:rsidR="00FF7366">
        <w:t>cohorts of drivers</w:t>
      </w:r>
      <w:r>
        <w:t xml:space="preserve"> and </w:t>
      </w:r>
      <w:r w:rsidR="009763D7">
        <w:t xml:space="preserve">the </w:t>
      </w:r>
      <w:r>
        <w:t>residency requirement</w:t>
      </w:r>
      <w:r w:rsidR="00FF7366">
        <w:t>. While they differ in the duration of the authorisation period, they both</w:t>
      </w:r>
      <w:r w:rsidR="00A121F1">
        <w:t xml:space="preserve"> have the same</w:t>
      </w:r>
      <w:r w:rsidR="00FF7366">
        <w:t xml:space="preserve"> level of complexity</w:t>
      </w:r>
      <w:r w:rsidR="00A121F1">
        <w:t xml:space="preserve"> as the timing of the </w:t>
      </w:r>
      <w:r w:rsidR="003D3A4A">
        <w:lastRenderedPageBreak/>
        <w:t>conversion has no bearing on the solution complexit</w:t>
      </w:r>
      <w:r w:rsidR="00A121F1">
        <w:t xml:space="preserve">y. </w:t>
      </w:r>
      <w:r w:rsidR="003D3A4A">
        <w:t>C</w:t>
      </w:r>
      <w:r w:rsidR="00A121F1">
        <w:t>ompared with the NDLS</w:t>
      </w:r>
      <w:r w:rsidR="003D3A4A">
        <w:t xml:space="preserve">, Options 3 and 4 are less complex as </w:t>
      </w:r>
      <w:r w:rsidR="00580FDB">
        <w:t xml:space="preserve">drivers are not required to provide evidence of visa issue date or arrival date to determine when </w:t>
      </w:r>
      <w:r w:rsidR="003D3A4A">
        <w:t>the authorisation period</w:t>
      </w:r>
      <w:r w:rsidR="00580FDB">
        <w:t xml:space="preserve"> starts. Further, they set a single rule </w:t>
      </w:r>
      <w:r w:rsidR="00241253">
        <w:t>that is applies to all</w:t>
      </w:r>
      <w:r w:rsidR="00580FDB">
        <w:t xml:space="preserve"> residence visa holders, regardless of </w:t>
      </w:r>
      <w:r w:rsidR="00241253">
        <w:t xml:space="preserve">their </w:t>
      </w:r>
      <w:r w:rsidR="00580FDB">
        <w:t>visa type.</w:t>
      </w:r>
    </w:p>
    <w:p w14:paraId="0116B03F" w14:textId="77777777" w:rsidR="00122C1B" w:rsidRDefault="00122C1B" w:rsidP="00DA40E0">
      <w:pPr>
        <w:pStyle w:val="TextPara"/>
        <w:spacing w:after="60"/>
      </w:pPr>
      <w:r>
        <w:t xml:space="preserve">Option 2 was scored </w:t>
      </w:r>
      <w:r w:rsidRPr="009117EE">
        <w:rPr>
          <w:i/>
        </w:rPr>
        <w:t>neutral</w:t>
      </w:r>
      <w:r>
        <w:t xml:space="preserve"> (0) </w:t>
      </w:r>
      <w:r w:rsidR="00780976">
        <w:t>because</w:t>
      </w:r>
      <w:r w:rsidR="00EA38DC">
        <w:t>,</w:t>
      </w:r>
      <w:r>
        <w:t xml:space="preserve"> </w:t>
      </w:r>
      <w:r w:rsidR="00EA38DC">
        <w:t xml:space="preserve">while it introduces complexity in terms of having two different authorisation periods (3 months for interstate and New Zealand drivers and 6 months for overseas drivers), this is counterbalanced by having </w:t>
      </w:r>
      <w:r w:rsidR="00F0065C">
        <w:t>a single</w:t>
      </w:r>
      <w:r w:rsidR="00EA38DC">
        <w:t xml:space="preserve"> rule apply to all residence visa types</w:t>
      </w:r>
      <w:r w:rsidR="00F0065C">
        <w:t xml:space="preserve"> (temporary and permanent)</w:t>
      </w:r>
      <w:r w:rsidR="00EA38DC">
        <w:t>.</w:t>
      </w:r>
      <w:r>
        <w:t xml:space="preserve"> </w:t>
      </w:r>
      <w:r w:rsidR="00E37F22">
        <w:t>T</w:t>
      </w:r>
      <w:r w:rsidR="00F0065C">
        <w:t xml:space="preserve">he NDLS </w:t>
      </w:r>
      <w:r w:rsidR="00E37F22">
        <w:t>specifies</w:t>
      </w:r>
      <w:r w:rsidR="007F1071">
        <w:t xml:space="preserve"> a </w:t>
      </w:r>
      <w:r w:rsidR="00F0065C">
        <w:t xml:space="preserve">single rule for </w:t>
      </w:r>
      <w:r w:rsidR="007F1071">
        <w:t xml:space="preserve">the </w:t>
      </w:r>
      <w:r w:rsidR="00F0065C">
        <w:t xml:space="preserve">duration of authorisation period </w:t>
      </w:r>
      <w:r w:rsidR="007F1071">
        <w:t xml:space="preserve">applicable to drivers required to convert </w:t>
      </w:r>
      <w:r w:rsidR="00E37F22">
        <w:t>but</w:t>
      </w:r>
      <w:r w:rsidR="00687788">
        <w:t xml:space="preserve"> has added complexity by </w:t>
      </w:r>
      <w:r w:rsidR="00F0065C">
        <w:t>differentiat</w:t>
      </w:r>
      <w:r w:rsidR="00687788">
        <w:t>ing</w:t>
      </w:r>
      <w:r w:rsidR="00F0065C">
        <w:t xml:space="preserve"> between permanent visa holders </w:t>
      </w:r>
      <w:r w:rsidR="00A60E7D">
        <w:t xml:space="preserve">(required to convert) </w:t>
      </w:r>
      <w:r w:rsidR="00F0065C">
        <w:t>and temporary</w:t>
      </w:r>
      <w:r w:rsidR="00687788" w:rsidRPr="00687788">
        <w:t xml:space="preserve"> </w:t>
      </w:r>
      <w:r w:rsidR="00687788">
        <w:t>visa holders</w:t>
      </w:r>
      <w:r w:rsidR="00A60E7D" w:rsidRPr="00A60E7D">
        <w:t xml:space="preserve"> </w:t>
      </w:r>
      <w:r w:rsidR="00A60E7D">
        <w:t>(not required to convert)</w:t>
      </w:r>
      <w:r w:rsidR="00F0065C">
        <w:t xml:space="preserve">. </w:t>
      </w:r>
    </w:p>
    <w:p w14:paraId="5E741DF4" w14:textId="77777777" w:rsidR="00122C1B" w:rsidRDefault="00122C1B" w:rsidP="00DA40E0">
      <w:pPr>
        <w:pStyle w:val="TextPara"/>
      </w:pPr>
      <w:r>
        <w:t xml:space="preserve">Option 1 was scored </w:t>
      </w:r>
      <w:r w:rsidRPr="008D0A4A">
        <w:rPr>
          <w:i/>
        </w:rPr>
        <w:t>insignificant negative</w:t>
      </w:r>
      <w:r>
        <w:t xml:space="preserve"> (-1) because it </w:t>
      </w:r>
      <w:r w:rsidR="00550A3A">
        <w:t xml:space="preserve">provides a more complex solution than </w:t>
      </w:r>
      <w:r w:rsidR="000450BB">
        <w:t>the NDLS</w:t>
      </w:r>
      <w:r w:rsidR="00550A3A">
        <w:t xml:space="preserve"> </w:t>
      </w:r>
      <w:r w:rsidR="0033598D">
        <w:t xml:space="preserve">by </w:t>
      </w:r>
      <w:r>
        <w:t>appl</w:t>
      </w:r>
      <w:r w:rsidR="00550A3A">
        <w:t>y</w:t>
      </w:r>
      <w:r>
        <w:t>i</w:t>
      </w:r>
      <w:r w:rsidR="00550A3A">
        <w:t>ng</w:t>
      </w:r>
      <w:r>
        <w:t xml:space="preserve"> a different rule for interstate and New Zealand drivers compared with other overseas drivers</w:t>
      </w:r>
      <w:r w:rsidR="0033598D">
        <w:t>.</w:t>
      </w:r>
    </w:p>
    <w:p w14:paraId="27ADF4E8" w14:textId="77777777" w:rsidR="00122C1B" w:rsidRPr="00117C96" w:rsidRDefault="00122C1B" w:rsidP="006713F9">
      <w:pPr>
        <w:pStyle w:val="Heading3"/>
      </w:pPr>
      <w:bookmarkStart w:id="451" w:name="_Ref2761057"/>
      <w:bookmarkStart w:id="452" w:name="_Ref2761064"/>
      <w:bookmarkStart w:id="453" w:name="_Toc10703441"/>
      <w:r>
        <w:t>Preferred</w:t>
      </w:r>
      <w:r w:rsidRPr="00117C96">
        <w:t xml:space="preserve"> </w:t>
      </w:r>
      <w:r>
        <w:t>o</w:t>
      </w:r>
      <w:r w:rsidRPr="00117C96">
        <w:t>ption</w:t>
      </w:r>
      <w:bookmarkEnd w:id="451"/>
      <w:bookmarkEnd w:id="452"/>
      <w:bookmarkEnd w:id="453"/>
    </w:p>
    <w:p w14:paraId="5799305C" w14:textId="77777777" w:rsidR="00122C1B" w:rsidRDefault="00122C1B" w:rsidP="00DA40E0">
      <w:pPr>
        <w:pStyle w:val="TextPara"/>
      </w:pPr>
      <w:r w:rsidRPr="00117C96">
        <w:t xml:space="preserve">The </w:t>
      </w:r>
      <w:r>
        <w:t>preferred</w:t>
      </w:r>
      <w:r w:rsidRPr="00117C96">
        <w:t xml:space="preserve"> option is </w:t>
      </w:r>
      <w:r w:rsidRPr="00117C96">
        <w:rPr>
          <w:b/>
        </w:rPr>
        <w:t xml:space="preserve">Option </w:t>
      </w:r>
      <w:r>
        <w:rPr>
          <w:b/>
        </w:rPr>
        <w:t>4</w:t>
      </w:r>
      <w:r w:rsidRPr="00117C96">
        <w:t xml:space="preserve">, which </w:t>
      </w:r>
      <w:r>
        <w:t xml:space="preserve">ranked highest among the options considered. Under that option, </w:t>
      </w:r>
      <w:r w:rsidRPr="00117C96">
        <w:t xml:space="preserve">the </w:t>
      </w:r>
      <w:r>
        <w:t>period of authorisation of drivers to drive in Victoria with their interstate or overseas licence would be limited</w:t>
      </w:r>
      <w:r w:rsidRPr="00117C96">
        <w:t xml:space="preserve"> to a residenc</w:t>
      </w:r>
      <w:r>
        <w:t>e</w:t>
      </w:r>
      <w:r w:rsidRPr="00117C96">
        <w:t xml:space="preserve"> period of </w:t>
      </w:r>
      <w:r>
        <w:t>six</w:t>
      </w:r>
      <w:r w:rsidRPr="00117C96">
        <w:t xml:space="preserve"> months</w:t>
      </w:r>
      <w:r>
        <w:t>.</w:t>
      </w:r>
      <w:r w:rsidRPr="00117C96">
        <w:t xml:space="preserve"> </w:t>
      </w:r>
    </w:p>
    <w:p w14:paraId="2AE12F96" w14:textId="77777777" w:rsidR="00122C1B" w:rsidRDefault="00122C1B" w:rsidP="00DA40E0">
      <w:pPr>
        <w:pStyle w:val="TextPara"/>
        <w:rPr>
          <w:rFonts w:cs="Segoe UI"/>
        </w:rPr>
      </w:pPr>
      <w:r w:rsidRPr="00117C96">
        <w:rPr>
          <w:rFonts w:cs="Segoe UI"/>
        </w:rPr>
        <w:t>Th</w:t>
      </w:r>
      <w:r>
        <w:rPr>
          <w:rFonts w:cs="Segoe UI"/>
        </w:rPr>
        <w:t xml:space="preserve">is proposed </w:t>
      </w:r>
      <w:r w:rsidRPr="00117C96">
        <w:rPr>
          <w:rFonts w:cs="Segoe UI"/>
        </w:rPr>
        <w:t>measure w</w:t>
      </w:r>
      <w:r>
        <w:rPr>
          <w:rFonts w:cs="Segoe UI"/>
        </w:rPr>
        <w:t>ould</w:t>
      </w:r>
      <w:r w:rsidRPr="00117C96">
        <w:rPr>
          <w:rFonts w:cs="Segoe UI"/>
        </w:rPr>
        <w:t xml:space="preserve"> provide consistency in licence </w:t>
      </w:r>
      <w:r>
        <w:rPr>
          <w:rFonts w:cs="Segoe UI"/>
        </w:rPr>
        <w:t>authorisation</w:t>
      </w:r>
      <w:r w:rsidRPr="00117C96">
        <w:rPr>
          <w:rFonts w:cs="Segoe UI"/>
        </w:rPr>
        <w:t xml:space="preserve"> periods for interstate drivers </w:t>
      </w:r>
      <w:r>
        <w:rPr>
          <w:rFonts w:cs="Segoe UI"/>
        </w:rPr>
        <w:t>as well as</w:t>
      </w:r>
      <w:r w:rsidRPr="00117C96">
        <w:rPr>
          <w:rFonts w:cs="Segoe UI"/>
        </w:rPr>
        <w:t xml:space="preserve"> </w:t>
      </w:r>
      <w:r>
        <w:rPr>
          <w:rFonts w:cs="Segoe UI"/>
        </w:rPr>
        <w:t>permanent and temporary residence visa holders</w:t>
      </w:r>
      <w:r w:rsidRPr="00117C96">
        <w:rPr>
          <w:rFonts w:cs="Segoe UI"/>
        </w:rPr>
        <w:t xml:space="preserve"> who reside in Victoria for more than </w:t>
      </w:r>
      <w:r>
        <w:rPr>
          <w:rFonts w:cs="Segoe UI"/>
        </w:rPr>
        <w:t>six</w:t>
      </w:r>
      <w:r w:rsidRPr="00117C96">
        <w:rPr>
          <w:rFonts w:cs="Segoe UI"/>
        </w:rPr>
        <w:t xml:space="preserve"> months. This provision w</w:t>
      </w:r>
      <w:r>
        <w:rPr>
          <w:rFonts w:cs="Segoe UI"/>
        </w:rPr>
        <w:t>ould, for the first time,</w:t>
      </w:r>
      <w:r w:rsidRPr="00117C96">
        <w:rPr>
          <w:rFonts w:cs="Segoe UI"/>
        </w:rPr>
        <w:t xml:space="preserve"> bring into the Victorian licensing scheme </w:t>
      </w:r>
      <w:r>
        <w:rPr>
          <w:rFonts w:cs="Segoe UI"/>
        </w:rPr>
        <w:t xml:space="preserve">overseas </w:t>
      </w:r>
      <w:r w:rsidRPr="00117C96">
        <w:rPr>
          <w:rFonts w:cs="Segoe UI"/>
        </w:rPr>
        <w:t>drivers</w:t>
      </w:r>
      <w:r>
        <w:rPr>
          <w:rFonts w:cs="Segoe UI"/>
        </w:rPr>
        <w:t>,</w:t>
      </w:r>
      <w:r w:rsidRPr="00117C96">
        <w:rPr>
          <w:rFonts w:cs="Segoe UI"/>
        </w:rPr>
        <w:t xml:space="preserve"> who are on temporary visas and currently allowed to drive on their overseas licence indefinitely</w:t>
      </w:r>
      <w:r>
        <w:rPr>
          <w:rFonts w:cs="Segoe UI"/>
        </w:rPr>
        <w:t xml:space="preserve"> without a requirement to convert.</w:t>
      </w:r>
      <w:r w:rsidRPr="00117C96">
        <w:rPr>
          <w:rFonts w:cs="Segoe UI"/>
        </w:rPr>
        <w:t xml:space="preserve"> </w:t>
      </w:r>
      <w:r>
        <w:rPr>
          <w:rFonts w:cs="Segoe UI"/>
        </w:rPr>
        <w:t>It would also introduce consistency in applying residency in Victoria as the determining factor for applying the same authorisation period to interstate and overseas drivers.</w:t>
      </w:r>
    </w:p>
    <w:p w14:paraId="1BEB5221" w14:textId="77777777" w:rsidR="00122C1B" w:rsidRDefault="00122C1B" w:rsidP="00DA40E0">
      <w:pPr>
        <w:pStyle w:val="TextPara"/>
        <w:rPr>
          <w:rFonts w:cs="Segoe UI"/>
        </w:rPr>
      </w:pPr>
      <w:r>
        <w:rPr>
          <w:rFonts w:cs="Segoe UI"/>
        </w:rPr>
        <w:t xml:space="preserve">The terms </w:t>
      </w:r>
      <w:r w:rsidRPr="009C22C3">
        <w:rPr>
          <w:rFonts w:cs="Segoe UI"/>
        </w:rPr>
        <w:t>‘reside</w:t>
      </w:r>
      <w:r>
        <w:rPr>
          <w:rFonts w:cs="Segoe UI"/>
        </w:rPr>
        <w:t>’, ‘resident’ and ‘</w:t>
      </w:r>
      <w:r w:rsidRPr="009C22C3">
        <w:rPr>
          <w:rFonts w:cs="Segoe UI"/>
        </w:rPr>
        <w:t xml:space="preserve">residence’ </w:t>
      </w:r>
      <w:r>
        <w:rPr>
          <w:rFonts w:cs="Segoe UI"/>
        </w:rPr>
        <w:t>are</w:t>
      </w:r>
      <w:r w:rsidRPr="009C22C3">
        <w:rPr>
          <w:rFonts w:cs="Segoe UI"/>
        </w:rPr>
        <w:t xml:space="preserve"> not defined </w:t>
      </w:r>
      <w:r>
        <w:rPr>
          <w:rFonts w:cs="Segoe UI"/>
        </w:rPr>
        <w:t xml:space="preserve">in the </w:t>
      </w:r>
      <w:r w:rsidRPr="001C0231">
        <w:rPr>
          <w:rFonts w:cs="Segoe UI"/>
          <w:i/>
        </w:rPr>
        <w:t>RSA</w:t>
      </w:r>
      <w:r>
        <w:rPr>
          <w:rFonts w:cs="Segoe UI"/>
        </w:rPr>
        <w:t xml:space="preserve"> or the proposed Regulations. </w:t>
      </w:r>
      <w:r w:rsidRPr="009C22C3">
        <w:rPr>
          <w:rFonts w:cs="Segoe UI"/>
        </w:rPr>
        <w:t>According to the Merriam-Webster dictionary, ‘</w:t>
      </w:r>
      <w:r>
        <w:rPr>
          <w:rFonts w:cs="Segoe UI"/>
        </w:rPr>
        <w:t xml:space="preserve">to </w:t>
      </w:r>
      <w:r w:rsidRPr="009C22C3">
        <w:rPr>
          <w:rFonts w:cs="Segoe UI"/>
        </w:rPr>
        <w:t xml:space="preserve">reside’ </w:t>
      </w:r>
      <w:r>
        <w:rPr>
          <w:rFonts w:cs="Segoe UI"/>
        </w:rPr>
        <w:t xml:space="preserve">means </w:t>
      </w:r>
      <w:r w:rsidRPr="007F7A71">
        <w:rPr>
          <w:rFonts w:cs="Segoe UI"/>
        </w:rPr>
        <w:t>to dwell permanently or for a considerable time</w:t>
      </w:r>
      <w:r>
        <w:rPr>
          <w:rFonts w:cs="Segoe UI"/>
        </w:rPr>
        <w:t>.</w:t>
      </w:r>
      <w:r>
        <w:rPr>
          <w:rStyle w:val="EndnoteReference"/>
          <w:rFonts w:cs="Segoe UI"/>
        </w:rPr>
        <w:endnoteReference w:id="313"/>
      </w:r>
      <w:r w:rsidRPr="009C22C3">
        <w:rPr>
          <w:rFonts w:cs="Segoe UI"/>
        </w:rPr>
        <w:t xml:space="preserve"> The Oxford dictionary </w:t>
      </w:r>
      <w:r>
        <w:rPr>
          <w:rFonts w:cs="Segoe UI"/>
        </w:rPr>
        <w:t>defines</w:t>
      </w:r>
      <w:r w:rsidRPr="009C22C3">
        <w:rPr>
          <w:rFonts w:cs="Segoe UI"/>
        </w:rPr>
        <w:t xml:space="preserve"> a </w:t>
      </w:r>
      <w:r>
        <w:rPr>
          <w:rFonts w:cs="Segoe UI"/>
        </w:rPr>
        <w:t>‘</w:t>
      </w:r>
      <w:r w:rsidRPr="009C22C3">
        <w:rPr>
          <w:rFonts w:cs="Segoe UI"/>
        </w:rPr>
        <w:t>resident</w:t>
      </w:r>
      <w:r>
        <w:rPr>
          <w:rFonts w:cs="Segoe UI"/>
        </w:rPr>
        <w:t>’</w:t>
      </w:r>
      <w:r w:rsidRPr="009C22C3">
        <w:rPr>
          <w:rFonts w:cs="Segoe UI"/>
        </w:rPr>
        <w:t xml:space="preserve"> as a person who lives somewhere permanently or on a long-term basis.</w:t>
      </w:r>
      <w:r>
        <w:rPr>
          <w:rStyle w:val="EndnoteReference"/>
          <w:rFonts w:cs="Segoe UI"/>
        </w:rPr>
        <w:endnoteReference w:id="314"/>
      </w:r>
      <w:r w:rsidRPr="00253422">
        <w:rPr>
          <w:rFonts w:cs="Segoe UI"/>
        </w:rPr>
        <w:t xml:space="preserve"> </w:t>
      </w:r>
      <w:r>
        <w:rPr>
          <w:rFonts w:cs="Segoe UI"/>
        </w:rPr>
        <w:t>Black’s Law Dictionary defines ‘residence’ as t</w:t>
      </w:r>
      <w:r w:rsidRPr="00290176">
        <w:rPr>
          <w:rFonts w:cs="Segoe UI"/>
        </w:rPr>
        <w:t xml:space="preserve">he place where </w:t>
      </w:r>
      <w:r>
        <w:rPr>
          <w:rFonts w:cs="Segoe UI"/>
        </w:rPr>
        <w:t>one</w:t>
      </w:r>
      <w:r w:rsidRPr="00290176">
        <w:rPr>
          <w:rFonts w:cs="Segoe UI"/>
        </w:rPr>
        <w:t xml:space="preserve"> makes </w:t>
      </w:r>
      <w:r>
        <w:rPr>
          <w:rFonts w:cs="Segoe UI"/>
        </w:rPr>
        <w:t>one’s</w:t>
      </w:r>
      <w:r w:rsidRPr="00290176">
        <w:rPr>
          <w:rFonts w:cs="Segoe UI"/>
        </w:rPr>
        <w:t xml:space="preserve"> home, or where </w:t>
      </w:r>
      <w:r>
        <w:rPr>
          <w:rFonts w:cs="Segoe UI"/>
        </w:rPr>
        <w:t>one</w:t>
      </w:r>
      <w:r w:rsidRPr="00290176">
        <w:rPr>
          <w:rFonts w:cs="Segoe UI"/>
        </w:rPr>
        <w:t xml:space="preserve"> dwells permanently or for an extended period of time</w:t>
      </w:r>
      <w:r>
        <w:rPr>
          <w:rFonts w:cs="Segoe UI"/>
        </w:rPr>
        <w:t>.</w:t>
      </w:r>
      <w:r>
        <w:rPr>
          <w:rStyle w:val="EndnoteReference"/>
          <w:rFonts w:cs="Segoe UI"/>
        </w:rPr>
        <w:endnoteReference w:id="315"/>
      </w:r>
    </w:p>
    <w:p w14:paraId="2DBA7E27" w14:textId="77777777" w:rsidR="00122C1B" w:rsidRDefault="00122C1B" w:rsidP="00DA40E0">
      <w:pPr>
        <w:pStyle w:val="TextPara"/>
        <w:rPr>
          <w:rFonts w:cs="Segoe UI"/>
        </w:rPr>
      </w:pPr>
      <w:r>
        <w:rPr>
          <w:rFonts w:cs="Segoe UI"/>
        </w:rPr>
        <w:t xml:space="preserve">Having one rule for licence conversion that applies to all drivers relocating to Victoria would simplify communication to the community and </w:t>
      </w:r>
      <w:r w:rsidRPr="00117C96">
        <w:t xml:space="preserve">enforcement </w:t>
      </w:r>
      <w:r>
        <w:t xml:space="preserve">by the relevant </w:t>
      </w:r>
      <w:r w:rsidRPr="00117C96">
        <w:t>agencies</w:t>
      </w:r>
      <w:r>
        <w:t>, as it would clarify situations when interstate and overseas drivers become unlicensed</w:t>
      </w:r>
      <w:r>
        <w:rPr>
          <w:rFonts w:cs="Segoe UI"/>
        </w:rPr>
        <w:t>.</w:t>
      </w:r>
    </w:p>
    <w:p w14:paraId="6686608D" w14:textId="77777777" w:rsidR="00155A1E" w:rsidRDefault="00122C1B" w:rsidP="00205B32">
      <w:pPr>
        <w:pStyle w:val="TextPara"/>
      </w:pPr>
      <w:r>
        <w:rPr>
          <w:rFonts w:cs="Segoe UI"/>
        </w:rPr>
        <w:t xml:space="preserve">This measure would </w:t>
      </w:r>
      <w:r w:rsidRPr="00334DFD">
        <w:t xml:space="preserve">improve road safety as it enables driving sanctions to be applied more effectively to overseas licensed drivers who </w:t>
      </w:r>
      <w:r>
        <w:t xml:space="preserve">become residents and </w:t>
      </w:r>
      <w:r w:rsidRPr="00334DFD">
        <w:t xml:space="preserve">are </w:t>
      </w:r>
      <w:r>
        <w:t>yet to be</w:t>
      </w:r>
      <w:r w:rsidRPr="00334DFD">
        <w:t xml:space="preserve"> </w:t>
      </w:r>
      <w:r>
        <w:t>brought</w:t>
      </w:r>
      <w:r w:rsidRPr="00334DFD">
        <w:t xml:space="preserve"> </w:t>
      </w:r>
      <w:r>
        <w:t>with</w:t>
      </w:r>
      <w:r w:rsidRPr="00334DFD">
        <w:t>in the Victori</w:t>
      </w:r>
      <w:r>
        <w:t>an driver licensing system. I</w:t>
      </w:r>
      <w:r w:rsidRPr="00334DFD">
        <w:t xml:space="preserve">t </w:t>
      </w:r>
      <w:r>
        <w:t xml:space="preserve">would also </w:t>
      </w:r>
      <w:r w:rsidRPr="00334DFD">
        <w:t>ensure that their identity is duly verified and sanctions applied to t</w:t>
      </w:r>
      <w:r>
        <w:t>hem consistently and accurately,</w:t>
      </w:r>
      <w:r w:rsidRPr="00334DFD">
        <w:rPr>
          <w:vertAlign w:val="superscript"/>
        </w:rPr>
        <w:endnoteReference w:id="316"/>
      </w:r>
      <w:r w:rsidRPr="00334DFD">
        <w:t xml:space="preserve"> </w:t>
      </w:r>
      <w:r>
        <w:t>b</w:t>
      </w:r>
      <w:r w:rsidRPr="00334DFD">
        <w:t>y bringing all overseas licence holders resid</w:t>
      </w:r>
      <w:r>
        <w:t>ing</w:t>
      </w:r>
      <w:r w:rsidRPr="00334DFD">
        <w:t xml:space="preserve"> in Victoria into the Victorian driver licensing system</w:t>
      </w:r>
      <w:r>
        <w:t>.</w:t>
      </w:r>
    </w:p>
    <w:p w14:paraId="4C32FEE1" w14:textId="77777777" w:rsidR="00122C1B" w:rsidRPr="00117C96" w:rsidRDefault="00155A1E" w:rsidP="007D50E5">
      <w:pPr>
        <w:pStyle w:val="TextPara"/>
        <w:rPr>
          <w:rFonts w:cs="Segoe UI"/>
        </w:rPr>
      </w:pPr>
      <w:r>
        <w:rPr>
          <w:rFonts w:cs="Segoe UI"/>
        </w:rPr>
        <w:t>Given</w:t>
      </w:r>
      <w:r w:rsidRPr="00C23537">
        <w:rPr>
          <w:rFonts w:cs="Segoe UI"/>
        </w:rPr>
        <w:t xml:space="preserve"> </w:t>
      </w:r>
      <w:r>
        <w:rPr>
          <w:rFonts w:cs="Segoe UI"/>
        </w:rPr>
        <w:t>the educational program currently in place</w:t>
      </w:r>
      <w:r w:rsidRPr="00C23537">
        <w:rPr>
          <w:rFonts w:cs="Segoe UI"/>
        </w:rPr>
        <w:t xml:space="preserve"> and the overall low road safety risk </w:t>
      </w:r>
      <w:r>
        <w:rPr>
          <w:rFonts w:cs="Segoe UI"/>
        </w:rPr>
        <w:t xml:space="preserve">that </w:t>
      </w:r>
      <w:r w:rsidRPr="00C23537">
        <w:rPr>
          <w:rFonts w:cs="Segoe UI"/>
        </w:rPr>
        <w:t xml:space="preserve">international visitors </w:t>
      </w:r>
      <w:r>
        <w:rPr>
          <w:rFonts w:cs="Segoe UI"/>
        </w:rPr>
        <w:t>pose, DoT</w:t>
      </w:r>
      <w:r w:rsidRPr="00C23537">
        <w:rPr>
          <w:rFonts w:cs="Segoe UI"/>
        </w:rPr>
        <w:t xml:space="preserve"> </w:t>
      </w:r>
      <w:r>
        <w:rPr>
          <w:rFonts w:cs="Segoe UI"/>
        </w:rPr>
        <w:t>believes</w:t>
      </w:r>
      <w:r w:rsidRPr="00C23537">
        <w:rPr>
          <w:rFonts w:cs="Segoe UI"/>
        </w:rPr>
        <w:t xml:space="preserve"> that </w:t>
      </w:r>
      <w:r>
        <w:rPr>
          <w:rFonts w:cs="Segoe UI"/>
        </w:rPr>
        <w:t>requiring tourists to convert their overseas licence would be inappropriate and not warranted.</w:t>
      </w:r>
      <w:r w:rsidRPr="00155A1E">
        <w:rPr>
          <w:rFonts w:cs="Segoe UI"/>
        </w:rPr>
        <w:t xml:space="preserve"> </w:t>
      </w:r>
    </w:p>
    <w:p w14:paraId="5B68C8AA" w14:textId="77777777" w:rsidR="00122C1B" w:rsidRDefault="00122C1B" w:rsidP="00155A1E">
      <w:pPr>
        <w:pStyle w:val="Heading2"/>
      </w:pPr>
      <w:bookmarkStart w:id="454" w:name="_Ref2761557"/>
      <w:bookmarkStart w:id="455" w:name="_Toc10703442"/>
      <w:r>
        <w:t>Proposed measures</w:t>
      </w:r>
      <w:bookmarkEnd w:id="454"/>
      <w:bookmarkEnd w:id="455"/>
    </w:p>
    <w:p w14:paraId="5DE7142C" w14:textId="77777777" w:rsidR="00122C1B" w:rsidRDefault="00122C1B" w:rsidP="00C76943">
      <w:pPr>
        <w:pStyle w:val="TextPara"/>
      </w:pPr>
      <w:r>
        <w:t xml:space="preserve">Having considered five alternative options, </w:t>
      </w:r>
      <w:r w:rsidR="000C33B0">
        <w:t>DoT</w:t>
      </w:r>
      <w:r>
        <w:t xml:space="preserve"> determined the preferred option to consist of </w:t>
      </w:r>
      <w:r w:rsidRPr="008F68D4">
        <w:t>set</w:t>
      </w:r>
      <w:r>
        <w:t>ting</w:t>
      </w:r>
      <w:r w:rsidRPr="008F68D4">
        <w:t xml:space="preserve"> a single exemption period of six months applicable to all groups of drivers without a Victorian driver licence or learner permit</w:t>
      </w:r>
      <w:r>
        <w:t xml:space="preserve"> intending to become residents with a fixed address in </w:t>
      </w:r>
      <w:r w:rsidRPr="008F68D4">
        <w:t xml:space="preserve">Victoria. </w:t>
      </w:r>
      <w:r w:rsidR="005A58D1" w:rsidRPr="008F68D4">
        <w:t xml:space="preserve">At the end of this period, overseas and interstate drivers </w:t>
      </w:r>
      <w:r w:rsidR="005A58D1">
        <w:t>must convert to a Victorian licence as they l</w:t>
      </w:r>
      <w:r w:rsidR="005A58D1" w:rsidRPr="008F68D4">
        <w:t xml:space="preserve">ose their </w:t>
      </w:r>
      <w:r w:rsidR="005A58D1">
        <w:t>authorisation</w:t>
      </w:r>
      <w:r w:rsidR="005A58D1" w:rsidRPr="008F68D4">
        <w:t xml:space="preserve"> to drive with their interstate or overseas licence.</w:t>
      </w:r>
    </w:p>
    <w:p w14:paraId="04FDC3D7" w14:textId="77777777" w:rsidR="00122C1B" w:rsidRDefault="00122C1B" w:rsidP="00C76943">
      <w:pPr>
        <w:pStyle w:val="TextPara"/>
        <w:rPr>
          <w:rFonts w:cs="Segoe UI"/>
        </w:rPr>
      </w:pPr>
      <w:r>
        <w:rPr>
          <w:rFonts w:cs="Segoe UI"/>
        </w:rPr>
        <w:lastRenderedPageBreak/>
        <w:t xml:space="preserve">Under the proposed measures, </w:t>
      </w:r>
      <w:r w:rsidRPr="00117C96">
        <w:rPr>
          <w:rFonts w:cs="Segoe UI"/>
        </w:rPr>
        <w:t xml:space="preserve">temporary visa holders, who expect to remain resident </w:t>
      </w:r>
      <w:r>
        <w:rPr>
          <w:rFonts w:cs="Segoe UI"/>
        </w:rPr>
        <w:t>in Victoria for more than six</w:t>
      </w:r>
      <w:r w:rsidRPr="00117C96">
        <w:rPr>
          <w:rFonts w:cs="Segoe UI"/>
        </w:rPr>
        <w:t xml:space="preserve"> months after the commencement date of the proposed </w:t>
      </w:r>
      <w:r w:rsidR="00E93287" w:rsidRPr="00117C96">
        <w:rPr>
          <w:rFonts w:cs="Segoe UI"/>
        </w:rPr>
        <w:t>Regulations</w:t>
      </w:r>
      <w:r w:rsidRPr="00117C96">
        <w:rPr>
          <w:rFonts w:cs="Segoe UI"/>
        </w:rPr>
        <w:t>, would be required to convert their overseas licence to a Victorian licence. Victorian residency w</w:t>
      </w:r>
      <w:r>
        <w:rPr>
          <w:rFonts w:cs="Segoe UI"/>
        </w:rPr>
        <w:t>ould</w:t>
      </w:r>
      <w:r w:rsidRPr="00117C96">
        <w:rPr>
          <w:rFonts w:cs="Segoe UI"/>
        </w:rPr>
        <w:t xml:space="preserve"> be the determining factor.</w:t>
      </w:r>
    </w:p>
    <w:p w14:paraId="164EB925" w14:textId="77777777" w:rsidR="00122C1B" w:rsidRPr="00117C96" w:rsidRDefault="00122C1B" w:rsidP="00C76943">
      <w:pPr>
        <w:pStyle w:val="TextPara"/>
        <w:rPr>
          <w:rFonts w:cs="Segoe UI"/>
        </w:rPr>
      </w:pPr>
      <w:r>
        <w:rPr>
          <w:rFonts w:cs="Segoe UI"/>
        </w:rPr>
        <w:t>T</w:t>
      </w:r>
      <w:r w:rsidRPr="00117C96">
        <w:rPr>
          <w:rFonts w:cs="Segoe UI"/>
        </w:rPr>
        <w:t xml:space="preserve">he residential period would commence from arrival in Victoria and establishment within the community. </w:t>
      </w:r>
      <w:r>
        <w:rPr>
          <w:rFonts w:cs="Segoe UI"/>
        </w:rPr>
        <w:t>The latter would include such things as taking out a</w:t>
      </w:r>
      <w:r w:rsidRPr="00117C96">
        <w:rPr>
          <w:rFonts w:cs="Segoe UI"/>
        </w:rPr>
        <w:t xml:space="preserve"> lease, rental agreement or ownership of a property, enrolment in an education institution, </w:t>
      </w:r>
      <w:r>
        <w:rPr>
          <w:rFonts w:cs="Segoe UI"/>
        </w:rPr>
        <w:t>contracting</w:t>
      </w:r>
      <w:r w:rsidRPr="00117C96">
        <w:rPr>
          <w:rFonts w:cs="Segoe UI"/>
        </w:rPr>
        <w:t xml:space="preserve"> utilities</w:t>
      </w:r>
      <w:r>
        <w:rPr>
          <w:rFonts w:cs="Segoe UI"/>
        </w:rPr>
        <w:t xml:space="preserve"> services,</w:t>
      </w:r>
      <w:r w:rsidRPr="00117C96">
        <w:rPr>
          <w:rFonts w:cs="Segoe UI"/>
        </w:rPr>
        <w:t xml:space="preserve"> </w:t>
      </w:r>
      <w:r>
        <w:rPr>
          <w:rFonts w:cs="Segoe UI"/>
        </w:rPr>
        <w:t>and their</w:t>
      </w:r>
      <w:r w:rsidRPr="00117C96">
        <w:rPr>
          <w:rFonts w:cs="Segoe UI"/>
        </w:rPr>
        <w:t xml:space="preserve"> </w:t>
      </w:r>
      <w:r>
        <w:rPr>
          <w:rFonts w:cs="Segoe UI"/>
        </w:rPr>
        <w:t xml:space="preserve">local </w:t>
      </w:r>
      <w:r w:rsidRPr="00117C96">
        <w:rPr>
          <w:rFonts w:cs="Segoe UI"/>
        </w:rPr>
        <w:t xml:space="preserve">financial footprint. </w:t>
      </w:r>
    </w:p>
    <w:p w14:paraId="65217018" w14:textId="77777777" w:rsidR="00122C1B" w:rsidRDefault="00122C1B" w:rsidP="00C76943">
      <w:pPr>
        <w:pStyle w:val="TextPara"/>
      </w:pPr>
      <w:r w:rsidRPr="009B516D">
        <w:t xml:space="preserve">International tourists visiting Victoria </w:t>
      </w:r>
      <w:r>
        <w:t>would continue to be</w:t>
      </w:r>
      <w:r w:rsidRPr="009B516D">
        <w:t xml:space="preserve"> exempt from the requirement to convert their overseas driver licence due to their limited presence in Victoria and </w:t>
      </w:r>
      <w:r>
        <w:t xml:space="preserve">the fact that they </w:t>
      </w:r>
      <w:r w:rsidR="00E85EFA">
        <w:t>do</w:t>
      </w:r>
      <w:r>
        <w:t xml:space="preserve"> </w:t>
      </w:r>
      <w:r w:rsidRPr="009B516D">
        <w:t>not meet the residen</w:t>
      </w:r>
      <w:r>
        <w:t>cy</w:t>
      </w:r>
      <w:r w:rsidRPr="009B516D">
        <w:t xml:space="preserve"> requirements</w:t>
      </w:r>
      <w:r>
        <w:t xml:space="preserve">. </w:t>
      </w:r>
      <w:r w:rsidRPr="00B508D2">
        <w:t xml:space="preserve">About one-half of international tourists visiting Australia stay for not more than </w:t>
      </w:r>
      <w:r>
        <w:t>two</w:t>
      </w:r>
      <w:r w:rsidRPr="00B508D2">
        <w:t xml:space="preserve"> weeks and about three-quarters do not stay for longer than </w:t>
      </w:r>
      <w:r>
        <w:t>four</w:t>
      </w:r>
      <w:r w:rsidRPr="00B508D2">
        <w:t xml:space="preserve"> weeks.</w:t>
      </w:r>
      <w:r w:rsidRPr="00B508D2">
        <w:rPr>
          <w:rStyle w:val="EndnoteReference"/>
        </w:rPr>
        <w:endnoteReference w:id="317"/>
      </w:r>
    </w:p>
    <w:p w14:paraId="4ED636A3" w14:textId="77777777" w:rsidR="00122C1B" w:rsidRDefault="00122C1B" w:rsidP="001A063E">
      <w:pPr>
        <w:pStyle w:val="Heading2"/>
      </w:pPr>
      <w:bookmarkStart w:id="456" w:name="_Toc10703443"/>
      <w:r w:rsidRPr="00EA637D">
        <w:t>Consultation</w:t>
      </w:r>
      <w:bookmarkEnd w:id="456"/>
    </w:p>
    <w:p w14:paraId="0AFAF6F7" w14:textId="77777777" w:rsidR="00E4479F" w:rsidRPr="006832D8" w:rsidRDefault="00122C1B" w:rsidP="006832D8">
      <w:pPr>
        <w:pStyle w:val="TextPara"/>
        <w:rPr>
          <w:rFonts w:cs="Segoe UI"/>
        </w:rPr>
        <w:sectPr w:rsidR="00E4479F" w:rsidRPr="006832D8" w:rsidSect="00910C49">
          <w:headerReference w:type="even" r:id="rId46"/>
          <w:headerReference w:type="default" r:id="rId47"/>
          <w:headerReference w:type="first" r:id="rId48"/>
          <w:endnotePr>
            <w:numFmt w:val="decimal"/>
          </w:endnotePr>
          <w:pgSz w:w="11906" w:h="16838" w:code="9"/>
          <w:pgMar w:top="1418" w:right="1134" w:bottom="1418" w:left="1247" w:header="567" w:footer="397" w:gutter="0"/>
          <w:cols w:space="708"/>
          <w:docGrid w:linePitch="360"/>
        </w:sectPr>
      </w:pPr>
      <w:r>
        <w:rPr>
          <w:rFonts w:cs="Segoe UI"/>
        </w:rPr>
        <w:t xml:space="preserve">Various law enforcement agencies, government departments and non-government stakeholders were consulted about the proposed measure. None of them expressed any opposition to this measure. Victoria Police and the </w:t>
      </w:r>
      <w:r>
        <w:t xml:space="preserve">Sherriff’s Office </w:t>
      </w:r>
      <w:r>
        <w:rPr>
          <w:rFonts w:cs="Segoe UI"/>
        </w:rPr>
        <w:t xml:space="preserve">expressed </w:t>
      </w:r>
      <w:r w:rsidRPr="005101F3">
        <w:t xml:space="preserve">support </w:t>
      </w:r>
      <w:r>
        <w:t xml:space="preserve">for the measure in terms of </w:t>
      </w:r>
      <w:r w:rsidRPr="005101F3">
        <w:t xml:space="preserve">extending the conversion requirements to all </w:t>
      </w:r>
      <w:r>
        <w:t xml:space="preserve">overseas </w:t>
      </w:r>
      <w:r w:rsidRPr="005101F3">
        <w:t>drivers</w:t>
      </w:r>
      <w:r>
        <w:t xml:space="preserve"> who become permanent or temporary residents of Victoria. Victoria Police, Courts Victoria, </w:t>
      </w:r>
      <w:r w:rsidR="00FD0919">
        <w:t xml:space="preserve">and the </w:t>
      </w:r>
      <w:r>
        <w:t xml:space="preserve">Department of Justice and </w:t>
      </w:r>
      <w:r w:rsidR="00FD0919">
        <w:t>Community Safety</w:t>
      </w:r>
      <w:r>
        <w:t xml:space="preserve"> gave </w:t>
      </w:r>
      <w:r>
        <w:rPr>
          <w:rFonts w:cs="Segoe UI"/>
        </w:rPr>
        <w:t>general support for the proposal, as it was acknowledged that the s</w:t>
      </w:r>
      <w:r w:rsidRPr="005F0176">
        <w:t xml:space="preserve">implified residential rule </w:t>
      </w:r>
      <w:r>
        <w:t xml:space="preserve">would facilitate its enforcement and provided </w:t>
      </w:r>
      <w:r w:rsidRPr="005F0176">
        <w:t xml:space="preserve">clarity about when a </w:t>
      </w:r>
      <w:r>
        <w:t xml:space="preserve">holder of an interstate or overseas licence would </w:t>
      </w:r>
      <w:r w:rsidRPr="005F0176">
        <w:t>become unlicensed</w:t>
      </w:r>
      <w:r w:rsidR="006832D8">
        <w:t>.</w:t>
      </w:r>
    </w:p>
    <w:p w14:paraId="7CCACA51" w14:textId="4859A770" w:rsidR="00341B5D" w:rsidRDefault="00834765" w:rsidP="00834765">
      <w:pPr>
        <w:pStyle w:val="Heading1"/>
        <w:ind w:left="851" w:hanging="851"/>
      </w:pPr>
      <w:bookmarkStart w:id="457" w:name="_Toc10703444"/>
      <w:r>
        <w:lastRenderedPageBreak/>
        <w:t>Assessing medical fitness to drive</w:t>
      </w:r>
      <w:bookmarkEnd w:id="457"/>
    </w:p>
    <w:p w14:paraId="528F0BA3" w14:textId="4F5C8168" w:rsidR="008A104E" w:rsidRDefault="008A104E" w:rsidP="008A104E">
      <w:pPr>
        <w:pStyle w:val="Heading2"/>
      </w:pPr>
      <w:bookmarkStart w:id="458" w:name="_Toc10703445"/>
      <w:r>
        <w:t>Background</w:t>
      </w:r>
      <w:bookmarkEnd w:id="458"/>
    </w:p>
    <w:p w14:paraId="2BC28A1C" w14:textId="278C75C7" w:rsidR="00341B5D" w:rsidRPr="00033C85" w:rsidRDefault="00341B5D" w:rsidP="00341B5D">
      <w:pPr>
        <w:pStyle w:val="TextPara"/>
      </w:pPr>
      <w:r w:rsidRPr="00526BC9">
        <w:t xml:space="preserve">VicRoads has a medical </w:t>
      </w:r>
      <w:r>
        <w:t xml:space="preserve">fitness-to-drive </w:t>
      </w:r>
      <w:r w:rsidRPr="00526BC9">
        <w:t>review process that is one of several essential functions in managing road safety in Vi</w:t>
      </w:r>
      <w:r>
        <w:t>ctoria. Importantly, this</w:t>
      </w:r>
      <w:r w:rsidRPr="00526BC9">
        <w:t xml:space="preserve"> process is based on a licence holder’s </w:t>
      </w:r>
      <w:r>
        <w:t xml:space="preserve">medical </w:t>
      </w:r>
      <w:r w:rsidRPr="00526BC9">
        <w:t>fitness to drive and does not discriminate based on</w:t>
      </w:r>
      <w:r>
        <w:t xml:space="preserve"> </w:t>
      </w:r>
      <w:r w:rsidRPr="00526BC9">
        <w:t xml:space="preserve">age. VicRoads’ process </w:t>
      </w:r>
      <w:r>
        <w:t xml:space="preserve">is guided by </w:t>
      </w:r>
      <w:r w:rsidRPr="00526BC9">
        <w:t>the</w:t>
      </w:r>
      <w:r>
        <w:t xml:space="preserve"> national</w:t>
      </w:r>
      <w:r w:rsidRPr="00526BC9">
        <w:t xml:space="preserve"> </w:t>
      </w:r>
      <w:r>
        <w:rPr>
          <w:i/>
        </w:rPr>
        <w:t>Assessing Fitness to Drive</w:t>
      </w:r>
      <w:r w:rsidRPr="00033C85">
        <w:rPr>
          <w:i/>
        </w:rPr>
        <w:t xml:space="preserve"> </w:t>
      </w:r>
      <w:r w:rsidRPr="00B153BB">
        <w:t>medical standards for licensing and clinical management guidelines</w:t>
      </w:r>
      <w:r>
        <w:rPr>
          <w:rStyle w:val="EndnoteReference"/>
        </w:rPr>
        <w:endnoteReference w:id="318"/>
      </w:r>
      <w:r>
        <w:t xml:space="preserve"> published by Austroads and the National Transport Commission.  The ‘base case’, as discussed below, is that drivers undergo a vision test on initial application and subsequently if a concern is declared or reported; there is no prescribed age at which a medical test occurs but it may occur if a concern is declared or reported; and there is no prescribed age at which a road or driving test occurs but it may occur if a concern is declared or reported.</w:t>
      </w:r>
    </w:p>
    <w:p w14:paraId="61392C5C" w14:textId="77777777" w:rsidR="00341B5D" w:rsidRDefault="00341B5D" w:rsidP="00341B5D">
      <w:pPr>
        <w:pStyle w:val="TextPara"/>
      </w:pPr>
      <w:r>
        <w:t>Having considered and partly applied the Austroads fitness-to-drive assessment model</w:t>
      </w:r>
      <w:r>
        <w:rPr>
          <w:rStyle w:val="EndnoteReference"/>
        </w:rPr>
        <w:endnoteReference w:id="319"/>
      </w:r>
      <w:r>
        <w:t xml:space="preserve"> and being guided by the national fitness-to-drive guidelines, Victoria does not have an across-population age-based mandatory licence re-assessment program. Fitness-to-drive assessments take place only if drivers self-notify or are referred to VicRoads by the police following involvement in a crash or community members, such as a medical practitioner or a member of the driver’s family having concerns about the driver’s fitness to continue driving due to health-related issues. </w:t>
      </w:r>
    </w:p>
    <w:p w14:paraId="6967BD9B" w14:textId="77777777" w:rsidR="00341B5D" w:rsidRDefault="00341B5D" w:rsidP="00341B5D">
      <w:pPr>
        <w:pStyle w:val="TextPara"/>
      </w:pPr>
      <w:r>
        <w:t>The key features of the national model developed by Austroads for managing older driver safety which have been applied by VicRoads include:</w:t>
      </w:r>
    </w:p>
    <w:p w14:paraId="4BE1CAA2" w14:textId="77777777" w:rsidR="00341B5D" w:rsidRDefault="00341B5D" w:rsidP="00341B5D">
      <w:pPr>
        <w:pStyle w:val="Bullet1-Black"/>
      </w:pPr>
      <w:r>
        <w:t>consideration of the value of self-referral and community notification sources, whereby only drivers suspected of having functional impairments (and therefore, potentially being at risk of involvement in crashes)</w:t>
      </w:r>
      <w:r w:rsidDel="00DC12A9">
        <w:t xml:space="preserve"> </w:t>
      </w:r>
      <w:r>
        <w:t>are identified and referred for formal fitness-to-drive assessment</w:t>
      </w:r>
    </w:p>
    <w:p w14:paraId="30279533" w14:textId="77777777" w:rsidR="00341B5D" w:rsidRDefault="00341B5D" w:rsidP="00341B5D">
      <w:pPr>
        <w:pStyle w:val="Bullet1-Black"/>
      </w:pPr>
      <w:r>
        <w:t>the use of health assessments involving general practitioners, optometrists, occupational therapy driver assessors and other health specialists depending on the driver’s presenting medical, disability and impairment issues</w:t>
      </w:r>
    </w:p>
    <w:p w14:paraId="79939207" w14:textId="77777777" w:rsidR="00341B5D" w:rsidRDefault="00341B5D" w:rsidP="00341B5D">
      <w:pPr>
        <w:pStyle w:val="Bullet1-Black"/>
      </w:pPr>
      <w:r>
        <w:t xml:space="preserve">whenever possible, using screening tools or assessment instruments of known validity for testing attributes required for safe driving. </w:t>
      </w:r>
    </w:p>
    <w:p w14:paraId="2D5601D7" w14:textId="77777777" w:rsidR="00341B5D" w:rsidRDefault="00341B5D" w:rsidP="00341B5D">
      <w:pPr>
        <w:pStyle w:val="TextPara"/>
      </w:pPr>
      <w:r>
        <w:t xml:space="preserve">The model is based on a process whereby drivers enter the medical fitness-to-drive review process for licence re-assessment upon self-referral, </w:t>
      </w:r>
      <w:r w:rsidRPr="00AB36A0">
        <w:t xml:space="preserve">health </w:t>
      </w:r>
      <w:r>
        <w:t>p</w:t>
      </w:r>
      <w:r w:rsidRPr="00AB36A0">
        <w:t>rofessional referral</w:t>
      </w:r>
      <w:r>
        <w:t xml:space="preserve"> or community referral. All drivers entering the process are initially required to undergo a medical fitness-to-drive examination by their medical practitioner before proceeding further through the system. </w:t>
      </w:r>
    </w:p>
    <w:p w14:paraId="57917324" w14:textId="77777777" w:rsidR="00341B5D" w:rsidRDefault="00341B5D" w:rsidP="00341B5D">
      <w:pPr>
        <w:pStyle w:val="TextPara"/>
      </w:pPr>
      <w:r>
        <w:t xml:space="preserve">A comparison of New South Wales’ </w:t>
      </w:r>
      <w:r w:rsidRPr="00E476B8">
        <w:t>age-based mandatory</w:t>
      </w:r>
      <w:r>
        <w:t xml:space="preserve"> fitness-to-drive</w:t>
      </w:r>
      <w:r w:rsidRPr="00E476B8">
        <w:t xml:space="preserve"> </w:t>
      </w:r>
      <w:r>
        <w:t>re-</w:t>
      </w:r>
      <w:r w:rsidRPr="00E476B8">
        <w:t>assessment program</w:t>
      </w:r>
      <w:r>
        <w:t xml:space="preserve"> to Victoria’s system failed to demonstrate tangible</w:t>
      </w:r>
      <w:r w:rsidRPr="00E476B8">
        <w:t xml:space="preserve"> road safety benefits</w:t>
      </w:r>
      <w:r>
        <w:t>,</w:t>
      </w:r>
      <w:r>
        <w:rPr>
          <w:rStyle w:val="EndnoteReference"/>
        </w:rPr>
        <w:endnoteReference w:id="320"/>
      </w:r>
      <w:r>
        <w:t xml:space="preserve"> and was found to be an inefficient means of improving safety.</w:t>
      </w:r>
      <w:r>
        <w:rPr>
          <w:rStyle w:val="EndnoteReference"/>
        </w:rPr>
        <w:endnoteReference w:id="321"/>
      </w:r>
      <w:r>
        <w:t xml:space="preserve"> The Austroads model, based on a targeted approach using valid testing instruments, provides a systematic, transparent and effective method for managing medically impaired and older driver safety and thus is more likely to be widely acceptable to the target community than age-based practices.</w:t>
      </w:r>
      <w:r>
        <w:rPr>
          <w:rStyle w:val="EndnoteReference"/>
        </w:rPr>
        <w:endnoteReference w:id="322"/>
      </w:r>
    </w:p>
    <w:p w14:paraId="01FB0459" w14:textId="77777777" w:rsidR="00341B5D" w:rsidRDefault="00341B5D" w:rsidP="00341B5D">
      <w:pPr>
        <w:pStyle w:val="TextPara"/>
      </w:pPr>
      <w:r>
        <w:t>The effectiveness of Victoria’s non-mandatory assessment approach is borne out by various studies. When</w:t>
      </w:r>
      <w:r w:rsidRPr="009B62C1">
        <w:rPr>
          <w:rStyle w:val="EndnoteReference"/>
        </w:rPr>
        <w:t xml:space="preserve"> </w:t>
      </w:r>
      <w:r>
        <w:t>older driver crash involvement rates in Victoria were compared in a 2004 study</w:t>
      </w:r>
      <w:r>
        <w:rPr>
          <w:rStyle w:val="EndnoteReference"/>
        </w:rPr>
        <w:endnoteReference w:id="323"/>
      </w:r>
      <w:r>
        <w:t xml:space="preserve"> with rates in other jurisdictions, older drivers in jurisdictions with age-based mandatory assessment programs could not be shown to be safer than older drivers in Victoria. Furthermore, the authors of the study found some evidence that older drivers in Victoria may have a significantly safer record regarding overall involvement in serious casualty crashes.</w:t>
      </w:r>
    </w:p>
    <w:p w14:paraId="15E27CC3" w14:textId="77777777" w:rsidR="00341B5D" w:rsidRDefault="00341B5D" w:rsidP="00341B5D">
      <w:pPr>
        <w:pStyle w:val="TextPara"/>
      </w:pPr>
      <w:r>
        <w:t>In a related study published in the same year,</w:t>
      </w:r>
      <w:r>
        <w:rPr>
          <w:rStyle w:val="EndnoteReference"/>
        </w:rPr>
        <w:endnoteReference w:id="324"/>
      </w:r>
      <w:r>
        <w:t xml:space="preserve"> the same authors compared the casualty crash involvement rates of drivers aged 80 years and older in Melbourne (no regular medical fitness-to-drive and on-road driving assessment) and Sydney (regular medical and on-road assessment),</w:t>
      </w:r>
      <w:r>
        <w:rPr>
          <w:rStyle w:val="EndnoteReference"/>
        </w:rPr>
        <w:endnoteReference w:id="325"/>
      </w:r>
      <w:r>
        <w:t xml:space="preserve"> using population, number of </w:t>
      </w:r>
      <w:r>
        <w:lastRenderedPageBreak/>
        <w:t>licences held, total distance driven and time spent driving as exposure measures. Results showed that while there was no difference in crash risk based on population, older drivers in Sydney had statistically higher rates of casualty crash involvement than their Melbourne counterparts per licensed driver and per time spent driving.</w:t>
      </w:r>
    </w:p>
    <w:p w14:paraId="2CD901AF" w14:textId="77777777" w:rsidR="00341B5D" w:rsidRDefault="00341B5D" w:rsidP="00341B5D">
      <w:pPr>
        <w:pStyle w:val="TextPara"/>
      </w:pPr>
      <w:r>
        <w:t>A more recent Australian study</w:t>
      </w:r>
      <w:r>
        <w:rPr>
          <w:rStyle w:val="EndnoteReference"/>
        </w:rPr>
        <w:endnoteReference w:id="326"/>
      </w:r>
      <w:r>
        <w:t xml:space="preserve"> investigating effects of age-based testing for older driver policy relating to driver’s licence renewal identified negative impacts on driving and similar proportions of drivers with functional impacts despite the additional screening processes. The authors note the absence of crash data as a significant limitation of study analyses and recommend further research to understand the impacts and validity of licence renewal practices including cost-benefit analyses.</w:t>
      </w:r>
    </w:p>
    <w:p w14:paraId="1C2273F0" w14:textId="77777777" w:rsidR="00341B5D" w:rsidRDefault="00341B5D" w:rsidP="00341B5D">
      <w:pPr>
        <w:pStyle w:val="TextPara"/>
      </w:pPr>
      <w:r>
        <w:t>The option of adopting a mandatory age-based fitness-to-drive assessment model was not pursued because currently there is no strong evidence base to support its application or show any real road safety benefits.</w:t>
      </w:r>
      <w:r>
        <w:rPr>
          <w:rStyle w:val="EndnoteReference"/>
        </w:rPr>
        <w:endnoteReference w:id="327"/>
      </w:r>
      <w:r>
        <w:t xml:space="preserve"> Some Australian jurisdictions have relaxed their requirements for mandatory age-based medical reports and testing. Also, its application may be associated with significant drawbacks, which include the following:</w:t>
      </w:r>
    </w:p>
    <w:p w14:paraId="70C67E19" w14:textId="77777777" w:rsidR="00341B5D" w:rsidRDefault="00341B5D" w:rsidP="00EB4B02">
      <w:pPr>
        <w:pStyle w:val="NumAlpha"/>
        <w:numPr>
          <w:ilvl w:val="0"/>
          <w:numId w:val="23"/>
        </w:numPr>
      </w:pPr>
      <w:r>
        <w:t xml:space="preserve">Such a model may </w:t>
      </w:r>
      <w:r w:rsidRPr="00536857">
        <w:t>prompt</w:t>
      </w:r>
      <w:r>
        <w:t xml:space="preserve"> premature cessation of driving.</w:t>
      </w:r>
      <w:r>
        <w:rPr>
          <w:rStyle w:val="EndnoteReference"/>
        </w:rPr>
        <w:endnoteReference w:id="328"/>
      </w:r>
      <w:r>
        <w:t xml:space="preserve"> </w:t>
      </w:r>
    </w:p>
    <w:p w14:paraId="09E082F7" w14:textId="77777777" w:rsidR="00341B5D" w:rsidRDefault="00341B5D" w:rsidP="00EB4B02">
      <w:pPr>
        <w:pStyle w:val="NumAlpha"/>
        <w:numPr>
          <w:ilvl w:val="0"/>
          <w:numId w:val="23"/>
        </w:numPr>
      </w:pPr>
      <w:r>
        <w:t>Older people require optimum mobility for both quality-of-life and general health reasons.</w:t>
      </w:r>
      <w:r>
        <w:rPr>
          <w:rStyle w:val="EndnoteReference"/>
        </w:rPr>
        <w:endnoteReference w:id="329"/>
      </w:r>
    </w:p>
    <w:p w14:paraId="050CF734" w14:textId="77777777" w:rsidR="00341B5D" w:rsidRDefault="00341B5D" w:rsidP="00EB4B02">
      <w:pPr>
        <w:pStyle w:val="NumAlpha"/>
        <w:numPr>
          <w:ilvl w:val="0"/>
          <w:numId w:val="23"/>
        </w:numPr>
      </w:pPr>
      <w:r>
        <w:t>Reduced mobility can create a barrier to health and independent living</w:t>
      </w:r>
      <w:r>
        <w:rPr>
          <w:rStyle w:val="EndnoteReference"/>
        </w:rPr>
        <w:endnoteReference w:id="330"/>
      </w:r>
      <w:r>
        <w:t xml:space="preserve"> and potentially be associated with depression.</w:t>
      </w:r>
      <w:r>
        <w:rPr>
          <w:rStyle w:val="EndnoteReference"/>
        </w:rPr>
        <w:endnoteReference w:id="331"/>
      </w:r>
    </w:p>
    <w:p w14:paraId="5D744594" w14:textId="77777777" w:rsidR="00341B5D" w:rsidRDefault="00341B5D" w:rsidP="00341B5D">
      <w:pPr>
        <w:pStyle w:val="TextPara"/>
      </w:pPr>
      <w:r>
        <w:t xml:space="preserve">There will always be </w:t>
      </w:r>
      <w:r w:rsidRPr="00A16192">
        <w:t xml:space="preserve">medically impaired </w:t>
      </w:r>
      <w:r>
        <w:t>drivers</w:t>
      </w:r>
      <w:r w:rsidRPr="00A16192">
        <w:t xml:space="preserve"> </w:t>
      </w:r>
      <w:r>
        <w:t>of any age who pose an unacceptable risk on the road to others or to themselves.</w:t>
      </w:r>
      <w:r w:rsidRPr="002A42C2">
        <w:t xml:space="preserve"> </w:t>
      </w:r>
      <w:r>
        <w:t>Rather than require all drivers of a particular age to undergo screening and/or testing, the best way to deal with potentially at-risk drivers of any age is to increase health professional and public awareness regarding medical fitness to drive so that their self and community identification is more targeted.</w:t>
      </w:r>
    </w:p>
    <w:p w14:paraId="509E27BD" w14:textId="77777777" w:rsidR="00341B5D" w:rsidRDefault="00341B5D" w:rsidP="00341B5D">
      <w:pPr>
        <w:pStyle w:val="TextPara"/>
      </w:pPr>
      <w:r w:rsidRPr="00490FEF">
        <w:t>Given what is known</w:t>
      </w:r>
      <w:r>
        <w:t xml:space="preserve"> about medical fitness-to-drive and possible impacts on road safety, driver self-regulation and variations in how ageing impacts on individuals, VicRoads will continue to apply a community referral system to medical review</w:t>
      </w:r>
      <w:r w:rsidRPr="009A11A4">
        <w:t xml:space="preserve"> </w:t>
      </w:r>
      <w:r>
        <w:t>rather than introduce population-based re-licensing requirements. This will be accompanied by a case-by-case, risk-based assessment for individuals of all ages within the Medical Review System. Referring older drivers to licensing agencies, together with applying licensing restrictions to only permit drivers to drive within conditions that suit their capabilities are highly effective countermeasures for addressing older and medically impaired driver safety.</w:t>
      </w:r>
      <w:r>
        <w:rPr>
          <w:rStyle w:val="EndnoteReference"/>
        </w:rPr>
        <w:endnoteReference w:id="332"/>
      </w:r>
      <w:r>
        <w:t xml:space="preserve"> Therefore, no change to the current approach to fitness-to-drive assessment in Victoria is warranted and the proposed Regulations re-make the current regulations in this respect.</w:t>
      </w:r>
    </w:p>
    <w:p w14:paraId="5E6769DB" w14:textId="77777777" w:rsidR="00341B5D" w:rsidRDefault="00341B5D" w:rsidP="00341B5D">
      <w:pPr>
        <w:pStyle w:val="TextPara"/>
      </w:pPr>
      <w:r>
        <w:t>There is only one minor change in the proposed Regulations relating to medical fitness-to-drive assessments. The change consists of a clarification of the obligation of licence or learner permit holders to advise VicRoads of any change of medical conditions. Drivers and motorcyclists will be required to advise VicRoads of any disability or medical condition and the effects of the treatment for such medical conditions (not just injury or illness) that may impair their ability to drive safely.</w:t>
      </w:r>
    </w:p>
    <w:p w14:paraId="4054DB7D" w14:textId="77777777" w:rsidR="00341B5D" w:rsidRPr="00F91736" w:rsidRDefault="00341B5D" w:rsidP="00536A81">
      <w:pPr>
        <w:pStyle w:val="Heading2"/>
      </w:pPr>
      <w:bookmarkStart w:id="459" w:name="_Toc10703446"/>
      <w:r w:rsidRPr="00F91736">
        <w:t>Multi Criteria Assessment of Different Options</w:t>
      </w:r>
      <w:bookmarkEnd w:id="459"/>
    </w:p>
    <w:p w14:paraId="12751797" w14:textId="77777777" w:rsidR="00341B5D" w:rsidRDefault="00341B5D" w:rsidP="00341B5D">
      <w:pPr>
        <w:pStyle w:val="TextPara"/>
      </w:pPr>
      <w:r>
        <w:t>This section considers a Multi Criteria Assessment (MCA) of different options for medical fitness-to-drive assessments of older drivers in Victoria.  Medical fitness-to-drive encompasses two distinct though related approaches to the problem. The first is mandatory aged-based assessments in which drivers, once they reach a certain age, are given vision, medical and driving tests. The Department believes that older drivers are more likely to suffer from the impairments that compromise their ability to be safe drivers, since many of the relevant conditions e.g. dementia, are more prevalent at older ages.  Mandatory aged based assessment is analysed in the MCA in this section.</w:t>
      </w:r>
    </w:p>
    <w:p w14:paraId="3116B2C7" w14:textId="77777777" w:rsidR="00341B5D" w:rsidRDefault="00341B5D" w:rsidP="00341B5D">
      <w:pPr>
        <w:pStyle w:val="TextPara"/>
      </w:pPr>
      <w:r>
        <w:lastRenderedPageBreak/>
        <w:t xml:space="preserve">The second is mandatory reporting of medical unfitness to drive, by health professionals of drivers at any age. This is analysed in the second MCA.  </w:t>
      </w:r>
    </w:p>
    <w:p w14:paraId="4ED55B9A" w14:textId="77777777" w:rsidR="00341B5D" w:rsidRPr="009855D1" w:rsidRDefault="00341B5D" w:rsidP="00341B5D">
      <w:pPr>
        <w:pStyle w:val="TextPara"/>
        <w:rPr>
          <w:u w:val="single"/>
        </w:rPr>
      </w:pPr>
      <w:r w:rsidRPr="009855D1">
        <w:rPr>
          <w:u w:val="single"/>
        </w:rPr>
        <w:t>Aged-based assessments</w:t>
      </w:r>
    </w:p>
    <w:p w14:paraId="6A27FE95" w14:textId="77777777" w:rsidR="00341B5D" w:rsidRDefault="00341B5D" w:rsidP="00341B5D">
      <w:pPr>
        <w:pStyle w:val="TextPara"/>
      </w:pPr>
      <w:r>
        <w:t>The MCA methodology is that which is set out in Section 2.5. Two options are considered:</w:t>
      </w:r>
    </w:p>
    <w:p w14:paraId="1B5E7997" w14:textId="77777777" w:rsidR="00341B5D" w:rsidRPr="00F73F92" w:rsidRDefault="00341B5D" w:rsidP="00EB4B02">
      <w:pPr>
        <w:pStyle w:val="TextPara"/>
        <w:numPr>
          <w:ilvl w:val="6"/>
          <w:numId w:val="30"/>
        </w:numPr>
        <w:ind w:left="0" w:firstLine="0"/>
      </w:pPr>
      <w:r w:rsidRPr="00815981">
        <w:rPr>
          <w:rFonts w:cs="Segoe UI"/>
        </w:rPr>
        <w:t>The South Australian model, in which private vehicle drivers undertake annual vision and medical tests from age 70 for holders of licence classes other than C or if declared or report</w:t>
      </w:r>
      <w:r>
        <w:rPr>
          <w:rFonts w:cs="Segoe UI"/>
        </w:rPr>
        <w:t>ed</w:t>
      </w:r>
      <w:r w:rsidRPr="00815981">
        <w:rPr>
          <w:rFonts w:cs="Segoe UI"/>
        </w:rPr>
        <w:t>. Private drivers also take road tests annually from age 85 for licence</w:t>
      </w:r>
      <w:r>
        <w:rPr>
          <w:rFonts w:cs="Segoe UI"/>
        </w:rPr>
        <w:t xml:space="preserve"> classes</w:t>
      </w:r>
      <w:r w:rsidRPr="00815981">
        <w:rPr>
          <w:rFonts w:cs="Segoe UI"/>
        </w:rPr>
        <w:t xml:space="preserve"> other than C. </w:t>
      </w:r>
      <w:r w:rsidRPr="00982D89">
        <w:rPr>
          <w:rStyle w:val="EndnoteReference"/>
          <w:rFonts w:cs="Segoe UI"/>
        </w:rPr>
        <w:endnoteReference w:id="333"/>
      </w:r>
    </w:p>
    <w:p w14:paraId="126B5912" w14:textId="77777777" w:rsidR="00341B5D" w:rsidRDefault="00341B5D" w:rsidP="00EB4B02">
      <w:pPr>
        <w:pStyle w:val="TextPara"/>
        <w:numPr>
          <w:ilvl w:val="6"/>
          <w:numId w:val="30"/>
        </w:numPr>
        <w:ind w:left="0" w:firstLine="0"/>
      </w:pPr>
      <w:r>
        <w:t>The Western Australian model, which requires drivers to undertake annual vision and medical tests from age 80 and an annual road test from age 85.</w:t>
      </w:r>
    </w:p>
    <w:p w14:paraId="3B44B865" w14:textId="77777777" w:rsidR="00341B5D" w:rsidRDefault="00341B5D" w:rsidP="00341B5D">
      <w:pPr>
        <w:pStyle w:val="TextPara"/>
      </w:pPr>
      <w:r>
        <w:t>The South Australian and Western Australian models were chosen because they are, respectively, the most onerous and least onerous of the mandatory aged-based assessments among states that have them.</w:t>
      </w:r>
      <w:r>
        <w:rPr>
          <w:rStyle w:val="EndnoteReference"/>
        </w:rPr>
        <w:endnoteReference w:id="334"/>
      </w:r>
      <w:r>
        <w:t xml:space="preserve"> </w:t>
      </w:r>
      <w:r>
        <w:rPr>
          <w:rStyle w:val="EndnoteReference"/>
        </w:rPr>
        <w:endnoteReference w:id="335"/>
      </w:r>
      <w:r>
        <w:t xml:space="preserve"> </w:t>
      </w:r>
    </w:p>
    <w:p w14:paraId="5662BEA6" w14:textId="77777777" w:rsidR="00341B5D" w:rsidRPr="00060420" w:rsidRDefault="00341B5D" w:rsidP="00341B5D">
      <w:pPr>
        <w:pStyle w:val="NoSpacing"/>
      </w:pPr>
      <w:r w:rsidRPr="00060420">
        <w:t>The assessment criteria</w:t>
      </w:r>
    </w:p>
    <w:p w14:paraId="2538DCD8" w14:textId="77777777" w:rsidR="00341B5D" w:rsidRDefault="00341B5D" w:rsidP="00341B5D">
      <w:pPr>
        <w:pStyle w:val="TextPara"/>
      </w:pPr>
      <w:r>
        <w:t>The MCA proceeds by considering a number of costs and benefits for each option, with each of them assessed on a scale of 1 to 10 when they create social improvements and -1 to -10 when they create social detriments. “Social” here includes both the community and government.  All scores are relative to the base case, which is that Victoria does not have mandatory aged based assessment (the current policy).  Generally, costs are scored negatively. The bigger the costs, the more negative the score. Benefits generally score positively, with options that create bigger benefits receiving bigger positive scores. However, it is possible for some benefits to score negatively. In this instance, equity is a potential benefit from the options. However, as it turns out, the South Australian and Western Australian models were assessed as being bad for equity, and so were scored negatively.</w:t>
      </w:r>
    </w:p>
    <w:p w14:paraId="117D0B96" w14:textId="77777777" w:rsidR="00341B5D" w:rsidRDefault="00341B5D" w:rsidP="00341B5D">
      <w:pPr>
        <w:pStyle w:val="TextPara"/>
      </w:pPr>
      <w:r>
        <w:t>The specific benefits criteria are:</w:t>
      </w:r>
    </w:p>
    <w:p w14:paraId="0532270D" w14:textId="77777777" w:rsidR="00341B5D" w:rsidRPr="00060420" w:rsidRDefault="00341B5D" w:rsidP="00EB4B02">
      <w:pPr>
        <w:pStyle w:val="TableList20"/>
        <w:numPr>
          <w:ilvl w:val="0"/>
          <w:numId w:val="29"/>
        </w:numPr>
        <w:rPr>
          <w:sz w:val="20"/>
          <w:szCs w:val="20"/>
        </w:rPr>
      </w:pPr>
      <w:r w:rsidRPr="00060420">
        <w:rPr>
          <w:sz w:val="20"/>
          <w:szCs w:val="20"/>
        </w:rPr>
        <w:t>Improvement in road safety arising from each of the options</w:t>
      </w:r>
    </w:p>
    <w:p w14:paraId="7010E1FB" w14:textId="77777777" w:rsidR="00341B5D" w:rsidRPr="00060420" w:rsidRDefault="00341B5D" w:rsidP="00EB4B02">
      <w:pPr>
        <w:pStyle w:val="TableList20"/>
        <w:numPr>
          <w:ilvl w:val="0"/>
          <w:numId w:val="29"/>
        </w:numPr>
        <w:rPr>
          <w:sz w:val="20"/>
          <w:szCs w:val="20"/>
        </w:rPr>
      </w:pPr>
      <w:r w:rsidRPr="00060420">
        <w:rPr>
          <w:sz w:val="20"/>
          <w:szCs w:val="20"/>
        </w:rPr>
        <w:t>Equity – are the options fair?</w:t>
      </w:r>
    </w:p>
    <w:p w14:paraId="52BA463B" w14:textId="77777777" w:rsidR="00341B5D" w:rsidRPr="00060420" w:rsidRDefault="00341B5D" w:rsidP="00EB4B02">
      <w:pPr>
        <w:pStyle w:val="TableList20"/>
        <w:numPr>
          <w:ilvl w:val="0"/>
          <w:numId w:val="29"/>
        </w:numPr>
        <w:rPr>
          <w:sz w:val="20"/>
          <w:szCs w:val="20"/>
        </w:rPr>
      </w:pPr>
      <w:r>
        <w:rPr>
          <w:sz w:val="20"/>
          <w:szCs w:val="20"/>
        </w:rPr>
        <w:t>Ease of implementation</w:t>
      </w:r>
      <w:r w:rsidRPr="00060420">
        <w:rPr>
          <w:sz w:val="20"/>
          <w:szCs w:val="20"/>
        </w:rPr>
        <w:t xml:space="preserve"> – how easy is it to put the options into effect?</w:t>
      </w:r>
    </w:p>
    <w:p w14:paraId="4F251C93" w14:textId="77777777" w:rsidR="00341B5D" w:rsidRDefault="00341B5D" w:rsidP="00341B5D">
      <w:pPr>
        <w:pStyle w:val="TextPara"/>
      </w:pPr>
      <w:r>
        <w:t>The specific costs criteria are:</w:t>
      </w:r>
    </w:p>
    <w:p w14:paraId="5DC616C1" w14:textId="77777777" w:rsidR="00341B5D" w:rsidRPr="00060420" w:rsidRDefault="00341B5D" w:rsidP="00EB4B02">
      <w:pPr>
        <w:pStyle w:val="TableList20"/>
        <w:numPr>
          <w:ilvl w:val="0"/>
          <w:numId w:val="29"/>
        </w:numPr>
        <w:rPr>
          <w:sz w:val="20"/>
          <w:szCs w:val="20"/>
        </w:rPr>
      </w:pPr>
      <w:r w:rsidRPr="00060420">
        <w:rPr>
          <w:sz w:val="20"/>
          <w:szCs w:val="20"/>
        </w:rPr>
        <w:t>Costs to the community (in dollars) of implementing the options</w:t>
      </w:r>
    </w:p>
    <w:p w14:paraId="1363E4C6" w14:textId="77777777" w:rsidR="00341B5D" w:rsidRPr="00060420" w:rsidRDefault="00341B5D" w:rsidP="00EB4B02">
      <w:pPr>
        <w:pStyle w:val="TableList20"/>
        <w:numPr>
          <w:ilvl w:val="0"/>
          <w:numId w:val="29"/>
        </w:numPr>
        <w:rPr>
          <w:sz w:val="20"/>
          <w:szCs w:val="20"/>
        </w:rPr>
      </w:pPr>
      <w:r w:rsidRPr="00060420">
        <w:rPr>
          <w:sz w:val="20"/>
          <w:szCs w:val="20"/>
        </w:rPr>
        <w:t>Costs to the government (in dollars) of implementing the options</w:t>
      </w:r>
    </w:p>
    <w:p w14:paraId="7A4C40AA" w14:textId="77777777" w:rsidR="00341B5D" w:rsidRPr="00982D89" w:rsidRDefault="00341B5D" w:rsidP="00EB4B02">
      <w:pPr>
        <w:pStyle w:val="TableList20"/>
        <w:numPr>
          <w:ilvl w:val="0"/>
          <w:numId w:val="29"/>
        </w:numPr>
        <w:rPr>
          <w:sz w:val="20"/>
          <w:szCs w:val="20"/>
        </w:rPr>
      </w:pPr>
      <w:r w:rsidRPr="00060420">
        <w:rPr>
          <w:sz w:val="20"/>
          <w:szCs w:val="20"/>
        </w:rPr>
        <w:t>Unintended consequences – are there any (bad) unintended consequences that arise?</w:t>
      </w:r>
    </w:p>
    <w:p w14:paraId="5A59B790" w14:textId="77777777" w:rsidR="00341B5D" w:rsidRDefault="00341B5D" w:rsidP="00341B5D">
      <w:pPr>
        <w:pStyle w:val="TextPara"/>
      </w:pPr>
      <w:r>
        <w:t>Each criterion is weighted to reflect its relative importance. Weighting schemes in any MCA are inevitably somewhat subjective. As per the analysis in Section 2.5, benefits (on the whole) and costs (on the whole), each received a weight of 50%. Also, as per Section 2.5, within the benefits, safety received the largest weight (40%), reflecting the fact that the point of mandatory age-based vision, medical and driving assessments is to improve road safety for the benefit of drivers, their passengers and other road users. But other benefit criteria are important too, so equity and effectiveness each received a weighting of 5%.</w:t>
      </w:r>
    </w:p>
    <w:p w14:paraId="3EE3E841" w14:textId="77777777" w:rsidR="00341B5D" w:rsidRDefault="00341B5D" w:rsidP="00341B5D">
      <w:pPr>
        <w:pStyle w:val="TextPara"/>
      </w:pPr>
      <w:r>
        <w:t xml:space="preserve">Among the costs, the costs to the community and government each received a weight of 20%, which is the same weight that each received in Section 2.5.  Unintended consequences, such as the risk of social exclusion for older people who lose their driver’s licence received a weight of 10%. (Thus, by construction, this is the same weight that costs other than community costs and government costs received in Section 2.5). </w:t>
      </w:r>
    </w:p>
    <w:p w14:paraId="4851D064" w14:textId="77777777" w:rsidR="00341B5D" w:rsidRDefault="00341B5D" w:rsidP="00341B5D">
      <w:pPr>
        <w:pStyle w:val="TextPara"/>
      </w:pPr>
      <w:r>
        <w:t xml:space="preserve">By construction, the base case scored zero for all criteria. This was not a judgement on the absolute merits of the base case for each criterion, but instead reflects the fact that the alternative options were judged </w:t>
      </w:r>
      <w:r>
        <w:lastRenderedPageBreak/>
        <w:t xml:space="preserve">relative to the base case. In an MCA, what matters is which option scores the highest, relative to the others, but no particular interpretation attaches to the absolute (weighted) score for each option.  </w:t>
      </w:r>
    </w:p>
    <w:p w14:paraId="05B470D0" w14:textId="77777777" w:rsidR="00341B5D" w:rsidRPr="002F74BA" w:rsidRDefault="00341B5D" w:rsidP="00341B5D">
      <w:pPr>
        <w:pStyle w:val="NoSpacing"/>
        <w:rPr>
          <w:szCs w:val="20"/>
        </w:rPr>
      </w:pPr>
      <w:r w:rsidRPr="002F74BA">
        <w:rPr>
          <w:szCs w:val="20"/>
        </w:rPr>
        <w:t>Discussion of the benefits</w:t>
      </w:r>
    </w:p>
    <w:p w14:paraId="76587EED" w14:textId="77777777" w:rsidR="00341B5D" w:rsidRPr="00060420" w:rsidRDefault="00341B5D" w:rsidP="00341B5D">
      <w:pPr>
        <w:pStyle w:val="TextPara"/>
        <w:rPr>
          <w:b/>
        </w:rPr>
      </w:pPr>
      <w:r w:rsidRPr="00060420">
        <w:rPr>
          <w:b/>
        </w:rPr>
        <w:t>Safety</w:t>
      </w:r>
    </w:p>
    <w:p w14:paraId="3C0A401C" w14:textId="77777777" w:rsidR="00341B5D" w:rsidRDefault="00341B5D" w:rsidP="00341B5D">
      <w:pPr>
        <w:pStyle w:val="TextPara"/>
      </w:pPr>
      <w:r>
        <w:t>As discussed above, the literature finds that there is very little (if any) evidence to suggest that older drivers in jurisdictions with mandatory aged base assessment are safer than in Victoria where these mandatory assessments do not exist,</w:t>
      </w:r>
      <w:r>
        <w:rPr>
          <w:rStyle w:val="EndnoteReference"/>
        </w:rPr>
        <w:endnoteReference w:id="336"/>
      </w:r>
      <w:r>
        <w:t xml:space="preserve"> and indeed, older drivers in Victoria may have better safety records than elsewhere.  It is not altogether clear why this should be the case, but a plausible explanation is that Victoria has a stringent system of community-based reporting of drivers who have, or are believed to have, medical conditions which could make them unsafe drivers.</w:t>
      </w:r>
    </w:p>
    <w:p w14:paraId="704A4F4E" w14:textId="77777777" w:rsidR="00341B5D" w:rsidRDefault="00341B5D" w:rsidP="00341B5D">
      <w:pPr>
        <w:pStyle w:val="TextPara"/>
      </w:pPr>
      <w:r>
        <w:t>In other words, what matters is not age as such but fitness to drive. Of course, many conditions which make drivers unsafe are correlated with age and are more likely to occur in old age, but age-based testing is arguably a crude way of uncovering on an individual basis what matters, which is medical fitness to drive.</w:t>
      </w:r>
    </w:p>
    <w:p w14:paraId="6DD15B12" w14:textId="77777777" w:rsidR="00341B5D" w:rsidRDefault="00341B5D" w:rsidP="00341B5D">
      <w:pPr>
        <w:pStyle w:val="TextPara"/>
      </w:pPr>
      <w:r>
        <w:t>In any case, if age-based mandatory assessment is an effective way of improving road safety it should be borne out in the data for South Australia, which had until recently the most onerous mandatory age-based system. The data, however, do not bear this out. Over the period 1993 to 2013, there was virtually no reduction in the fatalities and serious injuries among road users aged 70 years and over, while over the same period fatalities and serious injuries among 16-24 year olds fell by 72 per cent.</w:t>
      </w:r>
      <w:r>
        <w:rPr>
          <w:rStyle w:val="EndnoteReference"/>
        </w:rPr>
        <w:endnoteReference w:id="337"/>
      </w:r>
      <w:r>
        <w:t xml:space="preserve">  What is more, older drivers (especially those aged 80+) are more likely to be involved in serious crashes than middle-aged drivers, despite the mandatory assessment regime.  </w:t>
      </w:r>
    </w:p>
    <w:p w14:paraId="139FA592" w14:textId="77777777" w:rsidR="00341B5D" w:rsidRDefault="00341B5D" w:rsidP="00341B5D">
      <w:pPr>
        <w:pStyle w:val="TextPara"/>
      </w:pPr>
      <w:r>
        <w:t xml:space="preserve">Obviously, there are many causes of serious accidents, and the data are open to different interpretations, such as that serious accidents would have been even more prevalent among older drivers in South Australia but for the mandatory age-based assessment.  Without an analysis of all accidents due to all causes at all age groups over time, taking into account external factors like safer cars and enforcement of road rules, it is not possible to be definitive. Notwithstanding this lack of objective evidence, the Department’s opinion is that some older drivers with visual or medical problems, or who lose their driving skills, will voluntarily cease to drive, or will be compelled to cease driving by their families, before action by regulatory authorities. This means that to some (unknowable) extent older drivers will have better vision, will be in better health and will have better reflexes and alertness etc than the older population generally, even before some older drivers are taken off the road as a result of mandatory assessments. </w:t>
      </w:r>
    </w:p>
    <w:p w14:paraId="6E9F9865" w14:textId="77777777" w:rsidR="00341B5D" w:rsidRDefault="00341B5D" w:rsidP="00341B5D">
      <w:pPr>
        <w:pStyle w:val="TextPara"/>
      </w:pPr>
      <w:r>
        <w:t xml:space="preserve">In the opinion of the Department, on balance, the South Australian model, since it applies to so many drivers because it starts vision and medical at such a relatively young age (70), probably would remove some unsafe drivers from Victorian roads. Noting that mandatory age-based assessments, on the evidence, can not only remove drivers who are not unsafe but also not remove drivers who are unsafe, it scores </w:t>
      </w:r>
      <w:r w:rsidRPr="00982D89">
        <w:rPr>
          <w:b/>
        </w:rPr>
        <w:t>6</w:t>
      </w:r>
      <w:r>
        <w:t xml:space="preserve"> for safety. The Western Australian model starts at a later age (80) and so by definition does not catch drivers aged 70-79, and thus scores lower on safety. It receives a score of </w:t>
      </w:r>
      <w:r w:rsidRPr="00982D89">
        <w:rPr>
          <w:b/>
        </w:rPr>
        <w:t>4</w:t>
      </w:r>
      <w:r w:rsidRPr="00982D89">
        <w:t>,</w:t>
      </w:r>
      <w:r>
        <w:rPr>
          <w:b/>
        </w:rPr>
        <w:t xml:space="preserve"> </w:t>
      </w:r>
      <w:r>
        <w:t>only somewhat less than South Australia, on the reasoning that a disproportionate number of drivers who are found unfit on vision and medical grounds are likely to be aged 80 and over.</w:t>
      </w:r>
      <w:r>
        <w:rPr>
          <w:rStyle w:val="EndnoteReference"/>
        </w:rPr>
        <w:endnoteReference w:id="338"/>
      </w:r>
    </w:p>
    <w:p w14:paraId="7BA64A08" w14:textId="77777777" w:rsidR="00341B5D" w:rsidRPr="00060420" w:rsidRDefault="00341B5D" w:rsidP="00341B5D">
      <w:pPr>
        <w:pStyle w:val="TextPara"/>
        <w:rPr>
          <w:b/>
        </w:rPr>
      </w:pPr>
      <w:r w:rsidRPr="00060420">
        <w:rPr>
          <w:b/>
        </w:rPr>
        <w:t>Equity</w:t>
      </w:r>
    </w:p>
    <w:p w14:paraId="3573121D" w14:textId="77777777" w:rsidR="00341B5D" w:rsidRDefault="00341B5D" w:rsidP="00341B5D">
      <w:pPr>
        <w:pStyle w:val="TextPara"/>
      </w:pPr>
      <w:r>
        <w:t xml:space="preserve">The South Australian model (and to a lesser extent the Western Australian model) score negatively on equity. This is because, by definition, they discriminate on the basis of age. Not only are all drivers aged 70+ in the South Australian model forced to undertake vision and medical tests for no reason other than their age, even when there is no prior reason to believe that they may be unfit to drive, it is always possible – in the Department’s opinion, probably inevitable – that some of them will be incorrectly assessed as being unfit to drive, or only fit to drive under restrictive conditions. This is at a time when Australians are being </w:t>
      </w:r>
      <w:r>
        <w:lastRenderedPageBreak/>
        <w:t>urged to work for longer because improvements in health make it possible, and for many people a driver’s licence is necessary for them to work.</w:t>
      </w:r>
    </w:p>
    <w:p w14:paraId="1A8AAA18" w14:textId="77777777" w:rsidR="00341B5D" w:rsidRDefault="00341B5D" w:rsidP="00341B5D">
      <w:pPr>
        <w:pStyle w:val="TextPara"/>
        <w:rPr>
          <w:b/>
        </w:rPr>
      </w:pPr>
      <w:r>
        <w:t xml:space="preserve">Because the South Australian model kicks in at a young age, it scores very badly, </w:t>
      </w:r>
      <w:r w:rsidRPr="00982D89">
        <w:t>-</w:t>
      </w:r>
      <w:r w:rsidRPr="00982D89">
        <w:rPr>
          <w:b/>
        </w:rPr>
        <w:t>8</w:t>
      </w:r>
      <w:r w:rsidRPr="00982D89">
        <w:t>.</w:t>
      </w:r>
      <w:r>
        <w:rPr>
          <w:b/>
        </w:rPr>
        <w:t xml:space="preserve"> </w:t>
      </w:r>
      <w:r>
        <w:t xml:space="preserve">The Western Australian model scores </w:t>
      </w:r>
      <w:r w:rsidRPr="00982D89">
        <w:rPr>
          <w:b/>
        </w:rPr>
        <w:t>-4</w:t>
      </w:r>
      <w:r>
        <w:t>, reflecting the fact mandatory vison and medical tests start ten years later.</w:t>
      </w:r>
    </w:p>
    <w:p w14:paraId="54AC201A" w14:textId="77777777" w:rsidR="00341B5D" w:rsidRPr="00060420" w:rsidRDefault="00341B5D" w:rsidP="00341B5D">
      <w:pPr>
        <w:pStyle w:val="TextPara"/>
        <w:rPr>
          <w:b/>
        </w:rPr>
      </w:pPr>
      <w:r w:rsidRPr="00060420">
        <w:rPr>
          <w:b/>
        </w:rPr>
        <w:t>E</w:t>
      </w:r>
      <w:r>
        <w:rPr>
          <w:b/>
        </w:rPr>
        <w:t>ase of implementation</w:t>
      </w:r>
    </w:p>
    <w:p w14:paraId="6A5866ED" w14:textId="77777777" w:rsidR="00341B5D" w:rsidRDefault="00341B5D" w:rsidP="00341B5D">
      <w:pPr>
        <w:pStyle w:val="TextPara"/>
      </w:pPr>
      <w:r>
        <w:t>Because drivers’ ages are known to road authorities, it should be relatively easy to put mandatory age- based assessment into effect. Drivers can be given plenty of notice that they require assessment. Of course, the system needs to be enforced and there is always the possibility that people can’t be reached because the address on their licence is not current, or that they miss their tests. A penalty regime for people who don’t take the necessary tests would need to be devised and implemented. Both the South Australian and Western Australian models score -</w:t>
      </w:r>
      <w:r>
        <w:rPr>
          <w:b/>
        </w:rPr>
        <w:t>4</w:t>
      </w:r>
      <w:r>
        <w:t xml:space="preserve"> in the MCA for ease of implementation. The score is negative because in the base case there is no implementation and doing something is harder than doing nothing.</w:t>
      </w:r>
    </w:p>
    <w:p w14:paraId="5C717800" w14:textId="77777777" w:rsidR="00341B5D" w:rsidRPr="00060420" w:rsidRDefault="00341B5D" w:rsidP="00341B5D">
      <w:pPr>
        <w:pStyle w:val="NoSpacing"/>
      </w:pPr>
      <w:r w:rsidRPr="00060420">
        <w:t>Discussion of the costs</w:t>
      </w:r>
    </w:p>
    <w:p w14:paraId="0815730B" w14:textId="77777777" w:rsidR="00341B5D" w:rsidRDefault="00341B5D" w:rsidP="00341B5D">
      <w:pPr>
        <w:pStyle w:val="TextPara"/>
        <w:rPr>
          <w:b/>
        </w:rPr>
      </w:pPr>
      <w:r w:rsidRPr="00060420">
        <w:rPr>
          <w:b/>
        </w:rPr>
        <w:t>Community</w:t>
      </w:r>
      <w:r>
        <w:rPr>
          <w:b/>
        </w:rPr>
        <w:t xml:space="preserve"> costs</w:t>
      </w:r>
    </w:p>
    <w:p w14:paraId="39EB14B5" w14:textId="77777777" w:rsidR="00341B5D" w:rsidRDefault="00341B5D" w:rsidP="00341B5D">
      <w:pPr>
        <w:pStyle w:val="TextPara"/>
      </w:pPr>
      <w:r>
        <w:t xml:space="preserve">The cost of the community of mandated vision, medical and driving examinations and tests is the total resource cost expended in those examinations and tests. This does not necessarily mean that individual older drivers will necessarily pay these costs out of their own pocket. For example, if their medical tests are bulk-billed, they will not, with the tests being paid by the Australian community in general, but this does not change the resource costs of the tests.  </w:t>
      </w:r>
    </w:p>
    <w:p w14:paraId="0A8647F0" w14:textId="77777777" w:rsidR="00341B5D" w:rsidRDefault="00341B5D" w:rsidP="00341B5D">
      <w:pPr>
        <w:pStyle w:val="TextPara"/>
      </w:pPr>
      <w:r>
        <w:t>In the South Australian model, all drivers aged 70 and above undertake compulsory vision and medical tests. The number of 70+ year olds with a driver’s licence in Victoria as at May 2019 is 543,121 This is the maximum number that would need to take vision and medical tests every year under the South Australian model. (It is a maximum because not everyone who has a driver’s licence is an active driver.  There is an unknown number of older people who have ceased driving but who still hold a licence which will lapse in due course.) Assuming a cost of $200 per test</w:t>
      </w:r>
      <w:r>
        <w:rPr>
          <w:rStyle w:val="EndnoteReference"/>
        </w:rPr>
        <w:endnoteReference w:id="339"/>
      </w:r>
      <w:r>
        <w:t xml:space="preserve"> (vision and medical combined), this would amount to a cost of around $109 million per year. </w:t>
      </w:r>
      <w:r>
        <w:rPr>
          <w:rStyle w:val="EndnoteReference"/>
        </w:rPr>
        <w:endnoteReference w:id="340"/>
      </w:r>
    </w:p>
    <w:p w14:paraId="5C82700B" w14:textId="77777777" w:rsidR="00341B5D" w:rsidRDefault="00341B5D" w:rsidP="00341B5D">
      <w:pPr>
        <w:pStyle w:val="TextPara"/>
      </w:pPr>
      <w:r>
        <w:t>As well, in the South Australian model, drivers aged 85 and above would be required to take driving tests. Currently there are 59,798 licence-holders who are 85+ years old.  Assuming a resource cost per driving test of $300 per test,</w:t>
      </w:r>
      <w:r>
        <w:rPr>
          <w:rStyle w:val="EndnoteReference"/>
        </w:rPr>
        <w:endnoteReference w:id="341"/>
      </w:r>
      <w:r>
        <w:t xml:space="preserve"> the annual cost of testing 85+ year olds will be $18 million per year. Therefore, the combined cost of the vision, medical and driving tests in the South Australian model is approximately $127 million per year. </w:t>
      </w:r>
    </w:p>
    <w:p w14:paraId="13113622" w14:textId="77777777" w:rsidR="00341B5D" w:rsidRDefault="00341B5D" w:rsidP="00341B5D">
      <w:pPr>
        <w:pStyle w:val="TextPara"/>
      </w:pPr>
      <w:r>
        <w:t>The Western Australian model applies vision and medical tests to 80+ year olds, of whom there are 159,222 with driver’s licenses in Victoria. The cost of vision and medical tests in the Western Australian model is therefore around $31 million.  Like the South Australian model, the Western Australian model mandates driving tests for 85+ year olds so the cost is the same, $18 million per year. The total community cost of the Western Australian model is therefore $49 million per year.</w:t>
      </w:r>
      <w:r>
        <w:rPr>
          <w:rStyle w:val="EndnoteReference"/>
        </w:rPr>
        <w:endnoteReference w:id="342"/>
      </w:r>
      <w:r>
        <w:t xml:space="preserve"> </w:t>
      </w:r>
    </w:p>
    <w:p w14:paraId="16566B8E" w14:textId="77777777" w:rsidR="00341B5D" w:rsidRDefault="00341B5D" w:rsidP="00341B5D">
      <w:pPr>
        <w:pStyle w:val="TextPara"/>
      </w:pPr>
      <w:r>
        <w:t xml:space="preserve">Because it is so large, the community cost in the South Australian model scores </w:t>
      </w:r>
      <w:r w:rsidRPr="009855D1">
        <w:rPr>
          <w:b/>
        </w:rPr>
        <w:t>-</w:t>
      </w:r>
      <w:r>
        <w:rPr>
          <w:b/>
        </w:rPr>
        <w:t xml:space="preserve">9 </w:t>
      </w:r>
      <w:r>
        <w:t xml:space="preserve">in the MCA. The Western Australian model scores </w:t>
      </w:r>
      <w:r>
        <w:rPr>
          <w:b/>
        </w:rPr>
        <w:t>-4</w:t>
      </w:r>
      <w:r>
        <w:t>, reflecting its lower cost relative to the South Australian model.</w:t>
      </w:r>
    </w:p>
    <w:p w14:paraId="0C68D8B7" w14:textId="77777777" w:rsidR="00341B5D" w:rsidRPr="00982D89" w:rsidRDefault="00341B5D" w:rsidP="00341B5D">
      <w:pPr>
        <w:pStyle w:val="TextPara"/>
        <w:rPr>
          <w:b/>
        </w:rPr>
      </w:pPr>
      <w:r>
        <w:rPr>
          <w:b/>
        </w:rPr>
        <w:t>G</w:t>
      </w:r>
      <w:r w:rsidRPr="00060420">
        <w:rPr>
          <w:b/>
        </w:rPr>
        <w:t>overnment costs</w:t>
      </w:r>
    </w:p>
    <w:p w14:paraId="2D4EABD0" w14:textId="77777777" w:rsidR="00341B5D" w:rsidRDefault="00341B5D" w:rsidP="00341B5D">
      <w:pPr>
        <w:pStyle w:val="TextPara"/>
      </w:pPr>
      <w:r>
        <w:t xml:space="preserve">The costs to the government are the system costs of setting up the testing regime and making sure the regulations are enforced.  Assuming about </w:t>
      </w:r>
      <w:r w:rsidRPr="00E671C8">
        <w:t>$200</w:t>
      </w:r>
      <w:r>
        <w:t xml:space="preserve"> per driver per year (including amortisation of set up costs),</w:t>
      </w:r>
      <w:r>
        <w:rPr>
          <w:rStyle w:val="EndnoteReference"/>
        </w:rPr>
        <w:endnoteReference w:id="343"/>
      </w:r>
      <w:r>
        <w:t xml:space="preserve"> this comes to about $108 million per year in the South Australian model and $31 million per year in the Western Australian model.</w:t>
      </w:r>
    </w:p>
    <w:p w14:paraId="3E222168" w14:textId="77777777" w:rsidR="00341B5D" w:rsidRPr="009855D1" w:rsidRDefault="00341B5D" w:rsidP="00341B5D">
      <w:pPr>
        <w:pStyle w:val="TextPara"/>
        <w:rPr>
          <w:b/>
        </w:rPr>
      </w:pPr>
      <w:r>
        <w:lastRenderedPageBreak/>
        <w:t xml:space="preserve">The government cost in the South Australian model scores </w:t>
      </w:r>
      <w:r>
        <w:rPr>
          <w:b/>
        </w:rPr>
        <w:t>-8</w:t>
      </w:r>
      <w:r>
        <w:t xml:space="preserve">, reflecting the size of that cost relative to the community cost in that model. Likewise, the government cost in the Western Australian model scores </w:t>
      </w:r>
      <w:r>
        <w:rPr>
          <w:b/>
        </w:rPr>
        <w:t xml:space="preserve">-3. </w:t>
      </w:r>
    </w:p>
    <w:p w14:paraId="3E685A43" w14:textId="77777777" w:rsidR="00341B5D" w:rsidRPr="00060420" w:rsidRDefault="00341B5D" w:rsidP="00341B5D">
      <w:pPr>
        <w:pStyle w:val="TextPara"/>
        <w:rPr>
          <w:b/>
        </w:rPr>
      </w:pPr>
      <w:r w:rsidRPr="00060420">
        <w:rPr>
          <w:b/>
        </w:rPr>
        <w:t>Unintended consequences</w:t>
      </w:r>
    </w:p>
    <w:p w14:paraId="445BA11E" w14:textId="77777777" w:rsidR="00341B5D" w:rsidRDefault="00341B5D" w:rsidP="00341B5D">
      <w:pPr>
        <w:pStyle w:val="TextPara"/>
      </w:pPr>
      <w:r w:rsidRPr="00060420">
        <w:t xml:space="preserve">While </w:t>
      </w:r>
      <w:r>
        <w:t>removing the licence of someone who is unfit to drive is desirable as such, there are unintended consequences. As discussed, and referenced above, driving is important for mobility and the withdrawal of a driver’s licence from an older person can cause social isolation, depression and poor health generally. Not all older people have the option of taking public transport or a commercial passenger vehicle. Both the South Australian and Western Australian models will cause some older drivers to lose their licences. In some cases, this will be justified on road safety grounds, but justified or not on these grounds the unintended consequences may be significant for some people.</w:t>
      </w:r>
    </w:p>
    <w:p w14:paraId="0A40E181" w14:textId="77777777" w:rsidR="00341B5D" w:rsidRDefault="00341B5D" w:rsidP="00341B5D">
      <w:pPr>
        <w:pStyle w:val="TextPara"/>
        <w:rPr>
          <w:b/>
        </w:rPr>
      </w:pPr>
      <w:r>
        <w:t xml:space="preserve">On this criterion the South Australian model scores </w:t>
      </w:r>
      <w:r w:rsidRPr="009855D1">
        <w:rPr>
          <w:b/>
        </w:rPr>
        <w:t>-7</w:t>
      </w:r>
      <w:r>
        <w:rPr>
          <w:b/>
        </w:rPr>
        <w:t xml:space="preserve"> </w:t>
      </w:r>
      <w:r>
        <w:t xml:space="preserve">and the Western Australian model scores </w:t>
      </w:r>
      <w:r w:rsidRPr="009855D1">
        <w:rPr>
          <w:b/>
        </w:rPr>
        <w:t>-5</w:t>
      </w:r>
      <w:r>
        <w:rPr>
          <w:b/>
        </w:rPr>
        <w:t xml:space="preserve">. </w:t>
      </w:r>
      <w:r>
        <w:t>The magnitudes reflect the evidence of the negative psychosocial and health consequences on older people of driving restrictions and cessation of driving.</w:t>
      </w:r>
      <w:r>
        <w:rPr>
          <w:rStyle w:val="EndnoteReference"/>
        </w:rPr>
        <w:endnoteReference w:id="344"/>
      </w:r>
      <w:r>
        <w:t xml:space="preserve"> The relative South Australian and Western Australian scores reflect the fact that in aggregate there will be more unintended consequences under the South Australian model, but these consequences per person affected will likely be greater under the Western Australian model, because they will concentrated on very old people who will have fewer alternative modes of mobility. </w:t>
      </w:r>
    </w:p>
    <w:p w14:paraId="7617D106" w14:textId="77777777" w:rsidR="00341B5D" w:rsidRDefault="00341B5D" w:rsidP="00341B5D">
      <w:pPr>
        <w:pStyle w:val="NoSpacing"/>
      </w:pPr>
      <w:r>
        <w:t>Summing up the MCA</w:t>
      </w:r>
    </w:p>
    <w:p w14:paraId="0ABAD81B" w14:textId="1C23CE8B" w:rsidR="00341B5D" w:rsidRDefault="000A1C50" w:rsidP="00341B5D">
      <w:pPr>
        <w:pStyle w:val="TextPara"/>
      </w:pPr>
      <w:r>
        <w:fldChar w:fldCharType="begin"/>
      </w:r>
      <w:r>
        <w:instrText xml:space="preserve"> REF _Ref10703662 \h </w:instrText>
      </w:r>
      <w:r>
        <w:fldChar w:fldCharType="separate"/>
      </w:r>
      <w:r w:rsidRPr="00117C96">
        <w:t xml:space="preserve">Table </w:t>
      </w:r>
      <w:r>
        <w:rPr>
          <w:noProof/>
        </w:rPr>
        <w:t>24</w:t>
      </w:r>
      <w:r>
        <w:fldChar w:fldCharType="end"/>
      </w:r>
      <w:r>
        <w:t xml:space="preserve"> </w:t>
      </w:r>
      <w:r w:rsidR="00341B5D">
        <w:t>sums up the Multi Criteria Assessment of the options relating to the medical fitness to drive of older drivers in Victoria.</w:t>
      </w:r>
    </w:p>
    <w:p w14:paraId="3D014047" w14:textId="07B6925B" w:rsidR="00341B5D" w:rsidRPr="007440CB" w:rsidRDefault="00341B5D" w:rsidP="00341B5D">
      <w:pPr>
        <w:pStyle w:val="Caption"/>
      </w:pPr>
      <w:bookmarkStart w:id="460" w:name="_Ref10703662"/>
      <w:bookmarkStart w:id="461" w:name="_Toc10703717"/>
      <w:r w:rsidRPr="00117C96">
        <w:t xml:space="preserve">Table </w:t>
      </w:r>
      <w:r>
        <w:rPr>
          <w:noProof/>
        </w:rPr>
        <w:fldChar w:fldCharType="begin"/>
      </w:r>
      <w:r>
        <w:rPr>
          <w:noProof/>
        </w:rPr>
        <w:instrText xml:space="preserve"> SEQ Table \* ARABIC </w:instrText>
      </w:r>
      <w:r>
        <w:rPr>
          <w:noProof/>
        </w:rPr>
        <w:fldChar w:fldCharType="separate"/>
      </w:r>
      <w:r w:rsidR="00EB4B02">
        <w:rPr>
          <w:noProof/>
        </w:rPr>
        <w:t>24</w:t>
      </w:r>
      <w:r>
        <w:rPr>
          <w:noProof/>
        </w:rPr>
        <w:fldChar w:fldCharType="end"/>
      </w:r>
      <w:bookmarkEnd w:id="460"/>
      <w:r w:rsidRPr="00117C96">
        <w:t xml:space="preserve"> – </w:t>
      </w:r>
      <w:r>
        <w:t>Multi Criteria Assessment of options relating to medical fitness to drive for older drivers</w:t>
      </w:r>
      <w:bookmarkEnd w:id="461"/>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70"/>
        <w:gridCol w:w="1206"/>
        <w:gridCol w:w="998"/>
        <w:gridCol w:w="1164"/>
        <w:gridCol w:w="998"/>
        <w:gridCol w:w="1165"/>
        <w:gridCol w:w="999"/>
        <w:gridCol w:w="1234"/>
      </w:tblGrid>
      <w:tr w:rsidR="00341B5D" w14:paraId="2616A215" w14:textId="77777777" w:rsidTr="003C7C88">
        <w:tc>
          <w:tcPr>
            <w:tcW w:w="1870" w:type="dxa"/>
            <w:shd w:val="clear" w:color="auto" w:fill="142841" w:themeFill="text2"/>
          </w:tcPr>
          <w:p w14:paraId="740BADAB" w14:textId="77777777" w:rsidR="00341B5D" w:rsidRPr="005F3507" w:rsidRDefault="00341B5D" w:rsidP="003C7C88">
            <w:pPr>
              <w:pStyle w:val="TextPara"/>
              <w:rPr>
                <w:rFonts w:cs="Segoe UI"/>
                <w:b/>
                <w:sz w:val="18"/>
                <w:szCs w:val="18"/>
              </w:rPr>
            </w:pPr>
            <w:r w:rsidRPr="005F3507">
              <w:rPr>
                <w:rFonts w:cs="Segoe UI"/>
                <w:b/>
                <w:sz w:val="18"/>
                <w:szCs w:val="18"/>
              </w:rPr>
              <w:t>Criterion</w:t>
            </w:r>
          </w:p>
        </w:tc>
        <w:tc>
          <w:tcPr>
            <w:tcW w:w="1206" w:type="dxa"/>
            <w:shd w:val="clear" w:color="auto" w:fill="142841" w:themeFill="text2"/>
          </w:tcPr>
          <w:p w14:paraId="7F127D11" w14:textId="77777777" w:rsidR="00341B5D" w:rsidRPr="005F3507" w:rsidRDefault="00341B5D" w:rsidP="003C7C88">
            <w:pPr>
              <w:pStyle w:val="TextPara"/>
              <w:rPr>
                <w:rFonts w:cs="Segoe UI"/>
                <w:b/>
                <w:sz w:val="18"/>
                <w:szCs w:val="18"/>
              </w:rPr>
            </w:pPr>
            <w:r w:rsidRPr="005F3507">
              <w:rPr>
                <w:rFonts w:cs="Segoe UI"/>
                <w:b/>
                <w:sz w:val="18"/>
                <w:szCs w:val="18"/>
              </w:rPr>
              <w:t>Weighting</w:t>
            </w:r>
          </w:p>
        </w:tc>
        <w:tc>
          <w:tcPr>
            <w:tcW w:w="2162" w:type="dxa"/>
            <w:gridSpan w:val="2"/>
            <w:shd w:val="clear" w:color="auto" w:fill="142841" w:themeFill="text2"/>
          </w:tcPr>
          <w:p w14:paraId="0354F070" w14:textId="77777777" w:rsidR="00341B5D" w:rsidRPr="005F3507" w:rsidRDefault="00341B5D" w:rsidP="003C7C88">
            <w:pPr>
              <w:pStyle w:val="TextPara"/>
              <w:rPr>
                <w:rFonts w:cs="Segoe UI"/>
                <w:b/>
                <w:sz w:val="18"/>
                <w:szCs w:val="18"/>
              </w:rPr>
            </w:pPr>
            <w:r w:rsidRPr="005F3507">
              <w:rPr>
                <w:rFonts w:cs="Segoe UI"/>
                <w:b/>
                <w:sz w:val="18"/>
                <w:szCs w:val="18"/>
              </w:rPr>
              <w:t>Base Case</w:t>
            </w:r>
          </w:p>
        </w:tc>
        <w:tc>
          <w:tcPr>
            <w:tcW w:w="2163" w:type="dxa"/>
            <w:gridSpan w:val="2"/>
            <w:shd w:val="clear" w:color="auto" w:fill="142841" w:themeFill="text2"/>
          </w:tcPr>
          <w:p w14:paraId="6C98A485" w14:textId="77777777" w:rsidR="00341B5D" w:rsidRPr="005F3507" w:rsidRDefault="00341B5D" w:rsidP="003C7C88">
            <w:pPr>
              <w:pStyle w:val="TextPara"/>
              <w:rPr>
                <w:rFonts w:cs="Segoe UI"/>
                <w:b/>
                <w:sz w:val="18"/>
                <w:szCs w:val="18"/>
              </w:rPr>
            </w:pPr>
            <w:r w:rsidRPr="005F3507">
              <w:rPr>
                <w:rFonts w:cs="Segoe UI"/>
                <w:b/>
                <w:sz w:val="18"/>
                <w:szCs w:val="18"/>
              </w:rPr>
              <w:t>South Australian model</w:t>
            </w:r>
          </w:p>
        </w:tc>
        <w:tc>
          <w:tcPr>
            <w:tcW w:w="2233" w:type="dxa"/>
            <w:gridSpan w:val="2"/>
            <w:shd w:val="clear" w:color="auto" w:fill="142841" w:themeFill="text2"/>
          </w:tcPr>
          <w:p w14:paraId="36EC6620" w14:textId="77777777" w:rsidR="00341B5D" w:rsidRPr="005F3507" w:rsidRDefault="00341B5D" w:rsidP="003C7C88">
            <w:pPr>
              <w:pStyle w:val="TextPara"/>
              <w:rPr>
                <w:rFonts w:cs="Segoe UI"/>
                <w:b/>
                <w:sz w:val="18"/>
                <w:szCs w:val="18"/>
              </w:rPr>
            </w:pPr>
            <w:r w:rsidRPr="005F3507">
              <w:rPr>
                <w:rFonts w:cs="Segoe UI"/>
                <w:b/>
                <w:sz w:val="18"/>
                <w:szCs w:val="18"/>
              </w:rPr>
              <w:t>Western Australian model</w:t>
            </w:r>
          </w:p>
        </w:tc>
      </w:tr>
      <w:tr w:rsidR="00341B5D" w14:paraId="10EE4F7D" w14:textId="77777777" w:rsidTr="003C7C88">
        <w:tc>
          <w:tcPr>
            <w:tcW w:w="1870" w:type="dxa"/>
            <w:tcBorders>
              <w:bottom w:val="single" w:sz="4" w:space="0" w:color="BFBFBF" w:themeColor="background1" w:themeShade="BF"/>
            </w:tcBorders>
            <w:shd w:val="clear" w:color="auto" w:fill="142841" w:themeFill="text2"/>
          </w:tcPr>
          <w:p w14:paraId="4D54CBE8" w14:textId="77777777" w:rsidR="00341B5D" w:rsidRPr="005F3507" w:rsidRDefault="00341B5D" w:rsidP="003C7C88">
            <w:pPr>
              <w:pStyle w:val="TextPara"/>
              <w:rPr>
                <w:rFonts w:cs="Segoe UI"/>
                <w:b/>
                <w:sz w:val="18"/>
                <w:szCs w:val="18"/>
              </w:rPr>
            </w:pPr>
          </w:p>
        </w:tc>
        <w:tc>
          <w:tcPr>
            <w:tcW w:w="1206" w:type="dxa"/>
            <w:tcBorders>
              <w:bottom w:val="single" w:sz="4" w:space="0" w:color="BFBFBF" w:themeColor="background1" w:themeShade="BF"/>
            </w:tcBorders>
            <w:shd w:val="clear" w:color="auto" w:fill="142841" w:themeFill="text2"/>
          </w:tcPr>
          <w:p w14:paraId="491F59AC" w14:textId="77777777" w:rsidR="00341B5D" w:rsidRPr="005F3507" w:rsidRDefault="00341B5D" w:rsidP="003C7C88">
            <w:pPr>
              <w:pStyle w:val="TextPara"/>
              <w:rPr>
                <w:rFonts w:cs="Segoe UI"/>
                <w:b/>
                <w:sz w:val="18"/>
                <w:szCs w:val="18"/>
              </w:rPr>
            </w:pPr>
          </w:p>
        </w:tc>
        <w:tc>
          <w:tcPr>
            <w:tcW w:w="998" w:type="dxa"/>
            <w:tcBorders>
              <w:bottom w:val="single" w:sz="4" w:space="0" w:color="BFBFBF" w:themeColor="background1" w:themeShade="BF"/>
            </w:tcBorders>
            <w:shd w:val="clear" w:color="auto" w:fill="142841" w:themeFill="text2"/>
          </w:tcPr>
          <w:p w14:paraId="52C005E2" w14:textId="77777777" w:rsidR="00341B5D" w:rsidRPr="005F3507" w:rsidRDefault="00341B5D" w:rsidP="003C7C88">
            <w:pPr>
              <w:pStyle w:val="TextPara"/>
              <w:rPr>
                <w:rFonts w:cs="Segoe UI"/>
                <w:b/>
                <w:sz w:val="18"/>
                <w:szCs w:val="18"/>
              </w:rPr>
            </w:pPr>
            <w:r w:rsidRPr="005F3507">
              <w:rPr>
                <w:rFonts w:cs="Segoe UI"/>
                <w:b/>
                <w:sz w:val="18"/>
                <w:szCs w:val="18"/>
              </w:rPr>
              <w:t>Raw Score</w:t>
            </w:r>
          </w:p>
        </w:tc>
        <w:tc>
          <w:tcPr>
            <w:tcW w:w="1164" w:type="dxa"/>
            <w:tcBorders>
              <w:bottom w:val="single" w:sz="4" w:space="0" w:color="BFBFBF" w:themeColor="background1" w:themeShade="BF"/>
            </w:tcBorders>
            <w:shd w:val="clear" w:color="auto" w:fill="142841" w:themeFill="text2"/>
          </w:tcPr>
          <w:p w14:paraId="2BAE863F" w14:textId="77777777" w:rsidR="00341B5D" w:rsidRPr="005F3507" w:rsidRDefault="00341B5D" w:rsidP="003C7C88">
            <w:pPr>
              <w:pStyle w:val="TextPara"/>
              <w:rPr>
                <w:rFonts w:cs="Segoe UI"/>
                <w:b/>
                <w:sz w:val="18"/>
                <w:szCs w:val="18"/>
              </w:rPr>
            </w:pPr>
            <w:r w:rsidRPr="005F3507">
              <w:rPr>
                <w:rFonts w:cs="Segoe UI"/>
                <w:b/>
                <w:sz w:val="18"/>
                <w:szCs w:val="18"/>
              </w:rPr>
              <w:t>Weighted Score</w:t>
            </w:r>
          </w:p>
        </w:tc>
        <w:tc>
          <w:tcPr>
            <w:tcW w:w="998" w:type="dxa"/>
            <w:tcBorders>
              <w:bottom w:val="single" w:sz="4" w:space="0" w:color="BFBFBF" w:themeColor="background1" w:themeShade="BF"/>
            </w:tcBorders>
            <w:shd w:val="clear" w:color="auto" w:fill="142841" w:themeFill="text2"/>
          </w:tcPr>
          <w:p w14:paraId="6160DBE0" w14:textId="77777777" w:rsidR="00341B5D" w:rsidRPr="005F3507" w:rsidRDefault="00341B5D" w:rsidP="003C7C88">
            <w:pPr>
              <w:pStyle w:val="TextPara"/>
              <w:rPr>
                <w:rFonts w:cs="Segoe UI"/>
                <w:b/>
                <w:sz w:val="18"/>
                <w:szCs w:val="18"/>
              </w:rPr>
            </w:pPr>
            <w:r w:rsidRPr="005F3507">
              <w:rPr>
                <w:rFonts w:cs="Segoe UI"/>
                <w:b/>
                <w:sz w:val="18"/>
                <w:szCs w:val="18"/>
              </w:rPr>
              <w:t>Raw Score</w:t>
            </w:r>
          </w:p>
        </w:tc>
        <w:tc>
          <w:tcPr>
            <w:tcW w:w="1165" w:type="dxa"/>
            <w:tcBorders>
              <w:bottom w:val="single" w:sz="4" w:space="0" w:color="BFBFBF" w:themeColor="background1" w:themeShade="BF"/>
            </w:tcBorders>
            <w:shd w:val="clear" w:color="auto" w:fill="142841" w:themeFill="text2"/>
          </w:tcPr>
          <w:p w14:paraId="5BE01B08" w14:textId="77777777" w:rsidR="00341B5D" w:rsidRPr="005F3507" w:rsidRDefault="00341B5D" w:rsidP="003C7C88">
            <w:pPr>
              <w:pStyle w:val="TextPara"/>
              <w:rPr>
                <w:rFonts w:cs="Segoe UI"/>
                <w:b/>
                <w:sz w:val="18"/>
                <w:szCs w:val="18"/>
              </w:rPr>
            </w:pPr>
            <w:r w:rsidRPr="005F3507">
              <w:rPr>
                <w:rFonts w:cs="Segoe UI"/>
                <w:b/>
                <w:sz w:val="18"/>
                <w:szCs w:val="18"/>
              </w:rPr>
              <w:t>Weighted Score</w:t>
            </w:r>
          </w:p>
        </w:tc>
        <w:tc>
          <w:tcPr>
            <w:tcW w:w="999" w:type="dxa"/>
            <w:tcBorders>
              <w:bottom w:val="single" w:sz="4" w:space="0" w:color="BFBFBF" w:themeColor="background1" w:themeShade="BF"/>
            </w:tcBorders>
            <w:shd w:val="clear" w:color="auto" w:fill="142841" w:themeFill="text2"/>
          </w:tcPr>
          <w:p w14:paraId="3F79E902" w14:textId="77777777" w:rsidR="00341B5D" w:rsidRPr="005F3507" w:rsidRDefault="00341B5D" w:rsidP="003C7C88">
            <w:pPr>
              <w:pStyle w:val="TextPara"/>
              <w:rPr>
                <w:rFonts w:cs="Segoe UI"/>
                <w:b/>
                <w:sz w:val="18"/>
                <w:szCs w:val="18"/>
              </w:rPr>
            </w:pPr>
            <w:r w:rsidRPr="005F3507">
              <w:rPr>
                <w:rFonts w:cs="Segoe UI"/>
                <w:b/>
                <w:sz w:val="18"/>
                <w:szCs w:val="18"/>
              </w:rPr>
              <w:t>Raw Score</w:t>
            </w:r>
          </w:p>
        </w:tc>
        <w:tc>
          <w:tcPr>
            <w:tcW w:w="1234" w:type="dxa"/>
            <w:tcBorders>
              <w:bottom w:val="single" w:sz="4" w:space="0" w:color="BFBFBF" w:themeColor="background1" w:themeShade="BF"/>
            </w:tcBorders>
            <w:shd w:val="clear" w:color="auto" w:fill="142841" w:themeFill="text2"/>
          </w:tcPr>
          <w:p w14:paraId="42ECC92B" w14:textId="77777777" w:rsidR="00341B5D" w:rsidRPr="005F3507" w:rsidRDefault="00341B5D" w:rsidP="003C7C88">
            <w:pPr>
              <w:pStyle w:val="TextPara"/>
              <w:rPr>
                <w:rFonts w:cs="Segoe UI"/>
                <w:b/>
                <w:sz w:val="18"/>
                <w:szCs w:val="18"/>
              </w:rPr>
            </w:pPr>
            <w:r w:rsidRPr="005F3507">
              <w:rPr>
                <w:rFonts w:cs="Segoe UI"/>
                <w:b/>
                <w:sz w:val="18"/>
                <w:szCs w:val="18"/>
              </w:rPr>
              <w:t>Weighted Score</w:t>
            </w:r>
          </w:p>
        </w:tc>
      </w:tr>
      <w:tr w:rsidR="00341B5D" w14:paraId="4ECF76F1" w14:textId="77777777" w:rsidTr="003C7C88">
        <w:trPr>
          <w:trHeight w:val="370"/>
        </w:trPr>
        <w:tc>
          <w:tcPr>
            <w:tcW w:w="9634" w:type="dxa"/>
            <w:gridSpan w:val="8"/>
            <w:shd w:val="clear" w:color="auto" w:fill="DDE8F4" w:themeFill="text2" w:themeFillTint="1A"/>
          </w:tcPr>
          <w:p w14:paraId="216C3239" w14:textId="77777777" w:rsidR="00341B5D" w:rsidRPr="005F3507" w:rsidRDefault="00341B5D" w:rsidP="003C7C88">
            <w:pPr>
              <w:pStyle w:val="TextPara"/>
              <w:rPr>
                <w:rFonts w:cs="Segoe UI"/>
                <w:sz w:val="18"/>
                <w:szCs w:val="18"/>
              </w:rPr>
            </w:pPr>
            <w:r w:rsidRPr="005F3507">
              <w:rPr>
                <w:rFonts w:cs="Segoe UI"/>
                <w:b/>
                <w:i/>
                <w:sz w:val="18"/>
                <w:szCs w:val="18"/>
              </w:rPr>
              <w:t>BENEFITS</w:t>
            </w:r>
          </w:p>
        </w:tc>
      </w:tr>
      <w:tr w:rsidR="00341B5D" w14:paraId="7BA97547" w14:textId="77777777" w:rsidTr="003C7C88">
        <w:tc>
          <w:tcPr>
            <w:tcW w:w="1870" w:type="dxa"/>
          </w:tcPr>
          <w:p w14:paraId="0812EB46" w14:textId="77777777" w:rsidR="00341B5D" w:rsidRPr="005F3507" w:rsidRDefault="00341B5D" w:rsidP="003C7C88">
            <w:pPr>
              <w:pStyle w:val="TextPara"/>
              <w:rPr>
                <w:rFonts w:cs="Segoe UI"/>
                <w:sz w:val="18"/>
                <w:szCs w:val="18"/>
              </w:rPr>
            </w:pPr>
            <w:r w:rsidRPr="005F3507">
              <w:rPr>
                <w:rFonts w:cs="Segoe UI"/>
                <w:sz w:val="18"/>
                <w:szCs w:val="18"/>
              </w:rPr>
              <w:t>Safety</w:t>
            </w:r>
          </w:p>
        </w:tc>
        <w:tc>
          <w:tcPr>
            <w:tcW w:w="1206" w:type="dxa"/>
          </w:tcPr>
          <w:p w14:paraId="58D8893C" w14:textId="77777777" w:rsidR="00341B5D" w:rsidRPr="005F3507" w:rsidRDefault="00341B5D" w:rsidP="003C7C88">
            <w:pPr>
              <w:pStyle w:val="TextPara"/>
              <w:rPr>
                <w:rFonts w:cs="Segoe UI"/>
                <w:sz w:val="18"/>
                <w:szCs w:val="18"/>
              </w:rPr>
            </w:pPr>
            <w:r>
              <w:rPr>
                <w:rFonts w:cs="Segoe UI"/>
                <w:sz w:val="18"/>
                <w:szCs w:val="18"/>
              </w:rPr>
              <w:t>4</w:t>
            </w:r>
            <w:r w:rsidRPr="005F3507">
              <w:rPr>
                <w:rFonts w:cs="Segoe UI"/>
                <w:sz w:val="18"/>
                <w:szCs w:val="18"/>
              </w:rPr>
              <w:t>0%</w:t>
            </w:r>
          </w:p>
        </w:tc>
        <w:tc>
          <w:tcPr>
            <w:tcW w:w="998" w:type="dxa"/>
          </w:tcPr>
          <w:p w14:paraId="0615B478"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1164" w:type="dxa"/>
          </w:tcPr>
          <w:p w14:paraId="09B901C4"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998" w:type="dxa"/>
          </w:tcPr>
          <w:p w14:paraId="19856916" w14:textId="77777777" w:rsidR="00341B5D" w:rsidRPr="005F3507" w:rsidRDefault="00341B5D" w:rsidP="003C7C88">
            <w:pPr>
              <w:pStyle w:val="TextPara"/>
              <w:rPr>
                <w:rFonts w:cs="Segoe UI"/>
                <w:sz w:val="18"/>
                <w:szCs w:val="18"/>
              </w:rPr>
            </w:pPr>
            <w:r>
              <w:rPr>
                <w:rFonts w:cs="Segoe UI"/>
                <w:sz w:val="18"/>
                <w:szCs w:val="18"/>
              </w:rPr>
              <w:t>6</w:t>
            </w:r>
          </w:p>
        </w:tc>
        <w:tc>
          <w:tcPr>
            <w:tcW w:w="1165" w:type="dxa"/>
          </w:tcPr>
          <w:p w14:paraId="2E1D4344" w14:textId="77777777" w:rsidR="00341B5D" w:rsidRPr="005F3507" w:rsidRDefault="00341B5D" w:rsidP="003C7C88">
            <w:pPr>
              <w:pStyle w:val="TextPara"/>
              <w:rPr>
                <w:rFonts w:cs="Segoe UI"/>
                <w:sz w:val="18"/>
                <w:szCs w:val="18"/>
              </w:rPr>
            </w:pPr>
            <w:r>
              <w:rPr>
                <w:rFonts w:cs="Segoe UI"/>
                <w:sz w:val="18"/>
                <w:szCs w:val="18"/>
              </w:rPr>
              <w:t>2.4</w:t>
            </w:r>
          </w:p>
        </w:tc>
        <w:tc>
          <w:tcPr>
            <w:tcW w:w="999" w:type="dxa"/>
          </w:tcPr>
          <w:p w14:paraId="33AA4C1D" w14:textId="77777777" w:rsidR="00341B5D" w:rsidRPr="005F3507" w:rsidRDefault="00341B5D" w:rsidP="003C7C88">
            <w:pPr>
              <w:pStyle w:val="TextPara"/>
              <w:rPr>
                <w:rFonts w:cs="Segoe UI"/>
                <w:sz w:val="18"/>
                <w:szCs w:val="18"/>
              </w:rPr>
            </w:pPr>
            <w:r>
              <w:rPr>
                <w:rFonts w:cs="Segoe UI"/>
                <w:sz w:val="18"/>
                <w:szCs w:val="18"/>
              </w:rPr>
              <w:t>4</w:t>
            </w:r>
          </w:p>
        </w:tc>
        <w:tc>
          <w:tcPr>
            <w:tcW w:w="1234" w:type="dxa"/>
          </w:tcPr>
          <w:p w14:paraId="2736C828" w14:textId="77777777" w:rsidR="00341B5D" w:rsidRPr="005F3507" w:rsidRDefault="00341B5D" w:rsidP="003C7C88">
            <w:pPr>
              <w:pStyle w:val="TextPara"/>
              <w:rPr>
                <w:rFonts w:cs="Segoe UI"/>
                <w:sz w:val="18"/>
                <w:szCs w:val="18"/>
              </w:rPr>
            </w:pPr>
            <w:r>
              <w:rPr>
                <w:rFonts w:cs="Segoe UI"/>
                <w:sz w:val="18"/>
                <w:szCs w:val="18"/>
              </w:rPr>
              <w:t>1.6</w:t>
            </w:r>
          </w:p>
        </w:tc>
      </w:tr>
      <w:tr w:rsidR="00341B5D" w14:paraId="18E1B4C5" w14:textId="77777777" w:rsidTr="003C7C88">
        <w:tc>
          <w:tcPr>
            <w:tcW w:w="1870" w:type="dxa"/>
          </w:tcPr>
          <w:p w14:paraId="2F052153" w14:textId="77777777" w:rsidR="00341B5D" w:rsidRPr="005F3507" w:rsidRDefault="00341B5D" w:rsidP="003C7C88">
            <w:pPr>
              <w:pStyle w:val="TextPara"/>
              <w:rPr>
                <w:rFonts w:cs="Segoe UI"/>
                <w:sz w:val="18"/>
                <w:szCs w:val="18"/>
              </w:rPr>
            </w:pPr>
            <w:r w:rsidRPr="005F3507">
              <w:rPr>
                <w:rFonts w:cs="Segoe UI"/>
                <w:sz w:val="18"/>
                <w:szCs w:val="18"/>
              </w:rPr>
              <w:t>Equity</w:t>
            </w:r>
          </w:p>
        </w:tc>
        <w:tc>
          <w:tcPr>
            <w:tcW w:w="1206" w:type="dxa"/>
          </w:tcPr>
          <w:p w14:paraId="72DC42CB" w14:textId="77777777" w:rsidR="00341B5D" w:rsidRPr="005F3507" w:rsidRDefault="00341B5D" w:rsidP="003C7C88">
            <w:pPr>
              <w:pStyle w:val="TextPara"/>
              <w:rPr>
                <w:rFonts w:cs="Segoe UI"/>
                <w:sz w:val="18"/>
                <w:szCs w:val="18"/>
              </w:rPr>
            </w:pPr>
            <w:r>
              <w:rPr>
                <w:rFonts w:cs="Segoe UI"/>
                <w:sz w:val="18"/>
                <w:szCs w:val="18"/>
              </w:rPr>
              <w:t>5</w:t>
            </w:r>
            <w:r w:rsidRPr="005F3507">
              <w:rPr>
                <w:rFonts w:cs="Segoe UI"/>
                <w:sz w:val="18"/>
                <w:szCs w:val="18"/>
              </w:rPr>
              <w:t>%</w:t>
            </w:r>
          </w:p>
        </w:tc>
        <w:tc>
          <w:tcPr>
            <w:tcW w:w="998" w:type="dxa"/>
          </w:tcPr>
          <w:p w14:paraId="06FB5731"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1164" w:type="dxa"/>
          </w:tcPr>
          <w:p w14:paraId="734CA693"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998" w:type="dxa"/>
          </w:tcPr>
          <w:p w14:paraId="5E9F42F2" w14:textId="77777777" w:rsidR="00341B5D" w:rsidRPr="005F3507" w:rsidRDefault="00341B5D" w:rsidP="003C7C88">
            <w:pPr>
              <w:pStyle w:val="TextPara"/>
              <w:rPr>
                <w:rFonts w:cs="Segoe UI"/>
                <w:sz w:val="18"/>
                <w:szCs w:val="18"/>
              </w:rPr>
            </w:pPr>
            <w:r w:rsidRPr="005F3507">
              <w:rPr>
                <w:rFonts w:cs="Segoe UI"/>
                <w:sz w:val="18"/>
                <w:szCs w:val="18"/>
              </w:rPr>
              <w:t>-</w:t>
            </w:r>
            <w:r>
              <w:rPr>
                <w:rFonts w:cs="Segoe UI"/>
                <w:sz w:val="18"/>
                <w:szCs w:val="18"/>
              </w:rPr>
              <w:t>8</w:t>
            </w:r>
          </w:p>
        </w:tc>
        <w:tc>
          <w:tcPr>
            <w:tcW w:w="1165" w:type="dxa"/>
          </w:tcPr>
          <w:p w14:paraId="1ED82D56" w14:textId="77777777" w:rsidR="00341B5D" w:rsidRPr="005F3507" w:rsidRDefault="00341B5D" w:rsidP="003C7C88">
            <w:pPr>
              <w:pStyle w:val="TextPara"/>
              <w:rPr>
                <w:rFonts w:cs="Segoe UI"/>
                <w:sz w:val="18"/>
                <w:szCs w:val="18"/>
              </w:rPr>
            </w:pPr>
            <w:r w:rsidRPr="005F3507">
              <w:rPr>
                <w:rFonts w:cs="Segoe UI"/>
                <w:sz w:val="18"/>
                <w:szCs w:val="18"/>
              </w:rPr>
              <w:t>-0.4</w:t>
            </w:r>
          </w:p>
        </w:tc>
        <w:tc>
          <w:tcPr>
            <w:tcW w:w="999" w:type="dxa"/>
          </w:tcPr>
          <w:p w14:paraId="664FF38A" w14:textId="77777777" w:rsidR="00341B5D" w:rsidRPr="005F3507" w:rsidRDefault="00341B5D" w:rsidP="003C7C88">
            <w:pPr>
              <w:pStyle w:val="TextPara"/>
              <w:rPr>
                <w:rFonts w:cs="Segoe UI"/>
                <w:sz w:val="18"/>
                <w:szCs w:val="18"/>
              </w:rPr>
            </w:pPr>
            <w:r w:rsidRPr="005F3507">
              <w:rPr>
                <w:rFonts w:cs="Segoe UI"/>
                <w:sz w:val="18"/>
                <w:szCs w:val="18"/>
              </w:rPr>
              <w:t>-</w:t>
            </w:r>
            <w:r>
              <w:rPr>
                <w:rFonts w:cs="Segoe UI"/>
                <w:sz w:val="18"/>
                <w:szCs w:val="18"/>
              </w:rPr>
              <w:t>4</w:t>
            </w:r>
          </w:p>
        </w:tc>
        <w:tc>
          <w:tcPr>
            <w:tcW w:w="1234" w:type="dxa"/>
          </w:tcPr>
          <w:p w14:paraId="243ED0EC" w14:textId="77777777" w:rsidR="00341B5D" w:rsidRPr="005F3507" w:rsidRDefault="00341B5D" w:rsidP="003C7C88">
            <w:pPr>
              <w:pStyle w:val="TextPara"/>
              <w:rPr>
                <w:rFonts w:cs="Segoe UI"/>
                <w:sz w:val="18"/>
                <w:szCs w:val="18"/>
              </w:rPr>
            </w:pPr>
            <w:r w:rsidRPr="005F3507">
              <w:rPr>
                <w:rFonts w:cs="Segoe UI"/>
                <w:sz w:val="18"/>
                <w:szCs w:val="18"/>
              </w:rPr>
              <w:t>-0.2</w:t>
            </w:r>
          </w:p>
        </w:tc>
      </w:tr>
      <w:tr w:rsidR="00341B5D" w14:paraId="36EB9420" w14:textId="77777777" w:rsidTr="003C7C88">
        <w:tc>
          <w:tcPr>
            <w:tcW w:w="1870" w:type="dxa"/>
            <w:tcBorders>
              <w:bottom w:val="single" w:sz="4" w:space="0" w:color="BFBFBF" w:themeColor="background1" w:themeShade="BF"/>
            </w:tcBorders>
          </w:tcPr>
          <w:p w14:paraId="25E0A489" w14:textId="77777777" w:rsidR="00341B5D" w:rsidRPr="005F3507" w:rsidRDefault="00341B5D" w:rsidP="003C7C88">
            <w:pPr>
              <w:pStyle w:val="TextPara"/>
              <w:rPr>
                <w:rFonts w:cs="Segoe UI"/>
                <w:sz w:val="18"/>
                <w:szCs w:val="18"/>
              </w:rPr>
            </w:pPr>
            <w:r w:rsidRPr="005F3507">
              <w:rPr>
                <w:rFonts w:cs="Segoe UI"/>
                <w:sz w:val="18"/>
                <w:szCs w:val="18"/>
              </w:rPr>
              <w:t>E</w:t>
            </w:r>
            <w:r>
              <w:rPr>
                <w:rFonts w:cs="Segoe UI"/>
                <w:sz w:val="18"/>
                <w:szCs w:val="18"/>
              </w:rPr>
              <w:t>ase of Implementation</w:t>
            </w:r>
          </w:p>
        </w:tc>
        <w:tc>
          <w:tcPr>
            <w:tcW w:w="1206" w:type="dxa"/>
            <w:tcBorders>
              <w:bottom w:val="single" w:sz="4" w:space="0" w:color="BFBFBF" w:themeColor="background1" w:themeShade="BF"/>
            </w:tcBorders>
          </w:tcPr>
          <w:p w14:paraId="3614F3BC" w14:textId="77777777" w:rsidR="00341B5D" w:rsidRPr="005F3507" w:rsidRDefault="00341B5D" w:rsidP="003C7C88">
            <w:pPr>
              <w:pStyle w:val="TextPara"/>
              <w:rPr>
                <w:rFonts w:cs="Segoe UI"/>
                <w:sz w:val="18"/>
                <w:szCs w:val="18"/>
              </w:rPr>
            </w:pPr>
            <w:r>
              <w:rPr>
                <w:rFonts w:cs="Segoe UI"/>
                <w:sz w:val="18"/>
                <w:szCs w:val="18"/>
              </w:rPr>
              <w:t>5</w:t>
            </w:r>
            <w:r w:rsidRPr="005F3507">
              <w:rPr>
                <w:rFonts w:cs="Segoe UI"/>
                <w:sz w:val="18"/>
                <w:szCs w:val="18"/>
              </w:rPr>
              <w:t>%</w:t>
            </w:r>
          </w:p>
        </w:tc>
        <w:tc>
          <w:tcPr>
            <w:tcW w:w="998" w:type="dxa"/>
            <w:tcBorders>
              <w:bottom w:val="single" w:sz="4" w:space="0" w:color="BFBFBF" w:themeColor="background1" w:themeShade="BF"/>
            </w:tcBorders>
          </w:tcPr>
          <w:p w14:paraId="5CD75693"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1164" w:type="dxa"/>
            <w:tcBorders>
              <w:bottom w:val="single" w:sz="4" w:space="0" w:color="BFBFBF" w:themeColor="background1" w:themeShade="BF"/>
            </w:tcBorders>
          </w:tcPr>
          <w:p w14:paraId="4C213917"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998" w:type="dxa"/>
            <w:tcBorders>
              <w:bottom w:val="single" w:sz="4" w:space="0" w:color="BFBFBF" w:themeColor="background1" w:themeShade="BF"/>
            </w:tcBorders>
          </w:tcPr>
          <w:p w14:paraId="31981294" w14:textId="77777777" w:rsidR="00341B5D" w:rsidRPr="005F3507" w:rsidRDefault="00341B5D" w:rsidP="003C7C88">
            <w:pPr>
              <w:pStyle w:val="TextPara"/>
              <w:rPr>
                <w:rFonts w:cs="Segoe UI"/>
                <w:sz w:val="18"/>
                <w:szCs w:val="18"/>
              </w:rPr>
            </w:pPr>
            <w:r>
              <w:rPr>
                <w:rFonts w:cs="Segoe UI"/>
                <w:sz w:val="18"/>
                <w:szCs w:val="18"/>
              </w:rPr>
              <w:t>6</w:t>
            </w:r>
          </w:p>
        </w:tc>
        <w:tc>
          <w:tcPr>
            <w:tcW w:w="1165" w:type="dxa"/>
            <w:tcBorders>
              <w:bottom w:val="single" w:sz="4" w:space="0" w:color="BFBFBF" w:themeColor="background1" w:themeShade="BF"/>
            </w:tcBorders>
          </w:tcPr>
          <w:p w14:paraId="320D8ED5" w14:textId="77777777" w:rsidR="00341B5D" w:rsidRPr="005F3507" w:rsidRDefault="00341B5D" w:rsidP="003C7C88">
            <w:pPr>
              <w:pStyle w:val="TextPara"/>
              <w:rPr>
                <w:rFonts w:cs="Segoe UI"/>
                <w:sz w:val="18"/>
                <w:szCs w:val="18"/>
              </w:rPr>
            </w:pPr>
            <w:r w:rsidRPr="005F3507">
              <w:rPr>
                <w:rFonts w:cs="Segoe UI"/>
                <w:sz w:val="18"/>
                <w:szCs w:val="18"/>
              </w:rPr>
              <w:t>0.3</w:t>
            </w:r>
          </w:p>
        </w:tc>
        <w:tc>
          <w:tcPr>
            <w:tcW w:w="999" w:type="dxa"/>
            <w:tcBorders>
              <w:bottom w:val="single" w:sz="4" w:space="0" w:color="BFBFBF" w:themeColor="background1" w:themeShade="BF"/>
            </w:tcBorders>
          </w:tcPr>
          <w:p w14:paraId="4D2D5DC4" w14:textId="77777777" w:rsidR="00341B5D" w:rsidRPr="005F3507" w:rsidRDefault="00341B5D" w:rsidP="003C7C88">
            <w:pPr>
              <w:pStyle w:val="TextPara"/>
              <w:rPr>
                <w:rFonts w:cs="Segoe UI"/>
                <w:sz w:val="18"/>
                <w:szCs w:val="18"/>
              </w:rPr>
            </w:pPr>
            <w:r>
              <w:rPr>
                <w:rFonts w:cs="Segoe UI"/>
                <w:sz w:val="18"/>
                <w:szCs w:val="18"/>
              </w:rPr>
              <w:t>6</w:t>
            </w:r>
          </w:p>
        </w:tc>
        <w:tc>
          <w:tcPr>
            <w:tcW w:w="1234" w:type="dxa"/>
            <w:tcBorders>
              <w:bottom w:val="single" w:sz="4" w:space="0" w:color="BFBFBF" w:themeColor="background1" w:themeShade="BF"/>
            </w:tcBorders>
          </w:tcPr>
          <w:p w14:paraId="6073009E" w14:textId="77777777" w:rsidR="00341B5D" w:rsidRPr="005F3507" w:rsidRDefault="00341B5D" w:rsidP="003C7C88">
            <w:pPr>
              <w:pStyle w:val="TextPara"/>
              <w:rPr>
                <w:rFonts w:cs="Segoe UI"/>
                <w:sz w:val="18"/>
                <w:szCs w:val="18"/>
              </w:rPr>
            </w:pPr>
            <w:r w:rsidRPr="005F3507">
              <w:rPr>
                <w:rFonts w:cs="Segoe UI"/>
                <w:sz w:val="18"/>
                <w:szCs w:val="18"/>
              </w:rPr>
              <w:t>0.3</w:t>
            </w:r>
          </w:p>
        </w:tc>
      </w:tr>
      <w:tr w:rsidR="00341B5D" w14:paraId="066BE9F7" w14:textId="77777777" w:rsidTr="003C7C88">
        <w:tc>
          <w:tcPr>
            <w:tcW w:w="9634" w:type="dxa"/>
            <w:gridSpan w:val="8"/>
            <w:shd w:val="clear" w:color="auto" w:fill="DDE8F4" w:themeFill="text2" w:themeFillTint="1A"/>
          </w:tcPr>
          <w:p w14:paraId="069E6A97" w14:textId="77777777" w:rsidR="00341B5D" w:rsidRPr="005F3507" w:rsidRDefault="00341B5D" w:rsidP="003C7C88">
            <w:pPr>
              <w:pStyle w:val="TextPara"/>
              <w:rPr>
                <w:rFonts w:cs="Segoe UI"/>
                <w:sz w:val="18"/>
                <w:szCs w:val="18"/>
              </w:rPr>
            </w:pPr>
            <w:r w:rsidRPr="005F3507">
              <w:rPr>
                <w:rFonts w:cs="Segoe UI"/>
                <w:b/>
                <w:i/>
                <w:sz w:val="18"/>
                <w:szCs w:val="18"/>
              </w:rPr>
              <w:t>COSTS</w:t>
            </w:r>
          </w:p>
        </w:tc>
      </w:tr>
      <w:tr w:rsidR="00341B5D" w14:paraId="37765C34" w14:textId="77777777" w:rsidTr="003C7C88">
        <w:tc>
          <w:tcPr>
            <w:tcW w:w="1870" w:type="dxa"/>
          </w:tcPr>
          <w:p w14:paraId="74FB6AAA" w14:textId="77777777" w:rsidR="00341B5D" w:rsidRPr="005F3507" w:rsidRDefault="00341B5D" w:rsidP="003C7C88">
            <w:pPr>
              <w:pStyle w:val="TextPara"/>
              <w:rPr>
                <w:rFonts w:cs="Segoe UI"/>
                <w:sz w:val="18"/>
                <w:szCs w:val="18"/>
              </w:rPr>
            </w:pPr>
            <w:r w:rsidRPr="005F3507">
              <w:rPr>
                <w:rFonts w:cs="Segoe UI"/>
                <w:sz w:val="18"/>
                <w:szCs w:val="18"/>
              </w:rPr>
              <w:t>Costs to Government</w:t>
            </w:r>
          </w:p>
        </w:tc>
        <w:tc>
          <w:tcPr>
            <w:tcW w:w="1206" w:type="dxa"/>
          </w:tcPr>
          <w:p w14:paraId="6C37F5F7" w14:textId="77777777" w:rsidR="00341B5D" w:rsidRPr="005F3507" w:rsidRDefault="00341B5D" w:rsidP="003C7C88">
            <w:pPr>
              <w:pStyle w:val="TextPara"/>
              <w:rPr>
                <w:rFonts w:cs="Segoe UI"/>
                <w:sz w:val="18"/>
                <w:szCs w:val="18"/>
              </w:rPr>
            </w:pPr>
            <w:r w:rsidRPr="005F3507">
              <w:rPr>
                <w:rFonts w:cs="Segoe UI"/>
                <w:sz w:val="18"/>
                <w:szCs w:val="18"/>
              </w:rPr>
              <w:t>20%</w:t>
            </w:r>
          </w:p>
        </w:tc>
        <w:tc>
          <w:tcPr>
            <w:tcW w:w="998" w:type="dxa"/>
          </w:tcPr>
          <w:p w14:paraId="39E3E876"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1164" w:type="dxa"/>
          </w:tcPr>
          <w:p w14:paraId="7759C7B6"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998" w:type="dxa"/>
          </w:tcPr>
          <w:p w14:paraId="4A4F90F2" w14:textId="77777777" w:rsidR="00341B5D" w:rsidRPr="005F3507" w:rsidRDefault="00341B5D" w:rsidP="003C7C88">
            <w:pPr>
              <w:pStyle w:val="TextPara"/>
              <w:rPr>
                <w:rFonts w:cs="Segoe UI"/>
                <w:sz w:val="18"/>
                <w:szCs w:val="18"/>
              </w:rPr>
            </w:pPr>
            <w:r w:rsidRPr="005F3507">
              <w:rPr>
                <w:rFonts w:cs="Segoe UI"/>
                <w:sz w:val="18"/>
                <w:szCs w:val="18"/>
              </w:rPr>
              <w:t>-</w:t>
            </w:r>
            <w:r>
              <w:rPr>
                <w:rFonts w:cs="Segoe UI"/>
                <w:sz w:val="18"/>
                <w:szCs w:val="18"/>
              </w:rPr>
              <w:t>8</w:t>
            </w:r>
          </w:p>
        </w:tc>
        <w:tc>
          <w:tcPr>
            <w:tcW w:w="1165" w:type="dxa"/>
          </w:tcPr>
          <w:p w14:paraId="69786941" w14:textId="77777777" w:rsidR="00341B5D" w:rsidRPr="005F3507" w:rsidRDefault="00341B5D" w:rsidP="003C7C88">
            <w:pPr>
              <w:pStyle w:val="TextPara"/>
              <w:rPr>
                <w:rFonts w:cs="Segoe UI"/>
                <w:sz w:val="18"/>
                <w:szCs w:val="18"/>
              </w:rPr>
            </w:pPr>
            <w:r w:rsidRPr="005F3507">
              <w:rPr>
                <w:rFonts w:cs="Segoe UI"/>
                <w:sz w:val="18"/>
                <w:szCs w:val="18"/>
              </w:rPr>
              <w:t>-1</w:t>
            </w:r>
            <w:r>
              <w:rPr>
                <w:rFonts w:cs="Segoe UI"/>
                <w:sz w:val="18"/>
                <w:szCs w:val="18"/>
              </w:rPr>
              <w:t>.6</w:t>
            </w:r>
          </w:p>
        </w:tc>
        <w:tc>
          <w:tcPr>
            <w:tcW w:w="999" w:type="dxa"/>
          </w:tcPr>
          <w:p w14:paraId="4B6ADE8B" w14:textId="77777777" w:rsidR="00341B5D" w:rsidRPr="005F3507" w:rsidRDefault="00341B5D" w:rsidP="003C7C88">
            <w:pPr>
              <w:pStyle w:val="TextPara"/>
              <w:rPr>
                <w:rFonts w:cs="Segoe UI"/>
                <w:sz w:val="18"/>
                <w:szCs w:val="18"/>
              </w:rPr>
            </w:pPr>
            <w:r w:rsidRPr="005F3507">
              <w:rPr>
                <w:rFonts w:cs="Segoe UI"/>
                <w:sz w:val="18"/>
                <w:szCs w:val="18"/>
              </w:rPr>
              <w:t>-</w:t>
            </w:r>
            <w:r>
              <w:rPr>
                <w:rFonts w:cs="Segoe UI"/>
                <w:sz w:val="18"/>
                <w:szCs w:val="18"/>
              </w:rPr>
              <w:t>3</w:t>
            </w:r>
          </w:p>
        </w:tc>
        <w:tc>
          <w:tcPr>
            <w:tcW w:w="1234" w:type="dxa"/>
          </w:tcPr>
          <w:p w14:paraId="5DE864F8" w14:textId="77777777" w:rsidR="00341B5D" w:rsidRPr="005F3507" w:rsidRDefault="00341B5D" w:rsidP="003C7C88">
            <w:pPr>
              <w:pStyle w:val="TextPara"/>
              <w:rPr>
                <w:rFonts w:cs="Segoe UI"/>
                <w:sz w:val="18"/>
                <w:szCs w:val="18"/>
              </w:rPr>
            </w:pPr>
            <w:r w:rsidRPr="005F3507">
              <w:rPr>
                <w:rFonts w:cs="Segoe UI"/>
                <w:sz w:val="18"/>
                <w:szCs w:val="18"/>
              </w:rPr>
              <w:t>-0.</w:t>
            </w:r>
            <w:r>
              <w:rPr>
                <w:rFonts w:cs="Segoe UI"/>
                <w:sz w:val="18"/>
                <w:szCs w:val="18"/>
              </w:rPr>
              <w:t>6</w:t>
            </w:r>
          </w:p>
        </w:tc>
      </w:tr>
      <w:tr w:rsidR="00341B5D" w14:paraId="7492B378" w14:textId="77777777" w:rsidTr="003C7C88">
        <w:tc>
          <w:tcPr>
            <w:tcW w:w="1870" w:type="dxa"/>
          </w:tcPr>
          <w:p w14:paraId="52BC1620" w14:textId="77777777" w:rsidR="00341B5D" w:rsidRPr="005F3507" w:rsidRDefault="00341B5D" w:rsidP="003C7C88">
            <w:pPr>
              <w:pStyle w:val="TextPara"/>
              <w:rPr>
                <w:rFonts w:cs="Segoe UI"/>
                <w:sz w:val="18"/>
                <w:szCs w:val="18"/>
              </w:rPr>
            </w:pPr>
            <w:r w:rsidRPr="005F3507">
              <w:rPr>
                <w:rFonts w:cs="Segoe UI"/>
                <w:sz w:val="18"/>
                <w:szCs w:val="18"/>
              </w:rPr>
              <w:t>Costs to Community</w:t>
            </w:r>
          </w:p>
        </w:tc>
        <w:tc>
          <w:tcPr>
            <w:tcW w:w="1206" w:type="dxa"/>
          </w:tcPr>
          <w:p w14:paraId="14A99E4C" w14:textId="77777777" w:rsidR="00341B5D" w:rsidRPr="005F3507" w:rsidRDefault="00341B5D" w:rsidP="003C7C88">
            <w:pPr>
              <w:pStyle w:val="TextPara"/>
              <w:rPr>
                <w:rFonts w:cs="Segoe UI"/>
                <w:sz w:val="18"/>
                <w:szCs w:val="18"/>
              </w:rPr>
            </w:pPr>
            <w:r w:rsidRPr="005F3507">
              <w:rPr>
                <w:rFonts w:cs="Segoe UI"/>
                <w:sz w:val="18"/>
                <w:szCs w:val="18"/>
              </w:rPr>
              <w:t>20%</w:t>
            </w:r>
          </w:p>
        </w:tc>
        <w:tc>
          <w:tcPr>
            <w:tcW w:w="998" w:type="dxa"/>
          </w:tcPr>
          <w:p w14:paraId="4A2A86D3"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1164" w:type="dxa"/>
          </w:tcPr>
          <w:p w14:paraId="5C8335DA"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998" w:type="dxa"/>
          </w:tcPr>
          <w:p w14:paraId="30B5C6EF" w14:textId="77777777" w:rsidR="00341B5D" w:rsidRPr="005F3507" w:rsidRDefault="00341B5D" w:rsidP="003C7C88">
            <w:pPr>
              <w:pStyle w:val="TextPara"/>
              <w:rPr>
                <w:rFonts w:cs="Segoe UI"/>
                <w:sz w:val="18"/>
                <w:szCs w:val="18"/>
              </w:rPr>
            </w:pPr>
            <w:r w:rsidRPr="005F3507">
              <w:rPr>
                <w:rFonts w:cs="Segoe UI"/>
                <w:sz w:val="18"/>
                <w:szCs w:val="18"/>
              </w:rPr>
              <w:t>-</w:t>
            </w:r>
            <w:r>
              <w:rPr>
                <w:rFonts w:cs="Segoe UI"/>
                <w:sz w:val="18"/>
                <w:szCs w:val="18"/>
              </w:rPr>
              <w:t>9</w:t>
            </w:r>
          </w:p>
        </w:tc>
        <w:tc>
          <w:tcPr>
            <w:tcW w:w="1165" w:type="dxa"/>
          </w:tcPr>
          <w:p w14:paraId="489D9764" w14:textId="77777777" w:rsidR="00341B5D" w:rsidRPr="005F3507" w:rsidRDefault="00341B5D" w:rsidP="003C7C88">
            <w:pPr>
              <w:pStyle w:val="TextPara"/>
              <w:rPr>
                <w:rFonts w:cs="Segoe UI"/>
                <w:sz w:val="18"/>
                <w:szCs w:val="18"/>
              </w:rPr>
            </w:pPr>
            <w:r w:rsidRPr="005F3507">
              <w:rPr>
                <w:rFonts w:cs="Segoe UI"/>
                <w:sz w:val="18"/>
                <w:szCs w:val="18"/>
              </w:rPr>
              <w:t>-1</w:t>
            </w:r>
            <w:r>
              <w:rPr>
                <w:rFonts w:cs="Segoe UI"/>
                <w:sz w:val="18"/>
                <w:szCs w:val="18"/>
              </w:rPr>
              <w:t>.8</w:t>
            </w:r>
          </w:p>
        </w:tc>
        <w:tc>
          <w:tcPr>
            <w:tcW w:w="999" w:type="dxa"/>
          </w:tcPr>
          <w:p w14:paraId="60C5A5A0" w14:textId="77777777" w:rsidR="00341B5D" w:rsidRPr="005F3507" w:rsidRDefault="00341B5D" w:rsidP="003C7C88">
            <w:pPr>
              <w:pStyle w:val="TextPara"/>
              <w:rPr>
                <w:rFonts w:cs="Segoe UI"/>
                <w:sz w:val="18"/>
                <w:szCs w:val="18"/>
              </w:rPr>
            </w:pPr>
            <w:r w:rsidRPr="005F3507">
              <w:rPr>
                <w:rFonts w:cs="Segoe UI"/>
                <w:sz w:val="18"/>
                <w:szCs w:val="18"/>
              </w:rPr>
              <w:t>-</w:t>
            </w:r>
            <w:r>
              <w:rPr>
                <w:rFonts w:cs="Segoe UI"/>
                <w:sz w:val="18"/>
                <w:szCs w:val="18"/>
              </w:rPr>
              <w:t>4</w:t>
            </w:r>
          </w:p>
        </w:tc>
        <w:tc>
          <w:tcPr>
            <w:tcW w:w="1234" w:type="dxa"/>
          </w:tcPr>
          <w:p w14:paraId="196FE436" w14:textId="77777777" w:rsidR="00341B5D" w:rsidRPr="005F3507" w:rsidRDefault="00341B5D" w:rsidP="003C7C88">
            <w:pPr>
              <w:pStyle w:val="TextPara"/>
              <w:rPr>
                <w:rFonts w:cs="Segoe UI"/>
                <w:sz w:val="18"/>
                <w:szCs w:val="18"/>
              </w:rPr>
            </w:pPr>
            <w:r w:rsidRPr="005F3507">
              <w:rPr>
                <w:rFonts w:cs="Segoe UI"/>
                <w:sz w:val="18"/>
                <w:szCs w:val="18"/>
              </w:rPr>
              <w:t>-0.</w:t>
            </w:r>
            <w:r>
              <w:rPr>
                <w:rFonts w:cs="Segoe UI"/>
                <w:sz w:val="18"/>
                <w:szCs w:val="18"/>
              </w:rPr>
              <w:t>8</w:t>
            </w:r>
          </w:p>
        </w:tc>
      </w:tr>
      <w:tr w:rsidR="00341B5D" w14:paraId="6F4A3BBB" w14:textId="77777777" w:rsidTr="003C7C88">
        <w:tc>
          <w:tcPr>
            <w:tcW w:w="1870" w:type="dxa"/>
            <w:tcBorders>
              <w:bottom w:val="single" w:sz="4" w:space="0" w:color="BFBFBF" w:themeColor="background1" w:themeShade="BF"/>
            </w:tcBorders>
          </w:tcPr>
          <w:p w14:paraId="3AFC0A37" w14:textId="77777777" w:rsidR="00341B5D" w:rsidRPr="005F3507" w:rsidRDefault="00341B5D" w:rsidP="003C7C88">
            <w:pPr>
              <w:pStyle w:val="TextPara"/>
              <w:rPr>
                <w:rFonts w:cs="Segoe UI"/>
                <w:sz w:val="18"/>
                <w:szCs w:val="18"/>
              </w:rPr>
            </w:pPr>
            <w:r w:rsidRPr="005F3507">
              <w:rPr>
                <w:rFonts w:cs="Segoe UI"/>
                <w:sz w:val="18"/>
                <w:szCs w:val="18"/>
              </w:rPr>
              <w:t>Unintended Consequences</w:t>
            </w:r>
          </w:p>
        </w:tc>
        <w:tc>
          <w:tcPr>
            <w:tcW w:w="1206" w:type="dxa"/>
            <w:tcBorders>
              <w:bottom w:val="single" w:sz="4" w:space="0" w:color="BFBFBF" w:themeColor="background1" w:themeShade="BF"/>
            </w:tcBorders>
          </w:tcPr>
          <w:p w14:paraId="7220B120" w14:textId="77777777" w:rsidR="00341B5D" w:rsidRPr="005F3507" w:rsidRDefault="00341B5D" w:rsidP="003C7C88">
            <w:pPr>
              <w:pStyle w:val="TextPara"/>
              <w:rPr>
                <w:rFonts w:cs="Segoe UI"/>
                <w:sz w:val="18"/>
                <w:szCs w:val="18"/>
              </w:rPr>
            </w:pPr>
            <w:r w:rsidRPr="005F3507">
              <w:rPr>
                <w:rFonts w:cs="Segoe UI"/>
                <w:sz w:val="18"/>
                <w:szCs w:val="18"/>
              </w:rPr>
              <w:t>10%</w:t>
            </w:r>
          </w:p>
        </w:tc>
        <w:tc>
          <w:tcPr>
            <w:tcW w:w="998" w:type="dxa"/>
            <w:tcBorders>
              <w:bottom w:val="single" w:sz="4" w:space="0" w:color="BFBFBF" w:themeColor="background1" w:themeShade="BF"/>
            </w:tcBorders>
          </w:tcPr>
          <w:p w14:paraId="6B380DF6"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1164" w:type="dxa"/>
            <w:tcBorders>
              <w:bottom w:val="single" w:sz="4" w:space="0" w:color="BFBFBF" w:themeColor="background1" w:themeShade="BF"/>
            </w:tcBorders>
          </w:tcPr>
          <w:p w14:paraId="607C8197" w14:textId="77777777" w:rsidR="00341B5D" w:rsidRPr="005F3507" w:rsidRDefault="00341B5D" w:rsidP="003C7C88">
            <w:pPr>
              <w:pStyle w:val="TextPara"/>
              <w:rPr>
                <w:rFonts w:cs="Segoe UI"/>
                <w:sz w:val="18"/>
                <w:szCs w:val="18"/>
              </w:rPr>
            </w:pPr>
            <w:r w:rsidRPr="005F3507">
              <w:rPr>
                <w:rFonts w:cs="Segoe UI"/>
                <w:sz w:val="18"/>
                <w:szCs w:val="18"/>
              </w:rPr>
              <w:t>0</w:t>
            </w:r>
          </w:p>
        </w:tc>
        <w:tc>
          <w:tcPr>
            <w:tcW w:w="998" w:type="dxa"/>
            <w:tcBorders>
              <w:bottom w:val="single" w:sz="4" w:space="0" w:color="BFBFBF" w:themeColor="background1" w:themeShade="BF"/>
            </w:tcBorders>
          </w:tcPr>
          <w:p w14:paraId="23845500" w14:textId="77777777" w:rsidR="00341B5D" w:rsidRPr="005F3507" w:rsidRDefault="00341B5D" w:rsidP="003C7C88">
            <w:pPr>
              <w:pStyle w:val="TextPara"/>
              <w:rPr>
                <w:rFonts w:cs="Segoe UI"/>
                <w:sz w:val="18"/>
                <w:szCs w:val="18"/>
              </w:rPr>
            </w:pPr>
            <w:r w:rsidRPr="005F3507">
              <w:rPr>
                <w:rFonts w:cs="Segoe UI"/>
                <w:sz w:val="18"/>
                <w:szCs w:val="18"/>
              </w:rPr>
              <w:t>-</w:t>
            </w:r>
            <w:r>
              <w:rPr>
                <w:rFonts w:cs="Segoe UI"/>
                <w:sz w:val="18"/>
                <w:szCs w:val="18"/>
              </w:rPr>
              <w:t>7</w:t>
            </w:r>
          </w:p>
        </w:tc>
        <w:tc>
          <w:tcPr>
            <w:tcW w:w="1165" w:type="dxa"/>
            <w:tcBorders>
              <w:bottom w:val="single" w:sz="4" w:space="0" w:color="BFBFBF" w:themeColor="background1" w:themeShade="BF"/>
            </w:tcBorders>
          </w:tcPr>
          <w:p w14:paraId="26BD9DFE" w14:textId="77777777" w:rsidR="00341B5D" w:rsidRPr="005F3507" w:rsidRDefault="00341B5D" w:rsidP="003C7C88">
            <w:pPr>
              <w:pStyle w:val="TextPara"/>
              <w:rPr>
                <w:rFonts w:cs="Segoe UI"/>
                <w:sz w:val="18"/>
                <w:szCs w:val="18"/>
              </w:rPr>
            </w:pPr>
            <w:r w:rsidRPr="005F3507">
              <w:rPr>
                <w:rFonts w:cs="Segoe UI"/>
                <w:sz w:val="18"/>
                <w:szCs w:val="18"/>
              </w:rPr>
              <w:t>-0.</w:t>
            </w:r>
            <w:r>
              <w:rPr>
                <w:rFonts w:cs="Segoe UI"/>
                <w:sz w:val="18"/>
                <w:szCs w:val="18"/>
              </w:rPr>
              <w:t>7</w:t>
            </w:r>
          </w:p>
        </w:tc>
        <w:tc>
          <w:tcPr>
            <w:tcW w:w="999" w:type="dxa"/>
            <w:tcBorders>
              <w:bottom w:val="single" w:sz="4" w:space="0" w:color="BFBFBF" w:themeColor="background1" w:themeShade="BF"/>
            </w:tcBorders>
          </w:tcPr>
          <w:p w14:paraId="5362ED91" w14:textId="77777777" w:rsidR="00341B5D" w:rsidRPr="005F3507" w:rsidRDefault="00341B5D" w:rsidP="003C7C88">
            <w:pPr>
              <w:pStyle w:val="TextPara"/>
              <w:rPr>
                <w:rFonts w:cs="Segoe UI"/>
                <w:sz w:val="18"/>
                <w:szCs w:val="18"/>
              </w:rPr>
            </w:pPr>
            <w:r w:rsidRPr="005F3507">
              <w:rPr>
                <w:rFonts w:cs="Segoe UI"/>
                <w:sz w:val="18"/>
                <w:szCs w:val="18"/>
              </w:rPr>
              <w:t>-</w:t>
            </w:r>
            <w:r>
              <w:rPr>
                <w:rFonts w:cs="Segoe UI"/>
                <w:sz w:val="18"/>
                <w:szCs w:val="18"/>
              </w:rPr>
              <w:t>5</w:t>
            </w:r>
          </w:p>
        </w:tc>
        <w:tc>
          <w:tcPr>
            <w:tcW w:w="1234" w:type="dxa"/>
            <w:tcBorders>
              <w:bottom w:val="single" w:sz="4" w:space="0" w:color="BFBFBF" w:themeColor="background1" w:themeShade="BF"/>
            </w:tcBorders>
          </w:tcPr>
          <w:p w14:paraId="1540BAC8" w14:textId="77777777" w:rsidR="00341B5D" w:rsidRPr="005F3507" w:rsidRDefault="00341B5D" w:rsidP="003C7C88">
            <w:pPr>
              <w:pStyle w:val="TextPara"/>
              <w:rPr>
                <w:rFonts w:cs="Segoe UI"/>
                <w:sz w:val="18"/>
                <w:szCs w:val="18"/>
              </w:rPr>
            </w:pPr>
            <w:r w:rsidRPr="005F3507">
              <w:rPr>
                <w:rFonts w:cs="Segoe UI"/>
                <w:sz w:val="18"/>
                <w:szCs w:val="18"/>
              </w:rPr>
              <w:t>-0.</w:t>
            </w:r>
            <w:r>
              <w:rPr>
                <w:rFonts w:cs="Segoe UI"/>
                <w:sz w:val="18"/>
                <w:szCs w:val="18"/>
              </w:rPr>
              <w:t>5</w:t>
            </w:r>
          </w:p>
        </w:tc>
      </w:tr>
      <w:tr w:rsidR="00341B5D" w:rsidRPr="00EE3A89" w14:paraId="0BDEA5EA" w14:textId="77777777" w:rsidTr="003C7C88">
        <w:tc>
          <w:tcPr>
            <w:tcW w:w="1870" w:type="dxa"/>
            <w:shd w:val="clear" w:color="auto" w:fill="DDE8F4" w:themeFill="text2" w:themeFillTint="1A"/>
          </w:tcPr>
          <w:p w14:paraId="0DE2742A" w14:textId="77777777" w:rsidR="00341B5D" w:rsidRPr="005F3507" w:rsidRDefault="00341B5D" w:rsidP="003C7C88">
            <w:pPr>
              <w:pStyle w:val="TextPara"/>
              <w:rPr>
                <w:rFonts w:cs="Segoe UI"/>
                <w:b/>
                <w:sz w:val="18"/>
                <w:szCs w:val="18"/>
              </w:rPr>
            </w:pPr>
            <w:r w:rsidRPr="005F3507">
              <w:rPr>
                <w:rFonts w:cs="Segoe UI"/>
                <w:b/>
                <w:sz w:val="18"/>
                <w:szCs w:val="18"/>
              </w:rPr>
              <w:lastRenderedPageBreak/>
              <w:t>Total</w:t>
            </w:r>
          </w:p>
        </w:tc>
        <w:tc>
          <w:tcPr>
            <w:tcW w:w="1206" w:type="dxa"/>
            <w:shd w:val="clear" w:color="auto" w:fill="DDE8F4" w:themeFill="text2" w:themeFillTint="1A"/>
          </w:tcPr>
          <w:p w14:paraId="438F3338" w14:textId="77777777" w:rsidR="00341B5D" w:rsidRPr="005F3507" w:rsidRDefault="00341B5D" w:rsidP="003C7C88">
            <w:pPr>
              <w:pStyle w:val="TextPara"/>
              <w:rPr>
                <w:rFonts w:cs="Segoe UI"/>
                <w:b/>
                <w:sz w:val="18"/>
                <w:szCs w:val="18"/>
              </w:rPr>
            </w:pPr>
          </w:p>
        </w:tc>
        <w:tc>
          <w:tcPr>
            <w:tcW w:w="998" w:type="dxa"/>
            <w:shd w:val="clear" w:color="auto" w:fill="DDE8F4" w:themeFill="text2" w:themeFillTint="1A"/>
          </w:tcPr>
          <w:p w14:paraId="67ACBB84" w14:textId="77777777" w:rsidR="00341B5D" w:rsidRPr="005F3507" w:rsidRDefault="00341B5D" w:rsidP="003C7C88">
            <w:pPr>
              <w:pStyle w:val="TextPara"/>
              <w:rPr>
                <w:rFonts w:cs="Segoe UI"/>
                <w:b/>
                <w:sz w:val="18"/>
                <w:szCs w:val="18"/>
              </w:rPr>
            </w:pPr>
          </w:p>
        </w:tc>
        <w:tc>
          <w:tcPr>
            <w:tcW w:w="1164" w:type="dxa"/>
            <w:shd w:val="clear" w:color="auto" w:fill="DDE8F4" w:themeFill="text2" w:themeFillTint="1A"/>
          </w:tcPr>
          <w:p w14:paraId="68A29E6D" w14:textId="77777777" w:rsidR="00341B5D" w:rsidRPr="005F3507" w:rsidRDefault="00341B5D" w:rsidP="003C7C88">
            <w:pPr>
              <w:pStyle w:val="TextPara"/>
              <w:rPr>
                <w:rFonts w:cs="Segoe UI"/>
                <w:b/>
                <w:sz w:val="18"/>
                <w:szCs w:val="18"/>
              </w:rPr>
            </w:pPr>
            <w:r w:rsidRPr="005F3507">
              <w:rPr>
                <w:rFonts w:cs="Segoe UI"/>
                <w:b/>
                <w:sz w:val="18"/>
                <w:szCs w:val="18"/>
              </w:rPr>
              <w:t>0</w:t>
            </w:r>
          </w:p>
        </w:tc>
        <w:tc>
          <w:tcPr>
            <w:tcW w:w="998" w:type="dxa"/>
            <w:shd w:val="clear" w:color="auto" w:fill="DDE8F4" w:themeFill="text2" w:themeFillTint="1A"/>
          </w:tcPr>
          <w:p w14:paraId="41A4B5E1" w14:textId="77777777" w:rsidR="00341B5D" w:rsidRPr="005F3507" w:rsidRDefault="00341B5D" w:rsidP="003C7C88">
            <w:pPr>
              <w:pStyle w:val="TextPara"/>
              <w:rPr>
                <w:rFonts w:cs="Segoe UI"/>
                <w:b/>
                <w:sz w:val="18"/>
                <w:szCs w:val="18"/>
              </w:rPr>
            </w:pPr>
          </w:p>
        </w:tc>
        <w:tc>
          <w:tcPr>
            <w:tcW w:w="1165" w:type="dxa"/>
            <w:shd w:val="clear" w:color="auto" w:fill="DDE8F4" w:themeFill="text2" w:themeFillTint="1A"/>
          </w:tcPr>
          <w:p w14:paraId="66E2635C" w14:textId="77777777" w:rsidR="00341B5D" w:rsidRPr="005F3507" w:rsidRDefault="00341B5D" w:rsidP="003C7C88">
            <w:pPr>
              <w:pStyle w:val="TextPara"/>
              <w:rPr>
                <w:rFonts w:cs="Segoe UI"/>
                <w:b/>
                <w:sz w:val="18"/>
                <w:szCs w:val="18"/>
              </w:rPr>
            </w:pPr>
            <w:r w:rsidRPr="005F3507">
              <w:rPr>
                <w:rFonts w:cs="Segoe UI"/>
                <w:b/>
                <w:sz w:val="18"/>
                <w:szCs w:val="18"/>
              </w:rPr>
              <w:t>-1.</w:t>
            </w:r>
            <w:r>
              <w:rPr>
                <w:rFonts w:cs="Segoe UI"/>
                <w:b/>
                <w:sz w:val="18"/>
                <w:szCs w:val="18"/>
              </w:rPr>
              <w:t>8</w:t>
            </w:r>
          </w:p>
        </w:tc>
        <w:tc>
          <w:tcPr>
            <w:tcW w:w="999" w:type="dxa"/>
            <w:shd w:val="clear" w:color="auto" w:fill="DDE8F4" w:themeFill="text2" w:themeFillTint="1A"/>
          </w:tcPr>
          <w:p w14:paraId="160AAC79" w14:textId="77777777" w:rsidR="00341B5D" w:rsidRPr="005F3507" w:rsidRDefault="00341B5D" w:rsidP="003C7C88">
            <w:pPr>
              <w:pStyle w:val="TextPara"/>
              <w:rPr>
                <w:rFonts w:cs="Segoe UI"/>
                <w:b/>
                <w:sz w:val="18"/>
                <w:szCs w:val="18"/>
              </w:rPr>
            </w:pPr>
          </w:p>
        </w:tc>
        <w:tc>
          <w:tcPr>
            <w:tcW w:w="1234" w:type="dxa"/>
            <w:shd w:val="clear" w:color="auto" w:fill="DDE8F4" w:themeFill="text2" w:themeFillTint="1A"/>
          </w:tcPr>
          <w:p w14:paraId="32874E96" w14:textId="77777777" w:rsidR="00341B5D" w:rsidRPr="005F3507" w:rsidRDefault="00341B5D" w:rsidP="003C7C88">
            <w:pPr>
              <w:pStyle w:val="TextPara"/>
              <w:rPr>
                <w:rFonts w:cs="Segoe UI"/>
                <w:b/>
                <w:sz w:val="18"/>
                <w:szCs w:val="18"/>
              </w:rPr>
            </w:pPr>
            <w:r w:rsidRPr="005F3507">
              <w:rPr>
                <w:rFonts w:cs="Segoe UI"/>
                <w:b/>
                <w:sz w:val="18"/>
                <w:szCs w:val="18"/>
              </w:rPr>
              <w:t>-0.</w:t>
            </w:r>
            <w:r>
              <w:rPr>
                <w:rFonts w:cs="Segoe UI"/>
                <w:b/>
                <w:sz w:val="18"/>
                <w:szCs w:val="18"/>
              </w:rPr>
              <w:t>2</w:t>
            </w:r>
          </w:p>
        </w:tc>
      </w:tr>
    </w:tbl>
    <w:p w14:paraId="778FB82E" w14:textId="77777777" w:rsidR="00341B5D" w:rsidRDefault="00341B5D" w:rsidP="00341B5D">
      <w:pPr>
        <w:pStyle w:val="TextPara"/>
      </w:pPr>
      <w:r>
        <w:t>The last row of the table shows the outcome of the MCA. By construction the base case receives a weighted score of zero. The South Australian model scores the lowest at -1.8. This is because it has very high costs and relatively few benefits. Overall the Western Australian model does not score nearly as badly as the South Australian model. It is better targeted and has much fewer costs. But it is inferior to the base case of no mandatory age-based assessments.</w:t>
      </w:r>
    </w:p>
    <w:p w14:paraId="5F99A310" w14:textId="77777777" w:rsidR="00341B5D" w:rsidRPr="009855D1" w:rsidRDefault="00341B5D" w:rsidP="00341B5D">
      <w:pPr>
        <w:pStyle w:val="TextPara"/>
        <w:rPr>
          <w:u w:val="single"/>
        </w:rPr>
      </w:pPr>
      <w:r w:rsidRPr="009855D1">
        <w:rPr>
          <w:u w:val="single"/>
        </w:rPr>
        <w:t>Mandatory medical reporting</w:t>
      </w:r>
    </w:p>
    <w:p w14:paraId="24117B73" w14:textId="77777777" w:rsidR="00341B5D" w:rsidRDefault="00341B5D" w:rsidP="00341B5D">
      <w:pPr>
        <w:pStyle w:val="TextPara"/>
      </w:pPr>
      <w:r>
        <w:t xml:space="preserve">Mandatory medical reporting is a system whereby medical practitioners (such as doctors, opticians and physiotherapists) make reports to licensing authorities of their patients who they think are unfit to drive because of one or more medical conditions.  These patients can be of any age, though in practice most patients who are reported will be elderly, since the relevant medical conditions are more likely to occur in old age.  In Australia, mandatory medical reporting exists only in South Australia and the Northern Territory.  </w:t>
      </w:r>
    </w:p>
    <w:p w14:paraId="4DB9AE10" w14:textId="77777777" w:rsidR="00341B5D" w:rsidRDefault="00341B5D" w:rsidP="00341B5D">
      <w:pPr>
        <w:pStyle w:val="TextPara"/>
      </w:pPr>
      <w:r>
        <w:t>In Victoria, the question of mandatory medical reporting has been raised by the Coroner in a recent case.</w:t>
      </w:r>
      <w:r>
        <w:rPr>
          <w:rStyle w:val="EndnoteReference"/>
        </w:rPr>
        <w:endnoteReference w:id="345"/>
      </w:r>
      <w:r>
        <w:t xml:space="preserve"> In this case the Coroner investigated the death of a passenger in a motor vehicle collision in 2016, where the car was driven by her husband, who had the most common form of dementia, Alzheimer’s Disease. The Coroner recommended that “with a view to reducing harms and preventing like deaths … that consideration be given … to adopting a framework requiring mandatory reporting to VicRoads when a medical practitioner forms an opinion that a person with a permanent or long-term injury of illness, is or may not be medically fit to drive.” In recent years, there have also been other findings from the Coroner regarding mandatory reporting by medical practitioners. </w:t>
      </w:r>
      <w:r>
        <w:rPr>
          <w:rStyle w:val="EndnoteReference"/>
        </w:rPr>
        <w:endnoteReference w:id="346"/>
      </w:r>
    </w:p>
    <w:p w14:paraId="675779FF" w14:textId="77777777" w:rsidR="00341B5D" w:rsidRDefault="00341B5D" w:rsidP="00341B5D">
      <w:pPr>
        <w:pStyle w:val="TextPara"/>
      </w:pPr>
      <w:r>
        <w:t xml:space="preserve">In the MCA which follows, the base case is that which exists in Victoria currently, which is no mandatory medical reporting. The option considered against the base case is the Coroner’s recommendation, which is called here the Mandatory Reporting model. </w:t>
      </w:r>
    </w:p>
    <w:p w14:paraId="21F011D7" w14:textId="77777777" w:rsidR="00341B5D" w:rsidRDefault="00341B5D" w:rsidP="00341B5D">
      <w:pPr>
        <w:pStyle w:val="TextPara"/>
      </w:pPr>
      <w:r>
        <w:t>The assessment criteria and categories of benefits and costs are the same as those used in the aged based medical testing,</w:t>
      </w:r>
    </w:p>
    <w:p w14:paraId="11E935A8" w14:textId="77777777" w:rsidR="00341B5D" w:rsidRPr="002F74BA" w:rsidRDefault="00341B5D" w:rsidP="00341B5D">
      <w:pPr>
        <w:pStyle w:val="NoSpacing"/>
        <w:rPr>
          <w:szCs w:val="20"/>
        </w:rPr>
      </w:pPr>
      <w:r w:rsidRPr="002F74BA">
        <w:rPr>
          <w:szCs w:val="20"/>
        </w:rPr>
        <w:t>Discussion of the benefits</w:t>
      </w:r>
    </w:p>
    <w:p w14:paraId="3ABC2B9F" w14:textId="77777777" w:rsidR="00341B5D" w:rsidRPr="00060420" w:rsidRDefault="00341B5D" w:rsidP="00341B5D">
      <w:pPr>
        <w:pStyle w:val="TextPara"/>
        <w:rPr>
          <w:b/>
        </w:rPr>
      </w:pPr>
      <w:r w:rsidRPr="00060420">
        <w:rPr>
          <w:b/>
        </w:rPr>
        <w:t>Safety</w:t>
      </w:r>
    </w:p>
    <w:p w14:paraId="5FE25870" w14:textId="77777777" w:rsidR="00341B5D" w:rsidRDefault="00341B5D" w:rsidP="00341B5D">
      <w:pPr>
        <w:pStyle w:val="TextPara"/>
      </w:pPr>
      <w:r>
        <w:t xml:space="preserve">The in-principle safety benefit of mandatory medical reporting is that unsafe drivers will be taken off the road. However, the evidence in the academic literature of the efficacy of mandatory medical reporting </w:t>
      </w:r>
      <w:r w:rsidRPr="009855D1">
        <w:t>is inconclusive.</w:t>
      </w:r>
      <w:r w:rsidRPr="00C8457A">
        <w:rPr>
          <w:rStyle w:val="EndnoteReference"/>
        </w:rPr>
        <w:endnoteReference w:id="347"/>
      </w:r>
      <w:r w:rsidRPr="009855D1">
        <w:t>This is because health practitioners are uncertain over what constitutes an unfit/unsafe driver, do not wish to antagonise their patients, do not have the time to make the assessments, aren’t trained to make the assessments, and don’t see road safety as a medical issue. Additionally, the causal evidence between specific medical conditions and heightened crash risk is not clear cut</w:t>
      </w:r>
      <w:r w:rsidRPr="00C8457A">
        <w:t>.</w:t>
      </w:r>
      <w:r>
        <w:t xml:space="preserve"> </w:t>
      </w:r>
    </w:p>
    <w:p w14:paraId="0967AD30" w14:textId="77777777" w:rsidR="00341B5D" w:rsidRDefault="00341B5D" w:rsidP="00341B5D">
      <w:pPr>
        <w:pStyle w:val="TextPara"/>
      </w:pPr>
      <w:r>
        <w:t>With regard to the specific case referred to above, the Coroner made no findings that the accident that caused the passenger’s death was due to her husband’s medical condition, but the Coroner still was critical of the current policy in Victoria, leading to her recommendation. Significantly, however, in evidence the driver’s General Practitioner said he had no reason to believe the loss of memory caused by his dementia impacted on his ability to drive. Therefore, even if a system of mandatory medical reporting had been in place, this particular driver would not have been reported.</w:t>
      </w:r>
    </w:p>
    <w:p w14:paraId="696BBE83" w14:textId="77777777" w:rsidR="00341B5D" w:rsidRDefault="00341B5D" w:rsidP="00341B5D">
      <w:pPr>
        <w:pStyle w:val="TextPara"/>
      </w:pPr>
      <w:r>
        <w:t xml:space="preserve">South Australia and the Northern Territory have mandatory medical reporting but there are no data on how many drivers are reported. In the South Australian case this may because medical problems are for the most part picked up during aged-based tests. Northern Territory does not have age-based testing but its unique demographic and social profile means that it might not be a good benchmark for comparisons in any case. </w:t>
      </w:r>
    </w:p>
    <w:p w14:paraId="65788AA5" w14:textId="77777777" w:rsidR="00341B5D" w:rsidRDefault="00341B5D" w:rsidP="00341B5D">
      <w:pPr>
        <w:pStyle w:val="TextPara"/>
      </w:pPr>
      <w:r>
        <w:lastRenderedPageBreak/>
        <w:t xml:space="preserve">The existing evidence does not support the idea that mandatory medical reporting has any significant positive effect on safety.  Presumably mandatory medical reporting will have some positive effect, because some drivers who have medical conditions which make them unsafe drivers will be reported and they will cease driving, but the evidence suggests the effect will be small. Accordingly, on the safety criterion, the Mandatory Reporting model scores </w:t>
      </w:r>
      <w:r>
        <w:rPr>
          <w:b/>
        </w:rPr>
        <w:t xml:space="preserve">2 </w:t>
      </w:r>
      <w:r>
        <w:t>in the MCA for safety.</w:t>
      </w:r>
    </w:p>
    <w:p w14:paraId="5C6BBAB9" w14:textId="77777777" w:rsidR="00341B5D" w:rsidRPr="009855D1" w:rsidRDefault="00341B5D" w:rsidP="00341B5D">
      <w:pPr>
        <w:pStyle w:val="TextPara"/>
        <w:rPr>
          <w:b/>
        </w:rPr>
      </w:pPr>
      <w:r w:rsidRPr="009855D1">
        <w:rPr>
          <w:b/>
        </w:rPr>
        <w:t>Equity</w:t>
      </w:r>
    </w:p>
    <w:p w14:paraId="2BE742CB" w14:textId="77777777" w:rsidR="00341B5D" w:rsidRPr="00497F66" w:rsidRDefault="00341B5D" w:rsidP="00341B5D">
      <w:pPr>
        <w:pStyle w:val="TextPara"/>
      </w:pPr>
      <w:r>
        <w:t xml:space="preserve">If mandatory medical reporting could be implemented without error, in the sense that only those drivers who have medical conditions which make them unsafe drivers are reported, it would not be unfair because there would be no discrimination. But in practice, there will be error, because reporting of individual drivers will be based on the particular judgements of individual medical practitioners. These judgements may be idiosyncratic and inconsistent across different medical practitioners and perhaps inconsistent across different individuals by the same medical practitioner, depending on how the conditions present, individual by individual. For example, people with dementia can appear quite lucid at times and disoriented at other times, such is the nature of the progression of the disease. The potential for inequities is very high and equity scores </w:t>
      </w:r>
      <w:r w:rsidRPr="009855D1">
        <w:rPr>
          <w:b/>
        </w:rPr>
        <w:t>-6</w:t>
      </w:r>
      <w:r>
        <w:t xml:space="preserve"> in the MCA.</w:t>
      </w:r>
    </w:p>
    <w:p w14:paraId="61FA3BB0" w14:textId="77777777" w:rsidR="00341B5D" w:rsidRPr="00060420" w:rsidRDefault="00341B5D" w:rsidP="00341B5D">
      <w:pPr>
        <w:pStyle w:val="TextPara"/>
        <w:rPr>
          <w:b/>
        </w:rPr>
      </w:pPr>
      <w:r w:rsidRPr="00060420">
        <w:rPr>
          <w:b/>
        </w:rPr>
        <w:t>E</w:t>
      </w:r>
      <w:r>
        <w:rPr>
          <w:b/>
        </w:rPr>
        <w:t>ase of implementation</w:t>
      </w:r>
    </w:p>
    <w:p w14:paraId="57D0B5E3" w14:textId="77777777" w:rsidR="00341B5D" w:rsidRDefault="00341B5D" w:rsidP="00341B5D">
      <w:pPr>
        <w:pStyle w:val="TextPara"/>
      </w:pPr>
      <w:r>
        <w:t xml:space="preserve">As discussed above, for a variety of reasons medical practitioners are reluctant to report their patients to licensing authorities. The AMA does not support mandatory reporting. It is not against reporting of drivers who are medically unfit to drive as such, but it is opposed to </w:t>
      </w:r>
      <w:r w:rsidRPr="009855D1">
        <w:rPr>
          <w:i/>
        </w:rPr>
        <w:t>mandatory</w:t>
      </w:r>
      <w:r>
        <w:t xml:space="preserve"> reporting</w:t>
      </w:r>
    </w:p>
    <w:p w14:paraId="7CDEB554" w14:textId="77777777" w:rsidR="00341B5D" w:rsidRDefault="00341B5D" w:rsidP="00341B5D">
      <w:pPr>
        <w:pStyle w:val="TextPara"/>
        <w:ind w:left="283" w:right="283"/>
      </w:pPr>
      <w:r>
        <w:t xml:space="preserve">“If the treating doctor identifies that a patient is so medically impaired as to constitute a high risk to the community, and that the patient's judgment is impaired to a degree that the patient is likely to continue driving despite that incapacity, it is acceptable that the doctor notify the licencing authority of the patient's medical impairment. Such disclosure should be subject to statutory protection against legal consequences of unauthorized disclosure of confidential information. </w:t>
      </w:r>
      <w:r w:rsidRPr="009855D1">
        <w:rPr>
          <w:b/>
        </w:rPr>
        <w:t>The decision to disclose such information should remain solely within the doctor's discretion.</w:t>
      </w:r>
      <w:r>
        <w:t xml:space="preserve"> The doctor should be protected in law from any penalty arising from a decision to not voluntarily disclose confidential medical information. It is not acceptable that disclosure of that information should be mandatory under any law.” (emphasis added)</w:t>
      </w:r>
      <w:r>
        <w:rPr>
          <w:rStyle w:val="EndnoteReference"/>
        </w:rPr>
        <w:endnoteReference w:id="348"/>
      </w:r>
    </w:p>
    <w:p w14:paraId="06DF5EFD" w14:textId="77777777" w:rsidR="00341B5D" w:rsidRDefault="00341B5D" w:rsidP="00341B5D">
      <w:pPr>
        <w:pStyle w:val="TextPara"/>
      </w:pPr>
      <w:r>
        <w:t>The introduction of mandatory reporting of medical conditions in Victoria would be difficult to implement. Medical practitioners could be hostile to the idea of a regulation which interposes itself in the doctor-patient relationship and the very least they would require training on the circumstances in which reporting would be mandatory, as opposed to at their discretion.  For example, a patient with an alcohol or drug problem would certainly constitute a danger on the roads if that patient were to drive while affected, but not if they do not. Under a system of mandatory reporting, a medical practitioner would then have to decide whether to report a patient with an alcohol or drug problem, without knowing whether there is an associated road safety problem.</w:t>
      </w:r>
    </w:p>
    <w:p w14:paraId="424BD2F9" w14:textId="77777777" w:rsidR="00341B5D" w:rsidRDefault="00341B5D" w:rsidP="00341B5D">
      <w:pPr>
        <w:pStyle w:val="TextPara"/>
      </w:pPr>
      <w:r>
        <w:t xml:space="preserve">Enforcement of the regulation would presumably be required and doctors would likely be very hostile to the idea that they should be subject to penalties, especially if the penalties were the result of a (non-medical) regulator questioning their clinical judgement. </w:t>
      </w:r>
    </w:p>
    <w:p w14:paraId="71E963BC" w14:textId="77777777" w:rsidR="00341B5D" w:rsidRDefault="00341B5D" w:rsidP="00341B5D">
      <w:pPr>
        <w:pStyle w:val="TextPara"/>
      </w:pPr>
      <w:r>
        <w:t xml:space="preserve">Ease of implementation scores </w:t>
      </w:r>
      <w:r w:rsidRPr="009855D1">
        <w:rPr>
          <w:b/>
        </w:rPr>
        <w:t>-8</w:t>
      </w:r>
      <w:r>
        <w:t xml:space="preserve"> in the MCA.</w:t>
      </w:r>
    </w:p>
    <w:p w14:paraId="21A415DD" w14:textId="77777777" w:rsidR="00341B5D" w:rsidRPr="00060420" w:rsidRDefault="00341B5D" w:rsidP="00341B5D">
      <w:pPr>
        <w:pStyle w:val="NoSpacing"/>
      </w:pPr>
      <w:r w:rsidRPr="00060420">
        <w:t>Discussion of the costs</w:t>
      </w:r>
    </w:p>
    <w:p w14:paraId="2EE78EC9" w14:textId="77777777" w:rsidR="00341B5D" w:rsidRDefault="00341B5D" w:rsidP="00341B5D">
      <w:pPr>
        <w:pStyle w:val="TextPara"/>
        <w:rPr>
          <w:b/>
        </w:rPr>
      </w:pPr>
      <w:r w:rsidRPr="00060420">
        <w:rPr>
          <w:b/>
        </w:rPr>
        <w:t>Community</w:t>
      </w:r>
      <w:r>
        <w:rPr>
          <w:b/>
        </w:rPr>
        <w:t xml:space="preserve"> costs</w:t>
      </w:r>
    </w:p>
    <w:p w14:paraId="045D8426" w14:textId="77777777" w:rsidR="00341B5D" w:rsidRDefault="00341B5D" w:rsidP="00341B5D">
      <w:pPr>
        <w:pStyle w:val="TextPara"/>
      </w:pPr>
      <w:r>
        <w:t xml:space="preserve">Because there are no data on how many people in South Australia have been subject to mandatory reporting of medical conditions, as opposed to aged-based testing, it is difficult to say how many would be so subject in Victoria (assuming that the proportion of drivers would be about the same.)  If medical </w:t>
      </w:r>
      <w:r>
        <w:lastRenderedPageBreak/>
        <w:t xml:space="preserve">practitioners detect a problem in the course of a medical examination that would occur in any case, and no more medical examinations are needed, then the community costs are likely to be small. But this is unlikely to be true.  For example, when a patient has dementia, a General Practitioner might decide that that patient is medically unfit to drive but more likely will refer that patient to a specialist geriatrician, in which case additional medical expenses will be incurred. The same is likely to be true for other medical conditions. </w:t>
      </w:r>
    </w:p>
    <w:p w14:paraId="12A35217" w14:textId="77777777" w:rsidR="00341B5D" w:rsidRDefault="00341B5D" w:rsidP="00341B5D">
      <w:pPr>
        <w:pStyle w:val="TextPara"/>
      </w:pPr>
      <w:r>
        <w:t xml:space="preserve">For the MCA, the question is what will be the community costs in aggregate and this will mostly depend on how many drivers are reported.  A conservative estimate (i.e. one in which the estimate costs are relatively low) is that half as many drivers are reported as would be tested in an aged-based test under the Western Australian model i.e. the equivalent of half 80+ year old drivers would be reported.  In this case, and consistent with the costs associated with the WA model discussed above, community costs score </w:t>
      </w:r>
      <w:r>
        <w:rPr>
          <w:b/>
        </w:rPr>
        <w:t>-2</w:t>
      </w:r>
      <w:r w:rsidRPr="009855D1">
        <w:t>.</w:t>
      </w:r>
    </w:p>
    <w:p w14:paraId="1E90FD3F" w14:textId="77777777" w:rsidR="00341B5D" w:rsidRDefault="00341B5D" w:rsidP="00341B5D">
      <w:pPr>
        <w:pStyle w:val="TextPara"/>
        <w:rPr>
          <w:b/>
        </w:rPr>
      </w:pPr>
      <w:r>
        <w:rPr>
          <w:b/>
        </w:rPr>
        <w:t>Government costs</w:t>
      </w:r>
    </w:p>
    <w:p w14:paraId="3B5018E7" w14:textId="77777777" w:rsidR="00341B5D" w:rsidRDefault="00341B5D" w:rsidP="00341B5D">
      <w:pPr>
        <w:pStyle w:val="TextPara"/>
      </w:pPr>
      <w:r>
        <w:t>Government costs would be incurred setting, maintaining and enforcing the regulations. These are likely to be significant. As at 31 March 2019 there were 14,422 registered medical practitioners in Victoria,</w:t>
      </w:r>
      <w:r>
        <w:rPr>
          <w:rStyle w:val="EndnoteReference"/>
        </w:rPr>
        <w:endnoteReference w:id="349"/>
      </w:r>
      <w:r>
        <w:t xml:space="preserve"> 1484 optometrists</w:t>
      </w:r>
      <w:r>
        <w:rPr>
          <w:rStyle w:val="EndnoteReference"/>
        </w:rPr>
        <w:endnoteReference w:id="350"/>
      </w:r>
      <w:r>
        <w:t xml:space="preserve">  and about 8248 registered physiotherapists.</w:t>
      </w:r>
      <w:r>
        <w:rPr>
          <w:rStyle w:val="EndnoteReference"/>
        </w:rPr>
        <w:endnoteReference w:id="351"/>
      </w:r>
      <w:r>
        <w:t xml:space="preserve"> Under a system of mandatory medical reporting all of these medical practitioners will have to be informed of their obligations under the regulations, trained on how the regulations are to operate and their compliance with the regulation enforced. When they make a report, there will presumably be some follow up communication by the regulators. Assuming (conservatively) there are six hours of government effort per medical practitioner per year, at the same cost per hour as the South Australian and Western Australian aged-based models, the annual cost comes to about $10 million. To be consistent with the government costs of the South Australian and Western Australian aged-based models, the score in the MCA is </w:t>
      </w:r>
      <w:r w:rsidRPr="009855D1">
        <w:rPr>
          <w:b/>
        </w:rPr>
        <w:t>-1</w:t>
      </w:r>
      <w:r>
        <w:t xml:space="preserve">. </w:t>
      </w:r>
    </w:p>
    <w:p w14:paraId="0AD8268B" w14:textId="77777777" w:rsidR="00341B5D" w:rsidRPr="0091284D" w:rsidRDefault="00341B5D" w:rsidP="00341B5D">
      <w:pPr>
        <w:pStyle w:val="TextPara"/>
        <w:rPr>
          <w:b/>
        </w:rPr>
      </w:pPr>
      <w:r w:rsidRPr="0091284D">
        <w:rPr>
          <w:b/>
        </w:rPr>
        <w:t>Unintended Consequences</w:t>
      </w:r>
    </w:p>
    <w:p w14:paraId="214B670F" w14:textId="77777777" w:rsidR="00341B5D" w:rsidRPr="0091284D" w:rsidRDefault="00341B5D" w:rsidP="00341B5D">
      <w:pPr>
        <w:pStyle w:val="TextPara"/>
      </w:pPr>
      <w:r w:rsidRPr="0091284D">
        <w:t xml:space="preserve">One unintended consequence of mandatory medical reporting is the same as aged-based testing i.e. increased isolation of people who lose their driver’s licences. There is another unintended consequence, which is the risk that medical professionals will become resentful of the mandatory aspect of the regime and will as a consequence reduce their co-operation with regulatory authorities on the very important matter of keeping medically unfit drivers off the road. In the Department’s opinion it is far better for there to be a co-operative relationship with the medical profession. A system of </w:t>
      </w:r>
      <w:r w:rsidRPr="0091284D">
        <w:rPr>
          <w:i/>
        </w:rPr>
        <w:t>mandatory</w:t>
      </w:r>
      <w:r w:rsidRPr="0091284D">
        <w:t xml:space="preserve"> medical reporting, which inevitably will come with powers of enforcement and penalties for non-compliance, poses a significant risk to that the relationship will become adversarial, which could be counter-productive for road safety. </w:t>
      </w:r>
    </w:p>
    <w:p w14:paraId="64BD65A4" w14:textId="77777777" w:rsidR="00341B5D" w:rsidRPr="0091284D" w:rsidRDefault="00341B5D" w:rsidP="00341B5D">
      <w:pPr>
        <w:pStyle w:val="TextPara"/>
      </w:pPr>
      <w:r w:rsidRPr="0091284D">
        <w:t xml:space="preserve">In the MCA unintended consequences scores </w:t>
      </w:r>
      <w:r w:rsidRPr="0091284D">
        <w:rPr>
          <w:b/>
        </w:rPr>
        <w:t>-5</w:t>
      </w:r>
      <w:r w:rsidRPr="0091284D">
        <w:t>.</w:t>
      </w:r>
    </w:p>
    <w:p w14:paraId="50F13173" w14:textId="77777777" w:rsidR="00341B5D" w:rsidRPr="0091284D" w:rsidRDefault="00341B5D" w:rsidP="00341B5D">
      <w:pPr>
        <w:pStyle w:val="TextPara"/>
        <w:rPr>
          <w:b/>
          <w:i/>
        </w:rPr>
      </w:pPr>
      <w:r w:rsidRPr="0091284D">
        <w:rPr>
          <w:b/>
          <w:i/>
        </w:rPr>
        <w:t>Summing up the MCA</w:t>
      </w:r>
    </w:p>
    <w:p w14:paraId="5002DFB2" w14:textId="334E0B09" w:rsidR="00341B5D" w:rsidRPr="0091284D" w:rsidRDefault="000A1C50" w:rsidP="00341B5D">
      <w:pPr>
        <w:pStyle w:val="TextPara"/>
      </w:pPr>
      <w:r>
        <w:fldChar w:fldCharType="begin"/>
      </w:r>
      <w:r>
        <w:instrText xml:space="preserve"> REF _Ref10703663 \h </w:instrText>
      </w:r>
      <w:r>
        <w:fldChar w:fldCharType="separate"/>
      </w:r>
      <w:r w:rsidRPr="00117C96">
        <w:t xml:space="preserve">Table </w:t>
      </w:r>
      <w:r>
        <w:rPr>
          <w:noProof/>
        </w:rPr>
        <w:t>25</w:t>
      </w:r>
      <w:r>
        <w:fldChar w:fldCharType="end"/>
      </w:r>
      <w:r>
        <w:t xml:space="preserve"> </w:t>
      </w:r>
      <w:r w:rsidR="00341B5D" w:rsidRPr="0091284D">
        <w:t>sums up the Multi Criteria Assessment of options relating to mandatory medical reporting of drivers in Victoria.</w:t>
      </w:r>
    </w:p>
    <w:p w14:paraId="194C7E1E" w14:textId="6F7AA2D8" w:rsidR="00341B5D" w:rsidRPr="007440CB" w:rsidRDefault="00341B5D" w:rsidP="00341B5D">
      <w:pPr>
        <w:pStyle w:val="Caption"/>
      </w:pPr>
      <w:bookmarkStart w:id="462" w:name="_Ref10703663"/>
      <w:bookmarkStart w:id="463" w:name="_Toc10703718"/>
      <w:r w:rsidRPr="00117C96">
        <w:t xml:space="preserve">Table </w:t>
      </w:r>
      <w:r>
        <w:rPr>
          <w:noProof/>
        </w:rPr>
        <w:fldChar w:fldCharType="begin"/>
      </w:r>
      <w:r>
        <w:rPr>
          <w:noProof/>
        </w:rPr>
        <w:instrText xml:space="preserve"> SEQ Table \* ARABIC </w:instrText>
      </w:r>
      <w:r>
        <w:rPr>
          <w:noProof/>
        </w:rPr>
        <w:fldChar w:fldCharType="separate"/>
      </w:r>
      <w:r w:rsidR="00EB4B02">
        <w:rPr>
          <w:noProof/>
        </w:rPr>
        <w:t>25</w:t>
      </w:r>
      <w:r>
        <w:rPr>
          <w:noProof/>
        </w:rPr>
        <w:fldChar w:fldCharType="end"/>
      </w:r>
      <w:bookmarkEnd w:id="462"/>
      <w:r w:rsidRPr="00117C96">
        <w:t xml:space="preserve"> – </w:t>
      </w:r>
      <w:r>
        <w:t>Multi Criteria Assessment of options relating to mandatory medical reporting of drivers</w:t>
      </w:r>
      <w:bookmarkEnd w:id="463"/>
    </w:p>
    <w:tbl>
      <w:tblPr>
        <w:tblStyle w:val="TableGrid"/>
        <w:tblW w:w="74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70"/>
        <w:gridCol w:w="1206"/>
        <w:gridCol w:w="998"/>
        <w:gridCol w:w="1164"/>
        <w:gridCol w:w="998"/>
        <w:gridCol w:w="1165"/>
      </w:tblGrid>
      <w:tr w:rsidR="00341B5D" w14:paraId="382843A7" w14:textId="77777777" w:rsidTr="003C7C88">
        <w:tc>
          <w:tcPr>
            <w:tcW w:w="1870" w:type="dxa"/>
            <w:shd w:val="clear" w:color="auto" w:fill="142841" w:themeFill="text2"/>
          </w:tcPr>
          <w:p w14:paraId="268EFF32" w14:textId="77777777" w:rsidR="00341B5D" w:rsidRPr="007F4D93" w:rsidRDefault="00341B5D" w:rsidP="003C7C88">
            <w:pPr>
              <w:pStyle w:val="TextPara"/>
              <w:rPr>
                <w:rFonts w:cs="Segoe UI"/>
                <w:b/>
                <w:sz w:val="18"/>
                <w:szCs w:val="18"/>
              </w:rPr>
            </w:pPr>
            <w:r w:rsidRPr="007F4D93">
              <w:rPr>
                <w:rFonts w:cs="Segoe UI"/>
                <w:b/>
                <w:sz w:val="18"/>
                <w:szCs w:val="18"/>
              </w:rPr>
              <w:t>Criterion</w:t>
            </w:r>
          </w:p>
        </w:tc>
        <w:tc>
          <w:tcPr>
            <w:tcW w:w="1206" w:type="dxa"/>
            <w:shd w:val="clear" w:color="auto" w:fill="142841" w:themeFill="text2"/>
          </w:tcPr>
          <w:p w14:paraId="56E0E0C7" w14:textId="77777777" w:rsidR="00341B5D" w:rsidRPr="007F4D93" w:rsidRDefault="00341B5D" w:rsidP="003C7C88">
            <w:pPr>
              <w:pStyle w:val="TextPara"/>
              <w:rPr>
                <w:rFonts w:cs="Segoe UI"/>
                <w:b/>
                <w:sz w:val="18"/>
                <w:szCs w:val="18"/>
              </w:rPr>
            </w:pPr>
            <w:r w:rsidRPr="007F4D93">
              <w:rPr>
                <w:rFonts w:cs="Segoe UI"/>
                <w:b/>
                <w:sz w:val="18"/>
                <w:szCs w:val="18"/>
              </w:rPr>
              <w:t>Weighting</w:t>
            </w:r>
          </w:p>
        </w:tc>
        <w:tc>
          <w:tcPr>
            <w:tcW w:w="2162" w:type="dxa"/>
            <w:gridSpan w:val="2"/>
            <w:shd w:val="clear" w:color="auto" w:fill="142841" w:themeFill="text2"/>
          </w:tcPr>
          <w:p w14:paraId="0C1C144D" w14:textId="77777777" w:rsidR="00341B5D" w:rsidRPr="007F4D93" w:rsidRDefault="00341B5D" w:rsidP="003C7C88">
            <w:pPr>
              <w:pStyle w:val="TextPara"/>
              <w:rPr>
                <w:rFonts w:cs="Segoe UI"/>
                <w:b/>
                <w:sz w:val="18"/>
                <w:szCs w:val="18"/>
              </w:rPr>
            </w:pPr>
            <w:r w:rsidRPr="007F4D93">
              <w:rPr>
                <w:rFonts w:cs="Segoe UI"/>
                <w:b/>
                <w:sz w:val="18"/>
                <w:szCs w:val="18"/>
              </w:rPr>
              <w:t>Base Case</w:t>
            </w:r>
          </w:p>
        </w:tc>
        <w:tc>
          <w:tcPr>
            <w:tcW w:w="2163" w:type="dxa"/>
            <w:gridSpan w:val="2"/>
            <w:shd w:val="clear" w:color="auto" w:fill="142841" w:themeFill="text2"/>
          </w:tcPr>
          <w:p w14:paraId="2C4397EE" w14:textId="77777777" w:rsidR="00341B5D" w:rsidRPr="007F4D93" w:rsidRDefault="00341B5D" w:rsidP="003C7C88">
            <w:pPr>
              <w:pStyle w:val="TextPara"/>
              <w:rPr>
                <w:rFonts w:cs="Segoe UI"/>
                <w:b/>
                <w:sz w:val="18"/>
                <w:szCs w:val="18"/>
              </w:rPr>
            </w:pPr>
            <w:r>
              <w:rPr>
                <w:rFonts w:cs="Segoe UI"/>
                <w:b/>
                <w:sz w:val="18"/>
                <w:szCs w:val="18"/>
              </w:rPr>
              <w:t>Mandatory reporting model</w:t>
            </w:r>
          </w:p>
        </w:tc>
      </w:tr>
      <w:tr w:rsidR="00341B5D" w14:paraId="3493610B" w14:textId="77777777" w:rsidTr="003C7C88">
        <w:tc>
          <w:tcPr>
            <w:tcW w:w="1870" w:type="dxa"/>
            <w:tcBorders>
              <w:bottom w:val="single" w:sz="4" w:space="0" w:color="BFBFBF" w:themeColor="background1" w:themeShade="BF"/>
            </w:tcBorders>
            <w:shd w:val="clear" w:color="auto" w:fill="142841" w:themeFill="text2"/>
          </w:tcPr>
          <w:p w14:paraId="7BB82E5D" w14:textId="77777777" w:rsidR="00341B5D" w:rsidRPr="007F4D93" w:rsidRDefault="00341B5D" w:rsidP="003C7C88">
            <w:pPr>
              <w:pStyle w:val="TextPara"/>
              <w:rPr>
                <w:rFonts w:cs="Segoe UI"/>
                <w:b/>
                <w:sz w:val="18"/>
                <w:szCs w:val="18"/>
              </w:rPr>
            </w:pPr>
          </w:p>
        </w:tc>
        <w:tc>
          <w:tcPr>
            <w:tcW w:w="1206" w:type="dxa"/>
            <w:tcBorders>
              <w:bottom w:val="single" w:sz="4" w:space="0" w:color="BFBFBF" w:themeColor="background1" w:themeShade="BF"/>
            </w:tcBorders>
            <w:shd w:val="clear" w:color="auto" w:fill="142841" w:themeFill="text2"/>
          </w:tcPr>
          <w:p w14:paraId="63D797AD" w14:textId="77777777" w:rsidR="00341B5D" w:rsidRPr="007F4D93" w:rsidRDefault="00341B5D" w:rsidP="003C7C88">
            <w:pPr>
              <w:pStyle w:val="TextPara"/>
              <w:rPr>
                <w:rFonts w:cs="Segoe UI"/>
                <w:b/>
                <w:sz w:val="18"/>
                <w:szCs w:val="18"/>
              </w:rPr>
            </w:pPr>
          </w:p>
        </w:tc>
        <w:tc>
          <w:tcPr>
            <w:tcW w:w="998" w:type="dxa"/>
            <w:tcBorders>
              <w:bottom w:val="single" w:sz="4" w:space="0" w:color="BFBFBF" w:themeColor="background1" w:themeShade="BF"/>
            </w:tcBorders>
            <w:shd w:val="clear" w:color="auto" w:fill="142841" w:themeFill="text2"/>
          </w:tcPr>
          <w:p w14:paraId="60E2A548" w14:textId="77777777" w:rsidR="00341B5D" w:rsidRPr="007F4D93" w:rsidRDefault="00341B5D" w:rsidP="003C7C88">
            <w:pPr>
              <w:pStyle w:val="TextPara"/>
              <w:rPr>
                <w:rFonts w:cs="Segoe UI"/>
                <w:b/>
                <w:sz w:val="18"/>
                <w:szCs w:val="18"/>
              </w:rPr>
            </w:pPr>
            <w:r w:rsidRPr="007F4D93">
              <w:rPr>
                <w:rFonts w:cs="Segoe UI"/>
                <w:b/>
                <w:sz w:val="18"/>
                <w:szCs w:val="18"/>
              </w:rPr>
              <w:t>Raw Score</w:t>
            </w:r>
          </w:p>
        </w:tc>
        <w:tc>
          <w:tcPr>
            <w:tcW w:w="1164" w:type="dxa"/>
            <w:tcBorders>
              <w:bottom w:val="single" w:sz="4" w:space="0" w:color="BFBFBF" w:themeColor="background1" w:themeShade="BF"/>
            </w:tcBorders>
            <w:shd w:val="clear" w:color="auto" w:fill="142841" w:themeFill="text2"/>
          </w:tcPr>
          <w:p w14:paraId="71EBA866" w14:textId="77777777" w:rsidR="00341B5D" w:rsidRPr="007F4D93" w:rsidRDefault="00341B5D" w:rsidP="003C7C88">
            <w:pPr>
              <w:pStyle w:val="TextPara"/>
              <w:rPr>
                <w:rFonts w:cs="Segoe UI"/>
                <w:b/>
                <w:sz w:val="18"/>
                <w:szCs w:val="18"/>
              </w:rPr>
            </w:pPr>
            <w:r w:rsidRPr="007F4D93">
              <w:rPr>
                <w:rFonts w:cs="Segoe UI"/>
                <w:b/>
                <w:sz w:val="18"/>
                <w:szCs w:val="18"/>
              </w:rPr>
              <w:t>Weighted Score</w:t>
            </w:r>
          </w:p>
        </w:tc>
        <w:tc>
          <w:tcPr>
            <w:tcW w:w="998" w:type="dxa"/>
            <w:tcBorders>
              <w:bottom w:val="single" w:sz="4" w:space="0" w:color="BFBFBF" w:themeColor="background1" w:themeShade="BF"/>
            </w:tcBorders>
            <w:shd w:val="clear" w:color="auto" w:fill="142841" w:themeFill="text2"/>
          </w:tcPr>
          <w:p w14:paraId="78A84ACF" w14:textId="77777777" w:rsidR="00341B5D" w:rsidRPr="007F4D93" w:rsidRDefault="00341B5D" w:rsidP="003C7C88">
            <w:pPr>
              <w:pStyle w:val="TextPara"/>
              <w:rPr>
                <w:rFonts w:cs="Segoe UI"/>
                <w:b/>
                <w:sz w:val="18"/>
                <w:szCs w:val="18"/>
              </w:rPr>
            </w:pPr>
            <w:r w:rsidRPr="007F4D93">
              <w:rPr>
                <w:rFonts w:cs="Segoe UI"/>
                <w:b/>
                <w:sz w:val="18"/>
                <w:szCs w:val="18"/>
              </w:rPr>
              <w:t>Raw Score</w:t>
            </w:r>
          </w:p>
        </w:tc>
        <w:tc>
          <w:tcPr>
            <w:tcW w:w="1165" w:type="dxa"/>
            <w:tcBorders>
              <w:bottom w:val="single" w:sz="4" w:space="0" w:color="BFBFBF" w:themeColor="background1" w:themeShade="BF"/>
            </w:tcBorders>
            <w:shd w:val="clear" w:color="auto" w:fill="142841" w:themeFill="text2"/>
          </w:tcPr>
          <w:p w14:paraId="6B4AEDD8" w14:textId="77777777" w:rsidR="00341B5D" w:rsidRPr="007F4D93" w:rsidRDefault="00341B5D" w:rsidP="003C7C88">
            <w:pPr>
              <w:pStyle w:val="TextPara"/>
              <w:rPr>
                <w:rFonts w:cs="Segoe UI"/>
                <w:b/>
                <w:sz w:val="18"/>
                <w:szCs w:val="18"/>
              </w:rPr>
            </w:pPr>
            <w:r w:rsidRPr="007F4D93">
              <w:rPr>
                <w:rFonts w:cs="Segoe UI"/>
                <w:b/>
                <w:sz w:val="18"/>
                <w:szCs w:val="18"/>
              </w:rPr>
              <w:t>Weighted Score</w:t>
            </w:r>
          </w:p>
        </w:tc>
      </w:tr>
      <w:tr w:rsidR="00341B5D" w:rsidRPr="007F4D93" w14:paraId="0B3D73D1" w14:textId="77777777" w:rsidTr="003C7C88">
        <w:tc>
          <w:tcPr>
            <w:tcW w:w="7401" w:type="dxa"/>
            <w:gridSpan w:val="6"/>
            <w:shd w:val="clear" w:color="auto" w:fill="DDE8F4" w:themeFill="text2" w:themeFillTint="1A"/>
          </w:tcPr>
          <w:p w14:paraId="14FEBA4A" w14:textId="77777777" w:rsidR="00341B5D" w:rsidRPr="009855D1" w:rsidRDefault="00341B5D" w:rsidP="003C7C88">
            <w:pPr>
              <w:pStyle w:val="TextPara"/>
              <w:rPr>
                <w:rFonts w:cs="Segoe UI"/>
                <w:i/>
                <w:sz w:val="18"/>
                <w:szCs w:val="18"/>
              </w:rPr>
            </w:pPr>
            <w:r w:rsidRPr="009855D1">
              <w:rPr>
                <w:rFonts w:cs="Segoe UI"/>
                <w:b/>
                <w:i/>
                <w:sz w:val="18"/>
                <w:szCs w:val="18"/>
              </w:rPr>
              <w:t>BENEFITS</w:t>
            </w:r>
          </w:p>
        </w:tc>
      </w:tr>
      <w:tr w:rsidR="00341B5D" w14:paraId="57392BEC" w14:textId="77777777" w:rsidTr="003C7C88">
        <w:tc>
          <w:tcPr>
            <w:tcW w:w="1870" w:type="dxa"/>
          </w:tcPr>
          <w:p w14:paraId="4F90BE9D" w14:textId="77777777" w:rsidR="00341B5D" w:rsidRPr="007F4D93" w:rsidRDefault="00341B5D" w:rsidP="003C7C88">
            <w:pPr>
              <w:pStyle w:val="TextPara"/>
              <w:rPr>
                <w:rFonts w:cs="Segoe UI"/>
                <w:sz w:val="18"/>
                <w:szCs w:val="18"/>
              </w:rPr>
            </w:pPr>
            <w:r w:rsidRPr="007F4D93">
              <w:rPr>
                <w:rFonts w:cs="Segoe UI"/>
                <w:sz w:val="18"/>
                <w:szCs w:val="18"/>
              </w:rPr>
              <w:t>Safety</w:t>
            </w:r>
          </w:p>
        </w:tc>
        <w:tc>
          <w:tcPr>
            <w:tcW w:w="1206" w:type="dxa"/>
          </w:tcPr>
          <w:p w14:paraId="7EED74E2" w14:textId="77777777" w:rsidR="00341B5D" w:rsidRPr="007F4D93" w:rsidRDefault="00341B5D" w:rsidP="003C7C88">
            <w:pPr>
              <w:pStyle w:val="TextPara"/>
              <w:rPr>
                <w:rFonts w:cs="Segoe UI"/>
                <w:sz w:val="18"/>
                <w:szCs w:val="18"/>
              </w:rPr>
            </w:pPr>
            <w:r>
              <w:rPr>
                <w:rFonts w:cs="Segoe UI"/>
                <w:sz w:val="18"/>
                <w:szCs w:val="18"/>
              </w:rPr>
              <w:t>4</w:t>
            </w:r>
            <w:r w:rsidRPr="007F4D93">
              <w:rPr>
                <w:rFonts w:cs="Segoe UI"/>
                <w:sz w:val="18"/>
                <w:szCs w:val="18"/>
              </w:rPr>
              <w:t>0%</w:t>
            </w:r>
          </w:p>
        </w:tc>
        <w:tc>
          <w:tcPr>
            <w:tcW w:w="998" w:type="dxa"/>
          </w:tcPr>
          <w:p w14:paraId="76A9F8DC"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1164" w:type="dxa"/>
          </w:tcPr>
          <w:p w14:paraId="71BD0C60"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998" w:type="dxa"/>
          </w:tcPr>
          <w:p w14:paraId="7C90B3D6" w14:textId="77777777" w:rsidR="00341B5D" w:rsidRPr="007F4D93" w:rsidRDefault="00341B5D" w:rsidP="003C7C88">
            <w:pPr>
              <w:pStyle w:val="TextPara"/>
              <w:rPr>
                <w:rFonts w:cs="Segoe UI"/>
                <w:sz w:val="18"/>
                <w:szCs w:val="18"/>
              </w:rPr>
            </w:pPr>
            <w:r>
              <w:rPr>
                <w:rFonts w:cs="Segoe UI"/>
                <w:sz w:val="18"/>
                <w:szCs w:val="18"/>
              </w:rPr>
              <w:t>2</w:t>
            </w:r>
          </w:p>
        </w:tc>
        <w:tc>
          <w:tcPr>
            <w:tcW w:w="1165" w:type="dxa"/>
          </w:tcPr>
          <w:p w14:paraId="56500769" w14:textId="77777777" w:rsidR="00341B5D" w:rsidRPr="007F4D93" w:rsidRDefault="00341B5D" w:rsidP="003C7C88">
            <w:pPr>
              <w:pStyle w:val="TextPara"/>
              <w:rPr>
                <w:rFonts w:cs="Segoe UI"/>
                <w:sz w:val="18"/>
                <w:szCs w:val="18"/>
              </w:rPr>
            </w:pPr>
            <w:r>
              <w:rPr>
                <w:rFonts w:cs="Segoe UI"/>
                <w:sz w:val="18"/>
                <w:szCs w:val="18"/>
              </w:rPr>
              <w:t>0.8</w:t>
            </w:r>
          </w:p>
        </w:tc>
      </w:tr>
      <w:tr w:rsidR="00341B5D" w14:paraId="5256E541" w14:textId="77777777" w:rsidTr="003C7C88">
        <w:tc>
          <w:tcPr>
            <w:tcW w:w="1870" w:type="dxa"/>
          </w:tcPr>
          <w:p w14:paraId="4756E256" w14:textId="77777777" w:rsidR="00341B5D" w:rsidRPr="007F4D93" w:rsidRDefault="00341B5D" w:rsidP="003C7C88">
            <w:pPr>
              <w:pStyle w:val="TextPara"/>
              <w:rPr>
                <w:rFonts w:cs="Segoe UI"/>
                <w:sz w:val="18"/>
                <w:szCs w:val="18"/>
              </w:rPr>
            </w:pPr>
            <w:r w:rsidRPr="007F4D93">
              <w:rPr>
                <w:rFonts w:cs="Segoe UI"/>
                <w:sz w:val="18"/>
                <w:szCs w:val="18"/>
              </w:rPr>
              <w:lastRenderedPageBreak/>
              <w:t>Equity</w:t>
            </w:r>
          </w:p>
        </w:tc>
        <w:tc>
          <w:tcPr>
            <w:tcW w:w="1206" w:type="dxa"/>
          </w:tcPr>
          <w:p w14:paraId="6B35E2C5" w14:textId="77777777" w:rsidR="00341B5D" w:rsidRPr="007F4D93" w:rsidRDefault="00341B5D" w:rsidP="003C7C88">
            <w:pPr>
              <w:pStyle w:val="TextPara"/>
              <w:rPr>
                <w:rFonts w:cs="Segoe UI"/>
                <w:sz w:val="18"/>
                <w:szCs w:val="18"/>
              </w:rPr>
            </w:pPr>
            <w:r>
              <w:rPr>
                <w:rFonts w:cs="Segoe UI"/>
                <w:sz w:val="18"/>
                <w:szCs w:val="18"/>
              </w:rPr>
              <w:t>5</w:t>
            </w:r>
            <w:r w:rsidRPr="007F4D93">
              <w:rPr>
                <w:rFonts w:cs="Segoe UI"/>
                <w:sz w:val="18"/>
                <w:szCs w:val="18"/>
              </w:rPr>
              <w:t>%</w:t>
            </w:r>
          </w:p>
        </w:tc>
        <w:tc>
          <w:tcPr>
            <w:tcW w:w="998" w:type="dxa"/>
          </w:tcPr>
          <w:p w14:paraId="0D497E21"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1164" w:type="dxa"/>
          </w:tcPr>
          <w:p w14:paraId="57787474"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998" w:type="dxa"/>
          </w:tcPr>
          <w:p w14:paraId="43187662" w14:textId="77777777" w:rsidR="00341B5D" w:rsidRPr="007F4D93" w:rsidRDefault="00341B5D" w:rsidP="003C7C88">
            <w:pPr>
              <w:pStyle w:val="TextPara"/>
              <w:rPr>
                <w:rFonts w:cs="Segoe UI"/>
                <w:sz w:val="18"/>
                <w:szCs w:val="18"/>
              </w:rPr>
            </w:pPr>
            <w:r w:rsidRPr="009855D1">
              <w:rPr>
                <w:rFonts w:cs="Segoe UI"/>
                <w:sz w:val="18"/>
                <w:szCs w:val="18"/>
              </w:rPr>
              <w:t>-6</w:t>
            </w:r>
          </w:p>
        </w:tc>
        <w:tc>
          <w:tcPr>
            <w:tcW w:w="1165" w:type="dxa"/>
          </w:tcPr>
          <w:p w14:paraId="1C826B31" w14:textId="77777777" w:rsidR="00341B5D" w:rsidRPr="007F4D93" w:rsidRDefault="00341B5D" w:rsidP="003C7C88">
            <w:pPr>
              <w:pStyle w:val="TextPara"/>
              <w:rPr>
                <w:rFonts w:cs="Segoe UI"/>
                <w:sz w:val="18"/>
                <w:szCs w:val="18"/>
              </w:rPr>
            </w:pPr>
            <w:r w:rsidRPr="009855D1">
              <w:rPr>
                <w:rFonts w:cs="Segoe UI"/>
                <w:sz w:val="18"/>
                <w:szCs w:val="18"/>
              </w:rPr>
              <w:t>-0.3</w:t>
            </w:r>
          </w:p>
        </w:tc>
      </w:tr>
      <w:tr w:rsidR="00341B5D" w14:paraId="4E0F5C96" w14:textId="77777777" w:rsidTr="003C7C88">
        <w:tc>
          <w:tcPr>
            <w:tcW w:w="1870" w:type="dxa"/>
            <w:tcBorders>
              <w:bottom w:val="single" w:sz="4" w:space="0" w:color="BFBFBF" w:themeColor="background1" w:themeShade="BF"/>
            </w:tcBorders>
          </w:tcPr>
          <w:p w14:paraId="6AA5E021" w14:textId="77777777" w:rsidR="00341B5D" w:rsidRPr="007F4D93" w:rsidRDefault="00341B5D" w:rsidP="003C7C88">
            <w:pPr>
              <w:pStyle w:val="TextPara"/>
              <w:rPr>
                <w:rFonts w:cs="Segoe UI"/>
                <w:sz w:val="18"/>
                <w:szCs w:val="18"/>
              </w:rPr>
            </w:pPr>
            <w:r w:rsidRPr="007F4D93">
              <w:rPr>
                <w:rFonts w:cs="Segoe UI"/>
                <w:sz w:val="18"/>
                <w:szCs w:val="18"/>
              </w:rPr>
              <w:t>E</w:t>
            </w:r>
            <w:r>
              <w:rPr>
                <w:rFonts w:cs="Segoe UI"/>
                <w:sz w:val="18"/>
                <w:szCs w:val="18"/>
              </w:rPr>
              <w:t>ase of Implementation</w:t>
            </w:r>
          </w:p>
        </w:tc>
        <w:tc>
          <w:tcPr>
            <w:tcW w:w="1206" w:type="dxa"/>
            <w:tcBorders>
              <w:bottom w:val="single" w:sz="4" w:space="0" w:color="BFBFBF" w:themeColor="background1" w:themeShade="BF"/>
            </w:tcBorders>
          </w:tcPr>
          <w:p w14:paraId="789432F1" w14:textId="77777777" w:rsidR="00341B5D" w:rsidRPr="007F4D93" w:rsidRDefault="00341B5D" w:rsidP="003C7C88">
            <w:pPr>
              <w:pStyle w:val="TextPara"/>
              <w:rPr>
                <w:rFonts w:cs="Segoe UI"/>
                <w:sz w:val="18"/>
                <w:szCs w:val="18"/>
              </w:rPr>
            </w:pPr>
            <w:r>
              <w:rPr>
                <w:rFonts w:cs="Segoe UI"/>
                <w:sz w:val="18"/>
                <w:szCs w:val="18"/>
              </w:rPr>
              <w:t>5</w:t>
            </w:r>
            <w:r w:rsidRPr="007F4D93">
              <w:rPr>
                <w:rFonts w:cs="Segoe UI"/>
                <w:sz w:val="18"/>
                <w:szCs w:val="18"/>
              </w:rPr>
              <w:t>%</w:t>
            </w:r>
          </w:p>
        </w:tc>
        <w:tc>
          <w:tcPr>
            <w:tcW w:w="998" w:type="dxa"/>
            <w:tcBorders>
              <w:bottom w:val="single" w:sz="4" w:space="0" w:color="BFBFBF" w:themeColor="background1" w:themeShade="BF"/>
            </w:tcBorders>
          </w:tcPr>
          <w:p w14:paraId="68734966"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1164" w:type="dxa"/>
            <w:tcBorders>
              <w:bottom w:val="single" w:sz="4" w:space="0" w:color="BFBFBF" w:themeColor="background1" w:themeShade="BF"/>
            </w:tcBorders>
          </w:tcPr>
          <w:p w14:paraId="29D3C604"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998" w:type="dxa"/>
            <w:tcBorders>
              <w:bottom w:val="single" w:sz="4" w:space="0" w:color="BFBFBF" w:themeColor="background1" w:themeShade="BF"/>
            </w:tcBorders>
          </w:tcPr>
          <w:p w14:paraId="3C6059E0" w14:textId="77777777" w:rsidR="00341B5D" w:rsidRPr="007F4D93" w:rsidRDefault="00341B5D" w:rsidP="003C7C88">
            <w:pPr>
              <w:pStyle w:val="TextPara"/>
              <w:rPr>
                <w:rFonts w:cs="Segoe UI"/>
                <w:sz w:val="18"/>
                <w:szCs w:val="18"/>
              </w:rPr>
            </w:pPr>
            <w:r w:rsidRPr="009855D1">
              <w:rPr>
                <w:rFonts w:cs="Segoe UI"/>
                <w:sz w:val="18"/>
                <w:szCs w:val="18"/>
              </w:rPr>
              <w:t>-8</w:t>
            </w:r>
          </w:p>
        </w:tc>
        <w:tc>
          <w:tcPr>
            <w:tcW w:w="1165" w:type="dxa"/>
            <w:tcBorders>
              <w:bottom w:val="single" w:sz="4" w:space="0" w:color="BFBFBF" w:themeColor="background1" w:themeShade="BF"/>
            </w:tcBorders>
          </w:tcPr>
          <w:p w14:paraId="5764B8B8" w14:textId="77777777" w:rsidR="00341B5D" w:rsidRPr="007F4D93" w:rsidRDefault="00341B5D" w:rsidP="003C7C88">
            <w:pPr>
              <w:pStyle w:val="TextPara"/>
              <w:rPr>
                <w:rFonts w:cs="Segoe UI"/>
                <w:sz w:val="18"/>
                <w:szCs w:val="18"/>
              </w:rPr>
            </w:pPr>
            <w:r w:rsidRPr="009855D1">
              <w:rPr>
                <w:rFonts w:cs="Segoe UI"/>
                <w:sz w:val="18"/>
                <w:szCs w:val="18"/>
              </w:rPr>
              <w:t>-0.4</w:t>
            </w:r>
          </w:p>
        </w:tc>
      </w:tr>
      <w:tr w:rsidR="00341B5D" w14:paraId="78D5A065" w14:textId="77777777" w:rsidTr="003C7C88">
        <w:tc>
          <w:tcPr>
            <w:tcW w:w="7401" w:type="dxa"/>
            <w:gridSpan w:val="6"/>
            <w:shd w:val="clear" w:color="auto" w:fill="DDE8F4" w:themeFill="text2" w:themeFillTint="1A"/>
          </w:tcPr>
          <w:p w14:paraId="3E5FB5FE" w14:textId="77777777" w:rsidR="00341B5D" w:rsidRPr="009855D1" w:rsidRDefault="00341B5D" w:rsidP="003C7C88">
            <w:pPr>
              <w:pStyle w:val="TextPara"/>
              <w:rPr>
                <w:rFonts w:cs="Segoe UI"/>
                <w:i/>
                <w:sz w:val="18"/>
                <w:szCs w:val="18"/>
              </w:rPr>
            </w:pPr>
            <w:r w:rsidRPr="009855D1">
              <w:rPr>
                <w:rFonts w:cs="Segoe UI"/>
                <w:b/>
                <w:i/>
                <w:sz w:val="18"/>
                <w:szCs w:val="18"/>
              </w:rPr>
              <w:t>COSTS</w:t>
            </w:r>
          </w:p>
        </w:tc>
      </w:tr>
      <w:tr w:rsidR="00341B5D" w14:paraId="4169D4B0" w14:textId="77777777" w:rsidTr="003C7C88">
        <w:tc>
          <w:tcPr>
            <w:tcW w:w="1870" w:type="dxa"/>
          </w:tcPr>
          <w:p w14:paraId="36773BB4" w14:textId="77777777" w:rsidR="00341B5D" w:rsidRPr="007F4D93" w:rsidRDefault="00341B5D" w:rsidP="003C7C88">
            <w:pPr>
              <w:pStyle w:val="TextPara"/>
              <w:rPr>
                <w:rFonts w:cs="Segoe UI"/>
                <w:sz w:val="18"/>
                <w:szCs w:val="18"/>
              </w:rPr>
            </w:pPr>
            <w:r w:rsidRPr="007F4D93">
              <w:rPr>
                <w:rFonts w:cs="Segoe UI"/>
                <w:sz w:val="18"/>
                <w:szCs w:val="18"/>
              </w:rPr>
              <w:t>Costs to Government</w:t>
            </w:r>
          </w:p>
        </w:tc>
        <w:tc>
          <w:tcPr>
            <w:tcW w:w="1206" w:type="dxa"/>
          </w:tcPr>
          <w:p w14:paraId="173A295B" w14:textId="77777777" w:rsidR="00341B5D" w:rsidRPr="007F4D93" w:rsidRDefault="00341B5D" w:rsidP="003C7C88">
            <w:pPr>
              <w:pStyle w:val="TextPara"/>
              <w:rPr>
                <w:rFonts w:cs="Segoe UI"/>
                <w:sz w:val="18"/>
                <w:szCs w:val="18"/>
              </w:rPr>
            </w:pPr>
            <w:r w:rsidRPr="007F4D93">
              <w:rPr>
                <w:rFonts w:cs="Segoe UI"/>
                <w:sz w:val="18"/>
                <w:szCs w:val="18"/>
              </w:rPr>
              <w:t>20%</w:t>
            </w:r>
          </w:p>
        </w:tc>
        <w:tc>
          <w:tcPr>
            <w:tcW w:w="998" w:type="dxa"/>
          </w:tcPr>
          <w:p w14:paraId="2D514E0B"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1164" w:type="dxa"/>
          </w:tcPr>
          <w:p w14:paraId="232BC880"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998" w:type="dxa"/>
          </w:tcPr>
          <w:p w14:paraId="61B79B6F" w14:textId="77777777" w:rsidR="00341B5D" w:rsidRPr="007F4D93" w:rsidRDefault="00341B5D" w:rsidP="003C7C88">
            <w:pPr>
              <w:pStyle w:val="TextPara"/>
              <w:rPr>
                <w:rFonts w:cs="Segoe UI"/>
                <w:sz w:val="18"/>
                <w:szCs w:val="18"/>
              </w:rPr>
            </w:pPr>
            <w:r w:rsidRPr="009855D1">
              <w:rPr>
                <w:rFonts w:cs="Segoe UI"/>
                <w:sz w:val="18"/>
                <w:szCs w:val="18"/>
              </w:rPr>
              <w:t>-1</w:t>
            </w:r>
          </w:p>
        </w:tc>
        <w:tc>
          <w:tcPr>
            <w:tcW w:w="1165" w:type="dxa"/>
          </w:tcPr>
          <w:p w14:paraId="5BD2CF5C" w14:textId="77777777" w:rsidR="00341B5D" w:rsidRPr="007F4D93" w:rsidRDefault="00341B5D" w:rsidP="003C7C88">
            <w:pPr>
              <w:pStyle w:val="TextPara"/>
              <w:rPr>
                <w:rFonts w:cs="Segoe UI"/>
                <w:sz w:val="18"/>
                <w:szCs w:val="18"/>
              </w:rPr>
            </w:pPr>
            <w:r w:rsidRPr="009855D1">
              <w:rPr>
                <w:rFonts w:cs="Segoe UI"/>
                <w:sz w:val="18"/>
                <w:szCs w:val="18"/>
              </w:rPr>
              <w:t>-0.2</w:t>
            </w:r>
          </w:p>
        </w:tc>
      </w:tr>
      <w:tr w:rsidR="00341B5D" w14:paraId="18408EB9" w14:textId="77777777" w:rsidTr="003C7C88">
        <w:tc>
          <w:tcPr>
            <w:tcW w:w="1870" w:type="dxa"/>
          </w:tcPr>
          <w:p w14:paraId="14113CBB" w14:textId="77777777" w:rsidR="00341B5D" w:rsidRPr="007F4D93" w:rsidRDefault="00341B5D" w:rsidP="003C7C88">
            <w:pPr>
              <w:pStyle w:val="TextPara"/>
              <w:rPr>
                <w:rFonts w:cs="Segoe UI"/>
                <w:sz w:val="18"/>
                <w:szCs w:val="18"/>
              </w:rPr>
            </w:pPr>
            <w:r w:rsidRPr="007F4D93">
              <w:rPr>
                <w:rFonts w:cs="Segoe UI"/>
                <w:sz w:val="18"/>
                <w:szCs w:val="18"/>
              </w:rPr>
              <w:t>Costs to Community</w:t>
            </w:r>
          </w:p>
        </w:tc>
        <w:tc>
          <w:tcPr>
            <w:tcW w:w="1206" w:type="dxa"/>
          </w:tcPr>
          <w:p w14:paraId="74538EC6" w14:textId="77777777" w:rsidR="00341B5D" w:rsidRPr="007F4D93" w:rsidRDefault="00341B5D" w:rsidP="003C7C88">
            <w:pPr>
              <w:pStyle w:val="TextPara"/>
              <w:rPr>
                <w:rFonts w:cs="Segoe UI"/>
                <w:sz w:val="18"/>
                <w:szCs w:val="18"/>
              </w:rPr>
            </w:pPr>
            <w:r w:rsidRPr="007F4D93">
              <w:rPr>
                <w:rFonts w:cs="Segoe UI"/>
                <w:sz w:val="18"/>
                <w:szCs w:val="18"/>
              </w:rPr>
              <w:t>20%</w:t>
            </w:r>
          </w:p>
        </w:tc>
        <w:tc>
          <w:tcPr>
            <w:tcW w:w="998" w:type="dxa"/>
          </w:tcPr>
          <w:p w14:paraId="44992EA7"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1164" w:type="dxa"/>
          </w:tcPr>
          <w:p w14:paraId="439F85B9"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998" w:type="dxa"/>
          </w:tcPr>
          <w:p w14:paraId="59D9E7DE" w14:textId="77777777" w:rsidR="00341B5D" w:rsidRPr="007F4D93" w:rsidRDefault="00341B5D" w:rsidP="003C7C88">
            <w:pPr>
              <w:pStyle w:val="TextPara"/>
              <w:rPr>
                <w:rFonts w:cs="Segoe UI"/>
                <w:sz w:val="18"/>
                <w:szCs w:val="18"/>
              </w:rPr>
            </w:pPr>
            <w:r w:rsidRPr="009855D1">
              <w:rPr>
                <w:rFonts w:cs="Segoe UI"/>
                <w:sz w:val="18"/>
                <w:szCs w:val="18"/>
              </w:rPr>
              <w:t>-2</w:t>
            </w:r>
          </w:p>
        </w:tc>
        <w:tc>
          <w:tcPr>
            <w:tcW w:w="1165" w:type="dxa"/>
          </w:tcPr>
          <w:p w14:paraId="17A10B70" w14:textId="77777777" w:rsidR="00341B5D" w:rsidRPr="007F4D93" w:rsidRDefault="00341B5D" w:rsidP="003C7C88">
            <w:pPr>
              <w:pStyle w:val="TextPara"/>
              <w:rPr>
                <w:rFonts w:cs="Segoe UI"/>
                <w:sz w:val="18"/>
                <w:szCs w:val="18"/>
              </w:rPr>
            </w:pPr>
            <w:r w:rsidRPr="009855D1">
              <w:rPr>
                <w:rFonts w:cs="Segoe UI"/>
                <w:sz w:val="18"/>
                <w:szCs w:val="18"/>
              </w:rPr>
              <w:t>-0.4</w:t>
            </w:r>
          </w:p>
        </w:tc>
      </w:tr>
      <w:tr w:rsidR="00341B5D" w14:paraId="20793985" w14:textId="77777777" w:rsidTr="003C7C88">
        <w:tc>
          <w:tcPr>
            <w:tcW w:w="1870" w:type="dxa"/>
            <w:tcBorders>
              <w:bottom w:val="single" w:sz="4" w:space="0" w:color="BFBFBF" w:themeColor="background1" w:themeShade="BF"/>
            </w:tcBorders>
          </w:tcPr>
          <w:p w14:paraId="7FB00A2C" w14:textId="77777777" w:rsidR="00341B5D" w:rsidRPr="007F4D93" w:rsidRDefault="00341B5D" w:rsidP="003C7C88">
            <w:pPr>
              <w:pStyle w:val="TextPara"/>
              <w:rPr>
                <w:rFonts w:cs="Segoe UI"/>
                <w:sz w:val="18"/>
                <w:szCs w:val="18"/>
              </w:rPr>
            </w:pPr>
            <w:r w:rsidRPr="007F4D93">
              <w:rPr>
                <w:rFonts w:cs="Segoe UI"/>
                <w:sz w:val="18"/>
                <w:szCs w:val="18"/>
              </w:rPr>
              <w:t>Unintended Consequences</w:t>
            </w:r>
          </w:p>
        </w:tc>
        <w:tc>
          <w:tcPr>
            <w:tcW w:w="1206" w:type="dxa"/>
            <w:tcBorders>
              <w:bottom w:val="single" w:sz="4" w:space="0" w:color="BFBFBF" w:themeColor="background1" w:themeShade="BF"/>
            </w:tcBorders>
          </w:tcPr>
          <w:p w14:paraId="1F833851" w14:textId="77777777" w:rsidR="00341B5D" w:rsidRPr="007F4D93" w:rsidRDefault="00341B5D" w:rsidP="003C7C88">
            <w:pPr>
              <w:pStyle w:val="TextPara"/>
              <w:rPr>
                <w:rFonts w:cs="Segoe UI"/>
                <w:sz w:val="18"/>
                <w:szCs w:val="18"/>
              </w:rPr>
            </w:pPr>
            <w:r w:rsidRPr="007F4D93">
              <w:rPr>
                <w:rFonts w:cs="Segoe UI"/>
                <w:sz w:val="18"/>
                <w:szCs w:val="18"/>
              </w:rPr>
              <w:t>10%</w:t>
            </w:r>
          </w:p>
        </w:tc>
        <w:tc>
          <w:tcPr>
            <w:tcW w:w="998" w:type="dxa"/>
            <w:tcBorders>
              <w:bottom w:val="single" w:sz="4" w:space="0" w:color="BFBFBF" w:themeColor="background1" w:themeShade="BF"/>
            </w:tcBorders>
          </w:tcPr>
          <w:p w14:paraId="0814387F"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1164" w:type="dxa"/>
            <w:tcBorders>
              <w:bottom w:val="single" w:sz="4" w:space="0" w:color="BFBFBF" w:themeColor="background1" w:themeShade="BF"/>
            </w:tcBorders>
          </w:tcPr>
          <w:p w14:paraId="0AC8150A" w14:textId="77777777" w:rsidR="00341B5D" w:rsidRPr="007F4D93" w:rsidRDefault="00341B5D" w:rsidP="003C7C88">
            <w:pPr>
              <w:pStyle w:val="TextPara"/>
              <w:rPr>
                <w:rFonts w:cs="Segoe UI"/>
                <w:sz w:val="18"/>
                <w:szCs w:val="18"/>
              </w:rPr>
            </w:pPr>
            <w:r w:rsidRPr="007F4D93">
              <w:rPr>
                <w:rFonts w:cs="Segoe UI"/>
                <w:sz w:val="18"/>
                <w:szCs w:val="18"/>
              </w:rPr>
              <w:t>0</w:t>
            </w:r>
          </w:p>
        </w:tc>
        <w:tc>
          <w:tcPr>
            <w:tcW w:w="998" w:type="dxa"/>
            <w:tcBorders>
              <w:bottom w:val="single" w:sz="4" w:space="0" w:color="BFBFBF" w:themeColor="background1" w:themeShade="BF"/>
            </w:tcBorders>
          </w:tcPr>
          <w:p w14:paraId="38DBDD40" w14:textId="77777777" w:rsidR="00341B5D" w:rsidRPr="007F4D93" w:rsidRDefault="00341B5D" w:rsidP="003C7C88">
            <w:pPr>
              <w:pStyle w:val="TextPara"/>
              <w:rPr>
                <w:rFonts w:cs="Segoe UI"/>
                <w:sz w:val="18"/>
                <w:szCs w:val="18"/>
              </w:rPr>
            </w:pPr>
            <w:r w:rsidRPr="009855D1">
              <w:rPr>
                <w:rFonts w:cs="Segoe UI"/>
                <w:sz w:val="18"/>
                <w:szCs w:val="18"/>
              </w:rPr>
              <w:t>-5</w:t>
            </w:r>
          </w:p>
        </w:tc>
        <w:tc>
          <w:tcPr>
            <w:tcW w:w="1165" w:type="dxa"/>
            <w:tcBorders>
              <w:bottom w:val="single" w:sz="4" w:space="0" w:color="BFBFBF" w:themeColor="background1" w:themeShade="BF"/>
            </w:tcBorders>
          </w:tcPr>
          <w:p w14:paraId="65C3B810" w14:textId="77777777" w:rsidR="00341B5D" w:rsidRPr="007F4D93" w:rsidRDefault="00341B5D" w:rsidP="003C7C88">
            <w:pPr>
              <w:pStyle w:val="TextPara"/>
              <w:rPr>
                <w:rFonts w:cs="Segoe UI"/>
                <w:sz w:val="18"/>
                <w:szCs w:val="18"/>
              </w:rPr>
            </w:pPr>
            <w:r w:rsidRPr="009855D1">
              <w:rPr>
                <w:rFonts w:cs="Segoe UI"/>
                <w:sz w:val="18"/>
                <w:szCs w:val="18"/>
              </w:rPr>
              <w:t>-0.5</w:t>
            </w:r>
          </w:p>
        </w:tc>
      </w:tr>
      <w:tr w:rsidR="00341B5D" w:rsidRPr="00EE3A89" w14:paraId="7C5905FB" w14:textId="77777777" w:rsidTr="003C7C88">
        <w:tc>
          <w:tcPr>
            <w:tcW w:w="1870" w:type="dxa"/>
            <w:shd w:val="clear" w:color="auto" w:fill="DDE8F4" w:themeFill="text2" w:themeFillTint="1A"/>
          </w:tcPr>
          <w:p w14:paraId="65A078E2" w14:textId="77777777" w:rsidR="00341B5D" w:rsidRPr="007F4D93" w:rsidRDefault="00341B5D" w:rsidP="003C7C88">
            <w:pPr>
              <w:pStyle w:val="TextPara"/>
              <w:rPr>
                <w:rFonts w:cs="Segoe UI"/>
                <w:b/>
                <w:sz w:val="18"/>
                <w:szCs w:val="18"/>
              </w:rPr>
            </w:pPr>
            <w:r w:rsidRPr="007F4D93">
              <w:rPr>
                <w:rFonts w:cs="Segoe UI"/>
                <w:b/>
                <w:sz w:val="18"/>
                <w:szCs w:val="18"/>
              </w:rPr>
              <w:t>Total</w:t>
            </w:r>
          </w:p>
        </w:tc>
        <w:tc>
          <w:tcPr>
            <w:tcW w:w="1206" w:type="dxa"/>
            <w:shd w:val="clear" w:color="auto" w:fill="DDE8F4" w:themeFill="text2" w:themeFillTint="1A"/>
          </w:tcPr>
          <w:p w14:paraId="584A6093" w14:textId="77777777" w:rsidR="00341B5D" w:rsidRPr="007F4D93" w:rsidRDefault="00341B5D" w:rsidP="003C7C88">
            <w:pPr>
              <w:pStyle w:val="TextPara"/>
              <w:rPr>
                <w:rFonts w:cs="Segoe UI"/>
                <w:b/>
                <w:sz w:val="18"/>
                <w:szCs w:val="18"/>
              </w:rPr>
            </w:pPr>
          </w:p>
        </w:tc>
        <w:tc>
          <w:tcPr>
            <w:tcW w:w="998" w:type="dxa"/>
            <w:shd w:val="clear" w:color="auto" w:fill="DDE8F4" w:themeFill="text2" w:themeFillTint="1A"/>
          </w:tcPr>
          <w:p w14:paraId="3867C583" w14:textId="77777777" w:rsidR="00341B5D" w:rsidRPr="007F4D93" w:rsidRDefault="00341B5D" w:rsidP="003C7C88">
            <w:pPr>
              <w:pStyle w:val="TextPara"/>
              <w:rPr>
                <w:rFonts w:cs="Segoe UI"/>
                <w:b/>
                <w:sz w:val="18"/>
                <w:szCs w:val="18"/>
              </w:rPr>
            </w:pPr>
          </w:p>
        </w:tc>
        <w:tc>
          <w:tcPr>
            <w:tcW w:w="1164" w:type="dxa"/>
            <w:shd w:val="clear" w:color="auto" w:fill="DDE8F4" w:themeFill="text2" w:themeFillTint="1A"/>
          </w:tcPr>
          <w:p w14:paraId="001111D4" w14:textId="77777777" w:rsidR="00341B5D" w:rsidRPr="007F4D93" w:rsidRDefault="00341B5D" w:rsidP="003C7C88">
            <w:pPr>
              <w:pStyle w:val="TextPara"/>
              <w:rPr>
                <w:rFonts w:cs="Segoe UI"/>
                <w:b/>
                <w:sz w:val="18"/>
                <w:szCs w:val="18"/>
              </w:rPr>
            </w:pPr>
            <w:r w:rsidRPr="007F4D93">
              <w:rPr>
                <w:rFonts w:cs="Segoe UI"/>
                <w:b/>
                <w:sz w:val="18"/>
                <w:szCs w:val="18"/>
              </w:rPr>
              <w:t>0</w:t>
            </w:r>
          </w:p>
        </w:tc>
        <w:tc>
          <w:tcPr>
            <w:tcW w:w="998" w:type="dxa"/>
            <w:shd w:val="clear" w:color="auto" w:fill="DDE8F4" w:themeFill="text2" w:themeFillTint="1A"/>
          </w:tcPr>
          <w:p w14:paraId="29E5A053" w14:textId="77777777" w:rsidR="00341B5D" w:rsidRPr="007F4D93" w:rsidRDefault="00341B5D" w:rsidP="003C7C88">
            <w:pPr>
              <w:pStyle w:val="TextPara"/>
              <w:rPr>
                <w:rFonts w:cs="Segoe UI"/>
                <w:b/>
                <w:sz w:val="18"/>
                <w:szCs w:val="18"/>
              </w:rPr>
            </w:pPr>
          </w:p>
        </w:tc>
        <w:tc>
          <w:tcPr>
            <w:tcW w:w="1165" w:type="dxa"/>
            <w:shd w:val="clear" w:color="auto" w:fill="DDE8F4" w:themeFill="text2" w:themeFillTint="1A"/>
          </w:tcPr>
          <w:p w14:paraId="69444D5E" w14:textId="77777777" w:rsidR="00341B5D" w:rsidRPr="007F4D93" w:rsidRDefault="00341B5D" w:rsidP="003C7C88">
            <w:pPr>
              <w:pStyle w:val="TextPara"/>
              <w:rPr>
                <w:rFonts w:cs="Segoe UI"/>
                <w:b/>
                <w:sz w:val="18"/>
                <w:szCs w:val="18"/>
              </w:rPr>
            </w:pPr>
            <w:r w:rsidRPr="007F4D93">
              <w:rPr>
                <w:rFonts w:cs="Segoe UI"/>
                <w:b/>
                <w:sz w:val="18"/>
                <w:szCs w:val="18"/>
              </w:rPr>
              <w:t>-</w:t>
            </w:r>
            <w:r>
              <w:rPr>
                <w:rFonts w:cs="Segoe UI"/>
                <w:b/>
                <w:sz w:val="18"/>
                <w:szCs w:val="18"/>
              </w:rPr>
              <w:t>1.0</w:t>
            </w:r>
          </w:p>
        </w:tc>
      </w:tr>
    </w:tbl>
    <w:p w14:paraId="7E477188" w14:textId="77777777" w:rsidR="00341B5D" w:rsidRDefault="00341B5D" w:rsidP="00341B5D">
      <w:pPr>
        <w:pStyle w:val="TextPara"/>
        <w:rPr>
          <w:b/>
        </w:rPr>
      </w:pPr>
    </w:p>
    <w:p w14:paraId="15DB5848" w14:textId="77777777" w:rsidR="00341B5D" w:rsidRPr="00232952" w:rsidRDefault="00341B5D" w:rsidP="00341B5D">
      <w:pPr>
        <w:pStyle w:val="TextPara"/>
      </w:pPr>
      <w:r>
        <w:t>The Mandatory Reporting model scores -1.0 in the MCA, and therefore it is judged inferior to the base case of no mandatory medical reporting, which is the current policy.  There is a small benefit, but the costs are larger, resulting in a total negative score.  The costs are lower in the MCA for aged-based testing because fewer people are affected.</w:t>
      </w:r>
    </w:p>
    <w:p w14:paraId="15F32441" w14:textId="77777777" w:rsidR="00341B5D" w:rsidRDefault="00341B5D">
      <w:pPr>
        <w:spacing w:after="200"/>
      </w:pPr>
    </w:p>
    <w:p w14:paraId="1C8DAF73" w14:textId="0AC07FCA" w:rsidR="00341B5D" w:rsidRDefault="00341B5D">
      <w:pPr>
        <w:spacing w:after="200"/>
        <w:rPr>
          <w:rFonts w:ascii="Segoe UI" w:eastAsiaTheme="majorEastAsia" w:hAnsi="Segoe UI" w:cs="Segoe UI"/>
          <w:b/>
          <w:bCs/>
          <w:noProof/>
          <w:color w:val="404040" w:themeColor="text1" w:themeTint="BF"/>
          <w:sz w:val="28"/>
          <w:szCs w:val="28"/>
          <w:lang w:eastAsia="en-AU"/>
        </w:rPr>
      </w:pPr>
      <w:r>
        <w:br w:type="page"/>
      </w:r>
    </w:p>
    <w:p w14:paraId="58E11CD9" w14:textId="067A4AA1" w:rsidR="00122C1B" w:rsidRDefault="00122C1B" w:rsidP="006713F9">
      <w:pPr>
        <w:pStyle w:val="Heading1"/>
      </w:pPr>
      <w:bookmarkStart w:id="464" w:name="_Toc10703447"/>
      <w:r>
        <w:lastRenderedPageBreak/>
        <w:t>Proposed</w:t>
      </w:r>
      <w:bookmarkEnd w:id="362"/>
      <w:r>
        <w:t xml:space="preserve"> regulation</w:t>
      </w:r>
      <w:bookmarkEnd w:id="363"/>
      <w:r>
        <w:t>s</w:t>
      </w:r>
      <w:bookmarkEnd w:id="464"/>
      <w:r w:rsidRPr="000F2D4E">
        <w:t xml:space="preserve"> </w:t>
      </w:r>
      <w:bookmarkEnd w:id="364"/>
    </w:p>
    <w:p w14:paraId="4F1C96BC" w14:textId="77777777" w:rsidR="00122C1B" w:rsidRDefault="00122C1B" w:rsidP="001A063E">
      <w:pPr>
        <w:pStyle w:val="Heading2"/>
      </w:pPr>
      <w:bookmarkStart w:id="465" w:name="_Toc10703448"/>
      <w:bookmarkEnd w:id="365"/>
      <w:r w:rsidRPr="001A063E">
        <w:t>Objectives</w:t>
      </w:r>
      <w:r>
        <w:t xml:space="preserve"> of proposed Regulations</w:t>
      </w:r>
      <w:bookmarkEnd w:id="465"/>
    </w:p>
    <w:p w14:paraId="16CF8556" w14:textId="243CBE76" w:rsidR="00122C1B" w:rsidRPr="00CB4C3C" w:rsidRDefault="00122C1B" w:rsidP="006922FE">
      <w:pPr>
        <w:pStyle w:val="TextPara"/>
      </w:pPr>
      <w:r>
        <w:t xml:space="preserve">The overall goal of the proposed Regulations is to address the risk factors affecting all drivers and motorcyclists, as described in Section </w:t>
      </w:r>
      <w:r>
        <w:fldChar w:fldCharType="begin"/>
      </w:r>
      <w:r>
        <w:instrText xml:space="preserve"> REF _Ref515357178 \r \h </w:instrText>
      </w:r>
      <w:r>
        <w:fldChar w:fldCharType="separate"/>
      </w:r>
      <w:r w:rsidR="00EB4B02">
        <w:t>3.1</w:t>
      </w:r>
      <w:r>
        <w:fldChar w:fldCharType="end"/>
      </w:r>
      <w:r>
        <w:t xml:space="preserve"> above, by promoting safe driving behaviour and enabling the achievement of the </w:t>
      </w:r>
      <w:r w:rsidRPr="006E4CDA">
        <w:rPr>
          <w:i/>
        </w:rPr>
        <w:t>Towards Zero</w:t>
      </w:r>
      <w:r>
        <w:rPr>
          <w:rStyle w:val="EndnoteReference"/>
        </w:rPr>
        <w:endnoteReference w:id="352"/>
      </w:r>
      <w:r w:rsidRPr="006E4CDA">
        <w:rPr>
          <w:i/>
        </w:rPr>
        <w:t xml:space="preserve"> </w:t>
      </w:r>
      <w:r>
        <w:t xml:space="preserve">target set at fewer </w:t>
      </w:r>
      <w:r w:rsidR="0050304F">
        <w:t xml:space="preserve">than 200 </w:t>
      </w:r>
      <w:r>
        <w:t xml:space="preserve">lives lost </w:t>
      </w:r>
      <w:r w:rsidR="0050304F">
        <w:t xml:space="preserve">annually </w:t>
      </w:r>
      <w:r>
        <w:t>on Victorian roads</w:t>
      </w:r>
      <w:r w:rsidRPr="008C3E87">
        <w:t xml:space="preserve"> and 15% </w:t>
      </w:r>
      <w:r>
        <w:t>fewer</w:t>
      </w:r>
      <w:r w:rsidRPr="008C3E87">
        <w:t xml:space="preserve"> serious injuries </w:t>
      </w:r>
      <w:r>
        <w:t>by 2020.</w:t>
      </w:r>
      <w:r w:rsidRPr="00547AED">
        <w:t xml:space="preserve"> </w:t>
      </w:r>
    </w:p>
    <w:p w14:paraId="323B0252" w14:textId="77777777" w:rsidR="00122C1B" w:rsidRPr="00DA5D90" w:rsidRDefault="00122C1B" w:rsidP="006922FE">
      <w:pPr>
        <w:pStyle w:val="TextPara"/>
        <w:spacing w:after="60"/>
      </w:pPr>
      <w:r>
        <w:t xml:space="preserve">The objective of proposed Regulations is to enable the attainment of the purposes of driver licensing </w:t>
      </w:r>
      <w:r w:rsidRPr="00117C96">
        <w:rPr>
          <w:rFonts w:cs="Segoe UI"/>
          <w:lang w:eastAsia="en-AU"/>
        </w:rPr>
        <w:t xml:space="preserve">set out in Section 17 of the </w:t>
      </w:r>
      <w:r w:rsidRPr="006A392A">
        <w:rPr>
          <w:rFonts w:cs="Segoe UI"/>
          <w:i/>
          <w:lang w:eastAsia="en-AU"/>
        </w:rPr>
        <w:t>RSA</w:t>
      </w:r>
      <w:r w:rsidRPr="00117C96">
        <w:rPr>
          <w:rFonts w:cs="Segoe UI"/>
          <w:lang w:eastAsia="en-AU"/>
        </w:rPr>
        <w:t>, namely</w:t>
      </w:r>
      <w:r>
        <w:rPr>
          <w:rFonts w:cs="Segoe UI"/>
          <w:lang w:eastAsia="en-AU"/>
        </w:rPr>
        <w:t>, to ensure that</w:t>
      </w:r>
      <w:r w:rsidRPr="00117C96">
        <w:rPr>
          <w:rFonts w:cs="Segoe UI"/>
          <w:lang w:eastAsia="en-AU"/>
        </w:rPr>
        <w:t>:</w:t>
      </w:r>
    </w:p>
    <w:p w14:paraId="1CD4C19B" w14:textId="77777777" w:rsidR="00122C1B" w:rsidRPr="00CB4C3C" w:rsidRDefault="00786809" w:rsidP="006922FE">
      <w:pPr>
        <w:pStyle w:val="Bullet1-Black"/>
      </w:pPr>
      <w:r w:rsidRPr="00CB4C3C">
        <w:t>people</w:t>
      </w:r>
      <w:r w:rsidR="00122C1B">
        <w:t>,</w:t>
      </w:r>
      <w:r w:rsidR="00122C1B" w:rsidRPr="00CB4C3C">
        <w:t xml:space="preserve"> who drive motor vehicles on highways</w:t>
      </w:r>
      <w:r>
        <w:t>, are competent drivers</w:t>
      </w:r>
    </w:p>
    <w:p w14:paraId="29142B88" w14:textId="77777777" w:rsidR="00122C1B" w:rsidRPr="00CB4C3C" w:rsidRDefault="00786809" w:rsidP="006922FE">
      <w:pPr>
        <w:pStyle w:val="Bullet1-Black"/>
      </w:pPr>
      <w:r w:rsidRPr="00CB4C3C">
        <w:t xml:space="preserve">drivers </w:t>
      </w:r>
      <w:r w:rsidR="00122C1B" w:rsidRPr="00CB4C3C">
        <w:t>are aware of</w:t>
      </w:r>
      <w:r w:rsidR="00122C1B">
        <w:t>,</w:t>
      </w:r>
      <w:r w:rsidR="00122C1B" w:rsidRPr="00CB4C3C">
        <w:t xml:space="preserve"> </w:t>
      </w:r>
      <w:r w:rsidR="00122C1B">
        <w:t xml:space="preserve">and comply with, </w:t>
      </w:r>
      <w:r w:rsidR="00122C1B" w:rsidRPr="00CB4C3C">
        <w:t xml:space="preserve">safe driving practices and </w:t>
      </w:r>
      <w:r w:rsidR="00122C1B">
        <w:t xml:space="preserve">the </w:t>
      </w:r>
      <w:r w:rsidR="00122C1B" w:rsidRPr="00CB4C3C">
        <w:t>road law</w:t>
      </w:r>
      <w:r w:rsidR="00122C1B">
        <w:t>s</w:t>
      </w:r>
    </w:p>
    <w:p w14:paraId="05D6BA2E" w14:textId="77777777" w:rsidR="00122C1B" w:rsidRPr="00CB4C3C" w:rsidRDefault="00786809" w:rsidP="006922FE">
      <w:pPr>
        <w:pStyle w:val="Bullet1-Black"/>
      </w:pPr>
      <w:r w:rsidRPr="00CB4C3C">
        <w:t>people</w:t>
      </w:r>
      <w:r w:rsidR="00122C1B">
        <w:t>,</w:t>
      </w:r>
      <w:r w:rsidR="00122C1B" w:rsidRPr="00CB4C3C">
        <w:t xml:space="preserve"> who are</w:t>
      </w:r>
      <w:r w:rsidR="00122C1B">
        <w:t xml:space="preserve"> o</w:t>
      </w:r>
      <w:r w:rsidR="00122C1B" w:rsidRPr="00CB4C3C">
        <w:t>r become unfit to drive</w:t>
      </w:r>
      <w:r w:rsidR="00122C1B">
        <w:t>,</w:t>
      </w:r>
      <w:r w:rsidR="00122C1B" w:rsidRPr="00CB4C3C">
        <w:t xml:space="preserve"> are not </w:t>
      </w:r>
      <w:r>
        <w:t>or no longer permitted to drive</w:t>
      </w:r>
    </w:p>
    <w:p w14:paraId="19B12BEA" w14:textId="77777777" w:rsidR="00122C1B" w:rsidRDefault="00786809" w:rsidP="006922FE">
      <w:pPr>
        <w:pStyle w:val="Bullet1-Black"/>
      </w:pPr>
      <w:r w:rsidRPr="00CB4C3C">
        <w:t xml:space="preserve">drivers </w:t>
      </w:r>
      <w:r w:rsidR="00122C1B" w:rsidRPr="00CB4C3C">
        <w:t>can be identified for the purposes of law enforcement and accident investigation.</w:t>
      </w:r>
    </w:p>
    <w:p w14:paraId="3CEE6223" w14:textId="77777777" w:rsidR="00122C1B" w:rsidRDefault="00122C1B" w:rsidP="001A063E">
      <w:pPr>
        <w:pStyle w:val="Heading2"/>
      </w:pPr>
      <w:bookmarkStart w:id="466" w:name="_Toc10703449"/>
      <w:r>
        <w:t>Proposed Regulations structure</w:t>
      </w:r>
      <w:bookmarkEnd w:id="466"/>
    </w:p>
    <w:p w14:paraId="2037A00D" w14:textId="77777777" w:rsidR="00122C1B" w:rsidRPr="006E102D" w:rsidRDefault="00122C1B" w:rsidP="00EF3D55">
      <w:pPr>
        <w:pStyle w:val="TextPara"/>
        <w:rPr>
          <w:rFonts w:cs="Segoe UI"/>
        </w:rPr>
      </w:pPr>
      <w:r w:rsidRPr="006E102D">
        <w:rPr>
          <w:rFonts w:cs="Segoe UI"/>
        </w:rPr>
        <w:t>The proposed Regulations are formulated in parts:</w:t>
      </w:r>
    </w:p>
    <w:p w14:paraId="1103C334" w14:textId="77777777" w:rsidR="00122C1B" w:rsidRPr="006E102D" w:rsidRDefault="00122C1B" w:rsidP="00EF3D55">
      <w:pPr>
        <w:pStyle w:val="Bullet1-Black"/>
      </w:pPr>
      <w:r w:rsidRPr="006E102D">
        <w:t xml:space="preserve">Part 1 </w:t>
      </w:r>
      <w:r>
        <w:t xml:space="preserve">– </w:t>
      </w:r>
      <w:r w:rsidRPr="006E102D">
        <w:t>objectives, authorising provisions and definitions used in the Regulations</w:t>
      </w:r>
    </w:p>
    <w:p w14:paraId="5864695F" w14:textId="77777777" w:rsidR="00122C1B" w:rsidRPr="006E102D" w:rsidRDefault="00122C1B" w:rsidP="00EF3D55">
      <w:pPr>
        <w:pStyle w:val="Bullet1-Black"/>
      </w:pPr>
      <w:r w:rsidRPr="006E102D">
        <w:t xml:space="preserve">Part 2 </w:t>
      </w:r>
      <w:r>
        <w:t xml:space="preserve">– </w:t>
      </w:r>
      <w:r w:rsidRPr="006E102D">
        <w:t>categories of driver licences, probationary driver licences and learner</w:t>
      </w:r>
      <w:r>
        <w:t xml:space="preserve"> </w:t>
      </w:r>
      <w:r w:rsidRPr="006E102D">
        <w:t>permits. Part 2 also sets</w:t>
      </w:r>
      <w:r w:rsidR="00445AB6">
        <w:br/>
        <w:t xml:space="preserve">            </w:t>
      </w:r>
      <w:r w:rsidRPr="006E102D">
        <w:t xml:space="preserve"> out the procedures for granting, variation and renewal </w:t>
      </w:r>
      <w:r w:rsidR="006755D2">
        <w:t xml:space="preserve">of, </w:t>
      </w:r>
      <w:r w:rsidRPr="006E102D">
        <w:t>and</w:t>
      </w:r>
      <w:r>
        <w:t xml:space="preserve"> </w:t>
      </w:r>
      <w:r w:rsidRPr="006E102D">
        <w:t>restrictions on</w:t>
      </w:r>
      <w:r w:rsidR="006755D2">
        <w:t>,</w:t>
      </w:r>
      <w:r w:rsidRPr="006E102D">
        <w:t xml:space="preserve"> licences and permits</w:t>
      </w:r>
      <w:r>
        <w:t>.</w:t>
      </w:r>
    </w:p>
    <w:p w14:paraId="1F2B464B" w14:textId="77777777" w:rsidR="00122C1B" w:rsidRPr="006E102D" w:rsidRDefault="00122C1B" w:rsidP="00EF3D55">
      <w:pPr>
        <w:pStyle w:val="Bullet1-Black"/>
      </w:pPr>
      <w:r w:rsidRPr="006E102D">
        <w:t xml:space="preserve">Part 3 </w:t>
      </w:r>
      <w:r>
        <w:t xml:space="preserve">– </w:t>
      </w:r>
      <w:r w:rsidRPr="006E102D">
        <w:t>conditions under which driver licences can be varied, suspended or</w:t>
      </w:r>
      <w:r>
        <w:t xml:space="preserve"> </w:t>
      </w:r>
      <w:r w:rsidRPr="006E102D">
        <w:t>cancelled</w:t>
      </w:r>
    </w:p>
    <w:p w14:paraId="5A346A7C" w14:textId="77777777" w:rsidR="00122C1B" w:rsidRDefault="00122C1B" w:rsidP="00EF3D55">
      <w:pPr>
        <w:pStyle w:val="Bullet1-Black"/>
      </w:pPr>
      <w:r w:rsidRPr="00E51AD4">
        <w:t xml:space="preserve">Part 4 </w:t>
      </w:r>
      <w:r>
        <w:t>– s</w:t>
      </w:r>
      <w:r w:rsidRPr="00E51AD4">
        <w:t xml:space="preserve">pecial powers </w:t>
      </w:r>
      <w:r>
        <w:t>relating</w:t>
      </w:r>
      <w:r w:rsidRPr="00E51AD4">
        <w:t xml:space="preserve"> to disqualification for drink-driving in another jurisdiction</w:t>
      </w:r>
    </w:p>
    <w:p w14:paraId="27E5FC94" w14:textId="77777777" w:rsidR="00122C1B" w:rsidRPr="006E102D" w:rsidRDefault="00122C1B" w:rsidP="00EF3D55">
      <w:pPr>
        <w:pStyle w:val="Bullet1-Black"/>
      </w:pPr>
      <w:r w:rsidRPr="006E102D">
        <w:t xml:space="preserve">Part </w:t>
      </w:r>
      <w:r>
        <w:t>5</w:t>
      </w:r>
      <w:r w:rsidRPr="006E102D">
        <w:t xml:space="preserve"> </w:t>
      </w:r>
      <w:r>
        <w:t xml:space="preserve">– </w:t>
      </w:r>
      <w:r w:rsidRPr="006E102D">
        <w:t>procedures for the review and appeal rights of a person whose driver</w:t>
      </w:r>
      <w:r>
        <w:t xml:space="preserve"> </w:t>
      </w:r>
      <w:r w:rsidRPr="006E102D">
        <w:t>licence or learner permit</w:t>
      </w:r>
      <w:r w:rsidR="00E16DA1">
        <w:br/>
        <w:t xml:space="preserve">            </w:t>
      </w:r>
      <w:r w:rsidRPr="006E102D">
        <w:t xml:space="preserve"> has been varied, suspended or cancelled</w:t>
      </w:r>
    </w:p>
    <w:p w14:paraId="3D1771F6" w14:textId="77777777" w:rsidR="00122C1B" w:rsidRDefault="00122C1B" w:rsidP="00EF3D55">
      <w:pPr>
        <w:pStyle w:val="Bullet1-Black"/>
      </w:pPr>
      <w:r w:rsidRPr="006E102D">
        <w:t xml:space="preserve">Part 6 </w:t>
      </w:r>
      <w:r>
        <w:t>– provisions relating to exemption from requirements and the conditions, if exemption is granted</w:t>
      </w:r>
    </w:p>
    <w:p w14:paraId="477BCD0C" w14:textId="77777777" w:rsidR="00122C1B" w:rsidRPr="006E102D" w:rsidRDefault="00122C1B" w:rsidP="00EF3D55">
      <w:pPr>
        <w:pStyle w:val="Bullet1-Black"/>
      </w:pPr>
      <w:r>
        <w:t>Part 7 – provisions relating to the charging of fees</w:t>
      </w:r>
    </w:p>
    <w:p w14:paraId="737627AA" w14:textId="77777777" w:rsidR="00122C1B" w:rsidRDefault="00122C1B" w:rsidP="00EF3D55">
      <w:pPr>
        <w:pStyle w:val="Bullet1-Black"/>
      </w:pPr>
      <w:r w:rsidRPr="006E102D">
        <w:t xml:space="preserve">Part </w:t>
      </w:r>
      <w:r>
        <w:t>8</w:t>
      </w:r>
      <w:r w:rsidRPr="006E102D">
        <w:t xml:space="preserve"> </w:t>
      </w:r>
      <w:r>
        <w:t>– transitional provisions</w:t>
      </w:r>
    </w:p>
    <w:p w14:paraId="16DC8A97" w14:textId="77777777" w:rsidR="00122C1B" w:rsidRDefault="00122C1B" w:rsidP="00EF3D55">
      <w:pPr>
        <w:pStyle w:val="TextPara"/>
        <w:widowControl w:val="0"/>
      </w:pPr>
      <w:r>
        <w:t xml:space="preserve">In addition to the regulations, there are six attached </w:t>
      </w:r>
      <w:r w:rsidR="006755D2">
        <w:t>Schedules</w:t>
      </w:r>
      <w:r>
        <w:t>, which are cross-referenced to the relevant regulation:</w:t>
      </w:r>
    </w:p>
    <w:p w14:paraId="25BD70A3" w14:textId="77777777" w:rsidR="00122C1B" w:rsidRDefault="00122C1B" w:rsidP="00EF3D55">
      <w:pPr>
        <w:pStyle w:val="Bullet1-Black"/>
      </w:pPr>
      <w:r>
        <w:t>Schedule 1 – regulations that have been revoked</w:t>
      </w:r>
    </w:p>
    <w:p w14:paraId="6F96F660" w14:textId="77777777" w:rsidR="00122C1B" w:rsidRDefault="00122C1B" w:rsidP="00EF3D55">
      <w:pPr>
        <w:pStyle w:val="Bullet1-Black"/>
      </w:pPr>
      <w:r>
        <w:t>Schedule 2 – codes used to indicate that a driver licence or learner permit is subject to conditions</w:t>
      </w:r>
    </w:p>
    <w:p w14:paraId="0D76C6ED" w14:textId="77777777" w:rsidR="00122C1B" w:rsidRDefault="00122C1B" w:rsidP="00EF3D55">
      <w:pPr>
        <w:pStyle w:val="Bullet1-Black"/>
      </w:pPr>
      <w:r>
        <w:t>Schedule 3 – demerit points applicable for various offences that occur in Victoria</w:t>
      </w:r>
    </w:p>
    <w:p w14:paraId="20BA23ED" w14:textId="77777777" w:rsidR="00122C1B" w:rsidRDefault="00122C1B" w:rsidP="00EF3D55">
      <w:pPr>
        <w:pStyle w:val="Bullet1-Black"/>
      </w:pPr>
      <w:r>
        <w:t xml:space="preserve">Schedule 4 – </w:t>
      </w:r>
      <w:r w:rsidRPr="00F263E2">
        <w:t>demerit points for relevant interstate offences</w:t>
      </w:r>
    </w:p>
    <w:p w14:paraId="20010CEC" w14:textId="77777777" w:rsidR="00122C1B" w:rsidRDefault="00122C1B" w:rsidP="00EF3D55">
      <w:pPr>
        <w:pStyle w:val="Bullet1-Black"/>
      </w:pPr>
      <w:r>
        <w:t>Schedule 5 – offences which disqualify drivers from free 3-year full driver licence</w:t>
      </w:r>
    </w:p>
    <w:p w14:paraId="63597AB2" w14:textId="77777777" w:rsidR="00E370F6" w:rsidRPr="00E370F6" w:rsidRDefault="00E370F6" w:rsidP="00EF3D55">
      <w:pPr>
        <w:pStyle w:val="Bullet1-Black"/>
      </w:pPr>
      <w:r w:rsidRPr="00E370F6">
        <w:t xml:space="preserve">Schedule 6 – fees payable in relation to the granting and renewal of driver licences and learner permits, </w:t>
      </w:r>
      <w:r w:rsidR="00996B8F">
        <w:br/>
        <w:t xml:space="preserve">                     </w:t>
      </w:r>
      <w:r w:rsidRPr="00E370F6">
        <w:t>making an appointment for testing or assessment for a learner permit or driver licence</w:t>
      </w:r>
      <w:r w:rsidR="00996B8F">
        <w:br/>
        <w:t xml:space="preserve">                    </w:t>
      </w:r>
      <w:r w:rsidRPr="00E370F6">
        <w:t xml:space="preserve"> and various other services</w:t>
      </w:r>
    </w:p>
    <w:p w14:paraId="7AC4EB02" w14:textId="77777777" w:rsidR="00122C1B" w:rsidRDefault="00122C1B" w:rsidP="00EF3D55">
      <w:pPr>
        <w:pStyle w:val="Bullet1-Black"/>
      </w:pPr>
      <w:r>
        <w:t>Schedule 7 – fees payable for searches on and extracts from VicRoads records.</w:t>
      </w:r>
    </w:p>
    <w:p w14:paraId="6F789E97" w14:textId="42DD2A2A" w:rsidR="00122C1B" w:rsidRDefault="00122C1B" w:rsidP="00EF3D55">
      <w:pPr>
        <w:pStyle w:val="TextPara"/>
      </w:pPr>
      <w:r>
        <w:t xml:space="preserve">The proposed Regulations substantially re-make the current regulations. They were re-numbered in accordance with current drafting practice and some regulations have been restructured for clarity. </w:t>
      </w:r>
      <w:r w:rsidRPr="000322C4">
        <w:t xml:space="preserve">A summary of the key changes is set out in </w:t>
      </w:r>
      <w:r w:rsidRPr="000322C4">
        <w:fldChar w:fldCharType="begin"/>
      </w:r>
      <w:r w:rsidRPr="000322C4">
        <w:instrText xml:space="preserve"> REF _Ref503871303 \h  \* MERGEFORMAT </w:instrText>
      </w:r>
      <w:r w:rsidRPr="000322C4">
        <w:fldChar w:fldCharType="separate"/>
      </w:r>
      <w:r w:rsidR="00EB4B02">
        <w:t xml:space="preserve">Table </w:t>
      </w:r>
      <w:r w:rsidR="00EB4B02">
        <w:rPr>
          <w:noProof/>
        </w:rPr>
        <w:t>72</w:t>
      </w:r>
      <w:r w:rsidRPr="000322C4">
        <w:fldChar w:fldCharType="end"/>
      </w:r>
      <w:r w:rsidRPr="000322C4">
        <w:t xml:space="preserve"> on page </w:t>
      </w:r>
      <w:r w:rsidRPr="000322C4">
        <w:fldChar w:fldCharType="begin"/>
      </w:r>
      <w:r w:rsidRPr="000322C4">
        <w:instrText xml:space="preserve"> PAGEREF _Ref508727721 \h </w:instrText>
      </w:r>
      <w:r w:rsidRPr="000322C4">
        <w:fldChar w:fldCharType="separate"/>
      </w:r>
      <w:r w:rsidR="00EB4B02">
        <w:rPr>
          <w:noProof/>
        </w:rPr>
        <w:t>189</w:t>
      </w:r>
      <w:r w:rsidRPr="000322C4">
        <w:fldChar w:fldCharType="end"/>
      </w:r>
      <w:r w:rsidR="0032221C">
        <w:t>9</w:t>
      </w:r>
      <w:r w:rsidRPr="000322C4">
        <w:t>.</w:t>
      </w:r>
    </w:p>
    <w:p w14:paraId="0168F23B" w14:textId="4661844B" w:rsidR="00023241" w:rsidRDefault="00023241" w:rsidP="00023241">
      <w:pPr>
        <w:pStyle w:val="TextPara"/>
      </w:pPr>
      <w:r>
        <w:lastRenderedPageBreak/>
        <w:t xml:space="preserve">A discussion of the various licensing categories and related regulatory elements is provided in the remainder of this Chapter for information purposes. </w:t>
      </w:r>
      <w:r>
        <w:fldChar w:fldCharType="begin"/>
      </w:r>
      <w:r>
        <w:instrText xml:space="preserve"> REF _Ref518990709 \h  \* MERGEFORMAT </w:instrText>
      </w:r>
      <w:r>
        <w:fldChar w:fldCharType="separate"/>
      </w:r>
      <w:r w:rsidR="00EB4B02">
        <w:t xml:space="preserve">Figure </w:t>
      </w:r>
      <w:r w:rsidR="00EB4B02">
        <w:rPr>
          <w:noProof/>
        </w:rPr>
        <w:t>12</w:t>
      </w:r>
      <w:r>
        <w:fldChar w:fldCharType="end"/>
      </w:r>
      <w:r>
        <w:t xml:space="preserve"> provides an overview of the relevant graduated licensing periods for learner permit, probationary P1 and P2 licences preceding graduation to a full licence under the current Victorian GLS.</w:t>
      </w:r>
    </w:p>
    <w:p w14:paraId="32218026" w14:textId="5832F6D9" w:rsidR="00023241" w:rsidRDefault="00023241" w:rsidP="00023241">
      <w:pPr>
        <w:pStyle w:val="CaptionFigures"/>
      </w:pPr>
      <w:bookmarkStart w:id="467" w:name="_Ref518990709"/>
      <w:bookmarkStart w:id="468" w:name="_Toc10703657"/>
      <w:r>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12</w:t>
      </w:r>
      <w:r w:rsidR="00BC6B2E">
        <w:rPr>
          <w:noProof/>
        </w:rPr>
        <w:fldChar w:fldCharType="end"/>
      </w:r>
      <w:bookmarkEnd w:id="467"/>
      <w:r>
        <w:t xml:space="preserve"> – </w:t>
      </w:r>
      <w:r w:rsidRPr="0006056E">
        <w:t>Graduated licencing categories and periods</w:t>
      </w:r>
      <w:bookmarkEnd w:id="468"/>
    </w:p>
    <w:p w14:paraId="4A3E0CEB" w14:textId="77777777" w:rsidR="00023241" w:rsidRDefault="00023241" w:rsidP="00023241">
      <w:pPr>
        <w:pStyle w:val="TextPara"/>
        <w:spacing w:line="240" w:lineRule="auto"/>
      </w:pPr>
      <w:r w:rsidRPr="001B4C02">
        <w:rPr>
          <w:noProof/>
          <w:lang w:val="en-GB" w:eastAsia="en-GB"/>
        </w:rPr>
        <w:drawing>
          <wp:inline distT="0" distB="0" distL="0" distR="0" wp14:anchorId="5B845995" wp14:editId="7F6D83DD">
            <wp:extent cx="6195808" cy="33729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7344" cy="3373764"/>
                    </a:xfrm>
                    <a:prstGeom prst="rect">
                      <a:avLst/>
                    </a:prstGeom>
                    <a:noFill/>
                    <a:ln>
                      <a:noFill/>
                    </a:ln>
                  </pic:spPr>
                </pic:pic>
              </a:graphicData>
            </a:graphic>
          </wp:inline>
        </w:drawing>
      </w:r>
    </w:p>
    <w:p w14:paraId="498273EA" w14:textId="77777777" w:rsidR="00023241" w:rsidRDefault="00023241" w:rsidP="00023241">
      <w:pPr>
        <w:pStyle w:val="Source"/>
      </w:pPr>
      <w:r>
        <w:t>Source: VicRoads, 201</w:t>
      </w:r>
      <w:r w:rsidR="00E355FD">
        <w:t>9</w:t>
      </w:r>
    </w:p>
    <w:p w14:paraId="2CA5C6C1" w14:textId="77777777" w:rsidR="00122C1B" w:rsidRDefault="00122C1B" w:rsidP="001A063E">
      <w:pPr>
        <w:pStyle w:val="Heading2"/>
      </w:pPr>
      <w:bookmarkStart w:id="469" w:name="_Toc512242227"/>
      <w:bookmarkStart w:id="470" w:name="_Toc512346973"/>
      <w:bookmarkStart w:id="471" w:name="_Toc513047198"/>
      <w:bookmarkStart w:id="472" w:name="_Toc513128973"/>
      <w:bookmarkStart w:id="473" w:name="_Toc513212962"/>
      <w:bookmarkStart w:id="474" w:name="_Toc513213169"/>
      <w:bookmarkStart w:id="475" w:name="_Toc513213379"/>
      <w:bookmarkStart w:id="476" w:name="_Toc513628788"/>
      <w:bookmarkStart w:id="477" w:name="_Toc10703450"/>
      <w:bookmarkEnd w:id="469"/>
      <w:bookmarkEnd w:id="470"/>
      <w:bookmarkEnd w:id="471"/>
      <w:bookmarkEnd w:id="472"/>
      <w:bookmarkEnd w:id="473"/>
      <w:bookmarkEnd w:id="474"/>
      <w:bookmarkEnd w:id="475"/>
      <w:bookmarkEnd w:id="476"/>
      <w:r>
        <w:t>Learner Permit</w:t>
      </w:r>
      <w:bookmarkEnd w:id="366"/>
      <w:bookmarkEnd w:id="367"/>
      <w:bookmarkEnd w:id="477"/>
    </w:p>
    <w:p w14:paraId="6EC69F6B" w14:textId="77777777" w:rsidR="00122C1B" w:rsidRPr="00BC735D" w:rsidRDefault="00122C1B" w:rsidP="006713F9">
      <w:pPr>
        <w:pStyle w:val="Heading3"/>
      </w:pPr>
      <w:bookmarkStart w:id="478" w:name="_Toc10703451"/>
      <w:r>
        <w:t xml:space="preserve">Background: </w:t>
      </w:r>
      <w:r w:rsidRPr="00BC735D">
        <w:t>How it works</w:t>
      </w:r>
      <w:bookmarkEnd w:id="478"/>
    </w:p>
    <w:p w14:paraId="54DECCBF" w14:textId="77777777" w:rsidR="00122C1B" w:rsidRDefault="00122C1B" w:rsidP="00101A25">
      <w:pPr>
        <w:pStyle w:val="TextPara"/>
      </w:pPr>
      <w:r>
        <w:t>The first step in obtaining a Victorian driver licence is to obtain a car learner permit from VicRoads. This permit is issued to applicants upon passing a car learner permit knowledge test and an eyesight test at a VicRoads Customer Service Centre. This permit authorises learners to drive a car on the road with a full licensed supervising driver sitting beside them while learning to drive.</w:t>
      </w:r>
    </w:p>
    <w:p w14:paraId="0261A56A" w14:textId="77777777" w:rsidR="00122C1B" w:rsidRDefault="00122C1B" w:rsidP="006713F9">
      <w:pPr>
        <w:pStyle w:val="Heading3"/>
      </w:pPr>
      <w:bookmarkStart w:id="479" w:name="_Toc10703452"/>
      <w:r>
        <w:t>Summary of proposed regulations</w:t>
      </w:r>
      <w:r w:rsidRPr="00BC735D">
        <w:t xml:space="preserve"> </w:t>
      </w:r>
      <w:r>
        <w:t>relevant to learner drivers</w:t>
      </w:r>
      <w:bookmarkEnd w:id="479"/>
    </w:p>
    <w:p w14:paraId="771387CE" w14:textId="4CD2795F" w:rsidR="00122C1B" w:rsidRDefault="00122C1B" w:rsidP="00120FBB">
      <w:pPr>
        <w:pStyle w:val="TextPara"/>
        <w:spacing w:after="0"/>
      </w:pPr>
      <w:r>
        <w:fldChar w:fldCharType="begin"/>
      </w:r>
      <w:r>
        <w:instrText xml:space="preserve"> REF _Ref534209960 \h </w:instrText>
      </w:r>
      <w:r>
        <w:fldChar w:fldCharType="separate"/>
      </w:r>
      <w:r w:rsidR="00EB4B02">
        <w:t xml:space="preserve">Table </w:t>
      </w:r>
      <w:r w:rsidR="00EB4B02">
        <w:rPr>
          <w:noProof/>
        </w:rPr>
        <w:t>26</w:t>
      </w:r>
      <w:r>
        <w:fldChar w:fldCharType="end"/>
      </w:r>
      <w:r>
        <w:t xml:space="preserve"> provides a summary of the proposed regulations that give effect to</w:t>
      </w:r>
      <w:r w:rsidR="008143FB">
        <w:t>,</w:t>
      </w:r>
      <w:r>
        <w:t xml:space="preserve"> and supplement</w:t>
      </w:r>
      <w:r w:rsidR="00FA570F">
        <w:t>,</w:t>
      </w:r>
      <w:r>
        <w:t xml:space="preserve"> the GLS components relevant to learner drivers with their corresponding rationale.</w:t>
      </w:r>
    </w:p>
    <w:p w14:paraId="434DE1CC" w14:textId="41BD0849" w:rsidR="00122C1B" w:rsidRDefault="00122C1B" w:rsidP="00120FBB">
      <w:pPr>
        <w:pStyle w:val="Caption"/>
      </w:pPr>
      <w:bookmarkStart w:id="480" w:name="_Ref534209960"/>
      <w:bookmarkStart w:id="481" w:name="_Toc10703719"/>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26</w:t>
      </w:r>
      <w:r w:rsidR="00BC6B2E">
        <w:rPr>
          <w:noProof/>
        </w:rPr>
        <w:fldChar w:fldCharType="end"/>
      </w:r>
      <w:bookmarkEnd w:id="480"/>
      <w:r>
        <w:t xml:space="preserve"> – </w:t>
      </w:r>
      <w:r w:rsidRPr="009B3E2F">
        <w:t>Summary of t</w:t>
      </w:r>
      <w:r>
        <w:t>he proposed regulations relevant to learner drivers</w:t>
      </w:r>
      <w:bookmarkEnd w:id="481"/>
    </w:p>
    <w:tbl>
      <w:tblPr>
        <w:tblStyle w:val="RIS-Table2"/>
        <w:tblW w:w="9781" w:type="dxa"/>
        <w:tblLook w:val="04A0" w:firstRow="1" w:lastRow="0" w:firstColumn="1" w:lastColumn="0" w:noHBand="0" w:noVBand="1"/>
      </w:tblPr>
      <w:tblGrid>
        <w:gridCol w:w="993"/>
        <w:gridCol w:w="2688"/>
        <w:gridCol w:w="4678"/>
        <w:gridCol w:w="1422"/>
      </w:tblGrid>
      <w:tr w:rsidR="00122C1B" w14:paraId="581A7ED6" w14:textId="77777777" w:rsidTr="00FC79F9">
        <w:trPr>
          <w:cnfStyle w:val="100000000000" w:firstRow="1" w:lastRow="0" w:firstColumn="0" w:lastColumn="0" w:oddVBand="0" w:evenVBand="0" w:oddHBand="0" w:evenHBand="0" w:firstRowFirstColumn="0" w:firstRowLastColumn="0" w:lastRowFirstColumn="0" w:lastRowLastColumn="0"/>
        </w:trPr>
        <w:tc>
          <w:tcPr>
            <w:tcW w:w="993" w:type="dxa"/>
          </w:tcPr>
          <w:p w14:paraId="1DDC3889" w14:textId="77777777" w:rsidR="00122C1B" w:rsidRPr="000A191B" w:rsidRDefault="00122C1B" w:rsidP="0035776C">
            <w:pPr>
              <w:pStyle w:val="TableHeaders"/>
            </w:pPr>
            <w:r w:rsidRPr="000A191B">
              <w:t>Reg No.</w:t>
            </w:r>
          </w:p>
        </w:tc>
        <w:tc>
          <w:tcPr>
            <w:tcW w:w="2688" w:type="dxa"/>
          </w:tcPr>
          <w:p w14:paraId="2471A90D" w14:textId="77777777" w:rsidR="00122C1B" w:rsidRPr="000A191B" w:rsidRDefault="00122C1B" w:rsidP="0035776C">
            <w:pPr>
              <w:pStyle w:val="TableHeaders"/>
            </w:pPr>
            <w:r>
              <w:t>Proposed regulation</w:t>
            </w:r>
          </w:p>
        </w:tc>
        <w:tc>
          <w:tcPr>
            <w:tcW w:w="4678" w:type="dxa"/>
          </w:tcPr>
          <w:p w14:paraId="376F23ED" w14:textId="77777777" w:rsidR="00122C1B" w:rsidRPr="000A191B" w:rsidRDefault="00122C1B" w:rsidP="0035776C">
            <w:pPr>
              <w:pStyle w:val="TableHeaders"/>
            </w:pPr>
            <w:r>
              <w:t>Rationale for proposed regulation</w:t>
            </w:r>
          </w:p>
        </w:tc>
        <w:tc>
          <w:tcPr>
            <w:tcW w:w="0" w:type="auto"/>
          </w:tcPr>
          <w:p w14:paraId="3DC20A86" w14:textId="77777777" w:rsidR="00122C1B" w:rsidRPr="00064BD2" w:rsidRDefault="00122C1B" w:rsidP="0035776C">
            <w:pPr>
              <w:pStyle w:val="TableHeaders"/>
              <w:rPr>
                <w:highlight w:val="yellow"/>
              </w:rPr>
            </w:pPr>
            <w:r w:rsidRPr="00064BD2">
              <w:t>Change from current</w:t>
            </w:r>
          </w:p>
        </w:tc>
      </w:tr>
      <w:tr w:rsidR="00122C1B" w14:paraId="3135BE37" w14:textId="77777777" w:rsidTr="00FC79F9">
        <w:tc>
          <w:tcPr>
            <w:tcW w:w="993" w:type="dxa"/>
          </w:tcPr>
          <w:p w14:paraId="0B80AE83" w14:textId="77777777" w:rsidR="00122C1B" w:rsidRDefault="00122C1B" w:rsidP="0035776C">
            <w:pPr>
              <w:pStyle w:val="TableParagraph"/>
              <w:jc w:val="center"/>
            </w:pPr>
            <w:r>
              <w:t>44</w:t>
            </w:r>
          </w:p>
        </w:tc>
        <w:tc>
          <w:tcPr>
            <w:tcW w:w="2688" w:type="dxa"/>
          </w:tcPr>
          <w:p w14:paraId="62B3981A" w14:textId="77777777" w:rsidR="00122C1B" w:rsidRPr="0001578C" w:rsidRDefault="00714757" w:rsidP="0035776C">
            <w:pPr>
              <w:pStyle w:val="TableParagraph"/>
            </w:pPr>
            <w:r w:rsidRPr="0001578C">
              <w:t xml:space="preserve">A </w:t>
            </w:r>
            <w:r w:rsidR="00122C1B" w:rsidRPr="0001578C">
              <w:t xml:space="preserve">car learner permit is valid </w:t>
            </w:r>
            <w:r>
              <w:t xml:space="preserve">for </w:t>
            </w:r>
            <w:r w:rsidR="00122C1B" w:rsidRPr="0001578C">
              <w:t>up to 10 years.</w:t>
            </w:r>
          </w:p>
        </w:tc>
        <w:tc>
          <w:tcPr>
            <w:tcW w:w="4678" w:type="dxa"/>
          </w:tcPr>
          <w:p w14:paraId="1EDF0659" w14:textId="77777777" w:rsidR="00122C1B" w:rsidRPr="000A191B" w:rsidRDefault="00122C1B" w:rsidP="0035776C">
            <w:pPr>
              <w:pStyle w:val="TableParagraph"/>
            </w:pPr>
            <w:r>
              <w:t xml:space="preserve">Encourage learners to take </w:t>
            </w:r>
            <w:r w:rsidR="00714757">
              <w:t>as much</w:t>
            </w:r>
            <w:r>
              <w:t xml:space="preserve"> time to gain as much experience in a variety of road, traffic and weather conditions as they need before driving unsupervised.</w:t>
            </w:r>
          </w:p>
        </w:tc>
        <w:tc>
          <w:tcPr>
            <w:tcW w:w="0" w:type="auto"/>
          </w:tcPr>
          <w:p w14:paraId="6D034332" w14:textId="77777777" w:rsidR="00122C1B" w:rsidRPr="00A51F7A" w:rsidRDefault="00122C1B" w:rsidP="0035776C">
            <w:pPr>
              <w:pStyle w:val="TableParagraph"/>
              <w:jc w:val="center"/>
              <w:rPr>
                <w:color w:val="FF0000"/>
              </w:rPr>
            </w:pPr>
            <w:r>
              <w:t>No</w:t>
            </w:r>
          </w:p>
        </w:tc>
      </w:tr>
      <w:tr w:rsidR="00122C1B" w14:paraId="5F274575" w14:textId="77777777" w:rsidTr="00FC79F9">
        <w:trPr>
          <w:cnfStyle w:val="000000010000" w:firstRow="0" w:lastRow="0" w:firstColumn="0" w:lastColumn="0" w:oddVBand="0" w:evenVBand="0" w:oddHBand="0" w:evenHBand="1" w:firstRowFirstColumn="0" w:firstRowLastColumn="0" w:lastRowFirstColumn="0" w:lastRowLastColumn="0"/>
        </w:trPr>
        <w:tc>
          <w:tcPr>
            <w:tcW w:w="993" w:type="dxa"/>
          </w:tcPr>
          <w:p w14:paraId="75CF10EE" w14:textId="77777777" w:rsidR="00122C1B" w:rsidRDefault="00122C1B" w:rsidP="0035776C">
            <w:pPr>
              <w:pStyle w:val="TableParagraph"/>
              <w:jc w:val="center"/>
            </w:pPr>
            <w:r>
              <w:t>46</w:t>
            </w:r>
          </w:p>
        </w:tc>
        <w:tc>
          <w:tcPr>
            <w:tcW w:w="2688" w:type="dxa"/>
          </w:tcPr>
          <w:p w14:paraId="23C96935" w14:textId="77777777" w:rsidR="00122C1B" w:rsidRPr="0001578C" w:rsidRDefault="00122C1B" w:rsidP="0035776C">
            <w:pPr>
              <w:pStyle w:val="TableParagraph"/>
            </w:pPr>
            <w:r w:rsidRPr="0001578C">
              <w:t>A car learner permit can be renewed more than once.</w:t>
            </w:r>
          </w:p>
        </w:tc>
        <w:tc>
          <w:tcPr>
            <w:tcW w:w="4678" w:type="dxa"/>
          </w:tcPr>
          <w:p w14:paraId="00D5DBB7" w14:textId="77777777" w:rsidR="00122C1B" w:rsidRDefault="00122C1B" w:rsidP="0035776C">
            <w:pPr>
              <w:pStyle w:val="TableParagraph"/>
            </w:pPr>
            <w:r w:rsidRPr="009575A8">
              <w:t>Encourage learners to take their time to gain experience</w:t>
            </w:r>
            <w:r>
              <w:t>.</w:t>
            </w:r>
          </w:p>
        </w:tc>
        <w:tc>
          <w:tcPr>
            <w:tcW w:w="0" w:type="auto"/>
          </w:tcPr>
          <w:p w14:paraId="275ABD92" w14:textId="77777777" w:rsidR="00122C1B" w:rsidRPr="009575A8" w:rsidRDefault="00122C1B" w:rsidP="0035776C">
            <w:pPr>
              <w:pStyle w:val="TableParagraph"/>
              <w:jc w:val="center"/>
            </w:pPr>
            <w:r>
              <w:t>No</w:t>
            </w:r>
          </w:p>
        </w:tc>
      </w:tr>
      <w:tr w:rsidR="00122C1B" w14:paraId="4D70C371" w14:textId="77777777" w:rsidTr="00FB62BD">
        <w:tc>
          <w:tcPr>
            <w:tcW w:w="993" w:type="dxa"/>
            <w:shd w:val="clear" w:color="auto" w:fill="auto"/>
          </w:tcPr>
          <w:p w14:paraId="00A0806C" w14:textId="77777777" w:rsidR="00122C1B" w:rsidRDefault="00122C1B" w:rsidP="0035776C">
            <w:pPr>
              <w:pStyle w:val="TableParagraph"/>
              <w:jc w:val="center"/>
            </w:pPr>
            <w:r>
              <w:lastRenderedPageBreak/>
              <w:t>9 &amp; 47</w:t>
            </w:r>
          </w:p>
        </w:tc>
        <w:tc>
          <w:tcPr>
            <w:tcW w:w="2688" w:type="dxa"/>
            <w:shd w:val="clear" w:color="auto" w:fill="auto"/>
          </w:tcPr>
          <w:p w14:paraId="286B620A" w14:textId="77777777" w:rsidR="00122C1B" w:rsidRPr="0001578C" w:rsidRDefault="00122C1B" w:rsidP="0035776C">
            <w:pPr>
              <w:pStyle w:val="TableParagraph"/>
            </w:pPr>
            <w:r w:rsidRPr="0001578C">
              <w:t>Learner drivers must be accompanied by a full</w:t>
            </w:r>
            <w:r>
              <w:t>y</w:t>
            </w:r>
            <w:r w:rsidRPr="0001578C">
              <w:t xml:space="preserve"> licensed driver.</w:t>
            </w:r>
          </w:p>
        </w:tc>
        <w:tc>
          <w:tcPr>
            <w:tcW w:w="4678" w:type="dxa"/>
            <w:shd w:val="clear" w:color="auto" w:fill="auto"/>
          </w:tcPr>
          <w:p w14:paraId="3A9CD2F4" w14:textId="77777777" w:rsidR="00122C1B" w:rsidRDefault="00122C1B" w:rsidP="0035776C">
            <w:pPr>
              <w:pStyle w:val="TableParagraph"/>
            </w:pPr>
            <w:r w:rsidRPr="009575A8">
              <w:t>Inexperienced drivers have an increased crash risk</w:t>
            </w:r>
            <w:r>
              <w:t xml:space="preserve"> and require supervision by an experienced driver.</w:t>
            </w:r>
          </w:p>
        </w:tc>
        <w:tc>
          <w:tcPr>
            <w:tcW w:w="0" w:type="auto"/>
            <w:shd w:val="clear" w:color="auto" w:fill="auto"/>
          </w:tcPr>
          <w:p w14:paraId="2D55BE42" w14:textId="77777777" w:rsidR="00122C1B" w:rsidRPr="009575A8" w:rsidRDefault="00122C1B" w:rsidP="0035776C">
            <w:pPr>
              <w:pStyle w:val="TableParagraph"/>
              <w:jc w:val="center"/>
            </w:pPr>
            <w:r>
              <w:t>No</w:t>
            </w:r>
          </w:p>
        </w:tc>
      </w:tr>
      <w:tr w:rsidR="00122C1B" w14:paraId="3B1D36E2" w14:textId="77777777" w:rsidTr="00FB62BD">
        <w:trPr>
          <w:cnfStyle w:val="000000010000" w:firstRow="0" w:lastRow="0" w:firstColumn="0" w:lastColumn="0" w:oddVBand="0" w:evenVBand="0" w:oddHBand="0" w:evenHBand="1" w:firstRowFirstColumn="0" w:firstRowLastColumn="0" w:lastRowFirstColumn="0" w:lastRowLastColumn="0"/>
        </w:trPr>
        <w:tc>
          <w:tcPr>
            <w:tcW w:w="993" w:type="dxa"/>
            <w:shd w:val="clear" w:color="auto" w:fill="auto"/>
          </w:tcPr>
          <w:p w14:paraId="7A069B3E" w14:textId="77777777" w:rsidR="00122C1B" w:rsidRDefault="00122C1B" w:rsidP="0035776C">
            <w:pPr>
              <w:pStyle w:val="TableParagraph"/>
              <w:jc w:val="center"/>
            </w:pPr>
            <w:r>
              <w:t>16</w:t>
            </w:r>
          </w:p>
        </w:tc>
        <w:tc>
          <w:tcPr>
            <w:tcW w:w="2688" w:type="dxa"/>
            <w:shd w:val="clear" w:color="auto" w:fill="auto"/>
          </w:tcPr>
          <w:p w14:paraId="6A7E8784" w14:textId="77777777" w:rsidR="00122C1B" w:rsidRPr="0001578C" w:rsidRDefault="00122C1B" w:rsidP="0035776C">
            <w:pPr>
              <w:pStyle w:val="TableParagraph"/>
            </w:pPr>
            <w:r w:rsidRPr="0001578C">
              <w:t>Must have at least 120 hours of driving experience including the number of hours of night driving determined by VicRoads (currently 20 hours driving at night).</w:t>
            </w:r>
          </w:p>
        </w:tc>
        <w:tc>
          <w:tcPr>
            <w:tcW w:w="4678" w:type="dxa"/>
            <w:shd w:val="clear" w:color="auto" w:fill="auto"/>
          </w:tcPr>
          <w:p w14:paraId="1321C5AC" w14:textId="77777777" w:rsidR="00122C1B" w:rsidRDefault="00122C1B" w:rsidP="0035776C">
            <w:pPr>
              <w:pStyle w:val="TableParagraph"/>
            </w:pPr>
            <w:r>
              <w:t>Inexperience is the most significant crash factor for young drivers.</w:t>
            </w:r>
          </w:p>
          <w:p w14:paraId="11A90E7C" w14:textId="77777777" w:rsidR="00122C1B" w:rsidRDefault="00122C1B" w:rsidP="0035776C">
            <w:pPr>
              <w:pStyle w:val="TableParagraph"/>
            </w:pPr>
            <w:r>
              <w:t>Learners with 120 hours supervised practice have a 35% lower crash risk in the first two years of licensed driving than learners with only 40 hours of supervised practice.</w:t>
            </w:r>
            <w:r>
              <w:rPr>
                <w:rStyle w:val="EndnoteReference"/>
              </w:rPr>
              <w:endnoteReference w:id="353"/>
            </w:r>
          </w:p>
        </w:tc>
        <w:tc>
          <w:tcPr>
            <w:tcW w:w="0" w:type="auto"/>
            <w:shd w:val="clear" w:color="auto" w:fill="auto"/>
          </w:tcPr>
          <w:p w14:paraId="1D9D6AF7" w14:textId="77777777" w:rsidR="00122C1B" w:rsidRDefault="00122C1B" w:rsidP="0035776C">
            <w:pPr>
              <w:pStyle w:val="TableParagraph"/>
              <w:jc w:val="center"/>
            </w:pPr>
            <w:r>
              <w:t>No</w:t>
            </w:r>
          </w:p>
        </w:tc>
      </w:tr>
      <w:tr w:rsidR="00122C1B" w14:paraId="43C70A0A" w14:textId="77777777" w:rsidTr="00FB62BD">
        <w:tc>
          <w:tcPr>
            <w:tcW w:w="993" w:type="dxa"/>
            <w:shd w:val="clear" w:color="auto" w:fill="auto"/>
          </w:tcPr>
          <w:p w14:paraId="6ACF5BEF" w14:textId="77777777" w:rsidR="00122C1B" w:rsidRDefault="00122C1B" w:rsidP="0035776C">
            <w:pPr>
              <w:pStyle w:val="TableParagraph"/>
              <w:jc w:val="center"/>
            </w:pPr>
            <w:r>
              <w:t>47</w:t>
            </w:r>
          </w:p>
        </w:tc>
        <w:tc>
          <w:tcPr>
            <w:tcW w:w="2688" w:type="dxa"/>
            <w:shd w:val="clear" w:color="auto" w:fill="auto"/>
          </w:tcPr>
          <w:p w14:paraId="3006C5E1" w14:textId="77777777" w:rsidR="00122C1B" w:rsidRPr="0001578C" w:rsidRDefault="00122C1B" w:rsidP="0035776C">
            <w:pPr>
              <w:pStyle w:val="TableParagraph"/>
            </w:pPr>
            <w:r w:rsidRPr="0001578C">
              <w:t xml:space="preserve">Learner drivers are not permitted to tow </w:t>
            </w:r>
            <w:r>
              <w:t>another vehicle</w:t>
            </w:r>
            <w:r w:rsidRPr="0001578C">
              <w:t>.</w:t>
            </w:r>
          </w:p>
        </w:tc>
        <w:tc>
          <w:tcPr>
            <w:tcW w:w="4678" w:type="dxa"/>
            <w:shd w:val="clear" w:color="auto" w:fill="auto"/>
          </w:tcPr>
          <w:p w14:paraId="0EE20B81" w14:textId="77777777" w:rsidR="00122C1B" w:rsidRDefault="00122C1B" w:rsidP="0035776C">
            <w:pPr>
              <w:pStyle w:val="TableParagraph"/>
            </w:pPr>
            <w:r>
              <w:t>Towing any vehicle is a new skill with high workload.</w:t>
            </w:r>
          </w:p>
          <w:p w14:paraId="10E00146" w14:textId="77777777" w:rsidR="00122C1B" w:rsidRDefault="00122C1B" w:rsidP="0035776C">
            <w:pPr>
              <w:pStyle w:val="TableParagraph"/>
            </w:pPr>
            <w:r>
              <w:t>The wording of the regulation was changed to refer to “towing any vehicle” instead of “towing a trailer” to clarify that it also covers towing another motor vehicle. Trailers are classified as “vehicles”.</w:t>
            </w:r>
          </w:p>
        </w:tc>
        <w:tc>
          <w:tcPr>
            <w:tcW w:w="0" w:type="auto"/>
            <w:shd w:val="clear" w:color="auto" w:fill="auto"/>
          </w:tcPr>
          <w:p w14:paraId="7C9D90C0" w14:textId="77777777" w:rsidR="00122C1B" w:rsidRPr="009575A8" w:rsidRDefault="00122C1B" w:rsidP="0035776C">
            <w:pPr>
              <w:pStyle w:val="TableParagraph"/>
              <w:jc w:val="center"/>
            </w:pPr>
            <w:r>
              <w:t>Yes</w:t>
            </w:r>
          </w:p>
        </w:tc>
      </w:tr>
      <w:tr w:rsidR="00122C1B" w14:paraId="484EDFA6" w14:textId="77777777" w:rsidTr="00FB62BD">
        <w:trPr>
          <w:cnfStyle w:val="000000010000" w:firstRow="0" w:lastRow="0" w:firstColumn="0" w:lastColumn="0" w:oddVBand="0" w:evenVBand="0" w:oddHBand="0" w:evenHBand="1" w:firstRowFirstColumn="0" w:firstRowLastColumn="0" w:lastRowFirstColumn="0" w:lastRowLastColumn="0"/>
        </w:trPr>
        <w:tc>
          <w:tcPr>
            <w:tcW w:w="993" w:type="dxa"/>
            <w:shd w:val="clear" w:color="auto" w:fill="auto"/>
          </w:tcPr>
          <w:p w14:paraId="45D8F7E0" w14:textId="77777777" w:rsidR="00122C1B" w:rsidRDefault="00122C1B" w:rsidP="0035776C">
            <w:pPr>
              <w:pStyle w:val="TableParagraph"/>
              <w:jc w:val="center"/>
            </w:pPr>
            <w:r>
              <w:t>48</w:t>
            </w:r>
          </w:p>
        </w:tc>
        <w:tc>
          <w:tcPr>
            <w:tcW w:w="2688" w:type="dxa"/>
            <w:shd w:val="clear" w:color="auto" w:fill="auto"/>
          </w:tcPr>
          <w:p w14:paraId="2FAA28D6" w14:textId="77777777" w:rsidR="00D671A6" w:rsidRDefault="005F36ED" w:rsidP="005F36ED">
            <w:pPr>
              <w:pStyle w:val="TableParagraph"/>
            </w:pPr>
            <w:r>
              <w:t>Learner</w:t>
            </w:r>
            <w:r w:rsidR="00250F30" w:rsidRPr="0044054A">
              <w:t xml:space="preserve"> drivers must display </w:t>
            </w:r>
            <w:r>
              <w:t>L</w:t>
            </w:r>
            <w:r w:rsidR="00250F30" w:rsidRPr="0044054A">
              <w:t xml:space="preserve"> plate</w:t>
            </w:r>
            <w:r w:rsidR="00250F30">
              <w:t xml:space="preserve">s </w:t>
            </w:r>
            <w:r w:rsidR="00250F30" w:rsidRPr="00B54213">
              <w:t>facing out from the front</w:t>
            </w:r>
            <w:r w:rsidR="00250F30">
              <w:t xml:space="preserve"> and rear</w:t>
            </w:r>
            <w:r w:rsidR="00250F30" w:rsidRPr="00B54213">
              <w:t xml:space="preserve"> of the vehicle so that the letter "</w:t>
            </w:r>
            <w:r>
              <w:t>L</w:t>
            </w:r>
            <w:r w:rsidR="00250F30" w:rsidRPr="00B54213">
              <w:t>" is clearly visible and the colour of the plate is distinguishable from a distance of 20 metres</w:t>
            </w:r>
            <w:r w:rsidR="00250F30">
              <w:rPr>
                <w:rStyle w:val="EndnoteReference"/>
              </w:rPr>
              <w:endnoteReference w:id="354"/>
            </w:r>
            <w:r w:rsidR="00250F30" w:rsidRPr="00B54213">
              <w:t xml:space="preserve"> ahead of</w:t>
            </w:r>
            <w:r w:rsidR="00250F30">
              <w:t>, and behind</w:t>
            </w:r>
            <w:r w:rsidR="00250F30" w:rsidRPr="00B54213">
              <w:t xml:space="preserve"> the vehicle</w:t>
            </w:r>
            <w:r w:rsidR="00250F30">
              <w:t xml:space="preserve">. </w:t>
            </w:r>
          </w:p>
          <w:p w14:paraId="2DED7921" w14:textId="77777777" w:rsidR="00122C1B" w:rsidRPr="0001578C" w:rsidRDefault="00D671A6" w:rsidP="005F36ED">
            <w:pPr>
              <w:pStyle w:val="TableParagraph"/>
            </w:pPr>
            <w:r>
              <w:t>(</w:t>
            </w:r>
            <w:r w:rsidR="009317EB">
              <w:t xml:space="preserve">Note: </w:t>
            </w:r>
            <w:r w:rsidR="00250F30">
              <w:t>Motorcyclists must display a</w:t>
            </w:r>
            <w:r w:rsidR="005F36ED">
              <w:t>n L</w:t>
            </w:r>
            <w:r w:rsidR="00250F30">
              <w:t xml:space="preserve"> plate only on the rear of the motor</w:t>
            </w:r>
            <w:r w:rsidR="005F36ED">
              <w:t>cycle</w:t>
            </w:r>
            <w:r w:rsidR="00122C1B" w:rsidRPr="0001578C">
              <w:t>.</w:t>
            </w:r>
            <w:r>
              <w:t>)</w:t>
            </w:r>
          </w:p>
        </w:tc>
        <w:tc>
          <w:tcPr>
            <w:tcW w:w="4678" w:type="dxa"/>
            <w:shd w:val="clear" w:color="auto" w:fill="auto"/>
          </w:tcPr>
          <w:p w14:paraId="0A4CA33C" w14:textId="77777777" w:rsidR="005F36ED" w:rsidRDefault="00122C1B" w:rsidP="0035776C">
            <w:pPr>
              <w:pStyle w:val="TableParagraph"/>
            </w:pPr>
            <w:r>
              <w:t>The display of L plates enables other road users to identify young inexperienced drivers, be more tolerant and take preventative action to avoid any potential traffic incidents. It enables the police to identify the status of drivers and to enforce the Regulations</w:t>
            </w:r>
            <w:r w:rsidR="00562882">
              <w:t>, including the requirement for a fully licensed supervising driver.</w:t>
            </w:r>
            <w:r w:rsidR="005F36ED" w:rsidRPr="0001578C">
              <w:t xml:space="preserve"> </w:t>
            </w:r>
          </w:p>
          <w:p w14:paraId="391EE9C6" w14:textId="77777777" w:rsidR="00122C1B" w:rsidRDefault="00BC3C02" w:rsidP="0035776C">
            <w:pPr>
              <w:pStyle w:val="TableParagraph"/>
            </w:pPr>
            <w:r>
              <w:t xml:space="preserve">(Note: </w:t>
            </w:r>
            <w:r w:rsidR="00E01BFA" w:rsidRPr="00E01BFA">
              <w:t xml:space="preserve">An L plate must </w:t>
            </w:r>
            <w:r w:rsidR="005F36ED" w:rsidRPr="0001578C">
              <w:t>display</w:t>
            </w:r>
            <w:r w:rsidR="00E01BFA" w:rsidRPr="00E01BFA">
              <w:t xml:space="preserve"> a black letter </w:t>
            </w:r>
            <w:r w:rsidR="00E01BFA">
              <w:t>“</w:t>
            </w:r>
            <w:r w:rsidR="00E01BFA" w:rsidRPr="00E01BFA">
              <w:t>L</w:t>
            </w:r>
            <w:r w:rsidR="00E01BFA">
              <w:t>”</w:t>
            </w:r>
            <w:r w:rsidR="00E01BFA" w:rsidRPr="00E01BFA">
              <w:t xml:space="preserve"> on a yellow background.</w:t>
            </w:r>
            <w:r>
              <w:t>)</w:t>
            </w:r>
          </w:p>
        </w:tc>
        <w:tc>
          <w:tcPr>
            <w:tcW w:w="0" w:type="auto"/>
            <w:shd w:val="clear" w:color="auto" w:fill="auto"/>
          </w:tcPr>
          <w:p w14:paraId="71FB1483" w14:textId="77777777" w:rsidR="00122C1B" w:rsidRDefault="00122C1B" w:rsidP="0035776C">
            <w:pPr>
              <w:pStyle w:val="TableParagraph"/>
              <w:jc w:val="center"/>
            </w:pPr>
            <w:r>
              <w:t>No</w:t>
            </w:r>
          </w:p>
        </w:tc>
      </w:tr>
    </w:tbl>
    <w:p w14:paraId="14E6B91A" w14:textId="77777777" w:rsidR="00122C1B" w:rsidRPr="00BC735D" w:rsidRDefault="00122C1B" w:rsidP="00562882">
      <w:pPr>
        <w:pStyle w:val="Heading3"/>
        <w:spacing w:before="240"/>
      </w:pPr>
      <w:bookmarkStart w:id="482" w:name="_Toc10703453"/>
      <w:r>
        <w:t>Legislative and regulatory sources of learner permit</w:t>
      </w:r>
      <w:r w:rsidRPr="00BC735D">
        <w:t xml:space="preserve"> restrictions</w:t>
      </w:r>
      <w:bookmarkEnd w:id="482"/>
    </w:p>
    <w:p w14:paraId="7257CD18" w14:textId="33E41D1C" w:rsidR="00122C1B" w:rsidRDefault="00122C1B" w:rsidP="00101A25">
      <w:pPr>
        <w:pStyle w:val="TextPara"/>
      </w:pPr>
      <w:r>
        <w:fldChar w:fldCharType="begin"/>
      </w:r>
      <w:r>
        <w:instrText xml:space="preserve"> REF _Ref508359545 \h </w:instrText>
      </w:r>
      <w:r>
        <w:fldChar w:fldCharType="separate"/>
      </w:r>
      <w:r w:rsidR="00EB4B02">
        <w:t xml:space="preserve">Table </w:t>
      </w:r>
      <w:r w:rsidR="00EB4B02">
        <w:rPr>
          <w:noProof/>
        </w:rPr>
        <w:t>27</w:t>
      </w:r>
      <w:r>
        <w:fldChar w:fldCharType="end"/>
      </w:r>
      <w:r>
        <w:t xml:space="preserve"> lists the legislative and regulatory sources of the restrictions that apply to learner permits.</w:t>
      </w:r>
    </w:p>
    <w:p w14:paraId="2D6409D5" w14:textId="2E907428" w:rsidR="00122C1B" w:rsidRDefault="00122C1B" w:rsidP="00AA0BBA">
      <w:pPr>
        <w:pStyle w:val="Caption"/>
      </w:pPr>
      <w:bookmarkStart w:id="483" w:name="_Ref508359545"/>
      <w:bookmarkStart w:id="484" w:name="_Toc10703720"/>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27</w:t>
      </w:r>
      <w:r w:rsidR="00BC6B2E">
        <w:rPr>
          <w:noProof/>
        </w:rPr>
        <w:fldChar w:fldCharType="end"/>
      </w:r>
      <w:bookmarkEnd w:id="483"/>
      <w:r>
        <w:t xml:space="preserve"> – </w:t>
      </w:r>
      <w:r w:rsidRPr="00E5400A">
        <w:t>Leg</w:t>
      </w:r>
      <w:r>
        <w:t>islative and regulatory sources:</w:t>
      </w:r>
      <w:r w:rsidRPr="00526BDD">
        <w:t xml:space="preserve"> Learner Permits</w:t>
      </w:r>
      <w:bookmarkEnd w:id="484"/>
    </w:p>
    <w:tbl>
      <w:tblPr>
        <w:tblStyle w:val="RIS-Table2"/>
        <w:tblW w:w="9528" w:type="dxa"/>
        <w:tblLook w:val="04A0" w:firstRow="1" w:lastRow="0" w:firstColumn="1" w:lastColumn="0" w:noHBand="0" w:noVBand="1"/>
      </w:tblPr>
      <w:tblGrid>
        <w:gridCol w:w="3969"/>
        <w:gridCol w:w="698"/>
        <w:gridCol w:w="1273"/>
        <w:gridCol w:w="1241"/>
        <w:gridCol w:w="1128"/>
        <w:gridCol w:w="1219"/>
      </w:tblGrid>
      <w:tr w:rsidR="00122C1B" w14:paraId="1469D4D6" w14:textId="77777777" w:rsidTr="00B22DE1">
        <w:trPr>
          <w:cnfStyle w:val="100000000000" w:firstRow="1" w:lastRow="0" w:firstColumn="0" w:lastColumn="0" w:oddVBand="0" w:evenVBand="0" w:oddHBand="0" w:evenHBand="0" w:firstRowFirstColumn="0" w:firstRowLastColumn="0" w:lastRowFirstColumn="0" w:lastRowLastColumn="0"/>
        </w:trPr>
        <w:tc>
          <w:tcPr>
            <w:tcW w:w="3969" w:type="dxa"/>
          </w:tcPr>
          <w:p w14:paraId="71D9EA72" w14:textId="77777777" w:rsidR="00122C1B" w:rsidRPr="004827FC" w:rsidRDefault="00122C1B" w:rsidP="00E02BEC">
            <w:pPr>
              <w:pStyle w:val="TableHeaders"/>
              <w:keepNext/>
            </w:pPr>
            <w:r>
              <w:t>Licensing Requirement</w:t>
            </w:r>
          </w:p>
        </w:tc>
        <w:tc>
          <w:tcPr>
            <w:tcW w:w="698" w:type="dxa"/>
          </w:tcPr>
          <w:p w14:paraId="50040ED9" w14:textId="77777777" w:rsidR="00122C1B" w:rsidRPr="004827FC" w:rsidRDefault="00122C1B" w:rsidP="00E02BEC">
            <w:pPr>
              <w:pStyle w:val="TableHeaders"/>
              <w:keepNext/>
            </w:pPr>
            <w:r w:rsidRPr="004827FC">
              <w:t>Act</w:t>
            </w:r>
          </w:p>
        </w:tc>
        <w:tc>
          <w:tcPr>
            <w:tcW w:w="1273" w:type="dxa"/>
          </w:tcPr>
          <w:p w14:paraId="46BA895A" w14:textId="77777777" w:rsidR="00122C1B" w:rsidRPr="004827FC" w:rsidRDefault="00122C1B" w:rsidP="00E02BEC">
            <w:pPr>
              <w:pStyle w:val="TableHeaders"/>
              <w:keepNext/>
            </w:pPr>
            <w:r w:rsidRPr="004827FC">
              <w:t>Road Safety (Drivers) Regulations</w:t>
            </w:r>
          </w:p>
        </w:tc>
        <w:tc>
          <w:tcPr>
            <w:tcW w:w="1241" w:type="dxa"/>
          </w:tcPr>
          <w:p w14:paraId="7D341875" w14:textId="77777777" w:rsidR="00122C1B" w:rsidRPr="004827FC" w:rsidRDefault="00122C1B" w:rsidP="00E02BEC">
            <w:pPr>
              <w:pStyle w:val="TableHeaders"/>
              <w:keepNext/>
            </w:pPr>
            <w:r w:rsidRPr="004827FC">
              <w:t>Road Safety Road Rules</w:t>
            </w:r>
          </w:p>
        </w:tc>
        <w:tc>
          <w:tcPr>
            <w:tcW w:w="1128" w:type="dxa"/>
          </w:tcPr>
          <w:p w14:paraId="529B4DBE" w14:textId="77777777" w:rsidR="00122C1B" w:rsidRPr="004827FC" w:rsidRDefault="00122C1B" w:rsidP="00E02BEC">
            <w:pPr>
              <w:pStyle w:val="TableHeaders"/>
              <w:keepNext/>
            </w:pPr>
            <w:r>
              <w:t>NGLS Exemplar Model</w:t>
            </w:r>
          </w:p>
        </w:tc>
        <w:tc>
          <w:tcPr>
            <w:tcW w:w="1219" w:type="dxa"/>
          </w:tcPr>
          <w:p w14:paraId="2B025B00" w14:textId="77777777" w:rsidR="00122C1B" w:rsidRPr="004827FC" w:rsidRDefault="00122C1B" w:rsidP="00E02BEC">
            <w:pPr>
              <w:pStyle w:val="TableHeaders"/>
              <w:keepNext/>
            </w:pPr>
            <w:r>
              <w:t>NDLS</w:t>
            </w:r>
            <w:r w:rsidRPr="004827FC">
              <w:t xml:space="preserve"> Regulations</w:t>
            </w:r>
          </w:p>
        </w:tc>
      </w:tr>
      <w:tr w:rsidR="00122C1B" w14:paraId="49ED95C7" w14:textId="77777777" w:rsidTr="00FB62BD">
        <w:tc>
          <w:tcPr>
            <w:tcW w:w="3969" w:type="dxa"/>
            <w:shd w:val="clear" w:color="auto" w:fill="auto"/>
          </w:tcPr>
          <w:p w14:paraId="3B16D44F" w14:textId="77777777" w:rsidR="00122C1B" w:rsidRDefault="00122C1B" w:rsidP="005D55E2">
            <w:pPr>
              <w:pStyle w:val="TableList1"/>
            </w:pPr>
            <w:r w:rsidRPr="004827FC">
              <w:t>Must display “L” Plate</w:t>
            </w:r>
            <w:r>
              <w:t>s</w:t>
            </w:r>
          </w:p>
        </w:tc>
        <w:tc>
          <w:tcPr>
            <w:tcW w:w="698" w:type="dxa"/>
            <w:shd w:val="clear" w:color="auto" w:fill="auto"/>
          </w:tcPr>
          <w:p w14:paraId="75DBA7DF" w14:textId="77777777" w:rsidR="00122C1B" w:rsidRPr="006E18AC" w:rsidRDefault="00122C1B" w:rsidP="00E02BEC">
            <w:pPr>
              <w:pStyle w:val="TableParagraph"/>
              <w:keepNext/>
              <w:jc w:val="center"/>
              <w:rPr>
                <w:color w:val="0C81BC"/>
              </w:rPr>
            </w:pPr>
          </w:p>
        </w:tc>
        <w:tc>
          <w:tcPr>
            <w:tcW w:w="1273" w:type="dxa"/>
            <w:shd w:val="clear" w:color="auto" w:fill="auto"/>
          </w:tcPr>
          <w:p w14:paraId="06C419AA" w14:textId="77777777" w:rsidR="00122C1B" w:rsidRPr="006E18AC" w:rsidRDefault="00122C1B" w:rsidP="00E02BEC">
            <w:pPr>
              <w:pStyle w:val="TableParagraph"/>
              <w:keepNext/>
              <w:jc w:val="center"/>
              <w:rPr>
                <w:color w:val="0C81BC"/>
              </w:rPr>
            </w:pPr>
            <w:r w:rsidRPr="006E18AC">
              <w:rPr>
                <w:rFonts w:cs="Segoe UI"/>
                <w:color w:val="0C81BC"/>
              </w:rPr>
              <w:sym w:font="Wingdings" w:char="F06C"/>
            </w:r>
          </w:p>
        </w:tc>
        <w:tc>
          <w:tcPr>
            <w:tcW w:w="1241" w:type="dxa"/>
            <w:shd w:val="clear" w:color="auto" w:fill="auto"/>
          </w:tcPr>
          <w:p w14:paraId="2C1947C8" w14:textId="77777777" w:rsidR="00122C1B" w:rsidRPr="006E18AC" w:rsidRDefault="00122C1B" w:rsidP="00E02BEC">
            <w:pPr>
              <w:pStyle w:val="TableParagraph"/>
              <w:keepNext/>
              <w:jc w:val="center"/>
              <w:rPr>
                <w:color w:val="0C81BC"/>
              </w:rPr>
            </w:pPr>
          </w:p>
        </w:tc>
        <w:tc>
          <w:tcPr>
            <w:tcW w:w="1128" w:type="dxa"/>
            <w:shd w:val="clear" w:color="auto" w:fill="auto"/>
          </w:tcPr>
          <w:p w14:paraId="60E37FE6" w14:textId="77777777" w:rsidR="00122C1B" w:rsidRPr="006E18AC" w:rsidRDefault="00122C1B" w:rsidP="00E02BEC">
            <w:pPr>
              <w:pStyle w:val="TableParagraph"/>
              <w:keepNext/>
              <w:jc w:val="center"/>
              <w:rPr>
                <w:color w:val="0C81BC"/>
              </w:rPr>
            </w:pPr>
          </w:p>
        </w:tc>
        <w:tc>
          <w:tcPr>
            <w:tcW w:w="1219" w:type="dxa"/>
            <w:shd w:val="clear" w:color="auto" w:fill="auto"/>
          </w:tcPr>
          <w:p w14:paraId="12AE75E5" w14:textId="77777777" w:rsidR="00122C1B" w:rsidRDefault="00122C1B" w:rsidP="00E02BEC">
            <w:pPr>
              <w:pStyle w:val="TableParagraph"/>
              <w:keepNext/>
              <w:jc w:val="center"/>
            </w:pPr>
          </w:p>
        </w:tc>
      </w:tr>
      <w:tr w:rsidR="00122C1B" w14:paraId="7CA2741A" w14:textId="77777777" w:rsidTr="00FB62BD">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3A97C6FD" w14:textId="77777777" w:rsidR="00122C1B" w:rsidRDefault="00122C1B" w:rsidP="005F6F8B">
            <w:pPr>
              <w:pStyle w:val="TableList1"/>
            </w:pPr>
            <w:r>
              <w:t>Mandatory c</w:t>
            </w:r>
            <w:r w:rsidRPr="004827FC">
              <w:t>arriage of Learner Permit</w:t>
            </w:r>
          </w:p>
        </w:tc>
        <w:tc>
          <w:tcPr>
            <w:tcW w:w="698" w:type="dxa"/>
            <w:shd w:val="clear" w:color="auto" w:fill="auto"/>
          </w:tcPr>
          <w:p w14:paraId="6BB9ADA0"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73" w:type="dxa"/>
            <w:shd w:val="clear" w:color="auto" w:fill="auto"/>
          </w:tcPr>
          <w:p w14:paraId="4D46CB89" w14:textId="77777777" w:rsidR="00122C1B" w:rsidRPr="006E18AC" w:rsidRDefault="00122C1B" w:rsidP="00D818E1">
            <w:pPr>
              <w:pStyle w:val="TableParagraph"/>
              <w:jc w:val="center"/>
              <w:rPr>
                <w:color w:val="0C81BC"/>
              </w:rPr>
            </w:pPr>
          </w:p>
        </w:tc>
        <w:tc>
          <w:tcPr>
            <w:tcW w:w="1241" w:type="dxa"/>
            <w:shd w:val="clear" w:color="auto" w:fill="auto"/>
          </w:tcPr>
          <w:p w14:paraId="2FFB1CB7" w14:textId="77777777" w:rsidR="00122C1B" w:rsidRPr="006E18AC" w:rsidRDefault="00122C1B" w:rsidP="00D818E1">
            <w:pPr>
              <w:pStyle w:val="TableParagraph"/>
              <w:jc w:val="center"/>
              <w:rPr>
                <w:color w:val="0C81BC"/>
              </w:rPr>
            </w:pPr>
          </w:p>
        </w:tc>
        <w:tc>
          <w:tcPr>
            <w:tcW w:w="1128" w:type="dxa"/>
            <w:shd w:val="clear" w:color="auto" w:fill="auto"/>
          </w:tcPr>
          <w:p w14:paraId="4F895911" w14:textId="77777777" w:rsidR="00122C1B" w:rsidRPr="006E18AC" w:rsidRDefault="00122C1B" w:rsidP="00D818E1">
            <w:pPr>
              <w:pStyle w:val="TableParagraph"/>
              <w:jc w:val="center"/>
              <w:rPr>
                <w:color w:val="0C81BC"/>
              </w:rPr>
            </w:pPr>
          </w:p>
        </w:tc>
        <w:tc>
          <w:tcPr>
            <w:tcW w:w="1219" w:type="dxa"/>
            <w:shd w:val="clear" w:color="auto" w:fill="auto"/>
          </w:tcPr>
          <w:p w14:paraId="632AD10B" w14:textId="77777777" w:rsidR="00122C1B" w:rsidRDefault="00122C1B" w:rsidP="00D818E1">
            <w:pPr>
              <w:pStyle w:val="TableParagraph"/>
              <w:jc w:val="center"/>
            </w:pPr>
          </w:p>
        </w:tc>
      </w:tr>
      <w:tr w:rsidR="00122C1B" w14:paraId="23D0C4C7" w14:textId="77777777" w:rsidTr="00FB62BD">
        <w:tc>
          <w:tcPr>
            <w:tcW w:w="3969" w:type="dxa"/>
            <w:shd w:val="clear" w:color="auto" w:fill="auto"/>
          </w:tcPr>
          <w:p w14:paraId="7F4CF2DE" w14:textId="77777777" w:rsidR="00122C1B" w:rsidRDefault="00122C1B" w:rsidP="005F6F8B">
            <w:pPr>
              <w:pStyle w:val="TableList1"/>
            </w:pPr>
            <w:r w:rsidRPr="004827FC">
              <w:t>Minimum age is 16</w:t>
            </w:r>
            <w:r>
              <w:t xml:space="preserve"> years</w:t>
            </w:r>
          </w:p>
        </w:tc>
        <w:tc>
          <w:tcPr>
            <w:tcW w:w="698" w:type="dxa"/>
            <w:shd w:val="clear" w:color="auto" w:fill="auto"/>
          </w:tcPr>
          <w:p w14:paraId="460E1E5E"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73" w:type="dxa"/>
            <w:shd w:val="clear" w:color="auto" w:fill="auto"/>
          </w:tcPr>
          <w:p w14:paraId="26AFCF65" w14:textId="77777777" w:rsidR="00122C1B" w:rsidRPr="006E18AC" w:rsidRDefault="00122C1B" w:rsidP="00D818E1">
            <w:pPr>
              <w:pStyle w:val="TableParagraph"/>
              <w:jc w:val="center"/>
              <w:rPr>
                <w:color w:val="0C81BC"/>
              </w:rPr>
            </w:pPr>
          </w:p>
        </w:tc>
        <w:tc>
          <w:tcPr>
            <w:tcW w:w="1241" w:type="dxa"/>
            <w:shd w:val="clear" w:color="auto" w:fill="auto"/>
          </w:tcPr>
          <w:p w14:paraId="41B427F7" w14:textId="77777777" w:rsidR="00122C1B" w:rsidRPr="006E18AC" w:rsidRDefault="00122C1B" w:rsidP="00D818E1">
            <w:pPr>
              <w:pStyle w:val="TableParagraph"/>
              <w:jc w:val="center"/>
              <w:rPr>
                <w:color w:val="0C81BC"/>
              </w:rPr>
            </w:pPr>
          </w:p>
        </w:tc>
        <w:tc>
          <w:tcPr>
            <w:tcW w:w="1128" w:type="dxa"/>
            <w:shd w:val="clear" w:color="auto" w:fill="auto"/>
          </w:tcPr>
          <w:p w14:paraId="376DF324"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19" w:type="dxa"/>
            <w:shd w:val="clear" w:color="auto" w:fill="auto"/>
          </w:tcPr>
          <w:p w14:paraId="10157FB4" w14:textId="77777777" w:rsidR="00122C1B" w:rsidRDefault="00122C1B" w:rsidP="00D818E1">
            <w:pPr>
              <w:pStyle w:val="TableParagraph"/>
              <w:jc w:val="center"/>
            </w:pPr>
          </w:p>
        </w:tc>
      </w:tr>
      <w:tr w:rsidR="00122C1B" w14:paraId="7F1F14E3" w14:textId="77777777" w:rsidTr="00FB62BD">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1B19DC77" w14:textId="77777777" w:rsidR="00122C1B" w:rsidRDefault="00122C1B" w:rsidP="00D818E1">
            <w:pPr>
              <w:pStyle w:val="TableParagraph"/>
            </w:pPr>
            <w:r>
              <w:t xml:space="preserve">Minimum term of learner permit holding: </w:t>
            </w:r>
          </w:p>
          <w:p w14:paraId="4A2B705C" w14:textId="77777777" w:rsidR="00122C1B" w:rsidRDefault="00122C1B" w:rsidP="005F6F8B">
            <w:pPr>
              <w:pStyle w:val="TableList1"/>
            </w:pPr>
            <w:r>
              <w:t>Twelve months, if under 21 years</w:t>
            </w:r>
          </w:p>
          <w:p w14:paraId="7F825CEC" w14:textId="77777777" w:rsidR="00122C1B" w:rsidRDefault="00122C1B" w:rsidP="00457BB1">
            <w:pPr>
              <w:pStyle w:val="TableList1"/>
            </w:pPr>
            <w:r>
              <w:t>Six months, if 21 years and over but under 25 years</w:t>
            </w:r>
          </w:p>
          <w:p w14:paraId="4733D254" w14:textId="77777777" w:rsidR="00122C1B" w:rsidRDefault="00122C1B">
            <w:pPr>
              <w:pStyle w:val="TableList1"/>
            </w:pPr>
            <w:r>
              <w:t>Three months, if 25 years and over</w:t>
            </w:r>
          </w:p>
        </w:tc>
        <w:tc>
          <w:tcPr>
            <w:tcW w:w="698" w:type="dxa"/>
            <w:shd w:val="clear" w:color="auto" w:fill="auto"/>
          </w:tcPr>
          <w:p w14:paraId="2A18BF74" w14:textId="77777777" w:rsidR="00122C1B" w:rsidRPr="006E18AC" w:rsidRDefault="00122C1B" w:rsidP="00D818E1">
            <w:pPr>
              <w:pStyle w:val="TableParagraph"/>
              <w:jc w:val="center"/>
              <w:rPr>
                <w:color w:val="0C81BC"/>
              </w:rPr>
            </w:pPr>
          </w:p>
        </w:tc>
        <w:tc>
          <w:tcPr>
            <w:tcW w:w="1273" w:type="dxa"/>
            <w:shd w:val="clear" w:color="auto" w:fill="auto"/>
          </w:tcPr>
          <w:p w14:paraId="12757DF0"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41" w:type="dxa"/>
            <w:shd w:val="clear" w:color="auto" w:fill="auto"/>
          </w:tcPr>
          <w:p w14:paraId="406D2DE3" w14:textId="77777777" w:rsidR="00122C1B" w:rsidRPr="006E18AC" w:rsidRDefault="00122C1B" w:rsidP="00D818E1">
            <w:pPr>
              <w:pStyle w:val="TableParagraph"/>
              <w:jc w:val="center"/>
              <w:rPr>
                <w:color w:val="0C81BC"/>
              </w:rPr>
            </w:pPr>
          </w:p>
        </w:tc>
        <w:tc>
          <w:tcPr>
            <w:tcW w:w="1128" w:type="dxa"/>
            <w:shd w:val="clear" w:color="auto" w:fill="auto"/>
          </w:tcPr>
          <w:p w14:paraId="3786452B" w14:textId="77777777" w:rsidR="00122C1B" w:rsidRPr="006E18AC" w:rsidRDefault="00122C1B" w:rsidP="00D818E1">
            <w:pPr>
              <w:pStyle w:val="TableParagraph"/>
              <w:jc w:val="center"/>
              <w:rPr>
                <w:color w:val="0C81BC"/>
              </w:rPr>
            </w:pPr>
          </w:p>
        </w:tc>
        <w:tc>
          <w:tcPr>
            <w:tcW w:w="1219" w:type="dxa"/>
            <w:shd w:val="clear" w:color="auto" w:fill="auto"/>
          </w:tcPr>
          <w:p w14:paraId="35184515" w14:textId="77777777" w:rsidR="00122C1B" w:rsidRDefault="00122C1B" w:rsidP="00D818E1">
            <w:pPr>
              <w:pStyle w:val="TableParagraph"/>
              <w:jc w:val="center"/>
            </w:pPr>
          </w:p>
        </w:tc>
      </w:tr>
      <w:tr w:rsidR="00122C1B" w14:paraId="6694AC9E" w14:textId="77777777" w:rsidTr="00FB62BD">
        <w:tc>
          <w:tcPr>
            <w:tcW w:w="3969" w:type="dxa"/>
            <w:shd w:val="clear" w:color="auto" w:fill="auto"/>
          </w:tcPr>
          <w:p w14:paraId="667135A2" w14:textId="77777777" w:rsidR="00122C1B" w:rsidRDefault="00122C1B" w:rsidP="005F6F8B">
            <w:pPr>
              <w:pStyle w:val="TableList1"/>
            </w:pPr>
            <w:r w:rsidRPr="004827FC">
              <w:t>Permit term</w:t>
            </w:r>
            <w:r>
              <w:t>:</w:t>
            </w:r>
            <w:r w:rsidRPr="004827FC">
              <w:t xml:space="preserve"> Up to ten years and can be renewed</w:t>
            </w:r>
          </w:p>
        </w:tc>
        <w:tc>
          <w:tcPr>
            <w:tcW w:w="698" w:type="dxa"/>
            <w:shd w:val="clear" w:color="auto" w:fill="auto"/>
          </w:tcPr>
          <w:p w14:paraId="20237AB8" w14:textId="77777777" w:rsidR="00122C1B" w:rsidRPr="006E18AC" w:rsidRDefault="00122C1B" w:rsidP="00D818E1">
            <w:pPr>
              <w:pStyle w:val="TableParagraph"/>
              <w:jc w:val="center"/>
              <w:rPr>
                <w:color w:val="0C81BC"/>
              </w:rPr>
            </w:pPr>
          </w:p>
        </w:tc>
        <w:tc>
          <w:tcPr>
            <w:tcW w:w="1273" w:type="dxa"/>
            <w:shd w:val="clear" w:color="auto" w:fill="auto"/>
          </w:tcPr>
          <w:p w14:paraId="0C27A9C8"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41" w:type="dxa"/>
            <w:shd w:val="clear" w:color="auto" w:fill="auto"/>
          </w:tcPr>
          <w:p w14:paraId="68A91553" w14:textId="77777777" w:rsidR="00122C1B" w:rsidRPr="006E18AC" w:rsidRDefault="00122C1B" w:rsidP="00D818E1">
            <w:pPr>
              <w:pStyle w:val="TableParagraph"/>
              <w:jc w:val="center"/>
              <w:rPr>
                <w:color w:val="0C81BC"/>
              </w:rPr>
            </w:pPr>
          </w:p>
        </w:tc>
        <w:tc>
          <w:tcPr>
            <w:tcW w:w="1128" w:type="dxa"/>
            <w:shd w:val="clear" w:color="auto" w:fill="auto"/>
          </w:tcPr>
          <w:p w14:paraId="39A40FC8" w14:textId="77777777" w:rsidR="00122C1B" w:rsidRPr="006E18AC" w:rsidRDefault="00122C1B" w:rsidP="00D818E1">
            <w:pPr>
              <w:pStyle w:val="TableParagraph"/>
              <w:jc w:val="center"/>
              <w:rPr>
                <w:color w:val="0C81BC"/>
              </w:rPr>
            </w:pPr>
          </w:p>
        </w:tc>
        <w:tc>
          <w:tcPr>
            <w:tcW w:w="1219" w:type="dxa"/>
            <w:shd w:val="clear" w:color="auto" w:fill="auto"/>
          </w:tcPr>
          <w:p w14:paraId="65FE4472" w14:textId="77777777" w:rsidR="00122C1B" w:rsidRDefault="00122C1B" w:rsidP="00D818E1">
            <w:pPr>
              <w:pStyle w:val="TableParagraph"/>
              <w:jc w:val="center"/>
            </w:pPr>
          </w:p>
        </w:tc>
      </w:tr>
      <w:tr w:rsidR="00122C1B" w14:paraId="5FEBBEDD" w14:textId="77777777" w:rsidTr="00FB62BD">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70AF161E" w14:textId="77777777" w:rsidR="00122C1B" w:rsidRDefault="00122C1B" w:rsidP="005F6F8B">
            <w:pPr>
              <w:pStyle w:val="TableList1"/>
            </w:pPr>
            <w:r>
              <w:t>Person must pass appropriate test or assessment required to obtain learner permit (</w:t>
            </w:r>
            <w:r w:rsidRPr="006D706E">
              <w:t>knowledge test and eyesight test</w:t>
            </w:r>
            <w:r>
              <w:t>)</w:t>
            </w:r>
          </w:p>
        </w:tc>
        <w:tc>
          <w:tcPr>
            <w:tcW w:w="698" w:type="dxa"/>
            <w:shd w:val="clear" w:color="auto" w:fill="auto"/>
          </w:tcPr>
          <w:p w14:paraId="07F06C3F" w14:textId="77777777" w:rsidR="00122C1B" w:rsidRPr="006E18AC" w:rsidRDefault="00122C1B" w:rsidP="00D818E1">
            <w:pPr>
              <w:pStyle w:val="TableParagraph"/>
              <w:jc w:val="center"/>
              <w:rPr>
                <w:color w:val="0C81BC"/>
              </w:rPr>
            </w:pPr>
          </w:p>
        </w:tc>
        <w:tc>
          <w:tcPr>
            <w:tcW w:w="1273" w:type="dxa"/>
            <w:shd w:val="clear" w:color="auto" w:fill="auto"/>
          </w:tcPr>
          <w:p w14:paraId="2D755D5E"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41" w:type="dxa"/>
            <w:shd w:val="clear" w:color="auto" w:fill="auto"/>
          </w:tcPr>
          <w:p w14:paraId="0A8BA6A2" w14:textId="77777777" w:rsidR="00122C1B" w:rsidRPr="006E18AC" w:rsidRDefault="00122C1B" w:rsidP="00D818E1">
            <w:pPr>
              <w:pStyle w:val="TableParagraph"/>
              <w:jc w:val="center"/>
              <w:rPr>
                <w:color w:val="0C81BC"/>
              </w:rPr>
            </w:pPr>
          </w:p>
        </w:tc>
        <w:tc>
          <w:tcPr>
            <w:tcW w:w="1128" w:type="dxa"/>
            <w:shd w:val="clear" w:color="auto" w:fill="auto"/>
          </w:tcPr>
          <w:p w14:paraId="2A845345" w14:textId="77777777" w:rsidR="00122C1B" w:rsidRPr="006E18AC" w:rsidRDefault="00122C1B" w:rsidP="00D818E1">
            <w:pPr>
              <w:pStyle w:val="TableParagraph"/>
              <w:jc w:val="center"/>
              <w:rPr>
                <w:rFonts w:cs="Segoe UI"/>
                <w:color w:val="0C81BC"/>
              </w:rPr>
            </w:pPr>
          </w:p>
        </w:tc>
        <w:tc>
          <w:tcPr>
            <w:tcW w:w="1219" w:type="dxa"/>
            <w:shd w:val="clear" w:color="auto" w:fill="auto"/>
          </w:tcPr>
          <w:p w14:paraId="317B3D4F" w14:textId="77777777" w:rsidR="00122C1B" w:rsidRDefault="00122C1B" w:rsidP="00D818E1">
            <w:pPr>
              <w:pStyle w:val="TableParagraph"/>
              <w:jc w:val="center"/>
            </w:pPr>
            <w:r w:rsidRPr="006E18AC">
              <w:rPr>
                <w:rFonts w:cs="Segoe UI"/>
                <w:color w:val="0C81BC"/>
              </w:rPr>
              <w:sym w:font="Wingdings" w:char="F06C"/>
            </w:r>
            <w:bookmarkStart w:id="485" w:name="_Ref508288805"/>
            <w:r w:rsidRPr="007B0E9C">
              <w:rPr>
                <w:rStyle w:val="EndnoteReference"/>
                <w:rFonts w:cs="Segoe UI"/>
              </w:rPr>
              <w:endnoteReference w:id="355"/>
            </w:r>
            <w:bookmarkEnd w:id="485"/>
          </w:p>
        </w:tc>
      </w:tr>
      <w:tr w:rsidR="00122C1B" w14:paraId="078B61AC" w14:textId="77777777" w:rsidTr="00FB62BD">
        <w:tc>
          <w:tcPr>
            <w:tcW w:w="3969" w:type="dxa"/>
            <w:shd w:val="clear" w:color="auto" w:fill="auto"/>
          </w:tcPr>
          <w:p w14:paraId="720602D8" w14:textId="77777777" w:rsidR="00122C1B" w:rsidRDefault="00122C1B" w:rsidP="005F6F8B">
            <w:pPr>
              <w:pStyle w:val="TableList1"/>
            </w:pPr>
            <w:r>
              <w:lastRenderedPageBreak/>
              <w:t>Supervised driving experience: If under 21 years, the requirement is 120 hours, including the number of hours of night driving determined by VicRoads (currently 20 hours). If 21 years and over at licensing, there is no minimum number of hours. Supervisor must have full licence</w:t>
            </w:r>
          </w:p>
        </w:tc>
        <w:tc>
          <w:tcPr>
            <w:tcW w:w="698" w:type="dxa"/>
            <w:shd w:val="clear" w:color="auto" w:fill="auto"/>
          </w:tcPr>
          <w:p w14:paraId="6BA7FB26" w14:textId="77777777" w:rsidR="00122C1B" w:rsidRPr="006E18AC" w:rsidRDefault="00122C1B" w:rsidP="00D818E1">
            <w:pPr>
              <w:pStyle w:val="TableParagraph"/>
              <w:jc w:val="center"/>
              <w:rPr>
                <w:color w:val="0C81BC"/>
              </w:rPr>
            </w:pPr>
          </w:p>
        </w:tc>
        <w:tc>
          <w:tcPr>
            <w:tcW w:w="1273" w:type="dxa"/>
            <w:shd w:val="clear" w:color="auto" w:fill="auto"/>
          </w:tcPr>
          <w:p w14:paraId="265AC330"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41" w:type="dxa"/>
            <w:shd w:val="clear" w:color="auto" w:fill="auto"/>
          </w:tcPr>
          <w:p w14:paraId="02FECEF3" w14:textId="77777777" w:rsidR="00122C1B" w:rsidRPr="006E18AC" w:rsidRDefault="00122C1B" w:rsidP="00D818E1">
            <w:pPr>
              <w:pStyle w:val="TableParagraph"/>
              <w:jc w:val="center"/>
              <w:rPr>
                <w:color w:val="0C81BC"/>
              </w:rPr>
            </w:pPr>
          </w:p>
        </w:tc>
        <w:tc>
          <w:tcPr>
            <w:tcW w:w="1128" w:type="dxa"/>
            <w:shd w:val="clear" w:color="auto" w:fill="auto"/>
          </w:tcPr>
          <w:p w14:paraId="0455F0D6"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19" w:type="dxa"/>
            <w:shd w:val="clear" w:color="auto" w:fill="auto"/>
          </w:tcPr>
          <w:p w14:paraId="7004E9D4" w14:textId="77777777" w:rsidR="00122C1B" w:rsidRDefault="00122C1B" w:rsidP="00D818E1">
            <w:pPr>
              <w:pStyle w:val="TableParagraph"/>
              <w:jc w:val="center"/>
            </w:pPr>
          </w:p>
        </w:tc>
      </w:tr>
      <w:tr w:rsidR="00122C1B" w14:paraId="38B72D3F" w14:textId="77777777" w:rsidTr="00B22DE1">
        <w:trPr>
          <w:cnfStyle w:val="000000010000" w:firstRow="0" w:lastRow="0" w:firstColumn="0" w:lastColumn="0" w:oddVBand="0" w:evenVBand="0" w:oddHBand="0" w:evenHBand="1" w:firstRowFirstColumn="0" w:firstRowLastColumn="0" w:lastRowFirstColumn="0" w:lastRowLastColumn="0"/>
        </w:trPr>
        <w:tc>
          <w:tcPr>
            <w:tcW w:w="3969" w:type="dxa"/>
          </w:tcPr>
          <w:p w14:paraId="092EAAD3" w14:textId="77777777" w:rsidR="00122C1B" w:rsidRDefault="00122C1B" w:rsidP="005F6F8B">
            <w:pPr>
              <w:pStyle w:val="TableList1"/>
            </w:pPr>
            <w:r w:rsidRPr="004827FC">
              <w:t xml:space="preserve">Blood </w:t>
            </w:r>
            <w:r>
              <w:t xml:space="preserve">or breath </w:t>
            </w:r>
            <w:r w:rsidRPr="004827FC">
              <w:t>alcohol concentration</w:t>
            </w:r>
            <w:r>
              <w:t>:</w:t>
            </w:r>
            <w:r w:rsidRPr="004827FC">
              <w:t xml:space="preserve"> Zero</w:t>
            </w:r>
            <w:r>
              <w:t>.</w:t>
            </w:r>
          </w:p>
        </w:tc>
        <w:tc>
          <w:tcPr>
            <w:tcW w:w="698" w:type="dxa"/>
          </w:tcPr>
          <w:p w14:paraId="5E5C21FD"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73" w:type="dxa"/>
          </w:tcPr>
          <w:p w14:paraId="0F90CFBD" w14:textId="77777777" w:rsidR="00122C1B" w:rsidRPr="006E18AC" w:rsidRDefault="00122C1B" w:rsidP="00D818E1">
            <w:pPr>
              <w:pStyle w:val="TableParagraph"/>
              <w:jc w:val="center"/>
              <w:rPr>
                <w:color w:val="0C81BC"/>
              </w:rPr>
            </w:pPr>
          </w:p>
        </w:tc>
        <w:tc>
          <w:tcPr>
            <w:tcW w:w="1241" w:type="dxa"/>
          </w:tcPr>
          <w:p w14:paraId="417E3D8F" w14:textId="77777777" w:rsidR="00122C1B" w:rsidRPr="006E18AC" w:rsidRDefault="00122C1B" w:rsidP="00D818E1">
            <w:pPr>
              <w:pStyle w:val="TableParagraph"/>
              <w:jc w:val="center"/>
              <w:rPr>
                <w:color w:val="0C81BC"/>
              </w:rPr>
            </w:pPr>
          </w:p>
        </w:tc>
        <w:tc>
          <w:tcPr>
            <w:tcW w:w="1128" w:type="dxa"/>
          </w:tcPr>
          <w:p w14:paraId="230C5DC2" w14:textId="77777777" w:rsidR="00122C1B" w:rsidRPr="006E18AC" w:rsidRDefault="00122C1B" w:rsidP="00D818E1">
            <w:pPr>
              <w:pStyle w:val="TableParagraph"/>
              <w:jc w:val="center"/>
              <w:rPr>
                <w:color w:val="0C81BC"/>
              </w:rPr>
            </w:pPr>
          </w:p>
        </w:tc>
        <w:tc>
          <w:tcPr>
            <w:tcW w:w="1219" w:type="dxa"/>
          </w:tcPr>
          <w:p w14:paraId="2C75A7E8" w14:textId="77777777" w:rsidR="00122C1B" w:rsidRDefault="00122C1B" w:rsidP="00D818E1">
            <w:pPr>
              <w:pStyle w:val="TableParagraph"/>
              <w:jc w:val="center"/>
            </w:pPr>
          </w:p>
        </w:tc>
      </w:tr>
      <w:tr w:rsidR="00122C1B" w14:paraId="0442768F" w14:textId="77777777" w:rsidTr="00B22DE1">
        <w:tc>
          <w:tcPr>
            <w:tcW w:w="3969" w:type="dxa"/>
          </w:tcPr>
          <w:p w14:paraId="664FAC0A" w14:textId="77777777" w:rsidR="00122C1B" w:rsidRDefault="00122C1B" w:rsidP="005F6F8B">
            <w:pPr>
              <w:pStyle w:val="TableList1"/>
            </w:pPr>
            <w:r>
              <w:t>Speed limit:</w:t>
            </w:r>
            <w:r w:rsidRPr="004827FC">
              <w:t xml:space="preserve"> As sign posted</w:t>
            </w:r>
          </w:p>
        </w:tc>
        <w:tc>
          <w:tcPr>
            <w:tcW w:w="698" w:type="dxa"/>
          </w:tcPr>
          <w:p w14:paraId="1987F9E4" w14:textId="77777777" w:rsidR="00122C1B" w:rsidRPr="006E18AC" w:rsidRDefault="00122C1B" w:rsidP="00D818E1">
            <w:pPr>
              <w:pStyle w:val="TableParagraph"/>
              <w:jc w:val="center"/>
              <w:rPr>
                <w:color w:val="0C81BC"/>
              </w:rPr>
            </w:pPr>
          </w:p>
        </w:tc>
        <w:tc>
          <w:tcPr>
            <w:tcW w:w="1273" w:type="dxa"/>
          </w:tcPr>
          <w:p w14:paraId="108A55C8" w14:textId="77777777" w:rsidR="00122C1B" w:rsidRPr="006E18AC" w:rsidRDefault="00122C1B" w:rsidP="00D818E1">
            <w:pPr>
              <w:pStyle w:val="TableParagraph"/>
              <w:jc w:val="center"/>
              <w:rPr>
                <w:color w:val="0C81BC"/>
              </w:rPr>
            </w:pPr>
          </w:p>
        </w:tc>
        <w:tc>
          <w:tcPr>
            <w:tcW w:w="1241" w:type="dxa"/>
          </w:tcPr>
          <w:p w14:paraId="260984BE"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128" w:type="dxa"/>
          </w:tcPr>
          <w:p w14:paraId="56363182" w14:textId="77777777" w:rsidR="00122C1B" w:rsidRPr="006E18AC" w:rsidRDefault="00122C1B" w:rsidP="00D818E1">
            <w:pPr>
              <w:pStyle w:val="TableParagraph"/>
              <w:jc w:val="center"/>
              <w:rPr>
                <w:rFonts w:cs="Segoe UI"/>
                <w:color w:val="0C81BC"/>
              </w:rPr>
            </w:pPr>
          </w:p>
        </w:tc>
        <w:tc>
          <w:tcPr>
            <w:tcW w:w="1219" w:type="dxa"/>
          </w:tcPr>
          <w:p w14:paraId="781622D0" w14:textId="77777777" w:rsidR="00122C1B" w:rsidRDefault="00122C1B" w:rsidP="00D818E1">
            <w:pPr>
              <w:pStyle w:val="TableParagraph"/>
              <w:jc w:val="center"/>
            </w:pPr>
            <w:r w:rsidRPr="006E18AC">
              <w:rPr>
                <w:rFonts w:cs="Segoe UI"/>
                <w:color w:val="0C81BC"/>
              </w:rPr>
              <w:sym w:font="Wingdings" w:char="F06C"/>
            </w:r>
            <w:bookmarkStart w:id="486" w:name="_Ref508288874"/>
            <w:r w:rsidRPr="007B0E9C">
              <w:rPr>
                <w:rStyle w:val="EndnoteReference"/>
                <w:rFonts w:cs="Segoe UI"/>
              </w:rPr>
              <w:endnoteReference w:id="356"/>
            </w:r>
            <w:bookmarkEnd w:id="486"/>
          </w:p>
        </w:tc>
      </w:tr>
      <w:tr w:rsidR="00122C1B" w14:paraId="7E8AD35E" w14:textId="77777777" w:rsidTr="00B22DE1">
        <w:trPr>
          <w:cnfStyle w:val="000000010000" w:firstRow="0" w:lastRow="0" w:firstColumn="0" w:lastColumn="0" w:oddVBand="0" w:evenVBand="0" w:oddHBand="0" w:evenHBand="1" w:firstRowFirstColumn="0" w:firstRowLastColumn="0" w:lastRowFirstColumn="0" w:lastRowLastColumn="0"/>
        </w:trPr>
        <w:tc>
          <w:tcPr>
            <w:tcW w:w="3969" w:type="dxa"/>
          </w:tcPr>
          <w:p w14:paraId="04CAFC22" w14:textId="77777777" w:rsidR="00122C1B" w:rsidRDefault="00122C1B" w:rsidP="005F6F8B">
            <w:pPr>
              <w:pStyle w:val="TableList1"/>
            </w:pPr>
            <w:r>
              <w:t>Demerit points. 5 demerit points in 12 months or 12 demerit points in 3 years</w:t>
            </w:r>
          </w:p>
        </w:tc>
        <w:tc>
          <w:tcPr>
            <w:tcW w:w="698" w:type="dxa"/>
          </w:tcPr>
          <w:p w14:paraId="7A374FF5"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73" w:type="dxa"/>
          </w:tcPr>
          <w:p w14:paraId="37035F44" w14:textId="77777777" w:rsidR="00122C1B" w:rsidRPr="006E18AC" w:rsidRDefault="00122C1B" w:rsidP="00D818E1">
            <w:pPr>
              <w:pStyle w:val="TableParagraph"/>
              <w:jc w:val="center"/>
              <w:rPr>
                <w:color w:val="0C81BC"/>
              </w:rPr>
            </w:pPr>
          </w:p>
        </w:tc>
        <w:tc>
          <w:tcPr>
            <w:tcW w:w="1241" w:type="dxa"/>
          </w:tcPr>
          <w:p w14:paraId="176A97E3" w14:textId="77777777" w:rsidR="00122C1B" w:rsidRPr="006E18AC" w:rsidRDefault="00122C1B" w:rsidP="00D818E1">
            <w:pPr>
              <w:pStyle w:val="TableParagraph"/>
              <w:jc w:val="center"/>
              <w:rPr>
                <w:color w:val="0C81BC"/>
              </w:rPr>
            </w:pPr>
          </w:p>
        </w:tc>
        <w:tc>
          <w:tcPr>
            <w:tcW w:w="1128" w:type="dxa"/>
          </w:tcPr>
          <w:p w14:paraId="6F518D52" w14:textId="77777777" w:rsidR="00122C1B" w:rsidRPr="006E18AC" w:rsidRDefault="00122C1B" w:rsidP="00D818E1">
            <w:pPr>
              <w:pStyle w:val="TableParagraph"/>
              <w:jc w:val="center"/>
              <w:rPr>
                <w:rFonts w:cs="Segoe UI"/>
                <w:color w:val="0C81BC"/>
              </w:rPr>
            </w:pPr>
            <w:r w:rsidRPr="006E18AC">
              <w:rPr>
                <w:rFonts w:cs="Segoe UI"/>
                <w:color w:val="0C81BC"/>
              </w:rPr>
              <w:sym w:font="Wingdings" w:char="F06C"/>
            </w:r>
          </w:p>
        </w:tc>
        <w:tc>
          <w:tcPr>
            <w:tcW w:w="1219" w:type="dxa"/>
          </w:tcPr>
          <w:p w14:paraId="26A762ED" w14:textId="77777777" w:rsidR="00122C1B" w:rsidRDefault="00122C1B" w:rsidP="00D818E1">
            <w:pPr>
              <w:pStyle w:val="TableParagraph"/>
              <w:jc w:val="center"/>
            </w:pPr>
            <w:r w:rsidRPr="006E18AC">
              <w:rPr>
                <w:rFonts w:cs="Segoe UI"/>
                <w:color w:val="0C81BC"/>
              </w:rPr>
              <w:sym w:font="Wingdings" w:char="F06C"/>
            </w:r>
          </w:p>
        </w:tc>
      </w:tr>
      <w:tr w:rsidR="00122C1B" w14:paraId="00C47770" w14:textId="77777777" w:rsidTr="00B22DE1">
        <w:tc>
          <w:tcPr>
            <w:tcW w:w="3969" w:type="dxa"/>
          </w:tcPr>
          <w:p w14:paraId="2EDBC2F9" w14:textId="77777777" w:rsidR="00122C1B" w:rsidRDefault="00122C1B" w:rsidP="005F6F8B">
            <w:pPr>
              <w:pStyle w:val="TableList1"/>
            </w:pPr>
            <w:r>
              <w:t>No mobile phone use, whether handheld or hands-free</w:t>
            </w:r>
          </w:p>
        </w:tc>
        <w:tc>
          <w:tcPr>
            <w:tcW w:w="698" w:type="dxa"/>
          </w:tcPr>
          <w:p w14:paraId="3FD38DD1" w14:textId="77777777" w:rsidR="00122C1B" w:rsidRPr="006E18AC" w:rsidRDefault="00122C1B" w:rsidP="00D818E1">
            <w:pPr>
              <w:pStyle w:val="TableParagraph"/>
              <w:jc w:val="center"/>
              <w:rPr>
                <w:color w:val="0C81BC"/>
              </w:rPr>
            </w:pPr>
          </w:p>
        </w:tc>
        <w:tc>
          <w:tcPr>
            <w:tcW w:w="1273" w:type="dxa"/>
          </w:tcPr>
          <w:p w14:paraId="31F47015" w14:textId="77777777" w:rsidR="00122C1B" w:rsidRPr="006E18AC" w:rsidRDefault="00122C1B" w:rsidP="00D818E1">
            <w:pPr>
              <w:pStyle w:val="TableParagraph"/>
              <w:jc w:val="center"/>
              <w:rPr>
                <w:color w:val="0C81BC"/>
              </w:rPr>
            </w:pPr>
          </w:p>
        </w:tc>
        <w:tc>
          <w:tcPr>
            <w:tcW w:w="1241" w:type="dxa"/>
          </w:tcPr>
          <w:p w14:paraId="097C915A"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128" w:type="dxa"/>
          </w:tcPr>
          <w:p w14:paraId="0AE0D442"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19" w:type="dxa"/>
          </w:tcPr>
          <w:p w14:paraId="6E3BA20B" w14:textId="77777777" w:rsidR="00122C1B" w:rsidRDefault="00122C1B" w:rsidP="00D818E1">
            <w:pPr>
              <w:pStyle w:val="TableParagraph"/>
              <w:jc w:val="center"/>
            </w:pPr>
          </w:p>
        </w:tc>
      </w:tr>
      <w:tr w:rsidR="00122C1B" w14:paraId="35353223" w14:textId="77777777" w:rsidTr="00B22DE1">
        <w:trPr>
          <w:cnfStyle w:val="000000010000" w:firstRow="0" w:lastRow="0" w:firstColumn="0" w:lastColumn="0" w:oddVBand="0" w:evenVBand="0" w:oddHBand="0" w:evenHBand="1" w:firstRowFirstColumn="0" w:firstRowLastColumn="0" w:lastRowFirstColumn="0" w:lastRowLastColumn="0"/>
        </w:trPr>
        <w:tc>
          <w:tcPr>
            <w:tcW w:w="3969" w:type="dxa"/>
          </w:tcPr>
          <w:p w14:paraId="0C26A57C" w14:textId="77777777" w:rsidR="00122C1B" w:rsidRDefault="00122C1B" w:rsidP="005F6F8B">
            <w:pPr>
              <w:pStyle w:val="TableList1"/>
            </w:pPr>
            <w:r>
              <w:t xml:space="preserve">No </w:t>
            </w:r>
            <w:r w:rsidRPr="004827FC">
              <w:t>towing</w:t>
            </w:r>
          </w:p>
        </w:tc>
        <w:tc>
          <w:tcPr>
            <w:tcW w:w="698" w:type="dxa"/>
          </w:tcPr>
          <w:p w14:paraId="41A73674" w14:textId="77777777" w:rsidR="00122C1B" w:rsidRDefault="00122C1B" w:rsidP="00D818E1">
            <w:pPr>
              <w:pStyle w:val="TableParagraph"/>
              <w:jc w:val="center"/>
            </w:pPr>
          </w:p>
        </w:tc>
        <w:tc>
          <w:tcPr>
            <w:tcW w:w="1273" w:type="dxa"/>
          </w:tcPr>
          <w:p w14:paraId="46E0CC28"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41" w:type="dxa"/>
          </w:tcPr>
          <w:p w14:paraId="3904EBC1" w14:textId="77777777" w:rsidR="00122C1B" w:rsidRDefault="00122C1B" w:rsidP="00D818E1">
            <w:pPr>
              <w:pStyle w:val="TableParagraph"/>
              <w:jc w:val="center"/>
            </w:pPr>
          </w:p>
        </w:tc>
        <w:tc>
          <w:tcPr>
            <w:tcW w:w="1128" w:type="dxa"/>
          </w:tcPr>
          <w:p w14:paraId="0CD5210F" w14:textId="77777777" w:rsidR="00122C1B" w:rsidRDefault="00122C1B" w:rsidP="00D818E1">
            <w:pPr>
              <w:pStyle w:val="TableParagraph"/>
              <w:jc w:val="center"/>
            </w:pPr>
          </w:p>
        </w:tc>
        <w:tc>
          <w:tcPr>
            <w:tcW w:w="1219" w:type="dxa"/>
          </w:tcPr>
          <w:p w14:paraId="6761FD09" w14:textId="77777777" w:rsidR="00122C1B" w:rsidRDefault="00122C1B" w:rsidP="00D818E1">
            <w:pPr>
              <w:pStyle w:val="TableParagraph"/>
              <w:jc w:val="center"/>
            </w:pPr>
          </w:p>
        </w:tc>
      </w:tr>
    </w:tbl>
    <w:p w14:paraId="54D149D2" w14:textId="77777777" w:rsidR="00122C1B" w:rsidRPr="00BC735D" w:rsidRDefault="00122C1B" w:rsidP="00562882">
      <w:pPr>
        <w:pStyle w:val="Heading3"/>
        <w:spacing w:before="240"/>
      </w:pPr>
      <w:bookmarkStart w:id="487" w:name="_Toc10703454"/>
      <w:r w:rsidRPr="00BC735D">
        <w:t xml:space="preserve">Exemption from </w:t>
      </w:r>
      <w:r>
        <w:t>requirements</w:t>
      </w:r>
      <w:bookmarkEnd w:id="487"/>
    </w:p>
    <w:p w14:paraId="7C09E6B6" w14:textId="77777777" w:rsidR="00122C1B" w:rsidRDefault="00122C1B" w:rsidP="00101A25">
      <w:pPr>
        <w:pStyle w:val="TextPara"/>
      </w:pPr>
      <w:r>
        <w:t>In recognition of hardship situations that learner drivers may face relating to employment and education, VicRoads provides an exemption from the minimum holding period of a learner permit and completing 120 hours of supervised driving. There are strict guidelines for granting exemptions. Exemptions applications are approved sparingly and only in exceptional cases.</w:t>
      </w:r>
    </w:p>
    <w:p w14:paraId="22E4C3C3" w14:textId="77777777" w:rsidR="00122C1B" w:rsidRDefault="00122C1B" w:rsidP="00410105">
      <w:pPr>
        <w:pStyle w:val="TextPara"/>
        <w:spacing w:after="40"/>
      </w:pPr>
      <w:r>
        <w:t>Learner permit holders may apply for such an exemption only if they:</w:t>
      </w:r>
    </w:p>
    <w:p w14:paraId="3D36DC31" w14:textId="77777777" w:rsidR="00122C1B" w:rsidRDefault="00122C1B" w:rsidP="004E31DB">
      <w:pPr>
        <w:pStyle w:val="Bullet1-Black"/>
        <w:spacing w:before="60"/>
        <w:ind w:left="386" w:hanging="244"/>
      </w:pPr>
      <w:r>
        <w:t>hold a current and valid learner permit</w:t>
      </w:r>
    </w:p>
    <w:p w14:paraId="7CAA2128" w14:textId="77777777" w:rsidR="00122C1B" w:rsidRDefault="00122C1B" w:rsidP="004E31DB">
      <w:pPr>
        <w:pStyle w:val="Bullet1-Black"/>
        <w:spacing w:before="60"/>
        <w:ind w:left="386" w:hanging="244"/>
      </w:pPr>
      <w:r>
        <w:t>have a clean driving record</w:t>
      </w:r>
    </w:p>
    <w:p w14:paraId="25C7082C" w14:textId="77777777" w:rsidR="00122C1B" w:rsidRDefault="00122C1B" w:rsidP="004E31DB">
      <w:pPr>
        <w:pStyle w:val="Bullet1-Black"/>
        <w:spacing w:before="60"/>
        <w:ind w:left="386" w:hanging="244"/>
      </w:pPr>
      <w:r>
        <w:t xml:space="preserve">can demonstrate undue hardship or provide proof of previous driving experience. </w:t>
      </w:r>
    </w:p>
    <w:p w14:paraId="5F915793" w14:textId="77777777" w:rsidR="00122C1B" w:rsidRDefault="00122C1B" w:rsidP="00E5473D">
      <w:pPr>
        <w:pStyle w:val="TextPara"/>
      </w:pPr>
      <w:r>
        <w:t xml:space="preserve">In deciding whether to grant an exemption and what conditions to place on it, VicRoads must consider the likely effect of its decision on safe, efficient and equitable road use in Victoria, the person’s driving experience and the circumstances in which it was obtained. The conditions imposed may include limiting the number of passengers that may be carried, the travel routes and distances </w:t>
      </w:r>
      <w:r w:rsidR="004E31DB">
        <w:t xml:space="preserve">that may be driven </w:t>
      </w:r>
      <w:r>
        <w:t xml:space="preserve">and </w:t>
      </w:r>
      <w:r w:rsidR="004E31DB">
        <w:t xml:space="preserve">the </w:t>
      </w:r>
      <w:r>
        <w:t xml:space="preserve">times </w:t>
      </w:r>
      <w:r w:rsidR="004E31DB">
        <w:t>of</w:t>
      </w:r>
      <w:r>
        <w:t xml:space="preserve"> the day and days of the week</w:t>
      </w:r>
      <w:r w:rsidR="004E31DB">
        <w:t xml:space="preserve"> that the learner may drive</w:t>
      </w:r>
      <w:r>
        <w:t>.</w:t>
      </w:r>
    </w:p>
    <w:p w14:paraId="65D98934" w14:textId="77777777" w:rsidR="00122C1B" w:rsidRDefault="00122C1B" w:rsidP="00101A25">
      <w:pPr>
        <w:pStyle w:val="TextPara"/>
        <w:spacing w:after="0"/>
      </w:pPr>
      <w:r>
        <w:t>Applications for exemption must be made in writing using the prescribed form and include supporting evidence in the form of a letter from:</w:t>
      </w:r>
    </w:p>
    <w:p w14:paraId="657171D2" w14:textId="77777777" w:rsidR="00122C1B" w:rsidRDefault="00122C1B" w:rsidP="004E31DB">
      <w:pPr>
        <w:pStyle w:val="Bullet1-Black"/>
        <w:spacing w:before="60"/>
        <w:ind w:left="386" w:hanging="244"/>
      </w:pPr>
      <w:r>
        <w:t>the employer, verifying the applicant’s employment status, if the hardship relates to employment</w:t>
      </w:r>
    </w:p>
    <w:p w14:paraId="4C286EA3" w14:textId="77777777" w:rsidR="00122C1B" w:rsidRDefault="00122C1B" w:rsidP="004E31DB">
      <w:pPr>
        <w:pStyle w:val="Bullet1-Black"/>
        <w:spacing w:before="60"/>
        <w:ind w:left="386" w:hanging="244"/>
      </w:pPr>
      <w:r>
        <w:t>the educational institution, verifying the applicant’s student status and dates and times of attendance, if the hardship relates to education</w:t>
      </w:r>
    </w:p>
    <w:p w14:paraId="46294BE4" w14:textId="77777777" w:rsidR="00122C1B" w:rsidRDefault="00122C1B" w:rsidP="004E31DB">
      <w:pPr>
        <w:pStyle w:val="Bullet1-Black"/>
        <w:spacing w:before="60"/>
        <w:ind w:left="386" w:hanging="244"/>
      </w:pPr>
      <w:r>
        <w:t>a relevant authority (e.g. medical practitioner, parish priest, etc.), describing the impact on the applicant’s family.</w:t>
      </w:r>
    </w:p>
    <w:p w14:paraId="39513A27" w14:textId="77777777" w:rsidR="00122C1B" w:rsidRPr="00081109" w:rsidRDefault="00122C1B" w:rsidP="00101A25">
      <w:pPr>
        <w:pStyle w:val="TextPara"/>
      </w:pPr>
      <w:r>
        <w:t>Applicants are also required to provide any documented evidence of existing interstate or overseas driving experience, if relevant. Any permit</w:t>
      </w:r>
      <w:r w:rsidR="004E31DB">
        <w:t xml:space="preserve"> </w:t>
      </w:r>
      <w:r>
        <w:t>issued upon approval of such an exemption application</w:t>
      </w:r>
      <w:r w:rsidR="004E31DB">
        <w:t xml:space="preserve"> </w:t>
      </w:r>
      <w:r>
        <w:t>is restricted to the specified use.</w:t>
      </w:r>
    </w:p>
    <w:p w14:paraId="7C30B937" w14:textId="77777777" w:rsidR="00122C1B" w:rsidRDefault="00122C1B" w:rsidP="001A063E">
      <w:pPr>
        <w:pStyle w:val="Heading2"/>
      </w:pPr>
      <w:bookmarkStart w:id="488" w:name="_Ref508728572"/>
      <w:bookmarkStart w:id="489" w:name="_Ref508728597"/>
      <w:bookmarkStart w:id="490" w:name="_Toc10703455"/>
      <w:r>
        <w:lastRenderedPageBreak/>
        <w:t>Probationary Licence (P1 and P2)</w:t>
      </w:r>
      <w:bookmarkEnd w:id="488"/>
      <w:bookmarkEnd w:id="489"/>
      <w:bookmarkEnd w:id="490"/>
    </w:p>
    <w:p w14:paraId="743E6505" w14:textId="77777777" w:rsidR="00122C1B" w:rsidRPr="00670A57" w:rsidRDefault="00122C1B" w:rsidP="006713F9">
      <w:pPr>
        <w:pStyle w:val="Heading3"/>
      </w:pPr>
      <w:bookmarkStart w:id="491" w:name="_Toc10703456"/>
      <w:r>
        <w:t xml:space="preserve">Background: </w:t>
      </w:r>
      <w:r w:rsidRPr="00670A57">
        <w:t>How it works</w:t>
      </w:r>
      <w:bookmarkEnd w:id="491"/>
    </w:p>
    <w:p w14:paraId="18B65C57" w14:textId="77777777" w:rsidR="00122C1B" w:rsidRDefault="00122C1B" w:rsidP="00101A25">
      <w:pPr>
        <w:pStyle w:val="TextPara"/>
      </w:pPr>
      <w:r>
        <w:t xml:space="preserve">Section 21 of the </w:t>
      </w:r>
      <w:r w:rsidRPr="006E4CDA">
        <w:rPr>
          <w:i/>
        </w:rPr>
        <w:t>RSA</w:t>
      </w:r>
      <w:r>
        <w:t xml:space="preserve"> provides that the first driver licence granted to a person must, unless the regulations otherwise provide, be granted on probation in accordance with the regulations. The proposed Regulations prescribe a probationary period of four years, consisting of a one-year P1 licence period, followed by a three-year P2 licence period. This is consistent with the national Exemplar GLS Model implemented by Victoria over a decade ago.</w:t>
      </w:r>
    </w:p>
    <w:p w14:paraId="27014242" w14:textId="77777777" w:rsidR="00122C1B" w:rsidRDefault="00122C1B" w:rsidP="00101A25">
      <w:pPr>
        <w:pStyle w:val="TextPara"/>
      </w:pPr>
      <w:r>
        <w:t>After passing an on-road drive test and a computer-based hazard perception test, drivers aged 18-20 years obtain a P1 licence valid for 12 months. Drivers aged 21 years or over at the time of obtaining their first licence get a P2 licence valid for three years instead of a P1. The statistics have shown that over 90% of first year probationary drivers who are involved in crashes, are under 21 years of</w:t>
      </w:r>
      <w:r w:rsidRPr="00C01E98">
        <w:t xml:space="preserve"> </w:t>
      </w:r>
      <w:r>
        <w:t>age,</w:t>
      </w:r>
      <w:r>
        <w:rPr>
          <w:rStyle w:val="EndnoteReference"/>
        </w:rPr>
        <w:endnoteReference w:id="357"/>
      </w:r>
      <w:r>
        <w:t xml:space="preserve"> and serving a P1 licence period is a measure that is particularly targeted at this group. Having a more restricted P1 licence before advancing to P2 improves the road safety of the younger probationary drivers in their first year and limits their exposure to high crash risk situations, such as driving with multiple peer passengers. </w:t>
      </w:r>
    </w:p>
    <w:p w14:paraId="7657B0D8" w14:textId="432B5E85" w:rsidR="00122C1B" w:rsidRDefault="00122C1B" w:rsidP="00101A25">
      <w:pPr>
        <w:pStyle w:val="TextPara"/>
      </w:pPr>
      <w:r>
        <w:t>Setting the duration of the P2 probationary period applicable to all novice drivers at three years ensures protection of novice drivers from high crash risk exposure through the zero blood or breath alcohol concentration (BAC)</w:t>
      </w:r>
      <w:r w:rsidRPr="00353BB6">
        <w:t xml:space="preserve"> </w:t>
      </w:r>
      <w:r>
        <w:t xml:space="preserve">restriction </w:t>
      </w:r>
      <w:r w:rsidRPr="00353BB6">
        <w:t xml:space="preserve">and </w:t>
      </w:r>
      <w:r>
        <w:t xml:space="preserve">the </w:t>
      </w:r>
      <w:r w:rsidRPr="00353BB6">
        <w:t>lower demerit point threshold</w:t>
      </w:r>
      <w:r>
        <w:t>.</w:t>
      </w:r>
      <w:r>
        <w:rPr>
          <w:rStyle w:val="EndnoteReference"/>
        </w:rPr>
        <w:endnoteReference w:id="358"/>
      </w:r>
      <w:r>
        <w:t xml:space="preserve"> Research has indicated that a 2-3 year probationary period is more effective than a one-year period in terms of reducing alcohol-related crashes.</w:t>
      </w:r>
      <w:bookmarkStart w:id="492" w:name="_Ref513047139"/>
      <w:r>
        <w:rPr>
          <w:rStyle w:val="EndnoteReference"/>
        </w:rPr>
        <w:endnoteReference w:id="359"/>
      </w:r>
      <w:bookmarkEnd w:id="492"/>
      <w:r>
        <w:t xml:space="preserve"> A one-year period was found to be insufficient both to deter probationary drivers from drinking prior to driving and to encourage the establishment of durable behaviour patterns that separate drinking from driving.</w:t>
      </w:r>
      <w:r>
        <w:fldChar w:fldCharType="begin"/>
      </w:r>
      <w:r>
        <w:instrText xml:space="preserve"> NOTEREF _Ref513047139 \f \h </w:instrText>
      </w:r>
      <w:r>
        <w:fldChar w:fldCharType="separate"/>
      </w:r>
      <w:r w:rsidR="00EB4B02" w:rsidRPr="00EB4B02">
        <w:rPr>
          <w:rStyle w:val="EndnoteReference"/>
        </w:rPr>
        <w:t>358</w:t>
      </w:r>
      <w:r>
        <w:fldChar w:fldCharType="end"/>
      </w:r>
    </w:p>
    <w:p w14:paraId="1D284AA1" w14:textId="77777777" w:rsidR="00122C1B" w:rsidRDefault="00122C1B" w:rsidP="006713F9">
      <w:pPr>
        <w:pStyle w:val="Heading3"/>
      </w:pPr>
      <w:bookmarkStart w:id="493" w:name="_Toc10703457"/>
      <w:r>
        <w:t>Summary of proposed regulations</w:t>
      </w:r>
      <w:r w:rsidRPr="00BC735D">
        <w:t xml:space="preserve"> </w:t>
      </w:r>
      <w:r>
        <w:t>relevant to probationary licences</w:t>
      </w:r>
      <w:bookmarkEnd w:id="493"/>
    </w:p>
    <w:p w14:paraId="2DC3B537" w14:textId="77777777" w:rsidR="00122C1B" w:rsidRDefault="00122C1B" w:rsidP="00323487">
      <w:pPr>
        <w:pStyle w:val="TextPara"/>
      </w:pPr>
      <w:r>
        <w:t xml:space="preserve">The proposed Regulations include a range of measures aimed at addressing risk factors for probationary drivers. The probationary licence restrictions are aimed at reducing distractions (e.g. use of mobile phone, carrying multiple peer passengers and towing) while the </w:t>
      </w:r>
      <w:r w:rsidR="00A90343">
        <w:t>inexperienced</w:t>
      </w:r>
      <w:r>
        <w:t xml:space="preserve"> driver is most at risk. They also target undesirable behaviours, such as speeding by barring probationary drivers from driving probationary prohibited vehicles, and making a good driving record a prerequisite for progressing to a P2 licence and eventually to a full licence.</w:t>
      </w:r>
    </w:p>
    <w:p w14:paraId="480BD7B2" w14:textId="02F77951" w:rsidR="00122C1B" w:rsidRDefault="00122C1B" w:rsidP="00120FBB">
      <w:pPr>
        <w:pStyle w:val="TextPara"/>
      </w:pPr>
      <w:r>
        <w:fldChar w:fldCharType="begin"/>
      </w:r>
      <w:r>
        <w:instrText xml:space="preserve"> REF _Ref534209849 \h </w:instrText>
      </w:r>
      <w:r>
        <w:fldChar w:fldCharType="separate"/>
      </w:r>
      <w:r w:rsidR="00EB4B02">
        <w:t xml:space="preserve">Table </w:t>
      </w:r>
      <w:r w:rsidR="00EB4B02">
        <w:rPr>
          <w:noProof/>
        </w:rPr>
        <w:t>28</w:t>
      </w:r>
      <w:r>
        <w:fldChar w:fldCharType="end"/>
      </w:r>
      <w:r>
        <w:t xml:space="preserve"> provides a summary of the proposed regulations that give effect to and supplement the GLS components relevant to probationary drivers with their corresponding rationale.</w:t>
      </w:r>
    </w:p>
    <w:p w14:paraId="095EA3E8" w14:textId="2E35BF8B" w:rsidR="00122C1B" w:rsidRDefault="00122C1B" w:rsidP="00120FBB">
      <w:pPr>
        <w:pStyle w:val="Caption"/>
      </w:pPr>
      <w:bookmarkStart w:id="494" w:name="_Ref534209849"/>
      <w:bookmarkStart w:id="495" w:name="_Toc10703721"/>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28</w:t>
      </w:r>
      <w:r w:rsidR="00BC6B2E">
        <w:rPr>
          <w:noProof/>
        </w:rPr>
        <w:fldChar w:fldCharType="end"/>
      </w:r>
      <w:bookmarkEnd w:id="494"/>
      <w:r>
        <w:t xml:space="preserve"> – </w:t>
      </w:r>
      <w:r w:rsidRPr="009B3E2F">
        <w:t>Summary of t</w:t>
      </w:r>
      <w:r>
        <w:t>he proposed regulations relevant to probationary licences</w:t>
      </w:r>
      <w:bookmarkEnd w:id="495"/>
    </w:p>
    <w:tbl>
      <w:tblPr>
        <w:tblStyle w:val="RIS-Table2"/>
        <w:tblW w:w="9634" w:type="dxa"/>
        <w:tblLook w:val="04A0" w:firstRow="1" w:lastRow="0" w:firstColumn="1" w:lastColumn="0" w:noHBand="0" w:noVBand="1"/>
      </w:tblPr>
      <w:tblGrid>
        <w:gridCol w:w="908"/>
        <w:gridCol w:w="3056"/>
        <w:gridCol w:w="4267"/>
        <w:gridCol w:w="1403"/>
      </w:tblGrid>
      <w:tr w:rsidR="00122C1B" w14:paraId="1C089270" w14:textId="77777777" w:rsidTr="00A779B6">
        <w:trPr>
          <w:cnfStyle w:val="100000000000" w:firstRow="1" w:lastRow="0" w:firstColumn="0" w:lastColumn="0" w:oddVBand="0" w:evenVBand="0" w:oddHBand="0" w:evenHBand="0" w:firstRowFirstColumn="0" w:firstRowLastColumn="0" w:lastRowFirstColumn="0" w:lastRowLastColumn="0"/>
        </w:trPr>
        <w:tc>
          <w:tcPr>
            <w:tcW w:w="908" w:type="dxa"/>
          </w:tcPr>
          <w:p w14:paraId="0EC29F66" w14:textId="77777777" w:rsidR="00122C1B" w:rsidRPr="000A191B" w:rsidRDefault="00122C1B" w:rsidP="0035776C">
            <w:pPr>
              <w:pStyle w:val="TableHeaders"/>
              <w:keepNext/>
            </w:pPr>
            <w:r w:rsidRPr="000A191B">
              <w:t>Reg No.</w:t>
            </w:r>
          </w:p>
        </w:tc>
        <w:tc>
          <w:tcPr>
            <w:tcW w:w="3056" w:type="dxa"/>
          </w:tcPr>
          <w:p w14:paraId="5B69D4A9" w14:textId="77777777" w:rsidR="00122C1B" w:rsidRPr="000A191B" w:rsidRDefault="00122C1B" w:rsidP="0035776C">
            <w:pPr>
              <w:pStyle w:val="TableHeaders"/>
              <w:keepNext/>
            </w:pPr>
            <w:r>
              <w:t>Proposed regulation</w:t>
            </w:r>
          </w:p>
        </w:tc>
        <w:tc>
          <w:tcPr>
            <w:tcW w:w="4267" w:type="dxa"/>
          </w:tcPr>
          <w:p w14:paraId="0610319D" w14:textId="77777777" w:rsidR="00122C1B" w:rsidRPr="000A191B" w:rsidRDefault="00122C1B" w:rsidP="0035776C">
            <w:pPr>
              <w:pStyle w:val="TableHeaders"/>
              <w:keepNext/>
            </w:pPr>
            <w:r>
              <w:t>Rationale for proposed regulation</w:t>
            </w:r>
          </w:p>
        </w:tc>
        <w:tc>
          <w:tcPr>
            <w:tcW w:w="1403" w:type="dxa"/>
          </w:tcPr>
          <w:p w14:paraId="364BFBD3" w14:textId="77777777" w:rsidR="00122C1B" w:rsidRDefault="00122C1B" w:rsidP="0035776C">
            <w:pPr>
              <w:pStyle w:val="TableHeaders"/>
              <w:keepNext/>
            </w:pPr>
            <w:r w:rsidRPr="00064BD2">
              <w:t>Change from current</w:t>
            </w:r>
          </w:p>
        </w:tc>
      </w:tr>
      <w:tr w:rsidR="00122C1B" w14:paraId="09C41C19" w14:textId="77777777" w:rsidTr="00A779B6">
        <w:tc>
          <w:tcPr>
            <w:tcW w:w="908" w:type="dxa"/>
            <w:shd w:val="clear" w:color="auto" w:fill="auto"/>
          </w:tcPr>
          <w:p w14:paraId="0FE6A2CA" w14:textId="77777777" w:rsidR="00122C1B" w:rsidRDefault="00122C1B" w:rsidP="0035776C">
            <w:pPr>
              <w:pStyle w:val="TableParagraph"/>
              <w:jc w:val="center"/>
            </w:pPr>
            <w:r>
              <w:t>15 &amp; 49</w:t>
            </w:r>
          </w:p>
        </w:tc>
        <w:tc>
          <w:tcPr>
            <w:tcW w:w="3056" w:type="dxa"/>
            <w:shd w:val="clear" w:color="auto" w:fill="auto"/>
          </w:tcPr>
          <w:p w14:paraId="1DFFD988" w14:textId="77777777" w:rsidR="00122C1B" w:rsidRPr="0044054A" w:rsidRDefault="00122C1B" w:rsidP="0035776C">
            <w:pPr>
              <w:pStyle w:val="TableParagraph"/>
            </w:pPr>
            <w:r w:rsidRPr="0044054A">
              <w:t>Persons under 21 years must have held a learner permit for at least 12 months before they can apply for P1.</w:t>
            </w:r>
          </w:p>
        </w:tc>
        <w:tc>
          <w:tcPr>
            <w:tcW w:w="4267" w:type="dxa"/>
            <w:shd w:val="clear" w:color="auto" w:fill="auto"/>
          </w:tcPr>
          <w:p w14:paraId="7B48E815" w14:textId="77777777" w:rsidR="00122C1B" w:rsidRPr="000A191B" w:rsidRDefault="00122C1B" w:rsidP="0035776C">
            <w:pPr>
              <w:pStyle w:val="TableParagraph"/>
            </w:pPr>
            <w:r>
              <w:t>Young inexperienced drivers who complete a short learner period have less practice and therefore have an increased crash risk.</w:t>
            </w:r>
            <w:r>
              <w:rPr>
                <w:rStyle w:val="EndnoteReference"/>
              </w:rPr>
              <w:endnoteReference w:id="360"/>
            </w:r>
          </w:p>
        </w:tc>
        <w:tc>
          <w:tcPr>
            <w:tcW w:w="1403" w:type="dxa"/>
            <w:shd w:val="clear" w:color="auto" w:fill="auto"/>
          </w:tcPr>
          <w:p w14:paraId="36FC57E1" w14:textId="77777777" w:rsidR="00122C1B" w:rsidRDefault="00122C1B" w:rsidP="0035776C">
            <w:pPr>
              <w:pStyle w:val="TableParagraph"/>
              <w:jc w:val="center"/>
            </w:pPr>
            <w:r>
              <w:t>No</w:t>
            </w:r>
          </w:p>
        </w:tc>
      </w:tr>
      <w:tr w:rsidR="00122C1B" w14:paraId="216C6A9B" w14:textId="77777777" w:rsidTr="00A779B6">
        <w:trPr>
          <w:cnfStyle w:val="000000010000" w:firstRow="0" w:lastRow="0" w:firstColumn="0" w:lastColumn="0" w:oddVBand="0" w:evenVBand="0" w:oddHBand="0" w:evenHBand="1" w:firstRowFirstColumn="0" w:firstRowLastColumn="0" w:lastRowFirstColumn="0" w:lastRowLastColumn="0"/>
        </w:trPr>
        <w:tc>
          <w:tcPr>
            <w:tcW w:w="908" w:type="dxa"/>
            <w:shd w:val="clear" w:color="auto" w:fill="auto"/>
          </w:tcPr>
          <w:p w14:paraId="437697E4" w14:textId="77777777" w:rsidR="00122C1B" w:rsidRDefault="00122C1B" w:rsidP="0035776C">
            <w:pPr>
              <w:pStyle w:val="TableParagraph"/>
              <w:jc w:val="center"/>
            </w:pPr>
            <w:r>
              <w:t>15 &amp; 50</w:t>
            </w:r>
          </w:p>
        </w:tc>
        <w:tc>
          <w:tcPr>
            <w:tcW w:w="3056" w:type="dxa"/>
            <w:shd w:val="clear" w:color="auto" w:fill="auto"/>
          </w:tcPr>
          <w:p w14:paraId="37ADD122" w14:textId="77777777" w:rsidR="00122C1B" w:rsidRPr="0044054A" w:rsidRDefault="00122C1B" w:rsidP="0035776C">
            <w:pPr>
              <w:pStyle w:val="TableParagraph"/>
            </w:pPr>
            <w:r w:rsidRPr="0044054A">
              <w:t xml:space="preserve">Persons aged 21-25 years must have held their learner permit for at least 6 months before applying for P2 licence </w:t>
            </w:r>
            <w:r>
              <w:t xml:space="preserve">and </w:t>
            </w:r>
            <w:r w:rsidRPr="0044054A">
              <w:t xml:space="preserve">persons 25 years </w:t>
            </w:r>
            <w:r>
              <w:t>and over f</w:t>
            </w:r>
            <w:r w:rsidRPr="0044054A">
              <w:t>or</w:t>
            </w:r>
            <w:r>
              <w:t xml:space="preserve"> at least 3 months.</w:t>
            </w:r>
          </w:p>
        </w:tc>
        <w:tc>
          <w:tcPr>
            <w:tcW w:w="4267" w:type="dxa"/>
            <w:shd w:val="clear" w:color="auto" w:fill="auto"/>
          </w:tcPr>
          <w:p w14:paraId="223CCDE2" w14:textId="77777777" w:rsidR="00122C1B" w:rsidRDefault="00122C1B" w:rsidP="0035776C">
            <w:pPr>
              <w:pStyle w:val="TableParagraph"/>
            </w:pPr>
            <w:r>
              <w:t xml:space="preserve">New learners, who </w:t>
            </w:r>
            <w:r w:rsidR="00A90343">
              <w:t>complete a short learner period</w:t>
            </w:r>
            <w:r>
              <w:t xml:space="preserve"> have less practice and pose an increased crash risk, but the risk is lower for drivers over 21 years of age due to maturation factors.</w:t>
            </w:r>
          </w:p>
        </w:tc>
        <w:tc>
          <w:tcPr>
            <w:tcW w:w="1403" w:type="dxa"/>
            <w:shd w:val="clear" w:color="auto" w:fill="auto"/>
          </w:tcPr>
          <w:p w14:paraId="11B32A5A" w14:textId="77777777" w:rsidR="00122C1B" w:rsidRDefault="00122C1B" w:rsidP="0035776C">
            <w:pPr>
              <w:pStyle w:val="TableParagraph"/>
              <w:jc w:val="center"/>
            </w:pPr>
            <w:r>
              <w:t>No</w:t>
            </w:r>
          </w:p>
        </w:tc>
      </w:tr>
      <w:tr w:rsidR="00122C1B" w14:paraId="28299231" w14:textId="77777777" w:rsidTr="00A779B6">
        <w:tc>
          <w:tcPr>
            <w:tcW w:w="908" w:type="dxa"/>
            <w:shd w:val="clear" w:color="auto" w:fill="auto"/>
          </w:tcPr>
          <w:p w14:paraId="574280B8" w14:textId="77777777" w:rsidR="00122C1B" w:rsidRDefault="00122C1B" w:rsidP="0035776C">
            <w:pPr>
              <w:pStyle w:val="TableParagraph"/>
              <w:jc w:val="center"/>
            </w:pPr>
            <w:r>
              <w:t>49</w:t>
            </w:r>
            <w:r w:rsidR="00A90343">
              <w:t>-</w:t>
            </w:r>
            <w:r>
              <w:t>5</w:t>
            </w:r>
            <w:r w:rsidR="00A90343">
              <w:t>1</w:t>
            </w:r>
          </w:p>
        </w:tc>
        <w:tc>
          <w:tcPr>
            <w:tcW w:w="3056" w:type="dxa"/>
            <w:shd w:val="clear" w:color="auto" w:fill="auto"/>
          </w:tcPr>
          <w:p w14:paraId="2D50E677" w14:textId="77777777" w:rsidR="00122C1B" w:rsidRPr="0044054A" w:rsidRDefault="00122C1B" w:rsidP="0035776C">
            <w:pPr>
              <w:pStyle w:val="TableParagraph"/>
            </w:pPr>
            <w:r w:rsidRPr="0044054A">
              <w:t>A two-stage probationary licence system with a P1 licence for the first 12 months and then a P2 licence for 3 years</w:t>
            </w:r>
            <w:r>
              <w:t>.</w:t>
            </w:r>
          </w:p>
        </w:tc>
        <w:tc>
          <w:tcPr>
            <w:tcW w:w="4267" w:type="dxa"/>
            <w:shd w:val="clear" w:color="auto" w:fill="auto"/>
          </w:tcPr>
          <w:p w14:paraId="13A631FC" w14:textId="77777777" w:rsidR="00122C1B" w:rsidRDefault="00122C1B" w:rsidP="0035776C">
            <w:pPr>
              <w:pStyle w:val="TableParagraph"/>
            </w:pPr>
            <w:r>
              <w:t xml:space="preserve">New young drivers have the most crashes. Restrictions are progressively lifted as experience is gained. Prescribing a more restricted P1 licence before moving to a three-year P2 licence </w:t>
            </w:r>
            <w:r>
              <w:lastRenderedPageBreak/>
              <w:t>reinforces the importance of the first step into solo driving. The P1 licence protects novice young drivers by limiting their exposure to high risk situations, such as driving with multiple peer passengers.</w:t>
            </w:r>
          </w:p>
        </w:tc>
        <w:tc>
          <w:tcPr>
            <w:tcW w:w="1403" w:type="dxa"/>
            <w:shd w:val="clear" w:color="auto" w:fill="auto"/>
          </w:tcPr>
          <w:p w14:paraId="69D84059" w14:textId="77777777" w:rsidR="00122C1B" w:rsidRDefault="00122C1B" w:rsidP="0035776C">
            <w:pPr>
              <w:pStyle w:val="TableParagraph"/>
              <w:jc w:val="center"/>
            </w:pPr>
            <w:r>
              <w:lastRenderedPageBreak/>
              <w:t>No</w:t>
            </w:r>
          </w:p>
        </w:tc>
      </w:tr>
      <w:tr w:rsidR="00122C1B" w14:paraId="495BC543" w14:textId="77777777" w:rsidTr="00A779B6">
        <w:trPr>
          <w:cnfStyle w:val="000000010000" w:firstRow="0" w:lastRow="0" w:firstColumn="0" w:lastColumn="0" w:oddVBand="0" w:evenVBand="0" w:oddHBand="0" w:evenHBand="1" w:firstRowFirstColumn="0" w:firstRowLastColumn="0" w:lastRowFirstColumn="0" w:lastRowLastColumn="0"/>
        </w:trPr>
        <w:tc>
          <w:tcPr>
            <w:tcW w:w="908" w:type="dxa"/>
            <w:shd w:val="clear" w:color="auto" w:fill="auto"/>
          </w:tcPr>
          <w:p w14:paraId="5DDA1EF1" w14:textId="77777777" w:rsidR="00122C1B" w:rsidRDefault="00122C1B" w:rsidP="0035776C">
            <w:pPr>
              <w:pStyle w:val="TableParagraph"/>
              <w:jc w:val="center"/>
            </w:pPr>
            <w:r>
              <w:t>53</w:t>
            </w:r>
          </w:p>
        </w:tc>
        <w:tc>
          <w:tcPr>
            <w:tcW w:w="3056" w:type="dxa"/>
            <w:shd w:val="clear" w:color="auto" w:fill="auto"/>
          </w:tcPr>
          <w:p w14:paraId="13E1E5C9" w14:textId="77777777" w:rsidR="00122C1B" w:rsidRPr="0044054A" w:rsidRDefault="00122C1B" w:rsidP="0035776C">
            <w:pPr>
              <w:pStyle w:val="TableParagraph"/>
            </w:pPr>
            <w:r w:rsidRPr="0044054A">
              <w:t xml:space="preserve">Probationary drivers must have a good driving record to progress </w:t>
            </w:r>
            <w:r>
              <w:t>to the next</w:t>
            </w:r>
            <w:r w:rsidRPr="0044054A">
              <w:t xml:space="preserve"> </w:t>
            </w:r>
            <w:r>
              <w:t>licence level</w:t>
            </w:r>
            <w:r w:rsidRPr="0044054A">
              <w:t>. A poor driving record</w:t>
            </w:r>
            <w:r>
              <w:t xml:space="preserve"> following a suspension resulting from a traffic offence</w:t>
            </w:r>
            <w:r w:rsidRPr="0044054A">
              <w:t xml:space="preserve"> extends the P1 or P2 licence period by</w:t>
            </w:r>
            <w:r>
              <w:t xml:space="preserve"> any driving ban plus </w:t>
            </w:r>
            <w:r w:rsidRPr="0044054A">
              <w:t>six months.</w:t>
            </w:r>
            <w:r>
              <w:t xml:space="preserve"> </w:t>
            </w:r>
            <w:r w:rsidRPr="0044054A">
              <w:t>A poor driving record</w:t>
            </w:r>
            <w:r>
              <w:t xml:space="preserve"> following a suspension other than for a traffic offence (e.g. medical fitness-to-drive review or accumulated fines) </w:t>
            </w:r>
            <w:r w:rsidRPr="0044054A">
              <w:t>extends the P1 or P2 licence period by</w:t>
            </w:r>
            <w:r>
              <w:t xml:space="preserve"> the period of suspension only</w:t>
            </w:r>
            <w:r w:rsidRPr="0044054A">
              <w:t>.</w:t>
            </w:r>
          </w:p>
        </w:tc>
        <w:tc>
          <w:tcPr>
            <w:tcW w:w="4267" w:type="dxa"/>
            <w:shd w:val="clear" w:color="auto" w:fill="auto"/>
          </w:tcPr>
          <w:p w14:paraId="5C390884" w14:textId="77777777" w:rsidR="00122C1B" w:rsidRPr="00E2763B" w:rsidRDefault="00122C1B" w:rsidP="0035776C">
            <w:pPr>
              <w:pStyle w:val="TableParagraph"/>
            </w:pPr>
            <w:r>
              <w:t xml:space="preserve">Requiring new drivers to demonstrate a good driving record to progress to a less restricted </w:t>
            </w:r>
            <w:r w:rsidRPr="00F5621F">
              <w:t>licence</w:t>
            </w:r>
            <w:r>
              <w:t xml:space="preserve"> stage</w:t>
            </w:r>
            <w:r>
              <w:rPr>
                <w:rStyle w:val="EndnoteReference"/>
              </w:rPr>
              <w:endnoteReference w:id="361"/>
            </w:r>
            <w:r>
              <w:t xml:space="preserve"> has been estimated to reduce crashes by around </w:t>
            </w:r>
            <w:r w:rsidR="00A90343">
              <w:t>5%</w:t>
            </w:r>
            <w:r>
              <w:t>.</w:t>
            </w:r>
            <w:r>
              <w:rPr>
                <w:rStyle w:val="EndnoteReference"/>
              </w:rPr>
              <w:endnoteReference w:id="362"/>
            </w:r>
            <w:r>
              <w:rPr>
                <w:rStyle w:val="CommentReference"/>
                <w:rFonts w:ascii="Arial" w:hAnsi="Arial"/>
                <w:lang w:eastAsia="en-US"/>
              </w:rPr>
              <w:t xml:space="preserve"> </w:t>
            </w:r>
            <w:r>
              <w:t>The requirement of a good driving record as a pre-condition for progressing to the next licence level also provides an incentive for safer driving behaviour.</w:t>
            </w:r>
          </w:p>
        </w:tc>
        <w:tc>
          <w:tcPr>
            <w:tcW w:w="1403" w:type="dxa"/>
            <w:shd w:val="clear" w:color="auto" w:fill="auto"/>
          </w:tcPr>
          <w:p w14:paraId="13088826" w14:textId="77777777" w:rsidR="00122C1B" w:rsidRDefault="00122C1B" w:rsidP="0035776C">
            <w:pPr>
              <w:pStyle w:val="TableParagraph"/>
              <w:jc w:val="center"/>
            </w:pPr>
            <w:r>
              <w:t>No</w:t>
            </w:r>
          </w:p>
        </w:tc>
      </w:tr>
      <w:tr w:rsidR="00122C1B" w14:paraId="7F43F589" w14:textId="77777777" w:rsidTr="00A779B6">
        <w:tc>
          <w:tcPr>
            <w:tcW w:w="908" w:type="dxa"/>
            <w:shd w:val="clear" w:color="auto" w:fill="auto"/>
          </w:tcPr>
          <w:p w14:paraId="60AB82AA" w14:textId="77777777" w:rsidR="00122C1B" w:rsidRDefault="00122C1B" w:rsidP="0035776C">
            <w:pPr>
              <w:pStyle w:val="TableParagraph"/>
              <w:jc w:val="center"/>
            </w:pPr>
            <w:r>
              <w:t>54</w:t>
            </w:r>
          </w:p>
        </w:tc>
        <w:tc>
          <w:tcPr>
            <w:tcW w:w="3056" w:type="dxa"/>
            <w:shd w:val="clear" w:color="auto" w:fill="auto"/>
          </w:tcPr>
          <w:p w14:paraId="2EC0A01B" w14:textId="77777777" w:rsidR="00D671A6" w:rsidRDefault="00122C1B" w:rsidP="00A73055">
            <w:pPr>
              <w:pStyle w:val="TableParagraph"/>
            </w:pPr>
            <w:r w:rsidRPr="0044054A">
              <w:t xml:space="preserve">Probationary drivers must display </w:t>
            </w:r>
            <w:r w:rsidR="00B54213">
              <w:t xml:space="preserve">appropriate </w:t>
            </w:r>
            <w:r w:rsidRPr="0044054A">
              <w:t>P plate</w:t>
            </w:r>
            <w:r w:rsidR="000217E3">
              <w:t>s</w:t>
            </w:r>
            <w:r w:rsidR="00B54213">
              <w:t xml:space="preserve"> </w:t>
            </w:r>
            <w:r w:rsidR="00B54213" w:rsidRPr="00B54213">
              <w:t>facing out from the front</w:t>
            </w:r>
            <w:r w:rsidR="000217E3">
              <w:t xml:space="preserve"> and rear</w:t>
            </w:r>
            <w:r w:rsidR="00B54213" w:rsidRPr="00B54213">
              <w:t xml:space="preserve"> of the vehicle so that the letter "P" is clearly visible and the colour of the plate is distinguishable from a distance of 20 metres</w:t>
            </w:r>
            <w:r w:rsidR="001F6994">
              <w:rPr>
                <w:rStyle w:val="EndnoteReference"/>
              </w:rPr>
              <w:endnoteReference w:id="363"/>
            </w:r>
            <w:r w:rsidR="00B54213" w:rsidRPr="00B54213">
              <w:t xml:space="preserve"> ahead of</w:t>
            </w:r>
            <w:r w:rsidR="00A73055">
              <w:t>, and behind</w:t>
            </w:r>
            <w:r w:rsidR="00B54213" w:rsidRPr="00B54213">
              <w:t xml:space="preserve"> the vehicle</w:t>
            </w:r>
            <w:r w:rsidR="00B54213">
              <w:t>.</w:t>
            </w:r>
            <w:r w:rsidR="000217E3">
              <w:t xml:space="preserve"> </w:t>
            </w:r>
          </w:p>
          <w:p w14:paraId="2ECAF850" w14:textId="77777777" w:rsidR="00122C1B" w:rsidRPr="0044054A" w:rsidRDefault="00D671A6" w:rsidP="00A73055">
            <w:pPr>
              <w:pStyle w:val="TableParagraph"/>
            </w:pPr>
            <w:r>
              <w:t>(</w:t>
            </w:r>
            <w:r w:rsidR="009317EB">
              <w:t xml:space="preserve">Note: </w:t>
            </w:r>
            <w:r w:rsidR="000217E3">
              <w:t>Motorcyclists must displa</w:t>
            </w:r>
            <w:r w:rsidR="00A73055">
              <w:t>y</w:t>
            </w:r>
            <w:r w:rsidR="000217E3">
              <w:t xml:space="preserve"> </w:t>
            </w:r>
            <w:r w:rsidR="00335B60">
              <w:t>a</w:t>
            </w:r>
            <w:r w:rsidR="000217E3">
              <w:t xml:space="preserve"> P plate only </w:t>
            </w:r>
            <w:r w:rsidR="00A73055">
              <w:t>on</w:t>
            </w:r>
            <w:r w:rsidR="000217E3">
              <w:t xml:space="preserve"> the rear</w:t>
            </w:r>
            <w:r w:rsidR="00A73055">
              <w:t xml:space="preserve"> of the motorcycle.</w:t>
            </w:r>
            <w:r>
              <w:t>)</w:t>
            </w:r>
          </w:p>
        </w:tc>
        <w:tc>
          <w:tcPr>
            <w:tcW w:w="4267" w:type="dxa"/>
            <w:shd w:val="clear" w:color="auto" w:fill="auto"/>
          </w:tcPr>
          <w:p w14:paraId="3BA4D9FF" w14:textId="77777777" w:rsidR="00BC3C02" w:rsidRDefault="00122C1B" w:rsidP="0035776C">
            <w:pPr>
              <w:pStyle w:val="TableParagraph"/>
            </w:pPr>
            <w:r>
              <w:t>The display of P plates enables other road users to identify young inexperienced drivers, be more tolerant and take preventative action to avoid any potential traffic incidents. The display of plates enables the police to identify the status of drivers and to enforce the Regulations.</w:t>
            </w:r>
            <w:r w:rsidR="00A73055">
              <w:t xml:space="preserve"> </w:t>
            </w:r>
          </w:p>
          <w:p w14:paraId="3E4BE9AC" w14:textId="77777777" w:rsidR="00122C1B" w:rsidRDefault="00BC3C02" w:rsidP="0035776C">
            <w:pPr>
              <w:pStyle w:val="TableParagraph"/>
            </w:pPr>
            <w:r>
              <w:t xml:space="preserve">(Note: </w:t>
            </w:r>
            <w:r w:rsidR="00A73055">
              <w:t xml:space="preserve">P plates must have a white letter </w:t>
            </w:r>
            <w:r w:rsidR="00D76004">
              <w:t>“</w:t>
            </w:r>
            <w:r w:rsidR="00A73055">
              <w:t>P</w:t>
            </w:r>
            <w:r w:rsidR="00D76004">
              <w:t>”</w:t>
            </w:r>
            <w:r w:rsidR="00A73055" w:rsidRPr="0044054A">
              <w:t xml:space="preserve"> </w:t>
            </w:r>
            <w:r w:rsidR="00A73055">
              <w:t xml:space="preserve">on a clear </w:t>
            </w:r>
            <w:r w:rsidR="00A73055" w:rsidRPr="0044054A">
              <w:t xml:space="preserve">red </w:t>
            </w:r>
            <w:r w:rsidR="00A73055">
              <w:t xml:space="preserve">background for </w:t>
            </w:r>
            <w:r w:rsidR="00A73055" w:rsidRPr="0044054A">
              <w:t>P</w:t>
            </w:r>
            <w:r w:rsidR="00A73055">
              <w:t>1 drivers</w:t>
            </w:r>
            <w:r w:rsidR="00A73055" w:rsidRPr="0044054A">
              <w:t xml:space="preserve"> </w:t>
            </w:r>
            <w:r w:rsidR="00A73055">
              <w:t>and</w:t>
            </w:r>
            <w:r w:rsidR="00A73055" w:rsidRPr="0044054A">
              <w:t xml:space="preserve"> </w:t>
            </w:r>
            <w:r w:rsidR="00A73055">
              <w:t xml:space="preserve">on a clear </w:t>
            </w:r>
            <w:r w:rsidR="00A73055" w:rsidRPr="0044054A">
              <w:t>green</w:t>
            </w:r>
            <w:r w:rsidR="00A73055">
              <w:t xml:space="preserve"> background for P2 drivers</w:t>
            </w:r>
            <w:r w:rsidR="00A73055" w:rsidRPr="0044054A">
              <w:t>.</w:t>
            </w:r>
            <w:r>
              <w:t>)</w:t>
            </w:r>
          </w:p>
        </w:tc>
        <w:tc>
          <w:tcPr>
            <w:tcW w:w="1403" w:type="dxa"/>
            <w:shd w:val="clear" w:color="auto" w:fill="auto"/>
          </w:tcPr>
          <w:p w14:paraId="015043C1" w14:textId="77777777" w:rsidR="00122C1B" w:rsidRDefault="00122C1B" w:rsidP="0035776C">
            <w:pPr>
              <w:pStyle w:val="TableParagraph"/>
              <w:jc w:val="center"/>
            </w:pPr>
            <w:r>
              <w:t>No</w:t>
            </w:r>
          </w:p>
        </w:tc>
      </w:tr>
      <w:tr w:rsidR="00122C1B" w14:paraId="512A4AA7" w14:textId="77777777" w:rsidTr="00A779B6">
        <w:trPr>
          <w:cnfStyle w:val="000000010000" w:firstRow="0" w:lastRow="0" w:firstColumn="0" w:lastColumn="0" w:oddVBand="0" w:evenVBand="0" w:oddHBand="0" w:evenHBand="1" w:firstRowFirstColumn="0" w:firstRowLastColumn="0" w:lastRowFirstColumn="0" w:lastRowLastColumn="0"/>
        </w:trPr>
        <w:tc>
          <w:tcPr>
            <w:tcW w:w="908" w:type="dxa"/>
            <w:shd w:val="clear" w:color="auto" w:fill="auto"/>
          </w:tcPr>
          <w:p w14:paraId="6D2F9256" w14:textId="77777777" w:rsidR="00122C1B" w:rsidRDefault="00122C1B" w:rsidP="0035776C">
            <w:pPr>
              <w:pStyle w:val="TableParagraph"/>
              <w:jc w:val="center"/>
            </w:pPr>
            <w:r>
              <w:t>55 &amp; 56</w:t>
            </w:r>
          </w:p>
        </w:tc>
        <w:tc>
          <w:tcPr>
            <w:tcW w:w="3056" w:type="dxa"/>
            <w:shd w:val="clear" w:color="auto" w:fill="auto"/>
          </w:tcPr>
          <w:p w14:paraId="550DE580" w14:textId="77777777" w:rsidR="00122C1B" w:rsidRPr="0044054A" w:rsidRDefault="00122C1B" w:rsidP="0035776C">
            <w:pPr>
              <w:pStyle w:val="TableParagraph"/>
            </w:pPr>
            <w:r w:rsidRPr="0044054A">
              <w:t xml:space="preserve">Probationary prohibited vehicle (PPV) restriction prevents probationary drivers from driving </w:t>
            </w:r>
            <w:r>
              <w:t xml:space="preserve">high powered </w:t>
            </w:r>
            <w:r w:rsidRPr="0044054A">
              <w:t xml:space="preserve">motor vehicles. Exemptions </w:t>
            </w:r>
            <w:r>
              <w:t>are</w:t>
            </w:r>
            <w:r w:rsidRPr="0044054A">
              <w:t xml:space="preserve"> available</w:t>
            </w:r>
            <w:r>
              <w:t xml:space="preserve"> in work- and family-related cases</w:t>
            </w:r>
            <w:r w:rsidRPr="0044054A">
              <w:t>.</w:t>
            </w:r>
          </w:p>
        </w:tc>
        <w:tc>
          <w:tcPr>
            <w:tcW w:w="4267" w:type="dxa"/>
            <w:shd w:val="clear" w:color="auto" w:fill="auto"/>
          </w:tcPr>
          <w:p w14:paraId="112A4DDF" w14:textId="77777777" w:rsidR="00122C1B" w:rsidRDefault="00122C1B" w:rsidP="0035776C">
            <w:pPr>
              <w:pStyle w:val="TableParagraph"/>
            </w:pPr>
            <w:r>
              <w:t xml:space="preserve">New solo drivers generally have a high risk of crash involvement. Speed and risk-taking behaviours are strong contributors to the high risk. Restricting access to high powered vehicles will help limit the potential negative consequences of these risky driving behaviours. </w:t>
            </w:r>
          </w:p>
          <w:p w14:paraId="1EFA2CD8" w14:textId="77777777" w:rsidR="00122C1B" w:rsidRDefault="00122C1B" w:rsidP="0035776C">
            <w:pPr>
              <w:pStyle w:val="TableParagraph"/>
            </w:pPr>
            <w:r>
              <w:t xml:space="preserve">According to one study, </w:t>
            </w:r>
            <w:r w:rsidRPr="0099373E">
              <w:t xml:space="preserve">young drivers of </w:t>
            </w:r>
            <w:r>
              <w:t>PPVs undertook more risks, such as deliberate speeding and reckless driving, which contributed to a rise in the crash involvement of PPVs at night, when recreational driving associated with higher risk-taking was greatest.</w:t>
            </w:r>
            <w:r>
              <w:rPr>
                <w:rStyle w:val="EndnoteReference"/>
              </w:rPr>
              <w:endnoteReference w:id="364"/>
            </w:r>
            <w:r>
              <w:t xml:space="preserve"> </w:t>
            </w:r>
          </w:p>
          <w:p w14:paraId="7E972338" w14:textId="77777777" w:rsidR="00122C1B" w:rsidRDefault="00122C1B" w:rsidP="0035776C">
            <w:pPr>
              <w:pStyle w:val="TableParagraph"/>
            </w:pPr>
            <w:r>
              <w:t>In another study</w:t>
            </w:r>
            <w:r w:rsidR="00AB431A">
              <w:t>,</w:t>
            </w:r>
            <w:r>
              <w:t xml:space="preserve"> </w:t>
            </w:r>
            <w:r w:rsidRPr="0099373E">
              <w:t xml:space="preserve">drivers who had a high level of motivation </w:t>
            </w:r>
            <w:r>
              <w:t>to choose fast cars (important features being high acceleration, powerful engine, good looking, sporty) were found to have the highe</w:t>
            </w:r>
            <w:r w:rsidR="00EF0DE2">
              <w:t>st number of traffic violations</w:t>
            </w:r>
            <w:r>
              <w:t xml:space="preserve"> when controlling for distance travelled.</w:t>
            </w:r>
            <w:r>
              <w:rPr>
                <w:rStyle w:val="EndnoteReference"/>
              </w:rPr>
              <w:endnoteReference w:id="365"/>
            </w:r>
            <w:r>
              <w:t xml:space="preserve"> </w:t>
            </w:r>
          </w:p>
          <w:p w14:paraId="072F29DC" w14:textId="77777777" w:rsidR="00122C1B" w:rsidRPr="00E2763B" w:rsidRDefault="00122C1B" w:rsidP="0035776C">
            <w:pPr>
              <w:pStyle w:val="TableParagraph"/>
            </w:pPr>
            <w:r>
              <w:t>There are also social factors to be considered in relation to imposing a PPV restriction, as speed remains a major contributor to injury crashes in Victoria.</w:t>
            </w:r>
          </w:p>
        </w:tc>
        <w:tc>
          <w:tcPr>
            <w:tcW w:w="1403" w:type="dxa"/>
            <w:shd w:val="clear" w:color="auto" w:fill="auto"/>
          </w:tcPr>
          <w:p w14:paraId="3765A2FB" w14:textId="77777777" w:rsidR="00122C1B" w:rsidRDefault="00122C1B" w:rsidP="0035776C">
            <w:pPr>
              <w:pStyle w:val="TableParagraph"/>
              <w:jc w:val="center"/>
            </w:pPr>
            <w:r>
              <w:t>No</w:t>
            </w:r>
          </w:p>
        </w:tc>
      </w:tr>
      <w:tr w:rsidR="00122C1B" w14:paraId="7D09C484" w14:textId="77777777" w:rsidTr="00A779B6">
        <w:tc>
          <w:tcPr>
            <w:tcW w:w="908" w:type="dxa"/>
            <w:shd w:val="clear" w:color="auto" w:fill="auto"/>
          </w:tcPr>
          <w:p w14:paraId="5E7ECFD8" w14:textId="77777777" w:rsidR="00122C1B" w:rsidRDefault="00122C1B" w:rsidP="0035776C">
            <w:pPr>
              <w:pStyle w:val="TableParagraph"/>
              <w:jc w:val="center"/>
            </w:pPr>
            <w:r>
              <w:lastRenderedPageBreak/>
              <w:t>58</w:t>
            </w:r>
          </w:p>
        </w:tc>
        <w:tc>
          <w:tcPr>
            <w:tcW w:w="3056" w:type="dxa"/>
            <w:shd w:val="clear" w:color="auto" w:fill="auto"/>
          </w:tcPr>
          <w:p w14:paraId="41F86FE1" w14:textId="77777777" w:rsidR="00122C1B" w:rsidRPr="0044054A" w:rsidRDefault="00122C1B" w:rsidP="0035776C">
            <w:pPr>
              <w:pStyle w:val="TableParagraph"/>
            </w:pPr>
            <w:r w:rsidRPr="0044054A">
              <w:t>P1 drivers</w:t>
            </w:r>
            <w:r w:rsidR="008C3AB0">
              <w:t xml:space="preserve"> are not permitted to</w:t>
            </w:r>
            <w:r>
              <w:t>,</w:t>
            </w:r>
            <w:r w:rsidRPr="0044054A">
              <w:t xml:space="preserve"> tow</w:t>
            </w:r>
            <w:r w:rsidR="008C3AB0">
              <w:t xml:space="preserve"> another vehicle or trailer e</w:t>
            </w:r>
            <w:r w:rsidRPr="0044054A">
              <w:t xml:space="preserve">xcept </w:t>
            </w:r>
            <w:r w:rsidR="008C3AB0" w:rsidRPr="008C3AB0">
              <w:t>in the course of the person's employment and at the request of the person's employer; or</w:t>
            </w:r>
            <w:r w:rsidR="008C3AB0">
              <w:t xml:space="preserve"> </w:t>
            </w:r>
            <w:r w:rsidR="008C3AB0" w:rsidRPr="008C3AB0">
              <w:t>solely in connection with agriculture, horticulture, dairying, pastoral or other similar pursuits or commercial fishing; or</w:t>
            </w:r>
            <w:r w:rsidR="008C3AB0">
              <w:t xml:space="preserve"> when a full licenced holder is sitting beside and supervising the driver.</w:t>
            </w:r>
          </w:p>
        </w:tc>
        <w:tc>
          <w:tcPr>
            <w:tcW w:w="4267" w:type="dxa"/>
            <w:shd w:val="clear" w:color="auto" w:fill="auto"/>
          </w:tcPr>
          <w:p w14:paraId="72E8DF7B" w14:textId="77777777" w:rsidR="00122C1B" w:rsidRDefault="00122C1B" w:rsidP="0035776C">
            <w:pPr>
              <w:pStyle w:val="TableParagraph"/>
            </w:pPr>
            <w:r>
              <w:t>A fully licensed driver is entitled to tow a single trailer with a GVM of up to 9 tonnes. Towing adds complexity to the driving task, and new drivers are more likely to be affected by this as their cognitive driving skills hav</w:t>
            </w:r>
            <w:r w:rsidR="00F918F0">
              <w:t xml:space="preserve">e not reached full development. </w:t>
            </w:r>
            <w:r>
              <w:t>New drivers need to consolidate their driving skills without distractions.</w:t>
            </w:r>
          </w:p>
          <w:p w14:paraId="6AD25C3B" w14:textId="77777777" w:rsidR="00DA2D6F" w:rsidRPr="00E2763B" w:rsidRDefault="00DA2D6F" w:rsidP="0035776C">
            <w:pPr>
              <w:pStyle w:val="TableParagraph"/>
            </w:pPr>
            <w:r>
              <w:t>The exceptions relating to agriculture, horticulture, dairying, pastoral or other similar pursuits or commercial fishing are made on the basis that they are related to primary production and employment in that field.</w:t>
            </w:r>
          </w:p>
        </w:tc>
        <w:tc>
          <w:tcPr>
            <w:tcW w:w="1403" w:type="dxa"/>
            <w:shd w:val="clear" w:color="auto" w:fill="auto"/>
          </w:tcPr>
          <w:p w14:paraId="232928AA" w14:textId="77777777" w:rsidR="00122C1B" w:rsidRDefault="00122C1B" w:rsidP="0035776C">
            <w:pPr>
              <w:pStyle w:val="TableParagraph"/>
              <w:jc w:val="center"/>
            </w:pPr>
            <w:r>
              <w:t>No</w:t>
            </w:r>
          </w:p>
        </w:tc>
      </w:tr>
      <w:tr w:rsidR="00122C1B" w14:paraId="519808A2" w14:textId="77777777" w:rsidTr="00A779B6">
        <w:trPr>
          <w:cnfStyle w:val="000000010000" w:firstRow="0" w:lastRow="0" w:firstColumn="0" w:lastColumn="0" w:oddVBand="0" w:evenVBand="0" w:oddHBand="0" w:evenHBand="1" w:firstRowFirstColumn="0" w:firstRowLastColumn="0" w:lastRowFirstColumn="0" w:lastRowLastColumn="0"/>
        </w:trPr>
        <w:tc>
          <w:tcPr>
            <w:tcW w:w="908" w:type="dxa"/>
            <w:shd w:val="clear" w:color="auto" w:fill="auto"/>
          </w:tcPr>
          <w:p w14:paraId="7AC4F615" w14:textId="77777777" w:rsidR="00122C1B" w:rsidRDefault="00122C1B" w:rsidP="0035776C">
            <w:pPr>
              <w:pStyle w:val="TableParagraph"/>
              <w:jc w:val="center"/>
            </w:pPr>
            <w:r>
              <w:t>59</w:t>
            </w:r>
          </w:p>
        </w:tc>
        <w:tc>
          <w:tcPr>
            <w:tcW w:w="3056" w:type="dxa"/>
            <w:shd w:val="clear" w:color="auto" w:fill="auto"/>
          </w:tcPr>
          <w:p w14:paraId="712186D3" w14:textId="77777777" w:rsidR="00122C1B" w:rsidRPr="0044054A" w:rsidRDefault="00122C1B" w:rsidP="0035776C">
            <w:pPr>
              <w:pStyle w:val="TableParagraph"/>
            </w:pPr>
            <w:r w:rsidRPr="0044054A">
              <w:t>Peer passenger restriction for P1 drivers except for family members. Some other exemptions apply</w:t>
            </w:r>
            <w:r>
              <w:t>.</w:t>
            </w:r>
          </w:p>
        </w:tc>
        <w:tc>
          <w:tcPr>
            <w:tcW w:w="4267" w:type="dxa"/>
            <w:shd w:val="clear" w:color="auto" w:fill="auto"/>
          </w:tcPr>
          <w:p w14:paraId="2E3E4EF4" w14:textId="77777777" w:rsidR="00122C1B" w:rsidRDefault="00122C1B" w:rsidP="0035776C">
            <w:pPr>
              <w:pStyle w:val="TableParagraph"/>
            </w:pPr>
            <w:r>
              <w:t xml:space="preserve">Young drivers with one or more peer passengers have an increased crash risk as they are more susceptible to distraction than more experienced drivers. </w:t>
            </w:r>
            <w:r w:rsidRPr="00117C96">
              <w:t>26</w:t>
            </w:r>
            <w:r>
              <w:t>%</w:t>
            </w:r>
            <w:r w:rsidRPr="00117C96">
              <w:t xml:space="preserve"> of first year probationary dri</w:t>
            </w:r>
            <w:r>
              <w:t xml:space="preserve">vers involved in fatal crashes </w:t>
            </w:r>
            <w:r w:rsidRPr="00117C96">
              <w:t>carry two or more passengers, yet only 9</w:t>
            </w:r>
            <w:r>
              <w:t>%</w:t>
            </w:r>
            <w:r w:rsidRPr="00117C96">
              <w:t xml:space="preserve"> of their total driving </w:t>
            </w:r>
            <w:r>
              <w:t>have</w:t>
            </w:r>
            <w:r w:rsidRPr="00117C96">
              <w:t xml:space="preserve"> multiple passengers.</w:t>
            </w:r>
            <w:r>
              <w:rPr>
                <w:rStyle w:val="EndnoteReference"/>
              </w:rPr>
              <w:t xml:space="preserve"> </w:t>
            </w:r>
            <w:r>
              <w:rPr>
                <w:rStyle w:val="EndnoteReference"/>
              </w:rPr>
              <w:endnoteReference w:id="366"/>
            </w:r>
          </w:p>
        </w:tc>
        <w:tc>
          <w:tcPr>
            <w:tcW w:w="1403" w:type="dxa"/>
            <w:shd w:val="clear" w:color="auto" w:fill="auto"/>
          </w:tcPr>
          <w:p w14:paraId="2767BBB0" w14:textId="77777777" w:rsidR="00122C1B" w:rsidRDefault="00122C1B" w:rsidP="0035776C">
            <w:pPr>
              <w:pStyle w:val="TableParagraph"/>
              <w:jc w:val="center"/>
            </w:pPr>
            <w:r>
              <w:t>No</w:t>
            </w:r>
          </w:p>
        </w:tc>
      </w:tr>
    </w:tbl>
    <w:p w14:paraId="50900372" w14:textId="77777777" w:rsidR="00122C1B" w:rsidRPr="00081109" w:rsidRDefault="00122C1B" w:rsidP="00120FBB">
      <w:pPr>
        <w:pStyle w:val="Source"/>
      </w:pPr>
      <w:r>
        <w:t>Source: VicRoads 201</w:t>
      </w:r>
      <w:r w:rsidR="00273D7D">
        <w:t>9</w:t>
      </w:r>
    </w:p>
    <w:p w14:paraId="3FE10907" w14:textId="77777777" w:rsidR="00122C1B" w:rsidRPr="00670A57" w:rsidRDefault="00122C1B" w:rsidP="006713F9">
      <w:pPr>
        <w:pStyle w:val="Heading3"/>
      </w:pPr>
      <w:bookmarkStart w:id="496" w:name="_Toc10703458"/>
      <w:r>
        <w:t>Legislative and regulatory sources of</w:t>
      </w:r>
      <w:r w:rsidRPr="00670A57">
        <w:t xml:space="preserve"> </w:t>
      </w:r>
      <w:r>
        <w:t>probationary licence</w:t>
      </w:r>
      <w:r w:rsidRPr="00670A57">
        <w:t xml:space="preserve"> restrictions</w:t>
      </w:r>
      <w:bookmarkEnd w:id="496"/>
    </w:p>
    <w:p w14:paraId="37241880" w14:textId="47C9195E" w:rsidR="00122C1B" w:rsidRDefault="00122C1B" w:rsidP="00101A25">
      <w:pPr>
        <w:pStyle w:val="TextPara"/>
      </w:pPr>
      <w:r>
        <w:fldChar w:fldCharType="begin"/>
      </w:r>
      <w:r>
        <w:instrText xml:space="preserve"> REF _Ref508359583 \h </w:instrText>
      </w:r>
      <w:r>
        <w:fldChar w:fldCharType="separate"/>
      </w:r>
      <w:r w:rsidR="00EB4B02">
        <w:t xml:space="preserve">Table </w:t>
      </w:r>
      <w:r w:rsidR="00EB4B02">
        <w:rPr>
          <w:noProof/>
        </w:rPr>
        <w:t>29</w:t>
      </w:r>
      <w:r>
        <w:fldChar w:fldCharType="end"/>
      </w:r>
      <w:r>
        <w:t xml:space="preserve"> lists the legislative and regulatory sources of the restrictions that apply to probationary licences.</w:t>
      </w:r>
    </w:p>
    <w:p w14:paraId="7ECCC0DC" w14:textId="167EAB02" w:rsidR="00122C1B" w:rsidRDefault="00122C1B" w:rsidP="00AA0BBA">
      <w:pPr>
        <w:pStyle w:val="Caption"/>
      </w:pPr>
      <w:bookmarkStart w:id="497" w:name="_Ref508359583"/>
      <w:bookmarkStart w:id="498" w:name="_Toc10703722"/>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29</w:t>
      </w:r>
      <w:r w:rsidR="00BC6B2E">
        <w:rPr>
          <w:noProof/>
        </w:rPr>
        <w:fldChar w:fldCharType="end"/>
      </w:r>
      <w:bookmarkEnd w:id="497"/>
      <w:r>
        <w:t xml:space="preserve"> – </w:t>
      </w:r>
      <w:r w:rsidRPr="000B4CC7">
        <w:t>Legislative and regulatory sources</w:t>
      </w:r>
      <w:r>
        <w:t>:</w:t>
      </w:r>
      <w:r w:rsidRPr="00526BDD">
        <w:t xml:space="preserve"> </w:t>
      </w:r>
      <w:r>
        <w:t>Probationary</w:t>
      </w:r>
      <w:r w:rsidRPr="00526BDD">
        <w:t xml:space="preserve"> </w:t>
      </w:r>
      <w:r>
        <w:t>Licences</w:t>
      </w:r>
      <w:bookmarkEnd w:id="498"/>
    </w:p>
    <w:tbl>
      <w:tblPr>
        <w:tblStyle w:val="RIS-Table2"/>
        <w:tblW w:w="9634" w:type="dxa"/>
        <w:tblLook w:val="04A0" w:firstRow="1" w:lastRow="0" w:firstColumn="1" w:lastColumn="0" w:noHBand="0" w:noVBand="1"/>
      </w:tblPr>
      <w:tblGrid>
        <w:gridCol w:w="3969"/>
        <w:gridCol w:w="690"/>
        <w:gridCol w:w="1270"/>
        <w:gridCol w:w="1227"/>
        <w:gridCol w:w="1123"/>
        <w:gridCol w:w="1355"/>
      </w:tblGrid>
      <w:tr w:rsidR="00122C1B" w14:paraId="4EB14BE1" w14:textId="77777777" w:rsidTr="00A779B6">
        <w:trPr>
          <w:cnfStyle w:val="100000000000" w:firstRow="1" w:lastRow="0" w:firstColumn="0" w:lastColumn="0" w:oddVBand="0" w:evenVBand="0" w:oddHBand="0" w:evenHBand="0" w:firstRowFirstColumn="0" w:firstRowLastColumn="0" w:lastRowFirstColumn="0" w:lastRowLastColumn="0"/>
        </w:trPr>
        <w:tc>
          <w:tcPr>
            <w:tcW w:w="3969" w:type="dxa"/>
          </w:tcPr>
          <w:p w14:paraId="100FBA60" w14:textId="77777777" w:rsidR="00122C1B" w:rsidRPr="004827FC" w:rsidRDefault="00122C1B" w:rsidP="00D818E1">
            <w:pPr>
              <w:pStyle w:val="TableHeaders"/>
            </w:pPr>
            <w:r>
              <w:t>Licensing Requirement</w:t>
            </w:r>
          </w:p>
        </w:tc>
        <w:tc>
          <w:tcPr>
            <w:tcW w:w="690" w:type="dxa"/>
          </w:tcPr>
          <w:p w14:paraId="466DB17E" w14:textId="77777777" w:rsidR="00122C1B" w:rsidRPr="004827FC" w:rsidRDefault="00122C1B" w:rsidP="00D818E1">
            <w:pPr>
              <w:pStyle w:val="TableHeaders"/>
            </w:pPr>
            <w:r w:rsidRPr="004827FC">
              <w:t>Act</w:t>
            </w:r>
          </w:p>
        </w:tc>
        <w:tc>
          <w:tcPr>
            <w:tcW w:w="1270" w:type="dxa"/>
          </w:tcPr>
          <w:p w14:paraId="793F0696" w14:textId="77777777" w:rsidR="00122C1B" w:rsidRPr="004827FC" w:rsidRDefault="00122C1B" w:rsidP="00D818E1">
            <w:pPr>
              <w:pStyle w:val="TableHeaders"/>
            </w:pPr>
            <w:r w:rsidRPr="004827FC">
              <w:t>Road Safety (Drivers) Regulations</w:t>
            </w:r>
          </w:p>
        </w:tc>
        <w:tc>
          <w:tcPr>
            <w:tcW w:w="1227" w:type="dxa"/>
          </w:tcPr>
          <w:p w14:paraId="01ECA434" w14:textId="77777777" w:rsidR="00122C1B" w:rsidRPr="004827FC" w:rsidRDefault="00122C1B" w:rsidP="00D818E1">
            <w:pPr>
              <w:pStyle w:val="TableHeaders"/>
            </w:pPr>
            <w:r w:rsidRPr="004827FC">
              <w:t>Road Safety Road Rules</w:t>
            </w:r>
          </w:p>
        </w:tc>
        <w:tc>
          <w:tcPr>
            <w:tcW w:w="1123" w:type="dxa"/>
          </w:tcPr>
          <w:p w14:paraId="6E640E2B" w14:textId="77777777" w:rsidR="00122C1B" w:rsidRPr="004827FC" w:rsidRDefault="00122C1B" w:rsidP="00D818E1">
            <w:pPr>
              <w:pStyle w:val="TableHeaders"/>
            </w:pPr>
            <w:r>
              <w:t>NGLS Exemplar Model</w:t>
            </w:r>
          </w:p>
        </w:tc>
        <w:tc>
          <w:tcPr>
            <w:tcW w:w="1355" w:type="dxa"/>
          </w:tcPr>
          <w:p w14:paraId="0F807911" w14:textId="77777777" w:rsidR="00122C1B" w:rsidRPr="004827FC" w:rsidRDefault="00122C1B" w:rsidP="00D818E1">
            <w:pPr>
              <w:pStyle w:val="TableHeaders"/>
            </w:pPr>
            <w:r>
              <w:t>NDLS</w:t>
            </w:r>
            <w:r w:rsidRPr="004827FC">
              <w:t xml:space="preserve"> Regulations</w:t>
            </w:r>
          </w:p>
        </w:tc>
      </w:tr>
      <w:tr w:rsidR="00122C1B" w:rsidRPr="00875385" w14:paraId="194F6E7A" w14:textId="77777777" w:rsidTr="00A779B6">
        <w:tc>
          <w:tcPr>
            <w:tcW w:w="3969" w:type="dxa"/>
            <w:shd w:val="clear" w:color="auto" w:fill="DDE8F4" w:themeFill="text2" w:themeFillTint="1A"/>
          </w:tcPr>
          <w:p w14:paraId="02B8D441" w14:textId="77777777" w:rsidR="00122C1B" w:rsidRPr="00875385" w:rsidRDefault="00122C1B" w:rsidP="00D818E1">
            <w:pPr>
              <w:pStyle w:val="TableParagraph"/>
              <w:rPr>
                <w:b/>
              </w:rPr>
            </w:pPr>
            <w:r w:rsidRPr="00875385">
              <w:rPr>
                <w:b/>
              </w:rPr>
              <w:t>Probationary P1</w:t>
            </w:r>
            <w:r>
              <w:rPr>
                <w:b/>
              </w:rPr>
              <w:t xml:space="preserve"> (Red)</w:t>
            </w:r>
          </w:p>
        </w:tc>
        <w:tc>
          <w:tcPr>
            <w:tcW w:w="690" w:type="dxa"/>
            <w:shd w:val="clear" w:color="auto" w:fill="DDE8F4" w:themeFill="text2" w:themeFillTint="1A"/>
          </w:tcPr>
          <w:p w14:paraId="07B3691B" w14:textId="77777777" w:rsidR="00122C1B" w:rsidRPr="00875385" w:rsidRDefault="00122C1B" w:rsidP="00D818E1">
            <w:pPr>
              <w:pStyle w:val="TableParagraph"/>
              <w:rPr>
                <w:b/>
              </w:rPr>
            </w:pPr>
          </w:p>
        </w:tc>
        <w:tc>
          <w:tcPr>
            <w:tcW w:w="1270" w:type="dxa"/>
            <w:shd w:val="clear" w:color="auto" w:fill="DDE8F4" w:themeFill="text2" w:themeFillTint="1A"/>
          </w:tcPr>
          <w:p w14:paraId="08D3D9BA" w14:textId="77777777" w:rsidR="00122C1B" w:rsidRPr="00875385" w:rsidRDefault="00122C1B" w:rsidP="00D818E1">
            <w:pPr>
              <w:pStyle w:val="TableParagraph"/>
              <w:rPr>
                <w:b/>
              </w:rPr>
            </w:pPr>
          </w:p>
        </w:tc>
        <w:tc>
          <w:tcPr>
            <w:tcW w:w="1227" w:type="dxa"/>
            <w:shd w:val="clear" w:color="auto" w:fill="DDE8F4" w:themeFill="text2" w:themeFillTint="1A"/>
          </w:tcPr>
          <w:p w14:paraId="42545F6C" w14:textId="77777777" w:rsidR="00122C1B" w:rsidRPr="00875385" w:rsidRDefault="00122C1B" w:rsidP="00D818E1">
            <w:pPr>
              <w:pStyle w:val="TableParagraph"/>
              <w:rPr>
                <w:b/>
              </w:rPr>
            </w:pPr>
          </w:p>
        </w:tc>
        <w:tc>
          <w:tcPr>
            <w:tcW w:w="1123" w:type="dxa"/>
            <w:shd w:val="clear" w:color="auto" w:fill="DDE8F4" w:themeFill="text2" w:themeFillTint="1A"/>
          </w:tcPr>
          <w:p w14:paraId="39DD78EC" w14:textId="77777777" w:rsidR="00122C1B" w:rsidRPr="00875385" w:rsidRDefault="00122C1B" w:rsidP="00D818E1">
            <w:pPr>
              <w:pStyle w:val="TableParagraph"/>
              <w:rPr>
                <w:b/>
              </w:rPr>
            </w:pPr>
          </w:p>
        </w:tc>
        <w:tc>
          <w:tcPr>
            <w:tcW w:w="1355" w:type="dxa"/>
            <w:shd w:val="clear" w:color="auto" w:fill="DDE8F4" w:themeFill="text2" w:themeFillTint="1A"/>
          </w:tcPr>
          <w:p w14:paraId="0074BBA6" w14:textId="77777777" w:rsidR="00122C1B" w:rsidRPr="00875385" w:rsidRDefault="00122C1B" w:rsidP="00D818E1">
            <w:pPr>
              <w:pStyle w:val="TableParagraph"/>
              <w:rPr>
                <w:b/>
              </w:rPr>
            </w:pPr>
          </w:p>
        </w:tc>
      </w:tr>
      <w:tr w:rsidR="00122C1B" w14:paraId="568C1FB9"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174E0761" w14:textId="77777777" w:rsidR="00122C1B" w:rsidRDefault="00122C1B" w:rsidP="005F6F8B">
            <w:pPr>
              <w:pStyle w:val="TableList1"/>
            </w:pPr>
            <w:r w:rsidRPr="00875385">
              <w:t>Must display red “P”</w:t>
            </w:r>
            <w:r>
              <w:t xml:space="preserve"> </w:t>
            </w:r>
            <w:r w:rsidRPr="00875385">
              <w:t>plate</w:t>
            </w:r>
            <w:r>
              <w:t>s.</w:t>
            </w:r>
          </w:p>
        </w:tc>
        <w:tc>
          <w:tcPr>
            <w:tcW w:w="690" w:type="dxa"/>
            <w:shd w:val="clear" w:color="auto" w:fill="auto"/>
          </w:tcPr>
          <w:p w14:paraId="277DD70A" w14:textId="77777777" w:rsidR="00122C1B" w:rsidRPr="006E18AC" w:rsidRDefault="00122C1B" w:rsidP="00D818E1">
            <w:pPr>
              <w:pStyle w:val="TableParagraph"/>
              <w:jc w:val="center"/>
              <w:rPr>
                <w:color w:val="0C81BC"/>
              </w:rPr>
            </w:pPr>
          </w:p>
        </w:tc>
        <w:tc>
          <w:tcPr>
            <w:tcW w:w="1270" w:type="dxa"/>
            <w:shd w:val="clear" w:color="auto" w:fill="auto"/>
          </w:tcPr>
          <w:p w14:paraId="21AF5EB5"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27" w:type="dxa"/>
            <w:shd w:val="clear" w:color="auto" w:fill="auto"/>
          </w:tcPr>
          <w:p w14:paraId="5FD10D32" w14:textId="77777777" w:rsidR="00122C1B" w:rsidRPr="006E18AC" w:rsidRDefault="00122C1B" w:rsidP="00D818E1">
            <w:pPr>
              <w:pStyle w:val="TableParagraph"/>
              <w:jc w:val="center"/>
              <w:rPr>
                <w:color w:val="0C81BC"/>
              </w:rPr>
            </w:pPr>
          </w:p>
        </w:tc>
        <w:tc>
          <w:tcPr>
            <w:tcW w:w="1123" w:type="dxa"/>
            <w:shd w:val="clear" w:color="auto" w:fill="auto"/>
          </w:tcPr>
          <w:p w14:paraId="71F42BA3" w14:textId="77777777" w:rsidR="00122C1B" w:rsidRPr="006E18AC" w:rsidRDefault="00122C1B" w:rsidP="00D818E1">
            <w:pPr>
              <w:pStyle w:val="TableParagraph"/>
              <w:jc w:val="center"/>
              <w:rPr>
                <w:color w:val="0C81BC"/>
              </w:rPr>
            </w:pPr>
          </w:p>
        </w:tc>
        <w:tc>
          <w:tcPr>
            <w:tcW w:w="1355" w:type="dxa"/>
            <w:shd w:val="clear" w:color="auto" w:fill="auto"/>
          </w:tcPr>
          <w:p w14:paraId="3F3B0719" w14:textId="77777777" w:rsidR="00122C1B" w:rsidRDefault="00122C1B" w:rsidP="00D818E1">
            <w:pPr>
              <w:pStyle w:val="TableParagraph"/>
              <w:jc w:val="center"/>
            </w:pPr>
          </w:p>
        </w:tc>
      </w:tr>
      <w:tr w:rsidR="00122C1B" w14:paraId="775D89F6" w14:textId="77777777" w:rsidTr="00A779B6">
        <w:tc>
          <w:tcPr>
            <w:tcW w:w="3969" w:type="dxa"/>
            <w:shd w:val="clear" w:color="auto" w:fill="auto"/>
          </w:tcPr>
          <w:p w14:paraId="58A9EDA6" w14:textId="77777777" w:rsidR="00122C1B" w:rsidRDefault="00122C1B" w:rsidP="005F6F8B">
            <w:pPr>
              <w:pStyle w:val="TableList1"/>
            </w:pPr>
            <w:r>
              <w:t>Must not drive probationary prohibited vehicles (some exemptions apply).</w:t>
            </w:r>
          </w:p>
        </w:tc>
        <w:tc>
          <w:tcPr>
            <w:tcW w:w="690" w:type="dxa"/>
            <w:shd w:val="clear" w:color="auto" w:fill="auto"/>
          </w:tcPr>
          <w:p w14:paraId="0A0ED34C" w14:textId="77777777" w:rsidR="00122C1B" w:rsidRPr="006E18AC" w:rsidRDefault="00122C1B" w:rsidP="00D818E1">
            <w:pPr>
              <w:pStyle w:val="TableParagraph"/>
              <w:jc w:val="center"/>
              <w:rPr>
                <w:color w:val="0C81BC"/>
              </w:rPr>
            </w:pPr>
          </w:p>
        </w:tc>
        <w:tc>
          <w:tcPr>
            <w:tcW w:w="1270" w:type="dxa"/>
            <w:shd w:val="clear" w:color="auto" w:fill="auto"/>
          </w:tcPr>
          <w:p w14:paraId="75CCC3DA"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27" w:type="dxa"/>
            <w:shd w:val="clear" w:color="auto" w:fill="auto"/>
          </w:tcPr>
          <w:p w14:paraId="4B8279B5" w14:textId="77777777" w:rsidR="00122C1B" w:rsidRPr="006E18AC" w:rsidRDefault="00122C1B" w:rsidP="00D818E1">
            <w:pPr>
              <w:pStyle w:val="TableParagraph"/>
              <w:jc w:val="center"/>
              <w:rPr>
                <w:color w:val="0C81BC"/>
              </w:rPr>
            </w:pPr>
          </w:p>
        </w:tc>
        <w:tc>
          <w:tcPr>
            <w:tcW w:w="1123" w:type="dxa"/>
            <w:shd w:val="clear" w:color="auto" w:fill="auto"/>
          </w:tcPr>
          <w:p w14:paraId="6783E3CD" w14:textId="77777777" w:rsidR="00122C1B" w:rsidRPr="006E18AC" w:rsidRDefault="00122C1B" w:rsidP="00D818E1">
            <w:pPr>
              <w:pStyle w:val="TableParagraph"/>
              <w:jc w:val="center"/>
              <w:rPr>
                <w:rFonts w:cs="Segoe UI"/>
                <w:color w:val="0C81BC"/>
              </w:rPr>
            </w:pPr>
          </w:p>
        </w:tc>
        <w:tc>
          <w:tcPr>
            <w:tcW w:w="1355" w:type="dxa"/>
            <w:shd w:val="clear" w:color="auto" w:fill="auto"/>
          </w:tcPr>
          <w:p w14:paraId="49C72183" w14:textId="6EB270DF" w:rsidR="00122C1B" w:rsidRDefault="00122C1B" w:rsidP="00D818E1">
            <w:pPr>
              <w:pStyle w:val="TableParagraph"/>
              <w:jc w:val="center"/>
            </w:pPr>
            <w:r w:rsidRPr="006E18AC">
              <w:rPr>
                <w:rFonts w:cs="Segoe UI"/>
                <w:color w:val="0C81BC"/>
              </w:rPr>
              <w:sym w:font="Wingdings" w:char="F06C"/>
            </w:r>
            <w:r w:rsidRPr="00B8298F">
              <w:rPr>
                <w:rFonts w:cs="Segoe UI"/>
                <w:vertAlign w:val="superscript"/>
              </w:rPr>
              <w:fldChar w:fldCharType="begin"/>
            </w:r>
            <w:r w:rsidRPr="00B8298F">
              <w:rPr>
                <w:rFonts w:cs="Segoe UI"/>
                <w:vertAlign w:val="superscript"/>
              </w:rPr>
              <w:instrText xml:space="preserve"> NOTEREF _Ref508288805 \h  \* MERGEFORMAT </w:instrText>
            </w:r>
            <w:r w:rsidRPr="00B8298F">
              <w:rPr>
                <w:rFonts w:cs="Segoe UI"/>
                <w:vertAlign w:val="superscript"/>
              </w:rPr>
            </w:r>
            <w:r w:rsidRPr="00B8298F">
              <w:rPr>
                <w:rFonts w:cs="Segoe UI"/>
                <w:vertAlign w:val="superscript"/>
              </w:rPr>
              <w:fldChar w:fldCharType="separate"/>
            </w:r>
            <w:r w:rsidR="00EB4B02">
              <w:rPr>
                <w:rFonts w:cs="Segoe UI"/>
                <w:vertAlign w:val="superscript"/>
              </w:rPr>
              <w:t>354</w:t>
            </w:r>
            <w:r w:rsidRPr="00B8298F">
              <w:rPr>
                <w:rFonts w:cs="Segoe UI"/>
                <w:vertAlign w:val="superscript"/>
              </w:rPr>
              <w:fldChar w:fldCharType="end"/>
            </w:r>
          </w:p>
        </w:tc>
      </w:tr>
      <w:tr w:rsidR="00122C1B" w14:paraId="6E191082"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5A82875F" w14:textId="77777777" w:rsidR="00122C1B" w:rsidRDefault="00122C1B" w:rsidP="005F6F8B">
            <w:pPr>
              <w:pStyle w:val="TableList1"/>
            </w:pPr>
            <w:r>
              <w:t>If the drive test or assessment is passed in an automatic car, then an ‘automatic’ condition is imposed on the licence.</w:t>
            </w:r>
          </w:p>
        </w:tc>
        <w:tc>
          <w:tcPr>
            <w:tcW w:w="690" w:type="dxa"/>
            <w:shd w:val="clear" w:color="auto" w:fill="auto"/>
          </w:tcPr>
          <w:p w14:paraId="5C901BA8" w14:textId="77777777" w:rsidR="00122C1B" w:rsidRPr="006E18AC" w:rsidRDefault="00122C1B" w:rsidP="00D818E1">
            <w:pPr>
              <w:pStyle w:val="TableParagraph"/>
              <w:jc w:val="center"/>
              <w:rPr>
                <w:rFonts w:cs="Segoe UI"/>
                <w:color w:val="0C81BC"/>
              </w:rPr>
            </w:pPr>
          </w:p>
        </w:tc>
        <w:tc>
          <w:tcPr>
            <w:tcW w:w="1270" w:type="dxa"/>
            <w:shd w:val="clear" w:color="auto" w:fill="auto"/>
          </w:tcPr>
          <w:p w14:paraId="1F81D533" w14:textId="77777777" w:rsidR="00122C1B" w:rsidRPr="006E18AC" w:rsidDel="00FE3AFB" w:rsidRDefault="00122C1B" w:rsidP="00D818E1">
            <w:pPr>
              <w:pStyle w:val="TableParagraph"/>
              <w:jc w:val="center"/>
              <w:rPr>
                <w:rFonts w:cs="Segoe UI"/>
                <w:color w:val="0C81BC"/>
              </w:rPr>
            </w:pPr>
            <w:r w:rsidRPr="006E18AC">
              <w:rPr>
                <w:rFonts w:cs="Segoe UI"/>
                <w:color w:val="0C81BC"/>
              </w:rPr>
              <w:sym w:font="Wingdings" w:char="F06C"/>
            </w:r>
          </w:p>
        </w:tc>
        <w:tc>
          <w:tcPr>
            <w:tcW w:w="1227" w:type="dxa"/>
            <w:shd w:val="clear" w:color="auto" w:fill="auto"/>
          </w:tcPr>
          <w:p w14:paraId="52DCBED9" w14:textId="77777777" w:rsidR="00122C1B" w:rsidRPr="006E18AC" w:rsidRDefault="00122C1B" w:rsidP="00D818E1">
            <w:pPr>
              <w:pStyle w:val="TableParagraph"/>
              <w:jc w:val="center"/>
              <w:rPr>
                <w:color w:val="0C81BC"/>
              </w:rPr>
            </w:pPr>
          </w:p>
        </w:tc>
        <w:tc>
          <w:tcPr>
            <w:tcW w:w="1123" w:type="dxa"/>
            <w:shd w:val="clear" w:color="auto" w:fill="auto"/>
          </w:tcPr>
          <w:p w14:paraId="799262F2" w14:textId="77777777" w:rsidR="00122C1B" w:rsidRPr="006E18AC" w:rsidRDefault="00122C1B" w:rsidP="00D818E1">
            <w:pPr>
              <w:pStyle w:val="TableParagraph"/>
              <w:jc w:val="center"/>
              <w:rPr>
                <w:rFonts w:cs="Segoe UI"/>
                <w:color w:val="0C81BC"/>
              </w:rPr>
            </w:pPr>
          </w:p>
        </w:tc>
        <w:tc>
          <w:tcPr>
            <w:tcW w:w="1355" w:type="dxa"/>
            <w:shd w:val="clear" w:color="auto" w:fill="auto"/>
          </w:tcPr>
          <w:p w14:paraId="7FEACF21" w14:textId="77777777" w:rsidR="00122C1B" w:rsidRDefault="00122C1B" w:rsidP="00D818E1">
            <w:pPr>
              <w:pStyle w:val="TableParagraph"/>
              <w:jc w:val="center"/>
            </w:pPr>
          </w:p>
        </w:tc>
      </w:tr>
      <w:tr w:rsidR="00122C1B" w14:paraId="5AD55799" w14:textId="77777777" w:rsidTr="00A779B6">
        <w:tc>
          <w:tcPr>
            <w:tcW w:w="3969" w:type="dxa"/>
            <w:shd w:val="clear" w:color="auto" w:fill="auto"/>
          </w:tcPr>
          <w:p w14:paraId="529B3E3E" w14:textId="77777777" w:rsidR="00122C1B" w:rsidRDefault="00122C1B" w:rsidP="005F6F8B">
            <w:pPr>
              <w:pStyle w:val="TableList1"/>
            </w:pPr>
            <w:r>
              <w:t xml:space="preserve">Minimum age: 18 years. </w:t>
            </w:r>
          </w:p>
        </w:tc>
        <w:tc>
          <w:tcPr>
            <w:tcW w:w="690" w:type="dxa"/>
            <w:shd w:val="clear" w:color="auto" w:fill="auto"/>
          </w:tcPr>
          <w:p w14:paraId="28AFA379"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270" w:type="dxa"/>
            <w:shd w:val="clear" w:color="auto" w:fill="auto"/>
          </w:tcPr>
          <w:p w14:paraId="751F0F5A" w14:textId="77777777" w:rsidR="00122C1B" w:rsidRPr="006E18AC" w:rsidRDefault="00122C1B" w:rsidP="00D818E1">
            <w:pPr>
              <w:pStyle w:val="TableParagraph"/>
              <w:jc w:val="center"/>
              <w:rPr>
                <w:color w:val="0C81BC"/>
              </w:rPr>
            </w:pPr>
          </w:p>
        </w:tc>
        <w:tc>
          <w:tcPr>
            <w:tcW w:w="1227" w:type="dxa"/>
            <w:shd w:val="clear" w:color="auto" w:fill="auto"/>
          </w:tcPr>
          <w:p w14:paraId="439CEAF4" w14:textId="77777777" w:rsidR="00122C1B" w:rsidRPr="006E18AC" w:rsidRDefault="00122C1B" w:rsidP="00D818E1">
            <w:pPr>
              <w:pStyle w:val="TableParagraph"/>
              <w:jc w:val="center"/>
              <w:rPr>
                <w:color w:val="0C81BC"/>
              </w:rPr>
            </w:pPr>
          </w:p>
        </w:tc>
        <w:tc>
          <w:tcPr>
            <w:tcW w:w="1123" w:type="dxa"/>
            <w:shd w:val="clear" w:color="auto" w:fill="auto"/>
          </w:tcPr>
          <w:p w14:paraId="75EE64D6" w14:textId="77777777" w:rsidR="00122C1B" w:rsidRPr="006E18AC" w:rsidRDefault="00122C1B" w:rsidP="00D818E1">
            <w:pPr>
              <w:pStyle w:val="TableParagraph"/>
              <w:jc w:val="center"/>
              <w:rPr>
                <w:color w:val="0C81BC"/>
              </w:rPr>
            </w:pPr>
            <w:r w:rsidRPr="006E18AC">
              <w:rPr>
                <w:rFonts w:cs="Segoe UI"/>
                <w:color w:val="0C81BC"/>
              </w:rPr>
              <w:sym w:font="Wingdings" w:char="F06C"/>
            </w:r>
          </w:p>
        </w:tc>
        <w:tc>
          <w:tcPr>
            <w:tcW w:w="1355" w:type="dxa"/>
            <w:shd w:val="clear" w:color="auto" w:fill="auto"/>
          </w:tcPr>
          <w:p w14:paraId="559F498C" w14:textId="77777777" w:rsidR="00122C1B" w:rsidRDefault="00122C1B" w:rsidP="00D818E1">
            <w:pPr>
              <w:pStyle w:val="TableParagraph"/>
              <w:jc w:val="center"/>
            </w:pPr>
          </w:p>
        </w:tc>
      </w:tr>
      <w:tr w:rsidR="00122C1B" w14:paraId="72E7DC3D"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458E7D52" w14:textId="77777777" w:rsidR="00122C1B" w:rsidRDefault="00122C1B" w:rsidP="005F6F8B">
            <w:pPr>
              <w:pStyle w:val="TableList1"/>
            </w:pPr>
            <w:r>
              <w:t>Learners must pass appropriate test or assessment required to obtain a probationary licence (computer-based hazard perception test and practical driving test).</w:t>
            </w:r>
          </w:p>
        </w:tc>
        <w:tc>
          <w:tcPr>
            <w:tcW w:w="690" w:type="dxa"/>
            <w:shd w:val="clear" w:color="auto" w:fill="auto"/>
          </w:tcPr>
          <w:p w14:paraId="066A8C7B" w14:textId="77777777" w:rsidR="00122C1B" w:rsidRPr="00662974" w:rsidRDefault="00122C1B" w:rsidP="00D6529D">
            <w:pPr>
              <w:pStyle w:val="TableParagraph"/>
              <w:jc w:val="center"/>
              <w:rPr>
                <w:color w:val="0C81BC"/>
              </w:rPr>
            </w:pPr>
            <w:r w:rsidRPr="00662974">
              <w:rPr>
                <w:rFonts w:cs="Segoe UI"/>
                <w:color w:val="0C81BC"/>
              </w:rPr>
              <w:sym w:font="Wingdings" w:char="F06C"/>
            </w:r>
          </w:p>
        </w:tc>
        <w:tc>
          <w:tcPr>
            <w:tcW w:w="1270" w:type="dxa"/>
            <w:shd w:val="clear" w:color="auto" w:fill="auto"/>
          </w:tcPr>
          <w:p w14:paraId="409C0E6B" w14:textId="77777777" w:rsidR="00122C1B" w:rsidRPr="00662974" w:rsidRDefault="00122C1B" w:rsidP="00D6529D">
            <w:pPr>
              <w:pStyle w:val="TableParagraph"/>
              <w:jc w:val="center"/>
              <w:rPr>
                <w:color w:val="0C81BC"/>
              </w:rPr>
            </w:pPr>
          </w:p>
        </w:tc>
        <w:tc>
          <w:tcPr>
            <w:tcW w:w="1227" w:type="dxa"/>
            <w:shd w:val="clear" w:color="auto" w:fill="auto"/>
          </w:tcPr>
          <w:p w14:paraId="3DE20081" w14:textId="77777777" w:rsidR="00122C1B" w:rsidRPr="00662974" w:rsidRDefault="00122C1B" w:rsidP="00D6529D">
            <w:pPr>
              <w:pStyle w:val="TableParagraph"/>
              <w:jc w:val="center"/>
              <w:rPr>
                <w:color w:val="0C81BC"/>
              </w:rPr>
            </w:pPr>
          </w:p>
        </w:tc>
        <w:tc>
          <w:tcPr>
            <w:tcW w:w="1123" w:type="dxa"/>
            <w:shd w:val="clear" w:color="auto" w:fill="auto"/>
          </w:tcPr>
          <w:p w14:paraId="223A2257" w14:textId="77777777" w:rsidR="00122C1B" w:rsidRPr="00662974" w:rsidRDefault="00122C1B" w:rsidP="00D6529D">
            <w:pPr>
              <w:pStyle w:val="TableParagraph"/>
              <w:jc w:val="center"/>
              <w:rPr>
                <w:rFonts w:cs="Segoe UI"/>
                <w:color w:val="0C81BC"/>
              </w:rPr>
            </w:pPr>
          </w:p>
        </w:tc>
        <w:tc>
          <w:tcPr>
            <w:tcW w:w="1355" w:type="dxa"/>
            <w:shd w:val="clear" w:color="auto" w:fill="auto"/>
          </w:tcPr>
          <w:p w14:paraId="2B443667" w14:textId="15F9DA97" w:rsidR="00122C1B" w:rsidRDefault="00122C1B" w:rsidP="00D6529D">
            <w:pPr>
              <w:pStyle w:val="TableParagraph"/>
              <w:jc w:val="center"/>
            </w:pPr>
            <w:r w:rsidRPr="00662974">
              <w:rPr>
                <w:rFonts w:cs="Segoe UI"/>
                <w:color w:val="0C81BC"/>
              </w:rPr>
              <w:sym w:font="Wingdings" w:char="F06C"/>
            </w:r>
            <w:r w:rsidRPr="00B8298F">
              <w:rPr>
                <w:rFonts w:cs="Segoe UI"/>
                <w:vertAlign w:val="superscript"/>
              </w:rPr>
              <w:fldChar w:fldCharType="begin"/>
            </w:r>
            <w:r w:rsidRPr="00B8298F">
              <w:rPr>
                <w:rFonts w:cs="Segoe UI"/>
                <w:vertAlign w:val="superscript"/>
              </w:rPr>
              <w:instrText xml:space="preserve"> NOTEREF _Ref508288805 \h  \* MERGEFORMAT </w:instrText>
            </w:r>
            <w:r w:rsidRPr="00B8298F">
              <w:rPr>
                <w:rFonts w:cs="Segoe UI"/>
                <w:vertAlign w:val="superscript"/>
              </w:rPr>
            </w:r>
            <w:r w:rsidRPr="00B8298F">
              <w:rPr>
                <w:rFonts w:cs="Segoe UI"/>
                <w:vertAlign w:val="superscript"/>
              </w:rPr>
              <w:fldChar w:fldCharType="separate"/>
            </w:r>
            <w:r w:rsidR="00EB4B02">
              <w:rPr>
                <w:rFonts w:cs="Segoe UI"/>
                <w:vertAlign w:val="superscript"/>
              </w:rPr>
              <w:t>354</w:t>
            </w:r>
            <w:r w:rsidRPr="00B8298F">
              <w:rPr>
                <w:rFonts w:cs="Segoe UI"/>
                <w:vertAlign w:val="superscript"/>
              </w:rPr>
              <w:fldChar w:fldCharType="end"/>
            </w:r>
          </w:p>
        </w:tc>
      </w:tr>
      <w:tr w:rsidR="00122C1B" w14:paraId="38B97B1B" w14:textId="77777777" w:rsidTr="00A779B6">
        <w:tc>
          <w:tcPr>
            <w:tcW w:w="3969" w:type="dxa"/>
            <w:shd w:val="clear" w:color="auto" w:fill="auto"/>
          </w:tcPr>
          <w:p w14:paraId="43F913A9" w14:textId="77777777" w:rsidR="00122C1B" w:rsidRDefault="00122C1B" w:rsidP="005F6F8B">
            <w:pPr>
              <w:pStyle w:val="TableList1"/>
            </w:pPr>
            <w:r>
              <w:t xml:space="preserve">Drivers aged under 21 years are issued with a 4-year probationary licence (first year as P1) </w:t>
            </w:r>
          </w:p>
        </w:tc>
        <w:tc>
          <w:tcPr>
            <w:tcW w:w="690" w:type="dxa"/>
            <w:shd w:val="clear" w:color="auto" w:fill="auto"/>
          </w:tcPr>
          <w:p w14:paraId="45740BD7" w14:textId="77777777" w:rsidR="00122C1B" w:rsidRPr="00662974" w:rsidRDefault="00122C1B" w:rsidP="00D818E1">
            <w:pPr>
              <w:pStyle w:val="TableParagraph"/>
              <w:jc w:val="center"/>
              <w:rPr>
                <w:rFonts w:cs="Segoe UI"/>
                <w:color w:val="0C81BC"/>
              </w:rPr>
            </w:pPr>
          </w:p>
        </w:tc>
        <w:tc>
          <w:tcPr>
            <w:tcW w:w="1270" w:type="dxa"/>
            <w:shd w:val="clear" w:color="auto" w:fill="auto"/>
          </w:tcPr>
          <w:p w14:paraId="0FF721F5" w14:textId="77777777" w:rsidR="00122C1B" w:rsidRPr="00662974" w:rsidRDefault="00122C1B" w:rsidP="00D818E1">
            <w:pPr>
              <w:pStyle w:val="TableParagraph"/>
              <w:jc w:val="center"/>
              <w:rPr>
                <w:rFonts w:cs="Segoe UI"/>
                <w:color w:val="0C81BC"/>
              </w:rPr>
            </w:pPr>
            <w:r w:rsidRPr="00662974">
              <w:rPr>
                <w:rFonts w:cs="Segoe UI"/>
                <w:color w:val="0C81BC"/>
              </w:rPr>
              <w:sym w:font="Wingdings" w:char="F06C"/>
            </w:r>
          </w:p>
        </w:tc>
        <w:tc>
          <w:tcPr>
            <w:tcW w:w="1227" w:type="dxa"/>
            <w:shd w:val="clear" w:color="auto" w:fill="auto"/>
          </w:tcPr>
          <w:p w14:paraId="16DE683B" w14:textId="77777777" w:rsidR="00122C1B" w:rsidRPr="00662974" w:rsidRDefault="00122C1B" w:rsidP="00D818E1">
            <w:pPr>
              <w:pStyle w:val="TableParagraph"/>
              <w:jc w:val="center"/>
              <w:rPr>
                <w:color w:val="0C81BC"/>
              </w:rPr>
            </w:pPr>
          </w:p>
        </w:tc>
        <w:tc>
          <w:tcPr>
            <w:tcW w:w="1123" w:type="dxa"/>
            <w:shd w:val="clear" w:color="auto" w:fill="auto"/>
          </w:tcPr>
          <w:p w14:paraId="6D516A0F" w14:textId="77777777" w:rsidR="00122C1B" w:rsidRPr="00662974" w:rsidRDefault="00122C1B" w:rsidP="00D818E1">
            <w:pPr>
              <w:pStyle w:val="TableParagraph"/>
              <w:jc w:val="center"/>
              <w:rPr>
                <w:rFonts w:cs="Segoe UI"/>
                <w:color w:val="0C81BC"/>
              </w:rPr>
            </w:pPr>
          </w:p>
        </w:tc>
        <w:tc>
          <w:tcPr>
            <w:tcW w:w="1355" w:type="dxa"/>
            <w:shd w:val="clear" w:color="auto" w:fill="auto"/>
          </w:tcPr>
          <w:p w14:paraId="675EBE5A" w14:textId="77777777" w:rsidR="00122C1B" w:rsidRDefault="00122C1B" w:rsidP="00D818E1">
            <w:pPr>
              <w:pStyle w:val="TableParagraph"/>
              <w:jc w:val="center"/>
            </w:pPr>
          </w:p>
        </w:tc>
      </w:tr>
      <w:tr w:rsidR="00122C1B" w14:paraId="0B2EA446"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3EB490AD" w14:textId="77777777" w:rsidR="00122C1B" w:rsidRPr="00E76DAA" w:rsidRDefault="00122C1B" w:rsidP="005F6F8B">
            <w:pPr>
              <w:pStyle w:val="TableList1"/>
            </w:pPr>
            <w:r>
              <w:t>Must carry</w:t>
            </w:r>
            <w:r w:rsidRPr="00E76DAA">
              <w:t xml:space="preserve"> probationary licence</w:t>
            </w:r>
            <w:r>
              <w:t>.</w:t>
            </w:r>
          </w:p>
        </w:tc>
        <w:tc>
          <w:tcPr>
            <w:tcW w:w="690" w:type="dxa"/>
            <w:shd w:val="clear" w:color="auto" w:fill="auto"/>
          </w:tcPr>
          <w:p w14:paraId="301F1CD5" w14:textId="77777777" w:rsidR="00122C1B" w:rsidRPr="00662974" w:rsidRDefault="00122C1B" w:rsidP="00D6529D">
            <w:pPr>
              <w:pStyle w:val="TableParagraph"/>
              <w:jc w:val="center"/>
              <w:rPr>
                <w:color w:val="0C81BC"/>
              </w:rPr>
            </w:pPr>
            <w:r w:rsidRPr="00662974">
              <w:rPr>
                <w:rFonts w:cs="Segoe UI"/>
                <w:color w:val="0C81BC"/>
              </w:rPr>
              <w:sym w:font="Wingdings" w:char="F06C"/>
            </w:r>
          </w:p>
        </w:tc>
        <w:tc>
          <w:tcPr>
            <w:tcW w:w="1270" w:type="dxa"/>
            <w:shd w:val="clear" w:color="auto" w:fill="auto"/>
          </w:tcPr>
          <w:p w14:paraId="34A1E501" w14:textId="77777777" w:rsidR="00122C1B" w:rsidRPr="00662974" w:rsidRDefault="00122C1B" w:rsidP="00D6529D">
            <w:pPr>
              <w:pStyle w:val="TableParagraph"/>
              <w:jc w:val="center"/>
              <w:rPr>
                <w:color w:val="0C81BC"/>
              </w:rPr>
            </w:pPr>
          </w:p>
        </w:tc>
        <w:tc>
          <w:tcPr>
            <w:tcW w:w="1227" w:type="dxa"/>
            <w:shd w:val="clear" w:color="auto" w:fill="auto"/>
          </w:tcPr>
          <w:p w14:paraId="41DB3819" w14:textId="77777777" w:rsidR="00122C1B" w:rsidRPr="00662974" w:rsidRDefault="00122C1B" w:rsidP="00D6529D">
            <w:pPr>
              <w:pStyle w:val="TableParagraph"/>
              <w:jc w:val="center"/>
              <w:rPr>
                <w:color w:val="0C81BC"/>
              </w:rPr>
            </w:pPr>
          </w:p>
        </w:tc>
        <w:tc>
          <w:tcPr>
            <w:tcW w:w="1123" w:type="dxa"/>
            <w:shd w:val="clear" w:color="auto" w:fill="auto"/>
          </w:tcPr>
          <w:p w14:paraId="1203DDAB" w14:textId="77777777" w:rsidR="00122C1B" w:rsidRPr="00662974" w:rsidRDefault="00122C1B" w:rsidP="00D6529D">
            <w:pPr>
              <w:pStyle w:val="TableParagraph"/>
              <w:jc w:val="center"/>
              <w:rPr>
                <w:rFonts w:cs="Segoe UI"/>
                <w:color w:val="0C81BC"/>
              </w:rPr>
            </w:pPr>
          </w:p>
        </w:tc>
        <w:tc>
          <w:tcPr>
            <w:tcW w:w="1355" w:type="dxa"/>
            <w:shd w:val="clear" w:color="auto" w:fill="auto"/>
          </w:tcPr>
          <w:p w14:paraId="395BA0A5" w14:textId="77777777" w:rsidR="00122C1B" w:rsidRDefault="00122C1B" w:rsidP="00D6529D">
            <w:pPr>
              <w:pStyle w:val="TableParagraph"/>
              <w:jc w:val="center"/>
            </w:pPr>
            <w:r w:rsidRPr="00662974">
              <w:rPr>
                <w:rFonts w:cs="Segoe UI"/>
                <w:color w:val="0C81BC"/>
              </w:rPr>
              <w:sym w:font="Wingdings" w:char="F06C"/>
            </w:r>
          </w:p>
        </w:tc>
      </w:tr>
      <w:tr w:rsidR="00122C1B" w14:paraId="5A258BD2" w14:textId="77777777" w:rsidTr="00A779B6">
        <w:tc>
          <w:tcPr>
            <w:tcW w:w="3969" w:type="dxa"/>
            <w:shd w:val="clear" w:color="auto" w:fill="auto"/>
          </w:tcPr>
          <w:p w14:paraId="1760CC1A" w14:textId="77777777" w:rsidR="00122C1B" w:rsidRDefault="00122C1B" w:rsidP="005F6F8B">
            <w:pPr>
              <w:pStyle w:val="TableList1"/>
            </w:pPr>
            <w:r>
              <w:t xml:space="preserve">Licence tenure to progress to P2 phase from P1: one year. </w:t>
            </w:r>
          </w:p>
        </w:tc>
        <w:tc>
          <w:tcPr>
            <w:tcW w:w="690" w:type="dxa"/>
            <w:shd w:val="clear" w:color="auto" w:fill="auto"/>
          </w:tcPr>
          <w:p w14:paraId="7782BD89" w14:textId="77777777" w:rsidR="00122C1B" w:rsidRPr="00662974" w:rsidRDefault="00122C1B" w:rsidP="00400B5E">
            <w:pPr>
              <w:pStyle w:val="TableParagraph"/>
              <w:jc w:val="center"/>
              <w:rPr>
                <w:color w:val="0C81BC"/>
              </w:rPr>
            </w:pPr>
          </w:p>
        </w:tc>
        <w:tc>
          <w:tcPr>
            <w:tcW w:w="1270" w:type="dxa"/>
            <w:shd w:val="clear" w:color="auto" w:fill="auto"/>
          </w:tcPr>
          <w:p w14:paraId="6DAE2488"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27" w:type="dxa"/>
            <w:shd w:val="clear" w:color="auto" w:fill="auto"/>
          </w:tcPr>
          <w:p w14:paraId="4CBC67AC" w14:textId="77777777" w:rsidR="00122C1B" w:rsidRPr="00662974" w:rsidRDefault="00122C1B" w:rsidP="00400B5E">
            <w:pPr>
              <w:pStyle w:val="TableParagraph"/>
              <w:jc w:val="center"/>
              <w:rPr>
                <w:color w:val="0C81BC"/>
              </w:rPr>
            </w:pPr>
          </w:p>
        </w:tc>
        <w:tc>
          <w:tcPr>
            <w:tcW w:w="1123" w:type="dxa"/>
            <w:shd w:val="clear" w:color="auto" w:fill="auto"/>
          </w:tcPr>
          <w:p w14:paraId="72E20B78"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355" w:type="dxa"/>
            <w:shd w:val="clear" w:color="auto" w:fill="auto"/>
          </w:tcPr>
          <w:p w14:paraId="64DF0090" w14:textId="77777777" w:rsidR="00122C1B" w:rsidRDefault="00122C1B" w:rsidP="00400B5E">
            <w:pPr>
              <w:pStyle w:val="TableParagraph"/>
              <w:jc w:val="center"/>
            </w:pPr>
          </w:p>
        </w:tc>
      </w:tr>
      <w:tr w:rsidR="00122C1B" w14:paraId="3368E778"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6D71ECA0" w14:textId="77777777" w:rsidR="00122C1B" w:rsidRDefault="00122C1B" w:rsidP="005F6F8B">
            <w:pPr>
              <w:pStyle w:val="TableList1"/>
            </w:pPr>
            <w:r>
              <w:lastRenderedPageBreak/>
              <w:t>A good driving record is required to progress to next licence phase:</w:t>
            </w:r>
          </w:p>
          <w:p w14:paraId="468FA133" w14:textId="77777777" w:rsidR="00122C1B" w:rsidRDefault="00122C1B" w:rsidP="00457BB1">
            <w:pPr>
              <w:pStyle w:val="TableList20"/>
            </w:pPr>
            <w:r>
              <w:t>If a P1 licence is suspended as a result of a traffic offence, the probationary period is extended by the suspension period plus 6 months.</w:t>
            </w:r>
          </w:p>
          <w:p w14:paraId="0F27EABC" w14:textId="52A020D8" w:rsidR="00122C1B" w:rsidRDefault="00122C1B">
            <w:pPr>
              <w:pStyle w:val="TableList20"/>
            </w:pPr>
            <w:r>
              <w:t>If a P1 licence is suspended not as a result of a traffic offence (</w:t>
            </w:r>
            <w:r w:rsidR="008143FB">
              <w:t>e</w:t>
            </w:r>
            <w:r w:rsidR="00A817C9">
              <w:t>e.g.</w:t>
            </w:r>
            <w:r>
              <w:t xml:space="preserve"> medical fitness-to-drive review, or fines accumulation), the probationary period is extended by the suspension period only.</w:t>
            </w:r>
          </w:p>
          <w:p w14:paraId="0964F389" w14:textId="77777777" w:rsidR="00122C1B" w:rsidRDefault="00122C1B">
            <w:pPr>
              <w:pStyle w:val="TableList20"/>
            </w:pPr>
            <w:r>
              <w:t xml:space="preserve">If a P1 </w:t>
            </w:r>
            <w:r w:rsidRPr="0088492F">
              <w:t xml:space="preserve">licence is cancelled, the next licence must be granted as P1 </w:t>
            </w:r>
            <w:r>
              <w:t>irrespective of the driver’s age</w:t>
            </w:r>
            <w:r w:rsidRPr="0088492F">
              <w:t>.</w:t>
            </w:r>
          </w:p>
        </w:tc>
        <w:tc>
          <w:tcPr>
            <w:tcW w:w="690" w:type="dxa"/>
            <w:shd w:val="clear" w:color="auto" w:fill="auto"/>
          </w:tcPr>
          <w:p w14:paraId="00DF7BF5" w14:textId="77777777" w:rsidR="00122C1B" w:rsidRPr="00662974" w:rsidRDefault="00122C1B" w:rsidP="00400B5E">
            <w:pPr>
              <w:pStyle w:val="TableParagraph"/>
              <w:jc w:val="center"/>
              <w:rPr>
                <w:color w:val="0C81BC"/>
              </w:rPr>
            </w:pPr>
          </w:p>
        </w:tc>
        <w:tc>
          <w:tcPr>
            <w:tcW w:w="1270" w:type="dxa"/>
            <w:shd w:val="clear" w:color="auto" w:fill="auto"/>
          </w:tcPr>
          <w:p w14:paraId="18A3076D" w14:textId="77777777" w:rsidR="00122C1B" w:rsidRPr="00662974" w:rsidRDefault="00122C1B" w:rsidP="00400B5E">
            <w:pPr>
              <w:pStyle w:val="TableParagraph"/>
              <w:jc w:val="center"/>
              <w:rPr>
                <w:rFonts w:cs="Segoe UI"/>
                <w:color w:val="0C81BC"/>
              </w:rPr>
            </w:pPr>
            <w:r w:rsidRPr="00662974">
              <w:rPr>
                <w:rFonts w:cs="Segoe UI"/>
                <w:color w:val="0C81BC"/>
              </w:rPr>
              <w:sym w:font="Wingdings" w:char="F06C"/>
            </w:r>
          </w:p>
        </w:tc>
        <w:tc>
          <w:tcPr>
            <w:tcW w:w="1227" w:type="dxa"/>
            <w:shd w:val="clear" w:color="auto" w:fill="auto"/>
          </w:tcPr>
          <w:p w14:paraId="41609486" w14:textId="77777777" w:rsidR="00122C1B" w:rsidRPr="00662974" w:rsidRDefault="00122C1B" w:rsidP="00400B5E">
            <w:pPr>
              <w:pStyle w:val="TableParagraph"/>
              <w:jc w:val="center"/>
              <w:rPr>
                <w:color w:val="0C81BC"/>
              </w:rPr>
            </w:pPr>
          </w:p>
        </w:tc>
        <w:tc>
          <w:tcPr>
            <w:tcW w:w="1123" w:type="dxa"/>
            <w:shd w:val="clear" w:color="auto" w:fill="auto"/>
          </w:tcPr>
          <w:p w14:paraId="312EB94D" w14:textId="77777777" w:rsidR="00122C1B" w:rsidRPr="00662974" w:rsidRDefault="00122C1B" w:rsidP="00400B5E">
            <w:pPr>
              <w:pStyle w:val="TableParagraph"/>
              <w:jc w:val="center"/>
              <w:rPr>
                <w:rFonts w:cs="Segoe UI"/>
                <w:color w:val="0C81BC"/>
              </w:rPr>
            </w:pPr>
          </w:p>
        </w:tc>
        <w:tc>
          <w:tcPr>
            <w:tcW w:w="1355" w:type="dxa"/>
            <w:shd w:val="clear" w:color="auto" w:fill="auto"/>
          </w:tcPr>
          <w:p w14:paraId="68878E3F" w14:textId="77777777" w:rsidR="00122C1B" w:rsidRDefault="00122C1B" w:rsidP="00400B5E">
            <w:pPr>
              <w:pStyle w:val="TableParagraph"/>
              <w:jc w:val="center"/>
            </w:pPr>
          </w:p>
        </w:tc>
      </w:tr>
      <w:tr w:rsidR="00122C1B" w14:paraId="7966CDBD" w14:textId="77777777" w:rsidTr="00A779B6">
        <w:tc>
          <w:tcPr>
            <w:tcW w:w="3969" w:type="dxa"/>
            <w:shd w:val="clear" w:color="auto" w:fill="auto"/>
          </w:tcPr>
          <w:p w14:paraId="5A84C59A" w14:textId="77777777" w:rsidR="00122C1B" w:rsidRDefault="00122C1B" w:rsidP="005F6F8B">
            <w:pPr>
              <w:pStyle w:val="TableList1"/>
            </w:pPr>
            <w:r>
              <w:t xml:space="preserve">Permitted </w:t>
            </w:r>
            <w:r w:rsidR="00EF0DE2">
              <w:t>blood or breath alcohol concentration:</w:t>
            </w:r>
            <w:r w:rsidR="00EF0DE2" w:rsidRPr="00875385">
              <w:t xml:space="preserve"> zero</w:t>
            </w:r>
            <w:r w:rsidR="00EF0DE2">
              <w:t>.</w:t>
            </w:r>
          </w:p>
        </w:tc>
        <w:tc>
          <w:tcPr>
            <w:tcW w:w="690" w:type="dxa"/>
            <w:shd w:val="clear" w:color="auto" w:fill="auto"/>
          </w:tcPr>
          <w:p w14:paraId="329D8B13"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70" w:type="dxa"/>
            <w:shd w:val="clear" w:color="auto" w:fill="auto"/>
          </w:tcPr>
          <w:p w14:paraId="60ED217B" w14:textId="77777777" w:rsidR="00122C1B" w:rsidRPr="00662974" w:rsidRDefault="00122C1B" w:rsidP="00400B5E">
            <w:pPr>
              <w:pStyle w:val="TableParagraph"/>
              <w:jc w:val="center"/>
              <w:rPr>
                <w:color w:val="0C81BC"/>
              </w:rPr>
            </w:pPr>
          </w:p>
        </w:tc>
        <w:tc>
          <w:tcPr>
            <w:tcW w:w="1227" w:type="dxa"/>
            <w:shd w:val="clear" w:color="auto" w:fill="auto"/>
          </w:tcPr>
          <w:p w14:paraId="042A53C3" w14:textId="77777777" w:rsidR="00122C1B" w:rsidRPr="00662974" w:rsidRDefault="00122C1B" w:rsidP="00400B5E">
            <w:pPr>
              <w:pStyle w:val="TableParagraph"/>
              <w:jc w:val="center"/>
              <w:rPr>
                <w:color w:val="0C81BC"/>
              </w:rPr>
            </w:pPr>
          </w:p>
        </w:tc>
        <w:tc>
          <w:tcPr>
            <w:tcW w:w="1123" w:type="dxa"/>
            <w:shd w:val="clear" w:color="auto" w:fill="auto"/>
          </w:tcPr>
          <w:p w14:paraId="66DC1EC7" w14:textId="77777777" w:rsidR="00122C1B" w:rsidRPr="00662974" w:rsidRDefault="00122C1B" w:rsidP="00400B5E">
            <w:pPr>
              <w:pStyle w:val="TableParagraph"/>
              <w:jc w:val="center"/>
              <w:rPr>
                <w:color w:val="0C81BC"/>
              </w:rPr>
            </w:pPr>
          </w:p>
        </w:tc>
        <w:tc>
          <w:tcPr>
            <w:tcW w:w="1355" w:type="dxa"/>
            <w:shd w:val="clear" w:color="auto" w:fill="auto"/>
          </w:tcPr>
          <w:p w14:paraId="2595A850" w14:textId="77777777" w:rsidR="00122C1B" w:rsidRDefault="00122C1B" w:rsidP="00400B5E">
            <w:pPr>
              <w:pStyle w:val="TableParagraph"/>
              <w:jc w:val="center"/>
            </w:pPr>
          </w:p>
        </w:tc>
      </w:tr>
      <w:tr w:rsidR="00122C1B" w14:paraId="2AAB2A3E"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77EFD334" w14:textId="77777777" w:rsidR="00122C1B" w:rsidRDefault="00122C1B" w:rsidP="005F6F8B">
            <w:pPr>
              <w:pStyle w:val="TableList1"/>
            </w:pPr>
            <w:r w:rsidRPr="00875385">
              <w:t>Speed limit</w:t>
            </w:r>
            <w:r>
              <w:t>:</w:t>
            </w:r>
            <w:r w:rsidRPr="00875385">
              <w:t xml:space="preserve"> As sign posted.</w:t>
            </w:r>
          </w:p>
        </w:tc>
        <w:tc>
          <w:tcPr>
            <w:tcW w:w="690" w:type="dxa"/>
            <w:shd w:val="clear" w:color="auto" w:fill="auto"/>
          </w:tcPr>
          <w:p w14:paraId="4686625C" w14:textId="77777777" w:rsidR="00122C1B" w:rsidRPr="00662974" w:rsidRDefault="00122C1B" w:rsidP="00400B5E">
            <w:pPr>
              <w:pStyle w:val="TableParagraph"/>
              <w:jc w:val="center"/>
              <w:rPr>
                <w:color w:val="0C81BC"/>
              </w:rPr>
            </w:pPr>
          </w:p>
        </w:tc>
        <w:tc>
          <w:tcPr>
            <w:tcW w:w="1270" w:type="dxa"/>
            <w:shd w:val="clear" w:color="auto" w:fill="auto"/>
          </w:tcPr>
          <w:p w14:paraId="2C782FA0" w14:textId="77777777" w:rsidR="00122C1B" w:rsidRPr="00662974" w:rsidRDefault="00122C1B" w:rsidP="00400B5E">
            <w:pPr>
              <w:pStyle w:val="TableParagraph"/>
              <w:jc w:val="center"/>
              <w:rPr>
                <w:color w:val="0C81BC"/>
              </w:rPr>
            </w:pPr>
          </w:p>
        </w:tc>
        <w:tc>
          <w:tcPr>
            <w:tcW w:w="1227" w:type="dxa"/>
            <w:shd w:val="clear" w:color="auto" w:fill="auto"/>
          </w:tcPr>
          <w:p w14:paraId="19C7DC8D"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123" w:type="dxa"/>
            <w:shd w:val="clear" w:color="auto" w:fill="auto"/>
          </w:tcPr>
          <w:p w14:paraId="2364D561" w14:textId="77777777" w:rsidR="00122C1B" w:rsidRPr="00662974" w:rsidRDefault="00122C1B" w:rsidP="00400B5E">
            <w:pPr>
              <w:pStyle w:val="TableParagraph"/>
              <w:jc w:val="center"/>
              <w:rPr>
                <w:rFonts w:cs="Segoe UI"/>
                <w:color w:val="0C81BC"/>
              </w:rPr>
            </w:pPr>
          </w:p>
        </w:tc>
        <w:tc>
          <w:tcPr>
            <w:tcW w:w="1355" w:type="dxa"/>
            <w:shd w:val="clear" w:color="auto" w:fill="auto"/>
          </w:tcPr>
          <w:p w14:paraId="6E5AC101" w14:textId="16BB2C0E" w:rsidR="00122C1B" w:rsidRDefault="00122C1B" w:rsidP="00400B5E">
            <w:pPr>
              <w:pStyle w:val="TableParagraph"/>
              <w:jc w:val="center"/>
            </w:pPr>
            <w:r w:rsidRPr="00662974">
              <w:rPr>
                <w:rFonts w:cs="Segoe UI"/>
                <w:color w:val="0C81BC"/>
              </w:rPr>
              <w:sym w:font="Wingdings" w:char="F06C"/>
            </w:r>
            <w:r w:rsidRPr="00B8298F">
              <w:rPr>
                <w:rStyle w:val="EndnoteReference"/>
              </w:rPr>
              <w:fldChar w:fldCharType="begin"/>
            </w:r>
            <w:r w:rsidRPr="00B8298F">
              <w:rPr>
                <w:rFonts w:cs="Segoe UI"/>
                <w:vertAlign w:val="superscript"/>
              </w:rPr>
              <w:instrText xml:space="preserve"> NOTEREF _Ref508288874 \h </w:instrText>
            </w:r>
            <w:r w:rsidRPr="00B8298F">
              <w:rPr>
                <w:rStyle w:val="EndnoteReference"/>
              </w:rPr>
              <w:instrText xml:space="preserve"> \* MERGEFORMAT </w:instrText>
            </w:r>
            <w:r w:rsidRPr="00B8298F">
              <w:rPr>
                <w:rStyle w:val="EndnoteReference"/>
              </w:rPr>
            </w:r>
            <w:r w:rsidRPr="00B8298F">
              <w:rPr>
                <w:rStyle w:val="EndnoteReference"/>
              </w:rPr>
              <w:fldChar w:fldCharType="separate"/>
            </w:r>
            <w:r w:rsidR="00EB4B02">
              <w:rPr>
                <w:rFonts w:cs="Segoe UI"/>
                <w:vertAlign w:val="superscript"/>
              </w:rPr>
              <w:t>355</w:t>
            </w:r>
            <w:r w:rsidRPr="00B8298F">
              <w:rPr>
                <w:rStyle w:val="EndnoteReference"/>
              </w:rPr>
              <w:fldChar w:fldCharType="end"/>
            </w:r>
          </w:p>
        </w:tc>
      </w:tr>
      <w:tr w:rsidR="00122C1B" w14:paraId="190AF765" w14:textId="77777777" w:rsidTr="00A779B6">
        <w:tc>
          <w:tcPr>
            <w:tcW w:w="3969" w:type="dxa"/>
            <w:shd w:val="clear" w:color="auto" w:fill="auto"/>
          </w:tcPr>
          <w:p w14:paraId="03804F24" w14:textId="77777777" w:rsidR="00122C1B" w:rsidRDefault="00122C1B" w:rsidP="005F6F8B">
            <w:pPr>
              <w:pStyle w:val="TableList1"/>
            </w:pPr>
            <w:r>
              <w:t>Demerit points: 5 demerit points in 12 months or 12 demerit points in 3 years</w:t>
            </w:r>
          </w:p>
        </w:tc>
        <w:tc>
          <w:tcPr>
            <w:tcW w:w="690" w:type="dxa"/>
            <w:shd w:val="clear" w:color="auto" w:fill="auto"/>
          </w:tcPr>
          <w:p w14:paraId="6C68B78C"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70" w:type="dxa"/>
            <w:shd w:val="clear" w:color="auto" w:fill="auto"/>
          </w:tcPr>
          <w:p w14:paraId="08565ACB" w14:textId="77777777" w:rsidR="00122C1B" w:rsidRPr="00662974" w:rsidRDefault="00122C1B" w:rsidP="00400B5E">
            <w:pPr>
              <w:pStyle w:val="TableParagraph"/>
              <w:jc w:val="center"/>
              <w:rPr>
                <w:color w:val="0C81BC"/>
              </w:rPr>
            </w:pPr>
          </w:p>
        </w:tc>
        <w:tc>
          <w:tcPr>
            <w:tcW w:w="1227" w:type="dxa"/>
            <w:shd w:val="clear" w:color="auto" w:fill="auto"/>
          </w:tcPr>
          <w:p w14:paraId="73E5C4A2" w14:textId="77777777" w:rsidR="00122C1B" w:rsidRPr="00662974" w:rsidRDefault="00122C1B" w:rsidP="00400B5E">
            <w:pPr>
              <w:pStyle w:val="TableParagraph"/>
              <w:jc w:val="center"/>
              <w:rPr>
                <w:color w:val="0C81BC"/>
              </w:rPr>
            </w:pPr>
          </w:p>
        </w:tc>
        <w:tc>
          <w:tcPr>
            <w:tcW w:w="1123" w:type="dxa"/>
            <w:shd w:val="clear" w:color="auto" w:fill="auto"/>
          </w:tcPr>
          <w:p w14:paraId="50B55F1B" w14:textId="77777777" w:rsidR="00122C1B" w:rsidRPr="00662974" w:rsidRDefault="00122C1B" w:rsidP="00400B5E">
            <w:pPr>
              <w:pStyle w:val="TableParagraph"/>
              <w:jc w:val="center"/>
              <w:rPr>
                <w:rFonts w:cs="Segoe UI"/>
                <w:color w:val="0C81BC"/>
              </w:rPr>
            </w:pPr>
          </w:p>
        </w:tc>
        <w:tc>
          <w:tcPr>
            <w:tcW w:w="1355" w:type="dxa"/>
            <w:shd w:val="clear" w:color="auto" w:fill="auto"/>
          </w:tcPr>
          <w:p w14:paraId="590E6A25" w14:textId="77777777" w:rsidR="00122C1B" w:rsidRPr="00662974" w:rsidRDefault="00122C1B" w:rsidP="00400B5E">
            <w:pPr>
              <w:pStyle w:val="TableParagraph"/>
              <w:jc w:val="center"/>
              <w:rPr>
                <w:color w:val="0C81BC"/>
              </w:rPr>
            </w:pPr>
            <w:r w:rsidRPr="00662974">
              <w:rPr>
                <w:rFonts w:cs="Segoe UI"/>
                <w:color w:val="0C81BC"/>
              </w:rPr>
              <w:sym w:font="Wingdings" w:char="F06C"/>
            </w:r>
          </w:p>
        </w:tc>
      </w:tr>
      <w:tr w:rsidR="00122C1B" w14:paraId="7B5E98C7"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54C18B06" w14:textId="77777777" w:rsidR="00122C1B" w:rsidRDefault="00122C1B" w:rsidP="005F6F8B">
            <w:pPr>
              <w:pStyle w:val="TableList1"/>
            </w:pPr>
            <w:r>
              <w:t>Peer passenger restriction: Only one peer passenger aged between 16 and 21 years. Exemptions apply.</w:t>
            </w:r>
          </w:p>
        </w:tc>
        <w:tc>
          <w:tcPr>
            <w:tcW w:w="690" w:type="dxa"/>
            <w:shd w:val="clear" w:color="auto" w:fill="auto"/>
          </w:tcPr>
          <w:p w14:paraId="1FFF3AE6" w14:textId="77777777" w:rsidR="00122C1B" w:rsidRPr="00662974" w:rsidRDefault="00122C1B" w:rsidP="00400B5E">
            <w:pPr>
              <w:pStyle w:val="TableParagraph"/>
              <w:jc w:val="center"/>
              <w:rPr>
                <w:color w:val="0C81BC"/>
              </w:rPr>
            </w:pPr>
          </w:p>
        </w:tc>
        <w:tc>
          <w:tcPr>
            <w:tcW w:w="1270" w:type="dxa"/>
            <w:shd w:val="clear" w:color="auto" w:fill="auto"/>
          </w:tcPr>
          <w:p w14:paraId="1D835B9B"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27" w:type="dxa"/>
            <w:shd w:val="clear" w:color="auto" w:fill="auto"/>
          </w:tcPr>
          <w:p w14:paraId="535DF8D0" w14:textId="77777777" w:rsidR="00122C1B" w:rsidRPr="00662974" w:rsidRDefault="00122C1B" w:rsidP="00400B5E">
            <w:pPr>
              <w:pStyle w:val="TableParagraph"/>
              <w:jc w:val="center"/>
              <w:rPr>
                <w:color w:val="0C81BC"/>
              </w:rPr>
            </w:pPr>
          </w:p>
        </w:tc>
        <w:tc>
          <w:tcPr>
            <w:tcW w:w="1123" w:type="dxa"/>
            <w:shd w:val="clear" w:color="auto" w:fill="auto"/>
          </w:tcPr>
          <w:p w14:paraId="571F238B"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355" w:type="dxa"/>
            <w:shd w:val="clear" w:color="auto" w:fill="auto"/>
          </w:tcPr>
          <w:p w14:paraId="60A37F7C" w14:textId="77777777" w:rsidR="00122C1B" w:rsidRPr="00662974" w:rsidRDefault="00122C1B" w:rsidP="00400B5E">
            <w:pPr>
              <w:pStyle w:val="TableParagraph"/>
              <w:jc w:val="center"/>
              <w:rPr>
                <w:color w:val="0C81BC"/>
              </w:rPr>
            </w:pPr>
          </w:p>
        </w:tc>
      </w:tr>
      <w:tr w:rsidR="00122C1B" w14:paraId="08930457" w14:textId="77777777" w:rsidTr="00A779B6">
        <w:tc>
          <w:tcPr>
            <w:tcW w:w="3969" w:type="dxa"/>
            <w:shd w:val="clear" w:color="auto" w:fill="auto"/>
          </w:tcPr>
          <w:p w14:paraId="7717F73C" w14:textId="77777777" w:rsidR="00122C1B" w:rsidRDefault="00122C1B" w:rsidP="005F6F8B">
            <w:pPr>
              <w:pStyle w:val="TableList1"/>
            </w:pPr>
            <w:r>
              <w:t xml:space="preserve">Towing: Must not drive a motor vehicle that is towing another vehicle or a trailer, unless it is </w:t>
            </w:r>
            <w:r w:rsidRPr="000950A3">
              <w:t>in the course of the person's employment and at the request of the person's employer</w:t>
            </w:r>
            <w:r>
              <w:t xml:space="preserve">, or the </w:t>
            </w:r>
            <w:r w:rsidRPr="000950A3">
              <w:t xml:space="preserve">motor vehicle is being </w:t>
            </w:r>
            <w:r>
              <w:t xml:space="preserve">driven is </w:t>
            </w:r>
            <w:r w:rsidRPr="000950A3">
              <w:t>used solely in connection with agriculture, horticulture, dairying, pastoral or other similar pursuits or commercial fishing</w:t>
            </w:r>
            <w:r>
              <w:t xml:space="preserve"> or a supervising driver is sitting beside the driver.</w:t>
            </w:r>
          </w:p>
        </w:tc>
        <w:tc>
          <w:tcPr>
            <w:tcW w:w="690" w:type="dxa"/>
            <w:shd w:val="clear" w:color="auto" w:fill="auto"/>
          </w:tcPr>
          <w:p w14:paraId="6D74BD31" w14:textId="77777777" w:rsidR="00122C1B" w:rsidRPr="00662974" w:rsidRDefault="00122C1B" w:rsidP="00400B5E">
            <w:pPr>
              <w:pStyle w:val="TableParagraph"/>
              <w:jc w:val="center"/>
              <w:rPr>
                <w:color w:val="0C81BC"/>
              </w:rPr>
            </w:pPr>
          </w:p>
        </w:tc>
        <w:tc>
          <w:tcPr>
            <w:tcW w:w="1270" w:type="dxa"/>
            <w:shd w:val="clear" w:color="auto" w:fill="auto"/>
          </w:tcPr>
          <w:p w14:paraId="328AFF81"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27" w:type="dxa"/>
            <w:shd w:val="clear" w:color="auto" w:fill="auto"/>
          </w:tcPr>
          <w:p w14:paraId="1978D7B3" w14:textId="77777777" w:rsidR="00122C1B" w:rsidRPr="00662974" w:rsidRDefault="00122C1B" w:rsidP="00400B5E">
            <w:pPr>
              <w:pStyle w:val="TableParagraph"/>
              <w:jc w:val="center"/>
              <w:rPr>
                <w:color w:val="0C81BC"/>
              </w:rPr>
            </w:pPr>
          </w:p>
        </w:tc>
        <w:tc>
          <w:tcPr>
            <w:tcW w:w="1123" w:type="dxa"/>
            <w:shd w:val="clear" w:color="auto" w:fill="auto"/>
          </w:tcPr>
          <w:p w14:paraId="4BF7ADB7" w14:textId="77777777" w:rsidR="00122C1B" w:rsidRPr="00662974" w:rsidRDefault="00122C1B" w:rsidP="00400B5E">
            <w:pPr>
              <w:pStyle w:val="TableParagraph"/>
              <w:jc w:val="center"/>
              <w:rPr>
                <w:color w:val="0C81BC"/>
              </w:rPr>
            </w:pPr>
          </w:p>
        </w:tc>
        <w:tc>
          <w:tcPr>
            <w:tcW w:w="1355" w:type="dxa"/>
            <w:shd w:val="clear" w:color="auto" w:fill="auto"/>
          </w:tcPr>
          <w:p w14:paraId="77D02E74" w14:textId="77777777" w:rsidR="00122C1B" w:rsidRPr="00662974" w:rsidRDefault="00122C1B" w:rsidP="00400B5E">
            <w:pPr>
              <w:pStyle w:val="TableParagraph"/>
              <w:jc w:val="center"/>
              <w:rPr>
                <w:color w:val="0C81BC"/>
              </w:rPr>
            </w:pPr>
          </w:p>
        </w:tc>
      </w:tr>
      <w:tr w:rsidR="00122C1B" w14:paraId="6D2AFA27"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0B1A3C2D" w14:textId="77777777" w:rsidR="00122C1B" w:rsidRDefault="00122C1B" w:rsidP="005F6F8B">
            <w:pPr>
              <w:pStyle w:val="TableList1"/>
            </w:pPr>
            <w:r>
              <w:t>No mobile phone use, whether handheld or hands-free.</w:t>
            </w:r>
          </w:p>
        </w:tc>
        <w:tc>
          <w:tcPr>
            <w:tcW w:w="690" w:type="dxa"/>
            <w:shd w:val="clear" w:color="auto" w:fill="auto"/>
          </w:tcPr>
          <w:p w14:paraId="0883312A" w14:textId="77777777" w:rsidR="00122C1B" w:rsidRDefault="00122C1B" w:rsidP="00400B5E">
            <w:pPr>
              <w:pStyle w:val="TableParagraph"/>
              <w:jc w:val="center"/>
            </w:pPr>
          </w:p>
        </w:tc>
        <w:tc>
          <w:tcPr>
            <w:tcW w:w="1270" w:type="dxa"/>
            <w:shd w:val="clear" w:color="auto" w:fill="auto"/>
          </w:tcPr>
          <w:p w14:paraId="2C01CF2F" w14:textId="77777777" w:rsidR="00122C1B" w:rsidRDefault="00122C1B" w:rsidP="00400B5E">
            <w:pPr>
              <w:pStyle w:val="TableParagraph"/>
              <w:jc w:val="center"/>
            </w:pPr>
          </w:p>
        </w:tc>
        <w:tc>
          <w:tcPr>
            <w:tcW w:w="1227" w:type="dxa"/>
            <w:shd w:val="clear" w:color="auto" w:fill="auto"/>
          </w:tcPr>
          <w:p w14:paraId="5C75F705" w14:textId="77777777" w:rsidR="00122C1B" w:rsidRPr="00862896" w:rsidRDefault="00122C1B" w:rsidP="00400B5E">
            <w:pPr>
              <w:pStyle w:val="TableParagraph"/>
              <w:jc w:val="center"/>
              <w:rPr>
                <w:rFonts w:cs="Segoe UI"/>
                <w:color w:val="0C81BC"/>
              </w:rPr>
            </w:pPr>
            <w:r w:rsidRPr="00862896">
              <w:rPr>
                <w:rFonts w:cs="Segoe UI"/>
                <w:color w:val="0C81BC"/>
              </w:rPr>
              <w:sym w:font="Wingdings" w:char="F06C"/>
            </w:r>
          </w:p>
        </w:tc>
        <w:tc>
          <w:tcPr>
            <w:tcW w:w="1123" w:type="dxa"/>
            <w:shd w:val="clear" w:color="auto" w:fill="auto"/>
          </w:tcPr>
          <w:p w14:paraId="34925674" w14:textId="77777777" w:rsidR="00122C1B" w:rsidRPr="00D87CE0" w:rsidRDefault="00122C1B" w:rsidP="00400B5E">
            <w:pPr>
              <w:pStyle w:val="TableParagraph"/>
              <w:jc w:val="center"/>
              <w:rPr>
                <w:rFonts w:cs="Segoe UI"/>
                <w:color w:val="00B050"/>
              </w:rPr>
            </w:pPr>
          </w:p>
        </w:tc>
        <w:tc>
          <w:tcPr>
            <w:tcW w:w="1355" w:type="dxa"/>
            <w:shd w:val="clear" w:color="auto" w:fill="auto"/>
          </w:tcPr>
          <w:p w14:paraId="6D0B7F99" w14:textId="77777777" w:rsidR="00122C1B" w:rsidRDefault="00122C1B" w:rsidP="00400B5E">
            <w:pPr>
              <w:pStyle w:val="TableParagraph"/>
              <w:jc w:val="center"/>
            </w:pPr>
            <w:r w:rsidRPr="00862896">
              <w:rPr>
                <w:rFonts w:cs="Segoe UI"/>
                <w:color w:val="0C81BC"/>
              </w:rPr>
              <w:sym w:font="Wingdings" w:char="F06C"/>
            </w:r>
            <w:bookmarkStart w:id="499" w:name="_Ref508289254"/>
            <w:r w:rsidRPr="004A0D0F">
              <w:rPr>
                <w:rStyle w:val="EndnoteReference"/>
                <w:rFonts w:cs="Segoe UI"/>
              </w:rPr>
              <w:endnoteReference w:id="367"/>
            </w:r>
            <w:bookmarkEnd w:id="499"/>
          </w:p>
        </w:tc>
      </w:tr>
      <w:tr w:rsidR="00122C1B" w:rsidRPr="00875385" w14:paraId="6523992D" w14:textId="77777777" w:rsidTr="00A779B6">
        <w:tc>
          <w:tcPr>
            <w:tcW w:w="3969" w:type="dxa"/>
            <w:shd w:val="clear" w:color="auto" w:fill="DDE8F4" w:themeFill="text2" w:themeFillTint="1A"/>
          </w:tcPr>
          <w:p w14:paraId="24CBA7D3" w14:textId="77777777" w:rsidR="00122C1B" w:rsidRPr="00875385" w:rsidRDefault="00122C1B" w:rsidP="00662974">
            <w:pPr>
              <w:pStyle w:val="TableParagraph"/>
              <w:keepNext/>
              <w:rPr>
                <w:b/>
              </w:rPr>
            </w:pPr>
            <w:r>
              <w:rPr>
                <w:b/>
              </w:rPr>
              <w:t>Probationary P2 (Green)</w:t>
            </w:r>
          </w:p>
        </w:tc>
        <w:tc>
          <w:tcPr>
            <w:tcW w:w="690" w:type="dxa"/>
            <w:shd w:val="clear" w:color="auto" w:fill="DDE8F4" w:themeFill="text2" w:themeFillTint="1A"/>
          </w:tcPr>
          <w:p w14:paraId="33F214A8" w14:textId="77777777" w:rsidR="00122C1B" w:rsidRPr="00875385" w:rsidRDefault="00122C1B" w:rsidP="00400B5E">
            <w:pPr>
              <w:pStyle w:val="TableParagraph"/>
              <w:jc w:val="center"/>
              <w:rPr>
                <w:b/>
              </w:rPr>
            </w:pPr>
          </w:p>
        </w:tc>
        <w:tc>
          <w:tcPr>
            <w:tcW w:w="1270" w:type="dxa"/>
            <w:shd w:val="clear" w:color="auto" w:fill="DDE8F4" w:themeFill="text2" w:themeFillTint="1A"/>
          </w:tcPr>
          <w:p w14:paraId="690F440D" w14:textId="77777777" w:rsidR="00122C1B" w:rsidRPr="00875385" w:rsidRDefault="00122C1B" w:rsidP="00400B5E">
            <w:pPr>
              <w:pStyle w:val="TableParagraph"/>
              <w:jc w:val="center"/>
              <w:rPr>
                <w:b/>
              </w:rPr>
            </w:pPr>
          </w:p>
        </w:tc>
        <w:tc>
          <w:tcPr>
            <w:tcW w:w="1227" w:type="dxa"/>
            <w:shd w:val="clear" w:color="auto" w:fill="DDE8F4" w:themeFill="text2" w:themeFillTint="1A"/>
          </w:tcPr>
          <w:p w14:paraId="09B28A75" w14:textId="77777777" w:rsidR="00122C1B" w:rsidRPr="00875385" w:rsidRDefault="00122C1B" w:rsidP="00400B5E">
            <w:pPr>
              <w:pStyle w:val="TableParagraph"/>
              <w:jc w:val="center"/>
              <w:rPr>
                <w:b/>
              </w:rPr>
            </w:pPr>
          </w:p>
        </w:tc>
        <w:tc>
          <w:tcPr>
            <w:tcW w:w="1123" w:type="dxa"/>
            <w:shd w:val="clear" w:color="auto" w:fill="DDE8F4" w:themeFill="text2" w:themeFillTint="1A"/>
          </w:tcPr>
          <w:p w14:paraId="217654EA" w14:textId="77777777" w:rsidR="00122C1B" w:rsidRPr="00875385" w:rsidRDefault="00122C1B" w:rsidP="00400B5E">
            <w:pPr>
              <w:pStyle w:val="TableParagraph"/>
              <w:jc w:val="center"/>
              <w:rPr>
                <w:b/>
              </w:rPr>
            </w:pPr>
          </w:p>
        </w:tc>
        <w:tc>
          <w:tcPr>
            <w:tcW w:w="1355" w:type="dxa"/>
            <w:shd w:val="clear" w:color="auto" w:fill="DDE8F4" w:themeFill="text2" w:themeFillTint="1A"/>
          </w:tcPr>
          <w:p w14:paraId="53A46781" w14:textId="77777777" w:rsidR="00122C1B" w:rsidRPr="00875385" w:rsidRDefault="00122C1B" w:rsidP="00400B5E">
            <w:pPr>
              <w:pStyle w:val="TableParagraph"/>
              <w:jc w:val="center"/>
              <w:rPr>
                <w:b/>
              </w:rPr>
            </w:pPr>
          </w:p>
        </w:tc>
      </w:tr>
      <w:tr w:rsidR="00122C1B" w14:paraId="42DC9AB6"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21B840F8" w14:textId="77777777" w:rsidR="00122C1B" w:rsidRPr="00E76DAA" w:rsidRDefault="00122C1B" w:rsidP="005F6F8B">
            <w:pPr>
              <w:pStyle w:val="TableList1"/>
            </w:pPr>
            <w:r w:rsidRPr="00E76DAA">
              <w:t xml:space="preserve">Minimum age: </w:t>
            </w:r>
            <w:r>
              <w:t>19 years</w:t>
            </w:r>
          </w:p>
        </w:tc>
        <w:tc>
          <w:tcPr>
            <w:tcW w:w="690" w:type="dxa"/>
            <w:shd w:val="clear" w:color="auto" w:fill="auto"/>
          </w:tcPr>
          <w:p w14:paraId="34A139F8" w14:textId="77777777" w:rsidR="00122C1B" w:rsidRPr="00662974" w:rsidRDefault="00122C1B" w:rsidP="00D6529D">
            <w:pPr>
              <w:pStyle w:val="TableParagraph"/>
              <w:jc w:val="center"/>
              <w:rPr>
                <w:color w:val="0C81BC"/>
              </w:rPr>
            </w:pPr>
            <w:r w:rsidRPr="00662974">
              <w:rPr>
                <w:rFonts w:cs="Segoe UI"/>
                <w:color w:val="0C81BC"/>
              </w:rPr>
              <w:sym w:font="Wingdings" w:char="F06C"/>
            </w:r>
          </w:p>
        </w:tc>
        <w:tc>
          <w:tcPr>
            <w:tcW w:w="1270" w:type="dxa"/>
            <w:shd w:val="clear" w:color="auto" w:fill="auto"/>
          </w:tcPr>
          <w:p w14:paraId="2839AAB3" w14:textId="77777777" w:rsidR="00122C1B" w:rsidRPr="00662974" w:rsidRDefault="00122C1B" w:rsidP="00D6529D">
            <w:pPr>
              <w:pStyle w:val="TableParagraph"/>
              <w:jc w:val="center"/>
              <w:rPr>
                <w:color w:val="0C81BC"/>
              </w:rPr>
            </w:pPr>
            <w:r w:rsidRPr="00662974">
              <w:rPr>
                <w:rFonts w:cs="Segoe UI"/>
                <w:color w:val="0C81BC"/>
              </w:rPr>
              <w:sym w:font="Wingdings" w:char="F06C"/>
            </w:r>
          </w:p>
        </w:tc>
        <w:tc>
          <w:tcPr>
            <w:tcW w:w="1227" w:type="dxa"/>
            <w:shd w:val="clear" w:color="auto" w:fill="auto"/>
          </w:tcPr>
          <w:p w14:paraId="47565311" w14:textId="77777777" w:rsidR="00122C1B" w:rsidRPr="00662974" w:rsidRDefault="00122C1B" w:rsidP="00D6529D">
            <w:pPr>
              <w:pStyle w:val="TableParagraph"/>
              <w:jc w:val="center"/>
              <w:rPr>
                <w:color w:val="0C81BC"/>
              </w:rPr>
            </w:pPr>
          </w:p>
        </w:tc>
        <w:tc>
          <w:tcPr>
            <w:tcW w:w="1123" w:type="dxa"/>
            <w:shd w:val="clear" w:color="auto" w:fill="auto"/>
          </w:tcPr>
          <w:p w14:paraId="55BD9C4D" w14:textId="77777777" w:rsidR="00122C1B" w:rsidRPr="00662974" w:rsidRDefault="00122C1B" w:rsidP="00D6529D">
            <w:pPr>
              <w:pStyle w:val="TableParagraph"/>
              <w:jc w:val="center"/>
              <w:rPr>
                <w:color w:val="0C81BC"/>
              </w:rPr>
            </w:pPr>
          </w:p>
        </w:tc>
        <w:tc>
          <w:tcPr>
            <w:tcW w:w="1355" w:type="dxa"/>
            <w:shd w:val="clear" w:color="auto" w:fill="auto"/>
          </w:tcPr>
          <w:p w14:paraId="662209BE" w14:textId="77777777" w:rsidR="00122C1B" w:rsidRPr="00662974" w:rsidRDefault="00122C1B" w:rsidP="00D6529D">
            <w:pPr>
              <w:pStyle w:val="TableParagraph"/>
              <w:jc w:val="center"/>
              <w:rPr>
                <w:color w:val="0C81BC"/>
              </w:rPr>
            </w:pPr>
          </w:p>
        </w:tc>
      </w:tr>
      <w:tr w:rsidR="00122C1B" w14:paraId="4EFFEA81" w14:textId="77777777" w:rsidTr="00A779B6">
        <w:tc>
          <w:tcPr>
            <w:tcW w:w="3969" w:type="dxa"/>
            <w:shd w:val="clear" w:color="auto" w:fill="auto"/>
          </w:tcPr>
          <w:p w14:paraId="2428060B" w14:textId="77777777" w:rsidR="00122C1B" w:rsidRPr="00E76DAA" w:rsidRDefault="00122C1B" w:rsidP="005F6F8B">
            <w:pPr>
              <w:pStyle w:val="TableList1"/>
            </w:pPr>
            <w:r w:rsidRPr="00E76DAA">
              <w:t xml:space="preserve">Must display green “P” </w:t>
            </w:r>
            <w:r>
              <w:t>p</w:t>
            </w:r>
            <w:r w:rsidRPr="00E76DAA">
              <w:t>late</w:t>
            </w:r>
            <w:r>
              <w:t>s.</w:t>
            </w:r>
          </w:p>
        </w:tc>
        <w:tc>
          <w:tcPr>
            <w:tcW w:w="690" w:type="dxa"/>
            <w:shd w:val="clear" w:color="auto" w:fill="auto"/>
          </w:tcPr>
          <w:p w14:paraId="2E7CAA3D" w14:textId="77777777" w:rsidR="00122C1B" w:rsidRPr="00662974" w:rsidRDefault="00122C1B" w:rsidP="00400B5E">
            <w:pPr>
              <w:pStyle w:val="TableParagraph"/>
              <w:jc w:val="center"/>
              <w:rPr>
                <w:color w:val="0C81BC"/>
              </w:rPr>
            </w:pPr>
          </w:p>
        </w:tc>
        <w:tc>
          <w:tcPr>
            <w:tcW w:w="1270" w:type="dxa"/>
            <w:shd w:val="clear" w:color="auto" w:fill="auto"/>
          </w:tcPr>
          <w:p w14:paraId="7F9BC29E"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27" w:type="dxa"/>
            <w:shd w:val="clear" w:color="auto" w:fill="auto"/>
          </w:tcPr>
          <w:p w14:paraId="15862D26" w14:textId="77777777" w:rsidR="00122C1B" w:rsidRPr="00662974" w:rsidRDefault="00122C1B" w:rsidP="00400B5E">
            <w:pPr>
              <w:pStyle w:val="TableParagraph"/>
              <w:jc w:val="center"/>
              <w:rPr>
                <w:color w:val="0C81BC"/>
              </w:rPr>
            </w:pPr>
          </w:p>
        </w:tc>
        <w:tc>
          <w:tcPr>
            <w:tcW w:w="1123" w:type="dxa"/>
            <w:shd w:val="clear" w:color="auto" w:fill="auto"/>
          </w:tcPr>
          <w:p w14:paraId="577EC71F" w14:textId="77777777" w:rsidR="00122C1B" w:rsidRPr="00662974" w:rsidRDefault="00122C1B" w:rsidP="00400B5E">
            <w:pPr>
              <w:pStyle w:val="TableParagraph"/>
              <w:jc w:val="center"/>
              <w:rPr>
                <w:color w:val="0C81BC"/>
              </w:rPr>
            </w:pPr>
          </w:p>
        </w:tc>
        <w:tc>
          <w:tcPr>
            <w:tcW w:w="1355" w:type="dxa"/>
            <w:shd w:val="clear" w:color="auto" w:fill="auto"/>
          </w:tcPr>
          <w:p w14:paraId="35A9D292" w14:textId="77777777" w:rsidR="00122C1B" w:rsidRPr="00662974" w:rsidRDefault="00122C1B" w:rsidP="00400B5E">
            <w:pPr>
              <w:pStyle w:val="TableParagraph"/>
              <w:jc w:val="center"/>
              <w:rPr>
                <w:color w:val="0C81BC"/>
              </w:rPr>
            </w:pPr>
          </w:p>
        </w:tc>
      </w:tr>
      <w:tr w:rsidR="00122C1B" w14:paraId="08AAA7D3"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4AD42AEF" w14:textId="77777777" w:rsidR="00122C1B" w:rsidRPr="00E76DAA" w:rsidRDefault="00122C1B" w:rsidP="005F6F8B">
            <w:pPr>
              <w:pStyle w:val="TableList1"/>
            </w:pPr>
            <w:r>
              <w:t>Must carry</w:t>
            </w:r>
            <w:r w:rsidRPr="00E76DAA">
              <w:t xml:space="preserve"> probationary licence</w:t>
            </w:r>
            <w:r>
              <w:t>.</w:t>
            </w:r>
          </w:p>
        </w:tc>
        <w:tc>
          <w:tcPr>
            <w:tcW w:w="690" w:type="dxa"/>
            <w:shd w:val="clear" w:color="auto" w:fill="auto"/>
          </w:tcPr>
          <w:p w14:paraId="487FE505"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70" w:type="dxa"/>
            <w:shd w:val="clear" w:color="auto" w:fill="auto"/>
          </w:tcPr>
          <w:p w14:paraId="6D81D49E" w14:textId="77777777" w:rsidR="00122C1B" w:rsidRPr="00662974" w:rsidRDefault="00122C1B" w:rsidP="00400B5E">
            <w:pPr>
              <w:pStyle w:val="TableParagraph"/>
              <w:jc w:val="center"/>
              <w:rPr>
                <w:color w:val="0C81BC"/>
              </w:rPr>
            </w:pPr>
          </w:p>
        </w:tc>
        <w:tc>
          <w:tcPr>
            <w:tcW w:w="1227" w:type="dxa"/>
            <w:shd w:val="clear" w:color="auto" w:fill="auto"/>
          </w:tcPr>
          <w:p w14:paraId="28C6AF81" w14:textId="77777777" w:rsidR="00122C1B" w:rsidRPr="00662974" w:rsidRDefault="00122C1B" w:rsidP="00400B5E">
            <w:pPr>
              <w:pStyle w:val="TableParagraph"/>
              <w:jc w:val="center"/>
              <w:rPr>
                <w:color w:val="0C81BC"/>
              </w:rPr>
            </w:pPr>
          </w:p>
        </w:tc>
        <w:tc>
          <w:tcPr>
            <w:tcW w:w="1123" w:type="dxa"/>
            <w:shd w:val="clear" w:color="auto" w:fill="auto"/>
          </w:tcPr>
          <w:p w14:paraId="6947B650" w14:textId="77777777" w:rsidR="00122C1B" w:rsidRPr="00662974" w:rsidRDefault="00122C1B" w:rsidP="00400B5E">
            <w:pPr>
              <w:pStyle w:val="TableParagraph"/>
              <w:jc w:val="center"/>
              <w:rPr>
                <w:rFonts w:cs="Segoe UI"/>
                <w:color w:val="0C81BC"/>
              </w:rPr>
            </w:pPr>
          </w:p>
        </w:tc>
        <w:tc>
          <w:tcPr>
            <w:tcW w:w="1355" w:type="dxa"/>
            <w:shd w:val="clear" w:color="auto" w:fill="auto"/>
          </w:tcPr>
          <w:p w14:paraId="7F29FBB7" w14:textId="77777777" w:rsidR="00122C1B" w:rsidRPr="00662974" w:rsidRDefault="00122C1B" w:rsidP="00400B5E">
            <w:pPr>
              <w:pStyle w:val="TableParagraph"/>
              <w:jc w:val="center"/>
              <w:rPr>
                <w:color w:val="0C81BC"/>
              </w:rPr>
            </w:pPr>
            <w:r w:rsidRPr="00662974">
              <w:rPr>
                <w:rFonts w:cs="Segoe UI"/>
                <w:color w:val="0C81BC"/>
              </w:rPr>
              <w:sym w:font="Wingdings" w:char="F06C"/>
            </w:r>
          </w:p>
        </w:tc>
      </w:tr>
      <w:tr w:rsidR="00122C1B" w14:paraId="12C671AA" w14:textId="77777777" w:rsidTr="00A779B6">
        <w:tc>
          <w:tcPr>
            <w:tcW w:w="3969" w:type="dxa"/>
            <w:shd w:val="clear" w:color="auto" w:fill="auto"/>
          </w:tcPr>
          <w:p w14:paraId="15F50560" w14:textId="77777777" w:rsidR="00122C1B" w:rsidRPr="00E76DAA" w:rsidRDefault="00122C1B" w:rsidP="005F6F8B">
            <w:pPr>
              <w:pStyle w:val="TableList1"/>
            </w:pPr>
            <w:r w:rsidRPr="00E76DAA">
              <w:t>Must not drive probationary prohibited vehicles (exemptions apply).</w:t>
            </w:r>
          </w:p>
        </w:tc>
        <w:tc>
          <w:tcPr>
            <w:tcW w:w="690" w:type="dxa"/>
            <w:shd w:val="clear" w:color="auto" w:fill="auto"/>
          </w:tcPr>
          <w:p w14:paraId="73DBDE6E" w14:textId="77777777" w:rsidR="00122C1B" w:rsidRPr="00662974" w:rsidRDefault="00122C1B" w:rsidP="00400B5E">
            <w:pPr>
              <w:pStyle w:val="TableParagraph"/>
              <w:jc w:val="center"/>
              <w:rPr>
                <w:color w:val="0C81BC"/>
              </w:rPr>
            </w:pPr>
          </w:p>
        </w:tc>
        <w:tc>
          <w:tcPr>
            <w:tcW w:w="1270" w:type="dxa"/>
            <w:shd w:val="clear" w:color="auto" w:fill="auto"/>
          </w:tcPr>
          <w:p w14:paraId="54F128C2"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27" w:type="dxa"/>
            <w:shd w:val="clear" w:color="auto" w:fill="auto"/>
          </w:tcPr>
          <w:p w14:paraId="42B56BA0" w14:textId="77777777" w:rsidR="00122C1B" w:rsidRPr="00662974" w:rsidRDefault="00122C1B" w:rsidP="00400B5E">
            <w:pPr>
              <w:pStyle w:val="TableParagraph"/>
              <w:jc w:val="center"/>
              <w:rPr>
                <w:color w:val="0C81BC"/>
              </w:rPr>
            </w:pPr>
          </w:p>
        </w:tc>
        <w:tc>
          <w:tcPr>
            <w:tcW w:w="1123" w:type="dxa"/>
            <w:shd w:val="clear" w:color="auto" w:fill="auto"/>
          </w:tcPr>
          <w:p w14:paraId="44EEA819" w14:textId="77777777" w:rsidR="00122C1B" w:rsidRPr="00662974" w:rsidRDefault="00122C1B" w:rsidP="00400B5E">
            <w:pPr>
              <w:pStyle w:val="TableParagraph"/>
              <w:jc w:val="center"/>
              <w:rPr>
                <w:color w:val="0C81BC"/>
              </w:rPr>
            </w:pPr>
          </w:p>
        </w:tc>
        <w:tc>
          <w:tcPr>
            <w:tcW w:w="1355" w:type="dxa"/>
            <w:shd w:val="clear" w:color="auto" w:fill="auto"/>
          </w:tcPr>
          <w:p w14:paraId="12B3B228" w14:textId="77777777" w:rsidR="00122C1B" w:rsidRPr="00662974" w:rsidRDefault="00122C1B" w:rsidP="00400B5E">
            <w:pPr>
              <w:pStyle w:val="TableParagraph"/>
              <w:jc w:val="center"/>
              <w:rPr>
                <w:color w:val="0C81BC"/>
              </w:rPr>
            </w:pPr>
          </w:p>
        </w:tc>
      </w:tr>
      <w:tr w:rsidR="00122C1B" w14:paraId="2A4F6E38"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62034505" w14:textId="77777777" w:rsidR="00122C1B" w:rsidRPr="00E76DAA" w:rsidRDefault="00122C1B" w:rsidP="005F6F8B">
            <w:pPr>
              <w:pStyle w:val="TableList1"/>
            </w:pPr>
            <w:r w:rsidRPr="00E76DAA">
              <w:t>If</w:t>
            </w:r>
            <w:r>
              <w:t xml:space="preserve"> drive</w:t>
            </w:r>
            <w:r w:rsidRPr="00E76DAA">
              <w:t xml:space="preserve"> test </w:t>
            </w:r>
            <w:r>
              <w:t xml:space="preserve">or assessment is </w:t>
            </w:r>
            <w:r w:rsidRPr="00E76DAA">
              <w:t>passed in an automatic car</w:t>
            </w:r>
            <w:r>
              <w:t>,</w:t>
            </w:r>
            <w:r w:rsidRPr="00E76DAA">
              <w:t xml:space="preserve"> an </w:t>
            </w:r>
            <w:r>
              <w:t>‘</w:t>
            </w:r>
            <w:r w:rsidRPr="00E76DAA">
              <w:t>automatic</w:t>
            </w:r>
            <w:r>
              <w:t>’</w:t>
            </w:r>
            <w:r w:rsidRPr="00E76DAA">
              <w:t xml:space="preserve"> condition will be imposed on the licence.</w:t>
            </w:r>
          </w:p>
        </w:tc>
        <w:tc>
          <w:tcPr>
            <w:tcW w:w="690" w:type="dxa"/>
            <w:shd w:val="clear" w:color="auto" w:fill="auto"/>
          </w:tcPr>
          <w:p w14:paraId="327BCED9" w14:textId="77777777" w:rsidR="00122C1B" w:rsidRPr="00662974" w:rsidRDefault="00122C1B" w:rsidP="00400B5E">
            <w:pPr>
              <w:pStyle w:val="TableParagraph"/>
              <w:jc w:val="center"/>
              <w:rPr>
                <w:color w:val="0C81BC"/>
              </w:rPr>
            </w:pPr>
          </w:p>
        </w:tc>
        <w:tc>
          <w:tcPr>
            <w:tcW w:w="1270" w:type="dxa"/>
            <w:shd w:val="clear" w:color="auto" w:fill="auto"/>
          </w:tcPr>
          <w:p w14:paraId="52BB223D"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27" w:type="dxa"/>
            <w:shd w:val="clear" w:color="auto" w:fill="auto"/>
          </w:tcPr>
          <w:p w14:paraId="701D5BF8" w14:textId="77777777" w:rsidR="00122C1B" w:rsidRPr="00662974" w:rsidRDefault="00122C1B" w:rsidP="00400B5E">
            <w:pPr>
              <w:pStyle w:val="TableParagraph"/>
              <w:jc w:val="center"/>
              <w:rPr>
                <w:rFonts w:cs="Segoe UI"/>
                <w:color w:val="0C81BC"/>
              </w:rPr>
            </w:pPr>
          </w:p>
        </w:tc>
        <w:tc>
          <w:tcPr>
            <w:tcW w:w="1123" w:type="dxa"/>
            <w:shd w:val="clear" w:color="auto" w:fill="auto"/>
          </w:tcPr>
          <w:p w14:paraId="315E22D2" w14:textId="77777777" w:rsidR="00122C1B" w:rsidRPr="00662974" w:rsidRDefault="00122C1B" w:rsidP="00400B5E">
            <w:pPr>
              <w:pStyle w:val="TableParagraph"/>
              <w:jc w:val="center"/>
              <w:rPr>
                <w:rFonts w:cs="Segoe UI"/>
                <w:color w:val="0C81BC"/>
              </w:rPr>
            </w:pPr>
          </w:p>
        </w:tc>
        <w:tc>
          <w:tcPr>
            <w:tcW w:w="1355" w:type="dxa"/>
            <w:shd w:val="clear" w:color="auto" w:fill="auto"/>
          </w:tcPr>
          <w:p w14:paraId="036A9128" w14:textId="77777777" w:rsidR="00122C1B" w:rsidRPr="00662974" w:rsidRDefault="00122C1B" w:rsidP="00400B5E">
            <w:pPr>
              <w:pStyle w:val="TableParagraph"/>
              <w:jc w:val="center"/>
              <w:rPr>
                <w:rFonts w:cs="Segoe UI"/>
                <w:color w:val="0C81BC"/>
              </w:rPr>
            </w:pPr>
          </w:p>
        </w:tc>
      </w:tr>
      <w:tr w:rsidR="00122C1B" w14:paraId="293595D5" w14:textId="77777777" w:rsidTr="00A779B6">
        <w:tc>
          <w:tcPr>
            <w:tcW w:w="3969" w:type="dxa"/>
            <w:shd w:val="clear" w:color="auto" w:fill="auto"/>
          </w:tcPr>
          <w:p w14:paraId="44442725" w14:textId="77777777" w:rsidR="00122C1B" w:rsidRPr="00E76DAA" w:rsidRDefault="00122C1B" w:rsidP="005F6F8B">
            <w:pPr>
              <w:pStyle w:val="TableList1"/>
            </w:pPr>
            <w:r>
              <w:t>No mobile phone use, whether handheld or hands-free</w:t>
            </w:r>
            <w:r w:rsidRPr="00E76DAA">
              <w:t>.</w:t>
            </w:r>
          </w:p>
        </w:tc>
        <w:tc>
          <w:tcPr>
            <w:tcW w:w="690" w:type="dxa"/>
            <w:shd w:val="clear" w:color="auto" w:fill="auto"/>
          </w:tcPr>
          <w:p w14:paraId="059E9741" w14:textId="77777777" w:rsidR="00122C1B" w:rsidRPr="00662974" w:rsidRDefault="00122C1B" w:rsidP="00400B5E">
            <w:pPr>
              <w:pStyle w:val="TableParagraph"/>
              <w:jc w:val="center"/>
              <w:rPr>
                <w:color w:val="0C81BC"/>
              </w:rPr>
            </w:pPr>
          </w:p>
        </w:tc>
        <w:tc>
          <w:tcPr>
            <w:tcW w:w="1270" w:type="dxa"/>
            <w:shd w:val="clear" w:color="auto" w:fill="auto"/>
          </w:tcPr>
          <w:p w14:paraId="301D3FCD" w14:textId="77777777" w:rsidR="00122C1B" w:rsidRPr="00662974" w:rsidRDefault="00122C1B" w:rsidP="00400B5E">
            <w:pPr>
              <w:pStyle w:val="TableParagraph"/>
              <w:jc w:val="center"/>
              <w:rPr>
                <w:color w:val="0C81BC"/>
              </w:rPr>
            </w:pPr>
          </w:p>
        </w:tc>
        <w:tc>
          <w:tcPr>
            <w:tcW w:w="1227" w:type="dxa"/>
            <w:shd w:val="clear" w:color="auto" w:fill="auto"/>
          </w:tcPr>
          <w:p w14:paraId="6D25753C"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123" w:type="dxa"/>
            <w:shd w:val="clear" w:color="auto" w:fill="auto"/>
          </w:tcPr>
          <w:p w14:paraId="510F6FDD" w14:textId="77777777" w:rsidR="00122C1B" w:rsidRPr="00662974" w:rsidRDefault="00122C1B" w:rsidP="00400B5E">
            <w:pPr>
              <w:pStyle w:val="TableParagraph"/>
              <w:jc w:val="center"/>
              <w:rPr>
                <w:rFonts w:cs="Segoe UI"/>
                <w:color w:val="0C81BC"/>
              </w:rPr>
            </w:pPr>
            <w:r w:rsidRPr="00662974">
              <w:rPr>
                <w:rFonts w:cs="Segoe UI"/>
                <w:color w:val="0C81BC"/>
              </w:rPr>
              <w:sym w:font="Wingdings" w:char="F06C"/>
            </w:r>
          </w:p>
        </w:tc>
        <w:tc>
          <w:tcPr>
            <w:tcW w:w="1355" w:type="dxa"/>
            <w:shd w:val="clear" w:color="auto" w:fill="auto"/>
          </w:tcPr>
          <w:p w14:paraId="58434EDF" w14:textId="0249BF4D" w:rsidR="00122C1B" w:rsidRDefault="00122C1B" w:rsidP="00400B5E">
            <w:pPr>
              <w:pStyle w:val="TableParagraph"/>
              <w:jc w:val="center"/>
            </w:pPr>
            <w:r w:rsidRPr="00662974">
              <w:rPr>
                <w:rFonts w:cs="Segoe UI"/>
                <w:color w:val="0C81BC"/>
              </w:rPr>
              <w:sym w:font="Wingdings" w:char="F06C"/>
            </w:r>
            <w:r w:rsidRPr="004A0D0F">
              <w:rPr>
                <w:rFonts w:cs="Segoe UI"/>
                <w:vertAlign w:val="superscript"/>
              </w:rPr>
              <w:fldChar w:fldCharType="begin"/>
            </w:r>
            <w:r w:rsidRPr="004A0D0F">
              <w:rPr>
                <w:rFonts w:cs="Segoe UI"/>
                <w:vertAlign w:val="superscript"/>
              </w:rPr>
              <w:instrText xml:space="preserve"> NOTEREF _Ref508289254 \h  \* MERGEFORMAT </w:instrText>
            </w:r>
            <w:r w:rsidRPr="004A0D0F">
              <w:rPr>
                <w:rFonts w:cs="Segoe UI"/>
                <w:vertAlign w:val="superscript"/>
              </w:rPr>
            </w:r>
            <w:r w:rsidRPr="004A0D0F">
              <w:rPr>
                <w:rFonts w:cs="Segoe UI"/>
                <w:vertAlign w:val="superscript"/>
              </w:rPr>
              <w:fldChar w:fldCharType="separate"/>
            </w:r>
            <w:r w:rsidR="00EB4B02">
              <w:rPr>
                <w:rFonts w:cs="Segoe UI"/>
                <w:vertAlign w:val="superscript"/>
              </w:rPr>
              <w:t>366</w:t>
            </w:r>
            <w:r w:rsidRPr="004A0D0F">
              <w:rPr>
                <w:rFonts w:cs="Segoe UI"/>
                <w:vertAlign w:val="superscript"/>
              </w:rPr>
              <w:fldChar w:fldCharType="end"/>
            </w:r>
          </w:p>
        </w:tc>
      </w:tr>
      <w:tr w:rsidR="00122C1B" w14:paraId="7B775DBC"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07C1D789" w14:textId="77777777" w:rsidR="00122C1B" w:rsidRPr="00E76DAA" w:rsidRDefault="00122C1B" w:rsidP="005F6F8B">
            <w:pPr>
              <w:pStyle w:val="TableList1"/>
            </w:pPr>
            <w:r>
              <w:t xml:space="preserve">Learners aged 21 years and above must pass appropriate test or assessment required to </w:t>
            </w:r>
            <w:r>
              <w:lastRenderedPageBreak/>
              <w:t>obtain P2 licence (computer-based hazard perception test and practical driving test).</w:t>
            </w:r>
          </w:p>
        </w:tc>
        <w:tc>
          <w:tcPr>
            <w:tcW w:w="690" w:type="dxa"/>
            <w:shd w:val="clear" w:color="auto" w:fill="auto"/>
          </w:tcPr>
          <w:p w14:paraId="32765D5D" w14:textId="77777777" w:rsidR="00122C1B" w:rsidRPr="00662974" w:rsidRDefault="00122C1B" w:rsidP="00400B5E">
            <w:pPr>
              <w:pStyle w:val="TableParagraph"/>
              <w:jc w:val="center"/>
              <w:rPr>
                <w:color w:val="0C81BC"/>
              </w:rPr>
            </w:pPr>
          </w:p>
        </w:tc>
        <w:tc>
          <w:tcPr>
            <w:tcW w:w="1270" w:type="dxa"/>
            <w:shd w:val="clear" w:color="auto" w:fill="auto"/>
          </w:tcPr>
          <w:p w14:paraId="01E89447"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27" w:type="dxa"/>
            <w:shd w:val="clear" w:color="auto" w:fill="auto"/>
          </w:tcPr>
          <w:p w14:paraId="528D12F3" w14:textId="77777777" w:rsidR="00122C1B" w:rsidRPr="00662974" w:rsidRDefault="00122C1B" w:rsidP="00400B5E">
            <w:pPr>
              <w:pStyle w:val="TableParagraph"/>
              <w:jc w:val="center"/>
              <w:rPr>
                <w:color w:val="0C81BC"/>
              </w:rPr>
            </w:pPr>
          </w:p>
        </w:tc>
        <w:tc>
          <w:tcPr>
            <w:tcW w:w="1123" w:type="dxa"/>
            <w:shd w:val="clear" w:color="auto" w:fill="auto"/>
          </w:tcPr>
          <w:p w14:paraId="091CE619" w14:textId="77777777" w:rsidR="00122C1B" w:rsidRPr="00662974" w:rsidRDefault="00122C1B" w:rsidP="00400B5E">
            <w:pPr>
              <w:pStyle w:val="TableParagraph"/>
              <w:jc w:val="center"/>
              <w:rPr>
                <w:rFonts w:cs="Segoe UI"/>
                <w:color w:val="0C81BC"/>
              </w:rPr>
            </w:pPr>
          </w:p>
        </w:tc>
        <w:tc>
          <w:tcPr>
            <w:tcW w:w="1355" w:type="dxa"/>
            <w:shd w:val="clear" w:color="auto" w:fill="auto"/>
          </w:tcPr>
          <w:p w14:paraId="34B41431" w14:textId="4C17BF9D" w:rsidR="00122C1B" w:rsidRDefault="00122C1B" w:rsidP="00400B5E">
            <w:pPr>
              <w:pStyle w:val="TableParagraph"/>
              <w:jc w:val="center"/>
            </w:pPr>
            <w:r w:rsidRPr="00662974">
              <w:rPr>
                <w:rFonts w:cs="Segoe UI"/>
                <w:color w:val="0C81BC"/>
              </w:rPr>
              <w:sym w:font="Wingdings" w:char="F06C"/>
            </w:r>
            <w:r w:rsidRPr="004A0D0F">
              <w:rPr>
                <w:rFonts w:cs="Segoe UI"/>
                <w:vertAlign w:val="superscript"/>
              </w:rPr>
              <w:fldChar w:fldCharType="begin"/>
            </w:r>
            <w:r w:rsidRPr="004A0D0F">
              <w:rPr>
                <w:rFonts w:cs="Segoe UI"/>
                <w:vertAlign w:val="superscript"/>
              </w:rPr>
              <w:instrText xml:space="preserve"> NOTEREF _Ref508288805 \h  \* MERGEFORMAT </w:instrText>
            </w:r>
            <w:r w:rsidRPr="004A0D0F">
              <w:rPr>
                <w:rFonts w:cs="Segoe UI"/>
                <w:vertAlign w:val="superscript"/>
              </w:rPr>
            </w:r>
            <w:r w:rsidRPr="004A0D0F">
              <w:rPr>
                <w:rFonts w:cs="Segoe UI"/>
                <w:vertAlign w:val="superscript"/>
              </w:rPr>
              <w:fldChar w:fldCharType="separate"/>
            </w:r>
            <w:r w:rsidR="00EB4B02">
              <w:rPr>
                <w:rFonts w:cs="Segoe UI"/>
                <w:vertAlign w:val="superscript"/>
              </w:rPr>
              <w:t>354</w:t>
            </w:r>
            <w:r w:rsidRPr="004A0D0F">
              <w:rPr>
                <w:rFonts w:cs="Segoe UI"/>
                <w:vertAlign w:val="superscript"/>
              </w:rPr>
              <w:fldChar w:fldCharType="end"/>
            </w:r>
          </w:p>
        </w:tc>
      </w:tr>
      <w:tr w:rsidR="00122C1B" w14:paraId="2DE8384C" w14:textId="77777777" w:rsidTr="00A779B6">
        <w:tc>
          <w:tcPr>
            <w:tcW w:w="3969" w:type="dxa"/>
            <w:shd w:val="clear" w:color="auto" w:fill="auto"/>
          </w:tcPr>
          <w:p w14:paraId="2D53EF82" w14:textId="77777777" w:rsidR="00122C1B" w:rsidRPr="00E76DAA" w:rsidRDefault="00122C1B" w:rsidP="005F6F8B">
            <w:pPr>
              <w:pStyle w:val="TableList1"/>
            </w:pPr>
            <w:r w:rsidRPr="00E76DAA">
              <w:t xml:space="preserve">Licence tenure to progress to </w:t>
            </w:r>
            <w:r>
              <w:t xml:space="preserve">full licence: </w:t>
            </w:r>
            <w:r w:rsidRPr="00E76DAA">
              <w:t xml:space="preserve">3 years. </w:t>
            </w:r>
          </w:p>
        </w:tc>
        <w:tc>
          <w:tcPr>
            <w:tcW w:w="690" w:type="dxa"/>
            <w:shd w:val="clear" w:color="auto" w:fill="auto"/>
          </w:tcPr>
          <w:p w14:paraId="08180B99" w14:textId="77777777" w:rsidR="00122C1B" w:rsidRPr="00662974" w:rsidRDefault="00122C1B" w:rsidP="00400B5E">
            <w:pPr>
              <w:pStyle w:val="TableParagraph"/>
              <w:jc w:val="center"/>
              <w:rPr>
                <w:color w:val="0C81BC"/>
              </w:rPr>
            </w:pPr>
          </w:p>
        </w:tc>
        <w:tc>
          <w:tcPr>
            <w:tcW w:w="1270" w:type="dxa"/>
            <w:shd w:val="clear" w:color="auto" w:fill="auto"/>
          </w:tcPr>
          <w:p w14:paraId="1D8196FE"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27" w:type="dxa"/>
            <w:shd w:val="clear" w:color="auto" w:fill="auto"/>
          </w:tcPr>
          <w:p w14:paraId="0F8A60C6" w14:textId="77777777" w:rsidR="00122C1B" w:rsidRPr="00662974" w:rsidRDefault="00122C1B" w:rsidP="00400B5E">
            <w:pPr>
              <w:pStyle w:val="TableParagraph"/>
              <w:jc w:val="center"/>
              <w:rPr>
                <w:color w:val="0C81BC"/>
              </w:rPr>
            </w:pPr>
          </w:p>
        </w:tc>
        <w:tc>
          <w:tcPr>
            <w:tcW w:w="1123" w:type="dxa"/>
            <w:shd w:val="clear" w:color="auto" w:fill="auto"/>
          </w:tcPr>
          <w:p w14:paraId="4AAF3EE1"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355" w:type="dxa"/>
            <w:shd w:val="clear" w:color="auto" w:fill="auto"/>
          </w:tcPr>
          <w:p w14:paraId="400C2B5C" w14:textId="77777777" w:rsidR="00122C1B" w:rsidRDefault="00122C1B" w:rsidP="00400B5E">
            <w:pPr>
              <w:pStyle w:val="TableParagraph"/>
              <w:jc w:val="center"/>
            </w:pPr>
          </w:p>
        </w:tc>
      </w:tr>
      <w:tr w:rsidR="00122C1B" w14:paraId="06E6D381"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40C48736" w14:textId="77777777" w:rsidR="00122C1B" w:rsidRDefault="00122C1B" w:rsidP="005F6F8B">
            <w:pPr>
              <w:pStyle w:val="TableList1"/>
            </w:pPr>
            <w:r>
              <w:t>G</w:t>
            </w:r>
            <w:r w:rsidRPr="00E76DAA">
              <w:t>ood driving record</w:t>
            </w:r>
            <w:r>
              <w:t xml:space="preserve"> is required to progress to a full licence:</w:t>
            </w:r>
          </w:p>
          <w:p w14:paraId="4E840705" w14:textId="77777777" w:rsidR="00122C1B" w:rsidRDefault="00122C1B" w:rsidP="00457BB1">
            <w:pPr>
              <w:pStyle w:val="TableList20"/>
            </w:pPr>
            <w:r>
              <w:t>A</w:t>
            </w:r>
            <w:r w:rsidRPr="00E76DAA">
              <w:t xml:space="preserve">ny </w:t>
            </w:r>
            <w:r>
              <w:t xml:space="preserve">P2 </w:t>
            </w:r>
            <w:r w:rsidRPr="00E76DAA">
              <w:t xml:space="preserve">licence suspension </w:t>
            </w:r>
            <w:r>
              <w:t xml:space="preserve">as a result of a traffic offence, </w:t>
            </w:r>
            <w:r w:rsidRPr="00E76DAA">
              <w:t>will extend the probationary period</w:t>
            </w:r>
            <w:r>
              <w:t xml:space="preserve"> by the suspension period plus 6 months</w:t>
            </w:r>
            <w:r w:rsidRPr="00E76DAA">
              <w:t>.</w:t>
            </w:r>
          </w:p>
          <w:p w14:paraId="3A0E33F1" w14:textId="08041781" w:rsidR="00122C1B" w:rsidRDefault="00122C1B">
            <w:pPr>
              <w:pStyle w:val="TableList20"/>
            </w:pPr>
            <w:r>
              <w:t>If a P2 licence is suspended not as a result of a traffic offence (</w:t>
            </w:r>
            <w:r w:rsidR="008143FB">
              <w:t>e.g.</w:t>
            </w:r>
            <w:r>
              <w:t xml:space="preserve"> medical fitness-to-drive review, or fines accumulation), the probationary period is extended by the suspension period only.</w:t>
            </w:r>
          </w:p>
          <w:p w14:paraId="4DEB7852" w14:textId="77777777" w:rsidR="00122C1B" w:rsidRPr="00E76DAA" w:rsidRDefault="00122C1B">
            <w:pPr>
              <w:pStyle w:val="TableList20"/>
            </w:pPr>
            <w:r w:rsidRPr="0088492F">
              <w:t xml:space="preserve">If P2 licence is cancelled, the next licence must be granted as a P2 licence </w:t>
            </w:r>
            <w:r>
              <w:t>irrespective of age.</w:t>
            </w:r>
          </w:p>
        </w:tc>
        <w:tc>
          <w:tcPr>
            <w:tcW w:w="690" w:type="dxa"/>
            <w:shd w:val="clear" w:color="auto" w:fill="auto"/>
          </w:tcPr>
          <w:p w14:paraId="5D73BE79" w14:textId="77777777" w:rsidR="00122C1B" w:rsidRPr="00662974" w:rsidRDefault="00122C1B" w:rsidP="00400B5E">
            <w:pPr>
              <w:pStyle w:val="TableParagraph"/>
              <w:jc w:val="center"/>
              <w:rPr>
                <w:color w:val="0C81BC"/>
              </w:rPr>
            </w:pPr>
          </w:p>
        </w:tc>
        <w:tc>
          <w:tcPr>
            <w:tcW w:w="1270" w:type="dxa"/>
            <w:shd w:val="clear" w:color="auto" w:fill="auto"/>
          </w:tcPr>
          <w:p w14:paraId="3C5F1C3F" w14:textId="77777777" w:rsidR="00122C1B" w:rsidRPr="00662974" w:rsidRDefault="00122C1B" w:rsidP="00400B5E">
            <w:pPr>
              <w:pStyle w:val="TableParagraph"/>
              <w:jc w:val="center"/>
              <w:rPr>
                <w:rFonts w:cs="Segoe UI"/>
                <w:color w:val="0C81BC"/>
              </w:rPr>
            </w:pPr>
            <w:r w:rsidRPr="00662974">
              <w:rPr>
                <w:rFonts w:cs="Segoe UI"/>
                <w:color w:val="0C81BC"/>
              </w:rPr>
              <w:sym w:font="Wingdings" w:char="F06C"/>
            </w:r>
          </w:p>
        </w:tc>
        <w:tc>
          <w:tcPr>
            <w:tcW w:w="1227" w:type="dxa"/>
            <w:shd w:val="clear" w:color="auto" w:fill="auto"/>
          </w:tcPr>
          <w:p w14:paraId="27CB7322" w14:textId="77777777" w:rsidR="00122C1B" w:rsidRPr="00662974" w:rsidRDefault="00122C1B" w:rsidP="00400B5E">
            <w:pPr>
              <w:pStyle w:val="TableParagraph"/>
              <w:jc w:val="center"/>
              <w:rPr>
                <w:color w:val="0C81BC"/>
              </w:rPr>
            </w:pPr>
          </w:p>
        </w:tc>
        <w:tc>
          <w:tcPr>
            <w:tcW w:w="1123" w:type="dxa"/>
            <w:shd w:val="clear" w:color="auto" w:fill="auto"/>
          </w:tcPr>
          <w:p w14:paraId="430C9573" w14:textId="77777777" w:rsidR="00122C1B" w:rsidRPr="00662974" w:rsidRDefault="00122C1B" w:rsidP="00400B5E">
            <w:pPr>
              <w:pStyle w:val="TableParagraph"/>
              <w:jc w:val="center"/>
              <w:rPr>
                <w:rFonts w:cs="Segoe UI"/>
                <w:color w:val="0C81BC"/>
              </w:rPr>
            </w:pPr>
          </w:p>
        </w:tc>
        <w:tc>
          <w:tcPr>
            <w:tcW w:w="1355" w:type="dxa"/>
            <w:shd w:val="clear" w:color="auto" w:fill="auto"/>
          </w:tcPr>
          <w:p w14:paraId="54CE3C29" w14:textId="77777777" w:rsidR="00122C1B" w:rsidRDefault="00122C1B" w:rsidP="00400B5E">
            <w:pPr>
              <w:pStyle w:val="TableParagraph"/>
              <w:jc w:val="center"/>
            </w:pPr>
          </w:p>
        </w:tc>
      </w:tr>
      <w:tr w:rsidR="00122C1B" w14:paraId="6EE52B08" w14:textId="77777777" w:rsidTr="00A779B6">
        <w:tc>
          <w:tcPr>
            <w:tcW w:w="3969" w:type="dxa"/>
            <w:shd w:val="clear" w:color="auto" w:fill="auto"/>
          </w:tcPr>
          <w:p w14:paraId="604CB0D6" w14:textId="77777777" w:rsidR="00122C1B" w:rsidRPr="00E76DAA" w:rsidRDefault="00122C1B" w:rsidP="005F6F8B">
            <w:pPr>
              <w:pStyle w:val="TableList1"/>
            </w:pPr>
            <w:r>
              <w:t xml:space="preserve">Permitted </w:t>
            </w:r>
            <w:r w:rsidR="00EF0DE2" w:rsidRPr="00E76DAA">
              <w:t xml:space="preserve">blood </w:t>
            </w:r>
            <w:r w:rsidR="00EF0DE2">
              <w:t xml:space="preserve">or breath </w:t>
            </w:r>
            <w:r w:rsidR="00EF0DE2" w:rsidRPr="00E76DAA">
              <w:t>alcohol concentration</w:t>
            </w:r>
            <w:r w:rsidR="00EF0DE2">
              <w:t>:</w:t>
            </w:r>
            <w:r w:rsidR="00EF0DE2" w:rsidRPr="00E76DAA">
              <w:t xml:space="preserve"> zero</w:t>
            </w:r>
          </w:p>
        </w:tc>
        <w:tc>
          <w:tcPr>
            <w:tcW w:w="690" w:type="dxa"/>
            <w:shd w:val="clear" w:color="auto" w:fill="auto"/>
          </w:tcPr>
          <w:p w14:paraId="7928EBB0"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70" w:type="dxa"/>
            <w:shd w:val="clear" w:color="auto" w:fill="auto"/>
          </w:tcPr>
          <w:p w14:paraId="31E6B8FF" w14:textId="77777777" w:rsidR="00122C1B" w:rsidRPr="00662974" w:rsidRDefault="00122C1B" w:rsidP="00400B5E">
            <w:pPr>
              <w:pStyle w:val="TableParagraph"/>
              <w:jc w:val="center"/>
              <w:rPr>
                <w:color w:val="0C81BC"/>
              </w:rPr>
            </w:pPr>
          </w:p>
        </w:tc>
        <w:tc>
          <w:tcPr>
            <w:tcW w:w="1227" w:type="dxa"/>
            <w:shd w:val="clear" w:color="auto" w:fill="auto"/>
          </w:tcPr>
          <w:p w14:paraId="7B53E46D" w14:textId="77777777" w:rsidR="00122C1B" w:rsidRPr="00662974" w:rsidRDefault="00122C1B" w:rsidP="00400B5E">
            <w:pPr>
              <w:pStyle w:val="TableParagraph"/>
              <w:jc w:val="center"/>
              <w:rPr>
                <w:color w:val="0C81BC"/>
              </w:rPr>
            </w:pPr>
          </w:p>
        </w:tc>
        <w:tc>
          <w:tcPr>
            <w:tcW w:w="1123" w:type="dxa"/>
            <w:shd w:val="clear" w:color="auto" w:fill="auto"/>
          </w:tcPr>
          <w:p w14:paraId="5C6F28F9" w14:textId="77777777" w:rsidR="00122C1B" w:rsidRPr="00662974" w:rsidRDefault="00122C1B" w:rsidP="00400B5E">
            <w:pPr>
              <w:pStyle w:val="TableParagraph"/>
              <w:jc w:val="center"/>
              <w:rPr>
                <w:color w:val="0C81BC"/>
              </w:rPr>
            </w:pPr>
          </w:p>
        </w:tc>
        <w:tc>
          <w:tcPr>
            <w:tcW w:w="1355" w:type="dxa"/>
            <w:shd w:val="clear" w:color="auto" w:fill="auto"/>
          </w:tcPr>
          <w:p w14:paraId="2F83D092" w14:textId="77777777" w:rsidR="00122C1B" w:rsidRDefault="00122C1B" w:rsidP="00400B5E">
            <w:pPr>
              <w:pStyle w:val="TableParagraph"/>
              <w:jc w:val="center"/>
            </w:pPr>
          </w:p>
        </w:tc>
      </w:tr>
      <w:tr w:rsidR="00122C1B" w14:paraId="48015957" w14:textId="77777777" w:rsidTr="00A779B6">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68B0C25F" w14:textId="77777777" w:rsidR="00122C1B" w:rsidRPr="00E76DAA" w:rsidRDefault="00122C1B" w:rsidP="005F6F8B">
            <w:pPr>
              <w:pStyle w:val="TableList1"/>
            </w:pPr>
            <w:r w:rsidRPr="00E76DAA">
              <w:t>Speed limit</w:t>
            </w:r>
            <w:r>
              <w:t>:</w:t>
            </w:r>
            <w:r w:rsidRPr="00E76DAA">
              <w:t xml:space="preserve"> As signed posted</w:t>
            </w:r>
          </w:p>
        </w:tc>
        <w:tc>
          <w:tcPr>
            <w:tcW w:w="690" w:type="dxa"/>
            <w:shd w:val="clear" w:color="auto" w:fill="auto"/>
          </w:tcPr>
          <w:p w14:paraId="601DA913" w14:textId="77777777" w:rsidR="00122C1B" w:rsidRPr="00662974" w:rsidRDefault="00122C1B" w:rsidP="00400B5E">
            <w:pPr>
              <w:pStyle w:val="TableParagraph"/>
              <w:jc w:val="center"/>
              <w:rPr>
                <w:color w:val="0C81BC"/>
              </w:rPr>
            </w:pPr>
          </w:p>
        </w:tc>
        <w:tc>
          <w:tcPr>
            <w:tcW w:w="1270" w:type="dxa"/>
            <w:shd w:val="clear" w:color="auto" w:fill="auto"/>
          </w:tcPr>
          <w:p w14:paraId="6CEC33B0" w14:textId="77777777" w:rsidR="00122C1B" w:rsidRPr="00662974" w:rsidRDefault="00122C1B" w:rsidP="00400B5E">
            <w:pPr>
              <w:pStyle w:val="TableParagraph"/>
              <w:jc w:val="center"/>
              <w:rPr>
                <w:color w:val="0C81BC"/>
              </w:rPr>
            </w:pPr>
          </w:p>
        </w:tc>
        <w:tc>
          <w:tcPr>
            <w:tcW w:w="1227" w:type="dxa"/>
            <w:shd w:val="clear" w:color="auto" w:fill="auto"/>
          </w:tcPr>
          <w:p w14:paraId="3C87D575"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123" w:type="dxa"/>
            <w:shd w:val="clear" w:color="auto" w:fill="auto"/>
          </w:tcPr>
          <w:p w14:paraId="4214C059" w14:textId="77777777" w:rsidR="00122C1B" w:rsidRPr="00662974" w:rsidRDefault="00122C1B" w:rsidP="00400B5E">
            <w:pPr>
              <w:pStyle w:val="TableParagraph"/>
              <w:jc w:val="center"/>
              <w:rPr>
                <w:rFonts w:cs="Segoe UI"/>
                <w:color w:val="0C81BC"/>
              </w:rPr>
            </w:pPr>
          </w:p>
        </w:tc>
        <w:tc>
          <w:tcPr>
            <w:tcW w:w="1355" w:type="dxa"/>
            <w:shd w:val="clear" w:color="auto" w:fill="auto"/>
          </w:tcPr>
          <w:p w14:paraId="3123DDD1" w14:textId="25D733D7" w:rsidR="00122C1B" w:rsidRDefault="00122C1B" w:rsidP="00400B5E">
            <w:pPr>
              <w:pStyle w:val="TableParagraph"/>
              <w:jc w:val="center"/>
            </w:pPr>
            <w:r w:rsidRPr="00662974">
              <w:rPr>
                <w:rFonts w:cs="Segoe UI"/>
                <w:color w:val="0C81BC"/>
              </w:rPr>
              <w:sym w:font="Wingdings" w:char="F06C"/>
            </w:r>
            <w:r w:rsidRPr="004A0D0F">
              <w:rPr>
                <w:rFonts w:cs="Segoe UI"/>
                <w:vertAlign w:val="superscript"/>
              </w:rPr>
              <w:fldChar w:fldCharType="begin"/>
            </w:r>
            <w:r w:rsidRPr="004A0D0F">
              <w:rPr>
                <w:rFonts w:cs="Segoe UI"/>
                <w:vertAlign w:val="superscript"/>
              </w:rPr>
              <w:instrText xml:space="preserve"> NOTEREF _Ref508288874 \h  \* MERGEFORMAT </w:instrText>
            </w:r>
            <w:r w:rsidRPr="004A0D0F">
              <w:rPr>
                <w:rFonts w:cs="Segoe UI"/>
                <w:vertAlign w:val="superscript"/>
              </w:rPr>
            </w:r>
            <w:r w:rsidRPr="004A0D0F">
              <w:rPr>
                <w:rFonts w:cs="Segoe UI"/>
                <w:vertAlign w:val="superscript"/>
              </w:rPr>
              <w:fldChar w:fldCharType="separate"/>
            </w:r>
            <w:r w:rsidR="00EB4B02">
              <w:rPr>
                <w:rFonts w:cs="Segoe UI"/>
                <w:vertAlign w:val="superscript"/>
              </w:rPr>
              <w:t>355</w:t>
            </w:r>
            <w:r w:rsidRPr="004A0D0F">
              <w:rPr>
                <w:rFonts w:cs="Segoe UI"/>
                <w:vertAlign w:val="superscript"/>
              </w:rPr>
              <w:fldChar w:fldCharType="end"/>
            </w:r>
          </w:p>
        </w:tc>
      </w:tr>
      <w:tr w:rsidR="00122C1B" w14:paraId="314EDB00" w14:textId="77777777" w:rsidTr="00A779B6">
        <w:tc>
          <w:tcPr>
            <w:tcW w:w="3969" w:type="dxa"/>
            <w:shd w:val="clear" w:color="auto" w:fill="auto"/>
          </w:tcPr>
          <w:p w14:paraId="76CD4435" w14:textId="77777777" w:rsidR="00122C1B" w:rsidRPr="00E76DAA" w:rsidRDefault="00122C1B" w:rsidP="005F6F8B">
            <w:pPr>
              <w:pStyle w:val="TableList1"/>
            </w:pPr>
            <w:r>
              <w:t xml:space="preserve">Demerit points. 5 demerit points in 12 months </w:t>
            </w:r>
            <w:r w:rsidRPr="000950A3">
              <w:t>or 12 demerit points in 3 years</w:t>
            </w:r>
            <w:r>
              <w:t>.</w:t>
            </w:r>
          </w:p>
        </w:tc>
        <w:tc>
          <w:tcPr>
            <w:tcW w:w="690" w:type="dxa"/>
            <w:shd w:val="clear" w:color="auto" w:fill="auto"/>
          </w:tcPr>
          <w:p w14:paraId="3BBE8AC8"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270" w:type="dxa"/>
            <w:shd w:val="clear" w:color="auto" w:fill="auto"/>
          </w:tcPr>
          <w:p w14:paraId="17DEF94B" w14:textId="77777777" w:rsidR="00122C1B" w:rsidRPr="00662974" w:rsidRDefault="00122C1B" w:rsidP="00400B5E">
            <w:pPr>
              <w:pStyle w:val="TableParagraph"/>
              <w:jc w:val="center"/>
              <w:rPr>
                <w:color w:val="0C81BC"/>
              </w:rPr>
            </w:pPr>
          </w:p>
        </w:tc>
        <w:tc>
          <w:tcPr>
            <w:tcW w:w="1227" w:type="dxa"/>
            <w:shd w:val="clear" w:color="auto" w:fill="auto"/>
          </w:tcPr>
          <w:p w14:paraId="600E7588" w14:textId="77777777" w:rsidR="00122C1B" w:rsidRPr="00662974" w:rsidRDefault="00122C1B" w:rsidP="00400B5E">
            <w:pPr>
              <w:pStyle w:val="TableParagraph"/>
              <w:jc w:val="center"/>
              <w:rPr>
                <w:color w:val="0C81BC"/>
              </w:rPr>
            </w:pPr>
          </w:p>
        </w:tc>
        <w:tc>
          <w:tcPr>
            <w:tcW w:w="1123" w:type="dxa"/>
            <w:shd w:val="clear" w:color="auto" w:fill="auto"/>
          </w:tcPr>
          <w:p w14:paraId="25BFC098" w14:textId="77777777" w:rsidR="00122C1B" w:rsidRPr="00662974" w:rsidRDefault="00122C1B" w:rsidP="00400B5E">
            <w:pPr>
              <w:pStyle w:val="TableParagraph"/>
              <w:jc w:val="center"/>
              <w:rPr>
                <w:color w:val="0C81BC"/>
              </w:rPr>
            </w:pPr>
            <w:r w:rsidRPr="00662974">
              <w:rPr>
                <w:rFonts w:cs="Segoe UI"/>
                <w:color w:val="0C81BC"/>
              </w:rPr>
              <w:sym w:font="Wingdings" w:char="F06C"/>
            </w:r>
          </w:p>
        </w:tc>
        <w:tc>
          <w:tcPr>
            <w:tcW w:w="1355" w:type="dxa"/>
            <w:shd w:val="clear" w:color="auto" w:fill="auto"/>
          </w:tcPr>
          <w:p w14:paraId="484C470F" w14:textId="77777777" w:rsidR="00122C1B" w:rsidRDefault="00122C1B" w:rsidP="00400B5E">
            <w:pPr>
              <w:pStyle w:val="TableParagraph"/>
              <w:jc w:val="center"/>
            </w:pPr>
          </w:p>
        </w:tc>
      </w:tr>
    </w:tbl>
    <w:p w14:paraId="39344C98" w14:textId="77777777" w:rsidR="00122C1B" w:rsidRDefault="00122C1B" w:rsidP="00EF0DE2">
      <w:pPr>
        <w:pStyle w:val="Heading3"/>
        <w:spacing w:before="240"/>
      </w:pPr>
      <w:bookmarkStart w:id="500" w:name="_Toc534208307"/>
      <w:bookmarkStart w:id="501" w:name="_Toc534208729"/>
      <w:bookmarkStart w:id="502" w:name="_Toc534213430"/>
      <w:bookmarkStart w:id="503" w:name="_Toc534279908"/>
      <w:bookmarkStart w:id="504" w:name="_Toc534281335"/>
      <w:bookmarkStart w:id="505" w:name="_Toc534281840"/>
      <w:bookmarkStart w:id="506" w:name="_Toc534290213"/>
      <w:bookmarkStart w:id="507" w:name="_Toc534299700"/>
      <w:bookmarkStart w:id="508" w:name="_Toc534376387"/>
      <w:bookmarkStart w:id="509" w:name="_Toc534644053"/>
      <w:bookmarkStart w:id="510" w:name="_Toc534729046"/>
      <w:bookmarkStart w:id="511" w:name="_Toc534729556"/>
      <w:bookmarkStart w:id="512" w:name="_Toc535481822"/>
      <w:bookmarkStart w:id="513" w:name="_Toc534208310"/>
      <w:bookmarkStart w:id="514" w:name="_Toc534208732"/>
      <w:bookmarkStart w:id="515" w:name="_Toc534213433"/>
      <w:bookmarkStart w:id="516" w:name="_Toc534279911"/>
      <w:bookmarkStart w:id="517" w:name="_Toc534281338"/>
      <w:bookmarkStart w:id="518" w:name="_Toc534281843"/>
      <w:bookmarkStart w:id="519" w:name="_Toc534290216"/>
      <w:bookmarkStart w:id="520" w:name="_Toc534299703"/>
      <w:bookmarkStart w:id="521" w:name="_Toc534376390"/>
      <w:bookmarkStart w:id="522" w:name="_Toc534644056"/>
      <w:bookmarkStart w:id="523" w:name="_Toc534729049"/>
      <w:bookmarkStart w:id="524" w:name="_Toc534729559"/>
      <w:bookmarkStart w:id="525" w:name="_Toc535481825"/>
      <w:bookmarkStart w:id="526" w:name="_Ref527544080"/>
      <w:bookmarkStart w:id="527" w:name="_Toc1070345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t>Progressing to P2 and full licence</w:t>
      </w:r>
      <w:bookmarkEnd w:id="526"/>
      <w:bookmarkEnd w:id="527"/>
    </w:p>
    <w:p w14:paraId="266B2289" w14:textId="77777777" w:rsidR="00122C1B" w:rsidRDefault="00122C1B" w:rsidP="00101A25">
      <w:pPr>
        <w:pStyle w:val="TextPara"/>
      </w:pPr>
      <w:r w:rsidRPr="00453450">
        <w:t xml:space="preserve">To </w:t>
      </w:r>
      <w:r w:rsidRPr="005F6C8B">
        <w:t xml:space="preserve">ensure that </w:t>
      </w:r>
      <w:r w:rsidR="00D3594D" w:rsidRPr="00D00F2E">
        <w:t>appropriate</w:t>
      </w:r>
      <w:r w:rsidR="001C4966" w:rsidRPr="00D00F2E">
        <w:t xml:space="preserve"> risk-mitigation measures </w:t>
      </w:r>
      <w:r w:rsidR="00D3594D" w:rsidRPr="00D00F2E">
        <w:t xml:space="preserve">are </w:t>
      </w:r>
      <w:r w:rsidR="001C4966" w:rsidRPr="00D00F2E">
        <w:t xml:space="preserve">imposed on </w:t>
      </w:r>
      <w:r w:rsidR="00D00F2E" w:rsidRPr="00D00F2E">
        <w:t xml:space="preserve">high-risk novice </w:t>
      </w:r>
      <w:r w:rsidR="00D3594D" w:rsidRPr="00D00F2E">
        <w:t xml:space="preserve">drivers until they can </w:t>
      </w:r>
      <w:r w:rsidR="00D00F2E" w:rsidRPr="00D00F2E">
        <w:t>show</w:t>
      </w:r>
      <w:r w:rsidR="00D3594D" w:rsidRPr="00D00F2E">
        <w:t xml:space="preserve"> that they are safe drivers</w:t>
      </w:r>
      <w:r>
        <w:t>, the proposed Regulations require that for P1 driv</w:t>
      </w:r>
      <w:r w:rsidR="00EF0DE2">
        <w:t>ers to progress to a P2 licence</w:t>
      </w:r>
      <w:r>
        <w:t xml:space="preserve"> they must have a clean driving record. </w:t>
      </w:r>
      <w:r w:rsidRPr="00A16F3E">
        <w:t xml:space="preserve">The record </w:t>
      </w:r>
      <w:r>
        <w:t>is</w:t>
      </w:r>
      <w:r w:rsidRPr="00A16F3E">
        <w:t xml:space="preserve"> checked through the VicRoads Driver Licensing System database. </w:t>
      </w:r>
    </w:p>
    <w:p w14:paraId="7718A7E6" w14:textId="77777777" w:rsidR="00122C1B" w:rsidRDefault="00122C1B" w:rsidP="00101A25">
      <w:pPr>
        <w:pStyle w:val="TextPara"/>
      </w:pPr>
      <w:r>
        <w:t>If a P1 probationary driver commits any traffic related offence during the P1 period that results in the</w:t>
      </w:r>
      <w:r w:rsidRPr="00CF532E">
        <w:t xml:space="preserve"> licence </w:t>
      </w:r>
      <w:r>
        <w:t>being suspended (including where the suspension is the result of exceeding the permitted number of demerit points), the P1 period is extended by the suspension period</w:t>
      </w:r>
      <w:r w:rsidRPr="00F40064">
        <w:t xml:space="preserve"> </w:t>
      </w:r>
      <w:r>
        <w:t>plus six months.</w:t>
      </w:r>
    </w:p>
    <w:p w14:paraId="07EE235C" w14:textId="77777777" w:rsidR="00122C1B" w:rsidRDefault="00122C1B" w:rsidP="00101A25">
      <w:pPr>
        <w:pStyle w:val="TextPara"/>
      </w:pPr>
      <w:r>
        <w:t>If a P1 licence is suspended for other reasons, such as unpaid fines or medical reasons, the term of the P1 licence will be extended by the suspension period only.</w:t>
      </w:r>
    </w:p>
    <w:p w14:paraId="55CF3D30" w14:textId="77777777" w:rsidR="00122C1B" w:rsidRDefault="00122C1B" w:rsidP="00101A25">
      <w:pPr>
        <w:pStyle w:val="TextPara"/>
      </w:pPr>
      <w:r>
        <w:t>P1 probationary drivers, who commit any traffic related offence during the P1 period that results in the</w:t>
      </w:r>
      <w:r w:rsidRPr="00CF532E">
        <w:t xml:space="preserve"> licence </w:t>
      </w:r>
      <w:r>
        <w:t xml:space="preserve">being </w:t>
      </w:r>
      <w:r w:rsidRPr="00CF532E">
        <w:t xml:space="preserve">cancelled, </w:t>
      </w:r>
      <w:r>
        <w:t xml:space="preserve">must restart </w:t>
      </w:r>
      <w:r w:rsidRPr="00BE0F8D">
        <w:t xml:space="preserve">their </w:t>
      </w:r>
      <w:r>
        <w:t xml:space="preserve">1-year </w:t>
      </w:r>
      <w:r w:rsidRPr="00BE0F8D">
        <w:t>P1 period when relicensed</w:t>
      </w:r>
      <w:r w:rsidRPr="00CF532E">
        <w:t>.</w:t>
      </w:r>
    </w:p>
    <w:p w14:paraId="0A6B4032" w14:textId="77777777" w:rsidR="00122C1B" w:rsidRDefault="00122C1B" w:rsidP="005F2659">
      <w:pPr>
        <w:pStyle w:val="TextPara"/>
      </w:pPr>
      <w:r>
        <w:t>Similar rules apply to P2 drivers to progress to a full licence.</w:t>
      </w:r>
      <w:r w:rsidRPr="005F2659">
        <w:t xml:space="preserve"> </w:t>
      </w:r>
      <w:r>
        <w:t>However, P2 probationary licence holders whose licence is cancelled during the P2 period</w:t>
      </w:r>
      <w:r w:rsidRPr="00CF532E">
        <w:t xml:space="preserve"> </w:t>
      </w:r>
      <w:r>
        <w:t xml:space="preserve">must restart </w:t>
      </w:r>
      <w:r w:rsidRPr="00BE0F8D">
        <w:t>their</w:t>
      </w:r>
      <w:r>
        <w:t xml:space="preserve"> 3-year</w:t>
      </w:r>
      <w:r w:rsidRPr="00BE0F8D">
        <w:t xml:space="preserve"> P</w:t>
      </w:r>
      <w:r>
        <w:t>2</w:t>
      </w:r>
      <w:r w:rsidRPr="00BE0F8D">
        <w:t xml:space="preserve"> period when relicensed</w:t>
      </w:r>
      <w:r w:rsidRPr="00CF532E">
        <w:t>.</w:t>
      </w:r>
    </w:p>
    <w:p w14:paraId="4F8A64E7" w14:textId="77777777" w:rsidR="00122C1B" w:rsidRPr="00E10FF1" w:rsidRDefault="00122C1B" w:rsidP="006713F9">
      <w:pPr>
        <w:pStyle w:val="Heading3"/>
      </w:pPr>
      <w:bookmarkStart w:id="528" w:name="_Toc534213436"/>
      <w:bookmarkStart w:id="529" w:name="_Toc534279914"/>
      <w:bookmarkStart w:id="530" w:name="_Toc534281341"/>
      <w:bookmarkStart w:id="531" w:name="_Toc534281846"/>
      <w:bookmarkStart w:id="532" w:name="_Toc534290219"/>
      <w:bookmarkStart w:id="533" w:name="_Toc534299706"/>
      <w:bookmarkStart w:id="534" w:name="_Toc534376393"/>
      <w:bookmarkStart w:id="535" w:name="_Toc534644059"/>
      <w:bookmarkStart w:id="536" w:name="_Toc534729052"/>
      <w:bookmarkStart w:id="537" w:name="_Toc534729562"/>
      <w:bookmarkStart w:id="538" w:name="_Toc535481828"/>
      <w:bookmarkStart w:id="539" w:name="_Toc536087734"/>
      <w:bookmarkStart w:id="540" w:name="_Toc536180003"/>
      <w:bookmarkStart w:id="541" w:name="_Ref527562523"/>
      <w:bookmarkStart w:id="542" w:name="_Ref448088"/>
      <w:bookmarkStart w:id="543" w:name="_Toc10703460"/>
      <w:bookmarkEnd w:id="528"/>
      <w:bookmarkEnd w:id="529"/>
      <w:bookmarkEnd w:id="530"/>
      <w:bookmarkEnd w:id="531"/>
      <w:bookmarkEnd w:id="532"/>
      <w:bookmarkEnd w:id="533"/>
      <w:bookmarkEnd w:id="534"/>
      <w:bookmarkEnd w:id="535"/>
      <w:bookmarkEnd w:id="536"/>
      <w:bookmarkEnd w:id="537"/>
      <w:bookmarkEnd w:id="538"/>
      <w:bookmarkEnd w:id="539"/>
      <w:bookmarkEnd w:id="540"/>
      <w:r w:rsidRPr="00E10FF1">
        <w:t>Free Licence Scheme</w:t>
      </w:r>
      <w:bookmarkEnd w:id="541"/>
      <w:bookmarkEnd w:id="542"/>
      <w:bookmarkEnd w:id="543"/>
    </w:p>
    <w:p w14:paraId="0B4DC83D" w14:textId="77777777" w:rsidR="00122C1B" w:rsidRDefault="00122C1B" w:rsidP="00A176D9">
      <w:pPr>
        <w:pStyle w:val="TextPara"/>
        <w:rPr>
          <w:rFonts w:cs="Segoe UI"/>
        </w:rPr>
      </w:pPr>
      <w:r>
        <w:rPr>
          <w:rFonts w:cs="Segoe UI"/>
          <w:lang w:eastAsia="en-AU"/>
        </w:rPr>
        <w:t xml:space="preserve">To promote good driving behaviour, </w:t>
      </w:r>
      <w:r w:rsidRPr="00FB2D80">
        <w:rPr>
          <w:rFonts w:cs="Segoe UI"/>
          <w:lang w:eastAsia="en-AU"/>
        </w:rPr>
        <w:t xml:space="preserve">the Free Licence Scheme was implemented in Victoria on 1 February 2016 as an incentive for young drivers, being </w:t>
      </w:r>
      <w:r w:rsidRPr="00FB2D80">
        <w:rPr>
          <w:rFonts w:cs="Segoe UI"/>
        </w:rPr>
        <w:t>the highest risk group,</w:t>
      </w:r>
      <w:r w:rsidRPr="00FB2D80">
        <w:rPr>
          <w:rFonts w:cs="Segoe UI"/>
          <w:lang w:eastAsia="en-AU"/>
        </w:rPr>
        <w:t xml:space="preserve"> to keep a clean driving record during their probationary period. The offer applies to </w:t>
      </w:r>
      <w:r w:rsidRPr="00FB2D80">
        <w:rPr>
          <w:rFonts w:cs="Segoe UI"/>
        </w:rPr>
        <w:t xml:space="preserve">drivers under 25 </w:t>
      </w:r>
      <w:r>
        <w:rPr>
          <w:rFonts w:cs="Segoe UI"/>
        </w:rPr>
        <w:t xml:space="preserve">years </w:t>
      </w:r>
      <w:r w:rsidRPr="00FB2D80">
        <w:rPr>
          <w:rFonts w:cs="Segoe UI"/>
        </w:rPr>
        <w:t xml:space="preserve">when their P2 licence expires, if they </w:t>
      </w:r>
      <w:r>
        <w:rPr>
          <w:rFonts w:cs="Segoe UI"/>
        </w:rPr>
        <w:t>held</w:t>
      </w:r>
      <w:r w:rsidRPr="00FB2D80">
        <w:rPr>
          <w:rFonts w:cs="Segoe UI"/>
        </w:rPr>
        <w:t xml:space="preserve"> a P1 </w:t>
      </w:r>
      <w:r>
        <w:rPr>
          <w:rFonts w:cs="Segoe UI"/>
        </w:rPr>
        <w:t xml:space="preserve">licence </w:t>
      </w:r>
      <w:r w:rsidRPr="00FB2D80">
        <w:rPr>
          <w:rFonts w:cs="Segoe UI"/>
        </w:rPr>
        <w:t xml:space="preserve">before they turned 21 and maintained a good driving record while on their Ps. </w:t>
      </w:r>
    </w:p>
    <w:p w14:paraId="4207893A" w14:textId="77777777" w:rsidR="00122C1B" w:rsidRDefault="00122C1B" w:rsidP="00A176D9">
      <w:pPr>
        <w:pStyle w:val="TextPara"/>
      </w:pPr>
      <w:r w:rsidRPr="008F0769">
        <w:lastRenderedPageBreak/>
        <w:t xml:space="preserve">To be eligible to a free 3-year full driver licence, </w:t>
      </w:r>
      <w:r>
        <w:t xml:space="preserve">the proposed Regulations prescribe a number of requirements that the probationary driver must meet. In essence, </w:t>
      </w:r>
      <w:r w:rsidRPr="008F0769">
        <w:t xml:space="preserve">a </w:t>
      </w:r>
      <w:r>
        <w:t xml:space="preserve">probationary </w:t>
      </w:r>
      <w:r w:rsidRPr="008F0769">
        <w:t xml:space="preserve">licence holder </w:t>
      </w:r>
      <w:r>
        <w:t>must</w:t>
      </w:r>
      <w:r w:rsidRPr="008F0769">
        <w:t xml:space="preserve"> remain demerit point free and not commit any serious traffic rela</w:t>
      </w:r>
      <w:r>
        <w:t>ted offences listed in Schedule 5 to the proposed Regulations for the whole</w:t>
      </w:r>
      <w:r w:rsidRPr="008F0769">
        <w:t xml:space="preserve"> </w:t>
      </w:r>
      <w:r>
        <w:t xml:space="preserve">probationary </w:t>
      </w:r>
      <w:r w:rsidRPr="008F0769">
        <w:t>period before their licence expiry date</w:t>
      </w:r>
      <w:r>
        <w:t>.</w:t>
      </w:r>
    </w:p>
    <w:p w14:paraId="36285155" w14:textId="77777777" w:rsidR="00122C1B" w:rsidRDefault="00122C1B" w:rsidP="001A063E">
      <w:pPr>
        <w:pStyle w:val="Heading2"/>
      </w:pPr>
      <w:bookmarkStart w:id="544" w:name="_Toc534213443"/>
      <w:bookmarkStart w:id="545" w:name="_Toc534279922"/>
      <w:bookmarkStart w:id="546" w:name="_Toc534281349"/>
      <w:bookmarkStart w:id="547" w:name="_Toc534281854"/>
      <w:bookmarkStart w:id="548" w:name="_Toc534290227"/>
      <w:bookmarkStart w:id="549" w:name="_Toc534299714"/>
      <w:bookmarkStart w:id="550" w:name="_Toc534376401"/>
      <w:bookmarkStart w:id="551" w:name="_Toc534644067"/>
      <w:bookmarkStart w:id="552" w:name="_Toc534729060"/>
      <w:bookmarkStart w:id="553" w:name="_Toc534729570"/>
      <w:bookmarkStart w:id="554" w:name="_Toc535481836"/>
      <w:bookmarkStart w:id="555" w:name="_Toc10703461"/>
      <w:bookmarkEnd w:id="544"/>
      <w:bookmarkEnd w:id="545"/>
      <w:bookmarkEnd w:id="546"/>
      <w:bookmarkEnd w:id="547"/>
      <w:bookmarkEnd w:id="548"/>
      <w:bookmarkEnd w:id="549"/>
      <w:bookmarkEnd w:id="550"/>
      <w:bookmarkEnd w:id="551"/>
      <w:bookmarkEnd w:id="552"/>
      <w:bookmarkEnd w:id="553"/>
      <w:bookmarkEnd w:id="554"/>
      <w:r>
        <w:t>Full Licence</w:t>
      </w:r>
      <w:bookmarkEnd w:id="555"/>
    </w:p>
    <w:p w14:paraId="43C50CDC" w14:textId="77777777" w:rsidR="00122C1B" w:rsidRDefault="00122C1B" w:rsidP="006713F9">
      <w:pPr>
        <w:pStyle w:val="Heading3"/>
      </w:pPr>
      <w:bookmarkStart w:id="556" w:name="_Toc10703462"/>
      <w:r>
        <w:t>Background: How it works</w:t>
      </w:r>
      <w:bookmarkEnd w:id="556"/>
    </w:p>
    <w:p w14:paraId="798B2BBC" w14:textId="77777777" w:rsidR="00122C1B" w:rsidRDefault="00122C1B" w:rsidP="00002841">
      <w:pPr>
        <w:pStyle w:val="TextPara"/>
        <w:rPr>
          <w:lang w:eastAsia="en-AU"/>
        </w:rPr>
      </w:pPr>
      <w:r>
        <w:rPr>
          <w:lang w:eastAsia="en-AU"/>
        </w:rPr>
        <w:t xml:space="preserve">After successfully completing the probationary period, a person may be granted a full licence. Interstate and overseas drivers </w:t>
      </w:r>
      <w:r w:rsidR="008908D8">
        <w:rPr>
          <w:lang w:eastAsia="en-AU"/>
        </w:rPr>
        <w:t xml:space="preserve">who intend to reside in Victoria for more than 6 months </w:t>
      </w:r>
      <w:r>
        <w:rPr>
          <w:lang w:eastAsia="en-AU"/>
        </w:rPr>
        <w:t>are required to apply for a Victorian licence.</w:t>
      </w:r>
    </w:p>
    <w:p w14:paraId="6B19C700" w14:textId="77777777" w:rsidR="00122C1B" w:rsidRDefault="00122C1B" w:rsidP="00002841">
      <w:pPr>
        <w:pStyle w:val="TextPara"/>
        <w:rPr>
          <w:lang w:eastAsia="en-AU"/>
        </w:rPr>
      </w:pPr>
      <w:r>
        <w:rPr>
          <w:lang w:eastAsia="en-AU"/>
        </w:rPr>
        <w:t>Drivers have a choice to apply for a 3 or 10-year licence. At expiry, they must renew their licence to continue to drive.</w:t>
      </w:r>
    </w:p>
    <w:p w14:paraId="56F44701" w14:textId="77777777" w:rsidR="00122C1B" w:rsidRPr="005C3245" w:rsidRDefault="00122C1B" w:rsidP="00002841">
      <w:pPr>
        <w:pStyle w:val="TextPara"/>
        <w:rPr>
          <w:lang w:eastAsia="en-AU"/>
        </w:rPr>
      </w:pPr>
      <w:r>
        <w:rPr>
          <w:lang w:eastAsia="en-AU"/>
        </w:rPr>
        <w:t>To minimise administrative burden, drivers are allowed 6 months from their licence expiry date to renew their licence without having to re-apply for it, using the renewal notice that they receive from VicRoads.</w:t>
      </w:r>
      <w:r w:rsidR="00AD36D2">
        <w:rPr>
          <w:lang w:eastAsia="en-AU"/>
        </w:rPr>
        <w:t xml:space="preserve"> The current </w:t>
      </w:r>
      <w:r w:rsidR="00E71596">
        <w:rPr>
          <w:lang w:eastAsia="en-AU"/>
        </w:rPr>
        <w:t>Regulations allow up to</w:t>
      </w:r>
      <w:r w:rsidR="00AD36D2">
        <w:rPr>
          <w:lang w:eastAsia="en-AU"/>
        </w:rPr>
        <w:t xml:space="preserve"> </w:t>
      </w:r>
      <w:r w:rsidR="00254AE2">
        <w:rPr>
          <w:lang w:eastAsia="en-AU"/>
        </w:rPr>
        <w:t>5 years</w:t>
      </w:r>
      <w:r w:rsidR="00E71596">
        <w:rPr>
          <w:lang w:eastAsia="en-AU"/>
        </w:rPr>
        <w:t xml:space="preserve"> for renewal of licence</w:t>
      </w:r>
      <w:r w:rsidR="00AD36D2">
        <w:rPr>
          <w:lang w:eastAsia="en-AU"/>
        </w:rPr>
        <w:t xml:space="preserve">. The effect of this change </w:t>
      </w:r>
      <w:r w:rsidR="00E71596">
        <w:rPr>
          <w:lang w:eastAsia="en-AU"/>
        </w:rPr>
        <w:t>ensures that</w:t>
      </w:r>
      <w:r w:rsidR="005C3245">
        <w:rPr>
          <w:lang w:eastAsia="en-AU"/>
        </w:rPr>
        <w:t xml:space="preserve"> drivers</w:t>
      </w:r>
      <w:r w:rsidR="00E71596">
        <w:rPr>
          <w:lang w:eastAsia="en-AU"/>
        </w:rPr>
        <w:t>,</w:t>
      </w:r>
      <w:r w:rsidR="005C3245">
        <w:rPr>
          <w:lang w:eastAsia="en-AU"/>
        </w:rPr>
        <w:t xml:space="preserve"> who</w:t>
      </w:r>
      <w:r w:rsidR="00D610E5">
        <w:rPr>
          <w:lang w:eastAsia="en-AU"/>
        </w:rPr>
        <w:t>se</w:t>
      </w:r>
      <w:r w:rsidR="005C3245">
        <w:rPr>
          <w:lang w:eastAsia="en-AU"/>
        </w:rPr>
        <w:t xml:space="preserve"> licence expired </w:t>
      </w:r>
      <w:r w:rsidR="00E71596">
        <w:rPr>
          <w:lang w:eastAsia="en-AU"/>
        </w:rPr>
        <w:t xml:space="preserve">for </w:t>
      </w:r>
      <w:r w:rsidR="005C3245">
        <w:rPr>
          <w:lang w:eastAsia="en-AU"/>
        </w:rPr>
        <w:t xml:space="preserve">more than 6 months, </w:t>
      </w:r>
      <w:r w:rsidR="001C364A">
        <w:rPr>
          <w:lang w:eastAsia="en-AU"/>
        </w:rPr>
        <w:t>have maximum benefit of their 3-year or 10-year licence</w:t>
      </w:r>
      <w:r w:rsidR="00073C5B">
        <w:rPr>
          <w:lang w:eastAsia="en-AU"/>
        </w:rPr>
        <w:t xml:space="preserve">. For example, under the current Regulations if the licence is renewed 2 years after expiry, the driver only gets the benefit of 1 or 8 years of the renewed licence. Under the proposed Regulations, the driver </w:t>
      </w:r>
      <w:r w:rsidR="00E93AE0">
        <w:rPr>
          <w:lang w:eastAsia="en-AU"/>
        </w:rPr>
        <w:t xml:space="preserve">is issued with a new licence rather than a renewed licence, and therefore </w:t>
      </w:r>
      <w:r w:rsidR="00073C5B">
        <w:rPr>
          <w:lang w:eastAsia="en-AU"/>
        </w:rPr>
        <w:t>gets the maximum benefit of 3 or 10 years, as the licence expired more than 6 months earlier</w:t>
      </w:r>
      <w:r w:rsidR="00E93AE0">
        <w:rPr>
          <w:lang w:eastAsia="en-AU"/>
        </w:rPr>
        <w:t>.</w:t>
      </w:r>
      <w:r w:rsidR="00E93AE0" w:rsidDel="00E93AE0">
        <w:rPr>
          <w:lang w:eastAsia="en-AU"/>
        </w:rPr>
        <w:t xml:space="preserve"> </w:t>
      </w:r>
      <w:r w:rsidR="00465EB7">
        <w:rPr>
          <w:lang w:eastAsia="en-AU"/>
        </w:rPr>
        <w:t xml:space="preserve"> </w:t>
      </w:r>
      <w:r w:rsidR="00465EB7" w:rsidRPr="00465EB7">
        <w:rPr>
          <w:lang w:eastAsia="en-AU"/>
        </w:rPr>
        <w:t xml:space="preserve">The expired licence card </w:t>
      </w:r>
      <w:r w:rsidR="00465EB7">
        <w:rPr>
          <w:lang w:eastAsia="en-AU"/>
        </w:rPr>
        <w:t>can be</w:t>
      </w:r>
      <w:r w:rsidR="00465EB7" w:rsidRPr="00465EB7">
        <w:rPr>
          <w:lang w:eastAsia="en-AU"/>
        </w:rPr>
        <w:t xml:space="preserve"> used as evidence of identity. If </w:t>
      </w:r>
      <w:r w:rsidR="00E71596">
        <w:rPr>
          <w:lang w:eastAsia="en-AU"/>
        </w:rPr>
        <w:t>this is not available</w:t>
      </w:r>
      <w:r w:rsidR="00465EB7" w:rsidRPr="00465EB7">
        <w:rPr>
          <w:lang w:eastAsia="en-AU"/>
        </w:rPr>
        <w:t>, evidence of identity documents</w:t>
      </w:r>
      <w:r w:rsidR="00465EB7">
        <w:rPr>
          <w:lang w:eastAsia="en-AU"/>
        </w:rPr>
        <w:t xml:space="preserve"> must be produced.</w:t>
      </w:r>
    </w:p>
    <w:p w14:paraId="7454E2E0" w14:textId="77777777" w:rsidR="00122C1B" w:rsidRDefault="00122C1B" w:rsidP="00002841">
      <w:pPr>
        <w:pStyle w:val="TextPara"/>
        <w:rPr>
          <w:lang w:eastAsia="en-AU"/>
        </w:rPr>
      </w:pPr>
      <w:r>
        <w:rPr>
          <w:lang w:eastAsia="en-AU"/>
        </w:rPr>
        <w:t>Where a driver’s licence is suspended, the driver is not permitted to drive during the suspension period. At the end of the suspension period, they may resume driving if their licence has not expired.</w:t>
      </w:r>
    </w:p>
    <w:p w14:paraId="7790B2B1" w14:textId="77777777" w:rsidR="0033453C" w:rsidRDefault="0033453C" w:rsidP="00116069">
      <w:pPr>
        <w:pStyle w:val="TextPara"/>
        <w:rPr>
          <w:lang w:eastAsia="en-AU"/>
        </w:rPr>
      </w:pPr>
      <w:r>
        <w:rPr>
          <w:lang w:eastAsia="en-AU"/>
        </w:rPr>
        <w:t>Where a driver’s licence is cancelled, the driver is disqualified from driving and is not permitted to drive until the disqualification period ends. At the end of the disqualification period, they must re-apply for a new licence to resume driving.</w:t>
      </w:r>
    </w:p>
    <w:p w14:paraId="0524324E" w14:textId="77777777" w:rsidR="00122C1B" w:rsidRDefault="00122C1B" w:rsidP="00116069">
      <w:pPr>
        <w:pStyle w:val="TextPara"/>
        <w:rPr>
          <w:lang w:eastAsia="en-AU"/>
        </w:rPr>
      </w:pPr>
      <w:r>
        <w:rPr>
          <w:lang w:eastAsia="en-AU"/>
        </w:rPr>
        <w:t xml:space="preserve">Where a medical condition or treatment has the potential to impair a driver’s fitness to drive, VicRoads may require them to undergo an assessment. </w:t>
      </w:r>
      <w:r w:rsidRPr="00451E2F">
        <w:rPr>
          <w:lang w:eastAsia="en-AU"/>
        </w:rPr>
        <w:t xml:space="preserve">Drivers are assessed for fitness-to-drive only if they self-notify or are referred to VicRoads by community members, such as the police following involvement in a crash, a </w:t>
      </w:r>
      <w:r>
        <w:rPr>
          <w:lang w:eastAsia="en-AU"/>
        </w:rPr>
        <w:t xml:space="preserve">medical </w:t>
      </w:r>
      <w:r w:rsidRPr="00451E2F">
        <w:rPr>
          <w:lang w:eastAsia="en-AU"/>
        </w:rPr>
        <w:t>practitioner or a member of the</w:t>
      </w:r>
      <w:r w:rsidR="000D63D3">
        <w:rPr>
          <w:lang w:eastAsia="en-AU"/>
        </w:rPr>
        <w:t>ir</w:t>
      </w:r>
      <w:r w:rsidRPr="00451E2F">
        <w:rPr>
          <w:lang w:eastAsia="en-AU"/>
        </w:rPr>
        <w:t xml:space="preserve"> family </w:t>
      </w:r>
      <w:r>
        <w:rPr>
          <w:lang w:eastAsia="en-AU"/>
        </w:rPr>
        <w:t>having</w:t>
      </w:r>
      <w:r w:rsidRPr="00451E2F">
        <w:rPr>
          <w:lang w:eastAsia="en-AU"/>
        </w:rPr>
        <w:t xml:space="preserve"> concerns about the</w:t>
      </w:r>
      <w:r w:rsidR="000D63D3">
        <w:rPr>
          <w:lang w:eastAsia="en-AU"/>
        </w:rPr>
        <w:t>ir</w:t>
      </w:r>
      <w:r w:rsidRPr="00451E2F">
        <w:rPr>
          <w:lang w:eastAsia="en-AU"/>
        </w:rPr>
        <w:t xml:space="preserve"> fitness to </w:t>
      </w:r>
      <w:r w:rsidR="000D63D3">
        <w:rPr>
          <w:lang w:eastAsia="en-AU"/>
        </w:rPr>
        <w:t>drive</w:t>
      </w:r>
      <w:r w:rsidRPr="00451E2F">
        <w:rPr>
          <w:lang w:eastAsia="en-AU"/>
        </w:rPr>
        <w:t xml:space="preserve"> due to health-related issues.</w:t>
      </w:r>
    </w:p>
    <w:p w14:paraId="58AA9381" w14:textId="77777777" w:rsidR="00122C1B" w:rsidRDefault="00122C1B" w:rsidP="006713F9">
      <w:pPr>
        <w:pStyle w:val="Heading3"/>
      </w:pPr>
      <w:bookmarkStart w:id="557" w:name="_Toc10703463"/>
      <w:r w:rsidRPr="00D47BC0">
        <w:t xml:space="preserve">Summary of proposed regulations relevant to </w:t>
      </w:r>
      <w:r>
        <w:t>full</w:t>
      </w:r>
      <w:r w:rsidRPr="00D47BC0">
        <w:t xml:space="preserve"> licence</w:t>
      </w:r>
      <w:bookmarkEnd w:id="557"/>
    </w:p>
    <w:p w14:paraId="22E9AC68" w14:textId="6024D952" w:rsidR="00122C1B" w:rsidRDefault="00122C1B">
      <w:pPr>
        <w:pStyle w:val="TextPara"/>
        <w:rPr>
          <w:lang w:eastAsia="en-AU"/>
        </w:rPr>
      </w:pPr>
      <w:r>
        <w:rPr>
          <w:lang w:eastAsia="en-AU"/>
        </w:rPr>
        <w:fldChar w:fldCharType="begin"/>
      </w:r>
      <w:r>
        <w:rPr>
          <w:lang w:eastAsia="en-AU"/>
        </w:rPr>
        <w:instrText xml:space="preserve"> REF _Ref534279754 \h </w:instrText>
      </w:r>
      <w:r>
        <w:rPr>
          <w:lang w:eastAsia="en-AU"/>
        </w:rPr>
      </w:r>
      <w:r>
        <w:rPr>
          <w:lang w:eastAsia="en-AU"/>
        </w:rPr>
        <w:fldChar w:fldCharType="separate"/>
      </w:r>
      <w:r w:rsidR="00EB4B02">
        <w:t xml:space="preserve">Table </w:t>
      </w:r>
      <w:r w:rsidR="00EB4B02">
        <w:rPr>
          <w:noProof/>
        </w:rPr>
        <w:t>30</w:t>
      </w:r>
      <w:r>
        <w:rPr>
          <w:lang w:eastAsia="en-AU"/>
        </w:rPr>
        <w:fldChar w:fldCharType="end"/>
      </w:r>
      <w:r>
        <w:rPr>
          <w:lang w:eastAsia="en-AU"/>
        </w:rPr>
        <w:t xml:space="preserve"> </w:t>
      </w:r>
      <w:r w:rsidRPr="00D47BC0">
        <w:rPr>
          <w:lang w:eastAsia="en-AU"/>
        </w:rPr>
        <w:t xml:space="preserve">provides a summary of the proposed regulations that </w:t>
      </w:r>
      <w:r>
        <w:rPr>
          <w:lang w:eastAsia="en-AU"/>
        </w:rPr>
        <w:t xml:space="preserve">are </w:t>
      </w:r>
      <w:r w:rsidRPr="00D47BC0">
        <w:rPr>
          <w:lang w:eastAsia="en-AU"/>
        </w:rPr>
        <w:t xml:space="preserve">relevant to </w:t>
      </w:r>
      <w:r>
        <w:rPr>
          <w:lang w:eastAsia="en-AU"/>
        </w:rPr>
        <w:t>full licensed</w:t>
      </w:r>
      <w:r w:rsidRPr="00D47BC0">
        <w:rPr>
          <w:lang w:eastAsia="en-AU"/>
        </w:rPr>
        <w:t xml:space="preserve"> drivers with their corresponding rationale</w:t>
      </w:r>
      <w:r>
        <w:rPr>
          <w:lang w:eastAsia="en-AU"/>
        </w:rPr>
        <w:t>, including licence conversions</w:t>
      </w:r>
      <w:r w:rsidRPr="00D47BC0">
        <w:rPr>
          <w:lang w:eastAsia="en-AU"/>
        </w:rPr>
        <w:t>.</w:t>
      </w:r>
    </w:p>
    <w:p w14:paraId="7987E4E0" w14:textId="751C56E3" w:rsidR="00122C1B" w:rsidRDefault="00122C1B" w:rsidP="00D47BC0">
      <w:pPr>
        <w:pStyle w:val="Caption"/>
      </w:pPr>
      <w:bookmarkStart w:id="558" w:name="_Ref534279754"/>
      <w:bookmarkStart w:id="559" w:name="_Toc10703723"/>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30</w:t>
      </w:r>
      <w:r w:rsidR="00BC6B2E">
        <w:rPr>
          <w:noProof/>
        </w:rPr>
        <w:fldChar w:fldCharType="end"/>
      </w:r>
      <w:bookmarkEnd w:id="558"/>
      <w:r>
        <w:t xml:space="preserve"> – </w:t>
      </w:r>
      <w:r w:rsidRPr="009B3E2F">
        <w:t>Summary of t</w:t>
      </w:r>
      <w:r>
        <w:t>he proposed regulations relevant to full licences</w:t>
      </w:r>
      <w:bookmarkEnd w:id="559"/>
    </w:p>
    <w:tbl>
      <w:tblPr>
        <w:tblStyle w:val="RIS-Table2"/>
        <w:tblW w:w="9781" w:type="dxa"/>
        <w:tblLook w:val="04A0" w:firstRow="1" w:lastRow="0" w:firstColumn="1" w:lastColumn="0" w:noHBand="0" w:noVBand="1"/>
      </w:tblPr>
      <w:tblGrid>
        <w:gridCol w:w="908"/>
        <w:gridCol w:w="3765"/>
        <w:gridCol w:w="3558"/>
        <w:gridCol w:w="1550"/>
      </w:tblGrid>
      <w:tr w:rsidR="00122C1B" w14:paraId="309EBF84" w14:textId="77777777" w:rsidTr="00610D70">
        <w:trPr>
          <w:cnfStyle w:val="100000000000" w:firstRow="1" w:lastRow="0" w:firstColumn="0" w:lastColumn="0" w:oddVBand="0" w:evenVBand="0" w:oddHBand="0" w:evenHBand="0" w:firstRowFirstColumn="0" w:firstRowLastColumn="0" w:lastRowFirstColumn="0" w:lastRowLastColumn="0"/>
        </w:trPr>
        <w:tc>
          <w:tcPr>
            <w:tcW w:w="908" w:type="dxa"/>
          </w:tcPr>
          <w:p w14:paraId="6D645012" w14:textId="77777777" w:rsidR="00122C1B" w:rsidRPr="000A191B" w:rsidRDefault="00122C1B" w:rsidP="00B74C63">
            <w:pPr>
              <w:pStyle w:val="TableHeaders"/>
              <w:keepNext/>
            </w:pPr>
            <w:r w:rsidRPr="000A191B">
              <w:t>Reg No.</w:t>
            </w:r>
          </w:p>
        </w:tc>
        <w:tc>
          <w:tcPr>
            <w:tcW w:w="3765" w:type="dxa"/>
          </w:tcPr>
          <w:p w14:paraId="3C60B58E" w14:textId="77777777" w:rsidR="00122C1B" w:rsidRPr="000A191B" w:rsidRDefault="00122C1B" w:rsidP="00B74C63">
            <w:pPr>
              <w:pStyle w:val="TableHeaders"/>
              <w:keepNext/>
            </w:pPr>
            <w:r>
              <w:t>Proposed regulation</w:t>
            </w:r>
          </w:p>
        </w:tc>
        <w:tc>
          <w:tcPr>
            <w:tcW w:w="3558" w:type="dxa"/>
          </w:tcPr>
          <w:p w14:paraId="6521DB88" w14:textId="77777777" w:rsidR="00122C1B" w:rsidRPr="000A191B" w:rsidRDefault="00122C1B" w:rsidP="00B74C63">
            <w:pPr>
              <w:pStyle w:val="TableHeaders"/>
              <w:keepNext/>
            </w:pPr>
            <w:r>
              <w:t>Rationale for proposed regulation</w:t>
            </w:r>
          </w:p>
        </w:tc>
        <w:tc>
          <w:tcPr>
            <w:tcW w:w="1550" w:type="dxa"/>
          </w:tcPr>
          <w:p w14:paraId="5EEFCD2A" w14:textId="77777777" w:rsidR="00122C1B" w:rsidRDefault="00122C1B" w:rsidP="00B74C63">
            <w:pPr>
              <w:pStyle w:val="TableHeaders"/>
              <w:keepNext/>
            </w:pPr>
            <w:r w:rsidRPr="00064BD2">
              <w:t>Change from current</w:t>
            </w:r>
          </w:p>
        </w:tc>
      </w:tr>
      <w:tr w:rsidR="00122C1B" w14:paraId="4C753E7F" w14:textId="77777777" w:rsidTr="00FB62BD">
        <w:tc>
          <w:tcPr>
            <w:tcW w:w="908" w:type="dxa"/>
            <w:shd w:val="clear" w:color="auto" w:fill="auto"/>
          </w:tcPr>
          <w:p w14:paraId="5525FD13" w14:textId="77777777" w:rsidR="00122C1B" w:rsidRDefault="00122C1B" w:rsidP="00FC0B08">
            <w:pPr>
              <w:pStyle w:val="TableParagraph"/>
              <w:jc w:val="center"/>
            </w:pPr>
            <w:r>
              <w:t>12</w:t>
            </w:r>
            <w:r w:rsidR="00A45BBC">
              <w:t xml:space="preserve"> &amp; 13</w:t>
            </w:r>
          </w:p>
        </w:tc>
        <w:tc>
          <w:tcPr>
            <w:tcW w:w="3765" w:type="dxa"/>
            <w:shd w:val="clear" w:color="auto" w:fill="auto"/>
          </w:tcPr>
          <w:p w14:paraId="2D6A9EBD" w14:textId="77777777" w:rsidR="0050624B" w:rsidRPr="0044054A" w:rsidRDefault="00122C1B" w:rsidP="0050624B">
            <w:pPr>
              <w:pStyle w:val="TableParagraph"/>
            </w:pPr>
            <w:r>
              <w:t>Drivers holding a</w:t>
            </w:r>
            <w:r w:rsidR="00CE3E20">
              <w:t>n appropriate</w:t>
            </w:r>
            <w:r>
              <w:t xml:space="preserve"> non-Victorian licence</w:t>
            </w:r>
            <w:r w:rsidR="0050624B">
              <w:t xml:space="preserve"> for that category of vehicle</w:t>
            </w:r>
            <w:r>
              <w:t xml:space="preserve"> are authorised to drive in Victoria for</w:t>
            </w:r>
            <w:r w:rsidR="00A45BBC">
              <w:t xml:space="preserve"> up to</w:t>
            </w:r>
            <w:r>
              <w:t xml:space="preserve"> 6 months with that licence.</w:t>
            </w:r>
            <w:r w:rsidR="0050624B">
              <w:t xml:space="preserve"> At the time the licence or permit was issued, the person was ordinarily resident in the jurisdiction or country in which it was issued. If the licence issued in another country is not in English, it </w:t>
            </w:r>
            <w:r w:rsidR="0050624B">
              <w:lastRenderedPageBreak/>
              <w:t>must be accompanied by an accurate English translation.</w:t>
            </w:r>
          </w:p>
        </w:tc>
        <w:tc>
          <w:tcPr>
            <w:tcW w:w="3558" w:type="dxa"/>
            <w:shd w:val="clear" w:color="auto" w:fill="auto"/>
          </w:tcPr>
          <w:p w14:paraId="6E589485" w14:textId="77777777" w:rsidR="00122C1B" w:rsidRPr="00224747" w:rsidRDefault="00966034" w:rsidP="00224747">
            <w:pPr>
              <w:pStyle w:val="TableParagraph"/>
            </w:pPr>
            <w:r w:rsidRPr="00224747">
              <w:lastRenderedPageBreak/>
              <w:t>Practical access to Victorian roads for short term visitors</w:t>
            </w:r>
            <w:r w:rsidR="0075281C" w:rsidRPr="00224747">
              <w:t xml:space="preserve"> in line with the United Nations Convention on Road Traffic 1949. Under th</w:t>
            </w:r>
            <w:r w:rsidR="00224747" w:rsidRPr="00224747">
              <w:t>e</w:t>
            </w:r>
            <w:r w:rsidR="0075281C" w:rsidRPr="00224747">
              <w:t xml:space="preserve"> Convention, Australia is obliged to allow international visitors to drive around the country, using their driver licence and an international driving permit issued in their home country.</w:t>
            </w:r>
            <w:r w:rsidR="0075281C" w:rsidRPr="00224747">
              <w:rPr>
                <w:vertAlign w:val="superscript"/>
              </w:rPr>
              <w:endnoteReference w:id="368"/>
            </w:r>
            <w:r w:rsidR="0075281C" w:rsidRPr="00224747">
              <w:t xml:space="preserve"> </w:t>
            </w:r>
          </w:p>
        </w:tc>
        <w:tc>
          <w:tcPr>
            <w:tcW w:w="1550" w:type="dxa"/>
            <w:shd w:val="clear" w:color="auto" w:fill="auto"/>
          </w:tcPr>
          <w:p w14:paraId="5746A6AE" w14:textId="77777777" w:rsidR="00122C1B" w:rsidRDefault="00122C1B" w:rsidP="00FC0B08">
            <w:pPr>
              <w:pStyle w:val="TableParagraph"/>
              <w:jc w:val="center"/>
            </w:pPr>
            <w:r>
              <w:t>Yes</w:t>
            </w:r>
          </w:p>
        </w:tc>
      </w:tr>
      <w:tr w:rsidR="00122C1B" w14:paraId="2F7731BD" w14:textId="77777777" w:rsidTr="00FB62BD">
        <w:trPr>
          <w:cnfStyle w:val="000000010000" w:firstRow="0" w:lastRow="0" w:firstColumn="0" w:lastColumn="0" w:oddVBand="0" w:evenVBand="0" w:oddHBand="0" w:evenHBand="1" w:firstRowFirstColumn="0" w:firstRowLastColumn="0" w:lastRowFirstColumn="0" w:lastRowLastColumn="0"/>
        </w:trPr>
        <w:tc>
          <w:tcPr>
            <w:tcW w:w="908" w:type="dxa"/>
            <w:shd w:val="clear" w:color="auto" w:fill="auto"/>
          </w:tcPr>
          <w:p w14:paraId="48EB6D72" w14:textId="77777777" w:rsidR="00122C1B" w:rsidRDefault="00122C1B" w:rsidP="00FC0B08">
            <w:pPr>
              <w:pStyle w:val="TableParagraph"/>
              <w:jc w:val="center"/>
            </w:pPr>
            <w:r>
              <w:t>13</w:t>
            </w:r>
          </w:p>
        </w:tc>
        <w:tc>
          <w:tcPr>
            <w:tcW w:w="3765" w:type="dxa"/>
            <w:shd w:val="clear" w:color="auto" w:fill="auto"/>
          </w:tcPr>
          <w:p w14:paraId="0AD28A0E" w14:textId="77777777" w:rsidR="00122C1B" w:rsidRPr="0044054A" w:rsidRDefault="00122C1B" w:rsidP="00FC0B08">
            <w:pPr>
              <w:pStyle w:val="TableParagraph"/>
            </w:pPr>
            <w:r>
              <w:t xml:space="preserve">Drivers holding a non-Victorian licence cease to be authorised to drive in Victoria with their non-Victorian licence if they have </w:t>
            </w:r>
            <w:r w:rsidRPr="0028660F">
              <w:t>resided in Victoria for a period of 6 months or more</w:t>
            </w:r>
            <w:r>
              <w:t>. They are required to apply for and obtain a Victorian licence to continue to drive in Victoria. If required by VicRoads, drivers holding a non-Victorian licence must undergo and pass a test or assessment before being granted a Victorian licence.</w:t>
            </w:r>
          </w:p>
        </w:tc>
        <w:tc>
          <w:tcPr>
            <w:tcW w:w="3558" w:type="dxa"/>
            <w:shd w:val="clear" w:color="auto" w:fill="auto"/>
          </w:tcPr>
          <w:p w14:paraId="4A06F42E" w14:textId="77777777" w:rsidR="00122C1B" w:rsidRPr="000A191B" w:rsidRDefault="00A03C8E" w:rsidP="00FC0B08">
            <w:pPr>
              <w:pStyle w:val="TableParagraph"/>
            </w:pPr>
            <w:r w:rsidRPr="0068433C">
              <w:t xml:space="preserve">Manage </w:t>
            </w:r>
            <w:r w:rsidR="00885573">
              <w:t>interstate and overseas drivers,</w:t>
            </w:r>
            <w:r w:rsidR="0068433C">
              <w:t xml:space="preserve"> </w:t>
            </w:r>
            <w:r w:rsidR="00885573">
              <w:t xml:space="preserve">who </w:t>
            </w:r>
            <w:r w:rsidR="0068433C">
              <w:t>choos</w:t>
            </w:r>
            <w:r w:rsidR="00885573">
              <w:t>e</w:t>
            </w:r>
            <w:r w:rsidR="0068433C">
              <w:t xml:space="preserve"> to reside in Victoria</w:t>
            </w:r>
            <w:r w:rsidR="00885573">
              <w:t>,</w:t>
            </w:r>
            <w:r w:rsidR="0068433C">
              <w:t xml:space="preserve"> </w:t>
            </w:r>
            <w:r w:rsidR="0068433C" w:rsidRPr="0068433C">
              <w:t xml:space="preserve">in the same way as Victorian drivers </w:t>
            </w:r>
            <w:r w:rsidR="0068433C">
              <w:t xml:space="preserve">by </w:t>
            </w:r>
            <w:r w:rsidR="0068433C" w:rsidRPr="0068433C">
              <w:t>br</w:t>
            </w:r>
            <w:r w:rsidR="0068433C">
              <w:t>inging</w:t>
            </w:r>
            <w:r w:rsidR="0068433C" w:rsidRPr="0068433C">
              <w:t xml:space="preserve"> </w:t>
            </w:r>
            <w:r w:rsidR="00BA2D56">
              <w:t xml:space="preserve">them </w:t>
            </w:r>
            <w:r w:rsidR="0068433C" w:rsidRPr="0068433C">
              <w:t>within the Victorian licensing system.</w:t>
            </w:r>
            <w:r w:rsidR="00642E29">
              <w:t xml:space="preserve"> </w:t>
            </w:r>
            <w:r w:rsidR="00082954">
              <w:t>Without this regulation</w:t>
            </w:r>
            <w:r w:rsidR="00642E29">
              <w:t>, l</w:t>
            </w:r>
            <w:r w:rsidR="00642E29" w:rsidRPr="00642E29">
              <w:t xml:space="preserve">icence conditions, such as the imposition of alcohol interlock devices after conviction for a drink-driving offence, cannot be </w:t>
            </w:r>
            <w:r w:rsidR="00082954">
              <w:t>applied to the driver</w:t>
            </w:r>
            <w:r w:rsidR="00642E29">
              <w:t>.</w:t>
            </w:r>
          </w:p>
        </w:tc>
        <w:tc>
          <w:tcPr>
            <w:tcW w:w="1550" w:type="dxa"/>
            <w:shd w:val="clear" w:color="auto" w:fill="auto"/>
          </w:tcPr>
          <w:p w14:paraId="07D2724A" w14:textId="77777777" w:rsidR="00122C1B" w:rsidRDefault="00122C1B" w:rsidP="00FC0B08">
            <w:pPr>
              <w:pStyle w:val="TableParagraph"/>
              <w:jc w:val="center"/>
            </w:pPr>
            <w:r>
              <w:t>Yes</w:t>
            </w:r>
          </w:p>
        </w:tc>
      </w:tr>
      <w:tr w:rsidR="00122C1B" w14:paraId="65B7D873" w14:textId="77777777" w:rsidTr="00FB62BD">
        <w:tc>
          <w:tcPr>
            <w:tcW w:w="908" w:type="dxa"/>
            <w:shd w:val="clear" w:color="auto" w:fill="auto"/>
          </w:tcPr>
          <w:p w14:paraId="0ABBE3A0" w14:textId="77777777" w:rsidR="00122C1B" w:rsidRDefault="00122C1B" w:rsidP="00FC0B08">
            <w:pPr>
              <w:pStyle w:val="TableParagraph"/>
              <w:jc w:val="center"/>
            </w:pPr>
            <w:r>
              <w:t>14</w:t>
            </w:r>
            <w:r w:rsidR="00FE690A">
              <w:t xml:space="preserve"> to </w:t>
            </w:r>
            <w:r w:rsidR="001E3EF5">
              <w:t>22</w:t>
            </w:r>
          </w:p>
        </w:tc>
        <w:tc>
          <w:tcPr>
            <w:tcW w:w="3765" w:type="dxa"/>
            <w:shd w:val="clear" w:color="auto" w:fill="auto"/>
          </w:tcPr>
          <w:p w14:paraId="65181AEF" w14:textId="77777777" w:rsidR="00122C1B" w:rsidRDefault="00122C1B" w:rsidP="00FC0B08">
            <w:pPr>
              <w:pStyle w:val="TableParagraph"/>
            </w:pPr>
            <w:r>
              <w:t>Driver licence applicants must be a resident of Victoria and meet the requirements prescribed in the proposed Regulations for the category of motor vehicle to which the application relates or holds a non-Victorian licence for the equivalent category of vehicle.</w:t>
            </w:r>
          </w:p>
        </w:tc>
        <w:tc>
          <w:tcPr>
            <w:tcW w:w="3558" w:type="dxa"/>
            <w:shd w:val="clear" w:color="auto" w:fill="auto"/>
          </w:tcPr>
          <w:p w14:paraId="68CE2A4C" w14:textId="77777777" w:rsidR="00122C1B" w:rsidRPr="000A191B" w:rsidRDefault="00900ABA" w:rsidP="00FC0B08">
            <w:pPr>
              <w:pStyle w:val="TableParagraph"/>
            </w:pPr>
            <w:r>
              <w:t>Ensure that driver licence applicants meet the competency, experience and residency criteria required to apply for a licence to drive the relevant category of motor vehicle.</w:t>
            </w:r>
          </w:p>
        </w:tc>
        <w:tc>
          <w:tcPr>
            <w:tcW w:w="1550" w:type="dxa"/>
            <w:shd w:val="clear" w:color="auto" w:fill="auto"/>
          </w:tcPr>
          <w:p w14:paraId="48399FE4" w14:textId="77777777" w:rsidR="00122C1B" w:rsidRDefault="00122C1B" w:rsidP="00FC0B08">
            <w:pPr>
              <w:pStyle w:val="TableParagraph"/>
              <w:jc w:val="center"/>
            </w:pPr>
            <w:r>
              <w:t>No</w:t>
            </w:r>
          </w:p>
        </w:tc>
      </w:tr>
      <w:tr w:rsidR="00122C1B" w14:paraId="1EFF9A8C" w14:textId="77777777" w:rsidTr="00FB62BD">
        <w:trPr>
          <w:cnfStyle w:val="000000010000" w:firstRow="0" w:lastRow="0" w:firstColumn="0" w:lastColumn="0" w:oddVBand="0" w:evenVBand="0" w:oddHBand="0" w:evenHBand="1" w:firstRowFirstColumn="0" w:firstRowLastColumn="0" w:lastRowFirstColumn="0" w:lastRowLastColumn="0"/>
        </w:trPr>
        <w:tc>
          <w:tcPr>
            <w:tcW w:w="908" w:type="dxa"/>
            <w:shd w:val="clear" w:color="auto" w:fill="auto"/>
          </w:tcPr>
          <w:p w14:paraId="58F79FD3" w14:textId="77777777" w:rsidR="00122C1B" w:rsidRDefault="005D2CE8" w:rsidP="00FC0B08">
            <w:pPr>
              <w:pStyle w:val="TableParagraph"/>
              <w:jc w:val="center"/>
            </w:pPr>
            <w:r>
              <w:t>41</w:t>
            </w:r>
            <w:r w:rsidR="00B03B41">
              <w:t xml:space="preserve"> &amp; 42</w:t>
            </w:r>
          </w:p>
        </w:tc>
        <w:tc>
          <w:tcPr>
            <w:tcW w:w="3765" w:type="dxa"/>
            <w:shd w:val="clear" w:color="auto" w:fill="auto"/>
          </w:tcPr>
          <w:p w14:paraId="2EBB38A5" w14:textId="77777777" w:rsidR="00122C1B" w:rsidRDefault="00122C1B" w:rsidP="00FC0B08">
            <w:pPr>
              <w:pStyle w:val="TableParagraph"/>
            </w:pPr>
            <w:r w:rsidRPr="00F7764C">
              <w:t>A person may apply to VicRoads to renew their driver licence, within 6 months after the expiry date of the licence</w:t>
            </w:r>
            <w:r>
              <w:t xml:space="preserve">. </w:t>
            </w:r>
            <w:r w:rsidRPr="00F7764C">
              <w:t>A person may not renew their driver licence, but may</w:t>
            </w:r>
            <w:r>
              <w:t xml:space="preserve"> apply for a new driver licence,</w:t>
            </w:r>
            <w:r w:rsidRPr="00F7764C">
              <w:t xml:space="preserve"> if the driver licence has been cancelled and the person is not disqualified from driving or from obtaining a driver licence under the</w:t>
            </w:r>
            <w:r>
              <w:t xml:space="preserve"> proposed</w:t>
            </w:r>
            <w:r w:rsidRPr="00F7764C">
              <w:t xml:space="preserve"> Regulations, the </w:t>
            </w:r>
            <w:r w:rsidRPr="00F7764C">
              <w:rPr>
                <w:i/>
              </w:rPr>
              <w:t>RSA</w:t>
            </w:r>
            <w:r w:rsidRPr="00F7764C">
              <w:t xml:space="preserve"> or any other Act.</w:t>
            </w:r>
          </w:p>
          <w:p w14:paraId="5F78E75C" w14:textId="77777777" w:rsidR="00B03B41" w:rsidRPr="0044054A" w:rsidRDefault="00B03B41" w:rsidP="00FC0B08">
            <w:pPr>
              <w:pStyle w:val="TableParagraph"/>
            </w:pPr>
            <w:r w:rsidRPr="00B03B41">
              <w:t>The expiry date of a renewed driver licence must be calculated from the expiry date of the licence being renewed, if it is renewed within 6 months after the expiry date</w:t>
            </w:r>
          </w:p>
        </w:tc>
        <w:tc>
          <w:tcPr>
            <w:tcW w:w="3558" w:type="dxa"/>
            <w:shd w:val="clear" w:color="auto" w:fill="auto"/>
          </w:tcPr>
          <w:p w14:paraId="3C5090F5" w14:textId="77777777" w:rsidR="00122C1B" w:rsidRPr="000A191B" w:rsidRDefault="003932F6" w:rsidP="00FC0B08">
            <w:pPr>
              <w:pStyle w:val="TableParagraph"/>
            </w:pPr>
            <w:r w:rsidRPr="003932F6">
              <w:t>Minimise administrative burden</w:t>
            </w:r>
            <w:r>
              <w:t xml:space="preserve"> by</w:t>
            </w:r>
            <w:r w:rsidRPr="003932F6">
              <w:t xml:space="preserve"> allow</w:t>
            </w:r>
            <w:r>
              <w:t xml:space="preserve">ing drivers to renew their licence up to </w:t>
            </w:r>
            <w:r w:rsidRPr="003932F6">
              <w:t xml:space="preserve">6 months </w:t>
            </w:r>
            <w:r>
              <w:t xml:space="preserve">after </w:t>
            </w:r>
            <w:r w:rsidRPr="003932F6">
              <w:t>their licence expiry date without having to re-apply for it</w:t>
            </w:r>
            <w:r>
              <w:t>.</w:t>
            </w:r>
          </w:p>
        </w:tc>
        <w:tc>
          <w:tcPr>
            <w:tcW w:w="1550" w:type="dxa"/>
            <w:shd w:val="clear" w:color="auto" w:fill="auto"/>
          </w:tcPr>
          <w:p w14:paraId="79D5ED5A" w14:textId="77777777" w:rsidR="00122C1B" w:rsidRDefault="008B30A3" w:rsidP="00FC0B08">
            <w:pPr>
              <w:pStyle w:val="TableParagraph"/>
              <w:jc w:val="center"/>
            </w:pPr>
            <w:r>
              <w:t>Yes</w:t>
            </w:r>
          </w:p>
        </w:tc>
      </w:tr>
      <w:tr w:rsidR="00122C1B" w14:paraId="19C7AE81" w14:textId="77777777" w:rsidTr="00FB62BD">
        <w:tc>
          <w:tcPr>
            <w:tcW w:w="908" w:type="dxa"/>
            <w:shd w:val="clear" w:color="auto" w:fill="auto"/>
          </w:tcPr>
          <w:p w14:paraId="4ED8A248" w14:textId="77777777" w:rsidR="00122C1B" w:rsidRDefault="00122C1B" w:rsidP="00FC0B08">
            <w:pPr>
              <w:pStyle w:val="TableParagraph"/>
              <w:jc w:val="center"/>
            </w:pPr>
            <w:r>
              <w:t>43</w:t>
            </w:r>
          </w:p>
        </w:tc>
        <w:tc>
          <w:tcPr>
            <w:tcW w:w="3765" w:type="dxa"/>
            <w:shd w:val="clear" w:color="auto" w:fill="auto"/>
          </w:tcPr>
          <w:p w14:paraId="67D6918D" w14:textId="77777777" w:rsidR="00122C1B" w:rsidRPr="0044054A" w:rsidRDefault="00283DB9" w:rsidP="00FC0B08">
            <w:pPr>
              <w:pStyle w:val="TableParagraph"/>
            </w:pPr>
            <w:r>
              <w:t>Drivers</w:t>
            </w:r>
            <w:r w:rsidR="00122C1B" w:rsidRPr="005F531B">
              <w:t xml:space="preserve"> may apply to VicRoads to surrender their driver licence</w:t>
            </w:r>
            <w:r w:rsidR="00122C1B">
              <w:t xml:space="preserve">. </w:t>
            </w:r>
            <w:r w:rsidR="00122C1B" w:rsidRPr="005F531B">
              <w:t>A person who surrenders their driver licence must return the driver licence document to VicRoads</w:t>
            </w:r>
            <w:r w:rsidR="00122C1B">
              <w:t xml:space="preserve">. </w:t>
            </w:r>
            <w:r w:rsidR="00122C1B" w:rsidRPr="00172566">
              <w:t>If a person surrenders their driver licence to VicRoads, VicRoads must cancel the driver licence or learner permit</w:t>
            </w:r>
            <w:r w:rsidR="00122C1B">
              <w:t>.</w:t>
            </w:r>
          </w:p>
        </w:tc>
        <w:tc>
          <w:tcPr>
            <w:tcW w:w="3558" w:type="dxa"/>
            <w:shd w:val="clear" w:color="auto" w:fill="auto"/>
          </w:tcPr>
          <w:p w14:paraId="2D9AAF8E" w14:textId="77777777" w:rsidR="00122C1B" w:rsidRPr="000A191B" w:rsidRDefault="008B30A3" w:rsidP="00FC0B08">
            <w:pPr>
              <w:pStyle w:val="TableParagraph"/>
            </w:pPr>
            <w:r>
              <w:t>Provides drivers the ability to surrender their licence if they choose to stop driving.</w:t>
            </w:r>
          </w:p>
        </w:tc>
        <w:tc>
          <w:tcPr>
            <w:tcW w:w="1550" w:type="dxa"/>
            <w:shd w:val="clear" w:color="auto" w:fill="auto"/>
          </w:tcPr>
          <w:p w14:paraId="224DB28E" w14:textId="77777777" w:rsidR="00122C1B" w:rsidRDefault="008B30A3" w:rsidP="00FC0B08">
            <w:pPr>
              <w:pStyle w:val="TableParagraph"/>
              <w:jc w:val="center"/>
            </w:pPr>
            <w:r>
              <w:t>No</w:t>
            </w:r>
          </w:p>
        </w:tc>
      </w:tr>
      <w:tr w:rsidR="00122C1B" w14:paraId="7BF5BA44" w14:textId="77777777" w:rsidTr="00FB62BD">
        <w:trPr>
          <w:cnfStyle w:val="000000010000" w:firstRow="0" w:lastRow="0" w:firstColumn="0" w:lastColumn="0" w:oddVBand="0" w:evenVBand="0" w:oddHBand="0" w:evenHBand="1" w:firstRowFirstColumn="0" w:firstRowLastColumn="0" w:lastRowFirstColumn="0" w:lastRowLastColumn="0"/>
        </w:trPr>
        <w:tc>
          <w:tcPr>
            <w:tcW w:w="908" w:type="dxa"/>
            <w:shd w:val="clear" w:color="auto" w:fill="auto"/>
          </w:tcPr>
          <w:p w14:paraId="1C7E5831" w14:textId="77777777" w:rsidR="00122C1B" w:rsidRDefault="00122C1B" w:rsidP="00B74C63">
            <w:pPr>
              <w:pStyle w:val="TableParagraph"/>
              <w:jc w:val="center"/>
            </w:pPr>
            <w:r>
              <w:t>69</w:t>
            </w:r>
          </w:p>
        </w:tc>
        <w:tc>
          <w:tcPr>
            <w:tcW w:w="3765" w:type="dxa"/>
            <w:shd w:val="clear" w:color="auto" w:fill="auto"/>
          </w:tcPr>
          <w:p w14:paraId="360A14A9" w14:textId="77777777" w:rsidR="00122C1B" w:rsidRDefault="00122C1B" w:rsidP="00B74C63">
            <w:pPr>
              <w:pStyle w:val="TableParagraph"/>
            </w:pPr>
            <w:r w:rsidRPr="003924A0">
              <w:t xml:space="preserve">VicRoads may exempt a member of consular or diplomatic staff from a requirement to undergo any tests or assessments required by VicRoads under the </w:t>
            </w:r>
            <w:r w:rsidRPr="003924A0">
              <w:rPr>
                <w:i/>
              </w:rPr>
              <w:t>RSA</w:t>
            </w:r>
            <w:r>
              <w:t>.</w:t>
            </w:r>
          </w:p>
          <w:p w14:paraId="3BC76E76" w14:textId="77777777" w:rsidR="00122C1B" w:rsidRPr="0044054A" w:rsidRDefault="00122C1B" w:rsidP="00B74C63">
            <w:pPr>
              <w:pStyle w:val="TableParagraph"/>
            </w:pPr>
            <w:r w:rsidRPr="003924A0">
              <w:t xml:space="preserve">VicRoads may waive the payment by a member of consular or diplomatic staff of </w:t>
            </w:r>
            <w:r>
              <w:t xml:space="preserve">fees payable </w:t>
            </w:r>
            <w:r w:rsidRPr="003924A0">
              <w:t>for the grant</w:t>
            </w:r>
            <w:r>
              <w:t>,</w:t>
            </w:r>
            <w:r w:rsidRPr="003924A0">
              <w:t xml:space="preserve"> renewal </w:t>
            </w:r>
            <w:r>
              <w:t xml:space="preserve">or replacement </w:t>
            </w:r>
            <w:r w:rsidRPr="003924A0">
              <w:t>of a driver licence</w:t>
            </w:r>
            <w:r>
              <w:t>.</w:t>
            </w:r>
          </w:p>
        </w:tc>
        <w:tc>
          <w:tcPr>
            <w:tcW w:w="3558" w:type="dxa"/>
            <w:shd w:val="clear" w:color="auto" w:fill="auto"/>
          </w:tcPr>
          <w:p w14:paraId="6CE58140" w14:textId="77777777" w:rsidR="00122C1B" w:rsidRPr="000A191B" w:rsidRDefault="005F7EDC" w:rsidP="00B74C63">
            <w:pPr>
              <w:pStyle w:val="TableParagraph"/>
            </w:pPr>
            <w:r>
              <w:t xml:space="preserve">Alignment with the </w:t>
            </w:r>
            <w:r w:rsidRPr="005F7EDC">
              <w:t>National Arrangement for Consular and Diplomatic Staff managed by the Department of Foreign Affairs and Trade</w:t>
            </w:r>
            <w:r>
              <w:t>.</w:t>
            </w:r>
            <w:r>
              <w:rPr>
                <w:rStyle w:val="EndnoteReference"/>
              </w:rPr>
              <w:endnoteReference w:id="369"/>
            </w:r>
          </w:p>
        </w:tc>
        <w:tc>
          <w:tcPr>
            <w:tcW w:w="1550" w:type="dxa"/>
            <w:shd w:val="clear" w:color="auto" w:fill="auto"/>
          </w:tcPr>
          <w:p w14:paraId="3B9C7307" w14:textId="77777777" w:rsidR="00122C1B" w:rsidRDefault="00122C1B" w:rsidP="00B74C63">
            <w:pPr>
              <w:pStyle w:val="TableParagraph"/>
              <w:jc w:val="center"/>
            </w:pPr>
            <w:r>
              <w:t>No</w:t>
            </w:r>
          </w:p>
        </w:tc>
      </w:tr>
      <w:tr w:rsidR="00122C1B" w14:paraId="710B050B" w14:textId="77777777" w:rsidTr="00FB62BD">
        <w:tc>
          <w:tcPr>
            <w:tcW w:w="908" w:type="dxa"/>
            <w:shd w:val="clear" w:color="auto" w:fill="auto"/>
          </w:tcPr>
          <w:p w14:paraId="1CF7C408" w14:textId="77777777" w:rsidR="00122C1B" w:rsidRDefault="00122C1B" w:rsidP="00B74C63">
            <w:pPr>
              <w:pStyle w:val="TableParagraph"/>
              <w:jc w:val="center"/>
            </w:pPr>
            <w:r>
              <w:t>77</w:t>
            </w:r>
          </w:p>
        </w:tc>
        <w:tc>
          <w:tcPr>
            <w:tcW w:w="3765" w:type="dxa"/>
            <w:shd w:val="clear" w:color="auto" w:fill="auto"/>
          </w:tcPr>
          <w:p w14:paraId="68282E29" w14:textId="77777777" w:rsidR="00122C1B" w:rsidRPr="003924A0" w:rsidRDefault="00122C1B" w:rsidP="00B74C63">
            <w:pPr>
              <w:pStyle w:val="TableParagraph"/>
            </w:pPr>
            <w:r w:rsidRPr="00161B52">
              <w:t xml:space="preserve">VicRoads must vary, suspend or cancel the driver licence of a person who is required by VicRoads under section 27 of the </w:t>
            </w:r>
            <w:r w:rsidRPr="00161B52">
              <w:rPr>
                <w:i/>
              </w:rPr>
              <w:t>RSA</w:t>
            </w:r>
            <w:r w:rsidRPr="00161B52">
              <w:t xml:space="preserve"> to undergo a test or assessment in relation to their knowledge of road law or driving </w:t>
            </w:r>
            <w:r w:rsidRPr="00161B52">
              <w:lastRenderedPageBreak/>
              <w:t>ability if the person</w:t>
            </w:r>
            <w:r>
              <w:t xml:space="preserve"> </w:t>
            </w:r>
            <w:r w:rsidRPr="00161B52">
              <w:t>refuses or fails to undergo</w:t>
            </w:r>
            <w:r>
              <w:t>, or fails to pass,</w:t>
            </w:r>
            <w:r w:rsidRPr="00161B52">
              <w:t xml:space="preserve"> the test or assessment</w:t>
            </w:r>
            <w:r>
              <w:t>.</w:t>
            </w:r>
          </w:p>
        </w:tc>
        <w:tc>
          <w:tcPr>
            <w:tcW w:w="3558" w:type="dxa"/>
            <w:shd w:val="clear" w:color="auto" w:fill="auto"/>
          </w:tcPr>
          <w:p w14:paraId="687FD121" w14:textId="77777777" w:rsidR="00122C1B" w:rsidRPr="000A191B" w:rsidRDefault="00E76EF6" w:rsidP="00B74C63">
            <w:pPr>
              <w:pStyle w:val="TableParagraph"/>
            </w:pPr>
            <w:r>
              <w:lastRenderedPageBreak/>
              <w:t>Enables the variation, suspension and cancellation of the driver licence if the driver is assess</w:t>
            </w:r>
            <w:r w:rsidR="00BD786F">
              <w:t>ed</w:t>
            </w:r>
            <w:r>
              <w:t xml:space="preserve"> as not having the capability </w:t>
            </w:r>
            <w:r w:rsidR="00BD786F">
              <w:t>to drive safely.</w:t>
            </w:r>
          </w:p>
        </w:tc>
        <w:tc>
          <w:tcPr>
            <w:tcW w:w="1550" w:type="dxa"/>
            <w:shd w:val="clear" w:color="auto" w:fill="auto"/>
          </w:tcPr>
          <w:p w14:paraId="0A86D0F5" w14:textId="77777777" w:rsidR="00122C1B" w:rsidRDefault="00122C1B" w:rsidP="00B74C63">
            <w:pPr>
              <w:pStyle w:val="TableParagraph"/>
              <w:jc w:val="center"/>
            </w:pPr>
            <w:r>
              <w:t>No</w:t>
            </w:r>
          </w:p>
        </w:tc>
      </w:tr>
    </w:tbl>
    <w:p w14:paraId="4ECD601F" w14:textId="77777777" w:rsidR="00122C1B" w:rsidRPr="00516B43" w:rsidRDefault="00122C1B" w:rsidP="00A45BBC">
      <w:pPr>
        <w:pStyle w:val="Heading3"/>
        <w:spacing w:before="240"/>
      </w:pPr>
      <w:bookmarkStart w:id="560" w:name="_Toc10703464"/>
      <w:r>
        <w:t>Legislative and regulatory sources relating to full licence requirements</w:t>
      </w:r>
      <w:bookmarkEnd w:id="560"/>
    </w:p>
    <w:p w14:paraId="37ED591B" w14:textId="596926C8" w:rsidR="00122C1B" w:rsidRDefault="00122C1B" w:rsidP="009760B2">
      <w:pPr>
        <w:pStyle w:val="TextPara"/>
      </w:pPr>
      <w:r>
        <w:fldChar w:fldCharType="begin"/>
      </w:r>
      <w:r>
        <w:instrText xml:space="preserve"> REF _Ref534280279 \h </w:instrText>
      </w:r>
      <w:r>
        <w:fldChar w:fldCharType="separate"/>
      </w:r>
      <w:r w:rsidR="00EB4B02">
        <w:t xml:space="preserve">Table </w:t>
      </w:r>
      <w:r w:rsidR="00EB4B02">
        <w:rPr>
          <w:noProof/>
        </w:rPr>
        <w:t>31</w:t>
      </w:r>
      <w:r>
        <w:fldChar w:fldCharType="end"/>
      </w:r>
      <w:r>
        <w:t xml:space="preserve"> lists the l</w:t>
      </w:r>
      <w:r w:rsidRPr="006B4BCD">
        <w:t>egis</w:t>
      </w:r>
      <w:r>
        <w:t>lative and regulatory sources relating to</w:t>
      </w:r>
      <w:r w:rsidRPr="006B4BCD">
        <w:t xml:space="preserve"> full licence requirements</w:t>
      </w:r>
      <w:r>
        <w:t>.</w:t>
      </w:r>
    </w:p>
    <w:p w14:paraId="27804477" w14:textId="56491062" w:rsidR="00122C1B" w:rsidRDefault="00122C1B" w:rsidP="009760B2">
      <w:pPr>
        <w:pStyle w:val="Caption"/>
      </w:pPr>
      <w:bookmarkStart w:id="561" w:name="_Ref534280279"/>
      <w:bookmarkStart w:id="562" w:name="_Toc10703724"/>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31</w:t>
      </w:r>
      <w:r w:rsidR="00BC6B2E">
        <w:rPr>
          <w:noProof/>
        </w:rPr>
        <w:fldChar w:fldCharType="end"/>
      </w:r>
      <w:bookmarkEnd w:id="561"/>
      <w:r>
        <w:t xml:space="preserve"> – </w:t>
      </w:r>
      <w:r w:rsidRPr="00E5400A">
        <w:t>Leg</w:t>
      </w:r>
      <w:r>
        <w:t>islative and regulatory sources:</w:t>
      </w:r>
      <w:r w:rsidRPr="00526BDD">
        <w:t xml:space="preserve"> </w:t>
      </w:r>
      <w:r>
        <w:t>Full Driver Licence</w:t>
      </w:r>
      <w:bookmarkEnd w:id="562"/>
    </w:p>
    <w:tbl>
      <w:tblPr>
        <w:tblStyle w:val="RIS-Table2"/>
        <w:tblW w:w="0" w:type="auto"/>
        <w:tblLook w:val="04A0" w:firstRow="1" w:lastRow="0" w:firstColumn="1" w:lastColumn="0" w:noHBand="0" w:noVBand="1"/>
      </w:tblPr>
      <w:tblGrid>
        <w:gridCol w:w="4385"/>
        <w:gridCol w:w="831"/>
        <w:gridCol w:w="1539"/>
        <w:gridCol w:w="1246"/>
        <w:gridCol w:w="1406"/>
      </w:tblGrid>
      <w:tr w:rsidR="00122C1B" w14:paraId="61226094" w14:textId="77777777" w:rsidTr="00B74C63">
        <w:trPr>
          <w:cnfStyle w:val="100000000000" w:firstRow="1" w:lastRow="0" w:firstColumn="0" w:lastColumn="0" w:oddVBand="0" w:evenVBand="0" w:oddHBand="0" w:evenHBand="0" w:firstRowFirstColumn="0" w:firstRowLastColumn="0" w:lastRowFirstColumn="0" w:lastRowLastColumn="0"/>
        </w:trPr>
        <w:tc>
          <w:tcPr>
            <w:tcW w:w="4385" w:type="dxa"/>
          </w:tcPr>
          <w:p w14:paraId="7ECF5308" w14:textId="77777777" w:rsidR="00122C1B" w:rsidRPr="004827FC" w:rsidRDefault="00122C1B" w:rsidP="00B74C63">
            <w:pPr>
              <w:pStyle w:val="TableHeaders"/>
            </w:pPr>
            <w:r>
              <w:t>Licensing Requirement</w:t>
            </w:r>
          </w:p>
        </w:tc>
        <w:tc>
          <w:tcPr>
            <w:tcW w:w="831" w:type="dxa"/>
          </w:tcPr>
          <w:p w14:paraId="72B156E2" w14:textId="77777777" w:rsidR="00122C1B" w:rsidRPr="004827FC" w:rsidRDefault="00122C1B" w:rsidP="00B74C63">
            <w:pPr>
              <w:pStyle w:val="TableHeaders"/>
            </w:pPr>
            <w:r w:rsidRPr="004827FC">
              <w:t>Act</w:t>
            </w:r>
          </w:p>
        </w:tc>
        <w:tc>
          <w:tcPr>
            <w:tcW w:w="1539" w:type="dxa"/>
          </w:tcPr>
          <w:p w14:paraId="185F1B68" w14:textId="77777777" w:rsidR="00122C1B" w:rsidRPr="004827FC" w:rsidRDefault="00122C1B" w:rsidP="00B74C63">
            <w:pPr>
              <w:pStyle w:val="TableHeaders"/>
            </w:pPr>
            <w:r w:rsidRPr="004827FC">
              <w:t>Road Safety (Drivers) Regulations</w:t>
            </w:r>
          </w:p>
        </w:tc>
        <w:tc>
          <w:tcPr>
            <w:tcW w:w="1246" w:type="dxa"/>
          </w:tcPr>
          <w:p w14:paraId="13AB2FA3" w14:textId="77777777" w:rsidR="00122C1B" w:rsidRPr="004827FC" w:rsidRDefault="00122C1B" w:rsidP="00B74C63">
            <w:pPr>
              <w:pStyle w:val="TableHeaders"/>
            </w:pPr>
            <w:r w:rsidRPr="004827FC">
              <w:t>Road Safety Road Rules</w:t>
            </w:r>
          </w:p>
        </w:tc>
        <w:tc>
          <w:tcPr>
            <w:tcW w:w="1406" w:type="dxa"/>
          </w:tcPr>
          <w:p w14:paraId="294F454D" w14:textId="77777777" w:rsidR="00122C1B" w:rsidRPr="004827FC" w:rsidRDefault="00122C1B" w:rsidP="00B74C63">
            <w:pPr>
              <w:pStyle w:val="TableHeaders"/>
            </w:pPr>
            <w:r w:rsidRPr="004827FC">
              <w:t>National Model Regulations</w:t>
            </w:r>
          </w:p>
        </w:tc>
      </w:tr>
      <w:tr w:rsidR="00122C1B" w14:paraId="38D980F3" w14:textId="77777777" w:rsidTr="00FB62BD">
        <w:tc>
          <w:tcPr>
            <w:tcW w:w="4385" w:type="dxa"/>
            <w:shd w:val="clear" w:color="auto" w:fill="auto"/>
          </w:tcPr>
          <w:p w14:paraId="7EE00426" w14:textId="77777777" w:rsidR="00122C1B" w:rsidRDefault="00122C1B" w:rsidP="00B74C63">
            <w:pPr>
              <w:pStyle w:val="TableList1"/>
            </w:pPr>
            <w:r>
              <w:t>Minimum age: 22 years</w:t>
            </w:r>
          </w:p>
        </w:tc>
        <w:tc>
          <w:tcPr>
            <w:tcW w:w="831" w:type="dxa"/>
            <w:shd w:val="clear" w:color="auto" w:fill="auto"/>
          </w:tcPr>
          <w:p w14:paraId="730C25B4" w14:textId="77777777" w:rsidR="00122C1B" w:rsidRPr="00075E41" w:rsidRDefault="00122C1B" w:rsidP="00B74C63">
            <w:pPr>
              <w:pStyle w:val="TableParagraph"/>
              <w:spacing w:before="40" w:after="40"/>
              <w:jc w:val="center"/>
              <w:rPr>
                <w:color w:val="0C81BC"/>
              </w:rPr>
            </w:pPr>
            <w:r w:rsidRPr="00075E41">
              <w:rPr>
                <w:rFonts w:cs="Segoe UI"/>
                <w:color w:val="0C81BC"/>
              </w:rPr>
              <w:sym w:font="Wingdings" w:char="F06C"/>
            </w:r>
          </w:p>
        </w:tc>
        <w:tc>
          <w:tcPr>
            <w:tcW w:w="1539" w:type="dxa"/>
            <w:shd w:val="clear" w:color="auto" w:fill="auto"/>
          </w:tcPr>
          <w:p w14:paraId="340F6CFE" w14:textId="77777777" w:rsidR="00122C1B" w:rsidRPr="00075E41" w:rsidRDefault="00122C1B" w:rsidP="00B74C63">
            <w:pPr>
              <w:pStyle w:val="TableParagraph"/>
              <w:spacing w:before="40" w:after="40"/>
              <w:jc w:val="center"/>
              <w:rPr>
                <w:color w:val="0C81BC"/>
              </w:rPr>
            </w:pPr>
            <w:r w:rsidRPr="00075E41">
              <w:rPr>
                <w:rFonts w:cs="Segoe UI"/>
                <w:color w:val="0C81BC"/>
              </w:rPr>
              <w:sym w:font="Wingdings" w:char="F06C"/>
            </w:r>
          </w:p>
        </w:tc>
        <w:tc>
          <w:tcPr>
            <w:tcW w:w="1246" w:type="dxa"/>
            <w:shd w:val="clear" w:color="auto" w:fill="auto"/>
          </w:tcPr>
          <w:p w14:paraId="4ED516D4" w14:textId="77777777" w:rsidR="00122C1B" w:rsidRPr="00075E41" w:rsidRDefault="00122C1B" w:rsidP="00B74C63">
            <w:pPr>
              <w:pStyle w:val="TableParagraph"/>
              <w:spacing w:before="40" w:after="40"/>
              <w:jc w:val="center"/>
              <w:rPr>
                <w:color w:val="0C81BC"/>
              </w:rPr>
            </w:pPr>
          </w:p>
        </w:tc>
        <w:tc>
          <w:tcPr>
            <w:tcW w:w="1406" w:type="dxa"/>
            <w:shd w:val="clear" w:color="auto" w:fill="auto"/>
          </w:tcPr>
          <w:p w14:paraId="5FD99296" w14:textId="77777777" w:rsidR="00122C1B" w:rsidRPr="00075E41" w:rsidRDefault="00122C1B" w:rsidP="00B74C63">
            <w:pPr>
              <w:pStyle w:val="TableParagraph"/>
              <w:spacing w:before="40" w:after="40"/>
              <w:jc w:val="center"/>
              <w:rPr>
                <w:color w:val="0C81BC"/>
              </w:rPr>
            </w:pPr>
          </w:p>
        </w:tc>
      </w:tr>
      <w:tr w:rsidR="00122C1B" w14:paraId="350BA1DC" w14:textId="77777777" w:rsidTr="00FB62BD">
        <w:trPr>
          <w:cnfStyle w:val="000000010000" w:firstRow="0" w:lastRow="0" w:firstColumn="0" w:lastColumn="0" w:oddVBand="0" w:evenVBand="0" w:oddHBand="0" w:evenHBand="1" w:firstRowFirstColumn="0" w:firstRowLastColumn="0" w:lastRowFirstColumn="0" w:lastRowLastColumn="0"/>
        </w:trPr>
        <w:tc>
          <w:tcPr>
            <w:tcW w:w="4385" w:type="dxa"/>
            <w:shd w:val="clear" w:color="auto" w:fill="auto"/>
          </w:tcPr>
          <w:p w14:paraId="0B34B8CE" w14:textId="77777777" w:rsidR="00122C1B" w:rsidRDefault="00122C1B" w:rsidP="00B74C63">
            <w:pPr>
              <w:pStyle w:val="TableList1"/>
            </w:pPr>
            <w:r>
              <w:t>Licence validity:</w:t>
            </w:r>
            <w:r w:rsidRPr="00E76DAA">
              <w:t xml:space="preserve"> 3</w:t>
            </w:r>
            <w:r>
              <w:t xml:space="preserve"> </w:t>
            </w:r>
            <w:r w:rsidRPr="00E76DAA">
              <w:t>or 10 years.</w:t>
            </w:r>
          </w:p>
        </w:tc>
        <w:tc>
          <w:tcPr>
            <w:tcW w:w="831" w:type="dxa"/>
            <w:shd w:val="clear" w:color="auto" w:fill="auto"/>
          </w:tcPr>
          <w:p w14:paraId="00A2781A" w14:textId="77777777" w:rsidR="00122C1B" w:rsidRPr="00075E41" w:rsidRDefault="00122C1B" w:rsidP="00B74C63">
            <w:pPr>
              <w:pStyle w:val="TableParagraph"/>
              <w:spacing w:before="40" w:after="40"/>
              <w:jc w:val="center"/>
              <w:rPr>
                <w:color w:val="0C81BC"/>
              </w:rPr>
            </w:pPr>
          </w:p>
        </w:tc>
        <w:tc>
          <w:tcPr>
            <w:tcW w:w="1539" w:type="dxa"/>
            <w:shd w:val="clear" w:color="auto" w:fill="auto"/>
          </w:tcPr>
          <w:p w14:paraId="73E638EF" w14:textId="77777777" w:rsidR="00122C1B" w:rsidRPr="00075E41" w:rsidRDefault="00122C1B" w:rsidP="00B74C63">
            <w:pPr>
              <w:pStyle w:val="TableParagraph"/>
              <w:spacing w:before="40" w:after="40"/>
              <w:jc w:val="center"/>
              <w:rPr>
                <w:color w:val="0C81BC"/>
              </w:rPr>
            </w:pPr>
            <w:r w:rsidRPr="00075E41">
              <w:rPr>
                <w:rFonts w:cs="Segoe UI"/>
                <w:color w:val="0C81BC"/>
              </w:rPr>
              <w:sym w:font="Wingdings" w:char="F06C"/>
            </w:r>
          </w:p>
        </w:tc>
        <w:tc>
          <w:tcPr>
            <w:tcW w:w="1246" w:type="dxa"/>
            <w:shd w:val="clear" w:color="auto" w:fill="auto"/>
          </w:tcPr>
          <w:p w14:paraId="62233191" w14:textId="77777777" w:rsidR="00122C1B" w:rsidRPr="00075E41" w:rsidRDefault="00122C1B" w:rsidP="00B74C63">
            <w:pPr>
              <w:pStyle w:val="TableParagraph"/>
              <w:spacing w:before="40" w:after="40"/>
              <w:jc w:val="center"/>
              <w:rPr>
                <w:color w:val="0C81BC"/>
              </w:rPr>
            </w:pPr>
          </w:p>
        </w:tc>
        <w:tc>
          <w:tcPr>
            <w:tcW w:w="1406" w:type="dxa"/>
            <w:shd w:val="clear" w:color="auto" w:fill="auto"/>
          </w:tcPr>
          <w:p w14:paraId="7B318015" w14:textId="77777777" w:rsidR="00122C1B" w:rsidRPr="00075E41" w:rsidRDefault="00122C1B" w:rsidP="00B74C63">
            <w:pPr>
              <w:pStyle w:val="TableParagraph"/>
              <w:spacing w:before="40" w:after="40"/>
              <w:jc w:val="center"/>
              <w:rPr>
                <w:color w:val="0C81BC"/>
              </w:rPr>
            </w:pPr>
          </w:p>
        </w:tc>
      </w:tr>
      <w:tr w:rsidR="00122C1B" w14:paraId="49DD07AC" w14:textId="77777777" w:rsidTr="00FB62BD">
        <w:tc>
          <w:tcPr>
            <w:tcW w:w="4385" w:type="dxa"/>
            <w:shd w:val="clear" w:color="auto" w:fill="auto"/>
          </w:tcPr>
          <w:p w14:paraId="1A4D550F" w14:textId="77777777" w:rsidR="00122C1B" w:rsidRDefault="00122C1B" w:rsidP="00B74C63">
            <w:pPr>
              <w:pStyle w:val="TableList1"/>
            </w:pPr>
            <w:r>
              <w:t>No further testing required for full licence. It is automatically granted at the end of the probationary period.</w:t>
            </w:r>
          </w:p>
        </w:tc>
        <w:tc>
          <w:tcPr>
            <w:tcW w:w="831" w:type="dxa"/>
            <w:shd w:val="clear" w:color="auto" w:fill="auto"/>
          </w:tcPr>
          <w:p w14:paraId="23C4D5A6" w14:textId="77777777" w:rsidR="00122C1B" w:rsidRPr="00075E41" w:rsidRDefault="00122C1B" w:rsidP="00B74C63">
            <w:pPr>
              <w:pStyle w:val="TableParagraph"/>
              <w:spacing w:before="40" w:after="40"/>
              <w:jc w:val="center"/>
              <w:rPr>
                <w:color w:val="0C81BC"/>
              </w:rPr>
            </w:pPr>
            <w:r w:rsidRPr="00075E41">
              <w:rPr>
                <w:rFonts w:cs="Segoe UI"/>
                <w:color w:val="0C81BC"/>
              </w:rPr>
              <w:sym w:font="Wingdings" w:char="F06C"/>
            </w:r>
          </w:p>
        </w:tc>
        <w:tc>
          <w:tcPr>
            <w:tcW w:w="1539" w:type="dxa"/>
            <w:shd w:val="clear" w:color="auto" w:fill="auto"/>
          </w:tcPr>
          <w:p w14:paraId="514519CB" w14:textId="77777777" w:rsidR="00122C1B" w:rsidRPr="00075E41" w:rsidRDefault="00122C1B" w:rsidP="00B74C63">
            <w:pPr>
              <w:pStyle w:val="TableParagraph"/>
              <w:spacing w:before="40" w:after="40"/>
              <w:jc w:val="center"/>
              <w:rPr>
                <w:color w:val="0C81BC"/>
              </w:rPr>
            </w:pPr>
          </w:p>
        </w:tc>
        <w:tc>
          <w:tcPr>
            <w:tcW w:w="1246" w:type="dxa"/>
            <w:shd w:val="clear" w:color="auto" w:fill="auto"/>
          </w:tcPr>
          <w:p w14:paraId="62FB6E70" w14:textId="77777777" w:rsidR="00122C1B" w:rsidRPr="00075E41" w:rsidRDefault="00122C1B" w:rsidP="00B74C63">
            <w:pPr>
              <w:pStyle w:val="TableParagraph"/>
              <w:spacing w:before="40" w:after="40"/>
              <w:jc w:val="center"/>
              <w:rPr>
                <w:color w:val="0C81BC"/>
              </w:rPr>
            </w:pPr>
          </w:p>
        </w:tc>
        <w:tc>
          <w:tcPr>
            <w:tcW w:w="1406" w:type="dxa"/>
            <w:shd w:val="clear" w:color="auto" w:fill="auto"/>
          </w:tcPr>
          <w:p w14:paraId="62C8BBE4" w14:textId="77777777" w:rsidR="00122C1B" w:rsidRPr="00075E41" w:rsidRDefault="00122C1B" w:rsidP="00B74C63">
            <w:pPr>
              <w:pStyle w:val="TableParagraph"/>
              <w:spacing w:before="40" w:after="40"/>
              <w:jc w:val="center"/>
              <w:rPr>
                <w:color w:val="0C81BC"/>
              </w:rPr>
            </w:pPr>
            <w:r w:rsidRPr="00075E41">
              <w:rPr>
                <w:rFonts w:cs="Segoe UI"/>
                <w:color w:val="0C81BC"/>
              </w:rPr>
              <w:sym w:font="Wingdings" w:char="F06C"/>
            </w:r>
          </w:p>
        </w:tc>
      </w:tr>
      <w:tr w:rsidR="00122C1B" w14:paraId="22DD2D30" w14:textId="77777777" w:rsidTr="00FB62BD">
        <w:trPr>
          <w:cnfStyle w:val="000000010000" w:firstRow="0" w:lastRow="0" w:firstColumn="0" w:lastColumn="0" w:oddVBand="0" w:evenVBand="0" w:oddHBand="0" w:evenHBand="1" w:firstRowFirstColumn="0" w:firstRowLastColumn="0" w:lastRowFirstColumn="0" w:lastRowLastColumn="0"/>
        </w:trPr>
        <w:tc>
          <w:tcPr>
            <w:tcW w:w="4385" w:type="dxa"/>
            <w:shd w:val="clear" w:color="auto" w:fill="auto"/>
          </w:tcPr>
          <w:p w14:paraId="3F7C3643" w14:textId="77777777" w:rsidR="00122C1B" w:rsidRDefault="00122C1B" w:rsidP="00B74C63">
            <w:pPr>
              <w:pStyle w:val="TableList1"/>
            </w:pPr>
            <w:r w:rsidRPr="00E76DAA">
              <w:t xml:space="preserve">Blood </w:t>
            </w:r>
            <w:r>
              <w:t xml:space="preserve">or breath </w:t>
            </w:r>
            <w:r w:rsidRPr="00E76DAA">
              <w:t>alcohol concentration</w:t>
            </w:r>
            <w:r>
              <w:t>:</w:t>
            </w:r>
            <w:r w:rsidRPr="00E76DAA">
              <w:t xml:space="preserve"> 0.05</w:t>
            </w:r>
          </w:p>
        </w:tc>
        <w:tc>
          <w:tcPr>
            <w:tcW w:w="831" w:type="dxa"/>
            <w:shd w:val="clear" w:color="auto" w:fill="auto"/>
          </w:tcPr>
          <w:p w14:paraId="1B3A8DF2" w14:textId="77777777" w:rsidR="00122C1B" w:rsidRPr="00075E41" w:rsidRDefault="00122C1B" w:rsidP="00B74C63">
            <w:pPr>
              <w:pStyle w:val="TableParagraph"/>
              <w:spacing w:before="40" w:after="40"/>
              <w:jc w:val="center"/>
              <w:rPr>
                <w:color w:val="0C81BC"/>
              </w:rPr>
            </w:pPr>
            <w:r w:rsidRPr="00075E41">
              <w:rPr>
                <w:rFonts w:cs="Segoe UI"/>
                <w:color w:val="0C81BC"/>
              </w:rPr>
              <w:sym w:font="Wingdings" w:char="F06C"/>
            </w:r>
          </w:p>
        </w:tc>
        <w:tc>
          <w:tcPr>
            <w:tcW w:w="1539" w:type="dxa"/>
            <w:shd w:val="clear" w:color="auto" w:fill="auto"/>
          </w:tcPr>
          <w:p w14:paraId="30643C14" w14:textId="77777777" w:rsidR="00122C1B" w:rsidRPr="00075E41" w:rsidRDefault="00122C1B" w:rsidP="00B74C63">
            <w:pPr>
              <w:pStyle w:val="TableParagraph"/>
              <w:spacing w:before="40" w:after="40"/>
              <w:jc w:val="center"/>
              <w:rPr>
                <w:color w:val="0C81BC"/>
              </w:rPr>
            </w:pPr>
          </w:p>
        </w:tc>
        <w:tc>
          <w:tcPr>
            <w:tcW w:w="1246" w:type="dxa"/>
            <w:shd w:val="clear" w:color="auto" w:fill="auto"/>
          </w:tcPr>
          <w:p w14:paraId="1061A9D4" w14:textId="77777777" w:rsidR="00122C1B" w:rsidRPr="00075E41" w:rsidRDefault="00122C1B" w:rsidP="00B74C63">
            <w:pPr>
              <w:pStyle w:val="TableParagraph"/>
              <w:spacing w:before="40" w:after="40"/>
              <w:jc w:val="center"/>
              <w:rPr>
                <w:color w:val="0C81BC"/>
              </w:rPr>
            </w:pPr>
          </w:p>
        </w:tc>
        <w:tc>
          <w:tcPr>
            <w:tcW w:w="1406" w:type="dxa"/>
            <w:shd w:val="clear" w:color="auto" w:fill="auto"/>
          </w:tcPr>
          <w:p w14:paraId="0DBCE656" w14:textId="77777777" w:rsidR="00122C1B" w:rsidRPr="00075E41" w:rsidRDefault="00122C1B" w:rsidP="00B74C63">
            <w:pPr>
              <w:pStyle w:val="TableParagraph"/>
              <w:spacing w:before="40" w:after="40"/>
              <w:jc w:val="center"/>
              <w:rPr>
                <w:color w:val="0C81BC"/>
              </w:rPr>
            </w:pPr>
            <w:r w:rsidRPr="00075E41">
              <w:rPr>
                <w:rFonts w:cs="Segoe UI"/>
                <w:color w:val="0C81BC"/>
              </w:rPr>
              <w:sym w:font="Wingdings" w:char="F06C"/>
            </w:r>
          </w:p>
        </w:tc>
      </w:tr>
      <w:tr w:rsidR="00122C1B" w14:paraId="4901EFAB" w14:textId="77777777" w:rsidTr="00FB62BD">
        <w:tc>
          <w:tcPr>
            <w:tcW w:w="4385" w:type="dxa"/>
            <w:shd w:val="clear" w:color="auto" w:fill="auto"/>
          </w:tcPr>
          <w:p w14:paraId="1A1B49E8" w14:textId="77777777" w:rsidR="00122C1B" w:rsidRPr="00E76DAA" w:rsidRDefault="00122C1B" w:rsidP="00B74C63">
            <w:pPr>
              <w:pStyle w:val="TableList1"/>
            </w:pPr>
            <w:r w:rsidRPr="00E76DAA">
              <w:t>Speed limit</w:t>
            </w:r>
            <w:r>
              <w:t>:</w:t>
            </w:r>
            <w:r w:rsidRPr="00E76DAA">
              <w:t xml:space="preserve"> As sign-posted</w:t>
            </w:r>
          </w:p>
        </w:tc>
        <w:tc>
          <w:tcPr>
            <w:tcW w:w="831" w:type="dxa"/>
            <w:shd w:val="clear" w:color="auto" w:fill="auto"/>
          </w:tcPr>
          <w:p w14:paraId="23EEF6FD" w14:textId="77777777" w:rsidR="00122C1B" w:rsidRPr="00075E41" w:rsidRDefault="00122C1B" w:rsidP="00B74C63">
            <w:pPr>
              <w:pStyle w:val="TableParagraph"/>
              <w:spacing w:before="40" w:after="40"/>
              <w:jc w:val="center"/>
              <w:rPr>
                <w:color w:val="0C81BC"/>
              </w:rPr>
            </w:pPr>
          </w:p>
        </w:tc>
        <w:tc>
          <w:tcPr>
            <w:tcW w:w="1539" w:type="dxa"/>
            <w:shd w:val="clear" w:color="auto" w:fill="auto"/>
          </w:tcPr>
          <w:p w14:paraId="21861A1C" w14:textId="77777777" w:rsidR="00122C1B" w:rsidRPr="00075E41" w:rsidRDefault="00122C1B" w:rsidP="00B74C63">
            <w:pPr>
              <w:pStyle w:val="TableParagraph"/>
              <w:spacing w:before="40" w:after="40"/>
              <w:jc w:val="center"/>
              <w:rPr>
                <w:color w:val="0C81BC"/>
              </w:rPr>
            </w:pPr>
          </w:p>
        </w:tc>
        <w:tc>
          <w:tcPr>
            <w:tcW w:w="1246" w:type="dxa"/>
            <w:shd w:val="clear" w:color="auto" w:fill="auto"/>
          </w:tcPr>
          <w:p w14:paraId="30A4619D" w14:textId="77777777" w:rsidR="00122C1B" w:rsidRPr="00075E41" w:rsidRDefault="00122C1B" w:rsidP="00B74C63">
            <w:pPr>
              <w:pStyle w:val="TableParagraph"/>
              <w:spacing w:before="40" w:after="40"/>
              <w:jc w:val="center"/>
              <w:rPr>
                <w:color w:val="0C81BC"/>
              </w:rPr>
            </w:pPr>
            <w:r w:rsidRPr="00075E41">
              <w:rPr>
                <w:rFonts w:cs="Segoe UI"/>
                <w:color w:val="0C81BC"/>
              </w:rPr>
              <w:sym w:font="Wingdings" w:char="F06C"/>
            </w:r>
          </w:p>
        </w:tc>
        <w:tc>
          <w:tcPr>
            <w:tcW w:w="1406" w:type="dxa"/>
            <w:shd w:val="clear" w:color="auto" w:fill="auto"/>
          </w:tcPr>
          <w:p w14:paraId="2D419BC7" w14:textId="068A9661" w:rsidR="00122C1B" w:rsidRDefault="00122C1B" w:rsidP="00B74C63">
            <w:pPr>
              <w:pStyle w:val="TableParagraph"/>
              <w:spacing w:before="40" w:after="40"/>
              <w:jc w:val="center"/>
            </w:pPr>
            <w:r w:rsidRPr="00075E41">
              <w:rPr>
                <w:rFonts w:cs="Segoe UI"/>
                <w:color w:val="0C81BC"/>
              </w:rPr>
              <w:sym w:font="Wingdings" w:char="F06C"/>
            </w:r>
            <w:r w:rsidRPr="004A0D0F">
              <w:rPr>
                <w:rFonts w:cs="Segoe UI"/>
                <w:vertAlign w:val="superscript"/>
              </w:rPr>
              <w:fldChar w:fldCharType="begin"/>
            </w:r>
            <w:r w:rsidRPr="004A0D0F">
              <w:rPr>
                <w:rFonts w:cs="Segoe UI"/>
                <w:vertAlign w:val="superscript"/>
              </w:rPr>
              <w:instrText xml:space="preserve"> NOTEREF _Ref508288874 \h  \* MERGEFORMAT </w:instrText>
            </w:r>
            <w:r w:rsidRPr="004A0D0F">
              <w:rPr>
                <w:rFonts w:cs="Segoe UI"/>
                <w:vertAlign w:val="superscript"/>
              </w:rPr>
            </w:r>
            <w:r w:rsidRPr="004A0D0F">
              <w:rPr>
                <w:rFonts w:cs="Segoe UI"/>
                <w:vertAlign w:val="superscript"/>
              </w:rPr>
              <w:fldChar w:fldCharType="separate"/>
            </w:r>
            <w:r w:rsidR="00EB4B02">
              <w:rPr>
                <w:rFonts w:cs="Segoe UI"/>
                <w:vertAlign w:val="superscript"/>
              </w:rPr>
              <w:t>355</w:t>
            </w:r>
            <w:r w:rsidRPr="004A0D0F">
              <w:rPr>
                <w:rFonts w:cs="Segoe UI"/>
                <w:vertAlign w:val="superscript"/>
              </w:rPr>
              <w:fldChar w:fldCharType="end"/>
            </w:r>
          </w:p>
        </w:tc>
      </w:tr>
      <w:tr w:rsidR="00122C1B" w14:paraId="6A5916AC" w14:textId="77777777" w:rsidTr="00FB62BD">
        <w:trPr>
          <w:cnfStyle w:val="000000010000" w:firstRow="0" w:lastRow="0" w:firstColumn="0" w:lastColumn="0" w:oddVBand="0" w:evenVBand="0" w:oddHBand="0" w:evenHBand="1" w:firstRowFirstColumn="0" w:firstRowLastColumn="0" w:lastRowFirstColumn="0" w:lastRowLastColumn="0"/>
        </w:trPr>
        <w:tc>
          <w:tcPr>
            <w:tcW w:w="4385" w:type="dxa"/>
            <w:shd w:val="clear" w:color="auto" w:fill="auto"/>
          </w:tcPr>
          <w:p w14:paraId="6A544CCF" w14:textId="77777777" w:rsidR="00122C1B" w:rsidRPr="00E76DAA" w:rsidRDefault="00122C1B" w:rsidP="00B74C63">
            <w:pPr>
              <w:pStyle w:val="TableList1"/>
            </w:pPr>
            <w:r w:rsidRPr="00E76DAA">
              <w:t>Demerit points</w:t>
            </w:r>
            <w:r>
              <w:t>:</w:t>
            </w:r>
            <w:r w:rsidRPr="00E76DAA">
              <w:t xml:space="preserve"> No more than 12 points in 3 years</w:t>
            </w:r>
          </w:p>
        </w:tc>
        <w:tc>
          <w:tcPr>
            <w:tcW w:w="831" w:type="dxa"/>
            <w:shd w:val="clear" w:color="auto" w:fill="auto"/>
          </w:tcPr>
          <w:p w14:paraId="3F138B4C" w14:textId="77777777" w:rsidR="00122C1B" w:rsidRPr="00075E41" w:rsidRDefault="00122C1B" w:rsidP="00B74C63">
            <w:pPr>
              <w:pStyle w:val="TableParagraph"/>
              <w:spacing w:before="40" w:after="40"/>
              <w:jc w:val="center"/>
              <w:rPr>
                <w:color w:val="0C81BC"/>
              </w:rPr>
            </w:pPr>
            <w:r w:rsidRPr="00075E41">
              <w:rPr>
                <w:rFonts w:cs="Segoe UI"/>
                <w:color w:val="0C81BC"/>
              </w:rPr>
              <w:sym w:font="Wingdings" w:char="F06C"/>
            </w:r>
          </w:p>
        </w:tc>
        <w:tc>
          <w:tcPr>
            <w:tcW w:w="1539" w:type="dxa"/>
            <w:shd w:val="clear" w:color="auto" w:fill="auto"/>
          </w:tcPr>
          <w:p w14:paraId="6BD3C43D" w14:textId="77777777" w:rsidR="00122C1B" w:rsidRPr="00075E41" w:rsidRDefault="00122C1B" w:rsidP="00B74C63">
            <w:pPr>
              <w:pStyle w:val="TableParagraph"/>
              <w:spacing w:before="40" w:after="40"/>
              <w:jc w:val="center"/>
              <w:rPr>
                <w:color w:val="0C81BC"/>
              </w:rPr>
            </w:pPr>
          </w:p>
        </w:tc>
        <w:tc>
          <w:tcPr>
            <w:tcW w:w="1246" w:type="dxa"/>
            <w:shd w:val="clear" w:color="auto" w:fill="auto"/>
          </w:tcPr>
          <w:p w14:paraId="361C4C00" w14:textId="77777777" w:rsidR="00122C1B" w:rsidRPr="00075E41" w:rsidRDefault="00122C1B" w:rsidP="00B74C63">
            <w:pPr>
              <w:pStyle w:val="TableParagraph"/>
              <w:spacing w:before="40" w:after="40"/>
              <w:jc w:val="center"/>
              <w:rPr>
                <w:color w:val="0C81BC"/>
              </w:rPr>
            </w:pPr>
          </w:p>
        </w:tc>
        <w:tc>
          <w:tcPr>
            <w:tcW w:w="1406" w:type="dxa"/>
            <w:shd w:val="clear" w:color="auto" w:fill="auto"/>
          </w:tcPr>
          <w:p w14:paraId="769C6EF1" w14:textId="77777777" w:rsidR="00122C1B" w:rsidRDefault="00122C1B" w:rsidP="00B74C63">
            <w:pPr>
              <w:pStyle w:val="TableParagraph"/>
              <w:spacing w:before="40" w:after="40"/>
              <w:jc w:val="center"/>
            </w:pPr>
            <w:r w:rsidRPr="00075E41">
              <w:rPr>
                <w:rFonts w:cs="Segoe UI"/>
                <w:color w:val="0C81BC"/>
              </w:rPr>
              <w:sym w:font="Wingdings" w:char="F06C"/>
            </w:r>
          </w:p>
        </w:tc>
      </w:tr>
    </w:tbl>
    <w:p w14:paraId="76C7BFE3" w14:textId="77777777" w:rsidR="00122C1B" w:rsidRDefault="00122C1B" w:rsidP="00A45BBC">
      <w:pPr>
        <w:pStyle w:val="Heading3"/>
        <w:spacing w:before="240"/>
      </w:pPr>
      <w:bookmarkStart w:id="563" w:name="_Ref447574"/>
      <w:bookmarkStart w:id="564" w:name="_Ref2786029"/>
      <w:bookmarkStart w:id="565" w:name="_Toc10703465"/>
      <w:r>
        <w:t>Assessing medical fitness to drive</w:t>
      </w:r>
      <w:bookmarkEnd w:id="563"/>
      <w:bookmarkEnd w:id="564"/>
      <w:bookmarkEnd w:id="565"/>
    </w:p>
    <w:p w14:paraId="0968BF4A" w14:textId="04478042" w:rsidR="00BB4488" w:rsidRPr="00B92DF6" w:rsidRDefault="00CF79C9" w:rsidP="00DC2AC0">
      <w:pPr>
        <w:pStyle w:val="Heading3"/>
      </w:pPr>
      <w:bookmarkStart w:id="566" w:name="_Toc9430200"/>
      <w:bookmarkStart w:id="567" w:name="_Toc10703466"/>
      <w:bookmarkEnd w:id="566"/>
      <w:r>
        <w:t>Proposed regulations relating to fitness-to-drive assessments</w:t>
      </w:r>
      <w:bookmarkEnd w:id="567"/>
    </w:p>
    <w:p w14:paraId="51EF25F9" w14:textId="2D806AF2" w:rsidR="00173219" w:rsidRDefault="00173219" w:rsidP="00173219">
      <w:pPr>
        <w:pStyle w:val="TextPara"/>
        <w:rPr>
          <w:lang w:eastAsia="en-AU"/>
        </w:rPr>
      </w:pPr>
      <w:r>
        <w:rPr>
          <w:lang w:eastAsia="en-AU"/>
        </w:rPr>
        <w:fldChar w:fldCharType="begin"/>
      </w:r>
      <w:r>
        <w:rPr>
          <w:lang w:eastAsia="en-AU"/>
        </w:rPr>
        <w:instrText xml:space="preserve"> REF _Ref2786716 \h </w:instrText>
      </w:r>
      <w:r>
        <w:rPr>
          <w:lang w:eastAsia="en-AU"/>
        </w:rPr>
      </w:r>
      <w:r>
        <w:rPr>
          <w:lang w:eastAsia="en-AU"/>
        </w:rPr>
        <w:fldChar w:fldCharType="separate"/>
      </w:r>
      <w:r w:rsidR="00EB4B02">
        <w:t xml:space="preserve">Table </w:t>
      </w:r>
      <w:r>
        <w:rPr>
          <w:lang w:eastAsia="en-AU"/>
        </w:rPr>
        <w:fldChar w:fldCharType="end"/>
      </w:r>
      <w:r>
        <w:rPr>
          <w:lang w:eastAsia="en-AU"/>
        </w:rPr>
        <w:t xml:space="preserve"> </w:t>
      </w:r>
      <w:r w:rsidRPr="00D47BC0">
        <w:rPr>
          <w:lang w:eastAsia="en-AU"/>
        </w:rPr>
        <w:t xml:space="preserve">provides a summary of the proposed regulations relevant to </w:t>
      </w:r>
      <w:r>
        <w:rPr>
          <w:lang w:eastAsia="en-AU"/>
        </w:rPr>
        <w:t>medical fitness-to-drive assessments</w:t>
      </w:r>
      <w:r w:rsidRPr="00D47BC0">
        <w:rPr>
          <w:lang w:eastAsia="en-AU"/>
        </w:rPr>
        <w:t>.</w:t>
      </w:r>
    </w:p>
    <w:p w14:paraId="5E90A9C1" w14:textId="0BE652EB" w:rsidR="006D33E3" w:rsidRDefault="00173219" w:rsidP="00173219">
      <w:pPr>
        <w:pStyle w:val="Caption"/>
      </w:pPr>
      <w:bookmarkStart w:id="568" w:name="_Ref2786716"/>
      <w:bookmarkStart w:id="569" w:name="_Toc1141192"/>
      <w:bookmarkStart w:id="570" w:name="_Hlk9435284"/>
      <w:r>
        <w:t xml:space="preserve">Table </w:t>
      </w:r>
      <w:bookmarkEnd w:id="568"/>
      <w:r w:rsidR="00576028">
        <w:rPr>
          <w:noProof/>
        </w:rPr>
        <w:t>3</w:t>
      </w:r>
      <w:r w:rsidR="00460F8B">
        <w:rPr>
          <w:noProof/>
        </w:rPr>
        <w:t>2</w:t>
      </w:r>
      <w:r>
        <w:t xml:space="preserve"> – </w:t>
      </w:r>
      <w:r w:rsidRPr="009B3E2F">
        <w:t>Summary of t</w:t>
      </w:r>
      <w:r>
        <w:t>he proposed regulations relevant to medical fitness to drive</w:t>
      </w:r>
      <w:bookmarkEnd w:id="569"/>
    </w:p>
    <w:tbl>
      <w:tblPr>
        <w:tblStyle w:val="RIS-Table2"/>
        <w:tblW w:w="9781" w:type="dxa"/>
        <w:tblLook w:val="04A0" w:firstRow="1" w:lastRow="0" w:firstColumn="1" w:lastColumn="0" w:noHBand="0" w:noVBand="1"/>
      </w:tblPr>
      <w:tblGrid>
        <w:gridCol w:w="908"/>
        <w:gridCol w:w="3765"/>
        <w:gridCol w:w="3558"/>
        <w:gridCol w:w="1550"/>
      </w:tblGrid>
      <w:tr w:rsidR="006D33E3" w14:paraId="6694CF16" w14:textId="77777777" w:rsidTr="00173219">
        <w:trPr>
          <w:cnfStyle w:val="100000000000" w:firstRow="1" w:lastRow="0" w:firstColumn="0" w:lastColumn="0" w:oddVBand="0" w:evenVBand="0" w:oddHBand="0" w:evenHBand="0" w:firstRowFirstColumn="0" w:firstRowLastColumn="0" w:lastRowFirstColumn="0" w:lastRowLastColumn="0"/>
        </w:trPr>
        <w:tc>
          <w:tcPr>
            <w:tcW w:w="908" w:type="dxa"/>
          </w:tcPr>
          <w:bookmarkEnd w:id="570"/>
          <w:p w14:paraId="6ECD4B52" w14:textId="77777777" w:rsidR="006D33E3" w:rsidRPr="000A191B" w:rsidRDefault="006D33E3" w:rsidP="00173219">
            <w:pPr>
              <w:pStyle w:val="TableHeaders"/>
              <w:keepNext/>
            </w:pPr>
            <w:r w:rsidRPr="000A191B">
              <w:t>Reg No.</w:t>
            </w:r>
          </w:p>
        </w:tc>
        <w:tc>
          <w:tcPr>
            <w:tcW w:w="3765" w:type="dxa"/>
          </w:tcPr>
          <w:p w14:paraId="54CF6C71" w14:textId="77777777" w:rsidR="006D33E3" w:rsidRPr="000A191B" w:rsidRDefault="006D33E3" w:rsidP="00173219">
            <w:pPr>
              <w:pStyle w:val="TableHeaders"/>
              <w:keepNext/>
            </w:pPr>
            <w:r>
              <w:t>Proposed regulation</w:t>
            </w:r>
          </w:p>
        </w:tc>
        <w:tc>
          <w:tcPr>
            <w:tcW w:w="3558" w:type="dxa"/>
          </w:tcPr>
          <w:p w14:paraId="34801B5F" w14:textId="77777777" w:rsidR="006D33E3" w:rsidRPr="000A191B" w:rsidRDefault="006D33E3" w:rsidP="00173219">
            <w:pPr>
              <w:pStyle w:val="TableHeaders"/>
              <w:keepNext/>
            </w:pPr>
            <w:r>
              <w:t>Rationale for proposed regulation</w:t>
            </w:r>
          </w:p>
        </w:tc>
        <w:tc>
          <w:tcPr>
            <w:tcW w:w="1550" w:type="dxa"/>
          </w:tcPr>
          <w:p w14:paraId="31A6C9B4" w14:textId="77777777" w:rsidR="006D33E3" w:rsidRDefault="006D33E3" w:rsidP="00173219">
            <w:pPr>
              <w:pStyle w:val="TableHeaders"/>
              <w:keepNext/>
            </w:pPr>
            <w:r w:rsidRPr="00064BD2">
              <w:t>Change from current</w:t>
            </w:r>
          </w:p>
        </w:tc>
      </w:tr>
      <w:tr w:rsidR="006C7C4D" w14:paraId="05BC491B" w14:textId="77777777" w:rsidTr="00173219">
        <w:tc>
          <w:tcPr>
            <w:tcW w:w="908" w:type="dxa"/>
            <w:shd w:val="clear" w:color="auto" w:fill="auto"/>
          </w:tcPr>
          <w:p w14:paraId="75D970E1" w14:textId="77777777" w:rsidR="006C7C4D" w:rsidRDefault="006C7C4D" w:rsidP="00173219">
            <w:pPr>
              <w:pStyle w:val="TableParagraph"/>
              <w:jc w:val="center"/>
            </w:pPr>
            <w:r>
              <w:t>66</w:t>
            </w:r>
          </w:p>
        </w:tc>
        <w:tc>
          <w:tcPr>
            <w:tcW w:w="3765" w:type="dxa"/>
            <w:shd w:val="clear" w:color="auto" w:fill="auto"/>
          </w:tcPr>
          <w:p w14:paraId="31CC6B8A" w14:textId="77777777" w:rsidR="006C7C4D" w:rsidRDefault="006C7C4D" w:rsidP="00173219">
            <w:pPr>
              <w:pStyle w:val="TableParagraph"/>
            </w:pPr>
            <w:r w:rsidRPr="001E227F">
              <w:t>A holder of a driver licence or learner permit must notify VicRoads of any change to the person's personal particulars within 14 days after the change</w:t>
            </w:r>
            <w:r>
              <w:t xml:space="preserve">. </w:t>
            </w:r>
          </w:p>
          <w:p w14:paraId="0A465418" w14:textId="77777777" w:rsidR="006C7C4D" w:rsidRPr="0044054A" w:rsidRDefault="006C7C4D" w:rsidP="00173219">
            <w:pPr>
              <w:pStyle w:val="TableParagraph"/>
            </w:pPr>
            <w:r>
              <w:t xml:space="preserve">If they are </w:t>
            </w:r>
            <w:r w:rsidRPr="001E227F">
              <w:t>affected by any permanent or long-term illness, disability, medical condition or injury or the effects of the treatment</w:t>
            </w:r>
            <w:r>
              <w:t xml:space="preserve"> for them</w:t>
            </w:r>
            <w:r w:rsidRPr="001E227F">
              <w:t>, that may impair the person's ability to drive safely, the person must, as soon as practicable after becoming aware of the injury or illness or commencing the treatment, notify VicRoads about it.</w:t>
            </w:r>
            <w:r>
              <w:t xml:space="preserve"> </w:t>
            </w:r>
          </w:p>
        </w:tc>
        <w:tc>
          <w:tcPr>
            <w:tcW w:w="3558" w:type="dxa"/>
            <w:shd w:val="clear" w:color="auto" w:fill="auto"/>
          </w:tcPr>
          <w:p w14:paraId="4714D0B8" w14:textId="77777777" w:rsidR="006C7C4D" w:rsidRDefault="006C7C4D" w:rsidP="00173219">
            <w:pPr>
              <w:pStyle w:val="TableParagraph"/>
            </w:pPr>
            <w:r>
              <w:t>Ensures that information relating to the driver is current for the purposes of serving notices.</w:t>
            </w:r>
            <w:r>
              <w:br/>
            </w:r>
          </w:p>
          <w:p w14:paraId="0497FEEF" w14:textId="77777777" w:rsidR="006C7C4D" w:rsidRPr="000A191B" w:rsidRDefault="006C7C4D" w:rsidP="00173219">
            <w:pPr>
              <w:pStyle w:val="TableParagraph"/>
            </w:pPr>
            <w:r>
              <w:t xml:space="preserve">Ensures that a driver’s serious health issues that may </w:t>
            </w:r>
            <w:r w:rsidRPr="001E227F">
              <w:t>impair the person's ability to drive safely</w:t>
            </w:r>
            <w:r>
              <w:t xml:space="preserve"> is promptly brought to VicRoads’ attention for assessment.</w:t>
            </w:r>
          </w:p>
        </w:tc>
        <w:tc>
          <w:tcPr>
            <w:tcW w:w="1550" w:type="dxa"/>
            <w:shd w:val="clear" w:color="auto" w:fill="auto"/>
          </w:tcPr>
          <w:p w14:paraId="561BD35E" w14:textId="77777777" w:rsidR="006C7C4D" w:rsidRDefault="006C7C4D" w:rsidP="00173219">
            <w:pPr>
              <w:pStyle w:val="TableParagraph"/>
              <w:jc w:val="center"/>
            </w:pPr>
            <w:r>
              <w:t>No</w:t>
            </w:r>
            <w:r>
              <w:br/>
            </w:r>
            <w:r>
              <w:br/>
            </w:r>
            <w:r>
              <w:br/>
            </w:r>
          </w:p>
          <w:p w14:paraId="04888E00" w14:textId="77777777" w:rsidR="006C7C4D" w:rsidRDefault="006C7C4D" w:rsidP="00173219">
            <w:pPr>
              <w:pStyle w:val="TableParagraph"/>
              <w:jc w:val="center"/>
            </w:pPr>
            <w:r>
              <w:t>No</w:t>
            </w:r>
          </w:p>
        </w:tc>
      </w:tr>
      <w:tr w:rsidR="00173219" w14:paraId="0121A6E0" w14:textId="77777777" w:rsidTr="00173219">
        <w:trPr>
          <w:cnfStyle w:val="000000010000" w:firstRow="0" w:lastRow="0" w:firstColumn="0" w:lastColumn="0" w:oddVBand="0" w:evenVBand="0" w:oddHBand="0" w:evenHBand="1" w:firstRowFirstColumn="0" w:firstRowLastColumn="0" w:lastRowFirstColumn="0" w:lastRowLastColumn="0"/>
        </w:trPr>
        <w:tc>
          <w:tcPr>
            <w:tcW w:w="908" w:type="dxa"/>
            <w:shd w:val="clear" w:color="auto" w:fill="auto"/>
          </w:tcPr>
          <w:p w14:paraId="234D3FA4" w14:textId="77777777" w:rsidR="00173219" w:rsidRDefault="00173219" w:rsidP="00173219">
            <w:pPr>
              <w:pStyle w:val="TableParagraph"/>
              <w:jc w:val="center"/>
            </w:pPr>
            <w:r>
              <w:t>67</w:t>
            </w:r>
          </w:p>
        </w:tc>
        <w:tc>
          <w:tcPr>
            <w:tcW w:w="3765" w:type="dxa"/>
            <w:shd w:val="clear" w:color="auto" w:fill="auto"/>
          </w:tcPr>
          <w:p w14:paraId="658F3E35" w14:textId="77777777" w:rsidR="00173219" w:rsidRDefault="00173219" w:rsidP="00173219">
            <w:pPr>
              <w:pStyle w:val="TableParagraph"/>
            </w:pPr>
            <w:r>
              <w:t xml:space="preserve">Tests and assessments </w:t>
            </w:r>
            <w:r w:rsidRPr="00443DA2">
              <w:t>must be carried out by a person of the class described</w:t>
            </w:r>
            <w:r>
              <w:t xml:space="preserve"> in the table in this regulation, namely:</w:t>
            </w:r>
          </w:p>
          <w:p w14:paraId="435269F8" w14:textId="77777777" w:rsidR="00173219" w:rsidRDefault="00173219" w:rsidP="00173219">
            <w:pPr>
              <w:pStyle w:val="TableList1"/>
            </w:pPr>
            <w:r>
              <w:t>Medical tests by r</w:t>
            </w:r>
            <w:r w:rsidRPr="00AE0A3D">
              <w:t>egistered medical practitioners</w:t>
            </w:r>
          </w:p>
          <w:p w14:paraId="4BB82C74" w14:textId="77777777" w:rsidR="00173219" w:rsidRDefault="00173219" w:rsidP="00173219">
            <w:pPr>
              <w:pStyle w:val="TableList1"/>
            </w:pPr>
            <w:r>
              <w:t xml:space="preserve">Eyesight tests by registered medical practitioners; registered optometrists; </w:t>
            </w:r>
            <w:r>
              <w:lastRenderedPageBreak/>
              <w:t>registered ophthalmologists; registered occupational therapists who have successfully completed postgraduate training in driver assessment and rehabilitation; officers of VicRoads; or other persons authorised in writing by VicRoads</w:t>
            </w:r>
          </w:p>
          <w:p w14:paraId="738E446A" w14:textId="77777777" w:rsidR="00173219" w:rsidRDefault="00173219" w:rsidP="00173219">
            <w:pPr>
              <w:pStyle w:val="TableList1"/>
            </w:pPr>
            <w:r w:rsidRPr="00AE0A3D">
              <w:t>Evaluations of drivers' physical and cognitive abilities or skills to drive</w:t>
            </w:r>
            <w:r>
              <w:t xml:space="preserve"> by Registered occupational therapists who have successfully completed postgraduate training in driver assessment and rehabilitation; or other persons authorised in writing by VicRoads</w:t>
            </w:r>
          </w:p>
          <w:p w14:paraId="33E39463" w14:textId="77777777" w:rsidR="00173219" w:rsidRPr="0044054A" w:rsidRDefault="00173219" w:rsidP="00173219">
            <w:pPr>
              <w:pStyle w:val="TableParagraph"/>
            </w:pPr>
            <w:r w:rsidRPr="00FA3FB8">
              <w:t>VicRoads must accept</w:t>
            </w:r>
            <w:r>
              <w:t xml:space="preserve"> </w:t>
            </w:r>
            <w:r w:rsidRPr="00FA3FB8">
              <w:t>a certificate of the results of a medical test or assessment conducted in another jurisdiction if the test or assessment otherwise complies with this regulation</w:t>
            </w:r>
            <w:r>
              <w:t>.</w:t>
            </w:r>
          </w:p>
        </w:tc>
        <w:tc>
          <w:tcPr>
            <w:tcW w:w="3558" w:type="dxa"/>
            <w:shd w:val="clear" w:color="auto" w:fill="auto"/>
          </w:tcPr>
          <w:p w14:paraId="3CC079CC" w14:textId="77777777" w:rsidR="00173219" w:rsidRPr="00224747" w:rsidRDefault="00173219" w:rsidP="00173219">
            <w:pPr>
              <w:pStyle w:val="TableParagraph"/>
            </w:pPr>
            <w:r>
              <w:lastRenderedPageBreak/>
              <w:t xml:space="preserve">Authorises persons with the required accreditations and qualifications to conduct tests for the purpose of fitness-to-drive assessments. </w:t>
            </w:r>
          </w:p>
        </w:tc>
        <w:tc>
          <w:tcPr>
            <w:tcW w:w="1550" w:type="dxa"/>
            <w:shd w:val="clear" w:color="auto" w:fill="auto"/>
          </w:tcPr>
          <w:p w14:paraId="3F0D6D29" w14:textId="77777777" w:rsidR="00173219" w:rsidRDefault="00173219" w:rsidP="00173219">
            <w:pPr>
              <w:pStyle w:val="TableParagraph"/>
              <w:jc w:val="center"/>
            </w:pPr>
            <w:r>
              <w:t>No</w:t>
            </w:r>
          </w:p>
        </w:tc>
      </w:tr>
      <w:tr w:rsidR="00173219" w14:paraId="4DC2837D" w14:textId="77777777" w:rsidTr="00173219">
        <w:tc>
          <w:tcPr>
            <w:tcW w:w="908" w:type="dxa"/>
            <w:shd w:val="clear" w:color="auto" w:fill="auto"/>
          </w:tcPr>
          <w:p w14:paraId="030B7ED9" w14:textId="77777777" w:rsidR="00173219" w:rsidRDefault="00173219" w:rsidP="00173219">
            <w:pPr>
              <w:pStyle w:val="TableParagraph"/>
              <w:jc w:val="center"/>
            </w:pPr>
            <w:r>
              <w:t>78</w:t>
            </w:r>
          </w:p>
        </w:tc>
        <w:tc>
          <w:tcPr>
            <w:tcW w:w="3765" w:type="dxa"/>
            <w:shd w:val="clear" w:color="auto" w:fill="auto"/>
          </w:tcPr>
          <w:p w14:paraId="6B0E0965" w14:textId="77777777" w:rsidR="00173219" w:rsidRDefault="00173219" w:rsidP="00173219">
            <w:pPr>
              <w:pStyle w:val="TableParagraph"/>
            </w:pPr>
            <w:r w:rsidRPr="00161B52">
              <w:t xml:space="preserve">VicRoads must vary, suspend or cancel a person's driver licence if, based on the results of a test or assessment required by VicRoads under section 27 of the </w:t>
            </w:r>
            <w:r w:rsidRPr="00035932">
              <w:rPr>
                <w:i/>
              </w:rPr>
              <w:t>RSA</w:t>
            </w:r>
            <w:r w:rsidRPr="00161B52">
              <w:t xml:space="preserve"> or a report from a registered medical practitioner, VicRoads believes it would be dangerous for the person to drive a motor vehicle, or a category of motor vehicle, because of any illness, disability, medical condition or injury, or the effects of the</w:t>
            </w:r>
            <w:r>
              <w:t>ir</w:t>
            </w:r>
            <w:r w:rsidRPr="00161B52">
              <w:t xml:space="preserve"> treatment, that may impair the person's ability to drive safely</w:t>
            </w:r>
            <w:r>
              <w:t>.</w:t>
            </w:r>
          </w:p>
          <w:p w14:paraId="148B66BC" w14:textId="77777777" w:rsidR="00173219" w:rsidRDefault="00173219" w:rsidP="00173219">
            <w:pPr>
              <w:pStyle w:val="TableParagraph"/>
            </w:pPr>
            <w:r>
              <w:t xml:space="preserve">Where the licence is cancelled, the person is </w:t>
            </w:r>
            <w:r w:rsidRPr="00697CF1">
              <w:t>disqualified from obtaining a driver licence</w:t>
            </w:r>
            <w:r>
              <w:t xml:space="preserve"> until VicRoads is satisfied that the grounds for cancellation no longer exist.</w:t>
            </w:r>
          </w:p>
          <w:p w14:paraId="42F0E8FA" w14:textId="77777777" w:rsidR="00173219" w:rsidRPr="003924A0" w:rsidRDefault="00173219" w:rsidP="00173219">
            <w:pPr>
              <w:pStyle w:val="TableParagraph"/>
            </w:pPr>
            <w:r>
              <w:t xml:space="preserve">VicRoads may suspend the licence </w:t>
            </w:r>
            <w:r w:rsidRPr="00CD47BE">
              <w:t>until the person has undergone a test of fitness or competence or any other appropriate test or assessment</w:t>
            </w:r>
            <w:r>
              <w:t>.</w:t>
            </w:r>
          </w:p>
        </w:tc>
        <w:tc>
          <w:tcPr>
            <w:tcW w:w="3558" w:type="dxa"/>
            <w:shd w:val="clear" w:color="auto" w:fill="auto"/>
          </w:tcPr>
          <w:p w14:paraId="2F269EE1" w14:textId="77777777" w:rsidR="00173219" w:rsidRPr="000A191B" w:rsidRDefault="00173219" w:rsidP="00173219">
            <w:pPr>
              <w:pStyle w:val="TableParagraph"/>
            </w:pPr>
            <w:r>
              <w:t>Enables the variation, suspension and cancellation of the driver licence if the driver is assessed as not being medically fit to drive safely.</w:t>
            </w:r>
          </w:p>
        </w:tc>
        <w:tc>
          <w:tcPr>
            <w:tcW w:w="1550" w:type="dxa"/>
            <w:shd w:val="clear" w:color="auto" w:fill="auto"/>
          </w:tcPr>
          <w:p w14:paraId="77A9F254" w14:textId="77777777" w:rsidR="00173219" w:rsidRDefault="00173219" w:rsidP="00173219">
            <w:pPr>
              <w:pStyle w:val="TableParagraph"/>
              <w:jc w:val="center"/>
            </w:pPr>
            <w:r>
              <w:t>No</w:t>
            </w:r>
          </w:p>
        </w:tc>
      </w:tr>
    </w:tbl>
    <w:p w14:paraId="0E08C34D" w14:textId="77777777" w:rsidR="00122C1B" w:rsidRDefault="00122C1B" w:rsidP="001A063E">
      <w:pPr>
        <w:pStyle w:val="Heading2"/>
      </w:pPr>
      <w:bookmarkStart w:id="571" w:name="_Toc10703467"/>
      <w:r>
        <w:t>Motorcycle learner permit and licences</w:t>
      </w:r>
      <w:bookmarkEnd w:id="571"/>
    </w:p>
    <w:p w14:paraId="013916B3" w14:textId="77777777" w:rsidR="00122C1B" w:rsidRDefault="00122C1B" w:rsidP="00101A25">
      <w:pPr>
        <w:pStyle w:val="TextPara"/>
      </w:pPr>
      <w:r>
        <w:t xml:space="preserve">Under Section 22(3) of the </w:t>
      </w:r>
      <w:r w:rsidRPr="005C1A22">
        <w:rPr>
          <w:i/>
        </w:rPr>
        <w:t>RSA</w:t>
      </w:r>
      <w:r>
        <w:t>, VicRoads may, before granting a learner permit, require the applicant to pass any appropriate tests or assessments</w:t>
      </w:r>
      <w:r w:rsidR="008C4304">
        <w:t>,</w:t>
      </w:r>
      <w:r>
        <w:t xml:space="preserve"> undergo any appropriate training and comply with any prescribed procedures and requirements.</w:t>
      </w:r>
    </w:p>
    <w:p w14:paraId="06288D93" w14:textId="77777777" w:rsidR="00122C1B" w:rsidRDefault="00122C1B" w:rsidP="00101A25">
      <w:pPr>
        <w:pStyle w:val="TextPara"/>
      </w:pPr>
      <w:r>
        <w:t xml:space="preserve">Similarly, under </w:t>
      </w:r>
      <w:r w:rsidR="008C4304">
        <w:t xml:space="preserve">section </w:t>
      </w:r>
      <w:r>
        <w:t xml:space="preserve">19(2) of the </w:t>
      </w:r>
      <w:r w:rsidRPr="005C1A22">
        <w:rPr>
          <w:i/>
        </w:rPr>
        <w:t>RSA</w:t>
      </w:r>
      <w:r>
        <w:t>, VicRoads may, before granting a driver licence, require the applicant to pass any appropriate tests or assessments, comply with any prescribed procedures and requirements, and have any prescribed qualification.</w:t>
      </w:r>
    </w:p>
    <w:p w14:paraId="5CCBEAE3" w14:textId="77777777" w:rsidR="00122C1B" w:rsidRDefault="00122C1B" w:rsidP="006713F9">
      <w:pPr>
        <w:pStyle w:val="Heading3"/>
      </w:pPr>
      <w:bookmarkStart w:id="572" w:name="_Toc10703468"/>
      <w:r>
        <w:t>Background: How they work</w:t>
      </w:r>
      <w:bookmarkEnd w:id="572"/>
    </w:p>
    <w:p w14:paraId="15FEEB6E" w14:textId="77777777" w:rsidR="00122C1B" w:rsidRDefault="00122C1B" w:rsidP="004D1CC9">
      <w:pPr>
        <w:pStyle w:val="TextPara"/>
        <w:spacing w:after="60"/>
      </w:pPr>
      <w:r>
        <w:t xml:space="preserve">The Victorian </w:t>
      </w:r>
      <w:r w:rsidRPr="00FF000B">
        <w:t>Motorcycle Graduated Licensing System</w:t>
      </w:r>
      <w:r>
        <w:t xml:space="preserve"> (</w:t>
      </w:r>
      <w:r w:rsidRPr="008C4304">
        <w:rPr>
          <w:b/>
        </w:rPr>
        <w:t>M-GLS</w:t>
      </w:r>
      <w:r>
        <w:t xml:space="preserve">) has undergone important changes since 2014. The enhancements were implemented in two stages. </w:t>
      </w:r>
    </w:p>
    <w:p w14:paraId="6F9A90D5" w14:textId="77777777" w:rsidR="00122C1B" w:rsidRDefault="00122C1B" w:rsidP="00626A2D">
      <w:pPr>
        <w:pStyle w:val="TextPara"/>
      </w:pPr>
      <w:r>
        <w:lastRenderedPageBreak/>
        <w:t>Riders, who obtain</w:t>
      </w:r>
      <w:r w:rsidR="008C4304">
        <w:t>ed</w:t>
      </w:r>
      <w:r>
        <w:t xml:space="preserve"> a motorcycle learner permit on or after 2 April 2016, need to complete an on-road practical skills check (also known as a Check Ride) before they can book for their motorcycle licence assessment. A Check Ride is a half-day coaching course that includes an on-range review of braking, steering and low speed manoeuvring skills and an on-road coaching ride on a pre-determined route. To get the most out of the training, learners are encouraged to book </w:t>
      </w:r>
      <w:r w:rsidRPr="00626A2D">
        <w:t>the</w:t>
      </w:r>
      <w:r>
        <w:t xml:space="preserve"> Check Ride after they have practised riding for some time. </w:t>
      </w:r>
      <w:r w:rsidRPr="00A70A60">
        <w:t>Previous interstate or overseas motorcycle licence holders are not required to complete the Check Ride.</w:t>
      </w:r>
    </w:p>
    <w:p w14:paraId="17B32C39" w14:textId="7D2AF4F2" w:rsidR="00122C1B" w:rsidRDefault="00122C1B" w:rsidP="00626A2D">
      <w:pPr>
        <w:pStyle w:val="TextPara"/>
      </w:pPr>
      <w:r>
        <w:t xml:space="preserve">To obtain a motorcycle licence, an eligible applicant must make an appointment with one of the VicRoads accredited providers, who will verify the applicant’s identity, conduct all the necessary tests and issue the probationary or restricted full motorcycle licence determined </w:t>
      </w:r>
      <w:r w:rsidRPr="00626A2D">
        <w:t>as</w:t>
      </w:r>
      <w:r>
        <w:t xml:space="preserve"> shown in </w:t>
      </w:r>
      <w:r>
        <w:fldChar w:fldCharType="begin"/>
      </w:r>
      <w:r>
        <w:instrText xml:space="preserve"> REF _Ref522181059 \h </w:instrText>
      </w:r>
      <w:r>
        <w:fldChar w:fldCharType="separate"/>
      </w:r>
      <w:r w:rsidR="00EB4B02">
        <w:t xml:space="preserve">Table </w:t>
      </w:r>
      <w:r>
        <w:fldChar w:fldCharType="end"/>
      </w:r>
      <w:r>
        <w:t xml:space="preserve">. </w:t>
      </w:r>
      <w:bookmarkStart w:id="573" w:name="_Hlk512002001"/>
      <w:r>
        <w:t>There are currently 16 accredited providers in 28 locations around Victoria.</w:t>
      </w:r>
      <w:r>
        <w:rPr>
          <w:rStyle w:val="EndnoteReference"/>
        </w:rPr>
        <w:endnoteReference w:id="370"/>
      </w:r>
      <w:r>
        <w:t xml:space="preserve"> The low numbers of motorcycle learners (there were </w:t>
      </w:r>
      <w:r w:rsidRPr="00895B96">
        <w:rPr>
          <w:rFonts w:cs="Segoe UI"/>
        </w:rPr>
        <w:t>10,853</w:t>
      </w:r>
      <w:r>
        <w:rPr>
          <w:rFonts w:cs="Segoe UI"/>
        </w:rPr>
        <w:t xml:space="preserve"> learners at the end of 2017) and </w:t>
      </w:r>
      <w:r>
        <w:t>the specialised equipment and controlled environment and facilities required to provide motorcycle training and administer the licence tests, do not warrant VicRoads providing such services at its sites.</w:t>
      </w:r>
      <w:bookmarkEnd w:id="573"/>
    </w:p>
    <w:p w14:paraId="4FB44F76" w14:textId="77777777" w:rsidR="00122C1B" w:rsidRDefault="00122C1B" w:rsidP="00101A25">
      <w:pPr>
        <w:pStyle w:val="TextPara"/>
      </w:pPr>
      <w:r>
        <w:t>To obtain their probationary or restricted full motorcycle licence, applicants must pass a hazard perception test (unless they already hold a driver licence), a Check Ride (to be completed at least one month before going for the motorcycle licence) and pass the on-range skill competency assessment and the on-road practical riding assessment. The accredited providers must forward to VicRoads the regulated fee for the Victorian probationary licence.</w:t>
      </w:r>
      <w:r>
        <w:rPr>
          <w:rStyle w:val="EndnoteReference"/>
        </w:rPr>
        <w:endnoteReference w:id="371"/>
      </w:r>
      <w:r>
        <w:t xml:space="preserve"> </w:t>
      </w:r>
    </w:p>
    <w:p w14:paraId="53594A04" w14:textId="6A81E539" w:rsidR="00122C1B" w:rsidRDefault="00122C1B" w:rsidP="00AA0BBA">
      <w:pPr>
        <w:pStyle w:val="Caption"/>
      </w:pPr>
      <w:bookmarkStart w:id="574" w:name="_Ref522181059"/>
      <w:bookmarkStart w:id="575" w:name="_Hlk9435263"/>
      <w:r>
        <w:t xml:space="preserve">Table </w:t>
      </w:r>
      <w:bookmarkEnd w:id="574"/>
      <w:r w:rsidR="00B95C37">
        <w:t>33</w:t>
      </w:r>
      <w:r>
        <w:t xml:space="preserve"> – Victorian Motorcycle </w:t>
      </w:r>
      <w:r w:rsidRPr="00C81564">
        <w:t>Licensing</w:t>
      </w:r>
      <w:r w:rsidRPr="00526BDD">
        <w:t xml:space="preserve"> </w:t>
      </w:r>
    </w:p>
    <w:tbl>
      <w:tblPr>
        <w:tblStyle w:val="RIS-Table2"/>
        <w:tblW w:w="9498" w:type="dxa"/>
        <w:tblLook w:val="04A0" w:firstRow="1" w:lastRow="0" w:firstColumn="1" w:lastColumn="0" w:noHBand="0" w:noVBand="1"/>
      </w:tblPr>
      <w:tblGrid>
        <w:gridCol w:w="2977"/>
        <w:gridCol w:w="3969"/>
        <w:gridCol w:w="2552"/>
      </w:tblGrid>
      <w:tr w:rsidR="00122C1B" w:rsidRPr="004827FC" w14:paraId="4E548FF2" w14:textId="77777777" w:rsidTr="00B22DE1">
        <w:trPr>
          <w:cnfStyle w:val="100000000000" w:firstRow="1" w:lastRow="0" w:firstColumn="0" w:lastColumn="0" w:oddVBand="0" w:evenVBand="0" w:oddHBand="0" w:evenHBand="0" w:firstRowFirstColumn="0" w:firstRowLastColumn="0" w:lastRowFirstColumn="0" w:lastRowLastColumn="0"/>
        </w:trPr>
        <w:tc>
          <w:tcPr>
            <w:tcW w:w="2977" w:type="dxa"/>
          </w:tcPr>
          <w:bookmarkEnd w:id="575"/>
          <w:p w14:paraId="237967BA" w14:textId="77777777" w:rsidR="00122C1B" w:rsidRPr="004827FC" w:rsidRDefault="00122C1B" w:rsidP="001060A4">
            <w:pPr>
              <w:pStyle w:val="TableHeaders"/>
            </w:pPr>
            <w:r>
              <w:t>Prerequisite</w:t>
            </w:r>
          </w:p>
        </w:tc>
        <w:tc>
          <w:tcPr>
            <w:tcW w:w="3969" w:type="dxa"/>
          </w:tcPr>
          <w:p w14:paraId="038D101C" w14:textId="77777777" w:rsidR="00122C1B" w:rsidRPr="004827FC" w:rsidRDefault="00122C1B" w:rsidP="001060A4">
            <w:pPr>
              <w:pStyle w:val="TableHeaders"/>
            </w:pPr>
            <w:r>
              <w:t>Licence Type issued</w:t>
            </w:r>
          </w:p>
        </w:tc>
        <w:tc>
          <w:tcPr>
            <w:tcW w:w="2552" w:type="dxa"/>
          </w:tcPr>
          <w:p w14:paraId="55AFA4DD" w14:textId="77777777" w:rsidR="00122C1B" w:rsidRPr="004827FC" w:rsidRDefault="00122C1B" w:rsidP="001060A4">
            <w:pPr>
              <w:pStyle w:val="TableHeaders"/>
            </w:pPr>
            <w:r>
              <w:t>Restrictions</w:t>
            </w:r>
          </w:p>
        </w:tc>
      </w:tr>
      <w:tr w:rsidR="00122C1B" w:rsidRPr="00D87CE0" w14:paraId="55B0FF52" w14:textId="77777777" w:rsidTr="00FB62BD">
        <w:tc>
          <w:tcPr>
            <w:tcW w:w="2977" w:type="dxa"/>
            <w:shd w:val="clear" w:color="auto" w:fill="auto"/>
          </w:tcPr>
          <w:p w14:paraId="1D2312B4" w14:textId="77777777" w:rsidR="00122C1B" w:rsidRPr="00875385" w:rsidRDefault="00122C1B" w:rsidP="00EA26C1">
            <w:pPr>
              <w:pStyle w:val="TableParagraph"/>
            </w:pPr>
            <w:r>
              <w:t>Applicant already holds a Victorian driver licence.</w:t>
            </w:r>
          </w:p>
        </w:tc>
        <w:tc>
          <w:tcPr>
            <w:tcW w:w="3969" w:type="dxa"/>
            <w:shd w:val="clear" w:color="auto" w:fill="auto"/>
          </w:tcPr>
          <w:p w14:paraId="65914A6C" w14:textId="77777777" w:rsidR="00122C1B" w:rsidRDefault="00122C1B" w:rsidP="0095107B">
            <w:pPr>
              <w:pStyle w:val="TableParagraph"/>
            </w:pPr>
            <w:r>
              <w:t>The category 'Rider' is added to the driver licence.</w:t>
            </w:r>
          </w:p>
          <w:p w14:paraId="11E0F292" w14:textId="77777777" w:rsidR="00122C1B" w:rsidRDefault="00122C1B" w:rsidP="00EA26C1">
            <w:pPr>
              <w:pStyle w:val="TableParagraph"/>
            </w:pPr>
            <w:r>
              <w:t>If the</w:t>
            </w:r>
            <w:r w:rsidRPr="00EA26C1">
              <w:t xml:space="preserve"> driver licence is </w:t>
            </w:r>
            <w:r>
              <w:t>a full licence</w:t>
            </w:r>
            <w:r w:rsidRPr="00EA26C1">
              <w:t xml:space="preserve">, </w:t>
            </w:r>
            <w:r>
              <w:t>a restricted motorcycle licence is issued.</w:t>
            </w:r>
          </w:p>
          <w:p w14:paraId="7DC67CA3" w14:textId="77777777" w:rsidR="00122C1B" w:rsidRDefault="00122C1B" w:rsidP="00EA26C1">
            <w:pPr>
              <w:pStyle w:val="TableParagraph"/>
            </w:pPr>
            <w:r>
              <w:t>If the</w:t>
            </w:r>
            <w:r w:rsidRPr="00EA26C1">
              <w:t xml:space="preserve"> driver licence is probationary, the motorcycle probationary period ends at the same time as </w:t>
            </w:r>
            <w:r>
              <w:t>the</w:t>
            </w:r>
            <w:r w:rsidRPr="00EA26C1">
              <w:t xml:space="preserve"> driver licence probationary period.</w:t>
            </w:r>
          </w:p>
        </w:tc>
        <w:tc>
          <w:tcPr>
            <w:tcW w:w="2552" w:type="dxa"/>
            <w:shd w:val="clear" w:color="auto" w:fill="auto"/>
          </w:tcPr>
          <w:p w14:paraId="42A882DC" w14:textId="77777777" w:rsidR="00122C1B" w:rsidRPr="00D87CE0" w:rsidRDefault="00122C1B" w:rsidP="00EA26C1">
            <w:pPr>
              <w:pStyle w:val="TableParagraph"/>
              <w:rPr>
                <w:rFonts w:cs="Segoe UI"/>
                <w:color w:val="00B050"/>
              </w:rPr>
            </w:pPr>
            <w:r>
              <w:t>Subject to restrictions and conditions for a prescribed period.</w:t>
            </w:r>
          </w:p>
        </w:tc>
      </w:tr>
      <w:tr w:rsidR="00122C1B" w:rsidRPr="00D87CE0" w14:paraId="272ECDA6" w14:textId="77777777" w:rsidTr="00FB62BD">
        <w:trPr>
          <w:cnfStyle w:val="000000010000" w:firstRow="0" w:lastRow="0" w:firstColumn="0" w:lastColumn="0" w:oddVBand="0" w:evenVBand="0" w:oddHBand="0" w:evenHBand="1" w:firstRowFirstColumn="0" w:firstRowLastColumn="0" w:lastRowFirstColumn="0" w:lastRowLastColumn="0"/>
        </w:trPr>
        <w:tc>
          <w:tcPr>
            <w:tcW w:w="2977" w:type="dxa"/>
            <w:shd w:val="clear" w:color="auto" w:fill="auto"/>
          </w:tcPr>
          <w:p w14:paraId="023FDEFC" w14:textId="77777777" w:rsidR="00122C1B" w:rsidRDefault="00122C1B" w:rsidP="00EA26C1">
            <w:pPr>
              <w:pStyle w:val="TableParagraph"/>
            </w:pPr>
            <w:r>
              <w:t>Applicant does not have a driver licence and is under 21 years of age.</w:t>
            </w:r>
          </w:p>
        </w:tc>
        <w:tc>
          <w:tcPr>
            <w:tcW w:w="3969" w:type="dxa"/>
            <w:shd w:val="clear" w:color="auto" w:fill="auto"/>
          </w:tcPr>
          <w:p w14:paraId="675A1621" w14:textId="77777777" w:rsidR="00122C1B" w:rsidRDefault="00122C1B" w:rsidP="00EA26C1">
            <w:pPr>
              <w:pStyle w:val="TableParagraph"/>
            </w:pPr>
            <w:r>
              <w:t>A</w:t>
            </w:r>
            <w:r w:rsidRPr="00EA26C1">
              <w:t xml:space="preserve"> four-year motorcycle probationary licence. The first year is the probationary P1 period and the following three years are the probationary P2 period.</w:t>
            </w:r>
          </w:p>
        </w:tc>
        <w:tc>
          <w:tcPr>
            <w:tcW w:w="2552" w:type="dxa"/>
            <w:shd w:val="clear" w:color="auto" w:fill="auto"/>
          </w:tcPr>
          <w:p w14:paraId="060FCCC1" w14:textId="77777777" w:rsidR="00122C1B" w:rsidRDefault="00122C1B" w:rsidP="00EA26C1">
            <w:pPr>
              <w:pStyle w:val="TableParagraph"/>
            </w:pPr>
            <w:r>
              <w:t>The probationary driver licence and motorcycle restrictions apply.</w:t>
            </w:r>
          </w:p>
        </w:tc>
      </w:tr>
      <w:tr w:rsidR="00122C1B" w:rsidRPr="00D87CE0" w14:paraId="0EBFF5E8" w14:textId="77777777" w:rsidTr="00FB62BD">
        <w:tc>
          <w:tcPr>
            <w:tcW w:w="2977" w:type="dxa"/>
            <w:shd w:val="clear" w:color="auto" w:fill="auto"/>
          </w:tcPr>
          <w:p w14:paraId="4994225C" w14:textId="77777777" w:rsidR="00122C1B" w:rsidRDefault="00122C1B" w:rsidP="00EA26C1">
            <w:pPr>
              <w:pStyle w:val="TableParagraph"/>
            </w:pPr>
            <w:r>
              <w:t>Applicant does not have a driver licence and is 21 years of age or older.</w:t>
            </w:r>
          </w:p>
        </w:tc>
        <w:tc>
          <w:tcPr>
            <w:tcW w:w="3969" w:type="dxa"/>
            <w:shd w:val="clear" w:color="auto" w:fill="auto"/>
          </w:tcPr>
          <w:p w14:paraId="52F70115" w14:textId="77777777" w:rsidR="00122C1B" w:rsidRPr="00EA26C1" w:rsidRDefault="00122C1B" w:rsidP="00EA26C1">
            <w:pPr>
              <w:pStyle w:val="TableParagraph"/>
            </w:pPr>
            <w:r>
              <w:t>A three-year motorcycle probationary P2 licence.</w:t>
            </w:r>
          </w:p>
        </w:tc>
        <w:tc>
          <w:tcPr>
            <w:tcW w:w="2552" w:type="dxa"/>
            <w:shd w:val="clear" w:color="auto" w:fill="auto"/>
          </w:tcPr>
          <w:p w14:paraId="68F15E6A" w14:textId="77777777" w:rsidR="00122C1B" w:rsidRDefault="00122C1B" w:rsidP="00EA26C1">
            <w:pPr>
              <w:pStyle w:val="TableParagraph"/>
            </w:pPr>
            <w:r>
              <w:t>The probationary driver licence and motorcycle restrictions apply.</w:t>
            </w:r>
          </w:p>
        </w:tc>
      </w:tr>
      <w:tr w:rsidR="00122C1B" w:rsidRPr="00D87CE0" w14:paraId="70AF3B68" w14:textId="77777777" w:rsidTr="00FB62BD">
        <w:trPr>
          <w:cnfStyle w:val="000000010000" w:firstRow="0" w:lastRow="0" w:firstColumn="0" w:lastColumn="0" w:oddVBand="0" w:evenVBand="0" w:oddHBand="0" w:evenHBand="1" w:firstRowFirstColumn="0" w:firstRowLastColumn="0" w:lastRowFirstColumn="0" w:lastRowLastColumn="0"/>
        </w:trPr>
        <w:tc>
          <w:tcPr>
            <w:tcW w:w="2977" w:type="dxa"/>
            <w:shd w:val="clear" w:color="auto" w:fill="auto"/>
          </w:tcPr>
          <w:p w14:paraId="7549803F" w14:textId="77777777" w:rsidR="00122C1B" w:rsidRDefault="00122C1B" w:rsidP="00EA26C1">
            <w:pPr>
              <w:pStyle w:val="TableParagraph"/>
            </w:pPr>
            <w:r>
              <w:t xml:space="preserve">Applicant held an interstate or overseas motorcycle </w:t>
            </w:r>
            <w:r w:rsidRPr="00FF7C3E">
              <w:t xml:space="preserve">licence for at least three years from </w:t>
            </w:r>
            <w:r w:rsidR="008C4304">
              <w:t>their</w:t>
            </w:r>
            <w:r>
              <w:t xml:space="preserve"> </w:t>
            </w:r>
            <w:r w:rsidRPr="00FF7C3E">
              <w:t>18th birthday</w:t>
            </w:r>
            <w:r>
              <w:t xml:space="preserve"> within the past five years.</w:t>
            </w:r>
          </w:p>
        </w:tc>
        <w:tc>
          <w:tcPr>
            <w:tcW w:w="3969" w:type="dxa"/>
            <w:shd w:val="clear" w:color="auto" w:fill="auto"/>
          </w:tcPr>
          <w:p w14:paraId="1FC9EF38" w14:textId="77777777" w:rsidR="00122C1B" w:rsidRDefault="00122C1B" w:rsidP="00EA26C1">
            <w:pPr>
              <w:pStyle w:val="TableParagraph"/>
            </w:pPr>
            <w:r>
              <w:t>A</w:t>
            </w:r>
            <w:r w:rsidRPr="00FF7C3E">
              <w:t xml:space="preserve"> </w:t>
            </w:r>
            <w:r>
              <w:t xml:space="preserve">Victorian </w:t>
            </w:r>
            <w:r w:rsidRPr="00FF7C3E">
              <w:t>full motorcycle licence</w:t>
            </w:r>
            <w:r>
              <w:t xml:space="preserve"> is issued.</w:t>
            </w:r>
          </w:p>
        </w:tc>
        <w:tc>
          <w:tcPr>
            <w:tcW w:w="2552" w:type="dxa"/>
            <w:shd w:val="clear" w:color="auto" w:fill="auto"/>
          </w:tcPr>
          <w:p w14:paraId="20EAF46A" w14:textId="77777777" w:rsidR="00122C1B" w:rsidRDefault="00122C1B" w:rsidP="00EA26C1">
            <w:pPr>
              <w:pStyle w:val="TableParagraph"/>
            </w:pPr>
            <w:r w:rsidRPr="00FF7C3E">
              <w:t>The novice rider restrictions</w:t>
            </w:r>
            <w:r>
              <w:t xml:space="preserve"> do not apply.</w:t>
            </w:r>
          </w:p>
        </w:tc>
      </w:tr>
      <w:tr w:rsidR="00122C1B" w:rsidRPr="00D87CE0" w14:paraId="696D6F55" w14:textId="77777777" w:rsidTr="00FB62BD">
        <w:tc>
          <w:tcPr>
            <w:tcW w:w="2977" w:type="dxa"/>
            <w:shd w:val="clear" w:color="auto" w:fill="auto"/>
          </w:tcPr>
          <w:p w14:paraId="0D86E7C4" w14:textId="77777777" w:rsidR="00122C1B" w:rsidRDefault="00122C1B" w:rsidP="00F24DD6">
            <w:pPr>
              <w:pStyle w:val="TableParagraph"/>
            </w:pPr>
            <w:r>
              <w:t>Applicant has</w:t>
            </w:r>
            <w:r w:rsidRPr="00F24DD6">
              <w:t xml:space="preserve"> not held </w:t>
            </w:r>
            <w:r>
              <w:t>an</w:t>
            </w:r>
            <w:r w:rsidRPr="00F24DD6">
              <w:t xml:space="preserve"> interstate or overseas motorcycle licence for at least three years from </w:t>
            </w:r>
            <w:r w:rsidR="008C4304">
              <w:t>their</w:t>
            </w:r>
            <w:r>
              <w:t xml:space="preserve"> </w:t>
            </w:r>
            <w:r w:rsidRPr="00F24DD6">
              <w:t>18th birthday and do</w:t>
            </w:r>
            <w:r>
              <w:t>es</w:t>
            </w:r>
            <w:r w:rsidRPr="00F24DD6">
              <w:t xml:space="preserve"> not hold a driver licence</w:t>
            </w:r>
            <w:r>
              <w:t>.</w:t>
            </w:r>
          </w:p>
        </w:tc>
        <w:tc>
          <w:tcPr>
            <w:tcW w:w="3969" w:type="dxa"/>
            <w:shd w:val="clear" w:color="auto" w:fill="auto"/>
          </w:tcPr>
          <w:p w14:paraId="0B75FBBC" w14:textId="77777777" w:rsidR="00122C1B" w:rsidRDefault="00122C1B" w:rsidP="00F24DD6">
            <w:pPr>
              <w:pStyle w:val="TableParagraph"/>
            </w:pPr>
            <w:r>
              <w:t>A</w:t>
            </w:r>
            <w:r w:rsidRPr="00F24DD6">
              <w:t xml:space="preserve"> Victorian motorcycle probationary licence, minus the </w:t>
            </w:r>
            <w:r>
              <w:t>period that</w:t>
            </w:r>
            <w:r w:rsidRPr="00F24DD6">
              <w:t xml:space="preserve"> </w:t>
            </w:r>
            <w:r>
              <w:t>the applicant has</w:t>
            </w:r>
            <w:r w:rsidRPr="00F24DD6">
              <w:t xml:space="preserve"> held their interstate or overseas licence</w:t>
            </w:r>
            <w:r>
              <w:t>.</w:t>
            </w:r>
          </w:p>
        </w:tc>
        <w:tc>
          <w:tcPr>
            <w:tcW w:w="2552" w:type="dxa"/>
            <w:shd w:val="clear" w:color="auto" w:fill="auto"/>
          </w:tcPr>
          <w:p w14:paraId="4847113F" w14:textId="77777777" w:rsidR="00122C1B" w:rsidRPr="00FF7C3E" w:rsidRDefault="00122C1B" w:rsidP="00F24DD6">
            <w:pPr>
              <w:pStyle w:val="TableParagraph"/>
            </w:pPr>
            <w:r>
              <w:t>The probationary and motorcycle restrictions apply.</w:t>
            </w:r>
          </w:p>
        </w:tc>
      </w:tr>
    </w:tbl>
    <w:p w14:paraId="2654FABB" w14:textId="77777777" w:rsidR="00122C1B" w:rsidRDefault="00122C1B" w:rsidP="006713F9">
      <w:pPr>
        <w:pStyle w:val="Heading3"/>
      </w:pPr>
      <w:bookmarkStart w:id="576" w:name="_Toc10703469"/>
      <w:r>
        <w:lastRenderedPageBreak/>
        <w:t>Summary of proposed regulations relevant to motorcycle learner permit and licences</w:t>
      </w:r>
      <w:bookmarkEnd w:id="576"/>
    </w:p>
    <w:p w14:paraId="25238C29" w14:textId="6EC68562" w:rsidR="00122C1B" w:rsidRDefault="00122C1B" w:rsidP="00120FBB">
      <w:pPr>
        <w:pStyle w:val="TextPara"/>
      </w:pPr>
      <w:r w:rsidRPr="009520B4">
        <w:t xml:space="preserve">The proposed Regulations include a range of measures aimed at addressing risk factors for inexperienced motorcycle riders. </w:t>
      </w:r>
      <w:r>
        <w:fldChar w:fldCharType="begin"/>
      </w:r>
      <w:r>
        <w:instrText xml:space="preserve"> REF _Ref534212655 \h </w:instrText>
      </w:r>
      <w:r>
        <w:fldChar w:fldCharType="separate"/>
      </w:r>
      <w:r w:rsidR="00EB4B02">
        <w:t xml:space="preserve">Table </w:t>
      </w:r>
      <w:r>
        <w:fldChar w:fldCharType="end"/>
      </w:r>
      <w:r>
        <w:t xml:space="preserve"> provides a summary of the proposed regulations that give effect to, and supplement the M-GLS components with their corresponding rationale</w:t>
      </w:r>
      <w:r w:rsidRPr="009520B4">
        <w:t>.</w:t>
      </w:r>
    </w:p>
    <w:p w14:paraId="5FC4CB86" w14:textId="20C0BC4F" w:rsidR="00122C1B" w:rsidRDefault="00122C1B" w:rsidP="00120FBB">
      <w:pPr>
        <w:pStyle w:val="Caption"/>
      </w:pPr>
      <w:bookmarkStart w:id="577" w:name="_Ref534212655"/>
      <w:bookmarkStart w:id="578" w:name="_Hlk9435253"/>
      <w:r>
        <w:t xml:space="preserve">Table </w:t>
      </w:r>
      <w:bookmarkEnd w:id="577"/>
      <w:r w:rsidR="001A1B9E">
        <w:t>34</w:t>
      </w:r>
      <w:r w:rsidR="00CC0F4B">
        <w:t xml:space="preserve"> </w:t>
      </w:r>
      <w:r>
        <w:t xml:space="preserve">– </w:t>
      </w:r>
      <w:r w:rsidRPr="009B3E2F">
        <w:t>Summary of t</w:t>
      </w:r>
      <w:r>
        <w:t>he proposed regulations relevant to motorcycle learner permit and licence</w:t>
      </w:r>
    </w:p>
    <w:tbl>
      <w:tblPr>
        <w:tblStyle w:val="RIS-Table2"/>
        <w:tblW w:w="9639" w:type="dxa"/>
        <w:tblLook w:val="04A0" w:firstRow="1" w:lastRow="0" w:firstColumn="1" w:lastColumn="0" w:noHBand="0" w:noVBand="1"/>
      </w:tblPr>
      <w:tblGrid>
        <w:gridCol w:w="543"/>
        <w:gridCol w:w="3001"/>
        <w:gridCol w:w="4678"/>
        <w:gridCol w:w="1417"/>
      </w:tblGrid>
      <w:tr w:rsidR="00122C1B" w14:paraId="15ED770C" w14:textId="77777777" w:rsidTr="0035776C">
        <w:trPr>
          <w:cnfStyle w:val="100000000000" w:firstRow="1" w:lastRow="0" w:firstColumn="0" w:lastColumn="0" w:oddVBand="0" w:evenVBand="0" w:oddHBand="0" w:evenHBand="0" w:firstRowFirstColumn="0" w:firstRowLastColumn="0" w:lastRowFirstColumn="0" w:lastRowLastColumn="0"/>
        </w:trPr>
        <w:tc>
          <w:tcPr>
            <w:tcW w:w="543" w:type="dxa"/>
          </w:tcPr>
          <w:bookmarkEnd w:id="578"/>
          <w:p w14:paraId="1BC0AA39" w14:textId="77777777" w:rsidR="00122C1B" w:rsidRPr="000A191B" w:rsidRDefault="00122C1B" w:rsidP="0035776C">
            <w:pPr>
              <w:pStyle w:val="TableHeaders"/>
            </w:pPr>
            <w:r w:rsidRPr="000A191B">
              <w:t>Reg No.</w:t>
            </w:r>
          </w:p>
        </w:tc>
        <w:tc>
          <w:tcPr>
            <w:tcW w:w="3001" w:type="dxa"/>
          </w:tcPr>
          <w:p w14:paraId="494F1EAE" w14:textId="77777777" w:rsidR="00122C1B" w:rsidRPr="000A191B" w:rsidRDefault="00122C1B" w:rsidP="0035776C">
            <w:pPr>
              <w:pStyle w:val="TableHeaders"/>
            </w:pPr>
            <w:r>
              <w:t>Proposed regulation</w:t>
            </w:r>
          </w:p>
        </w:tc>
        <w:tc>
          <w:tcPr>
            <w:tcW w:w="4678" w:type="dxa"/>
          </w:tcPr>
          <w:p w14:paraId="7B58C81B" w14:textId="77777777" w:rsidR="00122C1B" w:rsidRPr="000A191B" w:rsidRDefault="00122C1B" w:rsidP="0035776C">
            <w:pPr>
              <w:pStyle w:val="TableHeaders"/>
            </w:pPr>
            <w:r>
              <w:t>Rationale for proposed regulation</w:t>
            </w:r>
          </w:p>
        </w:tc>
        <w:tc>
          <w:tcPr>
            <w:tcW w:w="1417" w:type="dxa"/>
          </w:tcPr>
          <w:p w14:paraId="1801BE47" w14:textId="77777777" w:rsidR="00122C1B" w:rsidRDefault="00122C1B" w:rsidP="0035776C">
            <w:pPr>
              <w:pStyle w:val="TableHeaders"/>
            </w:pPr>
            <w:r w:rsidRPr="00064BD2">
              <w:t>Change from current</w:t>
            </w:r>
          </w:p>
        </w:tc>
      </w:tr>
      <w:tr w:rsidR="00122C1B" w:rsidRPr="00875385" w14:paraId="32E59DF7" w14:textId="77777777" w:rsidTr="0035776C">
        <w:tc>
          <w:tcPr>
            <w:tcW w:w="3544" w:type="dxa"/>
            <w:gridSpan w:val="2"/>
            <w:shd w:val="clear" w:color="auto" w:fill="DDE8F4" w:themeFill="text2" w:themeFillTint="1A"/>
          </w:tcPr>
          <w:p w14:paraId="51FCC540" w14:textId="77777777" w:rsidR="00122C1B" w:rsidRPr="00875385" w:rsidRDefault="00122C1B" w:rsidP="00F4115C">
            <w:pPr>
              <w:pStyle w:val="TableParagraph"/>
              <w:keepNext/>
              <w:rPr>
                <w:b/>
              </w:rPr>
            </w:pPr>
            <w:r>
              <w:rPr>
                <w:b/>
              </w:rPr>
              <w:t>Learner Permit</w:t>
            </w:r>
          </w:p>
        </w:tc>
        <w:tc>
          <w:tcPr>
            <w:tcW w:w="4678" w:type="dxa"/>
            <w:shd w:val="clear" w:color="auto" w:fill="DDE8F4" w:themeFill="text2" w:themeFillTint="1A"/>
          </w:tcPr>
          <w:p w14:paraId="6928036F" w14:textId="77777777" w:rsidR="00122C1B" w:rsidRPr="00875385" w:rsidRDefault="00122C1B" w:rsidP="0035776C">
            <w:pPr>
              <w:pStyle w:val="TableParagraph"/>
              <w:rPr>
                <w:b/>
              </w:rPr>
            </w:pPr>
          </w:p>
        </w:tc>
        <w:tc>
          <w:tcPr>
            <w:tcW w:w="1417" w:type="dxa"/>
            <w:shd w:val="clear" w:color="auto" w:fill="DDE8F4" w:themeFill="text2" w:themeFillTint="1A"/>
          </w:tcPr>
          <w:p w14:paraId="3F18BBB3" w14:textId="77777777" w:rsidR="00122C1B" w:rsidRPr="00875385" w:rsidRDefault="00122C1B" w:rsidP="0035776C">
            <w:pPr>
              <w:pStyle w:val="TableParagraph"/>
              <w:rPr>
                <w:b/>
              </w:rPr>
            </w:pPr>
          </w:p>
        </w:tc>
      </w:tr>
      <w:tr w:rsidR="00122C1B" w14:paraId="59387F84" w14:textId="77777777" w:rsidTr="00FB62BD">
        <w:trPr>
          <w:cnfStyle w:val="000000010000" w:firstRow="0" w:lastRow="0" w:firstColumn="0" w:lastColumn="0" w:oddVBand="0" w:evenVBand="0" w:oddHBand="0" w:evenHBand="1" w:firstRowFirstColumn="0" w:firstRowLastColumn="0" w:lastRowFirstColumn="0" w:lastRowLastColumn="0"/>
        </w:trPr>
        <w:tc>
          <w:tcPr>
            <w:tcW w:w="543" w:type="dxa"/>
            <w:shd w:val="clear" w:color="auto" w:fill="auto"/>
          </w:tcPr>
          <w:p w14:paraId="2DE9E1B3" w14:textId="77777777" w:rsidR="00122C1B" w:rsidRPr="00B508D2" w:rsidRDefault="009C3DE3" w:rsidP="0035776C">
            <w:pPr>
              <w:pStyle w:val="TableParagraph"/>
              <w:jc w:val="center"/>
            </w:pPr>
            <w:r>
              <w:t>44</w:t>
            </w:r>
          </w:p>
        </w:tc>
        <w:tc>
          <w:tcPr>
            <w:tcW w:w="3001" w:type="dxa"/>
            <w:shd w:val="clear" w:color="auto" w:fill="auto"/>
          </w:tcPr>
          <w:p w14:paraId="0084691F" w14:textId="77777777" w:rsidR="00122C1B" w:rsidRPr="00B508D2" w:rsidRDefault="00C35A8E" w:rsidP="0035776C">
            <w:pPr>
              <w:pStyle w:val="TableParagraph"/>
            </w:pPr>
            <w:r>
              <w:t>A motorcycle l</w:t>
            </w:r>
            <w:r w:rsidRPr="00B508D2">
              <w:t xml:space="preserve">earner </w:t>
            </w:r>
            <w:r w:rsidR="00122C1B" w:rsidRPr="00B508D2">
              <w:t xml:space="preserve">permit </w:t>
            </w:r>
            <w:r>
              <w:t xml:space="preserve">may be granted </w:t>
            </w:r>
            <w:r w:rsidR="00122C1B" w:rsidRPr="00B508D2">
              <w:t xml:space="preserve">for a period </w:t>
            </w:r>
            <w:r>
              <w:t>of</w:t>
            </w:r>
            <w:r w:rsidR="00122C1B" w:rsidRPr="00B508D2">
              <w:t xml:space="preserve"> 15 months</w:t>
            </w:r>
            <w:r w:rsidR="00122C1B">
              <w:rPr>
                <w:rStyle w:val="EndnoteReference"/>
              </w:rPr>
              <w:endnoteReference w:id="372"/>
            </w:r>
          </w:p>
        </w:tc>
        <w:tc>
          <w:tcPr>
            <w:tcW w:w="4678" w:type="dxa"/>
            <w:shd w:val="clear" w:color="auto" w:fill="auto"/>
          </w:tcPr>
          <w:p w14:paraId="72C17C9C" w14:textId="77777777" w:rsidR="00122C1B" w:rsidRPr="00B508D2" w:rsidRDefault="00122C1B" w:rsidP="0035776C">
            <w:pPr>
              <w:pStyle w:val="TableParagraph"/>
            </w:pPr>
            <w:r w:rsidRPr="00B508D2">
              <w:t xml:space="preserve">Motorcyclists are exposed to significantly higher crash and injury risks when compared </w:t>
            </w:r>
            <w:r>
              <w:t>with</w:t>
            </w:r>
            <w:r w:rsidRPr="00B508D2">
              <w:t xml:space="preserve"> other road users. Based on distance travelled, the chance of death and serious injury is about 20 times greater for motorcyclists.</w:t>
            </w:r>
          </w:p>
          <w:p w14:paraId="03D66F47" w14:textId="77777777" w:rsidR="00122C1B" w:rsidRPr="00B508D2" w:rsidRDefault="00122C1B" w:rsidP="0035776C">
            <w:pPr>
              <w:pStyle w:val="TableParagraph"/>
            </w:pPr>
            <w:r w:rsidRPr="00B508D2">
              <w:t>While the holder of a car learner permit is under constant review by an experienced driver, there is no equivalent continual supervision for learner motorcyclists.</w:t>
            </w:r>
          </w:p>
          <w:p w14:paraId="5477A685" w14:textId="77777777" w:rsidR="00122C1B" w:rsidRPr="00B508D2" w:rsidRDefault="00122C1B" w:rsidP="0035776C">
            <w:pPr>
              <w:pStyle w:val="TableParagraph"/>
            </w:pPr>
            <w:r w:rsidRPr="00B508D2">
              <w:t>The 15-month permit period ensures that learner motorcyclists present for testing within a reasonable time, ensuring that any unsafe riding behaviours are addressed. It also provides an incentive to encourage a learner to gain additional practice in order to prepare for the test, and this experience contributes to their safety.</w:t>
            </w:r>
          </w:p>
        </w:tc>
        <w:tc>
          <w:tcPr>
            <w:tcW w:w="1417" w:type="dxa"/>
            <w:shd w:val="clear" w:color="auto" w:fill="auto"/>
          </w:tcPr>
          <w:p w14:paraId="0D3C3135" w14:textId="77777777" w:rsidR="00122C1B" w:rsidRPr="00B508D2" w:rsidRDefault="00122C1B" w:rsidP="0035776C">
            <w:pPr>
              <w:pStyle w:val="TableParagraph"/>
              <w:jc w:val="center"/>
            </w:pPr>
            <w:r>
              <w:t>No</w:t>
            </w:r>
          </w:p>
        </w:tc>
      </w:tr>
      <w:tr w:rsidR="00122C1B" w14:paraId="3BBCA9E9" w14:textId="77777777" w:rsidTr="00FB62BD">
        <w:tc>
          <w:tcPr>
            <w:tcW w:w="543" w:type="dxa"/>
            <w:shd w:val="clear" w:color="auto" w:fill="auto"/>
          </w:tcPr>
          <w:p w14:paraId="6780CCCF" w14:textId="77777777" w:rsidR="00122C1B" w:rsidRPr="00B508D2" w:rsidRDefault="00C35A8E" w:rsidP="0035776C">
            <w:pPr>
              <w:pStyle w:val="TableParagraph"/>
              <w:jc w:val="center"/>
            </w:pPr>
            <w:r>
              <w:t>46</w:t>
            </w:r>
          </w:p>
        </w:tc>
        <w:tc>
          <w:tcPr>
            <w:tcW w:w="3001" w:type="dxa"/>
            <w:shd w:val="clear" w:color="auto" w:fill="auto"/>
          </w:tcPr>
          <w:p w14:paraId="533E0394" w14:textId="77777777" w:rsidR="00122C1B" w:rsidRPr="00B508D2" w:rsidRDefault="00122C1B" w:rsidP="0035776C">
            <w:pPr>
              <w:pStyle w:val="TableParagraph"/>
            </w:pPr>
            <w:r w:rsidRPr="00B508D2">
              <w:t xml:space="preserve">A </w:t>
            </w:r>
            <w:r>
              <w:t>motorcycle</w:t>
            </w:r>
            <w:r w:rsidRPr="00B508D2">
              <w:t xml:space="preserve"> learner permit may not be renewed</w:t>
            </w:r>
            <w:r>
              <w:rPr>
                <w:rStyle w:val="EndnoteReference"/>
              </w:rPr>
              <w:endnoteReference w:id="373"/>
            </w:r>
          </w:p>
        </w:tc>
        <w:tc>
          <w:tcPr>
            <w:tcW w:w="4678" w:type="dxa"/>
            <w:shd w:val="clear" w:color="auto" w:fill="auto"/>
          </w:tcPr>
          <w:p w14:paraId="0D1C3191" w14:textId="77777777" w:rsidR="00122C1B" w:rsidRPr="00B508D2" w:rsidRDefault="00122C1B" w:rsidP="0035776C">
            <w:pPr>
              <w:pStyle w:val="TableParagraph"/>
            </w:pPr>
            <w:r w:rsidRPr="00B508D2">
              <w:t>Renewal of a learner’s permit would allow a learner motorcyclist to continue to ride without an opportunity for the regulatory body to assess the rider’s competence.</w:t>
            </w:r>
          </w:p>
        </w:tc>
        <w:tc>
          <w:tcPr>
            <w:tcW w:w="1417" w:type="dxa"/>
            <w:shd w:val="clear" w:color="auto" w:fill="auto"/>
          </w:tcPr>
          <w:p w14:paraId="0DA63144" w14:textId="77777777" w:rsidR="00122C1B" w:rsidRPr="00B508D2" w:rsidRDefault="00122C1B" w:rsidP="0035776C">
            <w:pPr>
              <w:pStyle w:val="TableParagraph"/>
              <w:jc w:val="center"/>
            </w:pPr>
            <w:r>
              <w:t>No</w:t>
            </w:r>
          </w:p>
        </w:tc>
      </w:tr>
      <w:tr w:rsidR="00122C1B" w14:paraId="633EE6C1" w14:textId="77777777" w:rsidTr="00FB62BD">
        <w:trPr>
          <w:cnfStyle w:val="000000010000" w:firstRow="0" w:lastRow="0" w:firstColumn="0" w:lastColumn="0" w:oddVBand="0" w:evenVBand="0" w:oddHBand="0" w:evenHBand="1" w:firstRowFirstColumn="0" w:firstRowLastColumn="0" w:lastRowFirstColumn="0" w:lastRowLastColumn="0"/>
        </w:trPr>
        <w:tc>
          <w:tcPr>
            <w:tcW w:w="543" w:type="dxa"/>
            <w:shd w:val="clear" w:color="auto" w:fill="auto"/>
          </w:tcPr>
          <w:p w14:paraId="4FCF2FED" w14:textId="77777777" w:rsidR="00122C1B" w:rsidRPr="00B508D2" w:rsidRDefault="00C35A8E" w:rsidP="0035776C">
            <w:pPr>
              <w:pStyle w:val="TableParagraph"/>
              <w:jc w:val="center"/>
            </w:pPr>
            <w:r>
              <w:t>47</w:t>
            </w:r>
          </w:p>
        </w:tc>
        <w:tc>
          <w:tcPr>
            <w:tcW w:w="3001" w:type="dxa"/>
            <w:shd w:val="clear" w:color="auto" w:fill="auto"/>
          </w:tcPr>
          <w:p w14:paraId="5A6E8098" w14:textId="77777777" w:rsidR="00122C1B" w:rsidRPr="00B508D2" w:rsidRDefault="00122C1B" w:rsidP="0035776C">
            <w:pPr>
              <w:pStyle w:val="TableParagraph"/>
            </w:pPr>
            <w:r w:rsidRPr="00B508D2">
              <w:t>A learner driver must not drive a motor vehicle (other than a tractor) that is towing a trailer</w:t>
            </w:r>
          </w:p>
        </w:tc>
        <w:tc>
          <w:tcPr>
            <w:tcW w:w="4678" w:type="dxa"/>
            <w:shd w:val="clear" w:color="auto" w:fill="auto"/>
          </w:tcPr>
          <w:p w14:paraId="5C483DD4" w14:textId="77777777" w:rsidR="00122C1B" w:rsidRPr="00B508D2" w:rsidRDefault="00122C1B" w:rsidP="0035776C">
            <w:pPr>
              <w:pStyle w:val="TableParagraph"/>
            </w:pPr>
            <w:r w:rsidRPr="00B508D2">
              <w:t>This regulation does not exclude motorcyclists</w:t>
            </w:r>
            <w:r>
              <w:t xml:space="preserve"> as it is possible to tow a trailer with a motorcycle</w:t>
            </w:r>
            <w:r w:rsidRPr="00B508D2">
              <w:t>. While the holder of a car learner permit is under constant review by an experienced driver, there is no equivalent continual supervision for learner motorcyclists.</w:t>
            </w:r>
          </w:p>
          <w:p w14:paraId="5A78DC75" w14:textId="77777777" w:rsidR="00122C1B" w:rsidRPr="00B508D2" w:rsidRDefault="00122C1B" w:rsidP="0035776C">
            <w:pPr>
              <w:pStyle w:val="TableParagraph"/>
            </w:pPr>
            <w:r w:rsidRPr="00B508D2">
              <w:t xml:space="preserve">Managing a towed vehicle requires additional skills which are more appropriately acquired after the learner has mastered </w:t>
            </w:r>
            <w:r>
              <w:t>the basic</w:t>
            </w:r>
            <w:r w:rsidRPr="00B508D2">
              <w:t xml:space="preserve"> motorcycling skills.</w:t>
            </w:r>
          </w:p>
        </w:tc>
        <w:tc>
          <w:tcPr>
            <w:tcW w:w="1417" w:type="dxa"/>
            <w:shd w:val="clear" w:color="auto" w:fill="auto"/>
          </w:tcPr>
          <w:p w14:paraId="69AE6AAA" w14:textId="77777777" w:rsidR="00122C1B" w:rsidRPr="00B508D2" w:rsidRDefault="00122C1B" w:rsidP="0035776C">
            <w:pPr>
              <w:pStyle w:val="TableParagraph"/>
              <w:jc w:val="center"/>
            </w:pPr>
            <w:r>
              <w:t>No</w:t>
            </w:r>
          </w:p>
        </w:tc>
      </w:tr>
      <w:tr w:rsidR="00122C1B" w14:paraId="0A68BD02" w14:textId="77777777" w:rsidTr="00FB62BD">
        <w:tc>
          <w:tcPr>
            <w:tcW w:w="543" w:type="dxa"/>
            <w:shd w:val="clear" w:color="auto" w:fill="auto"/>
          </w:tcPr>
          <w:p w14:paraId="7F2762A2" w14:textId="77777777" w:rsidR="00122C1B" w:rsidRPr="00B508D2" w:rsidRDefault="00C35A8E" w:rsidP="0035776C">
            <w:pPr>
              <w:pStyle w:val="TableParagraph"/>
              <w:jc w:val="center"/>
            </w:pPr>
            <w:r>
              <w:t>48</w:t>
            </w:r>
          </w:p>
        </w:tc>
        <w:tc>
          <w:tcPr>
            <w:tcW w:w="3001" w:type="dxa"/>
            <w:shd w:val="clear" w:color="auto" w:fill="auto"/>
          </w:tcPr>
          <w:p w14:paraId="24FFEFF7" w14:textId="77777777" w:rsidR="00122C1B" w:rsidRPr="00B508D2" w:rsidRDefault="00122C1B" w:rsidP="0035776C">
            <w:pPr>
              <w:pStyle w:val="TableParagraph"/>
            </w:pPr>
            <w:r>
              <w:t xml:space="preserve">Yellow </w:t>
            </w:r>
            <w:r w:rsidRPr="00B508D2">
              <w:t>L plate</w:t>
            </w:r>
            <w:r>
              <w:t xml:space="preserve"> must </w:t>
            </w:r>
            <w:r w:rsidRPr="00B508D2">
              <w:t>be displayed facing to the rear of the vehicle so that the letter “L” is clearly visible from a distance of 20m</w:t>
            </w:r>
            <w:r>
              <w:rPr>
                <w:rStyle w:val="EndnoteReference"/>
              </w:rPr>
              <w:endnoteReference w:id="374"/>
            </w:r>
            <w:r w:rsidRPr="00B508D2">
              <w:t xml:space="preserve"> behind of the vehicle</w:t>
            </w:r>
          </w:p>
        </w:tc>
        <w:tc>
          <w:tcPr>
            <w:tcW w:w="4678" w:type="dxa"/>
            <w:shd w:val="clear" w:color="auto" w:fill="auto"/>
          </w:tcPr>
          <w:p w14:paraId="09A5AE2D" w14:textId="77777777" w:rsidR="00122C1B" w:rsidRPr="00DE64D8" w:rsidRDefault="00122C1B" w:rsidP="0035776C">
            <w:pPr>
              <w:pStyle w:val="TableParagraph"/>
            </w:pPr>
            <w:r>
              <w:t>The display of L plate enables other road users to identify inexperienced riders, be more tolerant and take preventative action to avoid any potential traffic incidents. It also enables the police to identify the status of riders and to enforce the Regulations</w:t>
            </w:r>
            <w:r w:rsidRPr="00DE64D8">
              <w:t xml:space="preserve">, </w:t>
            </w:r>
            <w:r>
              <w:t>such as</w:t>
            </w:r>
            <w:r w:rsidRPr="00DE64D8">
              <w:t xml:space="preserve"> the </w:t>
            </w:r>
            <w:r>
              <w:t>restriction from</w:t>
            </w:r>
            <w:r w:rsidRPr="00DE64D8">
              <w:t xml:space="preserve"> carrying pillion passengers.</w:t>
            </w:r>
          </w:p>
        </w:tc>
        <w:tc>
          <w:tcPr>
            <w:tcW w:w="1417" w:type="dxa"/>
            <w:shd w:val="clear" w:color="auto" w:fill="auto"/>
          </w:tcPr>
          <w:p w14:paraId="3417A6DA" w14:textId="77777777" w:rsidR="00122C1B" w:rsidRPr="00B508D2" w:rsidRDefault="00122C1B" w:rsidP="0035776C">
            <w:pPr>
              <w:pStyle w:val="TableParagraph"/>
              <w:jc w:val="center"/>
            </w:pPr>
            <w:r>
              <w:t>No</w:t>
            </w:r>
          </w:p>
        </w:tc>
      </w:tr>
      <w:tr w:rsidR="00122C1B" w14:paraId="54ABADEB" w14:textId="77777777" w:rsidTr="00FB62BD">
        <w:trPr>
          <w:cnfStyle w:val="000000010000" w:firstRow="0" w:lastRow="0" w:firstColumn="0" w:lastColumn="0" w:oddVBand="0" w:evenVBand="0" w:oddHBand="0" w:evenHBand="1" w:firstRowFirstColumn="0" w:firstRowLastColumn="0" w:lastRowFirstColumn="0" w:lastRowLastColumn="0"/>
        </w:trPr>
        <w:tc>
          <w:tcPr>
            <w:tcW w:w="543" w:type="dxa"/>
            <w:shd w:val="clear" w:color="auto" w:fill="auto"/>
          </w:tcPr>
          <w:p w14:paraId="6F27B7F6" w14:textId="77777777" w:rsidR="00122C1B" w:rsidRPr="00B508D2" w:rsidRDefault="00C35A8E" w:rsidP="0035776C">
            <w:pPr>
              <w:pStyle w:val="TableParagraph"/>
              <w:jc w:val="center"/>
            </w:pPr>
            <w:r>
              <w:t>57</w:t>
            </w:r>
          </w:p>
        </w:tc>
        <w:tc>
          <w:tcPr>
            <w:tcW w:w="3001" w:type="dxa"/>
            <w:shd w:val="clear" w:color="auto" w:fill="auto"/>
          </w:tcPr>
          <w:p w14:paraId="61C94815" w14:textId="77777777" w:rsidR="00122C1B" w:rsidRPr="00B508D2" w:rsidRDefault="00122C1B" w:rsidP="0035776C">
            <w:pPr>
              <w:pStyle w:val="TableParagraph"/>
            </w:pPr>
            <w:r w:rsidRPr="00B508D2">
              <w:t xml:space="preserve">A person who holds a </w:t>
            </w:r>
            <w:r>
              <w:t>motorcycle</w:t>
            </w:r>
            <w:r w:rsidRPr="00B508D2">
              <w:t xml:space="preserve"> learner permit must not drive a </w:t>
            </w:r>
            <w:r w:rsidR="00C35A8E">
              <w:t>motorcycle</w:t>
            </w:r>
            <w:r w:rsidR="00C35A8E" w:rsidRPr="00B508D2">
              <w:t xml:space="preserve"> </w:t>
            </w:r>
            <w:r w:rsidRPr="00B508D2">
              <w:t>other than a learner approved motorcycle</w:t>
            </w:r>
          </w:p>
        </w:tc>
        <w:tc>
          <w:tcPr>
            <w:tcW w:w="4678" w:type="dxa"/>
            <w:shd w:val="clear" w:color="auto" w:fill="auto"/>
          </w:tcPr>
          <w:p w14:paraId="01DF473E" w14:textId="77777777" w:rsidR="00122C1B" w:rsidRPr="00B508D2" w:rsidRDefault="00122C1B" w:rsidP="0035776C">
            <w:pPr>
              <w:pStyle w:val="TableParagraph"/>
            </w:pPr>
            <w:r w:rsidRPr="00B508D2">
              <w:t xml:space="preserve">The Learner Approved Motorcycle Scheme is intended to ensure that the </w:t>
            </w:r>
            <w:r>
              <w:t xml:space="preserve">rider’s </w:t>
            </w:r>
            <w:r w:rsidRPr="00B508D2">
              <w:t xml:space="preserve">skill level is commensurate with the capabilities of the motorcycle. The </w:t>
            </w:r>
            <w:r>
              <w:t>LAMS</w:t>
            </w:r>
            <w:r w:rsidRPr="00B508D2">
              <w:t xml:space="preserve"> </w:t>
            </w:r>
            <w:r>
              <w:t>restricts</w:t>
            </w:r>
            <w:r w:rsidRPr="00B508D2">
              <w:t xml:space="preserve"> learner and novice riders to a </w:t>
            </w:r>
            <w:r>
              <w:t>limited</w:t>
            </w:r>
            <w:r w:rsidRPr="00B508D2">
              <w:t xml:space="preserve"> range of lower-powered motorcycles.</w:t>
            </w:r>
          </w:p>
          <w:p w14:paraId="6DBCC16E" w14:textId="77777777" w:rsidR="00122C1B" w:rsidRPr="00B508D2" w:rsidRDefault="00122C1B" w:rsidP="0035776C">
            <w:pPr>
              <w:pStyle w:val="TableParagraph"/>
            </w:pPr>
            <w:r w:rsidRPr="00B508D2">
              <w:t xml:space="preserve">While it is difficult to assess the safety effects of engine power restrictions on motorcyclists’ safety, evidence suggests that young drivers of high performance cars took more risks (such as deliberate speeding). These </w:t>
            </w:r>
            <w:r w:rsidRPr="00B508D2">
              <w:lastRenderedPageBreak/>
              <w:t>findings reinforce the need to limit the use of high-powered vehicles by novice riders.</w:t>
            </w:r>
          </w:p>
        </w:tc>
        <w:tc>
          <w:tcPr>
            <w:tcW w:w="1417" w:type="dxa"/>
            <w:shd w:val="clear" w:color="auto" w:fill="auto"/>
          </w:tcPr>
          <w:p w14:paraId="7D5583BC" w14:textId="77777777" w:rsidR="00122C1B" w:rsidRPr="00B508D2" w:rsidRDefault="00122C1B" w:rsidP="0035776C">
            <w:pPr>
              <w:pStyle w:val="TableParagraph"/>
              <w:jc w:val="center"/>
            </w:pPr>
            <w:r>
              <w:lastRenderedPageBreak/>
              <w:t>No</w:t>
            </w:r>
          </w:p>
        </w:tc>
      </w:tr>
      <w:tr w:rsidR="00122C1B" w14:paraId="588A64B0" w14:textId="77777777" w:rsidTr="00FB62BD">
        <w:tc>
          <w:tcPr>
            <w:tcW w:w="543" w:type="dxa"/>
            <w:shd w:val="clear" w:color="auto" w:fill="auto"/>
          </w:tcPr>
          <w:p w14:paraId="593BFC7E" w14:textId="77777777" w:rsidR="00122C1B" w:rsidRPr="00B508D2" w:rsidRDefault="00BC546C" w:rsidP="0035776C">
            <w:pPr>
              <w:pStyle w:val="TableParagraph"/>
              <w:jc w:val="center"/>
            </w:pPr>
            <w:r>
              <w:t>57</w:t>
            </w:r>
          </w:p>
        </w:tc>
        <w:tc>
          <w:tcPr>
            <w:tcW w:w="3001" w:type="dxa"/>
            <w:shd w:val="clear" w:color="auto" w:fill="auto"/>
          </w:tcPr>
          <w:p w14:paraId="6D524BBB" w14:textId="77777777" w:rsidR="00122C1B" w:rsidRPr="00B508D2" w:rsidRDefault="00122C1B" w:rsidP="0035776C">
            <w:pPr>
              <w:pStyle w:val="TableParagraph"/>
            </w:pPr>
            <w:r w:rsidRPr="00B508D2">
              <w:t xml:space="preserve">A person who holds a </w:t>
            </w:r>
            <w:r>
              <w:t>motorcycle</w:t>
            </w:r>
            <w:r w:rsidRPr="00B508D2">
              <w:t xml:space="preserve"> learner permit must not carry a pillion passenger</w:t>
            </w:r>
          </w:p>
        </w:tc>
        <w:tc>
          <w:tcPr>
            <w:tcW w:w="4678" w:type="dxa"/>
            <w:shd w:val="clear" w:color="auto" w:fill="auto"/>
          </w:tcPr>
          <w:p w14:paraId="09303C99" w14:textId="77777777" w:rsidR="00122C1B" w:rsidRPr="00B508D2" w:rsidRDefault="00122C1B" w:rsidP="0035776C">
            <w:pPr>
              <w:pStyle w:val="TableParagraph"/>
            </w:pPr>
            <w:r w:rsidRPr="00B508D2">
              <w:t>The risk of injury to the rider is greater when a pillion passenger is carried</w:t>
            </w:r>
            <w:r>
              <w:t>.</w:t>
            </w:r>
            <w:r w:rsidRPr="00B508D2">
              <w:rPr>
                <w:rStyle w:val="EndnoteReference"/>
              </w:rPr>
              <w:endnoteReference w:id="375"/>
            </w:r>
            <w:r w:rsidRPr="00B508D2">
              <w:t xml:space="preserve"> </w:t>
            </w:r>
            <w:r>
              <w:t>The presence of pillion passengers could possibly contribute to either causing a crash (e.g. by behaving inappropriately or simply by producing a higher centre of gravity) or increasing crash severity (because they are another person who may be killed or injured).</w:t>
            </w:r>
            <w:r w:rsidRPr="00B508D2">
              <w:rPr>
                <w:rStyle w:val="EndnoteReference"/>
              </w:rPr>
              <w:endnoteReference w:id="376"/>
            </w:r>
            <w:r>
              <w:t xml:space="preserve"> </w:t>
            </w:r>
          </w:p>
        </w:tc>
        <w:tc>
          <w:tcPr>
            <w:tcW w:w="1417" w:type="dxa"/>
            <w:shd w:val="clear" w:color="auto" w:fill="auto"/>
          </w:tcPr>
          <w:p w14:paraId="1A917035" w14:textId="77777777" w:rsidR="00122C1B" w:rsidRPr="00B508D2" w:rsidRDefault="00122C1B" w:rsidP="0035776C">
            <w:pPr>
              <w:pStyle w:val="TableParagraph"/>
              <w:jc w:val="center"/>
            </w:pPr>
            <w:r>
              <w:t>No</w:t>
            </w:r>
          </w:p>
        </w:tc>
      </w:tr>
      <w:tr w:rsidR="00122C1B" w14:paraId="3AD56533" w14:textId="77777777" w:rsidTr="00FB62BD">
        <w:trPr>
          <w:cnfStyle w:val="000000010000" w:firstRow="0" w:lastRow="0" w:firstColumn="0" w:lastColumn="0" w:oddVBand="0" w:evenVBand="0" w:oddHBand="0" w:evenHBand="1" w:firstRowFirstColumn="0" w:firstRowLastColumn="0" w:lastRowFirstColumn="0" w:lastRowLastColumn="0"/>
        </w:trPr>
        <w:tc>
          <w:tcPr>
            <w:tcW w:w="543" w:type="dxa"/>
            <w:shd w:val="clear" w:color="auto" w:fill="auto"/>
          </w:tcPr>
          <w:p w14:paraId="5045A00F" w14:textId="77777777" w:rsidR="00122C1B" w:rsidRPr="00B508D2" w:rsidRDefault="00BC546C" w:rsidP="0035776C">
            <w:pPr>
              <w:pStyle w:val="TableParagraph"/>
              <w:jc w:val="center"/>
            </w:pPr>
            <w:r>
              <w:t>57</w:t>
            </w:r>
          </w:p>
        </w:tc>
        <w:tc>
          <w:tcPr>
            <w:tcW w:w="3001" w:type="dxa"/>
            <w:shd w:val="clear" w:color="auto" w:fill="auto"/>
          </w:tcPr>
          <w:p w14:paraId="1A1A3D69" w14:textId="77777777" w:rsidR="00122C1B" w:rsidRPr="00B508D2" w:rsidRDefault="00122C1B" w:rsidP="0035776C">
            <w:pPr>
              <w:pStyle w:val="TableParagraph"/>
            </w:pPr>
            <w:r w:rsidRPr="00B508D2">
              <w:t xml:space="preserve">A person who holds a </w:t>
            </w:r>
            <w:r w:rsidR="00BC546C">
              <w:t xml:space="preserve">motorcycle </w:t>
            </w:r>
            <w:r w:rsidRPr="00B508D2">
              <w:t xml:space="preserve">learner permit must have the </w:t>
            </w:r>
            <w:r>
              <w:t>motorcycle</w:t>
            </w:r>
            <w:r w:rsidRPr="00B508D2">
              <w:t xml:space="preserve"> headlights on at all times</w:t>
            </w:r>
          </w:p>
        </w:tc>
        <w:tc>
          <w:tcPr>
            <w:tcW w:w="4678" w:type="dxa"/>
            <w:shd w:val="clear" w:color="auto" w:fill="auto"/>
          </w:tcPr>
          <w:p w14:paraId="7BB2B670" w14:textId="77777777" w:rsidR="00122C1B" w:rsidRPr="00B508D2" w:rsidRDefault="00122C1B" w:rsidP="0035776C">
            <w:pPr>
              <w:pStyle w:val="TableParagraph"/>
            </w:pPr>
            <w:r w:rsidRPr="00B508D2">
              <w:t xml:space="preserve">Low motorcycle conspicuity, or the inability of </w:t>
            </w:r>
            <w:r w:rsidR="00A16AD6" w:rsidRPr="00B508D2">
              <w:t xml:space="preserve">other road users </w:t>
            </w:r>
            <w:r w:rsidR="00A16AD6">
              <w:t xml:space="preserve">to see </w:t>
            </w:r>
            <w:r w:rsidRPr="00B508D2">
              <w:t>motorcyclist</w:t>
            </w:r>
            <w:r w:rsidR="00286325">
              <w:t>s</w:t>
            </w:r>
            <w:r w:rsidRPr="00B508D2">
              <w:t xml:space="preserve">, is </w:t>
            </w:r>
            <w:r>
              <w:t>considered</w:t>
            </w:r>
            <w:r w:rsidRPr="00B508D2">
              <w:t xml:space="preserve"> to be an important factor associated with risk of motorcycle crashes.</w:t>
            </w:r>
            <w:r w:rsidRPr="00B508D2">
              <w:rPr>
                <w:rStyle w:val="EndnoteReference"/>
              </w:rPr>
              <w:endnoteReference w:id="377"/>
            </w:r>
            <w:r w:rsidRPr="00B508D2">
              <w:t xml:space="preserve"> Increasing the use of daytime headlights is a simple</w:t>
            </w:r>
            <w:r>
              <w:t xml:space="preserve"> and</w:t>
            </w:r>
            <w:r w:rsidRPr="00B508D2">
              <w:t xml:space="preserve"> cheap intervention that could considerably reduce motorcycle crash related injury and death.</w:t>
            </w:r>
            <w:r w:rsidRPr="00B508D2">
              <w:rPr>
                <w:rStyle w:val="EndnoteReference"/>
              </w:rPr>
              <w:endnoteReference w:id="378"/>
            </w:r>
            <w:r>
              <w:t xml:space="preserve"> One study involving a meta-analysis of 16 studies on the effect of daylight running lights for motorcycles found that it reduces the number of injury crashes by 5-10%.</w:t>
            </w:r>
            <w:r>
              <w:rPr>
                <w:rStyle w:val="EndnoteReference"/>
              </w:rPr>
              <w:endnoteReference w:id="379"/>
            </w:r>
          </w:p>
        </w:tc>
        <w:tc>
          <w:tcPr>
            <w:tcW w:w="1417" w:type="dxa"/>
            <w:shd w:val="clear" w:color="auto" w:fill="auto"/>
          </w:tcPr>
          <w:p w14:paraId="120DE9F7" w14:textId="77777777" w:rsidR="00122C1B" w:rsidRPr="00B508D2" w:rsidRDefault="00122C1B" w:rsidP="0035776C">
            <w:pPr>
              <w:pStyle w:val="TableParagraph"/>
              <w:jc w:val="center"/>
            </w:pPr>
            <w:r>
              <w:t>No</w:t>
            </w:r>
          </w:p>
        </w:tc>
      </w:tr>
      <w:tr w:rsidR="00122C1B" w14:paraId="4BBE2787" w14:textId="77777777" w:rsidTr="00FB62BD">
        <w:tc>
          <w:tcPr>
            <w:tcW w:w="543" w:type="dxa"/>
            <w:shd w:val="clear" w:color="auto" w:fill="auto"/>
          </w:tcPr>
          <w:p w14:paraId="27981F69" w14:textId="77777777" w:rsidR="00122C1B" w:rsidRPr="00B508D2" w:rsidRDefault="00BC546C" w:rsidP="0035776C">
            <w:pPr>
              <w:pStyle w:val="TableParagraph"/>
              <w:jc w:val="center"/>
            </w:pPr>
            <w:r>
              <w:t>57</w:t>
            </w:r>
          </w:p>
        </w:tc>
        <w:tc>
          <w:tcPr>
            <w:tcW w:w="3001" w:type="dxa"/>
            <w:shd w:val="clear" w:color="auto" w:fill="auto"/>
          </w:tcPr>
          <w:p w14:paraId="11F9B65F" w14:textId="77777777" w:rsidR="00122C1B" w:rsidRPr="00B508D2" w:rsidRDefault="00122C1B" w:rsidP="0035776C">
            <w:pPr>
              <w:pStyle w:val="TableParagraph"/>
            </w:pPr>
            <w:r w:rsidRPr="00B508D2">
              <w:t xml:space="preserve">A person who holds a </w:t>
            </w:r>
            <w:r>
              <w:t>motorcycle</w:t>
            </w:r>
            <w:r w:rsidRPr="00B508D2">
              <w:t xml:space="preserve"> learner permit must wear an approved high visibility vest or jacket that is visible and is securely fitted and fastened </w:t>
            </w:r>
          </w:p>
        </w:tc>
        <w:tc>
          <w:tcPr>
            <w:tcW w:w="4678" w:type="dxa"/>
            <w:shd w:val="clear" w:color="auto" w:fill="auto"/>
          </w:tcPr>
          <w:p w14:paraId="33D608F8" w14:textId="77777777" w:rsidR="005F2C83" w:rsidRDefault="005F2C83" w:rsidP="0035776C">
            <w:pPr>
              <w:pStyle w:val="TableParagraph"/>
            </w:pPr>
            <w:r w:rsidRPr="005F2C83">
              <w:t xml:space="preserve">High visibility clothing has been found to improve outcomes in low ambient light, glare and poor weather as well as multi-vehicle crashes generally. </w:t>
            </w:r>
          </w:p>
          <w:p w14:paraId="3522DD3F" w14:textId="77777777" w:rsidR="009E2B66" w:rsidRDefault="00122C1B" w:rsidP="0035776C">
            <w:pPr>
              <w:pStyle w:val="TableParagraph"/>
            </w:pPr>
            <w:r w:rsidRPr="00B508D2">
              <w:t xml:space="preserve">Low motorcycle conspicuity, or the inability of </w:t>
            </w:r>
            <w:r w:rsidR="00286325" w:rsidRPr="00B508D2">
              <w:t xml:space="preserve">other road users </w:t>
            </w:r>
            <w:r w:rsidR="00286325">
              <w:t xml:space="preserve">to see </w:t>
            </w:r>
            <w:r w:rsidRPr="00B508D2">
              <w:t>motorcyclist</w:t>
            </w:r>
            <w:r w:rsidR="00286325">
              <w:t>s</w:t>
            </w:r>
            <w:r w:rsidRPr="00B508D2">
              <w:t xml:space="preserve">, is </w:t>
            </w:r>
            <w:r>
              <w:t>considered</w:t>
            </w:r>
            <w:r w:rsidRPr="00B508D2">
              <w:t xml:space="preserve"> an important factor associated with risk of motorcycle crashes.</w:t>
            </w:r>
            <w:r w:rsidR="00FF177D">
              <w:rPr>
                <w:rStyle w:val="EndnoteReference"/>
              </w:rPr>
              <w:endnoteReference w:id="380"/>
            </w:r>
            <w:r w:rsidRPr="00B508D2">
              <w:t xml:space="preserve"> Studies, particularly in the US, have shown that wearing high-visibility vests reduces injury rates and provides an overall safety benefit to novice motorcyclists. </w:t>
            </w:r>
            <w:r w:rsidR="009E2B66">
              <w:t xml:space="preserve">One study found </w:t>
            </w:r>
            <w:r w:rsidR="009E2B66" w:rsidRPr="005F2C83">
              <w:t>that riders wearing any reflective or fluorescent clothing had a 37% lower crash risk than other riders.</w:t>
            </w:r>
            <w:r w:rsidR="009E2B66">
              <w:rPr>
                <w:rStyle w:val="EndnoteReference"/>
              </w:rPr>
              <w:endnoteReference w:id="381"/>
            </w:r>
            <w:r w:rsidR="009E2B66">
              <w:t xml:space="preserve"> </w:t>
            </w:r>
          </w:p>
          <w:p w14:paraId="158E9AD9" w14:textId="77777777" w:rsidR="005F2C83" w:rsidRPr="00B508D2" w:rsidRDefault="00122C1B" w:rsidP="0035776C">
            <w:pPr>
              <w:pStyle w:val="TableParagraph"/>
            </w:pPr>
            <w:r w:rsidRPr="00B508D2">
              <w:t>Increasing the use of reflective or fluorescent clothing is a simple</w:t>
            </w:r>
            <w:r>
              <w:t xml:space="preserve"> and</w:t>
            </w:r>
            <w:r w:rsidRPr="00B508D2">
              <w:t xml:space="preserve"> cheap intervention that could considerably reduce motorcycle crash related injury and death</w:t>
            </w:r>
            <w:r w:rsidR="00FF177D">
              <w:t>.</w:t>
            </w:r>
            <w:r w:rsidR="00FF177D">
              <w:rPr>
                <w:rStyle w:val="EndnoteReference"/>
              </w:rPr>
              <w:endnoteReference w:id="382"/>
            </w:r>
          </w:p>
        </w:tc>
        <w:tc>
          <w:tcPr>
            <w:tcW w:w="1417" w:type="dxa"/>
            <w:shd w:val="clear" w:color="auto" w:fill="auto"/>
          </w:tcPr>
          <w:p w14:paraId="1AD72BF5" w14:textId="77777777" w:rsidR="00122C1B" w:rsidRPr="00B508D2" w:rsidRDefault="00122C1B" w:rsidP="0035776C">
            <w:pPr>
              <w:pStyle w:val="TableParagraph"/>
              <w:jc w:val="center"/>
            </w:pPr>
            <w:r>
              <w:t>No</w:t>
            </w:r>
          </w:p>
        </w:tc>
      </w:tr>
      <w:tr w:rsidR="00122C1B" w14:paraId="2009DD5C" w14:textId="77777777" w:rsidTr="00FB62BD">
        <w:trPr>
          <w:cnfStyle w:val="000000010000" w:firstRow="0" w:lastRow="0" w:firstColumn="0" w:lastColumn="0" w:oddVBand="0" w:evenVBand="0" w:oddHBand="0" w:evenHBand="1" w:firstRowFirstColumn="0" w:firstRowLastColumn="0" w:lastRowFirstColumn="0" w:lastRowLastColumn="0"/>
        </w:trPr>
        <w:tc>
          <w:tcPr>
            <w:tcW w:w="543" w:type="dxa"/>
            <w:shd w:val="clear" w:color="auto" w:fill="auto"/>
          </w:tcPr>
          <w:p w14:paraId="58FF317F" w14:textId="77777777" w:rsidR="00122C1B" w:rsidRPr="00B508D2" w:rsidRDefault="00122C1B" w:rsidP="0035776C">
            <w:pPr>
              <w:pStyle w:val="TableParagraph"/>
              <w:jc w:val="center"/>
            </w:pPr>
            <w:r w:rsidRPr="00B508D2">
              <w:t>53</w:t>
            </w:r>
          </w:p>
        </w:tc>
        <w:tc>
          <w:tcPr>
            <w:tcW w:w="3001" w:type="dxa"/>
            <w:shd w:val="clear" w:color="auto" w:fill="auto"/>
          </w:tcPr>
          <w:p w14:paraId="511AAB9A" w14:textId="77777777" w:rsidR="00122C1B" w:rsidRPr="00B508D2" w:rsidRDefault="00122C1B" w:rsidP="0035776C">
            <w:pPr>
              <w:pStyle w:val="TableParagraph"/>
            </w:pPr>
            <w:r w:rsidRPr="00B508D2">
              <w:t>Probationary drivers must display red P or green P plates</w:t>
            </w:r>
            <w:r>
              <w:t xml:space="preserve"> </w:t>
            </w:r>
            <w:r w:rsidRPr="00B508D2">
              <w:t>so that the letter “</w:t>
            </w:r>
            <w:r>
              <w:t>P</w:t>
            </w:r>
            <w:r w:rsidRPr="00B508D2">
              <w:t>” is clearly visible from a distance of 20m</w:t>
            </w:r>
            <w:r w:rsidR="00471DE4">
              <w:rPr>
                <w:rStyle w:val="EndnoteReference"/>
              </w:rPr>
              <w:endnoteReference w:id="383"/>
            </w:r>
            <w:r w:rsidR="00471DE4">
              <w:t xml:space="preserve"> </w:t>
            </w:r>
            <w:r w:rsidRPr="00B508D2">
              <w:t>behind of the vehicle. The red P indicates a P1 driver and the green P indicates a P2 driver</w:t>
            </w:r>
          </w:p>
        </w:tc>
        <w:tc>
          <w:tcPr>
            <w:tcW w:w="4678" w:type="dxa"/>
            <w:shd w:val="clear" w:color="auto" w:fill="auto"/>
          </w:tcPr>
          <w:p w14:paraId="07362451" w14:textId="77777777" w:rsidR="00122C1B" w:rsidRPr="00B508D2" w:rsidRDefault="00122C1B" w:rsidP="0035776C">
            <w:pPr>
              <w:pStyle w:val="TableParagraph"/>
            </w:pPr>
            <w:r>
              <w:t>The d</w:t>
            </w:r>
            <w:r w:rsidRPr="00B508D2">
              <w:t xml:space="preserve">isplay of </w:t>
            </w:r>
            <w:r>
              <w:t xml:space="preserve">P </w:t>
            </w:r>
            <w:r w:rsidRPr="00B508D2">
              <w:t>plates enables all road users to identify inexperienced drivers, be more tolerant and take preventative action to avoid any potential traffic incidents. The display of plates enables the police to identify the status of drivers and to enforce the Regulations.</w:t>
            </w:r>
          </w:p>
        </w:tc>
        <w:tc>
          <w:tcPr>
            <w:tcW w:w="1417" w:type="dxa"/>
            <w:shd w:val="clear" w:color="auto" w:fill="auto"/>
          </w:tcPr>
          <w:p w14:paraId="431BE415" w14:textId="77777777" w:rsidR="00122C1B" w:rsidRPr="00B508D2" w:rsidRDefault="00122C1B" w:rsidP="0035776C">
            <w:pPr>
              <w:pStyle w:val="TableParagraph"/>
              <w:jc w:val="center"/>
            </w:pPr>
            <w:r>
              <w:t>No</w:t>
            </w:r>
          </w:p>
        </w:tc>
      </w:tr>
      <w:tr w:rsidR="00122C1B" w:rsidRPr="00875385" w14:paraId="125E4861" w14:textId="77777777" w:rsidTr="0035776C">
        <w:tc>
          <w:tcPr>
            <w:tcW w:w="3544" w:type="dxa"/>
            <w:gridSpan w:val="2"/>
            <w:shd w:val="clear" w:color="auto" w:fill="DDE8F4" w:themeFill="text2" w:themeFillTint="1A"/>
          </w:tcPr>
          <w:p w14:paraId="357DE332" w14:textId="77777777" w:rsidR="00122C1B" w:rsidRPr="00B508D2" w:rsidRDefault="00122C1B" w:rsidP="0035776C">
            <w:pPr>
              <w:pStyle w:val="TableParagraph"/>
              <w:keepNext/>
              <w:rPr>
                <w:b/>
              </w:rPr>
            </w:pPr>
            <w:r w:rsidRPr="00B508D2">
              <w:rPr>
                <w:b/>
              </w:rPr>
              <w:t>Restricted Motorcycle Licence</w:t>
            </w:r>
          </w:p>
        </w:tc>
        <w:tc>
          <w:tcPr>
            <w:tcW w:w="4678" w:type="dxa"/>
            <w:shd w:val="clear" w:color="auto" w:fill="DDE8F4" w:themeFill="text2" w:themeFillTint="1A"/>
          </w:tcPr>
          <w:p w14:paraId="3981C7A9" w14:textId="77777777" w:rsidR="00122C1B" w:rsidRPr="00B508D2" w:rsidRDefault="00122C1B" w:rsidP="0035776C">
            <w:pPr>
              <w:pStyle w:val="TableParagraph"/>
              <w:rPr>
                <w:b/>
              </w:rPr>
            </w:pPr>
          </w:p>
        </w:tc>
        <w:tc>
          <w:tcPr>
            <w:tcW w:w="1417" w:type="dxa"/>
            <w:shd w:val="clear" w:color="auto" w:fill="DDE8F4" w:themeFill="text2" w:themeFillTint="1A"/>
          </w:tcPr>
          <w:p w14:paraId="42D577B6" w14:textId="77777777" w:rsidR="00122C1B" w:rsidRPr="00B508D2" w:rsidRDefault="00122C1B" w:rsidP="0035776C">
            <w:pPr>
              <w:pStyle w:val="TableParagraph"/>
              <w:rPr>
                <w:b/>
              </w:rPr>
            </w:pPr>
          </w:p>
        </w:tc>
      </w:tr>
      <w:tr w:rsidR="00122C1B" w14:paraId="24DBE66E" w14:textId="77777777" w:rsidTr="00FB62BD">
        <w:trPr>
          <w:cnfStyle w:val="000000010000" w:firstRow="0" w:lastRow="0" w:firstColumn="0" w:lastColumn="0" w:oddVBand="0" w:evenVBand="0" w:oddHBand="0" w:evenHBand="1" w:firstRowFirstColumn="0" w:firstRowLastColumn="0" w:lastRowFirstColumn="0" w:lastRowLastColumn="0"/>
        </w:trPr>
        <w:tc>
          <w:tcPr>
            <w:tcW w:w="543" w:type="dxa"/>
            <w:shd w:val="clear" w:color="auto" w:fill="auto"/>
          </w:tcPr>
          <w:p w14:paraId="460B5AC0" w14:textId="77777777" w:rsidR="00122C1B" w:rsidRPr="00B508D2" w:rsidRDefault="00BC546C" w:rsidP="0035776C">
            <w:pPr>
              <w:pStyle w:val="TableParagraph"/>
              <w:jc w:val="center"/>
            </w:pPr>
            <w:r>
              <w:t>57</w:t>
            </w:r>
          </w:p>
        </w:tc>
        <w:tc>
          <w:tcPr>
            <w:tcW w:w="3001" w:type="dxa"/>
            <w:shd w:val="clear" w:color="auto" w:fill="auto"/>
          </w:tcPr>
          <w:p w14:paraId="3CA5435A" w14:textId="77777777" w:rsidR="00122C1B" w:rsidRDefault="00BC546C" w:rsidP="0035776C">
            <w:pPr>
              <w:pStyle w:val="TableParagraph"/>
            </w:pPr>
            <w:r>
              <w:t>A</w:t>
            </w:r>
            <w:r w:rsidR="00122C1B" w:rsidRPr="00B508D2">
              <w:t xml:space="preserve"> person who holds a </w:t>
            </w:r>
            <w:r w:rsidR="00122C1B">
              <w:t>motorcycle</w:t>
            </w:r>
            <w:r w:rsidR="00122C1B" w:rsidRPr="00B508D2">
              <w:t xml:space="preserve"> licence for less than 3 years must </w:t>
            </w:r>
            <w:r w:rsidR="00122C1B">
              <w:t>–</w:t>
            </w:r>
          </w:p>
          <w:p w14:paraId="2B15B81A" w14:textId="77777777" w:rsidR="00122C1B" w:rsidRDefault="00122C1B" w:rsidP="0035776C">
            <w:pPr>
              <w:pStyle w:val="TableList1"/>
            </w:pPr>
            <w:r w:rsidRPr="00B508D2">
              <w:t xml:space="preserve">not drive a </w:t>
            </w:r>
            <w:r>
              <w:t>motorcycle</w:t>
            </w:r>
            <w:r w:rsidRPr="00B508D2">
              <w:t xml:space="preserve"> other tha</w:t>
            </w:r>
            <w:r w:rsidR="00BC546C">
              <w:t>n a learner approved motorcycle</w:t>
            </w:r>
          </w:p>
          <w:p w14:paraId="7B448034" w14:textId="77777777" w:rsidR="00122C1B" w:rsidRDefault="00122C1B" w:rsidP="0035776C">
            <w:pPr>
              <w:pStyle w:val="TableList1"/>
            </w:pPr>
            <w:r w:rsidRPr="00B508D2">
              <w:t>not carry a pillion passenger</w:t>
            </w:r>
          </w:p>
          <w:p w14:paraId="0DF74507" w14:textId="77777777" w:rsidR="00122C1B" w:rsidRPr="00B508D2" w:rsidRDefault="00122C1B" w:rsidP="0035776C">
            <w:pPr>
              <w:pStyle w:val="TableList1"/>
            </w:pPr>
            <w:r w:rsidRPr="00B508D2">
              <w:t xml:space="preserve">have the </w:t>
            </w:r>
            <w:r>
              <w:t>motorcycle</w:t>
            </w:r>
            <w:r w:rsidRPr="00B508D2">
              <w:t xml:space="preserve"> headlights on at all times</w:t>
            </w:r>
          </w:p>
        </w:tc>
        <w:tc>
          <w:tcPr>
            <w:tcW w:w="4678" w:type="dxa"/>
            <w:shd w:val="clear" w:color="auto" w:fill="auto"/>
          </w:tcPr>
          <w:p w14:paraId="621FD404" w14:textId="77777777" w:rsidR="00122C1B" w:rsidRPr="00B508D2" w:rsidRDefault="00122C1B" w:rsidP="0035776C">
            <w:pPr>
              <w:pStyle w:val="TableParagraph"/>
            </w:pPr>
            <w:r w:rsidRPr="00B508D2">
              <w:t>The requirement to hold a restricted licence for a minimum period is designed to enable practice and experience to be gained under lower-risk conditions (</w:t>
            </w:r>
            <w:r>
              <w:t>i.e. by complying with the restrictions</w:t>
            </w:r>
            <w:r w:rsidRPr="00B508D2">
              <w:t>).</w:t>
            </w:r>
          </w:p>
        </w:tc>
        <w:tc>
          <w:tcPr>
            <w:tcW w:w="1417" w:type="dxa"/>
            <w:shd w:val="clear" w:color="auto" w:fill="auto"/>
          </w:tcPr>
          <w:p w14:paraId="7A157950" w14:textId="77777777" w:rsidR="00122C1B" w:rsidRPr="00B508D2" w:rsidRDefault="00122C1B" w:rsidP="0035776C">
            <w:pPr>
              <w:pStyle w:val="TableParagraph"/>
              <w:jc w:val="center"/>
            </w:pPr>
            <w:r>
              <w:t>No</w:t>
            </w:r>
          </w:p>
        </w:tc>
      </w:tr>
      <w:tr w:rsidR="00122C1B" w14:paraId="48A0BA1C" w14:textId="77777777" w:rsidTr="00FB62BD">
        <w:tc>
          <w:tcPr>
            <w:tcW w:w="543" w:type="dxa"/>
            <w:shd w:val="clear" w:color="auto" w:fill="auto"/>
          </w:tcPr>
          <w:p w14:paraId="2323C0E3" w14:textId="77777777" w:rsidR="00122C1B" w:rsidRPr="00B508D2" w:rsidRDefault="00122C1B" w:rsidP="0035776C">
            <w:pPr>
              <w:pStyle w:val="TableParagraph"/>
              <w:jc w:val="center"/>
            </w:pPr>
            <w:r>
              <w:lastRenderedPageBreak/>
              <w:t>58</w:t>
            </w:r>
          </w:p>
        </w:tc>
        <w:tc>
          <w:tcPr>
            <w:tcW w:w="3001" w:type="dxa"/>
            <w:shd w:val="clear" w:color="auto" w:fill="auto"/>
          </w:tcPr>
          <w:p w14:paraId="2DAB7D69" w14:textId="77777777" w:rsidR="00122C1B" w:rsidRPr="00B508D2" w:rsidRDefault="00122C1B" w:rsidP="0035776C">
            <w:pPr>
              <w:pStyle w:val="TableParagraph"/>
            </w:pPr>
            <w:r>
              <w:t>A person who holds a motorcycle licence for less than 3 years must not ride a motorcycle that is towing another vehicle or trailer unless the person is riding the motorcycle in the course of the person's employment and at the request of the person's employer; or solely in connection with agriculture, horticulture, dairying, pastoral or other similar pursuits or commercial fishing.</w:t>
            </w:r>
          </w:p>
        </w:tc>
        <w:tc>
          <w:tcPr>
            <w:tcW w:w="4678" w:type="dxa"/>
            <w:shd w:val="clear" w:color="auto" w:fill="auto"/>
          </w:tcPr>
          <w:p w14:paraId="26F700C9" w14:textId="77777777" w:rsidR="00122C1B" w:rsidRPr="00B508D2" w:rsidRDefault="00122C1B" w:rsidP="0035776C">
            <w:pPr>
              <w:pStyle w:val="TableParagraph"/>
            </w:pPr>
            <w:r w:rsidRPr="00B508D2">
              <w:t>This regulation does not exclude motorcyclists</w:t>
            </w:r>
            <w:r>
              <w:t xml:space="preserve"> as it is possible to tow a trailer with a motorcycle</w:t>
            </w:r>
            <w:r w:rsidRPr="00B508D2">
              <w:t>.</w:t>
            </w:r>
            <w:r>
              <w:t xml:space="preserve"> Towing adds complexity to the driving task, and new drivers are more likely to be affected by this as their cognitive driving skills have not reached full development. New drivers need to consolidate their driving skills without distractions.</w:t>
            </w:r>
            <w:r w:rsidR="00EF2C26">
              <w:t xml:space="preserve"> The exceptions relating to agriculture, horticulture, dairying, pastoral or other similar pursuits or commercial fishing</w:t>
            </w:r>
            <w:r w:rsidR="00037DDB">
              <w:t xml:space="preserve"> are made on the basis that they are related to</w:t>
            </w:r>
            <w:r w:rsidR="00EF2C26">
              <w:t xml:space="preserve"> primary producti</w:t>
            </w:r>
            <w:r w:rsidR="00037DDB">
              <w:t>on and employment in that field.</w:t>
            </w:r>
          </w:p>
        </w:tc>
        <w:tc>
          <w:tcPr>
            <w:tcW w:w="1417" w:type="dxa"/>
            <w:shd w:val="clear" w:color="auto" w:fill="auto"/>
          </w:tcPr>
          <w:p w14:paraId="6CE5D81D" w14:textId="77777777" w:rsidR="00122C1B" w:rsidRPr="00B508D2" w:rsidRDefault="00122C1B" w:rsidP="0035776C">
            <w:pPr>
              <w:pStyle w:val="TableParagraph"/>
              <w:jc w:val="center"/>
            </w:pPr>
            <w:r>
              <w:t>No</w:t>
            </w:r>
          </w:p>
        </w:tc>
      </w:tr>
    </w:tbl>
    <w:p w14:paraId="59109B76" w14:textId="77777777" w:rsidR="00122C1B" w:rsidRDefault="00122C1B" w:rsidP="00BC546C">
      <w:pPr>
        <w:pStyle w:val="Heading3"/>
        <w:spacing w:before="240"/>
      </w:pPr>
      <w:bookmarkStart w:id="579" w:name="_Toc10703470"/>
      <w:r>
        <w:t>Legislative and regulatory sources of motorcycle learner permit and licence requirements</w:t>
      </w:r>
      <w:bookmarkEnd w:id="579"/>
    </w:p>
    <w:p w14:paraId="6D28EF28" w14:textId="77777777" w:rsidR="00A75A74" w:rsidRDefault="00A75A74" w:rsidP="00A75A74">
      <w:pPr>
        <w:pStyle w:val="TextPara"/>
      </w:pPr>
      <w:r>
        <w:t>For efficiency and to minimise burden, under t</w:t>
      </w:r>
      <w:r w:rsidRPr="00417850">
        <w:t xml:space="preserve">he Victorian </w:t>
      </w:r>
      <w:r>
        <w:t xml:space="preserve">licensing </w:t>
      </w:r>
      <w:r w:rsidRPr="00417850">
        <w:t xml:space="preserve">system </w:t>
      </w:r>
      <w:r>
        <w:t>a single licence card is issued to those who hold both a driver and motorcycle licence. A</w:t>
      </w:r>
      <w:r w:rsidRPr="00417850">
        <w:t xml:space="preserve"> probationary motorcycle licence </w:t>
      </w:r>
      <w:r>
        <w:t xml:space="preserve">cannot be issued </w:t>
      </w:r>
      <w:r w:rsidRPr="00417850">
        <w:t xml:space="preserve">to someone who </w:t>
      </w:r>
      <w:r>
        <w:t xml:space="preserve">already </w:t>
      </w:r>
      <w:r w:rsidRPr="00417850">
        <w:t xml:space="preserve">holds a full car licence. </w:t>
      </w:r>
      <w:r>
        <w:t>However, t</w:t>
      </w:r>
      <w:r w:rsidRPr="00417850">
        <w:t>he restriction period and the conditions impose</w:t>
      </w:r>
      <w:r>
        <w:t xml:space="preserve">d on novice riders </w:t>
      </w:r>
      <w:r w:rsidRPr="00417850">
        <w:t>ensur</w:t>
      </w:r>
      <w:r>
        <w:t>e that</w:t>
      </w:r>
      <w:r w:rsidRPr="00417850">
        <w:t xml:space="preserve"> the probationary </w:t>
      </w:r>
      <w:r>
        <w:t xml:space="preserve">licence </w:t>
      </w:r>
      <w:r w:rsidRPr="00417850">
        <w:t xml:space="preserve">conditions are applied to </w:t>
      </w:r>
      <w:r>
        <w:t xml:space="preserve">all </w:t>
      </w:r>
      <w:r w:rsidRPr="00417850">
        <w:t xml:space="preserve">novice riders. The intent of the national motorcycle GLS is to </w:t>
      </w:r>
      <w:r w:rsidR="00CA1EA6">
        <w:t xml:space="preserve">place relevant and effective </w:t>
      </w:r>
      <w:r w:rsidRPr="00417850">
        <w:t>restrict</w:t>
      </w:r>
      <w:r w:rsidR="00CA1EA6">
        <w:t>ions on</w:t>
      </w:r>
      <w:r w:rsidRPr="00417850">
        <w:t xml:space="preserve"> novice</w:t>
      </w:r>
      <w:r w:rsidR="00CA1EA6">
        <w:t xml:space="preserve"> riders</w:t>
      </w:r>
      <w:r w:rsidRPr="00417850">
        <w:t xml:space="preserve"> and this is how it is implemented in Victoria.</w:t>
      </w:r>
      <w:r w:rsidR="007048DA">
        <w:t xml:space="preserve"> Victorian requirements do not go beyond the national M-GLS or NDLS.</w:t>
      </w:r>
    </w:p>
    <w:p w14:paraId="566BC3F2" w14:textId="6D2926EC" w:rsidR="00122C1B" w:rsidRDefault="00122C1B" w:rsidP="00101A25">
      <w:pPr>
        <w:pStyle w:val="TextPara"/>
      </w:pPr>
      <w:r>
        <w:fldChar w:fldCharType="begin"/>
      </w:r>
      <w:r>
        <w:instrText xml:space="preserve"> REF _Ref509322437 \h </w:instrText>
      </w:r>
      <w:r>
        <w:fldChar w:fldCharType="separate"/>
      </w:r>
      <w:r w:rsidR="00EB4B02">
        <w:t xml:space="preserve">Table </w:t>
      </w:r>
      <w:r w:rsidR="00EB4B02">
        <w:rPr>
          <w:noProof/>
        </w:rPr>
        <w:t>32</w:t>
      </w:r>
      <w:r>
        <w:fldChar w:fldCharType="end"/>
      </w:r>
      <w:r>
        <w:t xml:space="preserve"> lists the legislative and regulatory sources of the restrictions that apply to motorcycle learner permit and probationary licences. </w:t>
      </w:r>
    </w:p>
    <w:p w14:paraId="7F4902D6" w14:textId="7E400AE9" w:rsidR="00122C1B" w:rsidRDefault="00122C1B" w:rsidP="00AA0BBA">
      <w:pPr>
        <w:pStyle w:val="Caption"/>
      </w:pPr>
      <w:bookmarkStart w:id="580" w:name="_Ref509322437"/>
      <w:bookmarkStart w:id="581" w:name="_Toc508298997"/>
      <w:bookmarkStart w:id="582" w:name="_Toc10703725"/>
      <w:bookmarkStart w:id="583" w:name="_Hlk9434955"/>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32</w:t>
      </w:r>
      <w:r w:rsidR="00BC6B2E">
        <w:rPr>
          <w:noProof/>
        </w:rPr>
        <w:fldChar w:fldCharType="end"/>
      </w:r>
      <w:bookmarkEnd w:id="580"/>
      <w:r>
        <w:t xml:space="preserve"> – </w:t>
      </w:r>
      <w:r w:rsidRPr="00E5400A">
        <w:t>Leg</w:t>
      </w:r>
      <w:r>
        <w:t>islative and regulatory sources:</w:t>
      </w:r>
      <w:r w:rsidRPr="00526BDD">
        <w:t xml:space="preserve"> </w:t>
      </w:r>
      <w:r>
        <w:t>Motorcycle</w:t>
      </w:r>
      <w:r w:rsidRPr="00526BDD">
        <w:t xml:space="preserve"> </w:t>
      </w:r>
      <w:r>
        <w:t>Learner Permit and Licences</w:t>
      </w:r>
      <w:bookmarkEnd w:id="581"/>
      <w:bookmarkEnd w:id="582"/>
    </w:p>
    <w:tbl>
      <w:tblPr>
        <w:tblStyle w:val="RIS-Table2"/>
        <w:tblW w:w="9952" w:type="dxa"/>
        <w:tblLayout w:type="fixed"/>
        <w:tblLook w:val="04A0" w:firstRow="1" w:lastRow="0" w:firstColumn="1" w:lastColumn="0" w:noHBand="0" w:noVBand="1"/>
      </w:tblPr>
      <w:tblGrid>
        <w:gridCol w:w="4248"/>
        <w:gridCol w:w="793"/>
        <w:gridCol w:w="1225"/>
        <w:gridCol w:w="1276"/>
        <w:gridCol w:w="944"/>
        <w:gridCol w:w="1466"/>
      </w:tblGrid>
      <w:tr w:rsidR="00122C1B" w14:paraId="4EDBF400" w14:textId="77777777" w:rsidTr="00B22DE1">
        <w:trPr>
          <w:cnfStyle w:val="100000000000" w:firstRow="1" w:lastRow="0" w:firstColumn="0" w:lastColumn="0" w:oddVBand="0" w:evenVBand="0" w:oddHBand="0" w:evenHBand="0" w:firstRowFirstColumn="0" w:firstRowLastColumn="0" w:lastRowFirstColumn="0" w:lastRowLastColumn="0"/>
        </w:trPr>
        <w:tc>
          <w:tcPr>
            <w:tcW w:w="4248" w:type="dxa"/>
          </w:tcPr>
          <w:bookmarkEnd w:id="583"/>
          <w:p w14:paraId="2EFEC979" w14:textId="77777777" w:rsidR="00122C1B" w:rsidRPr="004827FC" w:rsidRDefault="00122C1B" w:rsidP="00D818E1">
            <w:pPr>
              <w:pStyle w:val="TableHeaders"/>
            </w:pPr>
            <w:r>
              <w:t>Licensing Requirement</w:t>
            </w:r>
          </w:p>
        </w:tc>
        <w:tc>
          <w:tcPr>
            <w:tcW w:w="793" w:type="dxa"/>
          </w:tcPr>
          <w:p w14:paraId="7F83F900" w14:textId="77777777" w:rsidR="00122C1B" w:rsidRPr="004827FC" w:rsidRDefault="00122C1B" w:rsidP="00D818E1">
            <w:pPr>
              <w:pStyle w:val="TableHeaders"/>
            </w:pPr>
            <w:r w:rsidRPr="000A0322">
              <w:rPr>
                <w:i/>
              </w:rPr>
              <w:t>RSA</w:t>
            </w:r>
          </w:p>
        </w:tc>
        <w:tc>
          <w:tcPr>
            <w:tcW w:w="1225" w:type="dxa"/>
          </w:tcPr>
          <w:p w14:paraId="04F4713C" w14:textId="77777777" w:rsidR="00122C1B" w:rsidRPr="004827FC" w:rsidRDefault="00122C1B" w:rsidP="00D818E1">
            <w:pPr>
              <w:pStyle w:val="TableHeaders"/>
            </w:pPr>
            <w:r>
              <w:t>Proposed</w:t>
            </w:r>
            <w:r w:rsidRPr="004827FC">
              <w:t xml:space="preserve"> Reg</w:t>
            </w:r>
            <w:r>
              <w:t>ulations</w:t>
            </w:r>
          </w:p>
        </w:tc>
        <w:tc>
          <w:tcPr>
            <w:tcW w:w="1276" w:type="dxa"/>
          </w:tcPr>
          <w:p w14:paraId="30A8C491" w14:textId="77777777" w:rsidR="00122C1B" w:rsidRPr="004827FC" w:rsidRDefault="00122C1B" w:rsidP="00D818E1">
            <w:pPr>
              <w:pStyle w:val="TableHeaders"/>
            </w:pPr>
            <w:r w:rsidRPr="004827FC">
              <w:t>Road Safety Road Rules</w:t>
            </w:r>
          </w:p>
        </w:tc>
        <w:tc>
          <w:tcPr>
            <w:tcW w:w="944" w:type="dxa"/>
          </w:tcPr>
          <w:p w14:paraId="5589CA3D" w14:textId="77777777" w:rsidR="00122C1B" w:rsidRPr="004827FC" w:rsidDel="00010F8F" w:rsidRDefault="00122C1B" w:rsidP="00D818E1">
            <w:pPr>
              <w:pStyle w:val="TableHeaders"/>
            </w:pPr>
            <w:r>
              <w:t xml:space="preserve">National </w:t>
            </w:r>
            <w:r>
              <w:br/>
              <w:t>M-GLS</w:t>
            </w:r>
          </w:p>
        </w:tc>
        <w:tc>
          <w:tcPr>
            <w:tcW w:w="1466" w:type="dxa"/>
          </w:tcPr>
          <w:p w14:paraId="22205EA7" w14:textId="77777777" w:rsidR="00122C1B" w:rsidRPr="004827FC" w:rsidRDefault="00122C1B" w:rsidP="00D818E1">
            <w:pPr>
              <w:pStyle w:val="TableHeaders"/>
            </w:pPr>
            <w:r>
              <w:t>NDLS</w:t>
            </w:r>
            <w:r w:rsidRPr="004827FC">
              <w:t xml:space="preserve"> Regulations</w:t>
            </w:r>
            <w:r>
              <w:rPr>
                <w:rStyle w:val="EndnoteReference"/>
              </w:rPr>
              <w:endnoteReference w:id="384"/>
            </w:r>
          </w:p>
        </w:tc>
      </w:tr>
      <w:tr w:rsidR="00122C1B" w14:paraId="5EDEFC10" w14:textId="77777777" w:rsidTr="00FB62BD">
        <w:tc>
          <w:tcPr>
            <w:tcW w:w="4248" w:type="dxa"/>
            <w:shd w:val="clear" w:color="auto" w:fill="auto"/>
          </w:tcPr>
          <w:p w14:paraId="672C7AD7" w14:textId="77777777" w:rsidR="00122C1B" w:rsidRPr="00875385" w:rsidRDefault="00122C1B" w:rsidP="005F6F8B">
            <w:pPr>
              <w:pStyle w:val="TableList1"/>
            </w:pPr>
            <w:r w:rsidRPr="004827FC">
              <w:t xml:space="preserve">Must have a </w:t>
            </w:r>
            <w:r>
              <w:t>l</w:t>
            </w:r>
            <w:r w:rsidRPr="004827FC">
              <w:t xml:space="preserve">earner </w:t>
            </w:r>
            <w:r>
              <w:t>p</w:t>
            </w:r>
            <w:r w:rsidRPr="004827FC">
              <w:t xml:space="preserve">ermit, </w:t>
            </w:r>
            <w:r>
              <w:t xml:space="preserve">probationary </w:t>
            </w:r>
            <w:r w:rsidR="007F05B8">
              <w:t xml:space="preserve">licence </w:t>
            </w:r>
            <w:r>
              <w:t>or full licence to drive motorcycle</w:t>
            </w:r>
          </w:p>
        </w:tc>
        <w:tc>
          <w:tcPr>
            <w:tcW w:w="793" w:type="dxa"/>
            <w:shd w:val="clear" w:color="auto" w:fill="auto"/>
          </w:tcPr>
          <w:p w14:paraId="307177F4" w14:textId="77777777" w:rsidR="00122C1B" w:rsidRPr="00565C17" w:rsidRDefault="00122C1B" w:rsidP="00B64585">
            <w:pPr>
              <w:pStyle w:val="TableParagraph"/>
              <w:jc w:val="center"/>
              <w:rPr>
                <w:color w:val="0C81BC"/>
              </w:rPr>
            </w:pPr>
            <w:r w:rsidRPr="00565C17">
              <w:rPr>
                <w:rFonts w:cs="Segoe UI"/>
                <w:color w:val="0C81BC"/>
              </w:rPr>
              <w:sym w:font="Wingdings" w:char="F06C"/>
            </w:r>
          </w:p>
        </w:tc>
        <w:tc>
          <w:tcPr>
            <w:tcW w:w="1225" w:type="dxa"/>
            <w:shd w:val="clear" w:color="auto" w:fill="auto"/>
          </w:tcPr>
          <w:p w14:paraId="0C138A0F" w14:textId="77777777" w:rsidR="00122C1B" w:rsidRPr="00565C17" w:rsidRDefault="00122C1B" w:rsidP="00B64585">
            <w:pPr>
              <w:pStyle w:val="TableParagraph"/>
              <w:jc w:val="center"/>
              <w:rPr>
                <w:rFonts w:cs="Segoe UI"/>
                <w:color w:val="0C81BC"/>
              </w:rPr>
            </w:pPr>
          </w:p>
        </w:tc>
        <w:tc>
          <w:tcPr>
            <w:tcW w:w="1276" w:type="dxa"/>
            <w:shd w:val="clear" w:color="auto" w:fill="auto"/>
          </w:tcPr>
          <w:p w14:paraId="64A420B0" w14:textId="77777777" w:rsidR="00122C1B" w:rsidRPr="00565C17" w:rsidRDefault="00122C1B" w:rsidP="00B64585">
            <w:pPr>
              <w:pStyle w:val="TableParagraph"/>
              <w:jc w:val="center"/>
              <w:rPr>
                <w:color w:val="0C81BC"/>
              </w:rPr>
            </w:pPr>
          </w:p>
        </w:tc>
        <w:tc>
          <w:tcPr>
            <w:tcW w:w="944" w:type="dxa"/>
            <w:shd w:val="clear" w:color="auto" w:fill="auto"/>
          </w:tcPr>
          <w:p w14:paraId="0786E578" w14:textId="77777777" w:rsidR="00122C1B" w:rsidRPr="00565C17" w:rsidRDefault="00122C1B" w:rsidP="00B64585">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5D1DE4CA" w14:textId="77777777" w:rsidR="00122C1B" w:rsidRDefault="00122C1B" w:rsidP="00B64585">
            <w:pPr>
              <w:pStyle w:val="TableParagraph"/>
              <w:jc w:val="center"/>
            </w:pPr>
            <w:r w:rsidRPr="00565C17">
              <w:rPr>
                <w:rFonts w:cs="Segoe UI"/>
                <w:color w:val="0C81BC"/>
              </w:rPr>
              <w:sym w:font="Wingdings" w:char="F06C"/>
            </w:r>
            <w:r w:rsidRPr="007B04C4">
              <w:rPr>
                <w:rStyle w:val="EndnoteReference"/>
                <w:rFonts w:cs="Segoe UI"/>
              </w:rPr>
              <w:endnoteReference w:id="385"/>
            </w:r>
          </w:p>
        </w:tc>
      </w:tr>
      <w:tr w:rsidR="00122C1B" w14:paraId="46026D02"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2B78D41F" w14:textId="77777777" w:rsidR="00122C1B" w:rsidRPr="00875385" w:rsidRDefault="00122C1B" w:rsidP="005F6F8B">
            <w:pPr>
              <w:pStyle w:val="TableList1"/>
            </w:pPr>
            <w:r>
              <w:t xml:space="preserve">Application for a learner permit, probationary </w:t>
            </w:r>
            <w:r w:rsidR="007F05B8">
              <w:t xml:space="preserve">licence </w:t>
            </w:r>
            <w:r>
              <w:t>or full licence to drive motorcycle</w:t>
            </w:r>
          </w:p>
        </w:tc>
        <w:tc>
          <w:tcPr>
            <w:tcW w:w="793" w:type="dxa"/>
            <w:shd w:val="clear" w:color="auto" w:fill="auto"/>
          </w:tcPr>
          <w:p w14:paraId="556E68BA" w14:textId="77777777" w:rsidR="00122C1B" w:rsidRPr="00565C17" w:rsidRDefault="00122C1B" w:rsidP="00B64585">
            <w:pPr>
              <w:pStyle w:val="TableParagraph"/>
              <w:jc w:val="center"/>
              <w:rPr>
                <w:color w:val="0C81BC"/>
              </w:rPr>
            </w:pPr>
            <w:r w:rsidRPr="00565C17">
              <w:rPr>
                <w:rFonts w:cs="Segoe UI"/>
                <w:color w:val="0C81BC"/>
              </w:rPr>
              <w:sym w:font="Wingdings" w:char="F06C"/>
            </w:r>
          </w:p>
        </w:tc>
        <w:tc>
          <w:tcPr>
            <w:tcW w:w="1225" w:type="dxa"/>
            <w:shd w:val="clear" w:color="auto" w:fill="auto"/>
          </w:tcPr>
          <w:p w14:paraId="07B47BA5" w14:textId="77777777" w:rsidR="00122C1B" w:rsidRPr="00565C17" w:rsidRDefault="00122C1B" w:rsidP="00B64585">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31F814C7" w14:textId="77777777" w:rsidR="00122C1B" w:rsidRPr="00565C17" w:rsidRDefault="00122C1B" w:rsidP="00B64585">
            <w:pPr>
              <w:pStyle w:val="TableParagraph"/>
              <w:jc w:val="center"/>
              <w:rPr>
                <w:color w:val="0C81BC"/>
              </w:rPr>
            </w:pPr>
          </w:p>
        </w:tc>
        <w:tc>
          <w:tcPr>
            <w:tcW w:w="944" w:type="dxa"/>
            <w:shd w:val="clear" w:color="auto" w:fill="auto"/>
          </w:tcPr>
          <w:p w14:paraId="1541D3BD" w14:textId="77777777" w:rsidR="00122C1B" w:rsidRPr="00565C17" w:rsidRDefault="00122C1B" w:rsidP="00B64585">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1964AB0A" w14:textId="77777777" w:rsidR="00122C1B" w:rsidRDefault="00122C1B" w:rsidP="00B64585">
            <w:pPr>
              <w:pStyle w:val="TableParagraph"/>
              <w:jc w:val="center"/>
            </w:pPr>
            <w:r w:rsidRPr="00565C17">
              <w:rPr>
                <w:rFonts w:cs="Segoe UI"/>
                <w:color w:val="0C81BC"/>
              </w:rPr>
              <w:sym w:font="Wingdings" w:char="F06C"/>
            </w:r>
            <w:r w:rsidRPr="00745E18">
              <w:rPr>
                <w:rStyle w:val="EndnoteReference"/>
                <w:rFonts w:cs="Segoe UI"/>
              </w:rPr>
              <w:endnoteReference w:id="386"/>
            </w:r>
          </w:p>
        </w:tc>
      </w:tr>
      <w:tr w:rsidR="00122C1B" w14:paraId="1FC51D0B" w14:textId="77777777" w:rsidTr="00FB62BD">
        <w:tc>
          <w:tcPr>
            <w:tcW w:w="4248" w:type="dxa"/>
            <w:shd w:val="clear" w:color="auto" w:fill="auto"/>
          </w:tcPr>
          <w:p w14:paraId="661CBF6A" w14:textId="77777777" w:rsidR="00122C1B" w:rsidRPr="00875385" w:rsidRDefault="00122C1B" w:rsidP="005F6F8B">
            <w:pPr>
              <w:pStyle w:val="TableList1"/>
            </w:pPr>
            <w:r>
              <w:t>Type</w:t>
            </w:r>
            <w:r w:rsidRPr="004827FC">
              <w:t xml:space="preserve"> of </w:t>
            </w:r>
            <w:r>
              <w:t xml:space="preserve">motorcycle </w:t>
            </w:r>
            <w:r w:rsidRPr="004827FC">
              <w:t>licence</w:t>
            </w:r>
          </w:p>
        </w:tc>
        <w:tc>
          <w:tcPr>
            <w:tcW w:w="793" w:type="dxa"/>
            <w:shd w:val="clear" w:color="auto" w:fill="auto"/>
          </w:tcPr>
          <w:p w14:paraId="77E82F9A" w14:textId="77777777" w:rsidR="00122C1B" w:rsidRPr="00565C17" w:rsidRDefault="00122C1B" w:rsidP="00B64585">
            <w:pPr>
              <w:pStyle w:val="TableParagraph"/>
              <w:jc w:val="center"/>
              <w:rPr>
                <w:color w:val="0C81BC"/>
              </w:rPr>
            </w:pPr>
          </w:p>
        </w:tc>
        <w:tc>
          <w:tcPr>
            <w:tcW w:w="1225" w:type="dxa"/>
            <w:shd w:val="clear" w:color="auto" w:fill="auto"/>
          </w:tcPr>
          <w:p w14:paraId="21772EF1" w14:textId="77777777" w:rsidR="00122C1B" w:rsidRPr="00565C17" w:rsidRDefault="00122C1B" w:rsidP="00B64585">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7450A119" w14:textId="77777777" w:rsidR="00122C1B" w:rsidRPr="00565C17" w:rsidRDefault="00122C1B" w:rsidP="00B64585">
            <w:pPr>
              <w:pStyle w:val="TableParagraph"/>
              <w:jc w:val="center"/>
              <w:rPr>
                <w:color w:val="0C81BC"/>
              </w:rPr>
            </w:pPr>
          </w:p>
        </w:tc>
        <w:tc>
          <w:tcPr>
            <w:tcW w:w="944" w:type="dxa"/>
            <w:shd w:val="clear" w:color="auto" w:fill="auto"/>
          </w:tcPr>
          <w:p w14:paraId="54413C35" w14:textId="77777777" w:rsidR="00122C1B" w:rsidRPr="00565C17" w:rsidRDefault="00122C1B" w:rsidP="00B64585">
            <w:pPr>
              <w:pStyle w:val="TableParagraph"/>
              <w:jc w:val="center"/>
              <w:rPr>
                <w:rFonts w:cs="Segoe UI"/>
                <w:color w:val="0C81BC"/>
              </w:rPr>
            </w:pPr>
          </w:p>
        </w:tc>
        <w:tc>
          <w:tcPr>
            <w:tcW w:w="1466" w:type="dxa"/>
            <w:shd w:val="clear" w:color="auto" w:fill="auto"/>
          </w:tcPr>
          <w:p w14:paraId="65AFAE78" w14:textId="77777777" w:rsidR="00122C1B" w:rsidRDefault="00122C1B" w:rsidP="00B64585">
            <w:pPr>
              <w:pStyle w:val="TableParagraph"/>
              <w:jc w:val="center"/>
            </w:pPr>
            <w:r w:rsidRPr="00565C17">
              <w:rPr>
                <w:rFonts w:cs="Segoe UI"/>
                <w:color w:val="0C81BC"/>
              </w:rPr>
              <w:sym w:font="Wingdings" w:char="F06C"/>
            </w:r>
          </w:p>
        </w:tc>
      </w:tr>
      <w:tr w:rsidR="00122C1B" w:rsidRPr="00875385" w14:paraId="2987FB50" w14:textId="77777777" w:rsidTr="00B22DE1">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DDE8F4" w:themeFill="text2" w:themeFillTint="1A"/>
          </w:tcPr>
          <w:p w14:paraId="67F7F49A" w14:textId="77777777" w:rsidR="00122C1B" w:rsidRPr="00875385" w:rsidRDefault="00122C1B" w:rsidP="00B64585">
            <w:pPr>
              <w:pStyle w:val="TableParagraph"/>
              <w:keepNext/>
              <w:rPr>
                <w:b/>
              </w:rPr>
            </w:pPr>
            <w:r>
              <w:rPr>
                <w:b/>
              </w:rPr>
              <w:t>Learner Permit</w:t>
            </w:r>
          </w:p>
        </w:tc>
        <w:tc>
          <w:tcPr>
            <w:tcW w:w="793" w:type="dxa"/>
            <w:shd w:val="clear" w:color="auto" w:fill="DDE8F4" w:themeFill="text2" w:themeFillTint="1A"/>
          </w:tcPr>
          <w:p w14:paraId="2E6FAE55" w14:textId="77777777" w:rsidR="00122C1B" w:rsidRPr="00875385" w:rsidRDefault="00122C1B" w:rsidP="00B64585">
            <w:pPr>
              <w:pStyle w:val="TableParagraph"/>
              <w:rPr>
                <w:b/>
              </w:rPr>
            </w:pPr>
          </w:p>
        </w:tc>
        <w:tc>
          <w:tcPr>
            <w:tcW w:w="1225" w:type="dxa"/>
            <w:shd w:val="clear" w:color="auto" w:fill="DDE8F4" w:themeFill="text2" w:themeFillTint="1A"/>
          </w:tcPr>
          <w:p w14:paraId="0D7FCC6C" w14:textId="77777777" w:rsidR="00122C1B" w:rsidRPr="00875385" w:rsidRDefault="00122C1B" w:rsidP="00B64585">
            <w:pPr>
              <w:pStyle w:val="TableParagraph"/>
              <w:rPr>
                <w:b/>
              </w:rPr>
            </w:pPr>
          </w:p>
        </w:tc>
        <w:tc>
          <w:tcPr>
            <w:tcW w:w="1276" w:type="dxa"/>
            <w:shd w:val="clear" w:color="auto" w:fill="DDE8F4" w:themeFill="text2" w:themeFillTint="1A"/>
          </w:tcPr>
          <w:p w14:paraId="7AD20108" w14:textId="77777777" w:rsidR="00122C1B" w:rsidRPr="00875385" w:rsidRDefault="00122C1B" w:rsidP="00B64585">
            <w:pPr>
              <w:pStyle w:val="TableParagraph"/>
              <w:rPr>
                <w:b/>
              </w:rPr>
            </w:pPr>
          </w:p>
        </w:tc>
        <w:tc>
          <w:tcPr>
            <w:tcW w:w="944" w:type="dxa"/>
            <w:shd w:val="clear" w:color="auto" w:fill="DDE8F4" w:themeFill="text2" w:themeFillTint="1A"/>
          </w:tcPr>
          <w:p w14:paraId="657E79C7" w14:textId="77777777" w:rsidR="00122C1B" w:rsidRPr="00875385" w:rsidRDefault="00122C1B" w:rsidP="00B64585">
            <w:pPr>
              <w:pStyle w:val="TableParagraph"/>
              <w:rPr>
                <w:b/>
              </w:rPr>
            </w:pPr>
          </w:p>
        </w:tc>
        <w:tc>
          <w:tcPr>
            <w:tcW w:w="1466" w:type="dxa"/>
            <w:shd w:val="clear" w:color="auto" w:fill="DDE8F4" w:themeFill="text2" w:themeFillTint="1A"/>
          </w:tcPr>
          <w:p w14:paraId="4012BA75" w14:textId="77777777" w:rsidR="00122C1B" w:rsidRPr="00875385" w:rsidRDefault="00122C1B" w:rsidP="00B64585">
            <w:pPr>
              <w:pStyle w:val="TableParagraph"/>
              <w:rPr>
                <w:b/>
              </w:rPr>
            </w:pPr>
          </w:p>
        </w:tc>
      </w:tr>
      <w:tr w:rsidR="00122C1B" w14:paraId="3F303279" w14:textId="77777777" w:rsidTr="00FB62BD">
        <w:tc>
          <w:tcPr>
            <w:tcW w:w="4248" w:type="dxa"/>
            <w:shd w:val="clear" w:color="auto" w:fill="auto"/>
          </w:tcPr>
          <w:p w14:paraId="60C0F99D" w14:textId="77777777" w:rsidR="00122C1B" w:rsidRDefault="00122C1B" w:rsidP="005F6F8B">
            <w:pPr>
              <w:pStyle w:val="TableList1"/>
            </w:pPr>
            <w:r>
              <w:t>Minimum age: 18 years</w:t>
            </w:r>
          </w:p>
        </w:tc>
        <w:tc>
          <w:tcPr>
            <w:tcW w:w="793" w:type="dxa"/>
            <w:shd w:val="clear" w:color="auto" w:fill="auto"/>
          </w:tcPr>
          <w:p w14:paraId="6634D5CC" w14:textId="77777777" w:rsidR="00122C1B" w:rsidRPr="00565C17" w:rsidRDefault="00122C1B" w:rsidP="00B64585">
            <w:pPr>
              <w:pStyle w:val="TableParagraph"/>
              <w:jc w:val="center"/>
              <w:rPr>
                <w:color w:val="0C81BC"/>
              </w:rPr>
            </w:pPr>
            <w:r w:rsidRPr="00565C17">
              <w:rPr>
                <w:rFonts w:cs="Segoe UI"/>
                <w:color w:val="0C81BC"/>
              </w:rPr>
              <w:sym w:font="Wingdings" w:char="F06C"/>
            </w:r>
          </w:p>
        </w:tc>
        <w:tc>
          <w:tcPr>
            <w:tcW w:w="1225" w:type="dxa"/>
            <w:shd w:val="clear" w:color="auto" w:fill="auto"/>
          </w:tcPr>
          <w:p w14:paraId="13FAE42E" w14:textId="77777777" w:rsidR="00122C1B" w:rsidRPr="00565C17" w:rsidRDefault="00122C1B" w:rsidP="00B64585">
            <w:pPr>
              <w:pStyle w:val="TableParagraph"/>
              <w:jc w:val="center"/>
              <w:rPr>
                <w:color w:val="0C81BC"/>
              </w:rPr>
            </w:pPr>
          </w:p>
        </w:tc>
        <w:tc>
          <w:tcPr>
            <w:tcW w:w="1276" w:type="dxa"/>
            <w:shd w:val="clear" w:color="auto" w:fill="auto"/>
          </w:tcPr>
          <w:p w14:paraId="1B106FDC" w14:textId="77777777" w:rsidR="00122C1B" w:rsidRPr="00565C17" w:rsidRDefault="00122C1B" w:rsidP="00B64585">
            <w:pPr>
              <w:pStyle w:val="TableParagraph"/>
              <w:jc w:val="center"/>
              <w:rPr>
                <w:color w:val="0C81BC"/>
              </w:rPr>
            </w:pPr>
          </w:p>
        </w:tc>
        <w:tc>
          <w:tcPr>
            <w:tcW w:w="944" w:type="dxa"/>
            <w:shd w:val="clear" w:color="auto" w:fill="auto"/>
          </w:tcPr>
          <w:p w14:paraId="60A018C5" w14:textId="77777777" w:rsidR="00122C1B" w:rsidRPr="00565C17" w:rsidRDefault="00122C1B" w:rsidP="00B64585">
            <w:pPr>
              <w:pStyle w:val="TableParagraph"/>
              <w:jc w:val="center"/>
              <w:rPr>
                <w:color w:val="0C81BC"/>
              </w:rPr>
            </w:pPr>
            <w:r w:rsidRPr="00565C17">
              <w:rPr>
                <w:rFonts w:cs="Segoe UI"/>
                <w:color w:val="0C81BC"/>
              </w:rPr>
              <w:sym w:font="Wingdings" w:char="F06C"/>
            </w:r>
          </w:p>
        </w:tc>
        <w:tc>
          <w:tcPr>
            <w:tcW w:w="1466" w:type="dxa"/>
            <w:shd w:val="clear" w:color="auto" w:fill="auto"/>
          </w:tcPr>
          <w:p w14:paraId="78E33333" w14:textId="77777777" w:rsidR="00122C1B" w:rsidRDefault="00122C1B" w:rsidP="00B64585">
            <w:pPr>
              <w:pStyle w:val="TableParagraph"/>
              <w:jc w:val="center"/>
            </w:pPr>
          </w:p>
        </w:tc>
      </w:tr>
      <w:tr w:rsidR="00122C1B" w14:paraId="157A03FB"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370D2B0B" w14:textId="77777777" w:rsidR="00122C1B" w:rsidRDefault="00122C1B" w:rsidP="005F6F8B">
            <w:pPr>
              <w:pStyle w:val="TableList1"/>
            </w:pPr>
            <w:r>
              <w:t>Permit term: 15 months (no extension allowed)</w:t>
            </w:r>
          </w:p>
        </w:tc>
        <w:tc>
          <w:tcPr>
            <w:tcW w:w="793" w:type="dxa"/>
            <w:shd w:val="clear" w:color="auto" w:fill="auto"/>
          </w:tcPr>
          <w:p w14:paraId="0F390BBB" w14:textId="77777777" w:rsidR="00122C1B" w:rsidRPr="00565C17" w:rsidRDefault="00122C1B" w:rsidP="00FC6968">
            <w:pPr>
              <w:pStyle w:val="TableParagraph"/>
              <w:jc w:val="center"/>
              <w:rPr>
                <w:rFonts w:cs="Segoe UI"/>
                <w:color w:val="0C81BC"/>
              </w:rPr>
            </w:pPr>
          </w:p>
        </w:tc>
        <w:tc>
          <w:tcPr>
            <w:tcW w:w="1225" w:type="dxa"/>
            <w:shd w:val="clear" w:color="auto" w:fill="auto"/>
          </w:tcPr>
          <w:p w14:paraId="1A83CA65" w14:textId="77777777" w:rsidR="00122C1B" w:rsidRPr="00565C17" w:rsidRDefault="00122C1B" w:rsidP="00FC6968">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4CF846C7" w14:textId="77777777" w:rsidR="00122C1B" w:rsidRPr="00565C17" w:rsidRDefault="00122C1B" w:rsidP="00FC6968">
            <w:pPr>
              <w:pStyle w:val="TableParagraph"/>
              <w:jc w:val="center"/>
              <w:rPr>
                <w:color w:val="0C81BC"/>
              </w:rPr>
            </w:pPr>
          </w:p>
        </w:tc>
        <w:tc>
          <w:tcPr>
            <w:tcW w:w="944" w:type="dxa"/>
            <w:shd w:val="clear" w:color="auto" w:fill="auto"/>
          </w:tcPr>
          <w:p w14:paraId="6BC02212" w14:textId="77777777" w:rsidR="00122C1B" w:rsidRPr="00565C17" w:rsidRDefault="00122C1B" w:rsidP="00FC6968">
            <w:pPr>
              <w:pStyle w:val="TableParagraph"/>
              <w:jc w:val="center"/>
              <w:rPr>
                <w:color w:val="0C81BC"/>
              </w:rPr>
            </w:pPr>
          </w:p>
        </w:tc>
        <w:tc>
          <w:tcPr>
            <w:tcW w:w="1466" w:type="dxa"/>
            <w:shd w:val="clear" w:color="auto" w:fill="auto"/>
          </w:tcPr>
          <w:p w14:paraId="44E80E51" w14:textId="77777777" w:rsidR="00122C1B" w:rsidRDefault="00122C1B" w:rsidP="00FC6968">
            <w:pPr>
              <w:pStyle w:val="TableParagraph"/>
              <w:jc w:val="center"/>
            </w:pPr>
          </w:p>
        </w:tc>
      </w:tr>
      <w:tr w:rsidR="00122C1B" w14:paraId="7E67F1AB" w14:textId="77777777" w:rsidTr="00FB62BD">
        <w:tc>
          <w:tcPr>
            <w:tcW w:w="4248" w:type="dxa"/>
            <w:shd w:val="clear" w:color="auto" w:fill="auto"/>
          </w:tcPr>
          <w:p w14:paraId="04F783C3" w14:textId="77777777" w:rsidR="00122C1B" w:rsidRDefault="00122C1B" w:rsidP="005F6F8B">
            <w:pPr>
              <w:pStyle w:val="TableList1"/>
            </w:pPr>
            <w:r>
              <w:t>Minimum tenure: continuous 3-month period</w:t>
            </w:r>
          </w:p>
        </w:tc>
        <w:tc>
          <w:tcPr>
            <w:tcW w:w="793" w:type="dxa"/>
            <w:shd w:val="clear" w:color="auto" w:fill="auto"/>
          </w:tcPr>
          <w:p w14:paraId="26867F92" w14:textId="77777777" w:rsidR="00122C1B" w:rsidRPr="00565C17" w:rsidRDefault="00122C1B" w:rsidP="002F4956">
            <w:pPr>
              <w:pStyle w:val="TableParagraph"/>
              <w:jc w:val="center"/>
              <w:rPr>
                <w:rFonts w:cs="Segoe UI"/>
                <w:color w:val="0C81BC"/>
              </w:rPr>
            </w:pPr>
          </w:p>
        </w:tc>
        <w:tc>
          <w:tcPr>
            <w:tcW w:w="1225" w:type="dxa"/>
            <w:shd w:val="clear" w:color="auto" w:fill="auto"/>
          </w:tcPr>
          <w:p w14:paraId="10D8D291"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6912C5F0" w14:textId="77777777" w:rsidR="00122C1B" w:rsidRPr="00565C17" w:rsidRDefault="00122C1B" w:rsidP="002F4956">
            <w:pPr>
              <w:pStyle w:val="TableParagraph"/>
              <w:jc w:val="center"/>
              <w:rPr>
                <w:color w:val="0C81BC"/>
              </w:rPr>
            </w:pPr>
          </w:p>
        </w:tc>
        <w:tc>
          <w:tcPr>
            <w:tcW w:w="944" w:type="dxa"/>
            <w:shd w:val="clear" w:color="auto" w:fill="auto"/>
          </w:tcPr>
          <w:p w14:paraId="10406A0C"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12310A61" w14:textId="77777777" w:rsidR="00122C1B" w:rsidRDefault="00122C1B" w:rsidP="002F4956">
            <w:pPr>
              <w:pStyle w:val="TableParagraph"/>
              <w:jc w:val="center"/>
            </w:pPr>
          </w:p>
        </w:tc>
      </w:tr>
      <w:tr w:rsidR="00122C1B" w14:paraId="7186FB2E"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74AF236E" w14:textId="77777777" w:rsidR="00122C1B" w:rsidRDefault="00122C1B" w:rsidP="005F6F8B">
            <w:pPr>
              <w:pStyle w:val="TableList1"/>
            </w:pPr>
            <w:r w:rsidRPr="00875385">
              <w:t>Speed limit</w:t>
            </w:r>
            <w:r>
              <w:t>:</w:t>
            </w:r>
            <w:r w:rsidRPr="00875385">
              <w:t xml:space="preserve"> As sign posted</w:t>
            </w:r>
          </w:p>
        </w:tc>
        <w:tc>
          <w:tcPr>
            <w:tcW w:w="793" w:type="dxa"/>
            <w:shd w:val="clear" w:color="auto" w:fill="auto"/>
          </w:tcPr>
          <w:p w14:paraId="7DEF2BF7" w14:textId="77777777" w:rsidR="00122C1B" w:rsidRPr="00565C17" w:rsidRDefault="00122C1B" w:rsidP="002F4956">
            <w:pPr>
              <w:pStyle w:val="TableParagraph"/>
              <w:jc w:val="center"/>
              <w:rPr>
                <w:color w:val="0C81BC"/>
              </w:rPr>
            </w:pPr>
          </w:p>
        </w:tc>
        <w:tc>
          <w:tcPr>
            <w:tcW w:w="1225" w:type="dxa"/>
            <w:shd w:val="clear" w:color="auto" w:fill="auto"/>
          </w:tcPr>
          <w:p w14:paraId="5B76B06B" w14:textId="77777777" w:rsidR="00122C1B" w:rsidRPr="00565C17" w:rsidRDefault="00122C1B" w:rsidP="002F4956">
            <w:pPr>
              <w:pStyle w:val="TableParagraph"/>
              <w:jc w:val="center"/>
              <w:rPr>
                <w:color w:val="0C81BC"/>
              </w:rPr>
            </w:pPr>
          </w:p>
        </w:tc>
        <w:tc>
          <w:tcPr>
            <w:tcW w:w="1276" w:type="dxa"/>
            <w:shd w:val="clear" w:color="auto" w:fill="auto"/>
          </w:tcPr>
          <w:p w14:paraId="735AE54A"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944" w:type="dxa"/>
            <w:shd w:val="clear" w:color="auto" w:fill="auto"/>
          </w:tcPr>
          <w:p w14:paraId="011B41B8" w14:textId="77777777" w:rsidR="00122C1B" w:rsidRPr="00565C17" w:rsidRDefault="00122C1B" w:rsidP="002F4956">
            <w:pPr>
              <w:pStyle w:val="TableParagraph"/>
              <w:jc w:val="center"/>
              <w:rPr>
                <w:rFonts w:cs="Segoe UI"/>
                <w:color w:val="0C81BC"/>
              </w:rPr>
            </w:pPr>
          </w:p>
        </w:tc>
        <w:tc>
          <w:tcPr>
            <w:tcW w:w="1466" w:type="dxa"/>
            <w:shd w:val="clear" w:color="auto" w:fill="auto"/>
          </w:tcPr>
          <w:p w14:paraId="0DB4F0CF" w14:textId="77777777" w:rsidR="00122C1B" w:rsidRDefault="00122C1B" w:rsidP="002F4956">
            <w:pPr>
              <w:pStyle w:val="TableParagraph"/>
              <w:jc w:val="center"/>
            </w:pPr>
            <w:r w:rsidRPr="00565C17">
              <w:rPr>
                <w:rFonts w:cs="Segoe UI"/>
                <w:color w:val="0C81BC"/>
              </w:rPr>
              <w:sym w:font="Wingdings" w:char="F06C"/>
            </w:r>
            <w:r w:rsidRPr="00656369">
              <w:rPr>
                <w:rStyle w:val="EndnoteReference"/>
                <w:rFonts w:cs="Segoe UI"/>
              </w:rPr>
              <w:endnoteReference w:id="387"/>
            </w:r>
          </w:p>
        </w:tc>
      </w:tr>
      <w:tr w:rsidR="00122C1B" w14:paraId="7CF9284E" w14:textId="77777777" w:rsidTr="00FB62BD">
        <w:tc>
          <w:tcPr>
            <w:tcW w:w="4248" w:type="dxa"/>
            <w:shd w:val="clear" w:color="auto" w:fill="auto"/>
          </w:tcPr>
          <w:p w14:paraId="625F1213" w14:textId="77777777" w:rsidR="00122C1B" w:rsidRDefault="00122C1B" w:rsidP="005F6F8B">
            <w:pPr>
              <w:pStyle w:val="TableList1"/>
            </w:pPr>
            <w:r>
              <w:t>Compulsory c</w:t>
            </w:r>
            <w:r w:rsidRPr="00875385">
              <w:t xml:space="preserve">arriage of </w:t>
            </w:r>
            <w:r>
              <w:t>learner</w:t>
            </w:r>
            <w:r w:rsidRPr="00875385">
              <w:t xml:space="preserve"> </w:t>
            </w:r>
            <w:r>
              <w:t>permit</w:t>
            </w:r>
          </w:p>
        </w:tc>
        <w:tc>
          <w:tcPr>
            <w:tcW w:w="793" w:type="dxa"/>
            <w:shd w:val="clear" w:color="auto" w:fill="auto"/>
          </w:tcPr>
          <w:p w14:paraId="74455CF5"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25" w:type="dxa"/>
            <w:shd w:val="clear" w:color="auto" w:fill="auto"/>
          </w:tcPr>
          <w:p w14:paraId="240C1F16" w14:textId="77777777" w:rsidR="00122C1B" w:rsidRPr="00565C17" w:rsidRDefault="00122C1B" w:rsidP="002F4956">
            <w:pPr>
              <w:pStyle w:val="TableParagraph"/>
              <w:jc w:val="center"/>
              <w:rPr>
                <w:color w:val="0C81BC"/>
              </w:rPr>
            </w:pPr>
          </w:p>
        </w:tc>
        <w:tc>
          <w:tcPr>
            <w:tcW w:w="1276" w:type="dxa"/>
            <w:shd w:val="clear" w:color="auto" w:fill="auto"/>
          </w:tcPr>
          <w:p w14:paraId="0011610B" w14:textId="77777777" w:rsidR="00122C1B" w:rsidRPr="00565C17" w:rsidRDefault="00122C1B" w:rsidP="002F4956">
            <w:pPr>
              <w:pStyle w:val="TableParagraph"/>
              <w:jc w:val="center"/>
              <w:rPr>
                <w:color w:val="0C81BC"/>
              </w:rPr>
            </w:pPr>
          </w:p>
        </w:tc>
        <w:tc>
          <w:tcPr>
            <w:tcW w:w="944" w:type="dxa"/>
            <w:shd w:val="clear" w:color="auto" w:fill="auto"/>
          </w:tcPr>
          <w:p w14:paraId="35C49280"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5135187C" w14:textId="77777777" w:rsidR="00122C1B" w:rsidRPr="00565C17" w:rsidRDefault="00122C1B" w:rsidP="002F4956">
            <w:pPr>
              <w:pStyle w:val="TableParagraph"/>
              <w:jc w:val="center"/>
              <w:rPr>
                <w:color w:val="0C81BC"/>
              </w:rPr>
            </w:pPr>
            <w:r w:rsidRPr="00565C17">
              <w:rPr>
                <w:rFonts w:cs="Segoe UI"/>
                <w:color w:val="0C81BC"/>
              </w:rPr>
              <w:sym w:font="Wingdings" w:char="F06C"/>
            </w:r>
          </w:p>
        </w:tc>
      </w:tr>
      <w:tr w:rsidR="00122C1B" w14:paraId="2B115AFE"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7D8C41AD" w14:textId="77777777" w:rsidR="00122C1B" w:rsidRDefault="00122C1B" w:rsidP="005F6F8B">
            <w:pPr>
              <w:pStyle w:val="TableList1"/>
            </w:pPr>
            <w:r>
              <w:t>Knowledge test to obtain learner permit</w:t>
            </w:r>
          </w:p>
        </w:tc>
        <w:tc>
          <w:tcPr>
            <w:tcW w:w="793" w:type="dxa"/>
            <w:shd w:val="clear" w:color="auto" w:fill="auto"/>
          </w:tcPr>
          <w:p w14:paraId="08C0881B"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25" w:type="dxa"/>
            <w:shd w:val="clear" w:color="auto" w:fill="auto"/>
          </w:tcPr>
          <w:p w14:paraId="5D3229D5" w14:textId="77777777" w:rsidR="00122C1B" w:rsidRPr="00565C17" w:rsidRDefault="00122C1B" w:rsidP="002F4956">
            <w:pPr>
              <w:pStyle w:val="TableParagraph"/>
              <w:jc w:val="center"/>
              <w:rPr>
                <w:color w:val="0C81BC"/>
              </w:rPr>
            </w:pPr>
          </w:p>
        </w:tc>
        <w:tc>
          <w:tcPr>
            <w:tcW w:w="1276" w:type="dxa"/>
            <w:shd w:val="clear" w:color="auto" w:fill="auto"/>
          </w:tcPr>
          <w:p w14:paraId="687BA8CB" w14:textId="77777777" w:rsidR="00122C1B" w:rsidRPr="00565C17" w:rsidRDefault="00122C1B" w:rsidP="002F4956">
            <w:pPr>
              <w:pStyle w:val="TableParagraph"/>
              <w:jc w:val="center"/>
              <w:rPr>
                <w:color w:val="0C81BC"/>
              </w:rPr>
            </w:pPr>
          </w:p>
        </w:tc>
        <w:tc>
          <w:tcPr>
            <w:tcW w:w="944" w:type="dxa"/>
            <w:shd w:val="clear" w:color="auto" w:fill="auto"/>
          </w:tcPr>
          <w:p w14:paraId="6B075A78"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1426AEEC" w14:textId="77777777" w:rsidR="00122C1B" w:rsidRDefault="00122C1B" w:rsidP="002F4956">
            <w:pPr>
              <w:pStyle w:val="TableParagraph"/>
              <w:jc w:val="center"/>
            </w:pPr>
            <w:r w:rsidRPr="00565C17">
              <w:rPr>
                <w:rFonts w:cs="Segoe UI"/>
                <w:color w:val="0C81BC"/>
              </w:rPr>
              <w:sym w:font="Wingdings" w:char="F06C"/>
            </w:r>
            <w:r w:rsidRPr="00656369">
              <w:rPr>
                <w:rStyle w:val="EndnoteReference"/>
                <w:rFonts w:cs="Segoe UI"/>
              </w:rPr>
              <w:endnoteReference w:id="388"/>
            </w:r>
          </w:p>
        </w:tc>
      </w:tr>
      <w:tr w:rsidR="00122C1B" w14:paraId="607F0288" w14:textId="77777777" w:rsidTr="00FB62BD">
        <w:tc>
          <w:tcPr>
            <w:tcW w:w="4248" w:type="dxa"/>
            <w:shd w:val="clear" w:color="auto" w:fill="auto"/>
          </w:tcPr>
          <w:p w14:paraId="53DC9225" w14:textId="77777777" w:rsidR="00122C1B" w:rsidRDefault="00122C1B" w:rsidP="005F6F8B">
            <w:pPr>
              <w:pStyle w:val="TableList1"/>
            </w:pPr>
            <w:r w:rsidRPr="00875385">
              <w:t>Zero</w:t>
            </w:r>
            <w:r>
              <w:t xml:space="preserve"> </w:t>
            </w:r>
            <w:r w:rsidR="007F05B8">
              <w:t xml:space="preserve">blood or breath alcohol concentration </w:t>
            </w:r>
            <w:r>
              <w:t>limit applies</w:t>
            </w:r>
            <w:r w:rsidRPr="00875385">
              <w:t xml:space="preserve"> </w:t>
            </w:r>
          </w:p>
        </w:tc>
        <w:tc>
          <w:tcPr>
            <w:tcW w:w="793" w:type="dxa"/>
            <w:shd w:val="clear" w:color="auto" w:fill="auto"/>
          </w:tcPr>
          <w:p w14:paraId="4FDF8768"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25" w:type="dxa"/>
            <w:shd w:val="clear" w:color="auto" w:fill="auto"/>
          </w:tcPr>
          <w:p w14:paraId="4D5A852F" w14:textId="77777777" w:rsidR="00122C1B" w:rsidRPr="00565C17" w:rsidRDefault="00122C1B" w:rsidP="002F4956">
            <w:pPr>
              <w:pStyle w:val="TableParagraph"/>
              <w:jc w:val="center"/>
              <w:rPr>
                <w:color w:val="0C81BC"/>
              </w:rPr>
            </w:pPr>
          </w:p>
        </w:tc>
        <w:tc>
          <w:tcPr>
            <w:tcW w:w="1276" w:type="dxa"/>
            <w:shd w:val="clear" w:color="auto" w:fill="auto"/>
          </w:tcPr>
          <w:p w14:paraId="24B44533" w14:textId="77777777" w:rsidR="00122C1B" w:rsidRPr="00565C17" w:rsidRDefault="00122C1B" w:rsidP="002F4956">
            <w:pPr>
              <w:pStyle w:val="TableParagraph"/>
              <w:jc w:val="center"/>
              <w:rPr>
                <w:color w:val="0C81BC"/>
              </w:rPr>
            </w:pPr>
          </w:p>
        </w:tc>
        <w:tc>
          <w:tcPr>
            <w:tcW w:w="944" w:type="dxa"/>
            <w:shd w:val="clear" w:color="auto" w:fill="auto"/>
          </w:tcPr>
          <w:p w14:paraId="32CF894C"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5ED3054B" w14:textId="77777777" w:rsidR="00122C1B" w:rsidRDefault="00122C1B" w:rsidP="002F4956">
            <w:pPr>
              <w:pStyle w:val="TableParagraph"/>
              <w:jc w:val="center"/>
            </w:pPr>
          </w:p>
        </w:tc>
      </w:tr>
      <w:tr w:rsidR="00122C1B" w14:paraId="02E1C346"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03911804" w14:textId="77777777" w:rsidR="00122C1B" w:rsidRDefault="00122C1B" w:rsidP="005F6F8B">
            <w:pPr>
              <w:pStyle w:val="TableList1"/>
            </w:pPr>
            <w:r>
              <w:t>Must display L</w:t>
            </w:r>
            <w:r w:rsidRPr="00875385">
              <w:t xml:space="preserve"> plate</w:t>
            </w:r>
            <w:r>
              <w:t xml:space="preserve"> </w:t>
            </w:r>
            <w:r w:rsidRPr="000F4E53">
              <w:t>on rear of motorcycle</w:t>
            </w:r>
          </w:p>
        </w:tc>
        <w:tc>
          <w:tcPr>
            <w:tcW w:w="793" w:type="dxa"/>
            <w:shd w:val="clear" w:color="auto" w:fill="auto"/>
          </w:tcPr>
          <w:p w14:paraId="7053078C" w14:textId="77777777" w:rsidR="00122C1B" w:rsidRPr="00565C17" w:rsidRDefault="00122C1B" w:rsidP="002F4956">
            <w:pPr>
              <w:pStyle w:val="TableParagraph"/>
              <w:jc w:val="center"/>
              <w:rPr>
                <w:color w:val="0C81BC"/>
              </w:rPr>
            </w:pPr>
          </w:p>
        </w:tc>
        <w:tc>
          <w:tcPr>
            <w:tcW w:w="1225" w:type="dxa"/>
            <w:shd w:val="clear" w:color="auto" w:fill="auto"/>
          </w:tcPr>
          <w:p w14:paraId="3C558B9B"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76" w:type="dxa"/>
            <w:shd w:val="clear" w:color="auto" w:fill="auto"/>
          </w:tcPr>
          <w:p w14:paraId="38D99BFD" w14:textId="77777777" w:rsidR="00122C1B" w:rsidRPr="00565C17" w:rsidRDefault="00122C1B" w:rsidP="002F4956">
            <w:pPr>
              <w:pStyle w:val="TableParagraph"/>
              <w:jc w:val="center"/>
              <w:rPr>
                <w:color w:val="0C81BC"/>
              </w:rPr>
            </w:pPr>
          </w:p>
        </w:tc>
        <w:tc>
          <w:tcPr>
            <w:tcW w:w="944" w:type="dxa"/>
            <w:shd w:val="clear" w:color="auto" w:fill="auto"/>
          </w:tcPr>
          <w:p w14:paraId="0F421B38"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761AF2CE" w14:textId="77777777" w:rsidR="00122C1B" w:rsidRDefault="00122C1B" w:rsidP="002F4956">
            <w:pPr>
              <w:pStyle w:val="TableParagraph"/>
              <w:jc w:val="center"/>
            </w:pPr>
          </w:p>
        </w:tc>
      </w:tr>
      <w:tr w:rsidR="00122C1B" w14:paraId="37DA447B" w14:textId="77777777" w:rsidTr="00FB62BD">
        <w:tc>
          <w:tcPr>
            <w:tcW w:w="4248" w:type="dxa"/>
            <w:shd w:val="clear" w:color="auto" w:fill="auto"/>
          </w:tcPr>
          <w:p w14:paraId="2A0D006A" w14:textId="77777777" w:rsidR="00122C1B" w:rsidRDefault="00122C1B" w:rsidP="005F6F8B">
            <w:pPr>
              <w:pStyle w:val="TableList1"/>
            </w:pPr>
            <w:r w:rsidRPr="000F4E53">
              <w:t>Only permitted to ride a learner approved motorcycle</w:t>
            </w:r>
          </w:p>
        </w:tc>
        <w:tc>
          <w:tcPr>
            <w:tcW w:w="793" w:type="dxa"/>
            <w:shd w:val="clear" w:color="auto" w:fill="auto"/>
          </w:tcPr>
          <w:p w14:paraId="4FD5ADE3" w14:textId="77777777" w:rsidR="00122C1B" w:rsidRPr="00565C17" w:rsidRDefault="00122C1B" w:rsidP="002F4956">
            <w:pPr>
              <w:pStyle w:val="TableParagraph"/>
              <w:jc w:val="center"/>
              <w:rPr>
                <w:color w:val="0C81BC"/>
              </w:rPr>
            </w:pPr>
          </w:p>
        </w:tc>
        <w:tc>
          <w:tcPr>
            <w:tcW w:w="1225" w:type="dxa"/>
            <w:shd w:val="clear" w:color="auto" w:fill="auto"/>
          </w:tcPr>
          <w:p w14:paraId="537CC3F7"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76" w:type="dxa"/>
            <w:shd w:val="clear" w:color="auto" w:fill="auto"/>
          </w:tcPr>
          <w:p w14:paraId="7476C726" w14:textId="77777777" w:rsidR="00122C1B" w:rsidRPr="00565C17" w:rsidRDefault="00122C1B" w:rsidP="002F4956">
            <w:pPr>
              <w:pStyle w:val="TableParagraph"/>
              <w:jc w:val="center"/>
              <w:rPr>
                <w:color w:val="0C81BC"/>
              </w:rPr>
            </w:pPr>
          </w:p>
        </w:tc>
        <w:tc>
          <w:tcPr>
            <w:tcW w:w="944" w:type="dxa"/>
            <w:shd w:val="clear" w:color="auto" w:fill="auto"/>
          </w:tcPr>
          <w:p w14:paraId="0BC2F6A4"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517CB28A" w14:textId="167AEF91" w:rsidR="00122C1B" w:rsidRDefault="00122C1B" w:rsidP="002F4956">
            <w:pPr>
              <w:pStyle w:val="TableParagraph"/>
              <w:jc w:val="center"/>
            </w:pPr>
            <w:r w:rsidRPr="00565C17">
              <w:rPr>
                <w:rFonts w:cs="Segoe UI"/>
                <w:color w:val="0C81BC"/>
              </w:rPr>
              <w:sym w:font="Wingdings" w:char="F06C"/>
            </w:r>
            <w:r w:rsidRPr="00B8298F">
              <w:rPr>
                <w:rFonts w:cs="Segoe UI"/>
                <w:vertAlign w:val="superscript"/>
              </w:rPr>
              <w:fldChar w:fldCharType="begin"/>
            </w:r>
            <w:r w:rsidRPr="00B8298F">
              <w:rPr>
                <w:rFonts w:cs="Segoe UI"/>
                <w:vertAlign w:val="superscript"/>
              </w:rPr>
              <w:instrText xml:space="preserve"> NOTEREF _Ref508288805 \h  \* MERGEFORMAT </w:instrText>
            </w:r>
            <w:r w:rsidRPr="00B8298F">
              <w:rPr>
                <w:rFonts w:cs="Segoe UI"/>
                <w:vertAlign w:val="superscript"/>
              </w:rPr>
            </w:r>
            <w:r w:rsidRPr="00B8298F">
              <w:rPr>
                <w:rFonts w:cs="Segoe UI"/>
                <w:vertAlign w:val="superscript"/>
              </w:rPr>
              <w:fldChar w:fldCharType="separate"/>
            </w:r>
            <w:bookmarkStart w:id="584" w:name="_Ref508375254"/>
            <w:r w:rsidR="00EB4B02" w:rsidRPr="00EB4B02">
              <w:rPr>
                <w:rStyle w:val="EndnoteReference"/>
              </w:rPr>
              <w:t>354</w:t>
            </w:r>
            <w:bookmarkEnd w:id="584"/>
            <w:r w:rsidRPr="00B8298F">
              <w:rPr>
                <w:rFonts w:cs="Segoe UI"/>
                <w:vertAlign w:val="superscript"/>
              </w:rPr>
              <w:fldChar w:fldCharType="end"/>
            </w:r>
          </w:p>
        </w:tc>
      </w:tr>
      <w:tr w:rsidR="00122C1B" w14:paraId="6A71A97D"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4B81EF2F" w14:textId="77777777" w:rsidR="00122C1B" w:rsidRPr="00A644A7" w:rsidRDefault="00122C1B" w:rsidP="005F6F8B">
            <w:pPr>
              <w:pStyle w:val="TableList1"/>
            </w:pPr>
            <w:r>
              <w:lastRenderedPageBreak/>
              <w:t>Must not</w:t>
            </w:r>
            <w:r w:rsidRPr="00A644A7">
              <w:t xml:space="preserve"> carry a pillion passenger</w:t>
            </w:r>
          </w:p>
        </w:tc>
        <w:tc>
          <w:tcPr>
            <w:tcW w:w="793" w:type="dxa"/>
            <w:shd w:val="clear" w:color="auto" w:fill="auto"/>
          </w:tcPr>
          <w:p w14:paraId="52C1C95F" w14:textId="77777777" w:rsidR="00122C1B" w:rsidRPr="00565C17" w:rsidRDefault="00122C1B" w:rsidP="002F4956">
            <w:pPr>
              <w:pStyle w:val="TableParagraph"/>
              <w:jc w:val="center"/>
              <w:rPr>
                <w:color w:val="0C81BC"/>
              </w:rPr>
            </w:pPr>
          </w:p>
        </w:tc>
        <w:tc>
          <w:tcPr>
            <w:tcW w:w="1225" w:type="dxa"/>
            <w:shd w:val="clear" w:color="auto" w:fill="auto"/>
          </w:tcPr>
          <w:p w14:paraId="6F571F8B"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76" w:type="dxa"/>
            <w:shd w:val="clear" w:color="auto" w:fill="auto"/>
          </w:tcPr>
          <w:p w14:paraId="7C62161F" w14:textId="77777777" w:rsidR="00122C1B" w:rsidRPr="00565C17" w:rsidRDefault="00122C1B" w:rsidP="002F4956">
            <w:pPr>
              <w:pStyle w:val="TableParagraph"/>
              <w:jc w:val="center"/>
              <w:rPr>
                <w:color w:val="0C81BC"/>
              </w:rPr>
            </w:pPr>
          </w:p>
        </w:tc>
        <w:tc>
          <w:tcPr>
            <w:tcW w:w="944" w:type="dxa"/>
            <w:shd w:val="clear" w:color="auto" w:fill="auto"/>
          </w:tcPr>
          <w:p w14:paraId="59F7A290"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0C245F88" w14:textId="77777777" w:rsidR="00122C1B" w:rsidRDefault="00122C1B" w:rsidP="002F4956">
            <w:pPr>
              <w:pStyle w:val="TableParagraph"/>
              <w:jc w:val="center"/>
            </w:pPr>
          </w:p>
        </w:tc>
      </w:tr>
      <w:tr w:rsidR="00122C1B" w14:paraId="0A13D188" w14:textId="77777777" w:rsidTr="00FB62BD">
        <w:tc>
          <w:tcPr>
            <w:tcW w:w="4248" w:type="dxa"/>
            <w:shd w:val="clear" w:color="auto" w:fill="auto"/>
          </w:tcPr>
          <w:p w14:paraId="25800C62" w14:textId="77777777" w:rsidR="00122C1B" w:rsidRDefault="00122C1B" w:rsidP="005F6F8B">
            <w:pPr>
              <w:pStyle w:val="TableList1"/>
            </w:pPr>
            <w:r>
              <w:t>No towing</w:t>
            </w:r>
          </w:p>
        </w:tc>
        <w:tc>
          <w:tcPr>
            <w:tcW w:w="793" w:type="dxa"/>
            <w:shd w:val="clear" w:color="auto" w:fill="auto"/>
          </w:tcPr>
          <w:p w14:paraId="3C67DBA0" w14:textId="77777777" w:rsidR="00122C1B" w:rsidRPr="00565C17" w:rsidRDefault="00122C1B" w:rsidP="002F4956">
            <w:pPr>
              <w:pStyle w:val="TableParagraph"/>
              <w:jc w:val="center"/>
              <w:rPr>
                <w:color w:val="0C81BC"/>
              </w:rPr>
            </w:pPr>
          </w:p>
        </w:tc>
        <w:tc>
          <w:tcPr>
            <w:tcW w:w="1225" w:type="dxa"/>
            <w:shd w:val="clear" w:color="auto" w:fill="auto"/>
          </w:tcPr>
          <w:p w14:paraId="776162A9"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76" w:type="dxa"/>
            <w:shd w:val="clear" w:color="auto" w:fill="auto"/>
          </w:tcPr>
          <w:p w14:paraId="6E12EFEB" w14:textId="77777777" w:rsidR="00122C1B" w:rsidRPr="00565C17" w:rsidRDefault="00122C1B" w:rsidP="002F4956">
            <w:pPr>
              <w:pStyle w:val="TableParagraph"/>
              <w:jc w:val="center"/>
              <w:rPr>
                <w:color w:val="0C81BC"/>
              </w:rPr>
            </w:pPr>
          </w:p>
        </w:tc>
        <w:tc>
          <w:tcPr>
            <w:tcW w:w="944" w:type="dxa"/>
            <w:shd w:val="clear" w:color="auto" w:fill="auto"/>
          </w:tcPr>
          <w:p w14:paraId="678AF464"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58CEA16E" w14:textId="77777777" w:rsidR="00122C1B" w:rsidRDefault="00122C1B" w:rsidP="002F4956">
            <w:pPr>
              <w:pStyle w:val="TableParagraph"/>
              <w:jc w:val="center"/>
            </w:pPr>
          </w:p>
        </w:tc>
      </w:tr>
      <w:tr w:rsidR="00122C1B" w14:paraId="0B133F88"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3559F658" w14:textId="77777777" w:rsidR="00122C1B" w:rsidRDefault="00122C1B" w:rsidP="005F6F8B">
            <w:pPr>
              <w:pStyle w:val="TableList1"/>
            </w:pPr>
            <w:r>
              <w:t>Must ride with headlight on at all times</w:t>
            </w:r>
          </w:p>
        </w:tc>
        <w:tc>
          <w:tcPr>
            <w:tcW w:w="793" w:type="dxa"/>
            <w:shd w:val="clear" w:color="auto" w:fill="auto"/>
          </w:tcPr>
          <w:p w14:paraId="574C60B0" w14:textId="77777777" w:rsidR="00122C1B" w:rsidRPr="00565C17" w:rsidRDefault="00122C1B" w:rsidP="002F4956">
            <w:pPr>
              <w:pStyle w:val="TableParagraph"/>
              <w:jc w:val="center"/>
              <w:rPr>
                <w:color w:val="0C81BC"/>
              </w:rPr>
            </w:pPr>
          </w:p>
        </w:tc>
        <w:tc>
          <w:tcPr>
            <w:tcW w:w="1225" w:type="dxa"/>
            <w:shd w:val="clear" w:color="auto" w:fill="auto"/>
          </w:tcPr>
          <w:p w14:paraId="28262E29"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5BC595C9" w14:textId="77777777" w:rsidR="00122C1B" w:rsidRPr="00565C17" w:rsidRDefault="00122C1B" w:rsidP="002F4956">
            <w:pPr>
              <w:pStyle w:val="TableParagraph"/>
              <w:jc w:val="center"/>
              <w:rPr>
                <w:color w:val="0C81BC"/>
              </w:rPr>
            </w:pPr>
          </w:p>
        </w:tc>
        <w:tc>
          <w:tcPr>
            <w:tcW w:w="944" w:type="dxa"/>
            <w:shd w:val="clear" w:color="auto" w:fill="auto"/>
          </w:tcPr>
          <w:p w14:paraId="46103761"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77296BA3" w14:textId="77777777" w:rsidR="00122C1B" w:rsidRDefault="00122C1B" w:rsidP="002F4956">
            <w:pPr>
              <w:pStyle w:val="TableParagraph"/>
              <w:jc w:val="center"/>
            </w:pPr>
          </w:p>
        </w:tc>
      </w:tr>
      <w:tr w:rsidR="00122C1B" w14:paraId="2968B74E" w14:textId="77777777" w:rsidTr="00FB62BD">
        <w:tc>
          <w:tcPr>
            <w:tcW w:w="4248" w:type="dxa"/>
            <w:shd w:val="clear" w:color="auto" w:fill="auto"/>
          </w:tcPr>
          <w:p w14:paraId="7C790CDC" w14:textId="77777777" w:rsidR="00122C1B" w:rsidRDefault="00122C1B" w:rsidP="005F6F8B">
            <w:pPr>
              <w:pStyle w:val="TableList1"/>
            </w:pPr>
            <w:r>
              <w:t xml:space="preserve">Must </w:t>
            </w:r>
            <w:r w:rsidRPr="00724D82">
              <w:t>wear an approved high visibility vest or jacket that is visible and is securely fitted and fastened</w:t>
            </w:r>
          </w:p>
        </w:tc>
        <w:tc>
          <w:tcPr>
            <w:tcW w:w="793" w:type="dxa"/>
            <w:shd w:val="clear" w:color="auto" w:fill="auto"/>
          </w:tcPr>
          <w:p w14:paraId="4AEF4690" w14:textId="77777777" w:rsidR="00122C1B" w:rsidRPr="00565C17" w:rsidRDefault="00122C1B" w:rsidP="002F4956">
            <w:pPr>
              <w:pStyle w:val="TableParagraph"/>
              <w:jc w:val="center"/>
              <w:rPr>
                <w:color w:val="0C81BC"/>
              </w:rPr>
            </w:pPr>
          </w:p>
        </w:tc>
        <w:tc>
          <w:tcPr>
            <w:tcW w:w="1225" w:type="dxa"/>
            <w:shd w:val="clear" w:color="auto" w:fill="auto"/>
          </w:tcPr>
          <w:p w14:paraId="5872D8DA"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48F61B88" w14:textId="77777777" w:rsidR="00122C1B" w:rsidRPr="00565C17" w:rsidRDefault="00122C1B" w:rsidP="002F4956">
            <w:pPr>
              <w:pStyle w:val="TableParagraph"/>
              <w:jc w:val="center"/>
              <w:rPr>
                <w:color w:val="0C81BC"/>
              </w:rPr>
            </w:pPr>
          </w:p>
        </w:tc>
        <w:tc>
          <w:tcPr>
            <w:tcW w:w="944" w:type="dxa"/>
            <w:shd w:val="clear" w:color="auto" w:fill="auto"/>
          </w:tcPr>
          <w:p w14:paraId="248AFF4F"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03713772" w14:textId="77777777" w:rsidR="00122C1B" w:rsidRDefault="00122C1B" w:rsidP="002F4956">
            <w:pPr>
              <w:pStyle w:val="TableParagraph"/>
              <w:jc w:val="center"/>
            </w:pPr>
          </w:p>
        </w:tc>
      </w:tr>
      <w:tr w:rsidR="00122C1B" w14:paraId="35F889EB"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314CE93A" w14:textId="77777777" w:rsidR="00122C1B" w:rsidRDefault="00122C1B" w:rsidP="005F6F8B">
            <w:pPr>
              <w:pStyle w:val="TableList1"/>
            </w:pPr>
            <w:r>
              <w:t>No mobile phone use</w:t>
            </w:r>
          </w:p>
        </w:tc>
        <w:tc>
          <w:tcPr>
            <w:tcW w:w="793" w:type="dxa"/>
            <w:shd w:val="clear" w:color="auto" w:fill="auto"/>
          </w:tcPr>
          <w:p w14:paraId="6E9C3141" w14:textId="77777777" w:rsidR="00122C1B" w:rsidRPr="00565C17" w:rsidRDefault="00122C1B" w:rsidP="002F4956">
            <w:pPr>
              <w:pStyle w:val="TableParagraph"/>
              <w:jc w:val="center"/>
              <w:rPr>
                <w:color w:val="0C81BC"/>
              </w:rPr>
            </w:pPr>
          </w:p>
        </w:tc>
        <w:tc>
          <w:tcPr>
            <w:tcW w:w="1225" w:type="dxa"/>
            <w:shd w:val="clear" w:color="auto" w:fill="auto"/>
          </w:tcPr>
          <w:p w14:paraId="791A8CFC"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0A9FA1DA" w14:textId="77777777" w:rsidR="00122C1B" w:rsidRPr="00565C17" w:rsidRDefault="00122C1B" w:rsidP="002F4956">
            <w:pPr>
              <w:pStyle w:val="TableParagraph"/>
              <w:jc w:val="center"/>
              <w:rPr>
                <w:color w:val="0C81BC"/>
              </w:rPr>
            </w:pPr>
          </w:p>
        </w:tc>
        <w:tc>
          <w:tcPr>
            <w:tcW w:w="944" w:type="dxa"/>
            <w:shd w:val="clear" w:color="auto" w:fill="auto"/>
          </w:tcPr>
          <w:p w14:paraId="2910D6E1"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06102F70" w14:textId="77777777" w:rsidR="00122C1B" w:rsidRDefault="00122C1B" w:rsidP="002F4956">
            <w:pPr>
              <w:pStyle w:val="TableParagraph"/>
              <w:jc w:val="center"/>
            </w:pPr>
          </w:p>
        </w:tc>
      </w:tr>
      <w:tr w:rsidR="00122C1B" w14:paraId="4438993C" w14:textId="77777777" w:rsidTr="00FB62BD">
        <w:tc>
          <w:tcPr>
            <w:tcW w:w="4248" w:type="dxa"/>
            <w:shd w:val="clear" w:color="auto" w:fill="auto"/>
          </w:tcPr>
          <w:p w14:paraId="1ACFD8FC" w14:textId="77777777" w:rsidR="00122C1B" w:rsidRDefault="00122C1B" w:rsidP="005F6F8B">
            <w:pPr>
              <w:pStyle w:val="TableList1"/>
            </w:pPr>
            <w:r>
              <w:t>If tested on an automatic motorcycle, restricted to riding an automatic motorcycle</w:t>
            </w:r>
          </w:p>
        </w:tc>
        <w:tc>
          <w:tcPr>
            <w:tcW w:w="793" w:type="dxa"/>
            <w:shd w:val="clear" w:color="auto" w:fill="auto"/>
          </w:tcPr>
          <w:p w14:paraId="32C40281" w14:textId="77777777" w:rsidR="00122C1B" w:rsidRPr="00565C17" w:rsidRDefault="00122C1B" w:rsidP="002F4956">
            <w:pPr>
              <w:pStyle w:val="TableParagraph"/>
              <w:jc w:val="center"/>
              <w:rPr>
                <w:color w:val="0C81BC"/>
              </w:rPr>
            </w:pPr>
          </w:p>
        </w:tc>
        <w:tc>
          <w:tcPr>
            <w:tcW w:w="1225" w:type="dxa"/>
            <w:shd w:val="clear" w:color="auto" w:fill="auto"/>
          </w:tcPr>
          <w:p w14:paraId="24A0E93B"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4C203228" w14:textId="77777777" w:rsidR="00122C1B" w:rsidRPr="00565C17" w:rsidRDefault="00122C1B" w:rsidP="002F4956">
            <w:pPr>
              <w:pStyle w:val="TableParagraph"/>
              <w:jc w:val="center"/>
              <w:rPr>
                <w:color w:val="0C81BC"/>
              </w:rPr>
            </w:pPr>
          </w:p>
        </w:tc>
        <w:tc>
          <w:tcPr>
            <w:tcW w:w="944" w:type="dxa"/>
            <w:shd w:val="clear" w:color="auto" w:fill="auto"/>
          </w:tcPr>
          <w:p w14:paraId="0A310B71"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1690988A" w14:textId="77777777" w:rsidR="00122C1B" w:rsidRDefault="00122C1B" w:rsidP="002F4956">
            <w:pPr>
              <w:pStyle w:val="TableParagraph"/>
              <w:jc w:val="center"/>
            </w:pPr>
          </w:p>
        </w:tc>
      </w:tr>
      <w:tr w:rsidR="00122C1B" w14:paraId="3CAD8A96"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4A5B67FD" w14:textId="77777777" w:rsidR="00122C1B" w:rsidRDefault="00122C1B" w:rsidP="005F6F8B">
            <w:pPr>
              <w:pStyle w:val="TableList1"/>
            </w:pPr>
            <w:r>
              <w:t>Demerit points: No more than 5 demerit points in any 12-month period OR 12 points in any 3-year period</w:t>
            </w:r>
          </w:p>
        </w:tc>
        <w:tc>
          <w:tcPr>
            <w:tcW w:w="793" w:type="dxa"/>
            <w:shd w:val="clear" w:color="auto" w:fill="auto"/>
          </w:tcPr>
          <w:p w14:paraId="2FB142E8"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25" w:type="dxa"/>
            <w:shd w:val="clear" w:color="auto" w:fill="auto"/>
          </w:tcPr>
          <w:p w14:paraId="3E608AA2" w14:textId="77777777" w:rsidR="00122C1B" w:rsidRPr="00565C17" w:rsidRDefault="00122C1B" w:rsidP="002F4956">
            <w:pPr>
              <w:pStyle w:val="TableParagraph"/>
              <w:jc w:val="center"/>
              <w:rPr>
                <w:color w:val="0C81BC"/>
              </w:rPr>
            </w:pPr>
          </w:p>
        </w:tc>
        <w:tc>
          <w:tcPr>
            <w:tcW w:w="1276" w:type="dxa"/>
            <w:shd w:val="clear" w:color="auto" w:fill="auto"/>
          </w:tcPr>
          <w:p w14:paraId="18B34637" w14:textId="77777777" w:rsidR="00122C1B" w:rsidRPr="00565C17" w:rsidRDefault="00122C1B" w:rsidP="002F4956">
            <w:pPr>
              <w:pStyle w:val="TableParagraph"/>
              <w:jc w:val="center"/>
              <w:rPr>
                <w:color w:val="0C81BC"/>
              </w:rPr>
            </w:pPr>
          </w:p>
        </w:tc>
        <w:tc>
          <w:tcPr>
            <w:tcW w:w="944" w:type="dxa"/>
            <w:shd w:val="clear" w:color="auto" w:fill="auto"/>
          </w:tcPr>
          <w:p w14:paraId="30996BE5"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08CD07B6" w14:textId="77777777" w:rsidR="00122C1B" w:rsidRDefault="00122C1B" w:rsidP="002F4956">
            <w:pPr>
              <w:pStyle w:val="TableParagraph"/>
              <w:jc w:val="center"/>
            </w:pPr>
            <w:r w:rsidRPr="00565C17">
              <w:rPr>
                <w:rFonts w:cs="Segoe UI"/>
                <w:color w:val="0C81BC"/>
              </w:rPr>
              <w:sym w:font="Wingdings" w:char="F06C"/>
            </w:r>
            <w:r w:rsidRPr="00167F8C">
              <w:rPr>
                <w:rStyle w:val="EndnoteReference"/>
                <w:rFonts w:cs="Segoe UI"/>
              </w:rPr>
              <w:endnoteReference w:id="389"/>
            </w:r>
          </w:p>
        </w:tc>
      </w:tr>
      <w:tr w:rsidR="00122C1B" w:rsidRPr="00875385" w14:paraId="78FCFFB8" w14:textId="77777777" w:rsidTr="00B22DE1">
        <w:tc>
          <w:tcPr>
            <w:tcW w:w="4248" w:type="dxa"/>
            <w:shd w:val="clear" w:color="auto" w:fill="DDE8F4" w:themeFill="text2" w:themeFillTint="1A"/>
          </w:tcPr>
          <w:p w14:paraId="68AA828B" w14:textId="77777777" w:rsidR="00122C1B" w:rsidRPr="00875385" w:rsidRDefault="00122C1B" w:rsidP="00565C17">
            <w:pPr>
              <w:pStyle w:val="TableParagraph"/>
              <w:keepNext/>
              <w:rPr>
                <w:b/>
              </w:rPr>
            </w:pPr>
            <w:r>
              <w:rPr>
                <w:b/>
              </w:rPr>
              <w:t>Probationary Licence</w:t>
            </w:r>
          </w:p>
        </w:tc>
        <w:tc>
          <w:tcPr>
            <w:tcW w:w="793" w:type="dxa"/>
            <w:shd w:val="clear" w:color="auto" w:fill="DDE8F4" w:themeFill="text2" w:themeFillTint="1A"/>
          </w:tcPr>
          <w:p w14:paraId="705EF778" w14:textId="77777777" w:rsidR="00122C1B" w:rsidRPr="00875385" w:rsidRDefault="00122C1B" w:rsidP="00565C17">
            <w:pPr>
              <w:pStyle w:val="TableParagraph"/>
              <w:keepNext/>
              <w:jc w:val="center"/>
              <w:rPr>
                <w:b/>
              </w:rPr>
            </w:pPr>
          </w:p>
        </w:tc>
        <w:tc>
          <w:tcPr>
            <w:tcW w:w="1225" w:type="dxa"/>
            <w:shd w:val="clear" w:color="auto" w:fill="DDE8F4" w:themeFill="text2" w:themeFillTint="1A"/>
          </w:tcPr>
          <w:p w14:paraId="0648A2CB" w14:textId="77777777" w:rsidR="00122C1B" w:rsidRPr="00875385" w:rsidRDefault="00122C1B" w:rsidP="00565C17">
            <w:pPr>
              <w:pStyle w:val="TableParagraph"/>
              <w:keepNext/>
              <w:jc w:val="center"/>
              <w:rPr>
                <w:b/>
              </w:rPr>
            </w:pPr>
          </w:p>
        </w:tc>
        <w:tc>
          <w:tcPr>
            <w:tcW w:w="1276" w:type="dxa"/>
            <w:shd w:val="clear" w:color="auto" w:fill="DDE8F4" w:themeFill="text2" w:themeFillTint="1A"/>
          </w:tcPr>
          <w:p w14:paraId="2B9A0450" w14:textId="77777777" w:rsidR="00122C1B" w:rsidRPr="00875385" w:rsidRDefault="00122C1B" w:rsidP="00565C17">
            <w:pPr>
              <w:pStyle w:val="TableParagraph"/>
              <w:keepNext/>
              <w:jc w:val="center"/>
              <w:rPr>
                <w:b/>
              </w:rPr>
            </w:pPr>
          </w:p>
        </w:tc>
        <w:tc>
          <w:tcPr>
            <w:tcW w:w="944" w:type="dxa"/>
            <w:shd w:val="clear" w:color="auto" w:fill="DDE8F4" w:themeFill="text2" w:themeFillTint="1A"/>
          </w:tcPr>
          <w:p w14:paraId="4EA43E3D" w14:textId="77777777" w:rsidR="00122C1B" w:rsidRPr="00875385" w:rsidRDefault="00122C1B" w:rsidP="00565C17">
            <w:pPr>
              <w:pStyle w:val="TableParagraph"/>
              <w:keepNext/>
              <w:jc w:val="center"/>
              <w:rPr>
                <w:b/>
              </w:rPr>
            </w:pPr>
          </w:p>
        </w:tc>
        <w:tc>
          <w:tcPr>
            <w:tcW w:w="1466" w:type="dxa"/>
            <w:shd w:val="clear" w:color="auto" w:fill="DDE8F4" w:themeFill="text2" w:themeFillTint="1A"/>
          </w:tcPr>
          <w:p w14:paraId="0DF48773" w14:textId="77777777" w:rsidR="00122C1B" w:rsidRPr="00875385" w:rsidRDefault="00122C1B" w:rsidP="00565C17">
            <w:pPr>
              <w:pStyle w:val="TableParagraph"/>
              <w:keepNext/>
              <w:jc w:val="center"/>
              <w:rPr>
                <w:b/>
              </w:rPr>
            </w:pPr>
          </w:p>
        </w:tc>
      </w:tr>
      <w:tr w:rsidR="00122C1B" w14:paraId="11496D09"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1CEB37D9" w14:textId="77777777" w:rsidR="00122C1B" w:rsidRDefault="00122C1B" w:rsidP="005F6F8B">
            <w:pPr>
              <w:pStyle w:val="TableList1"/>
            </w:pPr>
            <w:r>
              <w:t>Term: up to 4 years (P1 + P2)</w:t>
            </w:r>
          </w:p>
        </w:tc>
        <w:tc>
          <w:tcPr>
            <w:tcW w:w="793" w:type="dxa"/>
            <w:shd w:val="clear" w:color="auto" w:fill="auto"/>
          </w:tcPr>
          <w:p w14:paraId="06CA3902" w14:textId="77777777" w:rsidR="00122C1B" w:rsidRPr="00565C17" w:rsidRDefault="00122C1B" w:rsidP="002F4956">
            <w:pPr>
              <w:pStyle w:val="TableParagraph"/>
              <w:jc w:val="center"/>
              <w:rPr>
                <w:rFonts w:cs="Segoe UI"/>
                <w:color w:val="0C81BC"/>
              </w:rPr>
            </w:pPr>
          </w:p>
        </w:tc>
        <w:tc>
          <w:tcPr>
            <w:tcW w:w="1225" w:type="dxa"/>
            <w:shd w:val="clear" w:color="auto" w:fill="auto"/>
          </w:tcPr>
          <w:p w14:paraId="16F9A58C"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02509898" w14:textId="77777777" w:rsidR="00122C1B" w:rsidRPr="00565C17" w:rsidRDefault="00122C1B" w:rsidP="002F4956">
            <w:pPr>
              <w:pStyle w:val="TableParagraph"/>
              <w:jc w:val="center"/>
              <w:rPr>
                <w:color w:val="0C81BC"/>
              </w:rPr>
            </w:pPr>
          </w:p>
        </w:tc>
        <w:tc>
          <w:tcPr>
            <w:tcW w:w="944" w:type="dxa"/>
            <w:shd w:val="clear" w:color="auto" w:fill="auto"/>
          </w:tcPr>
          <w:p w14:paraId="68FAC38D"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772CEB3D" w14:textId="77777777" w:rsidR="00122C1B" w:rsidRDefault="00122C1B" w:rsidP="002F4956">
            <w:pPr>
              <w:pStyle w:val="TableParagraph"/>
              <w:jc w:val="center"/>
            </w:pPr>
          </w:p>
        </w:tc>
      </w:tr>
      <w:tr w:rsidR="00122C1B" w14:paraId="22D9FBFA" w14:textId="77777777" w:rsidTr="00FB62BD">
        <w:tc>
          <w:tcPr>
            <w:tcW w:w="4248" w:type="dxa"/>
            <w:shd w:val="clear" w:color="auto" w:fill="auto"/>
          </w:tcPr>
          <w:p w14:paraId="48E8BF12" w14:textId="77777777" w:rsidR="00122C1B" w:rsidRPr="00E76DAA" w:rsidRDefault="00122C1B" w:rsidP="005F6F8B">
            <w:pPr>
              <w:pStyle w:val="TableList1"/>
            </w:pPr>
            <w:r w:rsidRPr="00E76DAA">
              <w:t xml:space="preserve">Must display </w:t>
            </w:r>
            <w:r>
              <w:t>red P plate (P1) or green P</w:t>
            </w:r>
            <w:r w:rsidRPr="00E76DAA">
              <w:t xml:space="preserve"> </w:t>
            </w:r>
            <w:r>
              <w:t>p</w:t>
            </w:r>
            <w:r w:rsidRPr="00E76DAA">
              <w:t>late</w:t>
            </w:r>
            <w:r>
              <w:t xml:space="preserve"> (P2) </w:t>
            </w:r>
            <w:r w:rsidRPr="000F4E53">
              <w:t>on rear of motorcycle</w:t>
            </w:r>
          </w:p>
        </w:tc>
        <w:tc>
          <w:tcPr>
            <w:tcW w:w="793" w:type="dxa"/>
            <w:shd w:val="clear" w:color="auto" w:fill="auto"/>
          </w:tcPr>
          <w:p w14:paraId="23F6F659" w14:textId="77777777" w:rsidR="00122C1B" w:rsidRPr="00565C17" w:rsidRDefault="00122C1B" w:rsidP="002F4956">
            <w:pPr>
              <w:pStyle w:val="TableParagraph"/>
              <w:jc w:val="center"/>
              <w:rPr>
                <w:color w:val="0C81BC"/>
              </w:rPr>
            </w:pPr>
          </w:p>
        </w:tc>
        <w:tc>
          <w:tcPr>
            <w:tcW w:w="1225" w:type="dxa"/>
            <w:shd w:val="clear" w:color="auto" w:fill="auto"/>
          </w:tcPr>
          <w:p w14:paraId="545581E2"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76" w:type="dxa"/>
            <w:shd w:val="clear" w:color="auto" w:fill="auto"/>
          </w:tcPr>
          <w:p w14:paraId="6F6494DD" w14:textId="77777777" w:rsidR="00122C1B" w:rsidRPr="00565C17" w:rsidRDefault="00122C1B" w:rsidP="002F4956">
            <w:pPr>
              <w:pStyle w:val="TableParagraph"/>
              <w:jc w:val="center"/>
              <w:rPr>
                <w:color w:val="0C81BC"/>
              </w:rPr>
            </w:pPr>
          </w:p>
        </w:tc>
        <w:tc>
          <w:tcPr>
            <w:tcW w:w="944" w:type="dxa"/>
            <w:shd w:val="clear" w:color="auto" w:fill="auto"/>
          </w:tcPr>
          <w:p w14:paraId="00AFD35B"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744C0147" w14:textId="77777777" w:rsidR="00122C1B" w:rsidRDefault="00122C1B" w:rsidP="002F4956">
            <w:pPr>
              <w:pStyle w:val="TableParagraph"/>
              <w:jc w:val="center"/>
            </w:pPr>
          </w:p>
        </w:tc>
      </w:tr>
      <w:tr w:rsidR="00122C1B" w14:paraId="38024943"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1FA47C84" w14:textId="77777777" w:rsidR="00122C1B" w:rsidRPr="00E76DAA" w:rsidRDefault="00122C1B" w:rsidP="005F6F8B">
            <w:pPr>
              <w:pStyle w:val="TableList1"/>
            </w:pPr>
            <w:r>
              <w:t>Compulsory c</w:t>
            </w:r>
            <w:r w:rsidRPr="00E76DAA">
              <w:t>arriage of probationary licence</w:t>
            </w:r>
          </w:p>
        </w:tc>
        <w:tc>
          <w:tcPr>
            <w:tcW w:w="793" w:type="dxa"/>
            <w:shd w:val="clear" w:color="auto" w:fill="auto"/>
          </w:tcPr>
          <w:p w14:paraId="04498D81"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25" w:type="dxa"/>
            <w:shd w:val="clear" w:color="auto" w:fill="auto"/>
          </w:tcPr>
          <w:p w14:paraId="14C62E29" w14:textId="77777777" w:rsidR="00122C1B" w:rsidRPr="00565C17" w:rsidRDefault="00122C1B" w:rsidP="002F4956">
            <w:pPr>
              <w:pStyle w:val="TableParagraph"/>
              <w:jc w:val="center"/>
              <w:rPr>
                <w:color w:val="0C81BC"/>
              </w:rPr>
            </w:pPr>
          </w:p>
        </w:tc>
        <w:tc>
          <w:tcPr>
            <w:tcW w:w="1276" w:type="dxa"/>
            <w:shd w:val="clear" w:color="auto" w:fill="auto"/>
          </w:tcPr>
          <w:p w14:paraId="11E59963" w14:textId="77777777" w:rsidR="00122C1B" w:rsidRPr="00565C17" w:rsidRDefault="00122C1B" w:rsidP="002F4956">
            <w:pPr>
              <w:pStyle w:val="TableParagraph"/>
              <w:jc w:val="center"/>
              <w:rPr>
                <w:color w:val="0C81BC"/>
              </w:rPr>
            </w:pPr>
          </w:p>
        </w:tc>
        <w:tc>
          <w:tcPr>
            <w:tcW w:w="944" w:type="dxa"/>
            <w:shd w:val="clear" w:color="auto" w:fill="auto"/>
          </w:tcPr>
          <w:p w14:paraId="303A312D"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437D4664" w14:textId="77777777" w:rsidR="00122C1B" w:rsidRDefault="00122C1B" w:rsidP="002F4956">
            <w:pPr>
              <w:pStyle w:val="TableParagraph"/>
              <w:jc w:val="center"/>
            </w:pPr>
            <w:r w:rsidRPr="00565C17">
              <w:rPr>
                <w:rFonts w:cs="Segoe UI"/>
                <w:color w:val="0C81BC"/>
              </w:rPr>
              <w:sym w:font="Wingdings" w:char="F06C"/>
            </w:r>
            <w:r w:rsidRPr="00167F8C">
              <w:rPr>
                <w:rStyle w:val="EndnoteReference"/>
                <w:rFonts w:cs="Segoe UI"/>
              </w:rPr>
              <w:endnoteReference w:id="390"/>
            </w:r>
          </w:p>
        </w:tc>
      </w:tr>
      <w:tr w:rsidR="00122C1B" w14:paraId="0DD2F8B5" w14:textId="77777777" w:rsidTr="00FB62BD">
        <w:tc>
          <w:tcPr>
            <w:tcW w:w="4248" w:type="dxa"/>
            <w:shd w:val="clear" w:color="auto" w:fill="auto"/>
          </w:tcPr>
          <w:p w14:paraId="4AC16E80" w14:textId="77777777" w:rsidR="00122C1B" w:rsidRPr="00E76DAA" w:rsidRDefault="00122C1B" w:rsidP="005F6F8B">
            <w:pPr>
              <w:pStyle w:val="TableList1"/>
            </w:pPr>
            <w:r w:rsidRPr="00E76DAA">
              <w:t xml:space="preserve">Zero </w:t>
            </w:r>
            <w:r w:rsidR="007F05B8" w:rsidRPr="00E76DAA">
              <w:t xml:space="preserve">blood </w:t>
            </w:r>
            <w:r w:rsidR="007F05B8">
              <w:t xml:space="preserve">or breath </w:t>
            </w:r>
            <w:r w:rsidR="007F05B8" w:rsidRPr="00E76DAA">
              <w:t>alcohol concentration</w:t>
            </w:r>
            <w:r w:rsidR="007F05B8">
              <w:t xml:space="preserve"> </w:t>
            </w:r>
            <w:r>
              <w:t>limit applies</w:t>
            </w:r>
          </w:p>
        </w:tc>
        <w:tc>
          <w:tcPr>
            <w:tcW w:w="793" w:type="dxa"/>
            <w:shd w:val="clear" w:color="auto" w:fill="auto"/>
          </w:tcPr>
          <w:p w14:paraId="79B8F233"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25" w:type="dxa"/>
            <w:shd w:val="clear" w:color="auto" w:fill="auto"/>
          </w:tcPr>
          <w:p w14:paraId="4730763A" w14:textId="77777777" w:rsidR="00122C1B" w:rsidRPr="00565C17" w:rsidRDefault="00122C1B" w:rsidP="002F4956">
            <w:pPr>
              <w:pStyle w:val="TableParagraph"/>
              <w:jc w:val="center"/>
              <w:rPr>
                <w:color w:val="0C81BC"/>
              </w:rPr>
            </w:pPr>
          </w:p>
        </w:tc>
        <w:tc>
          <w:tcPr>
            <w:tcW w:w="1276" w:type="dxa"/>
            <w:shd w:val="clear" w:color="auto" w:fill="auto"/>
          </w:tcPr>
          <w:p w14:paraId="293477E6" w14:textId="77777777" w:rsidR="00122C1B" w:rsidRPr="00565C17" w:rsidRDefault="00122C1B" w:rsidP="002F4956">
            <w:pPr>
              <w:pStyle w:val="TableParagraph"/>
              <w:jc w:val="center"/>
              <w:rPr>
                <w:color w:val="0C81BC"/>
              </w:rPr>
            </w:pPr>
          </w:p>
        </w:tc>
        <w:tc>
          <w:tcPr>
            <w:tcW w:w="944" w:type="dxa"/>
            <w:shd w:val="clear" w:color="auto" w:fill="auto"/>
          </w:tcPr>
          <w:p w14:paraId="5CE86A73"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5B48AAF2" w14:textId="77777777" w:rsidR="00122C1B" w:rsidRDefault="00122C1B" w:rsidP="002F4956">
            <w:pPr>
              <w:pStyle w:val="TableParagraph"/>
              <w:jc w:val="center"/>
            </w:pPr>
          </w:p>
        </w:tc>
      </w:tr>
      <w:tr w:rsidR="00122C1B" w14:paraId="096EB55F"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719BF5B8" w14:textId="77777777" w:rsidR="00122C1B" w:rsidRPr="00E76DAA" w:rsidRDefault="00122C1B" w:rsidP="005F6F8B">
            <w:pPr>
              <w:pStyle w:val="TableList1"/>
            </w:pPr>
            <w:r w:rsidRPr="00E76DAA">
              <w:t>Speed limit</w:t>
            </w:r>
            <w:r>
              <w:t>:</w:t>
            </w:r>
            <w:r w:rsidRPr="00E76DAA">
              <w:t xml:space="preserve"> As signed posted</w:t>
            </w:r>
          </w:p>
        </w:tc>
        <w:tc>
          <w:tcPr>
            <w:tcW w:w="793" w:type="dxa"/>
            <w:shd w:val="clear" w:color="auto" w:fill="auto"/>
          </w:tcPr>
          <w:p w14:paraId="072E7601" w14:textId="77777777" w:rsidR="00122C1B" w:rsidRPr="00565C17" w:rsidRDefault="00122C1B" w:rsidP="002F4956">
            <w:pPr>
              <w:pStyle w:val="TableParagraph"/>
              <w:jc w:val="center"/>
              <w:rPr>
                <w:color w:val="0C81BC"/>
              </w:rPr>
            </w:pPr>
          </w:p>
        </w:tc>
        <w:tc>
          <w:tcPr>
            <w:tcW w:w="1225" w:type="dxa"/>
            <w:shd w:val="clear" w:color="auto" w:fill="auto"/>
          </w:tcPr>
          <w:p w14:paraId="1C71B60B" w14:textId="77777777" w:rsidR="00122C1B" w:rsidRPr="00565C17" w:rsidRDefault="00122C1B" w:rsidP="002F4956">
            <w:pPr>
              <w:pStyle w:val="TableParagraph"/>
              <w:jc w:val="center"/>
              <w:rPr>
                <w:color w:val="0C81BC"/>
              </w:rPr>
            </w:pPr>
          </w:p>
        </w:tc>
        <w:tc>
          <w:tcPr>
            <w:tcW w:w="1276" w:type="dxa"/>
            <w:shd w:val="clear" w:color="auto" w:fill="auto"/>
          </w:tcPr>
          <w:p w14:paraId="516187E1"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944" w:type="dxa"/>
            <w:shd w:val="clear" w:color="auto" w:fill="auto"/>
          </w:tcPr>
          <w:p w14:paraId="25A6B24F" w14:textId="77777777" w:rsidR="00122C1B" w:rsidRPr="00565C17" w:rsidRDefault="00122C1B" w:rsidP="002F4956">
            <w:pPr>
              <w:pStyle w:val="TableParagraph"/>
              <w:jc w:val="center"/>
              <w:rPr>
                <w:rFonts w:cs="Segoe UI"/>
                <w:color w:val="0C81BC"/>
              </w:rPr>
            </w:pPr>
          </w:p>
        </w:tc>
        <w:tc>
          <w:tcPr>
            <w:tcW w:w="1466" w:type="dxa"/>
            <w:shd w:val="clear" w:color="auto" w:fill="auto"/>
          </w:tcPr>
          <w:p w14:paraId="071345F0" w14:textId="77777777" w:rsidR="00122C1B" w:rsidRPr="00565C17" w:rsidRDefault="00122C1B" w:rsidP="002F4956">
            <w:pPr>
              <w:pStyle w:val="TableParagraph"/>
              <w:jc w:val="center"/>
              <w:rPr>
                <w:color w:val="0C81BC"/>
              </w:rPr>
            </w:pPr>
            <w:r w:rsidRPr="00565C17">
              <w:rPr>
                <w:rFonts w:cs="Segoe UI"/>
                <w:color w:val="0C81BC"/>
              </w:rPr>
              <w:sym w:font="Wingdings" w:char="F06C"/>
            </w:r>
            <w:r w:rsidRPr="00565C17">
              <w:rPr>
                <w:color w:val="0C81BC"/>
              </w:rPr>
              <w:t xml:space="preserve"> </w:t>
            </w:r>
          </w:p>
        </w:tc>
      </w:tr>
      <w:tr w:rsidR="00122C1B" w14:paraId="406E020D" w14:textId="77777777" w:rsidTr="00FB62BD">
        <w:tc>
          <w:tcPr>
            <w:tcW w:w="4248" w:type="dxa"/>
            <w:shd w:val="clear" w:color="auto" w:fill="auto"/>
          </w:tcPr>
          <w:p w14:paraId="7730C54A" w14:textId="77777777" w:rsidR="00122C1B" w:rsidRPr="00E76DAA" w:rsidRDefault="00122C1B" w:rsidP="005F6F8B">
            <w:pPr>
              <w:pStyle w:val="TableList1"/>
            </w:pPr>
            <w:r>
              <w:t>Demerit points: No more than 5 demerit points in any 12-month period OR 12 points in any 3-year period</w:t>
            </w:r>
          </w:p>
        </w:tc>
        <w:tc>
          <w:tcPr>
            <w:tcW w:w="793" w:type="dxa"/>
            <w:shd w:val="clear" w:color="auto" w:fill="auto"/>
          </w:tcPr>
          <w:p w14:paraId="250DA889"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25" w:type="dxa"/>
            <w:shd w:val="clear" w:color="auto" w:fill="auto"/>
          </w:tcPr>
          <w:p w14:paraId="180764F7" w14:textId="77777777" w:rsidR="00122C1B" w:rsidRPr="00565C17" w:rsidRDefault="00122C1B" w:rsidP="002F4956">
            <w:pPr>
              <w:pStyle w:val="TableParagraph"/>
              <w:jc w:val="center"/>
              <w:rPr>
                <w:color w:val="0C81BC"/>
              </w:rPr>
            </w:pPr>
          </w:p>
        </w:tc>
        <w:tc>
          <w:tcPr>
            <w:tcW w:w="1276" w:type="dxa"/>
            <w:shd w:val="clear" w:color="auto" w:fill="auto"/>
          </w:tcPr>
          <w:p w14:paraId="6EB91F5C" w14:textId="77777777" w:rsidR="00122C1B" w:rsidRPr="00565C17" w:rsidRDefault="00122C1B" w:rsidP="002F4956">
            <w:pPr>
              <w:pStyle w:val="TableParagraph"/>
              <w:jc w:val="center"/>
              <w:rPr>
                <w:color w:val="0C81BC"/>
              </w:rPr>
            </w:pPr>
          </w:p>
        </w:tc>
        <w:tc>
          <w:tcPr>
            <w:tcW w:w="944" w:type="dxa"/>
            <w:shd w:val="clear" w:color="auto" w:fill="auto"/>
          </w:tcPr>
          <w:p w14:paraId="4EF4FF23"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27ECBF27" w14:textId="77777777" w:rsidR="00122C1B" w:rsidRPr="00565C17" w:rsidRDefault="00122C1B" w:rsidP="002F4956">
            <w:pPr>
              <w:pStyle w:val="TableParagraph"/>
              <w:jc w:val="center"/>
              <w:rPr>
                <w:color w:val="0C81BC"/>
              </w:rPr>
            </w:pPr>
            <w:r w:rsidRPr="00565C17">
              <w:rPr>
                <w:rFonts w:cs="Segoe UI"/>
                <w:color w:val="0C81BC"/>
              </w:rPr>
              <w:sym w:font="Wingdings" w:char="F06C"/>
            </w:r>
            <w:r w:rsidRPr="00565C17">
              <w:rPr>
                <w:color w:val="0C81BC"/>
              </w:rPr>
              <w:t xml:space="preserve"> </w:t>
            </w:r>
          </w:p>
        </w:tc>
      </w:tr>
      <w:tr w:rsidR="00122C1B" w14:paraId="4341EF3A"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5751801E" w14:textId="77777777" w:rsidR="00122C1B" w:rsidRPr="00A644A7" w:rsidRDefault="00122C1B" w:rsidP="005F6F8B">
            <w:pPr>
              <w:pStyle w:val="TableList1"/>
            </w:pPr>
            <w:r w:rsidRPr="003812F3">
              <w:t>Only permitted to ride a le</w:t>
            </w:r>
            <w:r w:rsidR="007F05B8">
              <w:t>arner approved motorcycle</w:t>
            </w:r>
          </w:p>
        </w:tc>
        <w:tc>
          <w:tcPr>
            <w:tcW w:w="793" w:type="dxa"/>
            <w:shd w:val="clear" w:color="auto" w:fill="auto"/>
          </w:tcPr>
          <w:p w14:paraId="6CACDF1B" w14:textId="77777777" w:rsidR="00122C1B" w:rsidRPr="00565C17" w:rsidRDefault="00122C1B" w:rsidP="002F4956">
            <w:pPr>
              <w:pStyle w:val="TableParagraph"/>
              <w:jc w:val="center"/>
              <w:rPr>
                <w:color w:val="0C81BC"/>
              </w:rPr>
            </w:pPr>
          </w:p>
        </w:tc>
        <w:tc>
          <w:tcPr>
            <w:tcW w:w="1225" w:type="dxa"/>
            <w:shd w:val="clear" w:color="auto" w:fill="auto"/>
          </w:tcPr>
          <w:p w14:paraId="3EF7F157"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48F26B0D" w14:textId="77777777" w:rsidR="00122C1B" w:rsidRPr="00565C17" w:rsidRDefault="00122C1B" w:rsidP="002F4956">
            <w:pPr>
              <w:pStyle w:val="TableParagraph"/>
              <w:jc w:val="center"/>
              <w:rPr>
                <w:color w:val="0C81BC"/>
              </w:rPr>
            </w:pPr>
          </w:p>
        </w:tc>
        <w:tc>
          <w:tcPr>
            <w:tcW w:w="944" w:type="dxa"/>
            <w:shd w:val="clear" w:color="auto" w:fill="auto"/>
          </w:tcPr>
          <w:p w14:paraId="1701A066"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466" w:type="dxa"/>
            <w:shd w:val="clear" w:color="auto" w:fill="auto"/>
          </w:tcPr>
          <w:p w14:paraId="34733841" w14:textId="77777777" w:rsidR="00122C1B" w:rsidRPr="00565C17" w:rsidRDefault="00122C1B" w:rsidP="002F4956">
            <w:pPr>
              <w:pStyle w:val="TableParagraph"/>
              <w:jc w:val="center"/>
              <w:rPr>
                <w:color w:val="0C81BC"/>
              </w:rPr>
            </w:pPr>
            <w:r w:rsidRPr="00565C17">
              <w:rPr>
                <w:rFonts w:cs="Segoe UI"/>
                <w:color w:val="0C81BC"/>
              </w:rPr>
              <w:sym w:font="Wingdings" w:char="F06C"/>
            </w:r>
            <w:r w:rsidRPr="00565C17">
              <w:rPr>
                <w:color w:val="0C81BC"/>
              </w:rPr>
              <w:t xml:space="preserve"> </w:t>
            </w:r>
          </w:p>
        </w:tc>
      </w:tr>
      <w:tr w:rsidR="00122C1B" w14:paraId="15A15140" w14:textId="77777777" w:rsidTr="00FB62BD">
        <w:tc>
          <w:tcPr>
            <w:tcW w:w="4248" w:type="dxa"/>
            <w:shd w:val="clear" w:color="auto" w:fill="auto"/>
          </w:tcPr>
          <w:p w14:paraId="53836733" w14:textId="77777777" w:rsidR="00122C1B" w:rsidRPr="00A644A7" w:rsidRDefault="00122C1B" w:rsidP="005F6F8B">
            <w:pPr>
              <w:pStyle w:val="TableList1"/>
            </w:pPr>
            <w:r>
              <w:t>Must not</w:t>
            </w:r>
            <w:r w:rsidRPr="00A644A7">
              <w:t xml:space="preserve"> carry a pillion passenger</w:t>
            </w:r>
          </w:p>
        </w:tc>
        <w:tc>
          <w:tcPr>
            <w:tcW w:w="793" w:type="dxa"/>
            <w:shd w:val="clear" w:color="auto" w:fill="auto"/>
          </w:tcPr>
          <w:p w14:paraId="731AF547" w14:textId="77777777" w:rsidR="00122C1B" w:rsidRPr="00565C17" w:rsidRDefault="00122C1B" w:rsidP="002F4956">
            <w:pPr>
              <w:pStyle w:val="TableParagraph"/>
              <w:jc w:val="center"/>
              <w:rPr>
                <w:color w:val="0C81BC"/>
              </w:rPr>
            </w:pPr>
          </w:p>
        </w:tc>
        <w:tc>
          <w:tcPr>
            <w:tcW w:w="1225" w:type="dxa"/>
            <w:shd w:val="clear" w:color="auto" w:fill="auto"/>
          </w:tcPr>
          <w:p w14:paraId="6C409841"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276" w:type="dxa"/>
            <w:shd w:val="clear" w:color="auto" w:fill="auto"/>
          </w:tcPr>
          <w:p w14:paraId="051DF25F" w14:textId="77777777" w:rsidR="00122C1B" w:rsidRPr="00565C17" w:rsidRDefault="00122C1B" w:rsidP="002F4956">
            <w:pPr>
              <w:pStyle w:val="TableParagraph"/>
              <w:jc w:val="center"/>
              <w:rPr>
                <w:color w:val="0C81BC"/>
              </w:rPr>
            </w:pPr>
          </w:p>
        </w:tc>
        <w:tc>
          <w:tcPr>
            <w:tcW w:w="944" w:type="dxa"/>
            <w:shd w:val="clear" w:color="auto" w:fill="auto"/>
          </w:tcPr>
          <w:p w14:paraId="68E7EA9F"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2420B3E0" w14:textId="77777777" w:rsidR="00122C1B" w:rsidRDefault="00122C1B" w:rsidP="002F4956">
            <w:pPr>
              <w:pStyle w:val="TableParagraph"/>
              <w:jc w:val="center"/>
            </w:pPr>
          </w:p>
        </w:tc>
      </w:tr>
      <w:tr w:rsidR="00122C1B" w14:paraId="4842B8A4"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68B6B28E" w14:textId="77777777" w:rsidR="00122C1B" w:rsidRDefault="00122C1B" w:rsidP="005F6F8B">
            <w:pPr>
              <w:pStyle w:val="TableList1"/>
            </w:pPr>
            <w:r>
              <w:t>No towing</w:t>
            </w:r>
          </w:p>
        </w:tc>
        <w:tc>
          <w:tcPr>
            <w:tcW w:w="793" w:type="dxa"/>
            <w:shd w:val="clear" w:color="auto" w:fill="auto"/>
          </w:tcPr>
          <w:p w14:paraId="43ECD52A" w14:textId="77777777" w:rsidR="00122C1B" w:rsidRPr="00565C17" w:rsidRDefault="00122C1B" w:rsidP="002F4956">
            <w:pPr>
              <w:pStyle w:val="TableParagraph"/>
              <w:jc w:val="center"/>
              <w:rPr>
                <w:color w:val="0C81BC"/>
              </w:rPr>
            </w:pPr>
          </w:p>
        </w:tc>
        <w:tc>
          <w:tcPr>
            <w:tcW w:w="1225" w:type="dxa"/>
            <w:shd w:val="clear" w:color="auto" w:fill="auto"/>
          </w:tcPr>
          <w:p w14:paraId="6FBA9574"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6404843D" w14:textId="77777777" w:rsidR="00122C1B" w:rsidRPr="00565C17" w:rsidRDefault="00122C1B" w:rsidP="002F4956">
            <w:pPr>
              <w:pStyle w:val="TableParagraph"/>
              <w:jc w:val="center"/>
              <w:rPr>
                <w:color w:val="0C81BC"/>
              </w:rPr>
            </w:pPr>
          </w:p>
        </w:tc>
        <w:tc>
          <w:tcPr>
            <w:tcW w:w="944" w:type="dxa"/>
            <w:shd w:val="clear" w:color="auto" w:fill="auto"/>
          </w:tcPr>
          <w:p w14:paraId="1C52172B"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144F7B87" w14:textId="77777777" w:rsidR="00122C1B" w:rsidRDefault="00122C1B" w:rsidP="002F4956">
            <w:pPr>
              <w:pStyle w:val="TableParagraph"/>
              <w:jc w:val="center"/>
            </w:pPr>
          </w:p>
        </w:tc>
      </w:tr>
      <w:tr w:rsidR="00122C1B" w14:paraId="09ADAA7C" w14:textId="77777777" w:rsidTr="00FB62BD">
        <w:tc>
          <w:tcPr>
            <w:tcW w:w="4248" w:type="dxa"/>
            <w:shd w:val="clear" w:color="auto" w:fill="auto"/>
          </w:tcPr>
          <w:p w14:paraId="42B25A2C" w14:textId="77777777" w:rsidR="00122C1B" w:rsidRDefault="00122C1B" w:rsidP="005F6F8B">
            <w:pPr>
              <w:pStyle w:val="TableList1"/>
            </w:pPr>
            <w:r>
              <w:t>Must ride with headlight on at all times</w:t>
            </w:r>
          </w:p>
        </w:tc>
        <w:tc>
          <w:tcPr>
            <w:tcW w:w="793" w:type="dxa"/>
            <w:shd w:val="clear" w:color="auto" w:fill="auto"/>
          </w:tcPr>
          <w:p w14:paraId="4F3A27B8" w14:textId="77777777" w:rsidR="00122C1B" w:rsidRPr="00565C17" w:rsidRDefault="00122C1B" w:rsidP="002F4956">
            <w:pPr>
              <w:pStyle w:val="TableParagraph"/>
              <w:jc w:val="center"/>
              <w:rPr>
                <w:color w:val="0C81BC"/>
              </w:rPr>
            </w:pPr>
          </w:p>
        </w:tc>
        <w:tc>
          <w:tcPr>
            <w:tcW w:w="1225" w:type="dxa"/>
            <w:shd w:val="clear" w:color="auto" w:fill="auto"/>
          </w:tcPr>
          <w:p w14:paraId="0512A09A"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36A7F6DB" w14:textId="77777777" w:rsidR="00122C1B" w:rsidRPr="00565C17" w:rsidRDefault="00122C1B" w:rsidP="002F4956">
            <w:pPr>
              <w:pStyle w:val="TableParagraph"/>
              <w:jc w:val="center"/>
              <w:rPr>
                <w:color w:val="0C81BC"/>
              </w:rPr>
            </w:pPr>
          </w:p>
        </w:tc>
        <w:tc>
          <w:tcPr>
            <w:tcW w:w="944" w:type="dxa"/>
            <w:shd w:val="clear" w:color="auto" w:fill="auto"/>
          </w:tcPr>
          <w:p w14:paraId="64B61143"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37C13226" w14:textId="77777777" w:rsidR="00122C1B" w:rsidRDefault="00122C1B" w:rsidP="002F4956">
            <w:pPr>
              <w:pStyle w:val="TableParagraph"/>
              <w:jc w:val="center"/>
            </w:pPr>
          </w:p>
        </w:tc>
      </w:tr>
      <w:tr w:rsidR="00122C1B" w14:paraId="4F9E5966"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6671FFE1" w14:textId="77777777" w:rsidR="00122C1B" w:rsidRDefault="00122C1B" w:rsidP="005F6F8B">
            <w:pPr>
              <w:pStyle w:val="TableList1"/>
            </w:pPr>
            <w:r>
              <w:t>No mobile phone use</w:t>
            </w:r>
          </w:p>
        </w:tc>
        <w:tc>
          <w:tcPr>
            <w:tcW w:w="793" w:type="dxa"/>
            <w:shd w:val="clear" w:color="auto" w:fill="auto"/>
          </w:tcPr>
          <w:p w14:paraId="3E725AB7" w14:textId="77777777" w:rsidR="00122C1B" w:rsidRPr="00565C17" w:rsidRDefault="00122C1B" w:rsidP="002F4956">
            <w:pPr>
              <w:pStyle w:val="TableParagraph"/>
              <w:jc w:val="center"/>
              <w:rPr>
                <w:color w:val="0C81BC"/>
              </w:rPr>
            </w:pPr>
          </w:p>
        </w:tc>
        <w:tc>
          <w:tcPr>
            <w:tcW w:w="1225" w:type="dxa"/>
            <w:shd w:val="clear" w:color="auto" w:fill="auto"/>
          </w:tcPr>
          <w:p w14:paraId="440F019C"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0EBDA36E" w14:textId="77777777" w:rsidR="00122C1B" w:rsidRPr="00565C17" w:rsidRDefault="00122C1B" w:rsidP="002F4956">
            <w:pPr>
              <w:pStyle w:val="TableParagraph"/>
              <w:jc w:val="center"/>
              <w:rPr>
                <w:color w:val="0C81BC"/>
              </w:rPr>
            </w:pPr>
          </w:p>
        </w:tc>
        <w:tc>
          <w:tcPr>
            <w:tcW w:w="944" w:type="dxa"/>
            <w:shd w:val="clear" w:color="auto" w:fill="auto"/>
          </w:tcPr>
          <w:p w14:paraId="1C3359B4"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7904FE57" w14:textId="77777777" w:rsidR="00122C1B" w:rsidRDefault="00122C1B" w:rsidP="002F4956">
            <w:pPr>
              <w:pStyle w:val="TableParagraph"/>
              <w:jc w:val="center"/>
            </w:pPr>
          </w:p>
        </w:tc>
      </w:tr>
      <w:tr w:rsidR="00122C1B" w14:paraId="514520E6" w14:textId="77777777" w:rsidTr="00FB62BD">
        <w:tc>
          <w:tcPr>
            <w:tcW w:w="4248" w:type="dxa"/>
            <w:shd w:val="clear" w:color="auto" w:fill="auto"/>
          </w:tcPr>
          <w:p w14:paraId="08D87965" w14:textId="77777777" w:rsidR="00122C1B" w:rsidRDefault="00122C1B" w:rsidP="005F6F8B">
            <w:pPr>
              <w:pStyle w:val="TableList1"/>
            </w:pPr>
            <w:r>
              <w:t>If tested on an automatic motorcycle, restricted to riding an automatic motorcycle</w:t>
            </w:r>
          </w:p>
        </w:tc>
        <w:tc>
          <w:tcPr>
            <w:tcW w:w="793" w:type="dxa"/>
            <w:shd w:val="clear" w:color="auto" w:fill="auto"/>
          </w:tcPr>
          <w:p w14:paraId="73B5DB46" w14:textId="77777777" w:rsidR="00122C1B" w:rsidRPr="00565C17" w:rsidRDefault="00122C1B" w:rsidP="002F4956">
            <w:pPr>
              <w:pStyle w:val="TableParagraph"/>
              <w:jc w:val="center"/>
              <w:rPr>
                <w:color w:val="0C81BC"/>
              </w:rPr>
            </w:pPr>
          </w:p>
        </w:tc>
        <w:tc>
          <w:tcPr>
            <w:tcW w:w="1225" w:type="dxa"/>
            <w:shd w:val="clear" w:color="auto" w:fill="auto"/>
          </w:tcPr>
          <w:p w14:paraId="22AA067D" w14:textId="77777777" w:rsidR="00122C1B" w:rsidRPr="00565C17" w:rsidRDefault="00122C1B" w:rsidP="002F4956">
            <w:pPr>
              <w:pStyle w:val="TableParagraph"/>
              <w:jc w:val="center"/>
              <w:rPr>
                <w:rFonts w:cs="Segoe UI"/>
                <w:color w:val="0C81BC"/>
              </w:rPr>
            </w:pPr>
            <w:r w:rsidRPr="00565C17">
              <w:rPr>
                <w:rFonts w:cs="Segoe UI"/>
                <w:color w:val="0C81BC"/>
              </w:rPr>
              <w:sym w:font="Wingdings" w:char="F06C"/>
            </w:r>
          </w:p>
        </w:tc>
        <w:tc>
          <w:tcPr>
            <w:tcW w:w="1276" w:type="dxa"/>
            <w:shd w:val="clear" w:color="auto" w:fill="auto"/>
          </w:tcPr>
          <w:p w14:paraId="6FC7BF33" w14:textId="77777777" w:rsidR="00122C1B" w:rsidRPr="00565C17" w:rsidRDefault="00122C1B" w:rsidP="002F4956">
            <w:pPr>
              <w:pStyle w:val="TableParagraph"/>
              <w:jc w:val="center"/>
              <w:rPr>
                <w:color w:val="0C81BC"/>
              </w:rPr>
            </w:pPr>
          </w:p>
        </w:tc>
        <w:tc>
          <w:tcPr>
            <w:tcW w:w="944" w:type="dxa"/>
            <w:shd w:val="clear" w:color="auto" w:fill="auto"/>
          </w:tcPr>
          <w:p w14:paraId="5CFF06E7" w14:textId="77777777" w:rsidR="00122C1B" w:rsidRPr="00565C17" w:rsidRDefault="00122C1B" w:rsidP="002F4956">
            <w:pPr>
              <w:pStyle w:val="TableParagraph"/>
              <w:jc w:val="center"/>
              <w:rPr>
                <w:color w:val="0C81BC"/>
              </w:rPr>
            </w:pPr>
            <w:r w:rsidRPr="00565C17">
              <w:rPr>
                <w:rFonts w:cs="Segoe UI"/>
                <w:color w:val="0C81BC"/>
              </w:rPr>
              <w:sym w:font="Wingdings" w:char="F06C"/>
            </w:r>
          </w:p>
        </w:tc>
        <w:tc>
          <w:tcPr>
            <w:tcW w:w="1466" w:type="dxa"/>
            <w:shd w:val="clear" w:color="auto" w:fill="auto"/>
          </w:tcPr>
          <w:p w14:paraId="3EB8C407" w14:textId="77777777" w:rsidR="00122C1B" w:rsidRDefault="00122C1B" w:rsidP="002F4956">
            <w:pPr>
              <w:pStyle w:val="TableParagraph"/>
              <w:jc w:val="center"/>
            </w:pPr>
          </w:p>
        </w:tc>
      </w:tr>
      <w:tr w:rsidR="00122C1B" w:rsidRPr="00875385" w14:paraId="354577CF" w14:textId="77777777" w:rsidTr="00B22DE1">
        <w:trPr>
          <w:cnfStyle w:val="000000010000" w:firstRow="0" w:lastRow="0" w:firstColumn="0" w:lastColumn="0" w:oddVBand="0" w:evenVBand="0" w:oddHBand="0" w:evenHBand="1" w:firstRowFirstColumn="0" w:firstRowLastColumn="0" w:lastRowFirstColumn="0" w:lastRowLastColumn="0"/>
        </w:trPr>
        <w:tc>
          <w:tcPr>
            <w:tcW w:w="7542" w:type="dxa"/>
            <w:gridSpan w:val="4"/>
            <w:shd w:val="clear" w:color="auto" w:fill="DDE8F4" w:themeFill="text2" w:themeFillTint="1A"/>
          </w:tcPr>
          <w:p w14:paraId="640C0805" w14:textId="77777777" w:rsidR="00122C1B" w:rsidRPr="00875385" w:rsidRDefault="00122C1B" w:rsidP="006E540A">
            <w:pPr>
              <w:pStyle w:val="TableParagraph"/>
              <w:rPr>
                <w:b/>
              </w:rPr>
            </w:pPr>
            <w:r>
              <w:rPr>
                <w:b/>
              </w:rPr>
              <w:t xml:space="preserve">Restricted motorcycle licence held by fully licensed car driver </w:t>
            </w:r>
          </w:p>
        </w:tc>
        <w:tc>
          <w:tcPr>
            <w:tcW w:w="944" w:type="dxa"/>
            <w:shd w:val="clear" w:color="auto" w:fill="DDE8F4" w:themeFill="text2" w:themeFillTint="1A"/>
          </w:tcPr>
          <w:p w14:paraId="3C9C9A4F" w14:textId="77777777" w:rsidR="00122C1B" w:rsidRPr="00875385" w:rsidRDefault="00122C1B" w:rsidP="002F4956">
            <w:pPr>
              <w:pStyle w:val="TableParagraph"/>
              <w:jc w:val="center"/>
              <w:rPr>
                <w:b/>
              </w:rPr>
            </w:pPr>
          </w:p>
        </w:tc>
        <w:tc>
          <w:tcPr>
            <w:tcW w:w="1466" w:type="dxa"/>
            <w:shd w:val="clear" w:color="auto" w:fill="DDE8F4" w:themeFill="text2" w:themeFillTint="1A"/>
          </w:tcPr>
          <w:p w14:paraId="5ED89127" w14:textId="77777777" w:rsidR="00122C1B" w:rsidRPr="00875385" w:rsidRDefault="00122C1B" w:rsidP="002F4956">
            <w:pPr>
              <w:pStyle w:val="TableParagraph"/>
              <w:jc w:val="center"/>
              <w:rPr>
                <w:b/>
              </w:rPr>
            </w:pPr>
          </w:p>
        </w:tc>
      </w:tr>
      <w:tr w:rsidR="00122C1B" w14:paraId="01372C1F" w14:textId="77777777" w:rsidTr="00FB62BD">
        <w:tc>
          <w:tcPr>
            <w:tcW w:w="4248" w:type="dxa"/>
            <w:shd w:val="clear" w:color="auto" w:fill="auto"/>
          </w:tcPr>
          <w:p w14:paraId="45121697" w14:textId="77777777" w:rsidR="00122C1B" w:rsidRDefault="007F05B8" w:rsidP="00862896">
            <w:pPr>
              <w:pStyle w:val="TableList1"/>
            </w:pPr>
            <w:r>
              <w:t>Term: three years</w:t>
            </w:r>
          </w:p>
        </w:tc>
        <w:tc>
          <w:tcPr>
            <w:tcW w:w="793" w:type="dxa"/>
            <w:shd w:val="clear" w:color="auto" w:fill="auto"/>
          </w:tcPr>
          <w:p w14:paraId="61F98940" w14:textId="77777777" w:rsidR="00122C1B" w:rsidRPr="00D87CE0" w:rsidRDefault="00122C1B" w:rsidP="00862896">
            <w:pPr>
              <w:pStyle w:val="TableParagraph"/>
              <w:jc w:val="center"/>
              <w:rPr>
                <w:rFonts w:cs="Segoe UI"/>
                <w:color w:val="00B050"/>
              </w:rPr>
            </w:pPr>
          </w:p>
        </w:tc>
        <w:tc>
          <w:tcPr>
            <w:tcW w:w="1225" w:type="dxa"/>
            <w:shd w:val="clear" w:color="auto" w:fill="auto"/>
          </w:tcPr>
          <w:p w14:paraId="3D1359C1" w14:textId="77777777" w:rsidR="00122C1B" w:rsidRPr="00D87CE0" w:rsidRDefault="00122C1B" w:rsidP="00862896">
            <w:pPr>
              <w:pStyle w:val="TableParagraph"/>
              <w:jc w:val="center"/>
              <w:rPr>
                <w:rFonts w:cs="Segoe UI"/>
                <w:color w:val="00B050"/>
              </w:rPr>
            </w:pPr>
            <w:r w:rsidRPr="001A4117">
              <w:rPr>
                <w:rFonts w:cs="Segoe UI"/>
                <w:color w:val="0C81BC"/>
              </w:rPr>
              <w:sym w:font="Wingdings" w:char="F06C"/>
            </w:r>
          </w:p>
        </w:tc>
        <w:tc>
          <w:tcPr>
            <w:tcW w:w="1276" w:type="dxa"/>
            <w:shd w:val="clear" w:color="auto" w:fill="auto"/>
          </w:tcPr>
          <w:p w14:paraId="2A672478" w14:textId="77777777" w:rsidR="00122C1B" w:rsidRDefault="00122C1B" w:rsidP="00862896">
            <w:pPr>
              <w:pStyle w:val="TableParagraph"/>
              <w:jc w:val="center"/>
            </w:pPr>
          </w:p>
        </w:tc>
        <w:tc>
          <w:tcPr>
            <w:tcW w:w="944" w:type="dxa"/>
            <w:shd w:val="clear" w:color="auto" w:fill="auto"/>
          </w:tcPr>
          <w:p w14:paraId="51EEE3E3" w14:textId="77777777" w:rsidR="00122C1B" w:rsidRDefault="00122C1B" w:rsidP="00862896">
            <w:pPr>
              <w:pStyle w:val="TableParagraph"/>
              <w:jc w:val="center"/>
            </w:pPr>
          </w:p>
        </w:tc>
        <w:tc>
          <w:tcPr>
            <w:tcW w:w="1466" w:type="dxa"/>
            <w:shd w:val="clear" w:color="auto" w:fill="auto"/>
          </w:tcPr>
          <w:p w14:paraId="54A96291" w14:textId="77777777" w:rsidR="00122C1B" w:rsidRDefault="00122C1B" w:rsidP="00862896">
            <w:pPr>
              <w:pStyle w:val="TableParagraph"/>
              <w:jc w:val="center"/>
            </w:pPr>
          </w:p>
        </w:tc>
      </w:tr>
      <w:tr w:rsidR="00122C1B" w14:paraId="74FFB405"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3CA453C4" w14:textId="77777777" w:rsidR="00122C1B" w:rsidRDefault="00122C1B" w:rsidP="00862896">
            <w:pPr>
              <w:pStyle w:val="TableList1"/>
            </w:pPr>
            <w:r>
              <w:t>Compulsory carriage of licence</w:t>
            </w:r>
          </w:p>
        </w:tc>
        <w:tc>
          <w:tcPr>
            <w:tcW w:w="793" w:type="dxa"/>
            <w:shd w:val="clear" w:color="auto" w:fill="auto"/>
          </w:tcPr>
          <w:p w14:paraId="072E4A05" w14:textId="77777777" w:rsidR="00122C1B" w:rsidRDefault="00122C1B" w:rsidP="00862896">
            <w:pPr>
              <w:pStyle w:val="TableParagraph"/>
              <w:jc w:val="center"/>
            </w:pPr>
          </w:p>
        </w:tc>
        <w:tc>
          <w:tcPr>
            <w:tcW w:w="1225" w:type="dxa"/>
            <w:shd w:val="clear" w:color="auto" w:fill="auto"/>
          </w:tcPr>
          <w:p w14:paraId="15DA4928" w14:textId="77777777" w:rsidR="00122C1B" w:rsidRPr="00D87CE0" w:rsidRDefault="00122C1B" w:rsidP="00862896">
            <w:pPr>
              <w:pStyle w:val="TableParagraph"/>
              <w:jc w:val="center"/>
              <w:rPr>
                <w:rFonts w:cs="Segoe UI"/>
                <w:color w:val="00B050"/>
              </w:rPr>
            </w:pPr>
            <w:r w:rsidRPr="001A4117">
              <w:rPr>
                <w:rFonts w:cs="Segoe UI"/>
                <w:color w:val="0C81BC"/>
              </w:rPr>
              <w:sym w:font="Wingdings" w:char="F06C"/>
            </w:r>
          </w:p>
        </w:tc>
        <w:tc>
          <w:tcPr>
            <w:tcW w:w="1276" w:type="dxa"/>
            <w:shd w:val="clear" w:color="auto" w:fill="auto"/>
          </w:tcPr>
          <w:p w14:paraId="723544DE" w14:textId="77777777" w:rsidR="00122C1B" w:rsidRDefault="00122C1B" w:rsidP="00862896">
            <w:pPr>
              <w:pStyle w:val="TableParagraph"/>
              <w:jc w:val="center"/>
            </w:pPr>
          </w:p>
        </w:tc>
        <w:tc>
          <w:tcPr>
            <w:tcW w:w="944" w:type="dxa"/>
            <w:shd w:val="clear" w:color="auto" w:fill="auto"/>
          </w:tcPr>
          <w:p w14:paraId="009FE17A" w14:textId="77777777" w:rsidR="00122C1B" w:rsidRDefault="00122C1B" w:rsidP="00862896">
            <w:pPr>
              <w:pStyle w:val="TableParagraph"/>
              <w:jc w:val="center"/>
            </w:pPr>
          </w:p>
        </w:tc>
        <w:tc>
          <w:tcPr>
            <w:tcW w:w="1466" w:type="dxa"/>
            <w:shd w:val="clear" w:color="auto" w:fill="auto"/>
          </w:tcPr>
          <w:p w14:paraId="1099BD4C" w14:textId="77777777" w:rsidR="00122C1B" w:rsidRDefault="00122C1B" w:rsidP="00862896">
            <w:pPr>
              <w:pStyle w:val="TableParagraph"/>
              <w:jc w:val="center"/>
            </w:pPr>
          </w:p>
        </w:tc>
      </w:tr>
      <w:tr w:rsidR="00122C1B" w14:paraId="74E094A8" w14:textId="77777777" w:rsidTr="00FB62BD">
        <w:tc>
          <w:tcPr>
            <w:tcW w:w="4248" w:type="dxa"/>
            <w:shd w:val="clear" w:color="auto" w:fill="auto"/>
          </w:tcPr>
          <w:p w14:paraId="10AA1DFD" w14:textId="77777777" w:rsidR="00122C1B" w:rsidRPr="00E76DAA" w:rsidRDefault="00122C1B" w:rsidP="005F6F8B">
            <w:pPr>
              <w:pStyle w:val="TableList1"/>
            </w:pPr>
            <w:r w:rsidRPr="00E76DAA">
              <w:t xml:space="preserve">Blood </w:t>
            </w:r>
            <w:r>
              <w:t xml:space="preserve">or breath </w:t>
            </w:r>
            <w:r w:rsidRPr="00E76DAA">
              <w:t>alcohol concentration</w:t>
            </w:r>
            <w:r>
              <w:t>:</w:t>
            </w:r>
            <w:r w:rsidRPr="00E76DAA">
              <w:t xml:space="preserve"> </w:t>
            </w:r>
            <w:r w:rsidR="007F05B8" w:rsidRPr="00E76DAA">
              <w:t>zero</w:t>
            </w:r>
          </w:p>
        </w:tc>
        <w:tc>
          <w:tcPr>
            <w:tcW w:w="793" w:type="dxa"/>
            <w:shd w:val="clear" w:color="auto" w:fill="auto"/>
          </w:tcPr>
          <w:p w14:paraId="694D4002" w14:textId="77777777" w:rsidR="00122C1B" w:rsidRDefault="00122C1B" w:rsidP="002F4956">
            <w:pPr>
              <w:pStyle w:val="TableParagraph"/>
              <w:jc w:val="center"/>
            </w:pPr>
            <w:r w:rsidRPr="00862896">
              <w:rPr>
                <w:rFonts w:cs="Segoe UI"/>
                <w:color w:val="0C81BC"/>
              </w:rPr>
              <w:sym w:font="Wingdings" w:char="F06C"/>
            </w:r>
          </w:p>
        </w:tc>
        <w:tc>
          <w:tcPr>
            <w:tcW w:w="1225" w:type="dxa"/>
            <w:shd w:val="clear" w:color="auto" w:fill="auto"/>
          </w:tcPr>
          <w:p w14:paraId="539D8968" w14:textId="77777777" w:rsidR="00122C1B" w:rsidRDefault="00122C1B" w:rsidP="002F4956">
            <w:pPr>
              <w:pStyle w:val="TableParagraph"/>
              <w:jc w:val="center"/>
            </w:pPr>
          </w:p>
        </w:tc>
        <w:tc>
          <w:tcPr>
            <w:tcW w:w="1276" w:type="dxa"/>
            <w:shd w:val="clear" w:color="auto" w:fill="auto"/>
          </w:tcPr>
          <w:p w14:paraId="5DAD3E36" w14:textId="77777777" w:rsidR="00122C1B" w:rsidRDefault="00122C1B" w:rsidP="002F4956">
            <w:pPr>
              <w:pStyle w:val="TableParagraph"/>
              <w:jc w:val="center"/>
            </w:pPr>
          </w:p>
        </w:tc>
        <w:tc>
          <w:tcPr>
            <w:tcW w:w="944" w:type="dxa"/>
            <w:shd w:val="clear" w:color="auto" w:fill="auto"/>
          </w:tcPr>
          <w:p w14:paraId="5A3878E1" w14:textId="77777777" w:rsidR="00122C1B" w:rsidRDefault="00122C1B" w:rsidP="002F4956">
            <w:pPr>
              <w:pStyle w:val="TableParagraph"/>
              <w:jc w:val="center"/>
            </w:pPr>
          </w:p>
        </w:tc>
        <w:tc>
          <w:tcPr>
            <w:tcW w:w="1466" w:type="dxa"/>
            <w:shd w:val="clear" w:color="auto" w:fill="auto"/>
          </w:tcPr>
          <w:p w14:paraId="438232B8" w14:textId="77777777" w:rsidR="00122C1B" w:rsidRDefault="00122C1B" w:rsidP="002F4956">
            <w:pPr>
              <w:pStyle w:val="TableParagraph"/>
              <w:jc w:val="center"/>
            </w:pPr>
          </w:p>
        </w:tc>
      </w:tr>
      <w:tr w:rsidR="00122C1B" w14:paraId="7B1B90BE"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66B3ECBC" w14:textId="77777777" w:rsidR="00122C1B" w:rsidRPr="00E76DAA" w:rsidRDefault="00122C1B" w:rsidP="00862896">
            <w:pPr>
              <w:pStyle w:val="TableList1"/>
            </w:pPr>
            <w:r w:rsidRPr="00E76DAA">
              <w:t>Speed limit</w:t>
            </w:r>
            <w:r>
              <w:t>:</w:t>
            </w:r>
            <w:r w:rsidRPr="00E76DAA">
              <w:t xml:space="preserve"> As signed posted</w:t>
            </w:r>
          </w:p>
        </w:tc>
        <w:tc>
          <w:tcPr>
            <w:tcW w:w="793" w:type="dxa"/>
            <w:shd w:val="clear" w:color="auto" w:fill="auto"/>
          </w:tcPr>
          <w:p w14:paraId="1F8DE44E" w14:textId="77777777" w:rsidR="00122C1B" w:rsidRDefault="00122C1B" w:rsidP="00862896">
            <w:pPr>
              <w:pStyle w:val="TableParagraph"/>
              <w:jc w:val="center"/>
            </w:pPr>
          </w:p>
        </w:tc>
        <w:tc>
          <w:tcPr>
            <w:tcW w:w="1225" w:type="dxa"/>
            <w:shd w:val="clear" w:color="auto" w:fill="auto"/>
          </w:tcPr>
          <w:p w14:paraId="217C4F6B" w14:textId="77777777" w:rsidR="00122C1B" w:rsidRDefault="00122C1B" w:rsidP="00862896">
            <w:pPr>
              <w:pStyle w:val="TableParagraph"/>
              <w:jc w:val="center"/>
            </w:pPr>
          </w:p>
        </w:tc>
        <w:tc>
          <w:tcPr>
            <w:tcW w:w="1276" w:type="dxa"/>
            <w:shd w:val="clear" w:color="auto" w:fill="auto"/>
          </w:tcPr>
          <w:p w14:paraId="38FF6F7F" w14:textId="77777777" w:rsidR="00122C1B" w:rsidRDefault="00122C1B" w:rsidP="00862896">
            <w:pPr>
              <w:pStyle w:val="TableParagraph"/>
              <w:jc w:val="center"/>
            </w:pPr>
            <w:r w:rsidRPr="00862896">
              <w:rPr>
                <w:rFonts w:cs="Segoe UI"/>
                <w:color w:val="0C81BC"/>
              </w:rPr>
              <w:sym w:font="Wingdings" w:char="F06C"/>
            </w:r>
          </w:p>
        </w:tc>
        <w:tc>
          <w:tcPr>
            <w:tcW w:w="944" w:type="dxa"/>
            <w:shd w:val="clear" w:color="auto" w:fill="auto"/>
          </w:tcPr>
          <w:p w14:paraId="3A653ABF" w14:textId="77777777" w:rsidR="00122C1B" w:rsidRPr="00D87CE0" w:rsidRDefault="00122C1B" w:rsidP="00862896">
            <w:pPr>
              <w:pStyle w:val="TableParagraph"/>
              <w:jc w:val="center"/>
              <w:rPr>
                <w:rFonts w:cs="Segoe UI"/>
                <w:color w:val="00B050"/>
              </w:rPr>
            </w:pPr>
          </w:p>
        </w:tc>
        <w:tc>
          <w:tcPr>
            <w:tcW w:w="1466" w:type="dxa"/>
            <w:shd w:val="clear" w:color="auto" w:fill="auto"/>
          </w:tcPr>
          <w:p w14:paraId="588B8288" w14:textId="77777777" w:rsidR="00122C1B" w:rsidRDefault="00122C1B" w:rsidP="00862896">
            <w:pPr>
              <w:pStyle w:val="TableParagraph"/>
              <w:jc w:val="center"/>
            </w:pPr>
            <w:r w:rsidRPr="00CE6C01">
              <w:rPr>
                <w:rFonts w:cs="Segoe UI"/>
                <w:color w:val="0C81BC"/>
              </w:rPr>
              <w:sym w:font="Wingdings" w:char="F06C"/>
            </w:r>
          </w:p>
        </w:tc>
      </w:tr>
      <w:tr w:rsidR="00122C1B" w14:paraId="10D1B601" w14:textId="77777777" w:rsidTr="00FB62BD">
        <w:tc>
          <w:tcPr>
            <w:tcW w:w="4248" w:type="dxa"/>
            <w:shd w:val="clear" w:color="auto" w:fill="auto"/>
          </w:tcPr>
          <w:p w14:paraId="6B8CB418" w14:textId="77777777" w:rsidR="00122C1B" w:rsidRPr="00A644A7" w:rsidRDefault="00122C1B" w:rsidP="00862896">
            <w:pPr>
              <w:pStyle w:val="TableList1"/>
            </w:pPr>
            <w:r w:rsidRPr="003812F3">
              <w:t>Only permitted to ride a le</w:t>
            </w:r>
            <w:r w:rsidR="007F05B8">
              <w:t>arner approved motorcycle</w:t>
            </w:r>
          </w:p>
        </w:tc>
        <w:tc>
          <w:tcPr>
            <w:tcW w:w="793" w:type="dxa"/>
            <w:shd w:val="clear" w:color="auto" w:fill="auto"/>
          </w:tcPr>
          <w:p w14:paraId="0FE5EC4A" w14:textId="77777777" w:rsidR="00122C1B" w:rsidRDefault="00122C1B" w:rsidP="00862896">
            <w:pPr>
              <w:pStyle w:val="TableParagraph"/>
              <w:jc w:val="center"/>
            </w:pPr>
          </w:p>
        </w:tc>
        <w:tc>
          <w:tcPr>
            <w:tcW w:w="1225" w:type="dxa"/>
            <w:shd w:val="clear" w:color="auto" w:fill="auto"/>
          </w:tcPr>
          <w:p w14:paraId="02A69832" w14:textId="77777777" w:rsidR="00122C1B" w:rsidRPr="00D87CE0" w:rsidRDefault="00122C1B" w:rsidP="00862896">
            <w:pPr>
              <w:pStyle w:val="TableParagraph"/>
              <w:jc w:val="center"/>
              <w:rPr>
                <w:rFonts w:cs="Segoe UI"/>
                <w:color w:val="00B050"/>
              </w:rPr>
            </w:pPr>
            <w:r w:rsidRPr="00CE7CBD">
              <w:rPr>
                <w:rFonts w:cs="Segoe UI"/>
                <w:color w:val="0C81BC"/>
              </w:rPr>
              <w:sym w:font="Wingdings" w:char="F06C"/>
            </w:r>
          </w:p>
        </w:tc>
        <w:tc>
          <w:tcPr>
            <w:tcW w:w="1276" w:type="dxa"/>
            <w:shd w:val="clear" w:color="auto" w:fill="auto"/>
          </w:tcPr>
          <w:p w14:paraId="4C296A50" w14:textId="77777777" w:rsidR="00122C1B" w:rsidRDefault="00122C1B" w:rsidP="00862896">
            <w:pPr>
              <w:pStyle w:val="TableParagraph"/>
              <w:jc w:val="center"/>
            </w:pPr>
          </w:p>
        </w:tc>
        <w:tc>
          <w:tcPr>
            <w:tcW w:w="944" w:type="dxa"/>
            <w:shd w:val="clear" w:color="auto" w:fill="auto"/>
          </w:tcPr>
          <w:p w14:paraId="6BE06916" w14:textId="77777777" w:rsidR="00122C1B" w:rsidRPr="00D87CE0" w:rsidRDefault="00122C1B" w:rsidP="00862896">
            <w:pPr>
              <w:pStyle w:val="TableParagraph"/>
              <w:jc w:val="center"/>
              <w:rPr>
                <w:rFonts w:cs="Segoe UI"/>
                <w:color w:val="00B050"/>
              </w:rPr>
            </w:pPr>
          </w:p>
        </w:tc>
        <w:tc>
          <w:tcPr>
            <w:tcW w:w="1466" w:type="dxa"/>
            <w:shd w:val="clear" w:color="auto" w:fill="auto"/>
          </w:tcPr>
          <w:p w14:paraId="1B2C62A9" w14:textId="77777777" w:rsidR="00122C1B" w:rsidRDefault="00122C1B" w:rsidP="00862896">
            <w:pPr>
              <w:pStyle w:val="TableParagraph"/>
              <w:jc w:val="center"/>
            </w:pPr>
            <w:r w:rsidRPr="00CE6C01">
              <w:rPr>
                <w:rFonts w:cs="Segoe UI"/>
                <w:color w:val="0C81BC"/>
              </w:rPr>
              <w:sym w:font="Wingdings" w:char="F06C"/>
            </w:r>
          </w:p>
        </w:tc>
      </w:tr>
      <w:tr w:rsidR="00122C1B" w14:paraId="418BAD04"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583FF836" w14:textId="77777777" w:rsidR="00122C1B" w:rsidRPr="00A644A7" w:rsidRDefault="00122C1B" w:rsidP="00862896">
            <w:pPr>
              <w:pStyle w:val="TableList1"/>
            </w:pPr>
            <w:r>
              <w:t>Must not</w:t>
            </w:r>
            <w:r w:rsidRPr="00A644A7">
              <w:t xml:space="preserve"> carry a pillion passenger</w:t>
            </w:r>
          </w:p>
        </w:tc>
        <w:tc>
          <w:tcPr>
            <w:tcW w:w="793" w:type="dxa"/>
            <w:shd w:val="clear" w:color="auto" w:fill="auto"/>
          </w:tcPr>
          <w:p w14:paraId="29222422" w14:textId="77777777" w:rsidR="00122C1B" w:rsidRDefault="00122C1B" w:rsidP="00862896">
            <w:pPr>
              <w:pStyle w:val="TableParagraph"/>
              <w:jc w:val="center"/>
            </w:pPr>
          </w:p>
        </w:tc>
        <w:tc>
          <w:tcPr>
            <w:tcW w:w="1225" w:type="dxa"/>
            <w:shd w:val="clear" w:color="auto" w:fill="auto"/>
          </w:tcPr>
          <w:p w14:paraId="1DD0F123" w14:textId="77777777" w:rsidR="00122C1B" w:rsidRDefault="00122C1B" w:rsidP="00862896">
            <w:pPr>
              <w:pStyle w:val="TableParagraph"/>
              <w:jc w:val="center"/>
            </w:pPr>
            <w:r w:rsidRPr="00CE7CBD">
              <w:rPr>
                <w:rFonts w:cs="Segoe UI"/>
                <w:color w:val="0C81BC"/>
              </w:rPr>
              <w:sym w:font="Wingdings" w:char="F06C"/>
            </w:r>
          </w:p>
        </w:tc>
        <w:tc>
          <w:tcPr>
            <w:tcW w:w="1276" w:type="dxa"/>
            <w:shd w:val="clear" w:color="auto" w:fill="auto"/>
          </w:tcPr>
          <w:p w14:paraId="73BF9BCF" w14:textId="77777777" w:rsidR="00122C1B" w:rsidRDefault="00122C1B" w:rsidP="00862896">
            <w:pPr>
              <w:pStyle w:val="TableParagraph"/>
              <w:jc w:val="center"/>
            </w:pPr>
          </w:p>
        </w:tc>
        <w:tc>
          <w:tcPr>
            <w:tcW w:w="944" w:type="dxa"/>
            <w:shd w:val="clear" w:color="auto" w:fill="auto"/>
          </w:tcPr>
          <w:p w14:paraId="18C95B13" w14:textId="77777777" w:rsidR="00122C1B" w:rsidRDefault="00122C1B" w:rsidP="00862896">
            <w:pPr>
              <w:pStyle w:val="TableParagraph"/>
              <w:jc w:val="center"/>
            </w:pPr>
          </w:p>
        </w:tc>
        <w:tc>
          <w:tcPr>
            <w:tcW w:w="1466" w:type="dxa"/>
            <w:shd w:val="clear" w:color="auto" w:fill="auto"/>
          </w:tcPr>
          <w:p w14:paraId="7FB79994" w14:textId="77777777" w:rsidR="00122C1B" w:rsidRDefault="00122C1B" w:rsidP="00862896">
            <w:pPr>
              <w:pStyle w:val="TableParagraph"/>
              <w:jc w:val="center"/>
            </w:pPr>
          </w:p>
        </w:tc>
      </w:tr>
      <w:tr w:rsidR="00122C1B" w14:paraId="1CCA4997" w14:textId="77777777" w:rsidTr="00FB62BD">
        <w:tc>
          <w:tcPr>
            <w:tcW w:w="4248" w:type="dxa"/>
            <w:shd w:val="clear" w:color="auto" w:fill="auto"/>
          </w:tcPr>
          <w:p w14:paraId="26793BCF" w14:textId="77777777" w:rsidR="00122C1B" w:rsidRDefault="00122C1B" w:rsidP="00862896">
            <w:pPr>
              <w:pStyle w:val="TableList1"/>
            </w:pPr>
            <w:r>
              <w:t>Must ride with headlight on at all times</w:t>
            </w:r>
          </w:p>
        </w:tc>
        <w:tc>
          <w:tcPr>
            <w:tcW w:w="793" w:type="dxa"/>
            <w:shd w:val="clear" w:color="auto" w:fill="auto"/>
          </w:tcPr>
          <w:p w14:paraId="13F8475F" w14:textId="77777777" w:rsidR="00122C1B" w:rsidRDefault="00122C1B" w:rsidP="00862896">
            <w:pPr>
              <w:pStyle w:val="TableParagraph"/>
              <w:jc w:val="center"/>
            </w:pPr>
          </w:p>
        </w:tc>
        <w:tc>
          <w:tcPr>
            <w:tcW w:w="1225" w:type="dxa"/>
            <w:shd w:val="clear" w:color="auto" w:fill="auto"/>
          </w:tcPr>
          <w:p w14:paraId="36D6D2D1" w14:textId="77777777" w:rsidR="00122C1B" w:rsidRPr="00D87CE0" w:rsidRDefault="00122C1B" w:rsidP="00862896">
            <w:pPr>
              <w:pStyle w:val="TableParagraph"/>
              <w:jc w:val="center"/>
              <w:rPr>
                <w:rFonts w:cs="Segoe UI"/>
                <w:color w:val="00B050"/>
              </w:rPr>
            </w:pPr>
            <w:r w:rsidRPr="00CE7CBD">
              <w:rPr>
                <w:rFonts w:cs="Segoe UI"/>
                <w:color w:val="0C81BC"/>
              </w:rPr>
              <w:sym w:font="Wingdings" w:char="F06C"/>
            </w:r>
          </w:p>
        </w:tc>
        <w:tc>
          <w:tcPr>
            <w:tcW w:w="1276" w:type="dxa"/>
            <w:shd w:val="clear" w:color="auto" w:fill="auto"/>
          </w:tcPr>
          <w:p w14:paraId="6A626474" w14:textId="77777777" w:rsidR="00122C1B" w:rsidRDefault="00122C1B" w:rsidP="00862896">
            <w:pPr>
              <w:pStyle w:val="TableParagraph"/>
              <w:jc w:val="center"/>
            </w:pPr>
          </w:p>
        </w:tc>
        <w:tc>
          <w:tcPr>
            <w:tcW w:w="944" w:type="dxa"/>
            <w:shd w:val="clear" w:color="auto" w:fill="auto"/>
          </w:tcPr>
          <w:p w14:paraId="5BB4AFBF" w14:textId="77777777" w:rsidR="00122C1B" w:rsidRDefault="00122C1B" w:rsidP="00862896">
            <w:pPr>
              <w:pStyle w:val="TableParagraph"/>
              <w:jc w:val="center"/>
            </w:pPr>
          </w:p>
        </w:tc>
        <w:tc>
          <w:tcPr>
            <w:tcW w:w="1466" w:type="dxa"/>
            <w:shd w:val="clear" w:color="auto" w:fill="auto"/>
          </w:tcPr>
          <w:p w14:paraId="3DC72B06" w14:textId="77777777" w:rsidR="00122C1B" w:rsidRDefault="00122C1B" w:rsidP="00862896">
            <w:pPr>
              <w:pStyle w:val="TableParagraph"/>
              <w:jc w:val="center"/>
            </w:pPr>
          </w:p>
        </w:tc>
      </w:tr>
      <w:tr w:rsidR="00122C1B" w14:paraId="1DD95F50"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1775F97A" w14:textId="77777777" w:rsidR="00122C1B" w:rsidRDefault="00122C1B" w:rsidP="00862896">
            <w:pPr>
              <w:pStyle w:val="TableList1"/>
            </w:pPr>
            <w:r>
              <w:t>No mobile phone use</w:t>
            </w:r>
          </w:p>
        </w:tc>
        <w:tc>
          <w:tcPr>
            <w:tcW w:w="793" w:type="dxa"/>
            <w:shd w:val="clear" w:color="auto" w:fill="auto"/>
          </w:tcPr>
          <w:p w14:paraId="23F08C12" w14:textId="77777777" w:rsidR="00122C1B" w:rsidRDefault="00122C1B" w:rsidP="00862896">
            <w:pPr>
              <w:pStyle w:val="TableParagraph"/>
              <w:jc w:val="center"/>
            </w:pPr>
          </w:p>
        </w:tc>
        <w:tc>
          <w:tcPr>
            <w:tcW w:w="1225" w:type="dxa"/>
            <w:shd w:val="clear" w:color="auto" w:fill="auto"/>
          </w:tcPr>
          <w:p w14:paraId="5E3A64B5" w14:textId="77777777" w:rsidR="00122C1B" w:rsidRPr="00D87CE0" w:rsidRDefault="00122C1B" w:rsidP="00862896">
            <w:pPr>
              <w:pStyle w:val="TableParagraph"/>
              <w:jc w:val="center"/>
              <w:rPr>
                <w:rFonts w:cs="Segoe UI"/>
                <w:color w:val="00B050"/>
              </w:rPr>
            </w:pPr>
            <w:r w:rsidRPr="00CE7CBD">
              <w:rPr>
                <w:rFonts w:cs="Segoe UI"/>
                <w:color w:val="0C81BC"/>
              </w:rPr>
              <w:sym w:font="Wingdings" w:char="F06C"/>
            </w:r>
          </w:p>
        </w:tc>
        <w:tc>
          <w:tcPr>
            <w:tcW w:w="1276" w:type="dxa"/>
            <w:shd w:val="clear" w:color="auto" w:fill="auto"/>
          </w:tcPr>
          <w:p w14:paraId="01364940" w14:textId="77777777" w:rsidR="00122C1B" w:rsidRDefault="00122C1B" w:rsidP="00862896">
            <w:pPr>
              <w:pStyle w:val="TableParagraph"/>
              <w:jc w:val="center"/>
            </w:pPr>
          </w:p>
        </w:tc>
        <w:tc>
          <w:tcPr>
            <w:tcW w:w="944" w:type="dxa"/>
            <w:shd w:val="clear" w:color="auto" w:fill="auto"/>
          </w:tcPr>
          <w:p w14:paraId="1AA4D965" w14:textId="77777777" w:rsidR="00122C1B" w:rsidRDefault="00122C1B" w:rsidP="00862896">
            <w:pPr>
              <w:pStyle w:val="TableParagraph"/>
              <w:jc w:val="center"/>
            </w:pPr>
          </w:p>
        </w:tc>
        <w:tc>
          <w:tcPr>
            <w:tcW w:w="1466" w:type="dxa"/>
            <w:shd w:val="clear" w:color="auto" w:fill="auto"/>
          </w:tcPr>
          <w:p w14:paraId="4134B38F" w14:textId="77777777" w:rsidR="00122C1B" w:rsidRDefault="00122C1B" w:rsidP="00862896">
            <w:pPr>
              <w:pStyle w:val="TableParagraph"/>
              <w:jc w:val="center"/>
            </w:pPr>
          </w:p>
        </w:tc>
      </w:tr>
      <w:tr w:rsidR="00122C1B" w14:paraId="396915BD" w14:textId="77777777" w:rsidTr="00FB62BD">
        <w:tc>
          <w:tcPr>
            <w:tcW w:w="4248" w:type="dxa"/>
            <w:shd w:val="clear" w:color="auto" w:fill="auto"/>
          </w:tcPr>
          <w:p w14:paraId="372A4080" w14:textId="77777777" w:rsidR="00122C1B" w:rsidRDefault="00122C1B" w:rsidP="00862896">
            <w:pPr>
              <w:pStyle w:val="TableList1"/>
            </w:pPr>
            <w:r>
              <w:lastRenderedPageBreak/>
              <w:t>No towing</w:t>
            </w:r>
          </w:p>
        </w:tc>
        <w:tc>
          <w:tcPr>
            <w:tcW w:w="793" w:type="dxa"/>
            <w:shd w:val="clear" w:color="auto" w:fill="auto"/>
          </w:tcPr>
          <w:p w14:paraId="6AF9506E" w14:textId="77777777" w:rsidR="00122C1B" w:rsidRDefault="00122C1B" w:rsidP="00862896">
            <w:pPr>
              <w:pStyle w:val="TableParagraph"/>
              <w:jc w:val="center"/>
            </w:pPr>
          </w:p>
        </w:tc>
        <w:tc>
          <w:tcPr>
            <w:tcW w:w="1225" w:type="dxa"/>
            <w:shd w:val="clear" w:color="auto" w:fill="auto"/>
          </w:tcPr>
          <w:p w14:paraId="798F754F" w14:textId="77777777" w:rsidR="00122C1B" w:rsidRPr="00D87CE0" w:rsidRDefault="00122C1B" w:rsidP="00862896">
            <w:pPr>
              <w:pStyle w:val="TableParagraph"/>
              <w:jc w:val="center"/>
              <w:rPr>
                <w:rFonts w:cs="Segoe UI"/>
                <w:color w:val="00B050"/>
              </w:rPr>
            </w:pPr>
            <w:r w:rsidRPr="00CE7CBD">
              <w:rPr>
                <w:rFonts w:cs="Segoe UI"/>
                <w:color w:val="0C81BC"/>
              </w:rPr>
              <w:sym w:font="Wingdings" w:char="F06C"/>
            </w:r>
          </w:p>
        </w:tc>
        <w:tc>
          <w:tcPr>
            <w:tcW w:w="1276" w:type="dxa"/>
            <w:shd w:val="clear" w:color="auto" w:fill="auto"/>
          </w:tcPr>
          <w:p w14:paraId="0F944087" w14:textId="77777777" w:rsidR="00122C1B" w:rsidRDefault="00122C1B" w:rsidP="00862896">
            <w:pPr>
              <w:pStyle w:val="TableParagraph"/>
              <w:jc w:val="center"/>
            </w:pPr>
          </w:p>
        </w:tc>
        <w:tc>
          <w:tcPr>
            <w:tcW w:w="944" w:type="dxa"/>
            <w:shd w:val="clear" w:color="auto" w:fill="auto"/>
          </w:tcPr>
          <w:p w14:paraId="457C3304" w14:textId="77777777" w:rsidR="00122C1B" w:rsidRDefault="00122C1B" w:rsidP="00862896">
            <w:pPr>
              <w:pStyle w:val="TableParagraph"/>
              <w:jc w:val="center"/>
            </w:pPr>
          </w:p>
        </w:tc>
        <w:tc>
          <w:tcPr>
            <w:tcW w:w="1466" w:type="dxa"/>
            <w:shd w:val="clear" w:color="auto" w:fill="auto"/>
          </w:tcPr>
          <w:p w14:paraId="48BDEE3A" w14:textId="77777777" w:rsidR="00122C1B" w:rsidRDefault="00122C1B" w:rsidP="00862896">
            <w:pPr>
              <w:pStyle w:val="TableParagraph"/>
              <w:jc w:val="center"/>
            </w:pPr>
          </w:p>
        </w:tc>
      </w:tr>
      <w:tr w:rsidR="00122C1B" w14:paraId="3F5AF024" w14:textId="77777777" w:rsidTr="00FB62BD">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0F73D85E" w14:textId="77777777" w:rsidR="00122C1B" w:rsidRDefault="00122C1B" w:rsidP="005F6F8B">
            <w:pPr>
              <w:pStyle w:val="TableList1"/>
            </w:pPr>
            <w:r>
              <w:t>If tested on an automatic motorcycle, restricted to riding an automatic motorcycle</w:t>
            </w:r>
          </w:p>
        </w:tc>
        <w:tc>
          <w:tcPr>
            <w:tcW w:w="793" w:type="dxa"/>
            <w:shd w:val="clear" w:color="auto" w:fill="auto"/>
          </w:tcPr>
          <w:p w14:paraId="6A40466B" w14:textId="77777777" w:rsidR="00122C1B" w:rsidRDefault="00122C1B" w:rsidP="002F4956">
            <w:pPr>
              <w:pStyle w:val="TableParagraph"/>
              <w:jc w:val="center"/>
            </w:pPr>
          </w:p>
        </w:tc>
        <w:tc>
          <w:tcPr>
            <w:tcW w:w="1225" w:type="dxa"/>
            <w:shd w:val="clear" w:color="auto" w:fill="auto"/>
          </w:tcPr>
          <w:p w14:paraId="3EDA6085" w14:textId="77777777" w:rsidR="00122C1B" w:rsidRPr="00D87CE0" w:rsidRDefault="00122C1B" w:rsidP="002F4956">
            <w:pPr>
              <w:pStyle w:val="TableParagraph"/>
              <w:jc w:val="center"/>
              <w:rPr>
                <w:rFonts w:cs="Segoe UI"/>
                <w:color w:val="00B050"/>
              </w:rPr>
            </w:pPr>
            <w:r w:rsidRPr="00862896">
              <w:rPr>
                <w:rFonts w:cs="Segoe UI"/>
                <w:color w:val="0C81BC"/>
              </w:rPr>
              <w:sym w:font="Wingdings" w:char="F06C"/>
            </w:r>
          </w:p>
        </w:tc>
        <w:tc>
          <w:tcPr>
            <w:tcW w:w="1276" w:type="dxa"/>
            <w:shd w:val="clear" w:color="auto" w:fill="auto"/>
          </w:tcPr>
          <w:p w14:paraId="5AB5AC80" w14:textId="77777777" w:rsidR="00122C1B" w:rsidRDefault="00122C1B" w:rsidP="002F4956">
            <w:pPr>
              <w:pStyle w:val="TableParagraph"/>
              <w:jc w:val="center"/>
            </w:pPr>
          </w:p>
        </w:tc>
        <w:tc>
          <w:tcPr>
            <w:tcW w:w="944" w:type="dxa"/>
            <w:shd w:val="clear" w:color="auto" w:fill="auto"/>
          </w:tcPr>
          <w:p w14:paraId="06A790B5" w14:textId="77777777" w:rsidR="00122C1B" w:rsidRDefault="00122C1B" w:rsidP="002F4956">
            <w:pPr>
              <w:pStyle w:val="TableParagraph"/>
              <w:jc w:val="center"/>
            </w:pPr>
            <w:r w:rsidRPr="00862896">
              <w:rPr>
                <w:rFonts w:cs="Segoe UI"/>
                <w:color w:val="0C81BC"/>
              </w:rPr>
              <w:sym w:font="Wingdings" w:char="F06C"/>
            </w:r>
          </w:p>
        </w:tc>
        <w:tc>
          <w:tcPr>
            <w:tcW w:w="1466" w:type="dxa"/>
            <w:shd w:val="clear" w:color="auto" w:fill="auto"/>
          </w:tcPr>
          <w:p w14:paraId="656719F0" w14:textId="77777777" w:rsidR="00122C1B" w:rsidRDefault="00122C1B" w:rsidP="002F4956">
            <w:pPr>
              <w:pStyle w:val="TableParagraph"/>
              <w:jc w:val="center"/>
            </w:pPr>
          </w:p>
        </w:tc>
      </w:tr>
      <w:tr w:rsidR="00122C1B" w:rsidRPr="00875385" w14:paraId="51256599" w14:textId="77777777" w:rsidTr="00B22DE1">
        <w:tc>
          <w:tcPr>
            <w:tcW w:w="4248" w:type="dxa"/>
            <w:shd w:val="clear" w:color="auto" w:fill="DDE8F4" w:themeFill="text2" w:themeFillTint="1A"/>
          </w:tcPr>
          <w:p w14:paraId="1EBB7AC2" w14:textId="77777777" w:rsidR="00122C1B" w:rsidRPr="00875385" w:rsidRDefault="00122C1B" w:rsidP="000A0322">
            <w:pPr>
              <w:pStyle w:val="TableParagraph"/>
              <w:keepNext/>
              <w:rPr>
                <w:b/>
              </w:rPr>
            </w:pPr>
            <w:r>
              <w:rPr>
                <w:b/>
              </w:rPr>
              <w:t>Full motorcycle licence</w:t>
            </w:r>
          </w:p>
        </w:tc>
        <w:tc>
          <w:tcPr>
            <w:tcW w:w="793" w:type="dxa"/>
            <w:shd w:val="clear" w:color="auto" w:fill="DDE8F4" w:themeFill="text2" w:themeFillTint="1A"/>
          </w:tcPr>
          <w:p w14:paraId="19612A9D" w14:textId="77777777" w:rsidR="00122C1B" w:rsidRPr="00875385" w:rsidRDefault="00122C1B" w:rsidP="000A0322">
            <w:pPr>
              <w:pStyle w:val="TableParagraph"/>
              <w:keepNext/>
              <w:jc w:val="center"/>
              <w:rPr>
                <w:b/>
              </w:rPr>
            </w:pPr>
          </w:p>
        </w:tc>
        <w:tc>
          <w:tcPr>
            <w:tcW w:w="1225" w:type="dxa"/>
            <w:shd w:val="clear" w:color="auto" w:fill="DDE8F4" w:themeFill="text2" w:themeFillTint="1A"/>
          </w:tcPr>
          <w:p w14:paraId="3FAC7D1C" w14:textId="77777777" w:rsidR="00122C1B" w:rsidRPr="00875385" w:rsidRDefault="00122C1B" w:rsidP="000A0322">
            <w:pPr>
              <w:pStyle w:val="TableParagraph"/>
              <w:keepNext/>
              <w:jc w:val="center"/>
              <w:rPr>
                <w:b/>
              </w:rPr>
            </w:pPr>
          </w:p>
        </w:tc>
        <w:tc>
          <w:tcPr>
            <w:tcW w:w="1276" w:type="dxa"/>
            <w:shd w:val="clear" w:color="auto" w:fill="DDE8F4" w:themeFill="text2" w:themeFillTint="1A"/>
          </w:tcPr>
          <w:p w14:paraId="57487E3A" w14:textId="77777777" w:rsidR="00122C1B" w:rsidRPr="00875385" w:rsidRDefault="00122C1B" w:rsidP="000A0322">
            <w:pPr>
              <w:pStyle w:val="TableParagraph"/>
              <w:keepNext/>
              <w:jc w:val="center"/>
              <w:rPr>
                <w:b/>
              </w:rPr>
            </w:pPr>
          </w:p>
        </w:tc>
        <w:tc>
          <w:tcPr>
            <w:tcW w:w="944" w:type="dxa"/>
            <w:shd w:val="clear" w:color="auto" w:fill="DDE8F4" w:themeFill="text2" w:themeFillTint="1A"/>
          </w:tcPr>
          <w:p w14:paraId="131F55DC" w14:textId="77777777" w:rsidR="00122C1B" w:rsidRPr="00875385" w:rsidRDefault="00122C1B" w:rsidP="000A0322">
            <w:pPr>
              <w:pStyle w:val="TableParagraph"/>
              <w:keepNext/>
              <w:jc w:val="center"/>
              <w:rPr>
                <w:b/>
              </w:rPr>
            </w:pPr>
          </w:p>
        </w:tc>
        <w:tc>
          <w:tcPr>
            <w:tcW w:w="1466" w:type="dxa"/>
            <w:shd w:val="clear" w:color="auto" w:fill="DDE8F4" w:themeFill="text2" w:themeFillTint="1A"/>
          </w:tcPr>
          <w:p w14:paraId="342D83C8" w14:textId="77777777" w:rsidR="00122C1B" w:rsidRPr="00875385" w:rsidRDefault="00122C1B" w:rsidP="000A0322">
            <w:pPr>
              <w:pStyle w:val="TableParagraph"/>
              <w:keepNext/>
              <w:jc w:val="center"/>
              <w:rPr>
                <w:b/>
              </w:rPr>
            </w:pPr>
          </w:p>
        </w:tc>
      </w:tr>
      <w:tr w:rsidR="00122C1B" w14:paraId="64E6A590" w14:textId="77777777" w:rsidTr="00153B04">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22B78589" w14:textId="77777777" w:rsidR="00122C1B" w:rsidRPr="00E76DAA" w:rsidRDefault="00122C1B" w:rsidP="00862896">
            <w:pPr>
              <w:pStyle w:val="TableList1"/>
            </w:pPr>
            <w:r w:rsidRPr="00E76DAA">
              <w:t xml:space="preserve">Blood </w:t>
            </w:r>
            <w:r>
              <w:t xml:space="preserve">or breath </w:t>
            </w:r>
            <w:r w:rsidRPr="00E76DAA">
              <w:t>alcohol concentration</w:t>
            </w:r>
            <w:r>
              <w:t>:</w:t>
            </w:r>
            <w:r w:rsidRPr="00E76DAA">
              <w:t xml:space="preserve"> </w:t>
            </w:r>
            <w:r>
              <w:t>0.05 BAC</w:t>
            </w:r>
          </w:p>
        </w:tc>
        <w:tc>
          <w:tcPr>
            <w:tcW w:w="793" w:type="dxa"/>
            <w:shd w:val="clear" w:color="auto" w:fill="auto"/>
          </w:tcPr>
          <w:p w14:paraId="758AA245" w14:textId="77777777" w:rsidR="00122C1B" w:rsidRDefault="00122C1B" w:rsidP="00862896">
            <w:pPr>
              <w:pStyle w:val="TableParagraph"/>
              <w:jc w:val="center"/>
            </w:pPr>
            <w:r w:rsidRPr="00862896">
              <w:rPr>
                <w:rFonts w:cs="Segoe UI"/>
                <w:color w:val="0C81BC"/>
              </w:rPr>
              <w:sym w:font="Wingdings" w:char="F06C"/>
            </w:r>
          </w:p>
        </w:tc>
        <w:tc>
          <w:tcPr>
            <w:tcW w:w="1225" w:type="dxa"/>
            <w:shd w:val="clear" w:color="auto" w:fill="auto"/>
          </w:tcPr>
          <w:p w14:paraId="62803889" w14:textId="77777777" w:rsidR="00122C1B" w:rsidRDefault="00122C1B" w:rsidP="00862896">
            <w:pPr>
              <w:pStyle w:val="TableParagraph"/>
              <w:jc w:val="center"/>
            </w:pPr>
          </w:p>
        </w:tc>
        <w:tc>
          <w:tcPr>
            <w:tcW w:w="1276" w:type="dxa"/>
            <w:shd w:val="clear" w:color="auto" w:fill="auto"/>
          </w:tcPr>
          <w:p w14:paraId="6C05C931" w14:textId="77777777" w:rsidR="00122C1B" w:rsidRDefault="00122C1B" w:rsidP="00862896">
            <w:pPr>
              <w:pStyle w:val="TableParagraph"/>
              <w:jc w:val="center"/>
            </w:pPr>
          </w:p>
        </w:tc>
        <w:tc>
          <w:tcPr>
            <w:tcW w:w="944" w:type="dxa"/>
            <w:shd w:val="clear" w:color="auto" w:fill="auto"/>
          </w:tcPr>
          <w:p w14:paraId="35044C72" w14:textId="77777777" w:rsidR="00122C1B" w:rsidRPr="00D87CE0" w:rsidRDefault="00122C1B" w:rsidP="00862896">
            <w:pPr>
              <w:pStyle w:val="TableParagraph"/>
              <w:jc w:val="center"/>
              <w:rPr>
                <w:rFonts w:cs="Segoe UI"/>
                <w:color w:val="00B050"/>
              </w:rPr>
            </w:pPr>
          </w:p>
        </w:tc>
        <w:tc>
          <w:tcPr>
            <w:tcW w:w="1466" w:type="dxa"/>
            <w:shd w:val="clear" w:color="auto" w:fill="auto"/>
          </w:tcPr>
          <w:p w14:paraId="00F57DC5" w14:textId="77777777" w:rsidR="00122C1B" w:rsidRDefault="00122C1B" w:rsidP="00862896">
            <w:pPr>
              <w:pStyle w:val="TableParagraph"/>
              <w:jc w:val="center"/>
            </w:pPr>
            <w:r w:rsidRPr="0052126C">
              <w:rPr>
                <w:rFonts w:cs="Segoe UI"/>
                <w:color w:val="0C81BC"/>
              </w:rPr>
              <w:sym w:font="Wingdings" w:char="F06C"/>
            </w:r>
          </w:p>
        </w:tc>
      </w:tr>
      <w:tr w:rsidR="00122C1B" w14:paraId="28FC70C0" w14:textId="77777777" w:rsidTr="00153B04">
        <w:tc>
          <w:tcPr>
            <w:tcW w:w="4248" w:type="dxa"/>
            <w:shd w:val="clear" w:color="auto" w:fill="auto"/>
          </w:tcPr>
          <w:p w14:paraId="7F6A6B96" w14:textId="77777777" w:rsidR="00122C1B" w:rsidRPr="00E76DAA" w:rsidRDefault="00122C1B" w:rsidP="00862896">
            <w:pPr>
              <w:pStyle w:val="TableList1"/>
            </w:pPr>
            <w:r w:rsidRPr="00E76DAA">
              <w:t>Speed limit</w:t>
            </w:r>
            <w:r>
              <w:t>:</w:t>
            </w:r>
            <w:r w:rsidRPr="00E76DAA">
              <w:t xml:space="preserve"> As signed posted</w:t>
            </w:r>
          </w:p>
        </w:tc>
        <w:tc>
          <w:tcPr>
            <w:tcW w:w="793" w:type="dxa"/>
            <w:shd w:val="clear" w:color="auto" w:fill="auto"/>
          </w:tcPr>
          <w:p w14:paraId="30AE62D6" w14:textId="77777777" w:rsidR="00122C1B" w:rsidRDefault="00122C1B" w:rsidP="00862896">
            <w:pPr>
              <w:pStyle w:val="TableParagraph"/>
              <w:jc w:val="center"/>
            </w:pPr>
          </w:p>
        </w:tc>
        <w:tc>
          <w:tcPr>
            <w:tcW w:w="1225" w:type="dxa"/>
            <w:shd w:val="clear" w:color="auto" w:fill="auto"/>
          </w:tcPr>
          <w:p w14:paraId="2D1283A2" w14:textId="77777777" w:rsidR="00122C1B" w:rsidRDefault="00122C1B" w:rsidP="00862896">
            <w:pPr>
              <w:pStyle w:val="TableParagraph"/>
              <w:jc w:val="center"/>
            </w:pPr>
          </w:p>
        </w:tc>
        <w:tc>
          <w:tcPr>
            <w:tcW w:w="1276" w:type="dxa"/>
            <w:shd w:val="clear" w:color="auto" w:fill="auto"/>
          </w:tcPr>
          <w:p w14:paraId="3A50BA2A" w14:textId="77777777" w:rsidR="00122C1B" w:rsidRDefault="00122C1B" w:rsidP="00862896">
            <w:pPr>
              <w:pStyle w:val="TableParagraph"/>
              <w:jc w:val="center"/>
            </w:pPr>
            <w:r w:rsidRPr="00862896">
              <w:rPr>
                <w:rFonts w:cs="Segoe UI"/>
                <w:color w:val="0C81BC"/>
              </w:rPr>
              <w:sym w:font="Wingdings" w:char="F06C"/>
            </w:r>
          </w:p>
        </w:tc>
        <w:tc>
          <w:tcPr>
            <w:tcW w:w="944" w:type="dxa"/>
            <w:shd w:val="clear" w:color="auto" w:fill="auto"/>
          </w:tcPr>
          <w:p w14:paraId="4602AEB4" w14:textId="77777777" w:rsidR="00122C1B" w:rsidRPr="00D87CE0" w:rsidRDefault="00122C1B" w:rsidP="00862896">
            <w:pPr>
              <w:pStyle w:val="TableParagraph"/>
              <w:jc w:val="center"/>
              <w:rPr>
                <w:rFonts w:cs="Segoe UI"/>
                <w:color w:val="00B050"/>
              </w:rPr>
            </w:pPr>
          </w:p>
        </w:tc>
        <w:tc>
          <w:tcPr>
            <w:tcW w:w="1466" w:type="dxa"/>
            <w:shd w:val="clear" w:color="auto" w:fill="auto"/>
          </w:tcPr>
          <w:p w14:paraId="6FF51A3C" w14:textId="77777777" w:rsidR="00122C1B" w:rsidRDefault="00122C1B" w:rsidP="00862896">
            <w:pPr>
              <w:pStyle w:val="TableParagraph"/>
              <w:jc w:val="center"/>
            </w:pPr>
            <w:r w:rsidRPr="0052126C">
              <w:rPr>
                <w:rFonts w:cs="Segoe UI"/>
                <w:color w:val="0C81BC"/>
              </w:rPr>
              <w:sym w:font="Wingdings" w:char="F06C"/>
            </w:r>
          </w:p>
        </w:tc>
      </w:tr>
      <w:tr w:rsidR="00122C1B" w14:paraId="06E9BEAA" w14:textId="77777777" w:rsidTr="00153B04">
        <w:trPr>
          <w:cnfStyle w:val="000000010000" w:firstRow="0" w:lastRow="0" w:firstColumn="0" w:lastColumn="0" w:oddVBand="0" w:evenVBand="0" w:oddHBand="0" w:evenHBand="1" w:firstRowFirstColumn="0" w:firstRowLastColumn="0" w:lastRowFirstColumn="0" w:lastRowLastColumn="0"/>
        </w:trPr>
        <w:tc>
          <w:tcPr>
            <w:tcW w:w="4248" w:type="dxa"/>
            <w:shd w:val="clear" w:color="auto" w:fill="auto"/>
          </w:tcPr>
          <w:p w14:paraId="777E4073" w14:textId="77777777" w:rsidR="00122C1B" w:rsidRPr="00E76DAA" w:rsidRDefault="00122C1B" w:rsidP="00862896">
            <w:pPr>
              <w:pStyle w:val="TableList1"/>
            </w:pPr>
            <w:r>
              <w:t>Demerit points: No more than 12 demerit points in 3 years</w:t>
            </w:r>
          </w:p>
        </w:tc>
        <w:tc>
          <w:tcPr>
            <w:tcW w:w="793" w:type="dxa"/>
            <w:shd w:val="clear" w:color="auto" w:fill="auto"/>
          </w:tcPr>
          <w:p w14:paraId="417B7FA7" w14:textId="77777777" w:rsidR="00122C1B" w:rsidRDefault="00122C1B" w:rsidP="00862896">
            <w:pPr>
              <w:pStyle w:val="TableParagraph"/>
              <w:jc w:val="center"/>
            </w:pPr>
            <w:r w:rsidRPr="00862896">
              <w:rPr>
                <w:rFonts w:cs="Segoe UI"/>
                <w:color w:val="0C81BC"/>
              </w:rPr>
              <w:sym w:font="Wingdings" w:char="F06C"/>
            </w:r>
          </w:p>
        </w:tc>
        <w:tc>
          <w:tcPr>
            <w:tcW w:w="1225" w:type="dxa"/>
            <w:shd w:val="clear" w:color="auto" w:fill="auto"/>
          </w:tcPr>
          <w:p w14:paraId="39DCF785" w14:textId="77777777" w:rsidR="00122C1B" w:rsidRDefault="00122C1B" w:rsidP="00862896">
            <w:pPr>
              <w:pStyle w:val="TableParagraph"/>
              <w:jc w:val="center"/>
            </w:pPr>
          </w:p>
        </w:tc>
        <w:tc>
          <w:tcPr>
            <w:tcW w:w="1276" w:type="dxa"/>
            <w:shd w:val="clear" w:color="auto" w:fill="auto"/>
          </w:tcPr>
          <w:p w14:paraId="6D107897" w14:textId="77777777" w:rsidR="00122C1B" w:rsidRDefault="00122C1B" w:rsidP="00862896">
            <w:pPr>
              <w:pStyle w:val="TableParagraph"/>
              <w:jc w:val="center"/>
            </w:pPr>
          </w:p>
        </w:tc>
        <w:tc>
          <w:tcPr>
            <w:tcW w:w="944" w:type="dxa"/>
            <w:shd w:val="clear" w:color="auto" w:fill="auto"/>
          </w:tcPr>
          <w:p w14:paraId="2BEF1971" w14:textId="77777777" w:rsidR="00122C1B" w:rsidRPr="00D87CE0" w:rsidRDefault="00122C1B" w:rsidP="00862896">
            <w:pPr>
              <w:pStyle w:val="TableParagraph"/>
              <w:jc w:val="center"/>
              <w:rPr>
                <w:rFonts w:cs="Segoe UI"/>
                <w:color w:val="00B050"/>
              </w:rPr>
            </w:pPr>
          </w:p>
        </w:tc>
        <w:tc>
          <w:tcPr>
            <w:tcW w:w="1466" w:type="dxa"/>
            <w:shd w:val="clear" w:color="auto" w:fill="auto"/>
          </w:tcPr>
          <w:p w14:paraId="0EAFBCC6" w14:textId="77777777" w:rsidR="00122C1B" w:rsidRDefault="00122C1B" w:rsidP="00862896">
            <w:pPr>
              <w:pStyle w:val="TableParagraph"/>
              <w:jc w:val="center"/>
            </w:pPr>
            <w:r w:rsidRPr="0052126C">
              <w:rPr>
                <w:rFonts w:cs="Segoe UI"/>
                <w:color w:val="0C81BC"/>
              </w:rPr>
              <w:sym w:font="Wingdings" w:char="F06C"/>
            </w:r>
          </w:p>
        </w:tc>
      </w:tr>
    </w:tbl>
    <w:p w14:paraId="50444537" w14:textId="77777777" w:rsidR="00122C1B" w:rsidRPr="00593AB1" w:rsidRDefault="00122C1B" w:rsidP="007F05B8">
      <w:pPr>
        <w:pStyle w:val="Heading1"/>
        <w:pageBreakBefore/>
      </w:pPr>
      <w:bookmarkStart w:id="585" w:name="_Toc10703471"/>
      <w:r w:rsidRPr="00593AB1">
        <w:lastRenderedPageBreak/>
        <w:t>Compliance</w:t>
      </w:r>
      <w:bookmarkEnd w:id="585"/>
    </w:p>
    <w:p w14:paraId="6620376E" w14:textId="77777777" w:rsidR="00122C1B" w:rsidRDefault="00122C1B" w:rsidP="001A063E">
      <w:pPr>
        <w:pStyle w:val="Heading2"/>
      </w:pPr>
      <w:bookmarkStart w:id="586" w:name="_Toc10703472"/>
      <w:r>
        <w:t>Background</w:t>
      </w:r>
      <w:bookmarkEnd w:id="586"/>
    </w:p>
    <w:p w14:paraId="7CFB58BD" w14:textId="77777777" w:rsidR="00122C1B" w:rsidRDefault="00453450" w:rsidP="002F468E">
      <w:pPr>
        <w:pStyle w:val="TextPara"/>
      </w:pPr>
      <w:r>
        <w:t xml:space="preserve">Along with </w:t>
      </w:r>
      <w:r w:rsidR="00122C1B">
        <w:t xml:space="preserve">the </w:t>
      </w:r>
      <w:r w:rsidR="00122C1B" w:rsidRPr="00F4115C">
        <w:rPr>
          <w:i/>
        </w:rPr>
        <w:t>RSA</w:t>
      </w:r>
      <w:r w:rsidR="00122C1B">
        <w:t>, the Road Safety</w:t>
      </w:r>
      <w:r w:rsidR="007F05B8">
        <w:t xml:space="preserve"> Road</w:t>
      </w:r>
      <w:r w:rsidR="00122C1B">
        <w:t xml:space="preserve"> Rules</w:t>
      </w:r>
      <w:r w:rsidR="009437FC">
        <w:t xml:space="preserve"> 2017</w:t>
      </w:r>
      <w:r w:rsidR="00122C1B">
        <w:t xml:space="preserve"> and the Road Safety (General) Regulations</w:t>
      </w:r>
      <w:r w:rsidR="009437FC">
        <w:t xml:space="preserve"> 2009</w:t>
      </w:r>
      <w:r w:rsidR="00122C1B">
        <w:t>, the proposed Regulations incorporate measures that promote compliance to foster safe road user behaviour. They establish penalties to encourage compliance and provide substantial road safety benefits to the community. Without penalties, there would be limited compliance with the proposed Regulations by road users of all ages. The proposed Regulations also ensure that there is an efficient and effective way for drivers with poor driving records to contribute to the cost of road use.</w:t>
      </w:r>
    </w:p>
    <w:p w14:paraId="51884C6F" w14:textId="77777777" w:rsidR="00122C1B" w:rsidRDefault="00122C1B" w:rsidP="006153B8">
      <w:pPr>
        <w:pStyle w:val="TextPara"/>
      </w:pPr>
      <w:r w:rsidRPr="00F833B7">
        <w:t xml:space="preserve">The </w:t>
      </w:r>
      <w:r w:rsidRPr="00F833B7">
        <w:rPr>
          <w:i/>
        </w:rPr>
        <w:t>RSA</w:t>
      </w:r>
      <w:r w:rsidRPr="00F833B7">
        <w:t xml:space="preserve"> covers, among other things, offences</w:t>
      </w:r>
      <w:r>
        <w:t xml:space="preserve"> and driving bans (</w:t>
      </w:r>
      <w:r w:rsidR="009437FC">
        <w:t xml:space="preserve">licence and permit </w:t>
      </w:r>
      <w:r>
        <w:t>suspensions and cancellations</w:t>
      </w:r>
      <w:r w:rsidR="00312273" w:rsidRPr="00312273">
        <w:t xml:space="preserve"> </w:t>
      </w:r>
      <w:r w:rsidR="00312273">
        <w:t>of licences and learner permits</w:t>
      </w:r>
      <w:r>
        <w:t>) relating to</w:t>
      </w:r>
      <w:r w:rsidRPr="00F833B7">
        <w:t xml:space="preserve"> drink</w:t>
      </w:r>
      <w:r>
        <w:t>/</w:t>
      </w:r>
      <w:r w:rsidRPr="00F833B7">
        <w:t>drug</w:t>
      </w:r>
      <w:r>
        <w:t>-</w:t>
      </w:r>
      <w:r w:rsidRPr="00F833B7">
        <w:t xml:space="preserve">driving </w:t>
      </w:r>
      <w:r w:rsidR="009437FC">
        <w:t>and</w:t>
      </w:r>
      <w:r>
        <w:t xml:space="preserve"> speeding, and </w:t>
      </w:r>
      <w:r w:rsidRPr="00F833B7">
        <w:t>alcohol interlocks</w:t>
      </w:r>
      <w:r>
        <w:t xml:space="preserve">. It also </w:t>
      </w:r>
      <w:r w:rsidR="009437FC">
        <w:t>provides for</w:t>
      </w:r>
      <w:r w:rsidRPr="00F833B7">
        <w:t xml:space="preserve"> </w:t>
      </w:r>
      <w:r>
        <w:t xml:space="preserve">the establishment of </w:t>
      </w:r>
      <w:r w:rsidRPr="00F833B7">
        <w:t>a Demerits Register</w:t>
      </w:r>
      <w:r w:rsidR="00312273">
        <w:t xml:space="preserve"> to be managed by VicRoads</w:t>
      </w:r>
      <w:r w:rsidRPr="00F833B7">
        <w:t xml:space="preserve">. Various provisions of the </w:t>
      </w:r>
      <w:r w:rsidRPr="00206D75">
        <w:rPr>
          <w:i/>
        </w:rPr>
        <w:t>RSA</w:t>
      </w:r>
      <w:r w:rsidRPr="00F833B7">
        <w:t xml:space="preserve"> authorise VicRoads to make regulations that give effect</w:t>
      </w:r>
      <w:r w:rsidR="00F079A4">
        <w:t xml:space="preserve"> to </w:t>
      </w:r>
      <w:r w:rsidRPr="00F833B7">
        <w:t xml:space="preserve">the relevant </w:t>
      </w:r>
      <w:r>
        <w:t>provisions</w:t>
      </w:r>
      <w:r w:rsidRPr="00F833B7">
        <w:t xml:space="preserve"> of the </w:t>
      </w:r>
      <w:r w:rsidRPr="00206D75">
        <w:rPr>
          <w:i/>
        </w:rPr>
        <w:t>RSA</w:t>
      </w:r>
      <w:r w:rsidRPr="00F833B7">
        <w:t xml:space="preserve">, </w:t>
      </w:r>
      <w:r>
        <w:t>such as</w:t>
      </w:r>
      <w:r w:rsidRPr="00F833B7">
        <w:t xml:space="preserve"> </w:t>
      </w:r>
      <w:r>
        <w:t xml:space="preserve">those </w:t>
      </w:r>
      <w:r w:rsidRPr="00F833B7">
        <w:t xml:space="preserve">prescribing qualification requirements for learner permits and </w:t>
      </w:r>
      <w:r w:rsidR="00F079A4">
        <w:t xml:space="preserve">driver </w:t>
      </w:r>
      <w:r w:rsidRPr="00F833B7">
        <w:t>licence</w:t>
      </w:r>
      <w:r w:rsidR="00F079A4">
        <w:t>s</w:t>
      </w:r>
      <w:r w:rsidRPr="00F833B7">
        <w:t xml:space="preserve">; </w:t>
      </w:r>
      <w:r w:rsidR="00F079A4">
        <w:t xml:space="preserve">and facilitating the </w:t>
      </w:r>
      <w:r w:rsidRPr="00F833B7">
        <w:t>granting, renewal and reissuing of learner permits and driver licences</w:t>
      </w:r>
      <w:r>
        <w:t>,</w:t>
      </w:r>
      <w:r w:rsidRPr="00F833B7">
        <w:t xml:space="preserve"> and </w:t>
      </w:r>
      <w:r w:rsidR="00F079A4">
        <w:t>the application of</w:t>
      </w:r>
      <w:r w:rsidRPr="00F833B7">
        <w:t xml:space="preserve"> demerit points and alcohol interlocks. </w:t>
      </w:r>
    </w:p>
    <w:p w14:paraId="74E92F3D" w14:textId="77777777" w:rsidR="00457ADD" w:rsidRDefault="00F108F5" w:rsidP="001A063E">
      <w:pPr>
        <w:pStyle w:val="Heading2"/>
      </w:pPr>
      <w:bookmarkStart w:id="587" w:name="_Toc10703473"/>
      <w:r>
        <w:t>Penalties</w:t>
      </w:r>
      <w:bookmarkEnd w:id="587"/>
    </w:p>
    <w:p w14:paraId="30C62D19" w14:textId="77777777" w:rsidR="00615000" w:rsidRDefault="00122C1B" w:rsidP="00F51D1D">
      <w:pPr>
        <w:pStyle w:val="TextPara"/>
      </w:pPr>
      <w:bookmarkStart w:id="588" w:name="_Hlk1127737"/>
      <w:r>
        <w:t>Penalties are calibrated on</w:t>
      </w:r>
      <w:r w:rsidR="00AF484E">
        <w:t xml:space="preserve"> the basis of</w:t>
      </w:r>
      <w:r>
        <w:t xml:space="preserve"> the seriousness of the offence and the level of </w:t>
      </w:r>
      <w:r w:rsidRPr="00F833B7">
        <w:t>crash-risk</w:t>
      </w:r>
      <w:r>
        <w:t xml:space="preserve"> involved</w:t>
      </w:r>
      <w:r w:rsidRPr="00F833B7">
        <w:t>, taking into account its potential impact on road safety</w:t>
      </w:r>
      <w:r>
        <w:t xml:space="preserve">. </w:t>
      </w:r>
      <w:r w:rsidR="00AF484E">
        <w:t xml:space="preserve">In the hierarchy of penalties, at </w:t>
      </w:r>
      <w:r>
        <w:t>the lowest level, the penalty consists of a fine only, rising to a fine plus demerit points, a fine plus licence (or learner permit) suspension and ultimately to a fine plus licence (or learner permit) cancellation</w:t>
      </w:r>
      <w:r w:rsidR="001761AA">
        <w:t xml:space="preserve"> and a disqualification from driving until a new licence or permit is obtained</w:t>
      </w:r>
      <w:r>
        <w:t>.</w:t>
      </w:r>
      <w:r w:rsidR="00FD4ED3">
        <w:t xml:space="preserve"> </w:t>
      </w:r>
    </w:p>
    <w:p w14:paraId="3DBCEE53" w14:textId="56F2B8C9" w:rsidR="00122C1B" w:rsidRDefault="00522893" w:rsidP="00F51D1D">
      <w:pPr>
        <w:pStyle w:val="TextPara"/>
      </w:pPr>
      <w:r>
        <w:fldChar w:fldCharType="begin"/>
      </w:r>
      <w:r>
        <w:instrText xml:space="preserve"> REF _Ref519485 \h </w:instrText>
      </w:r>
      <w:r>
        <w:fldChar w:fldCharType="separate"/>
      </w:r>
      <w:r w:rsidR="00EB4B02">
        <w:t xml:space="preserve">Table </w:t>
      </w:r>
      <w:r w:rsidR="00EB4B02">
        <w:rPr>
          <w:noProof/>
        </w:rPr>
        <w:t>33</w:t>
      </w:r>
      <w:r>
        <w:fldChar w:fldCharType="end"/>
      </w:r>
      <w:r w:rsidR="00122C1B">
        <w:t xml:space="preserve"> lists the legislative and regulatory sources </w:t>
      </w:r>
      <w:r w:rsidR="00886C73">
        <w:t>of</w:t>
      </w:r>
      <w:r w:rsidR="00122C1B">
        <w:t xml:space="preserve"> penalties.</w:t>
      </w:r>
    </w:p>
    <w:p w14:paraId="140FC29E" w14:textId="71C91EF1" w:rsidR="00122C1B" w:rsidRDefault="00122C1B" w:rsidP="002D53A4">
      <w:pPr>
        <w:pStyle w:val="Caption"/>
        <w:spacing w:before="120"/>
      </w:pPr>
      <w:bookmarkStart w:id="589" w:name="_Ref519485"/>
      <w:bookmarkStart w:id="590" w:name="_Toc10703726"/>
      <w:bookmarkStart w:id="591" w:name="_Hlk9434939"/>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33</w:t>
      </w:r>
      <w:r w:rsidR="00BC6B2E">
        <w:rPr>
          <w:noProof/>
        </w:rPr>
        <w:fldChar w:fldCharType="end"/>
      </w:r>
      <w:bookmarkEnd w:id="589"/>
      <w:r>
        <w:t xml:space="preserve"> – </w:t>
      </w:r>
      <w:r w:rsidRPr="000B4CC7">
        <w:t>Legislative and regulatory sources</w:t>
      </w:r>
      <w:r>
        <w:t>:</w:t>
      </w:r>
      <w:r w:rsidRPr="00526BDD">
        <w:t xml:space="preserve"> </w:t>
      </w:r>
      <w:r>
        <w:t>Penalties</w:t>
      </w:r>
      <w:bookmarkEnd w:id="590"/>
    </w:p>
    <w:tbl>
      <w:tblPr>
        <w:tblStyle w:val="RIS-Table2"/>
        <w:tblW w:w="9952" w:type="dxa"/>
        <w:tblLayout w:type="fixed"/>
        <w:tblLook w:val="04A0" w:firstRow="1" w:lastRow="0" w:firstColumn="1" w:lastColumn="0" w:noHBand="0" w:noVBand="1"/>
      </w:tblPr>
      <w:tblGrid>
        <w:gridCol w:w="3397"/>
        <w:gridCol w:w="1418"/>
        <w:gridCol w:w="1559"/>
        <w:gridCol w:w="1559"/>
        <w:gridCol w:w="2019"/>
      </w:tblGrid>
      <w:tr w:rsidR="00122C1B" w:rsidRPr="004827FC" w:rsidDel="00010F8F" w14:paraId="566DD759" w14:textId="77777777" w:rsidTr="00F1449E">
        <w:trPr>
          <w:cnfStyle w:val="100000000000" w:firstRow="1" w:lastRow="0" w:firstColumn="0" w:lastColumn="0" w:oddVBand="0" w:evenVBand="0" w:oddHBand="0" w:evenHBand="0" w:firstRowFirstColumn="0" w:firstRowLastColumn="0" w:lastRowFirstColumn="0" w:lastRowLastColumn="0"/>
        </w:trPr>
        <w:tc>
          <w:tcPr>
            <w:tcW w:w="3397" w:type="dxa"/>
          </w:tcPr>
          <w:bookmarkEnd w:id="591"/>
          <w:p w14:paraId="3BA9E06B" w14:textId="77777777" w:rsidR="00122C1B" w:rsidRPr="004827FC" w:rsidRDefault="00122C1B" w:rsidP="007512BA">
            <w:pPr>
              <w:pStyle w:val="TableHeaders"/>
            </w:pPr>
            <w:r>
              <w:t>Penalty</w:t>
            </w:r>
          </w:p>
        </w:tc>
        <w:tc>
          <w:tcPr>
            <w:tcW w:w="1418" w:type="dxa"/>
          </w:tcPr>
          <w:p w14:paraId="7F134B79" w14:textId="77777777" w:rsidR="00122C1B" w:rsidRPr="004827FC" w:rsidRDefault="00122C1B" w:rsidP="007512BA">
            <w:pPr>
              <w:pStyle w:val="TableHeaders"/>
            </w:pPr>
            <w:r w:rsidRPr="000A0322">
              <w:rPr>
                <w:i/>
              </w:rPr>
              <w:t>RSA</w:t>
            </w:r>
          </w:p>
        </w:tc>
        <w:tc>
          <w:tcPr>
            <w:tcW w:w="1559" w:type="dxa"/>
          </w:tcPr>
          <w:p w14:paraId="224362A9" w14:textId="77777777" w:rsidR="00122C1B" w:rsidRPr="004827FC" w:rsidRDefault="00122C1B" w:rsidP="007512BA">
            <w:pPr>
              <w:pStyle w:val="TableHeaders"/>
            </w:pPr>
            <w:r>
              <w:t>Proposed</w:t>
            </w:r>
            <w:r w:rsidRPr="004827FC">
              <w:t xml:space="preserve"> Reg</w:t>
            </w:r>
            <w:r>
              <w:t>ulations</w:t>
            </w:r>
          </w:p>
        </w:tc>
        <w:tc>
          <w:tcPr>
            <w:tcW w:w="1559" w:type="dxa"/>
          </w:tcPr>
          <w:p w14:paraId="0E2CB10F" w14:textId="77777777" w:rsidR="00122C1B" w:rsidRPr="004827FC" w:rsidRDefault="00122C1B" w:rsidP="007512BA">
            <w:pPr>
              <w:pStyle w:val="TableHeaders"/>
            </w:pPr>
            <w:r w:rsidRPr="004827FC">
              <w:t>Road Safety Road Rules</w:t>
            </w:r>
          </w:p>
        </w:tc>
        <w:tc>
          <w:tcPr>
            <w:tcW w:w="2019" w:type="dxa"/>
          </w:tcPr>
          <w:p w14:paraId="639140BF" w14:textId="77777777" w:rsidR="00122C1B" w:rsidRPr="004827FC" w:rsidDel="00010F8F" w:rsidRDefault="00122C1B" w:rsidP="007512BA">
            <w:pPr>
              <w:pStyle w:val="TableHeaders"/>
            </w:pPr>
            <w:r w:rsidRPr="004827FC">
              <w:t xml:space="preserve">Road Safety </w:t>
            </w:r>
            <w:r>
              <w:t>(General) Regulations</w:t>
            </w:r>
          </w:p>
        </w:tc>
      </w:tr>
      <w:tr w:rsidR="00122C1B" w:rsidRPr="00565C17" w14:paraId="7CC0FCFF" w14:textId="77777777" w:rsidTr="00153B04">
        <w:tc>
          <w:tcPr>
            <w:tcW w:w="3397" w:type="dxa"/>
            <w:shd w:val="clear" w:color="auto" w:fill="auto"/>
          </w:tcPr>
          <w:p w14:paraId="4EEB43C1" w14:textId="77777777" w:rsidR="00122C1B" w:rsidRPr="00875385" w:rsidRDefault="00122C1B" w:rsidP="00F4115C">
            <w:pPr>
              <w:pStyle w:val="TableParagraph"/>
            </w:pPr>
            <w:r>
              <w:t>Fines – traffic and parking</w:t>
            </w:r>
          </w:p>
        </w:tc>
        <w:tc>
          <w:tcPr>
            <w:tcW w:w="1418" w:type="dxa"/>
            <w:shd w:val="clear" w:color="auto" w:fill="auto"/>
          </w:tcPr>
          <w:p w14:paraId="32931576" w14:textId="77777777" w:rsidR="00122C1B" w:rsidRPr="00565C17" w:rsidRDefault="00122C1B" w:rsidP="007512BA">
            <w:pPr>
              <w:pStyle w:val="TableParagraph"/>
              <w:jc w:val="center"/>
              <w:rPr>
                <w:color w:val="0C81BC"/>
              </w:rPr>
            </w:pPr>
          </w:p>
        </w:tc>
        <w:tc>
          <w:tcPr>
            <w:tcW w:w="1559" w:type="dxa"/>
            <w:shd w:val="clear" w:color="auto" w:fill="auto"/>
          </w:tcPr>
          <w:p w14:paraId="4FAB1B3F" w14:textId="77777777" w:rsidR="00122C1B" w:rsidRPr="00565C17" w:rsidRDefault="00122C1B" w:rsidP="007512BA">
            <w:pPr>
              <w:pStyle w:val="TableParagraph"/>
              <w:jc w:val="center"/>
              <w:rPr>
                <w:rFonts w:cs="Segoe UI"/>
                <w:color w:val="0C81BC"/>
              </w:rPr>
            </w:pPr>
          </w:p>
        </w:tc>
        <w:tc>
          <w:tcPr>
            <w:tcW w:w="1559" w:type="dxa"/>
            <w:shd w:val="clear" w:color="auto" w:fill="auto"/>
          </w:tcPr>
          <w:p w14:paraId="72410F62" w14:textId="77777777" w:rsidR="00122C1B" w:rsidRPr="00565C17" w:rsidRDefault="00122C1B" w:rsidP="007512BA">
            <w:pPr>
              <w:pStyle w:val="TableParagraph"/>
              <w:jc w:val="center"/>
              <w:rPr>
                <w:color w:val="0C81BC"/>
              </w:rPr>
            </w:pPr>
          </w:p>
        </w:tc>
        <w:tc>
          <w:tcPr>
            <w:tcW w:w="2019" w:type="dxa"/>
            <w:shd w:val="clear" w:color="auto" w:fill="auto"/>
          </w:tcPr>
          <w:p w14:paraId="44F81817" w14:textId="77777777" w:rsidR="00122C1B" w:rsidRPr="00565C17" w:rsidRDefault="00122C1B" w:rsidP="007512BA">
            <w:pPr>
              <w:pStyle w:val="TableParagraph"/>
              <w:jc w:val="center"/>
              <w:rPr>
                <w:rFonts w:cs="Segoe UI"/>
                <w:color w:val="0C81BC"/>
              </w:rPr>
            </w:pPr>
            <w:r w:rsidRPr="00565C17">
              <w:rPr>
                <w:rFonts w:cs="Segoe UI"/>
                <w:color w:val="0C81BC"/>
              </w:rPr>
              <w:sym w:font="Wingdings" w:char="F06C"/>
            </w:r>
          </w:p>
        </w:tc>
      </w:tr>
      <w:tr w:rsidR="00122C1B" w:rsidRPr="00565C17" w14:paraId="1988B10B" w14:textId="77777777" w:rsidTr="00153B04">
        <w:trPr>
          <w:cnfStyle w:val="000000010000" w:firstRow="0" w:lastRow="0" w:firstColumn="0" w:lastColumn="0" w:oddVBand="0" w:evenVBand="0" w:oddHBand="0" w:evenHBand="1" w:firstRowFirstColumn="0" w:firstRowLastColumn="0" w:lastRowFirstColumn="0" w:lastRowLastColumn="0"/>
        </w:trPr>
        <w:tc>
          <w:tcPr>
            <w:tcW w:w="3397" w:type="dxa"/>
            <w:shd w:val="clear" w:color="auto" w:fill="auto"/>
          </w:tcPr>
          <w:p w14:paraId="12B6D041" w14:textId="77777777" w:rsidR="00122C1B" w:rsidRDefault="00122C1B" w:rsidP="007512BA">
            <w:pPr>
              <w:pStyle w:val="TableParagraph"/>
            </w:pPr>
            <w:r>
              <w:t>Fines – court-imposed</w:t>
            </w:r>
          </w:p>
        </w:tc>
        <w:tc>
          <w:tcPr>
            <w:tcW w:w="1418" w:type="dxa"/>
            <w:shd w:val="clear" w:color="auto" w:fill="auto"/>
          </w:tcPr>
          <w:p w14:paraId="0A600CC8" w14:textId="77777777" w:rsidR="00122C1B" w:rsidRPr="00565C17" w:rsidRDefault="00122C1B" w:rsidP="007512BA">
            <w:pPr>
              <w:pStyle w:val="TableParagraph"/>
              <w:jc w:val="center"/>
              <w:rPr>
                <w:rFonts w:cs="Segoe UI"/>
                <w:color w:val="0C81BC"/>
              </w:rPr>
            </w:pPr>
            <w:r w:rsidRPr="00565C17">
              <w:rPr>
                <w:rFonts w:cs="Segoe UI"/>
                <w:color w:val="0C81BC"/>
              </w:rPr>
              <w:sym w:font="Wingdings" w:char="F06C"/>
            </w:r>
          </w:p>
        </w:tc>
        <w:tc>
          <w:tcPr>
            <w:tcW w:w="1559" w:type="dxa"/>
            <w:shd w:val="clear" w:color="auto" w:fill="auto"/>
          </w:tcPr>
          <w:p w14:paraId="21D70CDB" w14:textId="77777777" w:rsidR="00122C1B" w:rsidRPr="00565C17" w:rsidRDefault="00122C1B" w:rsidP="007512BA">
            <w:pPr>
              <w:pStyle w:val="TableParagraph"/>
              <w:jc w:val="center"/>
              <w:rPr>
                <w:rFonts w:cs="Segoe UI"/>
                <w:color w:val="0C81BC"/>
              </w:rPr>
            </w:pPr>
            <w:r w:rsidRPr="00565C17">
              <w:rPr>
                <w:rFonts w:cs="Segoe UI"/>
                <w:color w:val="0C81BC"/>
              </w:rPr>
              <w:sym w:font="Wingdings" w:char="F06C"/>
            </w:r>
          </w:p>
        </w:tc>
        <w:tc>
          <w:tcPr>
            <w:tcW w:w="1559" w:type="dxa"/>
            <w:shd w:val="clear" w:color="auto" w:fill="auto"/>
          </w:tcPr>
          <w:p w14:paraId="5214E9E0" w14:textId="77777777" w:rsidR="00122C1B" w:rsidRPr="00565C17" w:rsidRDefault="00122C1B" w:rsidP="007512BA">
            <w:pPr>
              <w:pStyle w:val="TableParagraph"/>
              <w:jc w:val="center"/>
              <w:rPr>
                <w:color w:val="0C81BC"/>
              </w:rPr>
            </w:pPr>
            <w:r w:rsidRPr="00565C17">
              <w:rPr>
                <w:rFonts w:cs="Segoe UI"/>
                <w:color w:val="0C81BC"/>
              </w:rPr>
              <w:sym w:font="Wingdings" w:char="F06C"/>
            </w:r>
          </w:p>
        </w:tc>
        <w:tc>
          <w:tcPr>
            <w:tcW w:w="2019" w:type="dxa"/>
            <w:shd w:val="clear" w:color="auto" w:fill="auto"/>
          </w:tcPr>
          <w:p w14:paraId="075D18AF" w14:textId="77777777" w:rsidR="00122C1B" w:rsidRPr="00565C17" w:rsidRDefault="00122C1B" w:rsidP="007512BA">
            <w:pPr>
              <w:pStyle w:val="TableParagraph"/>
              <w:jc w:val="center"/>
              <w:rPr>
                <w:rFonts w:cs="Segoe UI"/>
                <w:color w:val="0C81BC"/>
              </w:rPr>
            </w:pPr>
            <w:r w:rsidRPr="00565C17">
              <w:rPr>
                <w:rFonts w:cs="Segoe UI"/>
                <w:color w:val="0C81BC"/>
              </w:rPr>
              <w:sym w:font="Wingdings" w:char="F06C"/>
            </w:r>
          </w:p>
        </w:tc>
      </w:tr>
      <w:tr w:rsidR="00122C1B" w:rsidRPr="00565C17" w14:paraId="38FECF61" w14:textId="77777777" w:rsidTr="00153B04">
        <w:tc>
          <w:tcPr>
            <w:tcW w:w="3397" w:type="dxa"/>
            <w:shd w:val="clear" w:color="auto" w:fill="auto"/>
          </w:tcPr>
          <w:p w14:paraId="2BFCA0B4" w14:textId="77777777" w:rsidR="00122C1B" w:rsidRDefault="00122C1B" w:rsidP="00F8327D">
            <w:pPr>
              <w:pStyle w:val="TableParagraph"/>
            </w:pPr>
            <w:r>
              <w:t>Demerit points</w:t>
            </w:r>
          </w:p>
        </w:tc>
        <w:tc>
          <w:tcPr>
            <w:tcW w:w="1418" w:type="dxa"/>
            <w:shd w:val="clear" w:color="auto" w:fill="auto"/>
          </w:tcPr>
          <w:p w14:paraId="15ADEB97" w14:textId="77777777" w:rsidR="00122C1B" w:rsidRPr="00565C17" w:rsidRDefault="00122C1B" w:rsidP="00F8327D">
            <w:pPr>
              <w:pStyle w:val="TableParagraph"/>
              <w:jc w:val="center"/>
              <w:rPr>
                <w:rFonts w:cs="Segoe UI"/>
                <w:color w:val="0C81BC"/>
              </w:rPr>
            </w:pPr>
          </w:p>
        </w:tc>
        <w:tc>
          <w:tcPr>
            <w:tcW w:w="1559" w:type="dxa"/>
            <w:shd w:val="clear" w:color="auto" w:fill="auto"/>
          </w:tcPr>
          <w:p w14:paraId="4C33BD4C" w14:textId="77777777" w:rsidR="00122C1B" w:rsidRPr="00565C17" w:rsidRDefault="00122C1B" w:rsidP="00F8327D">
            <w:pPr>
              <w:pStyle w:val="TableParagraph"/>
              <w:jc w:val="center"/>
              <w:rPr>
                <w:rFonts w:cs="Segoe UI"/>
                <w:color w:val="0C81BC"/>
              </w:rPr>
            </w:pPr>
            <w:r w:rsidRPr="00565C17">
              <w:rPr>
                <w:rFonts w:cs="Segoe UI"/>
                <w:color w:val="0C81BC"/>
              </w:rPr>
              <w:sym w:font="Wingdings" w:char="F06C"/>
            </w:r>
          </w:p>
        </w:tc>
        <w:tc>
          <w:tcPr>
            <w:tcW w:w="1559" w:type="dxa"/>
            <w:shd w:val="clear" w:color="auto" w:fill="auto"/>
          </w:tcPr>
          <w:p w14:paraId="77F1E459" w14:textId="77777777" w:rsidR="00122C1B" w:rsidRPr="00565C17" w:rsidRDefault="00122C1B" w:rsidP="00F8327D">
            <w:pPr>
              <w:pStyle w:val="TableParagraph"/>
              <w:jc w:val="center"/>
              <w:rPr>
                <w:rFonts w:cs="Segoe UI"/>
                <w:color w:val="0C81BC"/>
              </w:rPr>
            </w:pPr>
          </w:p>
        </w:tc>
        <w:tc>
          <w:tcPr>
            <w:tcW w:w="2019" w:type="dxa"/>
            <w:shd w:val="clear" w:color="auto" w:fill="auto"/>
          </w:tcPr>
          <w:p w14:paraId="15D21F13" w14:textId="77777777" w:rsidR="00122C1B" w:rsidRPr="00565C17" w:rsidRDefault="00122C1B" w:rsidP="00F8327D">
            <w:pPr>
              <w:pStyle w:val="TableParagraph"/>
              <w:jc w:val="center"/>
              <w:rPr>
                <w:rFonts w:cs="Segoe UI"/>
                <w:color w:val="0C81BC"/>
              </w:rPr>
            </w:pPr>
          </w:p>
        </w:tc>
      </w:tr>
      <w:tr w:rsidR="00122C1B" w:rsidRPr="00565C17" w14:paraId="4E9BF897" w14:textId="77777777" w:rsidTr="00153B04">
        <w:trPr>
          <w:cnfStyle w:val="000000010000" w:firstRow="0" w:lastRow="0" w:firstColumn="0" w:lastColumn="0" w:oddVBand="0" w:evenVBand="0" w:oddHBand="0" w:evenHBand="1" w:firstRowFirstColumn="0" w:firstRowLastColumn="0" w:lastRowFirstColumn="0" w:lastRowLastColumn="0"/>
        </w:trPr>
        <w:tc>
          <w:tcPr>
            <w:tcW w:w="3397" w:type="dxa"/>
            <w:shd w:val="clear" w:color="auto" w:fill="auto"/>
          </w:tcPr>
          <w:p w14:paraId="22668DEA" w14:textId="77777777" w:rsidR="00122C1B" w:rsidRDefault="00122C1B" w:rsidP="00F8327D">
            <w:pPr>
              <w:pStyle w:val="TableParagraph"/>
            </w:pPr>
            <w:r>
              <w:t>Learner permit and licence suspensions</w:t>
            </w:r>
          </w:p>
        </w:tc>
        <w:tc>
          <w:tcPr>
            <w:tcW w:w="1418" w:type="dxa"/>
            <w:shd w:val="clear" w:color="auto" w:fill="auto"/>
          </w:tcPr>
          <w:p w14:paraId="535EFD08" w14:textId="77777777" w:rsidR="00122C1B" w:rsidRPr="00565C17" w:rsidRDefault="00122C1B" w:rsidP="00F8327D">
            <w:pPr>
              <w:pStyle w:val="TableParagraph"/>
              <w:jc w:val="center"/>
              <w:rPr>
                <w:rFonts w:cs="Segoe UI"/>
                <w:color w:val="0C81BC"/>
              </w:rPr>
            </w:pPr>
            <w:r w:rsidRPr="00565C17">
              <w:rPr>
                <w:rFonts w:cs="Segoe UI"/>
                <w:color w:val="0C81BC"/>
              </w:rPr>
              <w:sym w:font="Wingdings" w:char="F06C"/>
            </w:r>
          </w:p>
        </w:tc>
        <w:tc>
          <w:tcPr>
            <w:tcW w:w="1559" w:type="dxa"/>
            <w:shd w:val="clear" w:color="auto" w:fill="auto"/>
          </w:tcPr>
          <w:p w14:paraId="7E1E107E" w14:textId="77777777" w:rsidR="00122C1B" w:rsidRPr="00565C17" w:rsidRDefault="00122C1B" w:rsidP="00F8327D">
            <w:pPr>
              <w:pStyle w:val="TableParagraph"/>
              <w:jc w:val="center"/>
              <w:rPr>
                <w:rFonts w:cs="Segoe UI"/>
                <w:color w:val="0C81BC"/>
              </w:rPr>
            </w:pPr>
          </w:p>
        </w:tc>
        <w:tc>
          <w:tcPr>
            <w:tcW w:w="1559" w:type="dxa"/>
            <w:shd w:val="clear" w:color="auto" w:fill="auto"/>
          </w:tcPr>
          <w:p w14:paraId="626BA3E3" w14:textId="77777777" w:rsidR="00122C1B" w:rsidRPr="00565C17" w:rsidRDefault="00122C1B" w:rsidP="00F8327D">
            <w:pPr>
              <w:pStyle w:val="TableParagraph"/>
              <w:jc w:val="center"/>
              <w:rPr>
                <w:rFonts w:cs="Segoe UI"/>
                <w:color w:val="0C81BC"/>
              </w:rPr>
            </w:pPr>
          </w:p>
        </w:tc>
        <w:tc>
          <w:tcPr>
            <w:tcW w:w="2019" w:type="dxa"/>
            <w:shd w:val="clear" w:color="auto" w:fill="auto"/>
          </w:tcPr>
          <w:p w14:paraId="567B2DE1" w14:textId="77777777" w:rsidR="00122C1B" w:rsidRPr="00565C17" w:rsidRDefault="00122C1B" w:rsidP="00F8327D">
            <w:pPr>
              <w:pStyle w:val="TableParagraph"/>
              <w:jc w:val="center"/>
              <w:rPr>
                <w:rFonts w:cs="Segoe UI"/>
                <w:color w:val="0C81BC"/>
              </w:rPr>
            </w:pPr>
          </w:p>
        </w:tc>
      </w:tr>
      <w:tr w:rsidR="00122C1B" w:rsidRPr="00565C17" w14:paraId="3EB18D95" w14:textId="77777777" w:rsidTr="00153B04">
        <w:tc>
          <w:tcPr>
            <w:tcW w:w="3397" w:type="dxa"/>
            <w:shd w:val="clear" w:color="auto" w:fill="auto"/>
          </w:tcPr>
          <w:p w14:paraId="509C8941" w14:textId="77777777" w:rsidR="00122C1B" w:rsidRDefault="00122C1B" w:rsidP="00F8327D">
            <w:pPr>
              <w:pStyle w:val="TableParagraph"/>
            </w:pPr>
            <w:r>
              <w:t>Learner permit and licence cancellations</w:t>
            </w:r>
          </w:p>
        </w:tc>
        <w:tc>
          <w:tcPr>
            <w:tcW w:w="1418" w:type="dxa"/>
            <w:shd w:val="clear" w:color="auto" w:fill="auto"/>
          </w:tcPr>
          <w:p w14:paraId="204A58A2" w14:textId="77777777" w:rsidR="00122C1B" w:rsidRPr="00565C17" w:rsidRDefault="00122C1B" w:rsidP="00F8327D">
            <w:pPr>
              <w:pStyle w:val="TableParagraph"/>
              <w:jc w:val="center"/>
              <w:rPr>
                <w:rFonts w:cs="Segoe UI"/>
                <w:color w:val="0C81BC"/>
              </w:rPr>
            </w:pPr>
            <w:r w:rsidRPr="00565C17">
              <w:rPr>
                <w:rFonts w:cs="Segoe UI"/>
                <w:color w:val="0C81BC"/>
              </w:rPr>
              <w:sym w:font="Wingdings" w:char="F06C"/>
            </w:r>
          </w:p>
        </w:tc>
        <w:tc>
          <w:tcPr>
            <w:tcW w:w="1559" w:type="dxa"/>
            <w:shd w:val="clear" w:color="auto" w:fill="auto"/>
          </w:tcPr>
          <w:p w14:paraId="5F370668" w14:textId="77777777" w:rsidR="00122C1B" w:rsidRPr="00565C17" w:rsidRDefault="00122C1B" w:rsidP="00F8327D">
            <w:pPr>
              <w:pStyle w:val="TableParagraph"/>
              <w:jc w:val="center"/>
              <w:rPr>
                <w:rFonts w:cs="Segoe UI"/>
                <w:color w:val="0C81BC"/>
              </w:rPr>
            </w:pPr>
          </w:p>
        </w:tc>
        <w:tc>
          <w:tcPr>
            <w:tcW w:w="1559" w:type="dxa"/>
            <w:shd w:val="clear" w:color="auto" w:fill="auto"/>
          </w:tcPr>
          <w:p w14:paraId="5CFDAF87" w14:textId="77777777" w:rsidR="00122C1B" w:rsidRPr="00565C17" w:rsidRDefault="00122C1B" w:rsidP="00F8327D">
            <w:pPr>
              <w:pStyle w:val="TableParagraph"/>
              <w:jc w:val="center"/>
              <w:rPr>
                <w:rFonts w:cs="Segoe UI"/>
                <w:color w:val="0C81BC"/>
              </w:rPr>
            </w:pPr>
          </w:p>
        </w:tc>
        <w:tc>
          <w:tcPr>
            <w:tcW w:w="2019" w:type="dxa"/>
            <w:shd w:val="clear" w:color="auto" w:fill="auto"/>
          </w:tcPr>
          <w:p w14:paraId="0B43AF87" w14:textId="77777777" w:rsidR="00122C1B" w:rsidRPr="00565C17" w:rsidRDefault="00122C1B" w:rsidP="00F8327D">
            <w:pPr>
              <w:pStyle w:val="TableParagraph"/>
              <w:jc w:val="center"/>
              <w:rPr>
                <w:rFonts w:cs="Segoe UI"/>
                <w:color w:val="0C81BC"/>
              </w:rPr>
            </w:pPr>
          </w:p>
        </w:tc>
      </w:tr>
      <w:tr w:rsidR="00122C1B" w:rsidRPr="00565C17" w14:paraId="328A971A" w14:textId="77777777" w:rsidTr="00153B04">
        <w:trPr>
          <w:cnfStyle w:val="000000010000" w:firstRow="0" w:lastRow="0" w:firstColumn="0" w:lastColumn="0" w:oddVBand="0" w:evenVBand="0" w:oddHBand="0" w:evenHBand="1" w:firstRowFirstColumn="0" w:firstRowLastColumn="0" w:lastRowFirstColumn="0" w:lastRowLastColumn="0"/>
        </w:trPr>
        <w:tc>
          <w:tcPr>
            <w:tcW w:w="3397" w:type="dxa"/>
            <w:shd w:val="clear" w:color="auto" w:fill="auto"/>
          </w:tcPr>
          <w:p w14:paraId="3C91682B" w14:textId="77777777" w:rsidR="00122C1B" w:rsidRDefault="00122C1B" w:rsidP="00F8327D">
            <w:pPr>
              <w:pStyle w:val="TableParagraph"/>
            </w:pPr>
            <w:r w:rsidRPr="00F8327D">
              <w:t>Disqualification from driving and obtaining a</w:t>
            </w:r>
            <w:r>
              <w:t xml:space="preserve"> learner permit or</w:t>
            </w:r>
            <w:r w:rsidRPr="00F8327D">
              <w:t xml:space="preserve"> licence</w:t>
            </w:r>
          </w:p>
        </w:tc>
        <w:tc>
          <w:tcPr>
            <w:tcW w:w="1418" w:type="dxa"/>
            <w:shd w:val="clear" w:color="auto" w:fill="auto"/>
          </w:tcPr>
          <w:p w14:paraId="315607B3" w14:textId="77777777" w:rsidR="00122C1B" w:rsidRPr="00565C17" w:rsidRDefault="00122C1B" w:rsidP="00F8327D">
            <w:pPr>
              <w:pStyle w:val="TableParagraph"/>
              <w:jc w:val="center"/>
              <w:rPr>
                <w:rFonts w:cs="Segoe UI"/>
                <w:color w:val="0C81BC"/>
              </w:rPr>
            </w:pPr>
            <w:r w:rsidRPr="00565C17">
              <w:rPr>
                <w:rFonts w:cs="Segoe UI"/>
                <w:color w:val="0C81BC"/>
              </w:rPr>
              <w:sym w:font="Wingdings" w:char="F06C"/>
            </w:r>
          </w:p>
        </w:tc>
        <w:tc>
          <w:tcPr>
            <w:tcW w:w="1559" w:type="dxa"/>
            <w:shd w:val="clear" w:color="auto" w:fill="auto"/>
          </w:tcPr>
          <w:p w14:paraId="4C721BD8" w14:textId="77777777" w:rsidR="00122C1B" w:rsidRPr="00565C17" w:rsidRDefault="00122C1B" w:rsidP="00F8327D">
            <w:pPr>
              <w:pStyle w:val="TableParagraph"/>
              <w:jc w:val="center"/>
              <w:rPr>
                <w:rFonts w:cs="Segoe UI"/>
                <w:color w:val="0C81BC"/>
              </w:rPr>
            </w:pPr>
          </w:p>
        </w:tc>
        <w:tc>
          <w:tcPr>
            <w:tcW w:w="1559" w:type="dxa"/>
            <w:shd w:val="clear" w:color="auto" w:fill="auto"/>
          </w:tcPr>
          <w:p w14:paraId="50A301B0" w14:textId="77777777" w:rsidR="00122C1B" w:rsidRPr="00565C17" w:rsidRDefault="00122C1B" w:rsidP="00F8327D">
            <w:pPr>
              <w:pStyle w:val="TableParagraph"/>
              <w:jc w:val="center"/>
              <w:rPr>
                <w:rFonts w:cs="Segoe UI"/>
                <w:color w:val="0C81BC"/>
              </w:rPr>
            </w:pPr>
          </w:p>
        </w:tc>
        <w:tc>
          <w:tcPr>
            <w:tcW w:w="2019" w:type="dxa"/>
            <w:shd w:val="clear" w:color="auto" w:fill="auto"/>
          </w:tcPr>
          <w:p w14:paraId="18849D13" w14:textId="77777777" w:rsidR="00122C1B" w:rsidRPr="00565C17" w:rsidRDefault="00122C1B" w:rsidP="00F8327D">
            <w:pPr>
              <w:pStyle w:val="TableParagraph"/>
              <w:jc w:val="center"/>
              <w:rPr>
                <w:rFonts w:cs="Segoe UI"/>
                <w:color w:val="0C81BC"/>
              </w:rPr>
            </w:pPr>
          </w:p>
        </w:tc>
      </w:tr>
      <w:tr w:rsidR="00122C1B" w:rsidRPr="00565C17" w14:paraId="2AFCB246" w14:textId="77777777" w:rsidTr="00153B04">
        <w:tc>
          <w:tcPr>
            <w:tcW w:w="3397" w:type="dxa"/>
            <w:shd w:val="clear" w:color="auto" w:fill="auto"/>
          </w:tcPr>
          <w:p w14:paraId="09D398F0" w14:textId="77777777" w:rsidR="00122C1B" w:rsidRPr="00F8327D" w:rsidRDefault="00122C1B" w:rsidP="008F4A31">
            <w:pPr>
              <w:pStyle w:val="TableParagraph"/>
            </w:pPr>
            <w:r w:rsidRPr="00F8327D">
              <w:t>Vehicle impoundment</w:t>
            </w:r>
          </w:p>
        </w:tc>
        <w:tc>
          <w:tcPr>
            <w:tcW w:w="1418" w:type="dxa"/>
            <w:shd w:val="clear" w:color="auto" w:fill="auto"/>
          </w:tcPr>
          <w:p w14:paraId="159EF686" w14:textId="77777777" w:rsidR="00122C1B" w:rsidRPr="00565C17" w:rsidRDefault="00122C1B" w:rsidP="008F4A31">
            <w:pPr>
              <w:pStyle w:val="TableParagraph"/>
              <w:jc w:val="center"/>
              <w:rPr>
                <w:rFonts w:cs="Segoe UI"/>
                <w:color w:val="0C81BC"/>
              </w:rPr>
            </w:pPr>
            <w:r w:rsidRPr="00565C17">
              <w:rPr>
                <w:rFonts w:cs="Segoe UI"/>
                <w:color w:val="0C81BC"/>
              </w:rPr>
              <w:sym w:font="Wingdings" w:char="F06C"/>
            </w:r>
          </w:p>
        </w:tc>
        <w:tc>
          <w:tcPr>
            <w:tcW w:w="1559" w:type="dxa"/>
            <w:shd w:val="clear" w:color="auto" w:fill="auto"/>
          </w:tcPr>
          <w:p w14:paraId="0E642329" w14:textId="77777777" w:rsidR="00122C1B" w:rsidRPr="00565C17" w:rsidRDefault="00122C1B" w:rsidP="008F4A31">
            <w:pPr>
              <w:pStyle w:val="TableParagraph"/>
              <w:jc w:val="center"/>
              <w:rPr>
                <w:rFonts w:cs="Segoe UI"/>
                <w:color w:val="0C81BC"/>
              </w:rPr>
            </w:pPr>
          </w:p>
        </w:tc>
        <w:tc>
          <w:tcPr>
            <w:tcW w:w="1559" w:type="dxa"/>
            <w:shd w:val="clear" w:color="auto" w:fill="auto"/>
          </w:tcPr>
          <w:p w14:paraId="32A5A361" w14:textId="77777777" w:rsidR="00122C1B" w:rsidRPr="00565C17" w:rsidRDefault="00122C1B" w:rsidP="008F4A31">
            <w:pPr>
              <w:pStyle w:val="TableParagraph"/>
              <w:jc w:val="center"/>
              <w:rPr>
                <w:rFonts w:cs="Segoe UI"/>
                <w:color w:val="0C81BC"/>
              </w:rPr>
            </w:pPr>
          </w:p>
        </w:tc>
        <w:tc>
          <w:tcPr>
            <w:tcW w:w="2019" w:type="dxa"/>
            <w:shd w:val="clear" w:color="auto" w:fill="auto"/>
          </w:tcPr>
          <w:p w14:paraId="17797EA8" w14:textId="77777777" w:rsidR="00122C1B" w:rsidRPr="00565C17" w:rsidRDefault="00122C1B" w:rsidP="008F4A31">
            <w:pPr>
              <w:pStyle w:val="TableParagraph"/>
              <w:jc w:val="center"/>
              <w:rPr>
                <w:rFonts w:cs="Segoe UI"/>
                <w:color w:val="0C81BC"/>
              </w:rPr>
            </w:pPr>
          </w:p>
        </w:tc>
      </w:tr>
    </w:tbl>
    <w:p w14:paraId="3B4FE698" w14:textId="77777777" w:rsidR="002D53A4" w:rsidRDefault="002D53A4" w:rsidP="00413E82">
      <w:pPr>
        <w:pStyle w:val="TextPara"/>
        <w:spacing w:before="240"/>
      </w:pPr>
      <w:r>
        <w:t>Drink and drug driving offenders are also required to modify their high-risk behaviour by completing a behaviour change program as a rehabilitation measure tailored to the seriousness of their offence and prior drink and drug convictions. Drink driving offenders must also demonstrate that they can separate their drinking from driving by completing the alcohol interlock program as a rehabilitation measure.</w:t>
      </w:r>
    </w:p>
    <w:bookmarkEnd w:id="588"/>
    <w:p w14:paraId="034E33C8" w14:textId="5107D998" w:rsidR="00AF484E" w:rsidRDefault="00AF484E" w:rsidP="00AF484E">
      <w:pPr>
        <w:pStyle w:val="TextPara"/>
      </w:pPr>
      <w:r>
        <w:fldChar w:fldCharType="begin"/>
      </w:r>
      <w:r>
        <w:instrText xml:space="preserve"> REF _Ref518401017 \h </w:instrText>
      </w:r>
      <w:r>
        <w:fldChar w:fldCharType="separate"/>
      </w:r>
      <w:r w:rsidR="00EB4B02">
        <w:t xml:space="preserve">Figure </w:t>
      </w:r>
      <w:r w:rsidR="00EB4B02">
        <w:rPr>
          <w:noProof/>
        </w:rPr>
        <w:t>13</w:t>
      </w:r>
      <w:r>
        <w:fldChar w:fldCharType="end"/>
      </w:r>
      <w:r>
        <w:t xml:space="preserve"> shows the range of penalties applicable to the various offences prescribed in the </w:t>
      </w:r>
      <w:r w:rsidRPr="00206D75">
        <w:rPr>
          <w:i/>
        </w:rPr>
        <w:t>RSA</w:t>
      </w:r>
      <w:r>
        <w:t xml:space="preserve"> and the proposed Regulations. Examples of offences at each level are also shown in </w:t>
      </w:r>
      <w:r>
        <w:fldChar w:fldCharType="begin"/>
      </w:r>
      <w:r>
        <w:instrText xml:space="preserve"> REF _Ref529546385 \h </w:instrText>
      </w:r>
      <w:r>
        <w:fldChar w:fldCharType="separate"/>
      </w:r>
      <w:r w:rsidR="00EB4B02">
        <w:t xml:space="preserve">Figure </w:t>
      </w:r>
      <w:r w:rsidR="00EB4B02">
        <w:rPr>
          <w:noProof/>
        </w:rPr>
        <w:t>13</w:t>
      </w:r>
      <w:r>
        <w:fldChar w:fldCharType="end"/>
      </w:r>
      <w:r>
        <w:t xml:space="preserve">. </w:t>
      </w:r>
      <w:r w:rsidR="00071EF1">
        <w:t>A full list of offences that attract demerit points is included in Appendix E.</w:t>
      </w:r>
    </w:p>
    <w:p w14:paraId="6A253BF9" w14:textId="086197A5" w:rsidR="00122C1B" w:rsidRDefault="00122C1B" w:rsidP="00AA0BBA">
      <w:pPr>
        <w:pStyle w:val="CaptionFigures"/>
        <w:rPr>
          <w:rFonts w:ascii="Times New Roman" w:hAnsi="Times New Roman" w:cs="Times New Roman"/>
          <w:sz w:val="24"/>
          <w:szCs w:val="24"/>
          <w:lang w:eastAsia="en-AU"/>
        </w:rPr>
      </w:pPr>
      <w:bookmarkStart w:id="592" w:name="_Ref518401017"/>
      <w:bookmarkStart w:id="593" w:name="_Ref529546385"/>
      <w:bookmarkStart w:id="594" w:name="_Toc10703658"/>
      <w:r>
        <w:lastRenderedPageBreak/>
        <w:t xml:space="preserve">Figure </w:t>
      </w:r>
      <w:r w:rsidR="00BC6B2E">
        <w:rPr>
          <w:noProof/>
        </w:rPr>
        <w:fldChar w:fldCharType="begin"/>
      </w:r>
      <w:r w:rsidR="00BC6B2E">
        <w:rPr>
          <w:noProof/>
        </w:rPr>
        <w:instrText xml:space="preserve"> SEQ Figure \* ARABIC </w:instrText>
      </w:r>
      <w:r w:rsidR="00BC6B2E">
        <w:rPr>
          <w:noProof/>
        </w:rPr>
        <w:fldChar w:fldCharType="separate"/>
      </w:r>
      <w:r w:rsidR="00EB4B02">
        <w:rPr>
          <w:noProof/>
        </w:rPr>
        <w:t>13</w:t>
      </w:r>
      <w:r w:rsidR="00BC6B2E">
        <w:rPr>
          <w:noProof/>
        </w:rPr>
        <w:fldChar w:fldCharType="end"/>
      </w:r>
      <w:bookmarkEnd w:id="592"/>
      <w:bookmarkEnd w:id="593"/>
      <w:r>
        <w:t xml:space="preserve"> – </w:t>
      </w:r>
      <w:r w:rsidRPr="00AE06D3">
        <w:t xml:space="preserve">Driving offence and penalty </w:t>
      </w:r>
      <w:r>
        <w:t>relationship</w:t>
      </w:r>
      <w:bookmarkEnd w:id="594"/>
      <w:r>
        <w:rPr>
          <w:rFonts w:ascii="Times New Roman" w:hAnsi="Times New Roman" w:cs="Times New Roman"/>
          <w:sz w:val="24"/>
          <w:szCs w:val="24"/>
          <w:lang w:eastAsia="en-AU"/>
        </w:rPr>
        <w:t xml:space="preserve"> </w:t>
      </w:r>
    </w:p>
    <w:p w14:paraId="317AA1C4" w14:textId="77777777" w:rsidR="00122C1B" w:rsidRDefault="004778D6" w:rsidP="00AE7075">
      <w:pPr>
        <w:pStyle w:val="TextPara"/>
        <w:widowControl w:val="0"/>
        <w:spacing w:line="240" w:lineRule="auto"/>
        <w:jc w:val="center"/>
        <w:rPr>
          <w:color w:val="FF0000"/>
        </w:rPr>
      </w:pPr>
      <w:r w:rsidRPr="004778D6">
        <w:rPr>
          <w:noProof/>
          <w:lang w:val="en-GB" w:eastAsia="en-GB"/>
        </w:rPr>
        <w:drawing>
          <wp:inline distT="0" distB="0" distL="0" distR="0" wp14:anchorId="2768B437" wp14:editId="76D6706D">
            <wp:extent cx="6048375" cy="45967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8375" cy="4596730"/>
                    </a:xfrm>
                    <a:prstGeom prst="rect">
                      <a:avLst/>
                    </a:prstGeom>
                    <a:noFill/>
                    <a:ln>
                      <a:noFill/>
                    </a:ln>
                  </pic:spPr>
                </pic:pic>
              </a:graphicData>
            </a:graphic>
          </wp:inline>
        </w:drawing>
      </w:r>
    </w:p>
    <w:p w14:paraId="489CB2AC" w14:textId="77777777" w:rsidR="00122C1B" w:rsidRDefault="00122C1B" w:rsidP="00C37F62">
      <w:pPr>
        <w:pStyle w:val="Source"/>
      </w:pPr>
      <w:r>
        <w:t>Source: VicRoads, 201</w:t>
      </w:r>
      <w:r w:rsidR="00935D4C">
        <w:t>9</w:t>
      </w:r>
    </w:p>
    <w:p w14:paraId="3E7F3B7D" w14:textId="77777777" w:rsidR="00122C1B" w:rsidRDefault="00122C1B" w:rsidP="001A063E">
      <w:pPr>
        <w:pStyle w:val="Heading2"/>
      </w:pPr>
      <w:bookmarkStart w:id="595" w:name="_Toc10703474"/>
      <w:r>
        <w:t>Demerit points system: How it works</w:t>
      </w:r>
      <w:bookmarkEnd w:id="595"/>
      <w:r>
        <w:t xml:space="preserve">  </w:t>
      </w:r>
    </w:p>
    <w:p w14:paraId="1A3C0D0D" w14:textId="1095C286" w:rsidR="00461B0F" w:rsidRDefault="00FB5A9C" w:rsidP="00461B0F">
      <w:pPr>
        <w:pStyle w:val="TextPara"/>
      </w:pPr>
      <w:r>
        <w:t xml:space="preserve">As explained previously in </w:t>
      </w:r>
      <w:r w:rsidR="00415C95">
        <w:t>S</w:t>
      </w:r>
      <w:r>
        <w:t xml:space="preserve">ection </w:t>
      </w:r>
      <w:r>
        <w:fldChar w:fldCharType="begin"/>
      </w:r>
      <w:r>
        <w:instrText xml:space="preserve"> REF _Ref502668772 \r \h </w:instrText>
      </w:r>
      <w:r>
        <w:fldChar w:fldCharType="separate"/>
      </w:r>
      <w:r w:rsidR="00EB4B02">
        <w:t>1.3.1.1</w:t>
      </w:r>
      <w:r>
        <w:fldChar w:fldCharType="end"/>
      </w:r>
      <w:r>
        <w:t>, t</w:t>
      </w:r>
      <w:r w:rsidR="00461B0F">
        <w:t xml:space="preserve">he demerit point schemes in each Australian jurisdiction are based on a national scheme specifying the traffic offences attracting demerit points, the number of points applying to each offence, the threshold number of points at which the driver’s licence is suspended, the length of the suspension period and the details of the good behaviour alternative to licence suspension.   </w:t>
      </w:r>
    </w:p>
    <w:p w14:paraId="0CCD7741" w14:textId="77777777" w:rsidR="00461B0F" w:rsidRDefault="00461B0F" w:rsidP="00461B0F">
      <w:pPr>
        <w:pStyle w:val="TextPara"/>
      </w:pPr>
      <w:r>
        <w:t xml:space="preserve">The impact of demerit point schemes on road safety is intended to be a two-stage process: the threat of demerit points is designed to deter risky driving behaviour, which in turn is expected to lead to reduced frequency and severity of crashes.  </w:t>
      </w:r>
    </w:p>
    <w:p w14:paraId="0AE4EED5" w14:textId="4EBF914E" w:rsidR="00AD4D7D" w:rsidRDefault="00461B0F" w:rsidP="00F75A3A">
      <w:pPr>
        <w:pStyle w:val="TextPara"/>
      </w:pPr>
      <w:r>
        <w:t>Once drivers accumulate a threshold number of demerit points, the state’s or territory’s licensing authority may suspend their licence, thereby suspending their permission to drive on public roads for a prescribed period. The threat of licence suspension is intended to act as an additional deterrent to offending, over and above the deterrent effect of monetary penalties.</w:t>
      </w:r>
      <w:r w:rsidR="00F75A3A">
        <w:t xml:space="preserve"> </w:t>
      </w:r>
    </w:p>
    <w:p w14:paraId="3992E894" w14:textId="7B809289" w:rsidR="0079432A" w:rsidRDefault="00122C1B" w:rsidP="00680F1A">
      <w:pPr>
        <w:pStyle w:val="TextPara"/>
      </w:pPr>
      <w:r>
        <w:t>The Victorian demerit points system, which is based on the NDLS,</w:t>
      </w:r>
      <w:r>
        <w:rPr>
          <w:rStyle w:val="EndnoteReference"/>
        </w:rPr>
        <w:endnoteReference w:id="391"/>
      </w:r>
      <w:r>
        <w:t xml:space="preserve"> is designed to encourage learner permit and licence holders to drive more carefully and to change poor driving behaviour. </w:t>
      </w:r>
      <w:r w:rsidR="00F75A3A">
        <w:t>The Department believes the NDLS is a useful framework from which to design Victoria’s demerit points system.</w:t>
      </w:r>
      <w:r w:rsidR="00E90FEC">
        <w:t xml:space="preserve"> Other </w:t>
      </w:r>
      <w:r w:rsidR="006A0B53">
        <w:t>demerit point systems</w:t>
      </w:r>
      <w:r w:rsidR="00A10364">
        <w:t xml:space="preserve"> and </w:t>
      </w:r>
      <w:r w:rsidR="00EB73E5">
        <w:t>requirements, including increase</w:t>
      </w:r>
      <w:r w:rsidR="006F5220">
        <w:t>d</w:t>
      </w:r>
      <w:r w:rsidR="00EB73E5">
        <w:t xml:space="preserve"> demerit points </w:t>
      </w:r>
      <w:r w:rsidR="006F5220">
        <w:t>sanctions on riskier travel periods such as public holidays, were also considered.</w:t>
      </w:r>
    </w:p>
    <w:p w14:paraId="0BC6CCD9" w14:textId="72476FA4" w:rsidR="00602360" w:rsidRDefault="00F75A3A" w:rsidP="00680F1A">
      <w:pPr>
        <w:pStyle w:val="TextPara"/>
      </w:pPr>
      <w:r>
        <w:t xml:space="preserve">DoT believes it achieves a safety </w:t>
      </w:r>
      <w:r w:rsidR="00956890">
        <w:t xml:space="preserve">benefit </w:t>
      </w:r>
      <w:r>
        <w:t>because</w:t>
      </w:r>
      <w:r w:rsidR="00080164">
        <w:t xml:space="preserve"> </w:t>
      </w:r>
      <w:r w:rsidR="00956890">
        <w:t xml:space="preserve">it </w:t>
      </w:r>
      <w:r w:rsidR="00080164">
        <w:t>acts as</w:t>
      </w:r>
      <w:r w:rsidR="00956890">
        <w:t xml:space="preserve"> an effective deterrence to risky driving behaviour, and it provides a nationally consistent framework that ensures that </w:t>
      </w:r>
      <w:r w:rsidR="00956890" w:rsidRPr="00956890">
        <w:t xml:space="preserve">licence suspension, disqualification and </w:t>
      </w:r>
      <w:r w:rsidR="00956890" w:rsidRPr="00956890">
        <w:lastRenderedPageBreak/>
        <w:t>cancellation in one jurisdiction apply in all other jurisdictions</w:t>
      </w:r>
      <w:r w:rsidR="00E634F4">
        <w:t xml:space="preserve">. </w:t>
      </w:r>
      <w:r w:rsidR="007E5CF8">
        <w:t>At the same time, i</w:t>
      </w:r>
      <w:r w:rsidR="00E634F4">
        <w:t>t allows sufficient flexibility for jurisdictions to tailor</w:t>
      </w:r>
      <w:r w:rsidR="007E5CF8">
        <w:t xml:space="preserve"> compliance measures to their circumstances.</w:t>
      </w:r>
      <w:r w:rsidR="00956890">
        <w:t xml:space="preserve"> </w:t>
      </w:r>
    </w:p>
    <w:p w14:paraId="6BEC4550" w14:textId="7C05C46C" w:rsidR="00602360" w:rsidRDefault="00F75A3A" w:rsidP="00680F1A">
      <w:pPr>
        <w:pStyle w:val="TextPara"/>
      </w:pPr>
      <w:r>
        <w:t>The Department also believes the cost</w:t>
      </w:r>
      <w:r w:rsidR="007E5CF8">
        <w:t>s</w:t>
      </w:r>
      <w:r>
        <w:t xml:space="preserve"> to community are reasonable because </w:t>
      </w:r>
      <w:r w:rsidR="00602360">
        <w:t xml:space="preserve">the costs are only incurred by drivers exhibiting </w:t>
      </w:r>
      <w:r w:rsidR="00617E38">
        <w:t xml:space="preserve">avoidable </w:t>
      </w:r>
      <w:r w:rsidR="00602360">
        <w:t>unsafe driving behaviour and are commensurate with the harm they impose on other road users and the broader community.</w:t>
      </w:r>
    </w:p>
    <w:p w14:paraId="3219FD6F" w14:textId="64AD6AEF" w:rsidR="00122C1B" w:rsidRDefault="00F75A3A" w:rsidP="00680F1A">
      <w:pPr>
        <w:pStyle w:val="TextPara"/>
      </w:pPr>
      <w:r>
        <w:t>Overall, DoT believes that the NDLS provides a suitable starting point for Victoria’s demerit point register, with a few changes as noted below.</w:t>
      </w:r>
    </w:p>
    <w:p w14:paraId="2A1C48B1" w14:textId="77777777" w:rsidR="00122C1B" w:rsidRDefault="00122C1B" w:rsidP="00785659">
      <w:pPr>
        <w:pStyle w:val="TextPara"/>
      </w:pPr>
      <w:r w:rsidRPr="00F833B7">
        <w:t xml:space="preserve">Section 35 of the </w:t>
      </w:r>
      <w:r w:rsidRPr="00F833B7">
        <w:rPr>
          <w:i/>
        </w:rPr>
        <w:t>RSA</w:t>
      </w:r>
      <w:r w:rsidRPr="00F833B7">
        <w:t xml:space="preserve"> requires VicRoads to establish and maintain the Demerits Register. Demerit points are a form of penalty imposed when certain traffic offences listed in Schedule 3 </w:t>
      </w:r>
      <w:r w:rsidR="00CC3432">
        <w:t>to</w:t>
      </w:r>
      <w:r w:rsidRPr="00F833B7">
        <w:t xml:space="preserve"> the proposed Regulations are committed and are an essential measure to improve road user behaviour. </w:t>
      </w:r>
    </w:p>
    <w:p w14:paraId="1A1D7F13" w14:textId="77777777" w:rsidR="00122C1B" w:rsidRDefault="00122C1B" w:rsidP="00785659">
      <w:pPr>
        <w:pStyle w:val="TextPara"/>
      </w:pPr>
      <w:r w:rsidRPr="00F833B7">
        <w:t xml:space="preserve">Part 4 of the </w:t>
      </w:r>
      <w:r w:rsidRPr="00F833B7">
        <w:rPr>
          <w:i/>
        </w:rPr>
        <w:t>RSA</w:t>
      </w:r>
      <w:r w:rsidRPr="00F833B7">
        <w:t xml:space="preserve"> prescribe</w:t>
      </w:r>
      <w:r w:rsidR="00B06D81">
        <w:t>s</w:t>
      </w:r>
      <w:r w:rsidRPr="00F833B7">
        <w:t xml:space="preserve"> the Demerit Points System’s mechanism and rules, </w:t>
      </w:r>
      <w:r>
        <w:t>such as</w:t>
      </w:r>
      <w:r w:rsidRPr="00F833B7">
        <w:t xml:space="preserve"> the setting of threshold limits for each licensing phase, the issuing of demerit point option notices</w:t>
      </w:r>
      <w:r w:rsidR="00CC3432">
        <w:t>,</w:t>
      </w:r>
      <w:r w:rsidRPr="00F833B7">
        <w:t xml:space="preserve"> extended demerit point periods on reaching the threshold, and resulting licence suspensions or cancellations.</w:t>
      </w:r>
      <w:r w:rsidRPr="008817A6">
        <w:t xml:space="preserve"> </w:t>
      </w:r>
    </w:p>
    <w:p w14:paraId="78A0CE65" w14:textId="77777777" w:rsidR="00122C1B" w:rsidRDefault="00122C1B" w:rsidP="00680F1A">
      <w:pPr>
        <w:pStyle w:val="TextPara"/>
      </w:pPr>
      <w:r w:rsidRPr="00F833B7">
        <w:t xml:space="preserve">Schedule 2 </w:t>
      </w:r>
      <w:r w:rsidR="00CC3432">
        <w:t>to</w:t>
      </w:r>
      <w:r w:rsidRPr="00F833B7">
        <w:t xml:space="preserve"> the </w:t>
      </w:r>
      <w:r w:rsidRPr="00206D75">
        <w:rPr>
          <w:i/>
        </w:rPr>
        <w:t>RSA</w:t>
      </w:r>
      <w:r w:rsidRPr="00F833B7">
        <w:t xml:space="preserve"> authorises VicRoads to make regulations on various road safety topics, including prescribing the instances in which demerit points are incurred, and the number of points incurred in those instances</w:t>
      </w:r>
      <w:r>
        <w:t>.</w:t>
      </w:r>
    </w:p>
    <w:p w14:paraId="4C1AF85E" w14:textId="2810437B" w:rsidR="00122C1B" w:rsidRDefault="00122C1B" w:rsidP="00235466">
      <w:pPr>
        <w:pStyle w:val="TextPara"/>
        <w:rPr>
          <w:rFonts w:cs="Segoe UI"/>
        </w:rPr>
      </w:pPr>
      <w:r>
        <w:t xml:space="preserve">The number of demerit points applicable to each offence </w:t>
      </w:r>
      <w:r w:rsidRPr="008138BE">
        <w:t xml:space="preserve">listed in Schedule 3 </w:t>
      </w:r>
      <w:r w:rsidR="00CF4C26">
        <w:t>to</w:t>
      </w:r>
      <w:r>
        <w:t xml:space="preserve"> the proposed Regulations</w:t>
      </w:r>
      <w:r w:rsidR="00CF4C26">
        <w:t xml:space="preserve"> </w:t>
      </w:r>
      <w:r w:rsidR="00D57147" w:rsidRPr="00D57147">
        <w:t>(see Appendix</w:t>
      </w:r>
      <w:r w:rsidR="00D62913">
        <w:t xml:space="preserve"> </w:t>
      </w:r>
      <w:r w:rsidR="00D62913">
        <w:fldChar w:fldCharType="begin"/>
      </w:r>
      <w:r w:rsidR="00D62913">
        <w:instrText xml:space="preserve"> REF _Ref4421838 \r \h </w:instrText>
      </w:r>
      <w:r w:rsidR="00D62913">
        <w:fldChar w:fldCharType="separate"/>
      </w:r>
      <w:r w:rsidR="00EB4B02">
        <w:t>F</w:t>
      </w:r>
      <w:r w:rsidR="00D62913">
        <w:fldChar w:fldCharType="end"/>
      </w:r>
      <w:r w:rsidR="00D57147" w:rsidRPr="00D57147">
        <w:t>)</w:t>
      </w:r>
      <w:r w:rsidR="00D57147" w:rsidRPr="00B649D8">
        <w:t xml:space="preserve"> </w:t>
      </w:r>
      <w:r>
        <w:t xml:space="preserve">is calibrated on the basis of the seriousness of the offence and the level of </w:t>
      </w:r>
      <w:r w:rsidRPr="00F833B7">
        <w:t>crash-risk</w:t>
      </w:r>
      <w:r>
        <w:t xml:space="preserve"> associated with it</w:t>
      </w:r>
      <w:r w:rsidRPr="00F833B7">
        <w:t xml:space="preserve">, taking into account </w:t>
      </w:r>
      <w:r>
        <w:t>their</w:t>
      </w:r>
      <w:r w:rsidRPr="00F833B7">
        <w:t xml:space="preserve"> potential impact on road safety</w:t>
      </w:r>
      <w:r>
        <w:t>.</w:t>
      </w:r>
    </w:p>
    <w:p w14:paraId="41B71BC5" w14:textId="77777777" w:rsidR="00122C1B" w:rsidRDefault="00122C1B" w:rsidP="006713F9">
      <w:pPr>
        <w:pStyle w:val="Heading3"/>
      </w:pPr>
      <w:bookmarkStart w:id="596" w:name="_Toc10703475"/>
      <w:r w:rsidRPr="00BD0F98">
        <w:t>Extend</w:t>
      </w:r>
      <w:r>
        <w:t>ed</w:t>
      </w:r>
      <w:r w:rsidRPr="00BD0F98">
        <w:t xml:space="preserve"> Demerit Point Period</w:t>
      </w:r>
      <w:bookmarkEnd w:id="596"/>
    </w:p>
    <w:p w14:paraId="28B12471" w14:textId="77777777" w:rsidR="00122C1B" w:rsidRDefault="00122C1B" w:rsidP="00680F1A">
      <w:pPr>
        <w:pStyle w:val="TextPara"/>
      </w:pPr>
      <w:r>
        <w:t>Upon reaching or exceeding the demerit points threshold relevant to a learner permit or licence within the prescribed period, a demerit point notice is sent to the driver and the permit or licence is</w:t>
      </w:r>
      <w:r w:rsidRPr="00BD0F98">
        <w:t xml:space="preserve"> suspended for a period of time (</w:t>
      </w:r>
      <w:r>
        <w:t>three</w:t>
      </w:r>
      <w:r w:rsidRPr="00BD0F98">
        <w:t xml:space="preserve"> months </w:t>
      </w:r>
      <w:r>
        <w:t>plus</w:t>
      </w:r>
      <w:r w:rsidRPr="00BD0F98">
        <w:t xml:space="preserve"> </w:t>
      </w:r>
      <w:r>
        <w:t>one</w:t>
      </w:r>
      <w:r w:rsidRPr="00BD0F98">
        <w:t xml:space="preserve"> month for every additional </w:t>
      </w:r>
      <w:r>
        <w:t>four</w:t>
      </w:r>
      <w:r w:rsidRPr="00BD0F98">
        <w:t xml:space="preserve"> points </w:t>
      </w:r>
      <w:r>
        <w:t>incurred over the demerit points threshold</w:t>
      </w:r>
      <w:r w:rsidRPr="00BD0F98">
        <w:t xml:space="preserve">) – unless </w:t>
      </w:r>
      <w:r>
        <w:t>the driver</w:t>
      </w:r>
      <w:r w:rsidRPr="00BD0F98">
        <w:t xml:space="preserve"> elect</w:t>
      </w:r>
      <w:r>
        <w:t>s</w:t>
      </w:r>
      <w:r w:rsidRPr="00BD0F98">
        <w:t xml:space="preserve"> </w:t>
      </w:r>
      <w:r>
        <w:t>the</w:t>
      </w:r>
      <w:r w:rsidRPr="00BD0F98">
        <w:t xml:space="preserve"> Extend</w:t>
      </w:r>
      <w:r>
        <w:t>ed</w:t>
      </w:r>
      <w:r w:rsidRPr="00BD0F98">
        <w:t xml:space="preserve"> Demerit Point Period</w:t>
      </w:r>
      <w:r>
        <w:t xml:space="preserve"> (EDPP), when served with a</w:t>
      </w:r>
      <w:r w:rsidRPr="000752C5">
        <w:t xml:space="preserve"> demerit point notice</w:t>
      </w:r>
      <w:r>
        <w:t>.</w:t>
      </w:r>
    </w:p>
    <w:p w14:paraId="2ECFCEA8" w14:textId="0135C40C" w:rsidR="00122C1B" w:rsidRDefault="00122C1B" w:rsidP="00F25C1E">
      <w:pPr>
        <w:pStyle w:val="TextPara"/>
      </w:pPr>
      <w:r>
        <w:t>A</w:t>
      </w:r>
      <w:r w:rsidRPr="000752C5">
        <w:t xml:space="preserve"> demerit point </w:t>
      </w:r>
      <w:r>
        <w:t xml:space="preserve">notice provides drivers with an opportunity </w:t>
      </w:r>
      <w:r w:rsidRPr="000752C5">
        <w:t xml:space="preserve">to </w:t>
      </w:r>
      <w:r>
        <w:t>choose to retain their</w:t>
      </w:r>
      <w:r w:rsidRPr="000752C5">
        <w:t xml:space="preserve"> </w:t>
      </w:r>
      <w:r>
        <w:t xml:space="preserve">learner </w:t>
      </w:r>
      <w:r w:rsidRPr="000752C5">
        <w:t>permit</w:t>
      </w:r>
      <w:r>
        <w:t xml:space="preserve"> or driver licence on condition that, </w:t>
      </w:r>
      <w:r w:rsidRPr="000752C5">
        <w:t xml:space="preserve">if </w:t>
      </w:r>
      <w:r>
        <w:t>they incur</w:t>
      </w:r>
      <w:r w:rsidRPr="000752C5">
        <w:t xml:space="preserve"> more </w:t>
      </w:r>
      <w:r>
        <w:t>demerit points in the next twelve-</w:t>
      </w:r>
      <w:r w:rsidRPr="000752C5">
        <w:t xml:space="preserve">month period, </w:t>
      </w:r>
      <w:r>
        <w:t>they will</w:t>
      </w:r>
      <w:r w:rsidRPr="000752C5">
        <w:t xml:space="preserve"> be suspended for twice </w:t>
      </w:r>
      <w:r>
        <w:t xml:space="preserve">the </w:t>
      </w:r>
      <w:r w:rsidRPr="000752C5">
        <w:t>original suspension period</w:t>
      </w:r>
      <w:r w:rsidRPr="005B683B">
        <w:t xml:space="preserve"> </w:t>
      </w:r>
      <w:r>
        <w:t>duration. If they do not elect the EDPP, their licence is suspended for a specified period.</w:t>
      </w:r>
    </w:p>
    <w:p w14:paraId="767832F3" w14:textId="77777777" w:rsidR="00257FA4" w:rsidRDefault="00257FA4" w:rsidP="00257FA4">
      <w:pPr>
        <w:pStyle w:val="TextPara"/>
      </w:pPr>
      <w:r>
        <w:t>A recent VicRoads study</w:t>
      </w:r>
      <w:r>
        <w:rPr>
          <w:rStyle w:val="EndnoteReference"/>
        </w:rPr>
        <w:endnoteReference w:id="392"/>
      </w:r>
      <w:r>
        <w:t xml:space="preserve"> confirmed that s</w:t>
      </w:r>
      <w:r w:rsidRPr="009D60AF">
        <w:t xml:space="preserve">uccessfully </w:t>
      </w:r>
      <w:r w:rsidRPr="002771CE">
        <w:t xml:space="preserve">completing an EDPP after reaching the demerit point threshold for licence suspension resulted in significantly lower speeding offence rates (6%) and casualty crash rates (31%) following the successful completion of the EDPP than in the period before it was served. </w:t>
      </w:r>
    </w:p>
    <w:p w14:paraId="7C477C9D" w14:textId="77777777" w:rsidR="00257FA4" w:rsidRDefault="00257FA4" w:rsidP="00257FA4">
      <w:pPr>
        <w:pStyle w:val="TextPara"/>
      </w:pPr>
      <w:r>
        <w:t xml:space="preserve">This is likely to be due to drivers endeavouring to avoid licence suspension by modifying their driving behaviour and taking more care when driving during the EDPP. This improved behaviour is likely to extend past the EDPP. </w:t>
      </w:r>
      <w:r w:rsidRPr="002771CE">
        <w:t>This finding indicates that the EDPP is an effective behaviour change measure</w:t>
      </w:r>
      <w:r w:rsidRPr="009D60AF">
        <w:t xml:space="preserve"> in terms of reduced speeding offen</w:t>
      </w:r>
      <w:r>
        <w:t>ces</w:t>
      </w:r>
      <w:r w:rsidRPr="009D60AF">
        <w:t xml:space="preserve"> and casualty crash involvement</w:t>
      </w:r>
      <w:r>
        <w:t>.</w:t>
      </w:r>
      <w:r>
        <w:rPr>
          <w:rStyle w:val="EndnoteReference"/>
        </w:rPr>
        <w:endnoteReference w:id="393"/>
      </w:r>
      <w:r>
        <w:t xml:space="preserve"> </w:t>
      </w:r>
    </w:p>
    <w:p w14:paraId="5D847DA8" w14:textId="77777777" w:rsidR="00257FA4" w:rsidRDefault="00257FA4" w:rsidP="00257FA4">
      <w:pPr>
        <w:pStyle w:val="TextPara"/>
      </w:pPr>
      <w:r w:rsidRPr="00E02393">
        <w:t xml:space="preserve">There were significantly higher speeding offence rates (13%) and casualty crash rates (23%) </w:t>
      </w:r>
      <w:r>
        <w:t xml:space="preserve">post suspension period </w:t>
      </w:r>
      <w:r w:rsidRPr="00E02393">
        <w:t xml:space="preserve">for </w:t>
      </w:r>
      <w:r>
        <w:t>drivers</w:t>
      </w:r>
      <w:r w:rsidRPr="00E02393">
        <w:t xml:space="preserve"> who opted to serve a demerit point suspension compared with </w:t>
      </w:r>
      <w:r>
        <w:t>the rates post EDPP</w:t>
      </w:r>
      <w:r w:rsidRPr="00E02393">
        <w:t xml:space="preserve"> period for those who opted to serve a</w:t>
      </w:r>
      <w:r>
        <w:t>n EDPP</w:t>
      </w:r>
      <w:r w:rsidRPr="00E02393">
        <w:t xml:space="preserve">. This indicates that </w:t>
      </w:r>
      <w:r>
        <w:t>serving an</w:t>
      </w:r>
      <w:r w:rsidRPr="00E02393">
        <w:t xml:space="preserve"> </w:t>
      </w:r>
      <w:r>
        <w:t>EDPP</w:t>
      </w:r>
      <w:r w:rsidRPr="00E02393">
        <w:t xml:space="preserve"> was more effective in reducing subsequent offending and crash involvement than the demerit point suspension.</w:t>
      </w:r>
      <w:r>
        <w:rPr>
          <w:rStyle w:val="EndnoteReference"/>
        </w:rPr>
        <w:endnoteReference w:id="394"/>
      </w:r>
      <w:r>
        <w:t xml:space="preserve"> </w:t>
      </w:r>
    </w:p>
    <w:p w14:paraId="7537C112" w14:textId="71212EC8" w:rsidR="00122C1B" w:rsidRDefault="00122C1B" w:rsidP="004E42C8">
      <w:pPr>
        <w:pStyle w:val="TextPara"/>
      </w:pPr>
      <w:r>
        <w:t xml:space="preserve">Demerit points </w:t>
      </w:r>
      <w:r w:rsidRPr="00F45D7C">
        <w:t xml:space="preserve">sanctions </w:t>
      </w:r>
      <w:r>
        <w:t xml:space="preserve">are also </w:t>
      </w:r>
      <w:r w:rsidRPr="00F45D7C">
        <w:t>appl</w:t>
      </w:r>
      <w:r>
        <w:t>ied</w:t>
      </w:r>
      <w:r w:rsidRPr="00F45D7C">
        <w:t xml:space="preserve"> to</w:t>
      </w:r>
      <w:r>
        <w:t xml:space="preserve"> </w:t>
      </w:r>
      <w:r w:rsidRPr="00F45D7C">
        <w:t>overseas drivers</w:t>
      </w:r>
      <w:r>
        <w:t>. A</w:t>
      </w:r>
      <w:r w:rsidRPr="00F45D7C">
        <w:t xml:space="preserve"> disqualification notice</w:t>
      </w:r>
      <w:r>
        <w:t xml:space="preserve"> is issued to overseas</w:t>
      </w:r>
      <w:r w:rsidRPr="00F45D7C">
        <w:t xml:space="preserve"> drivers who </w:t>
      </w:r>
      <w:r>
        <w:t xml:space="preserve">reach or exceed the applicable threshold </w:t>
      </w:r>
      <w:r w:rsidR="00374CFE">
        <w:t>which</w:t>
      </w:r>
      <w:r>
        <w:t xml:space="preserve"> bans them from </w:t>
      </w:r>
      <w:r w:rsidRPr="00F45D7C">
        <w:t>driving in Victoria and from obtaining a Victorian driver licence or learner permit</w:t>
      </w:r>
      <w:r>
        <w:t xml:space="preserve"> during the disqualification period.</w:t>
      </w:r>
    </w:p>
    <w:p w14:paraId="210CA891" w14:textId="7AAF18DE" w:rsidR="005C3153" w:rsidRDefault="005C3153" w:rsidP="005C3153">
      <w:pPr>
        <w:pStyle w:val="TextPara"/>
      </w:pPr>
      <w:r>
        <w:lastRenderedPageBreak/>
        <w:t>Under the NDLS, licence suspension, disqualification and cancellation in one jurisdiction apply in all other jurisdiction</w:t>
      </w:r>
      <w:r w:rsidR="00A82DBB">
        <w:t>s</w:t>
      </w:r>
      <w:r>
        <w:t>. This ensures that suspended/disqualified drivers cannot obtain licences in other jurisdictions</w:t>
      </w:r>
      <w:r w:rsidR="00661A07">
        <w:t>,</w:t>
      </w:r>
      <w:r>
        <w:t xml:space="preserve"> and improves law enforcement.</w:t>
      </w:r>
    </w:p>
    <w:p w14:paraId="76F6B8A9" w14:textId="77777777" w:rsidR="00122C1B" w:rsidRDefault="00122C1B" w:rsidP="006713F9">
      <w:pPr>
        <w:pStyle w:val="Heading3"/>
      </w:pPr>
      <w:bookmarkStart w:id="597" w:name="_Toc10703476"/>
      <w:r>
        <w:t>Demerit points thresholds</w:t>
      </w:r>
      <w:bookmarkEnd w:id="597"/>
    </w:p>
    <w:p w14:paraId="7217259A" w14:textId="77777777" w:rsidR="00122C1B" w:rsidRDefault="00122C1B" w:rsidP="00E36CF6">
      <w:pPr>
        <w:pStyle w:val="TextPara"/>
        <w:rPr>
          <w:i/>
        </w:rPr>
      </w:pPr>
      <w:r>
        <w:t xml:space="preserve">The demerit points thresholds applicable under Section 36(1) of the </w:t>
      </w:r>
      <w:r w:rsidRPr="007F373D">
        <w:rPr>
          <w:i/>
        </w:rPr>
        <w:t>RSA</w:t>
      </w:r>
      <w:r>
        <w:rPr>
          <w:i/>
        </w:rPr>
        <w:t xml:space="preserve"> </w:t>
      </w:r>
      <w:r>
        <w:t xml:space="preserve">are as follows </w:t>
      </w:r>
      <w:r>
        <w:rPr>
          <w:i/>
        </w:rPr>
        <w:t xml:space="preserve">– </w:t>
      </w:r>
    </w:p>
    <w:p w14:paraId="7D0A68AC" w14:textId="77777777" w:rsidR="00122C1B" w:rsidRDefault="00122C1B" w:rsidP="005F6F8B">
      <w:pPr>
        <w:pStyle w:val="Bullet1-Black"/>
      </w:pPr>
      <w:r>
        <w:t xml:space="preserve">for learner permit and probationary licence holders </w:t>
      </w:r>
      <w:r w:rsidR="00374CFE">
        <w:t xml:space="preserve">who do not hold, and have never held, a full driver licence, </w:t>
      </w:r>
      <w:r>
        <w:t>five</w:t>
      </w:r>
      <w:r w:rsidRPr="00997FBC">
        <w:t xml:space="preserve"> demerit points in </w:t>
      </w:r>
      <w:r>
        <w:t>any twelve-</w:t>
      </w:r>
      <w:r w:rsidRPr="00D7754F">
        <w:t xml:space="preserve">month period </w:t>
      </w:r>
      <w:r>
        <w:t>or twelve points in any three-</w:t>
      </w:r>
      <w:r w:rsidRPr="00D7754F">
        <w:t>year period</w:t>
      </w:r>
    </w:p>
    <w:p w14:paraId="135E85B3" w14:textId="77777777" w:rsidR="00122C1B" w:rsidRDefault="00122C1B" w:rsidP="00457BB1">
      <w:pPr>
        <w:pStyle w:val="Bullet1-Black"/>
      </w:pPr>
      <w:r>
        <w:t xml:space="preserve">for motorcycle learner permit and probationary licence holders </w:t>
      </w:r>
      <w:r w:rsidR="00374CFE">
        <w:t xml:space="preserve">who do not hold, and have never held, a full driver licence, </w:t>
      </w:r>
      <w:r>
        <w:t>five</w:t>
      </w:r>
      <w:r w:rsidRPr="00997FBC">
        <w:t xml:space="preserve"> demerit points in </w:t>
      </w:r>
      <w:r>
        <w:t>any twelve-</w:t>
      </w:r>
      <w:r w:rsidRPr="00D7754F">
        <w:t xml:space="preserve">month period </w:t>
      </w:r>
      <w:r>
        <w:t>or twelve points in any three-</w:t>
      </w:r>
      <w:r w:rsidRPr="00D7754F">
        <w:t>year period</w:t>
      </w:r>
    </w:p>
    <w:p w14:paraId="2C3BD734" w14:textId="77777777" w:rsidR="00122C1B" w:rsidRDefault="00122C1B">
      <w:pPr>
        <w:pStyle w:val="Bullet1-Black"/>
      </w:pPr>
      <w:r>
        <w:t>for full licence holders</w:t>
      </w:r>
      <w:r w:rsidR="00374CFE" w:rsidRPr="00374CFE">
        <w:t xml:space="preserve"> </w:t>
      </w:r>
      <w:r w:rsidR="00374CFE">
        <w:t xml:space="preserve">or learner permit holders who also hold, or who have held, a full licence, </w:t>
      </w:r>
      <w:r>
        <w:t>twelve points in any three-</w:t>
      </w:r>
      <w:r w:rsidRPr="00D7754F">
        <w:t>year period</w:t>
      </w:r>
      <w:r>
        <w:t xml:space="preserve">. </w:t>
      </w:r>
    </w:p>
    <w:p w14:paraId="0EBBC20E" w14:textId="77777777" w:rsidR="00122C1B" w:rsidRDefault="00122C1B" w:rsidP="001A063E">
      <w:pPr>
        <w:pStyle w:val="Heading2"/>
      </w:pPr>
      <w:bookmarkStart w:id="598" w:name="_Toc10703477"/>
      <w:r>
        <w:t xml:space="preserve">Demerit points schedules in the proposed </w:t>
      </w:r>
      <w:r w:rsidRPr="00EA637D">
        <w:t>Regulations</w:t>
      </w:r>
      <w:bookmarkEnd w:id="598"/>
    </w:p>
    <w:p w14:paraId="54105698" w14:textId="77777777" w:rsidR="00122C1B" w:rsidRDefault="00122C1B" w:rsidP="003A43BF">
      <w:pPr>
        <w:pStyle w:val="TextPara"/>
      </w:pPr>
      <w:r>
        <w:t xml:space="preserve">The proposed Regulations include two schedules (Schedules 3 and 4) in which the traffic offences that incur demerit points are listed. The number of demerit points applicable to each offence </w:t>
      </w:r>
      <w:r w:rsidRPr="008138BE">
        <w:t xml:space="preserve">listed in </w:t>
      </w:r>
      <w:r>
        <w:t xml:space="preserve">both </w:t>
      </w:r>
      <w:r w:rsidRPr="008138BE">
        <w:t>Schedule</w:t>
      </w:r>
      <w:r>
        <w:t xml:space="preserve">s is calibrated on the basis of the seriousness of the offence compared to other offences, the level of </w:t>
      </w:r>
      <w:r w:rsidRPr="00F833B7">
        <w:t>crash-risk</w:t>
      </w:r>
      <w:r>
        <w:t xml:space="preserve"> associated with it</w:t>
      </w:r>
      <w:r w:rsidRPr="00F833B7">
        <w:t xml:space="preserve">, </w:t>
      </w:r>
      <w:r>
        <w:t>and</w:t>
      </w:r>
      <w:r w:rsidRPr="00F833B7">
        <w:t xml:space="preserve"> </w:t>
      </w:r>
      <w:r>
        <w:t>its</w:t>
      </w:r>
      <w:r w:rsidRPr="00F833B7">
        <w:t xml:space="preserve"> potential impact on road safety</w:t>
      </w:r>
      <w:r>
        <w:t xml:space="preserve">. </w:t>
      </w:r>
    </w:p>
    <w:p w14:paraId="11D6F850" w14:textId="77777777" w:rsidR="00122C1B" w:rsidRDefault="00122C1B" w:rsidP="003A43BF">
      <w:pPr>
        <w:pStyle w:val="TextPara"/>
      </w:pPr>
      <w:r>
        <w:t xml:space="preserve">Schedule 3 </w:t>
      </w:r>
      <w:r w:rsidR="00036EF5">
        <w:t>to</w:t>
      </w:r>
      <w:r w:rsidRPr="008138BE">
        <w:t xml:space="preserve"> the proposed Regulations</w:t>
      </w:r>
      <w:r>
        <w:t xml:space="preserve"> lists the offences and the corresponding demerit points applicable to Victorian drivers committing any of the listed offences in Victoria. This list is largely based on the national demerit points table,</w:t>
      </w:r>
      <w:r>
        <w:rPr>
          <w:rStyle w:val="EndnoteReference"/>
        </w:rPr>
        <w:endnoteReference w:id="395"/>
      </w:r>
      <w:r>
        <w:t xml:space="preserve"> which is reproduced in Schedule 4. The latter applies to Victorian drivers, who commit any of the listed offences interstate,</w:t>
      </w:r>
      <w:r w:rsidRPr="00E42003">
        <w:t xml:space="preserve"> </w:t>
      </w:r>
      <w:r>
        <w:t>as notified to VicRoads by the relevant jurisdiction participating in the demerit points exchange (DPX) arrangements.</w:t>
      </w:r>
      <w:r>
        <w:rPr>
          <w:rStyle w:val="EndnoteReference"/>
        </w:rPr>
        <w:endnoteReference w:id="396"/>
      </w:r>
    </w:p>
    <w:p w14:paraId="7F00C889" w14:textId="00D5B30F" w:rsidR="00122C1B" w:rsidRPr="000564A0" w:rsidRDefault="00122C1B" w:rsidP="003A43BF">
      <w:pPr>
        <w:pStyle w:val="TextPara"/>
      </w:pPr>
      <w:r>
        <w:t>As explicitly permitted under the NDLS,</w:t>
      </w:r>
      <w:r>
        <w:rPr>
          <w:rStyle w:val="EndnoteReference"/>
        </w:rPr>
        <w:endnoteReference w:id="397"/>
      </w:r>
      <w:r>
        <w:t xml:space="preserve"> </w:t>
      </w:r>
      <w:r w:rsidRPr="000564A0">
        <w:t>Victoria deviated from the national table by excluding some offences</w:t>
      </w:r>
      <w:r>
        <w:t>,</w:t>
      </w:r>
      <w:r w:rsidRPr="000564A0">
        <w:t xml:space="preserve"> </w:t>
      </w:r>
      <w:r>
        <w:t>notably</w:t>
      </w:r>
      <w:r w:rsidRPr="000564A0">
        <w:t xml:space="preserve"> excessive speed offences</w:t>
      </w:r>
      <w:r>
        <w:t>,</w:t>
      </w:r>
      <w:r w:rsidRPr="000564A0">
        <w:t xml:space="preserve"> and adding others</w:t>
      </w:r>
      <w:r>
        <w:t>, such as</w:t>
      </w:r>
      <w:r w:rsidRPr="000564A0">
        <w:t xml:space="preserve"> </w:t>
      </w:r>
      <w:r w:rsidRPr="00545FF1">
        <w:t>driving motor vehicle with TV or visual display unit that is visible to, or likely to distract, the driver; driving wrong way in a one-way service road; and using a vehicle without a properly aff</w:t>
      </w:r>
      <w:r w:rsidRPr="00755780">
        <w:t>ixed and displayed number plate</w:t>
      </w:r>
      <w:r w:rsidRPr="00065936">
        <w:t>.</w:t>
      </w:r>
    </w:p>
    <w:p w14:paraId="4A361E17" w14:textId="2793115B" w:rsidR="00916C9F" w:rsidRDefault="004C276D" w:rsidP="00545FF1">
      <w:pPr>
        <w:pStyle w:val="TextPara"/>
      </w:pPr>
      <w:r>
        <w:t xml:space="preserve">Victoria has added the driving motor vehicle with TV or visual display unit offence </w:t>
      </w:r>
      <w:r w:rsidR="008B6E8E">
        <w:t xml:space="preserve">(similar to the driving with a mobile phone </w:t>
      </w:r>
      <w:r w:rsidR="0047324A">
        <w:t xml:space="preserve">offence) </w:t>
      </w:r>
      <w:r>
        <w:t>because distracted drivers have a high crash risk.</w:t>
      </w:r>
      <w:r w:rsidR="00916C9F">
        <w:t xml:space="preserve"> </w:t>
      </w:r>
      <w:r w:rsidR="00677A23">
        <w:t>Distraction causes the following driving performance decrements: reduced reaction time, reduced lane keeping ability, drifting out of lane/swerving, increased driving errors e.g. inappropriate braking and steering, missing hazards in the driving environment, failure to yield to pedestrians, and inability to respond to emergency situations.</w:t>
      </w:r>
    </w:p>
    <w:p w14:paraId="3BA398BA" w14:textId="186A415B" w:rsidR="004C276D" w:rsidRDefault="004C276D" w:rsidP="007E44B6">
      <w:pPr>
        <w:pStyle w:val="TextPara"/>
      </w:pPr>
      <w:r w:rsidRPr="004C276D">
        <w:t>The Australian National Crash In-Depth Study that investigated 340 crashes where a vehicle occupant was admitted to hospital for at least 24 hours found distraction was present in 16% of these crashes</w:t>
      </w:r>
      <w:r>
        <w:t xml:space="preserve">, of which </w:t>
      </w:r>
      <w:r w:rsidRPr="004C276D">
        <w:t>in-vehicle distractions were present in 9%. The most frequent sources of in-vehicle distractions were interactions with passengers and mobile phones</w:t>
      </w:r>
      <w:r w:rsidR="00D25BB1">
        <w:t>.</w:t>
      </w:r>
      <w:r w:rsidR="00773C89">
        <w:rPr>
          <w:rStyle w:val="EndnoteReference"/>
        </w:rPr>
        <w:endnoteReference w:id="398"/>
      </w:r>
    </w:p>
    <w:p w14:paraId="75904E0A" w14:textId="38B6107F" w:rsidR="007E44B6" w:rsidRDefault="007E44B6" w:rsidP="007E44B6">
      <w:pPr>
        <w:pStyle w:val="TextPara"/>
      </w:pPr>
      <w:r>
        <w:t xml:space="preserve">Driving the wrong way in a one-way service road is a similar offence to item 15 of Schedule 4 (the national demerit points table). It covers the same issue around travelling on the wrong side of a median strip. </w:t>
      </w:r>
    </w:p>
    <w:p w14:paraId="3C0EBA90" w14:textId="5972D371" w:rsidR="007E44B6" w:rsidRDefault="007E44B6" w:rsidP="007E44B6">
      <w:pPr>
        <w:pStyle w:val="TextPara"/>
      </w:pPr>
      <w:r>
        <w:t xml:space="preserve">The using a vehicle without a properly affixed and displayed number plate offence is there to act as a deterrent </w:t>
      </w:r>
      <w:r w:rsidR="007E62B8">
        <w:t>to drivers</w:t>
      </w:r>
      <w:r>
        <w:t xml:space="preserve"> avoiding the road safety camera safety system by not having plates on a vehicle or covering the plate on a vehicle. If the offence was not set at an appropriate level, it could act as an incentive to cover or remove plates to avoid certain camera offences. In addition, the Road Safety Act requires a method of establishing the identity of each motor vehicle or trailer which is used on a highway and of the person who is responsible for it. Such a requirement requires a suitable penalty to ensure that drivers do not generally try to avoid identification.</w:t>
      </w:r>
    </w:p>
    <w:p w14:paraId="15687BFF" w14:textId="37E973CC" w:rsidR="001F6B95" w:rsidRDefault="00122C1B" w:rsidP="003A43BF">
      <w:pPr>
        <w:pStyle w:val="TextPara"/>
      </w:pPr>
      <w:r>
        <w:lastRenderedPageBreak/>
        <w:t xml:space="preserve">The excessive speeding offences (driving at 130 km/hr or more or exceeding the speed limit by 25 km/hr or more) were excluded from Schedule 3 because Victoria considers them to be too serious for a demerit points sanction, which typically does not result in licence suspension unless it is combined with other demerit point offences committed within the relevant time period. Effective from 1 November 2018 the automatic licence suspension periods prescribed in Schedule 5 </w:t>
      </w:r>
      <w:r w:rsidR="00036EF5">
        <w:t>to</w:t>
      </w:r>
      <w:r>
        <w:t xml:space="preserve"> the </w:t>
      </w:r>
      <w:r w:rsidRPr="00814B75">
        <w:rPr>
          <w:i/>
        </w:rPr>
        <w:t>RSA</w:t>
      </w:r>
      <w:r>
        <w:t xml:space="preserve"> for some of these offences were increased to better reflect </w:t>
      </w:r>
      <w:r w:rsidRPr="00554E17">
        <w:t>their</w:t>
      </w:r>
      <w:r>
        <w:t xml:space="preserve"> seriousness and considerable impact on road safety.</w:t>
      </w:r>
    </w:p>
    <w:p w14:paraId="5C1A27CE" w14:textId="2B3D5066" w:rsidR="00122C1B" w:rsidRDefault="00625024" w:rsidP="003A43BF">
      <w:pPr>
        <w:pStyle w:val="TextPara"/>
      </w:pPr>
      <w:r>
        <w:t xml:space="preserve">While licence suspensions </w:t>
      </w:r>
      <w:r w:rsidR="00D93190">
        <w:t xml:space="preserve">and cancellations </w:t>
      </w:r>
      <w:r>
        <w:t xml:space="preserve">impose costs </w:t>
      </w:r>
      <w:r w:rsidR="001F6B95">
        <w:t>on suspended drivers (in terms of loss of convenience and mobility and the need to seek alternative forms of transport) and potentially on the economy (in the case of commercial drivers being suspended), these costs are outweighed by the benefits from avoided accidents and casualties due to these dangerous drivers being taken off the road.</w:t>
      </w:r>
      <w:r w:rsidR="004D15CD">
        <w:t xml:space="preserve"> </w:t>
      </w:r>
      <w:r w:rsidR="00151469">
        <w:t xml:space="preserve">Moreover, </w:t>
      </w:r>
      <w:r w:rsidR="004D15CD" w:rsidRPr="004D15CD">
        <w:t>there are other alternative modes of transportation for those who commit such offences so that the limitation is reasonable when considering the safety and rights of other road users and the high crash risk caused by drivers using excessive speed.</w:t>
      </w:r>
    </w:p>
    <w:p w14:paraId="7275E35F" w14:textId="77777777" w:rsidR="004052C4" w:rsidRDefault="004052C4" w:rsidP="003A43BF">
      <w:pPr>
        <w:pStyle w:val="TextPara"/>
      </w:pPr>
    </w:p>
    <w:p w14:paraId="2FA0B60A" w14:textId="77777777" w:rsidR="00E4479F" w:rsidRDefault="00E4479F" w:rsidP="006713F9">
      <w:pPr>
        <w:pStyle w:val="PartHeading"/>
        <w:sectPr w:rsidR="00E4479F" w:rsidSect="001F3F47">
          <w:headerReference w:type="even" r:id="rId51"/>
          <w:headerReference w:type="default" r:id="rId52"/>
          <w:headerReference w:type="first" r:id="rId53"/>
          <w:endnotePr>
            <w:numFmt w:val="decimal"/>
          </w:endnotePr>
          <w:pgSz w:w="11906" w:h="16838" w:code="9"/>
          <w:pgMar w:top="1361" w:right="1134" w:bottom="1361" w:left="1247" w:header="567" w:footer="397" w:gutter="0"/>
          <w:cols w:space="708"/>
          <w:docGrid w:linePitch="360"/>
        </w:sectPr>
      </w:pPr>
      <w:bookmarkStart w:id="599" w:name="_Toc504138475"/>
      <w:bookmarkStart w:id="600" w:name="_Toc507676291"/>
      <w:bookmarkStart w:id="601" w:name="_Ref527562441"/>
      <w:bookmarkEnd w:id="212"/>
      <w:bookmarkEnd w:id="368"/>
    </w:p>
    <w:p w14:paraId="4374614B" w14:textId="55523B06" w:rsidR="00370DA6" w:rsidRPr="00117C96" w:rsidRDefault="00370DA6" w:rsidP="00370DA6">
      <w:pPr>
        <w:pStyle w:val="PartHeading"/>
        <w:spacing w:before="240"/>
      </w:pPr>
      <w:bookmarkStart w:id="602" w:name="_Toc4084195"/>
      <w:bookmarkStart w:id="603" w:name="_Toc10703478"/>
      <w:bookmarkStart w:id="604" w:name="_Toc535482008"/>
      <w:bookmarkStart w:id="605" w:name="_Toc2595474"/>
      <w:r>
        <w:lastRenderedPageBreak/>
        <w:t>SIMPLIFICATION, EFFICIENCY AND EQUITABLE D</w:t>
      </w:r>
      <w:r w:rsidRPr="00117C96">
        <w:t xml:space="preserve">ISTRIBUTION </w:t>
      </w:r>
      <w:r>
        <w:t>OF C</w:t>
      </w:r>
      <w:r w:rsidRPr="00117C96">
        <w:t>OST</w:t>
      </w:r>
      <w:bookmarkEnd w:id="602"/>
      <w:bookmarkEnd w:id="603"/>
    </w:p>
    <w:p w14:paraId="62C554E8" w14:textId="77777777" w:rsidR="00370DA6" w:rsidRPr="00F07544" w:rsidRDefault="00370DA6" w:rsidP="00370DA6">
      <w:pPr>
        <w:pStyle w:val="Heading1"/>
        <w:spacing w:before="240" w:after="240"/>
      </w:pPr>
      <w:bookmarkStart w:id="606" w:name="_Toc4084196"/>
      <w:bookmarkStart w:id="607" w:name="_Toc10703479"/>
      <w:r>
        <w:t>Authority to Charge F</w:t>
      </w:r>
      <w:r w:rsidRPr="00F07544">
        <w:t>ees</w:t>
      </w:r>
      <w:bookmarkEnd w:id="606"/>
      <w:bookmarkEnd w:id="607"/>
    </w:p>
    <w:p w14:paraId="4757403E" w14:textId="77777777" w:rsidR="00370DA6" w:rsidRPr="00B238CA" w:rsidRDefault="00370DA6" w:rsidP="00456127">
      <w:pPr>
        <w:pStyle w:val="TextPara"/>
      </w:pPr>
      <w:r>
        <w:t xml:space="preserve">Over many years the Victorian </w:t>
      </w:r>
      <w:r w:rsidRPr="00456127">
        <w:t>government</w:t>
      </w:r>
      <w:r w:rsidRPr="00B238CA">
        <w:t xml:space="preserve"> ha</w:t>
      </w:r>
      <w:r>
        <w:t>s</w:t>
      </w:r>
      <w:r w:rsidRPr="00B238CA">
        <w:t xml:space="preserve"> increasingly been recovering some or all the cost of various activities </w:t>
      </w:r>
      <w:r>
        <w:t xml:space="preserve">from consumers of its services </w:t>
      </w:r>
      <w:r w:rsidRPr="00B238CA">
        <w:t xml:space="preserve">to improve efficiency and </w:t>
      </w:r>
      <w:r>
        <w:t xml:space="preserve">distributed cost </w:t>
      </w:r>
      <w:r w:rsidRPr="00B238CA">
        <w:t xml:space="preserve">equity outcomes. This </w:t>
      </w:r>
      <w:r>
        <w:t>has been</w:t>
      </w:r>
      <w:r w:rsidRPr="00B238CA">
        <w:t xml:space="preserve"> achieved through fees that reflect the costs of services or activities that, at least in part, provide private benefits to individuals, entities or groups, or reflect the costs their actions impose.</w:t>
      </w:r>
      <w:r w:rsidRPr="00B238CA">
        <w:rPr>
          <w:vertAlign w:val="superscript"/>
        </w:rPr>
        <w:endnoteReference w:id="399"/>
      </w:r>
      <w:r w:rsidRPr="00B238CA">
        <w:rPr>
          <w:vertAlign w:val="superscript"/>
        </w:rPr>
        <w:t xml:space="preserve"> </w:t>
      </w:r>
    </w:p>
    <w:p w14:paraId="79485CF1" w14:textId="77777777" w:rsidR="00370DA6" w:rsidRPr="00B238CA" w:rsidRDefault="00370DA6" w:rsidP="00456127">
      <w:pPr>
        <w:pStyle w:val="TextPara"/>
      </w:pPr>
      <w:r w:rsidRPr="00B238CA">
        <w:t xml:space="preserve">The Registration and Licensing (R&amp;L) division of VicRoads is responsible for the delivery of a range of vehicle registration and driver licensing </w:t>
      </w:r>
      <w:r>
        <w:t>services</w:t>
      </w:r>
      <w:r w:rsidRPr="00B238CA">
        <w:t xml:space="preserve"> </w:t>
      </w:r>
      <w:r>
        <w:t xml:space="preserve">to </w:t>
      </w:r>
      <w:r w:rsidRPr="00B238CA">
        <w:t>enable road users to safely access the Victorian road network</w:t>
      </w:r>
      <w:r>
        <w:t xml:space="preserve">, and to support commercial and government organisations to perform their functions. </w:t>
      </w:r>
    </w:p>
    <w:p w14:paraId="68228242" w14:textId="77777777" w:rsidR="00370DA6" w:rsidRPr="00B238CA" w:rsidRDefault="00370DA6" w:rsidP="00456127">
      <w:pPr>
        <w:pStyle w:val="TextPara"/>
      </w:pPr>
      <w:r w:rsidRPr="00B238CA">
        <w:t xml:space="preserve">Section 97A(1) of the </w:t>
      </w:r>
      <w:r w:rsidRPr="00B238CA">
        <w:rPr>
          <w:i/>
        </w:rPr>
        <w:t>RSA</w:t>
      </w:r>
      <w:r w:rsidRPr="00B238CA">
        <w:t xml:space="preserve"> </w:t>
      </w:r>
      <w:r>
        <w:t>enables</w:t>
      </w:r>
      <w:r w:rsidRPr="00B238CA">
        <w:t xml:space="preserve"> VicRoads to charge administrative fees for services it provides in connection with the licensing of drivers and the registration of vehicles. Section 97A(2) </w:t>
      </w:r>
      <w:r>
        <w:t xml:space="preserve">of the </w:t>
      </w:r>
      <w:r w:rsidRPr="003D540A">
        <w:rPr>
          <w:i/>
        </w:rPr>
        <w:t>RSA</w:t>
      </w:r>
      <w:r>
        <w:t xml:space="preserve"> </w:t>
      </w:r>
      <w:r w:rsidRPr="00B238CA">
        <w:t xml:space="preserve">provides that the fees for these services (other than a service provided in connection with the assignment of registration numbers) must not exceed the costs of delivering the service. The </w:t>
      </w:r>
      <w:r w:rsidRPr="00B238CA">
        <w:rPr>
          <w:b/>
        </w:rPr>
        <w:t>services</w:t>
      </w:r>
      <w:r w:rsidRPr="00B238CA">
        <w:t xml:space="preserve"> authorised by this section include </w:t>
      </w:r>
      <w:r>
        <w:t xml:space="preserve">services, such as </w:t>
      </w:r>
      <w:r w:rsidRPr="00B238CA">
        <w:t xml:space="preserve">licence testing, licence conversion, vehicle inspections, registration transfers, exemption applications, </w:t>
      </w:r>
      <w:r>
        <w:t xml:space="preserve">and </w:t>
      </w:r>
      <w:r w:rsidRPr="00B238CA">
        <w:t>refund processing.</w:t>
      </w:r>
    </w:p>
    <w:p w14:paraId="0EEC0FCC" w14:textId="77777777" w:rsidR="00370DA6" w:rsidRPr="00B238CA" w:rsidRDefault="00370DA6" w:rsidP="00456127">
      <w:pPr>
        <w:pStyle w:val="TextPara"/>
      </w:pPr>
      <w:r w:rsidRPr="00B238CA">
        <w:t xml:space="preserve">Section 95(6) of the </w:t>
      </w:r>
      <w:r w:rsidRPr="00B238CA">
        <w:rPr>
          <w:i/>
        </w:rPr>
        <w:t>RSA</w:t>
      </w:r>
      <w:r w:rsidRPr="00B238CA">
        <w:t xml:space="preserve"> provides that, “a fee that may be imposed by regulation in relation to driver licences or learner </w:t>
      </w:r>
      <w:r w:rsidRPr="00456127">
        <w:t>permits</w:t>
      </w:r>
      <w:r w:rsidRPr="00B238CA">
        <w:t>” or “the registration of motor vehicles or trailers is not limited to an amount that is related to the cost of providing a service”. Rather than fees for services</w:t>
      </w:r>
      <w:r>
        <w:t>,</w:t>
      </w:r>
      <w:r w:rsidRPr="00B238CA">
        <w:t xml:space="preserve"> this section enables fees to be charged where </w:t>
      </w:r>
      <w:r>
        <w:t>a</w:t>
      </w:r>
      <w:r w:rsidRPr="00B238CA">
        <w:t xml:space="preserve"> customer receives </w:t>
      </w:r>
      <w:r>
        <w:t xml:space="preserve">a </w:t>
      </w:r>
      <w:r w:rsidRPr="00B238CA">
        <w:rPr>
          <w:b/>
        </w:rPr>
        <w:t>permission</w:t>
      </w:r>
      <w:r w:rsidRPr="00B238CA">
        <w:t xml:space="preserve"> </w:t>
      </w:r>
      <w:r>
        <w:t xml:space="preserve">to access the road </w:t>
      </w:r>
      <w:r w:rsidRPr="00B238CA">
        <w:t xml:space="preserve">(e.g. licence, permit, registration) or </w:t>
      </w:r>
      <w:r>
        <w:t>a third party is</w:t>
      </w:r>
      <w:r w:rsidRPr="00B238CA">
        <w:t xml:space="preserve"> authorised to </w:t>
      </w:r>
      <w:r>
        <w:t xml:space="preserve">a </w:t>
      </w:r>
      <w:r w:rsidRPr="00B238CA">
        <w:t>perform function</w:t>
      </w:r>
      <w:r>
        <w:t>s</w:t>
      </w:r>
      <w:r w:rsidRPr="00B238CA">
        <w:t xml:space="preserve"> </w:t>
      </w:r>
      <w:r>
        <w:t xml:space="preserve">and provide services </w:t>
      </w:r>
      <w:r w:rsidRPr="00B238CA">
        <w:t xml:space="preserve">on behalf of VicRoads under </w:t>
      </w:r>
      <w:r w:rsidRPr="00B238CA">
        <w:rPr>
          <w:b/>
        </w:rPr>
        <w:t>servicing agreements</w:t>
      </w:r>
      <w:r w:rsidRPr="00B238CA">
        <w:t xml:space="preserve"> (e.g. vehicle testing and inspection).</w:t>
      </w:r>
    </w:p>
    <w:p w14:paraId="1126B537" w14:textId="77777777" w:rsidR="00370DA6" w:rsidRPr="00B238CA" w:rsidRDefault="00370DA6" w:rsidP="00456127">
      <w:pPr>
        <w:pStyle w:val="TextPara"/>
      </w:pPr>
      <w:r w:rsidRPr="00B238CA">
        <w:t xml:space="preserve">Any fees charged may be </w:t>
      </w:r>
      <w:r>
        <w:t xml:space="preserve">prescribed by regulation (‘regulated fees’). Fees that are not prescribed by regulation are subject to the </w:t>
      </w:r>
      <w:r w:rsidRPr="00B238CA">
        <w:t xml:space="preserve">same cost recovery guidelines. </w:t>
      </w:r>
      <w:r>
        <w:t>These</w:t>
      </w:r>
      <w:r w:rsidRPr="00B238CA">
        <w:t xml:space="preserve"> fees </w:t>
      </w:r>
      <w:r>
        <w:t>(‘other fees’) are</w:t>
      </w:r>
      <w:r w:rsidRPr="00B238CA">
        <w:t xml:space="preserve"> </w:t>
      </w:r>
      <w:r>
        <w:t xml:space="preserve">most often </w:t>
      </w:r>
      <w:r w:rsidRPr="00B238CA">
        <w:t xml:space="preserve">associated with services </w:t>
      </w:r>
      <w:r w:rsidRPr="00456127">
        <w:t>provided</w:t>
      </w:r>
      <w:r w:rsidRPr="00B238CA">
        <w:t xml:space="preserve"> to commercial parties</w:t>
      </w:r>
      <w:r>
        <w:t>.</w:t>
      </w:r>
    </w:p>
    <w:p w14:paraId="1502C9FD" w14:textId="77777777" w:rsidR="00370DA6" w:rsidRPr="00351EE6" w:rsidRDefault="00370DA6">
      <w:pPr>
        <w:pStyle w:val="NoSpacing"/>
      </w:pPr>
      <w:r w:rsidRPr="00351EE6">
        <w:t>Regulated fees</w:t>
      </w:r>
    </w:p>
    <w:p w14:paraId="270B9B92" w14:textId="77777777" w:rsidR="00370DA6" w:rsidRPr="00456127" w:rsidRDefault="00370DA6" w:rsidP="00456127">
      <w:pPr>
        <w:pStyle w:val="TextPara"/>
      </w:pPr>
      <w:r>
        <w:t>Fees prescribed in the regulations (and specified</w:t>
      </w:r>
      <w:r w:rsidRPr="00B238CA">
        <w:t xml:space="preserve"> in schedules</w:t>
      </w:r>
      <w:r>
        <w:t>)</w:t>
      </w:r>
      <w:r w:rsidRPr="00B238CA">
        <w:t xml:space="preserve"> </w:t>
      </w:r>
      <w:r>
        <w:t>i</w:t>
      </w:r>
      <w:r w:rsidRPr="00B238CA">
        <w:t>nclude the administrative service fees that VicRoads charges. These fees</w:t>
      </w:r>
      <w:r>
        <w:t xml:space="preserve"> are</w:t>
      </w:r>
      <w:r w:rsidRPr="00B238CA">
        <w:t>:</w:t>
      </w:r>
    </w:p>
    <w:p w14:paraId="035BED69" w14:textId="77777777" w:rsidR="00370DA6" w:rsidRPr="00456127" w:rsidRDefault="00370DA6" w:rsidP="00370DA6">
      <w:pPr>
        <w:pStyle w:val="Bullet1-Black"/>
      </w:pPr>
      <w:r w:rsidRPr="00B238CA">
        <w:t xml:space="preserve">indexed </w:t>
      </w:r>
      <w:r w:rsidRPr="00456127">
        <w:t>automatically when the fee amount is not less than a single fee unit</w:t>
      </w:r>
    </w:p>
    <w:p w14:paraId="78AF7F8D" w14:textId="77777777" w:rsidR="00370DA6" w:rsidRPr="00456127" w:rsidRDefault="00370DA6" w:rsidP="00370DA6">
      <w:pPr>
        <w:pStyle w:val="Bullet1-Black"/>
      </w:pPr>
      <w:r w:rsidRPr="00456127">
        <w:t>subject to RIS assessment requirements</w:t>
      </w:r>
    </w:p>
    <w:p w14:paraId="7FBD3D14" w14:textId="77777777" w:rsidR="00370DA6" w:rsidRPr="00B238CA" w:rsidRDefault="00370DA6" w:rsidP="00370DA6">
      <w:pPr>
        <w:pStyle w:val="Bullet1-Black"/>
      </w:pPr>
      <w:r w:rsidRPr="00456127">
        <w:t>typically charged</w:t>
      </w:r>
      <w:r w:rsidRPr="00B238CA">
        <w:t xml:space="preserve"> to the public and are made transparent in the regulations. </w:t>
      </w:r>
    </w:p>
    <w:p w14:paraId="19DD2805" w14:textId="77777777" w:rsidR="00370DA6" w:rsidRPr="00B238CA" w:rsidRDefault="00370DA6" w:rsidP="00456127">
      <w:pPr>
        <w:pStyle w:val="TextPara"/>
      </w:pPr>
      <w:r w:rsidRPr="00B238CA">
        <w:t xml:space="preserve">The funds from </w:t>
      </w:r>
      <w:r w:rsidRPr="00456127">
        <w:t>these</w:t>
      </w:r>
      <w:r w:rsidRPr="00B238CA">
        <w:t xml:space="preserve"> fees are </w:t>
      </w:r>
      <w:r>
        <w:t>paid</w:t>
      </w:r>
      <w:r w:rsidRPr="00B238CA">
        <w:t xml:space="preserve"> into either the VicRoads General Fund or the Victorian State Government Consolidated Fund.</w:t>
      </w:r>
    </w:p>
    <w:p w14:paraId="5455161E" w14:textId="77777777" w:rsidR="00370DA6" w:rsidRPr="00351EE6" w:rsidRDefault="00370DA6">
      <w:pPr>
        <w:pStyle w:val="NoSpacing"/>
      </w:pPr>
      <w:r w:rsidRPr="00351EE6">
        <w:t>Other fees</w:t>
      </w:r>
    </w:p>
    <w:p w14:paraId="5F3E4F9E" w14:textId="77777777" w:rsidR="00370DA6" w:rsidRPr="00456127" w:rsidRDefault="00370DA6" w:rsidP="00456127">
      <w:pPr>
        <w:pStyle w:val="TextPara"/>
      </w:pPr>
      <w:r>
        <w:t xml:space="preserve">There are other </w:t>
      </w:r>
      <w:r w:rsidRPr="00B238CA">
        <w:t>administrative service fees that VicRoads charges</w:t>
      </w:r>
      <w:r>
        <w:t>,</w:t>
      </w:r>
      <w:r w:rsidRPr="00B238CA">
        <w:t xml:space="preserve"> which are </w:t>
      </w:r>
      <w:r w:rsidRPr="00B238CA">
        <w:rPr>
          <w:u w:val="single"/>
        </w:rPr>
        <w:t>not</w:t>
      </w:r>
      <w:r w:rsidRPr="00B238CA">
        <w:t xml:space="preserve"> prescribed in </w:t>
      </w:r>
      <w:r>
        <w:t>regulations</w:t>
      </w:r>
      <w:r w:rsidRPr="00B238CA">
        <w:t>. These fees:</w:t>
      </w:r>
    </w:p>
    <w:p w14:paraId="74814E9D" w14:textId="77777777" w:rsidR="00370DA6" w:rsidRPr="00B238CA" w:rsidRDefault="00370DA6" w:rsidP="00370DA6">
      <w:pPr>
        <w:pStyle w:val="Bullet1-Black"/>
      </w:pPr>
      <w:r w:rsidRPr="00B238CA">
        <w:t>do not have automat</w:t>
      </w:r>
      <w:r>
        <w:t>ic</w:t>
      </w:r>
      <w:r w:rsidRPr="00B238CA">
        <w:t xml:space="preserve"> fee indexation. Unlike the fees set out in the </w:t>
      </w:r>
      <w:r w:rsidRPr="00552943">
        <w:t>regulations</w:t>
      </w:r>
      <w:r w:rsidRPr="00B238CA">
        <w:t xml:space="preserve">, these administrative fees are not subject to automatic indexation through the procedure established in the </w:t>
      </w:r>
      <w:r w:rsidRPr="00B238CA">
        <w:rPr>
          <w:i/>
        </w:rPr>
        <w:t>Monetary Units Act 2004</w:t>
      </w:r>
    </w:p>
    <w:p w14:paraId="1FB1E4A8" w14:textId="77777777" w:rsidR="00370DA6" w:rsidRPr="00B238CA" w:rsidRDefault="00370DA6" w:rsidP="00370DA6">
      <w:pPr>
        <w:pStyle w:val="Bullet1-Black"/>
      </w:pPr>
      <w:r w:rsidRPr="00B238CA">
        <w:lastRenderedPageBreak/>
        <w:t xml:space="preserve">are not subject to the </w:t>
      </w:r>
      <w:r w:rsidRPr="00552943">
        <w:rPr>
          <w:i/>
        </w:rPr>
        <w:t>Subordinate Legislation Act 1994</w:t>
      </w:r>
      <w:r w:rsidRPr="00B238CA">
        <w:t xml:space="preserve"> requirements, including the requirement to prepare a RIS.</w:t>
      </w:r>
    </w:p>
    <w:p w14:paraId="069DD22F" w14:textId="77777777" w:rsidR="00370DA6" w:rsidRPr="00456127" w:rsidRDefault="00370DA6" w:rsidP="00456127">
      <w:pPr>
        <w:pStyle w:val="TextPara"/>
      </w:pPr>
      <w:r w:rsidRPr="00B238CA">
        <w:t>They include:</w:t>
      </w:r>
    </w:p>
    <w:p w14:paraId="6F94FDAF" w14:textId="77777777" w:rsidR="00370DA6" w:rsidRPr="00B238CA" w:rsidRDefault="00370DA6" w:rsidP="00370DA6">
      <w:pPr>
        <w:pStyle w:val="Bullet1-Black"/>
      </w:pPr>
      <w:r w:rsidRPr="00B238CA">
        <w:t>merchant fees</w:t>
      </w:r>
      <w:r>
        <w:t>,</w:t>
      </w:r>
      <w:r w:rsidRPr="00B238CA">
        <w:t xml:space="preserve"> which are passed the customer</w:t>
      </w:r>
      <w:r>
        <w:t>,</w:t>
      </w:r>
      <w:r w:rsidRPr="00B238CA">
        <w:t xml:space="preserve"> when payment for licensing and registration fees is made by credit card</w:t>
      </w:r>
      <w:r>
        <w:t>,</w:t>
      </w:r>
      <w:r w:rsidRPr="00B238CA">
        <w:t xml:space="preserve"> based on a </w:t>
      </w:r>
      <w:r>
        <w:t>percent</w:t>
      </w:r>
      <w:r w:rsidRPr="00B238CA">
        <w:t>age of the payment made</w:t>
      </w:r>
      <w:r>
        <w:t xml:space="preserve"> – t</w:t>
      </w:r>
      <w:r w:rsidRPr="00B238CA">
        <w:t>his fee is published on the VicRoads website as it applies to licence/permit holders and vehicle operators</w:t>
      </w:r>
    </w:p>
    <w:p w14:paraId="41D50DA6" w14:textId="77777777" w:rsidR="00370DA6" w:rsidRPr="00946923" w:rsidRDefault="00370DA6" w:rsidP="00370DA6">
      <w:pPr>
        <w:pStyle w:val="Bullet1-Black"/>
      </w:pPr>
      <w:r w:rsidRPr="00946923">
        <w:t xml:space="preserve">a service fee of $2.45 (effective 1/1/2018) in relation to quarterly and half yearly registration fee payments </w:t>
      </w:r>
      <w:r>
        <w:t xml:space="preserve">for light motor vehicle operators </w:t>
      </w:r>
      <w:r w:rsidRPr="00946923">
        <w:t>(note: holders of concession cards are exempt from this fee)</w:t>
      </w:r>
      <w:r>
        <w:t xml:space="preserve"> – </w:t>
      </w:r>
      <w:r w:rsidRPr="00946923">
        <w:t xml:space="preserve">this fee is published on the VicRoads website </w:t>
      </w:r>
    </w:p>
    <w:p w14:paraId="25796283" w14:textId="77777777" w:rsidR="00370DA6" w:rsidRPr="00B238CA" w:rsidRDefault="00370DA6" w:rsidP="00370DA6">
      <w:pPr>
        <w:pStyle w:val="Bullet1-Black"/>
      </w:pPr>
      <w:r w:rsidRPr="00B238CA">
        <w:t xml:space="preserve">fees charged to toll road operators for providing the details of registered </w:t>
      </w:r>
      <w:r>
        <w:t>vehicle</w:t>
      </w:r>
      <w:r w:rsidRPr="00B238CA">
        <w:t xml:space="preserve"> operators</w:t>
      </w:r>
      <w:r>
        <w:t>,</w:t>
      </w:r>
      <w:r w:rsidRPr="00B238CA">
        <w:t xml:space="preserve"> who have used the toll roads </w:t>
      </w:r>
      <w:r>
        <w:t>and</w:t>
      </w:r>
      <w:r w:rsidRPr="00B238CA">
        <w:t xml:space="preserve"> have yet to make payment</w:t>
      </w:r>
    </w:p>
    <w:p w14:paraId="3CC500D3" w14:textId="77777777" w:rsidR="00370DA6" w:rsidRPr="00B238CA" w:rsidRDefault="00370DA6" w:rsidP="00370DA6">
      <w:pPr>
        <w:pStyle w:val="Bullet1-Black"/>
      </w:pPr>
      <w:r w:rsidRPr="00B238CA">
        <w:t xml:space="preserve">fees charged to </w:t>
      </w:r>
      <w:r>
        <w:t xml:space="preserve">local </w:t>
      </w:r>
      <w:r w:rsidRPr="00B238CA">
        <w:t>councils for providing the details of registered operators of vehicles that have incurred local government penalty notices</w:t>
      </w:r>
      <w:r>
        <w:t>,</w:t>
      </w:r>
      <w:r w:rsidRPr="00B238CA">
        <w:t xml:space="preserve"> </w:t>
      </w:r>
      <w:r>
        <w:t>such as</w:t>
      </w:r>
      <w:r w:rsidRPr="00B238CA">
        <w:t xml:space="preserve"> parking fines</w:t>
      </w:r>
    </w:p>
    <w:p w14:paraId="6CBD7232" w14:textId="77777777" w:rsidR="00370DA6" w:rsidRPr="00B238CA" w:rsidRDefault="00370DA6" w:rsidP="00370DA6">
      <w:pPr>
        <w:pStyle w:val="Bullet1-Black"/>
      </w:pPr>
      <w:r w:rsidRPr="00B238CA">
        <w:t>fees charged to the Transport Accident Commission for collecting the third-party insurance at the time of registration</w:t>
      </w:r>
    </w:p>
    <w:p w14:paraId="3AD2D64F" w14:textId="77777777" w:rsidR="00370DA6" w:rsidRPr="00B238CA" w:rsidRDefault="00370DA6" w:rsidP="00370DA6">
      <w:pPr>
        <w:pStyle w:val="Bullet1-Black"/>
      </w:pPr>
      <w:r w:rsidRPr="00B238CA">
        <w:t>fees charged to Marine Safety Victoria for taking photographs for marine licences and collecting licensing revenue on their behalf</w:t>
      </w:r>
    </w:p>
    <w:p w14:paraId="45746F23" w14:textId="77777777" w:rsidR="00370DA6" w:rsidRPr="00B238CA" w:rsidRDefault="00370DA6" w:rsidP="00370DA6">
      <w:pPr>
        <w:pStyle w:val="Bullet1-Black"/>
      </w:pPr>
      <w:r w:rsidRPr="00B238CA">
        <w:t>fees charged to Victoria Police for taking photographs for firearms licences</w:t>
      </w:r>
    </w:p>
    <w:p w14:paraId="1ED874C6" w14:textId="77777777" w:rsidR="00370DA6" w:rsidRPr="00B238CA" w:rsidRDefault="00370DA6" w:rsidP="00370DA6">
      <w:pPr>
        <w:pStyle w:val="Bullet1-Black"/>
      </w:pPr>
      <w:r w:rsidRPr="00B238CA">
        <w:t>fees charged to Victoria Police for support of the interface between Victoria Police and VicRoads’ systems</w:t>
      </w:r>
    </w:p>
    <w:p w14:paraId="71048859" w14:textId="77777777" w:rsidR="00370DA6" w:rsidRPr="00B238CA" w:rsidRDefault="00370DA6" w:rsidP="00370DA6">
      <w:pPr>
        <w:pStyle w:val="Bullet1-Black"/>
      </w:pPr>
      <w:r w:rsidRPr="00B238CA">
        <w:t xml:space="preserve">charges for booklets and publications (e.g. Road to Solo Driving) that provide information and assistance to customers in relation to obtaining a driver’s licence and registering a vehicle </w:t>
      </w:r>
      <w:r>
        <w:t xml:space="preserve">– </w:t>
      </w:r>
      <w:r w:rsidRPr="00B238CA">
        <w:t>this fee is published on the VicRoads website</w:t>
      </w:r>
      <w:r>
        <w:t>,</w:t>
      </w:r>
      <w:r w:rsidRPr="00B238CA">
        <w:t xml:space="preserve"> as it applies to licence/permit holders and vehicle operators.</w:t>
      </w:r>
      <w:r w:rsidRPr="00B238CA">
        <w:br/>
      </w:r>
    </w:p>
    <w:p w14:paraId="55EFB5EB" w14:textId="18446605" w:rsidR="00370DA6" w:rsidRDefault="00370DA6" w:rsidP="00456127">
      <w:pPr>
        <w:pStyle w:val="TextPara"/>
      </w:pPr>
      <w:r w:rsidRPr="00B238CA">
        <w:t xml:space="preserve">The funds from these fees are </w:t>
      </w:r>
      <w:r w:rsidRPr="00456127">
        <w:t>paid</w:t>
      </w:r>
      <w:r w:rsidRPr="00B238CA">
        <w:t xml:space="preserve"> into the VicRoads General Fund unless otherwise specified </w:t>
      </w:r>
      <w:r>
        <w:t>in the Regulations (e.g. Short-t</w:t>
      </w:r>
      <w:r w:rsidRPr="00B238CA">
        <w:t xml:space="preserve">erm Registration fee) – refer regulation 107(c) of the </w:t>
      </w:r>
      <w:r w:rsidRPr="00BB0059">
        <w:t>Road Safety (Vehicles) Regulations 2009</w:t>
      </w:r>
      <w:r w:rsidRPr="00B238CA">
        <w:t>.</w:t>
      </w:r>
      <w:r w:rsidR="00754EF0">
        <w:t xml:space="preserve"> A full summary of all of the fees that are </w:t>
      </w:r>
      <w:r w:rsidR="00E36F29">
        <w:t xml:space="preserve">covered by </w:t>
      </w:r>
      <w:r w:rsidR="00754EF0">
        <w:t xml:space="preserve">these Regulations is included at Appendix </w:t>
      </w:r>
      <w:r w:rsidR="003E0FC9">
        <w:t>G.</w:t>
      </w:r>
    </w:p>
    <w:p w14:paraId="6822CE50" w14:textId="77777777" w:rsidR="00370DA6" w:rsidRDefault="00370DA6" w:rsidP="00370DA6">
      <w:pPr>
        <w:pStyle w:val="TextPara"/>
      </w:pPr>
    </w:p>
    <w:p w14:paraId="1A51BA04" w14:textId="77777777" w:rsidR="00370DA6" w:rsidRDefault="00370DA6" w:rsidP="00370DA6">
      <w:pPr>
        <w:pStyle w:val="TextPara"/>
        <w:sectPr w:rsidR="00370DA6" w:rsidSect="00910C49">
          <w:headerReference w:type="even" r:id="rId54"/>
          <w:headerReference w:type="default" r:id="rId55"/>
          <w:headerReference w:type="first" r:id="rId56"/>
          <w:endnotePr>
            <w:numFmt w:val="decimal"/>
          </w:endnotePr>
          <w:pgSz w:w="11906" w:h="16838" w:code="9"/>
          <w:pgMar w:top="1418" w:right="1134" w:bottom="1418" w:left="1247" w:header="567" w:footer="397" w:gutter="0"/>
          <w:cols w:space="708"/>
          <w:docGrid w:linePitch="360"/>
        </w:sectPr>
      </w:pPr>
    </w:p>
    <w:p w14:paraId="4C59F4F5" w14:textId="77777777" w:rsidR="00370DA6" w:rsidRPr="00A51F7A" w:rsidRDefault="00370DA6" w:rsidP="00370DA6">
      <w:pPr>
        <w:pStyle w:val="Heading1"/>
        <w:pageBreakBefore/>
        <w:spacing w:before="240" w:after="240"/>
      </w:pPr>
      <w:bookmarkStart w:id="608" w:name="_Toc4084197"/>
      <w:bookmarkStart w:id="609" w:name="_Toc10703480"/>
      <w:r w:rsidRPr="00A51F7A">
        <w:lastRenderedPageBreak/>
        <w:t>Cost Recovery</w:t>
      </w:r>
      <w:bookmarkEnd w:id="608"/>
      <w:bookmarkEnd w:id="609"/>
    </w:p>
    <w:p w14:paraId="32173C1D" w14:textId="77777777" w:rsidR="00370DA6" w:rsidRDefault="00370DA6" w:rsidP="00370DA6">
      <w:pPr>
        <w:pStyle w:val="Heading2"/>
        <w:spacing w:before="240" w:after="180"/>
      </w:pPr>
      <w:bookmarkStart w:id="610" w:name="_Toc4084198"/>
      <w:bookmarkStart w:id="611" w:name="_Toc10703481"/>
      <w:r>
        <w:t>Cost Recovery Principles</w:t>
      </w:r>
      <w:bookmarkEnd w:id="610"/>
      <w:bookmarkEnd w:id="611"/>
    </w:p>
    <w:p w14:paraId="4069E799" w14:textId="77777777" w:rsidR="00370DA6" w:rsidRPr="00B238CA" w:rsidRDefault="00370DA6" w:rsidP="00456127">
      <w:pPr>
        <w:pStyle w:val="TextPara"/>
      </w:pPr>
      <w:r w:rsidRPr="00B238CA">
        <w:t xml:space="preserve">The principles applied in the RIS </w:t>
      </w:r>
      <w:r w:rsidRPr="00456127">
        <w:t>are</w:t>
      </w:r>
      <w:r w:rsidRPr="00B238CA">
        <w:t xml:space="preserve"> consistent with the Department of </w:t>
      </w:r>
      <w:r>
        <w:t>Treasury and Finance (</w:t>
      </w:r>
      <w:r w:rsidRPr="00B56CCB">
        <w:rPr>
          <w:b/>
        </w:rPr>
        <w:t>DTF</w:t>
      </w:r>
      <w:r>
        <w:t>) Cost</w:t>
      </w:r>
      <w:r w:rsidRPr="00B238CA">
        <w:t xml:space="preserve"> Recovery guidelines.</w:t>
      </w:r>
      <w:r>
        <w:rPr>
          <w:rStyle w:val="EndnoteReference"/>
        </w:rPr>
        <w:endnoteReference w:id="400"/>
      </w:r>
      <w:r w:rsidRPr="00B238CA">
        <w:t xml:space="preserve"> </w:t>
      </w:r>
      <w:r>
        <w:t xml:space="preserve">Under these guidelines </w:t>
      </w:r>
      <w:r w:rsidRPr="00B238CA">
        <w:t>Government entities</w:t>
      </w:r>
      <w:r>
        <w:t xml:space="preserve"> should </w:t>
      </w:r>
      <w:r w:rsidRPr="00B238CA">
        <w:t xml:space="preserve">aim to recover the full </w:t>
      </w:r>
      <w:r w:rsidRPr="00456127">
        <w:t>costs of delivering services to promote the efficient consumption of the various services provided by the entity</w:t>
      </w:r>
      <w:r>
        <w:t>.</w:t>
      </w:r>
    </w:p>
    <w:p w14:paraId="39E6A1DD" w14:textId="592BA9F5" w:rsidR="00370DA6" w:rsidRPr="00B238CA" w:rsidRDefault="002329D1" w:rsidP="00456127">
      <w:pPr>
        <w:pStyle w:val="TextPara"/>
      </w:pPr>
      <w:r>
        <w:t>DoT’s objectives</w:t>
      </w:r>
      <w:r w:rsidR="00370DA6" w:rsidRPr="00B238CA">
        <w:t xml:space="preserve"> for the services provided and the fees charged for those services are</w:t>
      </w:r>
      <w:r w:rsidR="00370DA6">
        <w:t>:</w:t>
      </w:r>
      <w:r w:rsidR="00370DA6" w:rsidRPr="00B238CA">
        <w:t xml:space="preserve"> </w:t>
      </w:r>
      <w:r w:rsidR="00370DA6" w:rsidRPr="00B238CA">
        <w:rPr>
          <w:b/>
        </w:rPr>
        <w:t>operational efficiency</w:t>
      </w:r>
      <w:r w:rsidR="00370DA6" w:rsidRPr="00B238CA">
        <w:t xml:space="preserve">, </w:t>
      </w:r>
      <w:r w:rsidR="00370DA6" w:rsidRPr="00B238CA">
        <w:rPr>
          <w:b/>
        </w:rPr>
        <w:t>equity</w:t>
      </w:r>
      <w:r w:rsidR="00370DA6" w:rsidRPr="00B238CA">
        <w:t xml:space="preserve">, </w:t>
      </w:r>
      <w:r w:rsidR="00370DA6" w:rsidRPr="00B238CA">
        <w:rPr>
          <w:b/>
        </w:rPr>
        <w:t>simplicity</w:t>
      </w:r>
      <w:r w:rsidR="00370DA6" w:rsidRPr="00B238CA">
        <w:t xml:space="preserve">, and </w:t>
      </w:r>
      <w:r w:rsidR="00370DA6">
        <w:t>en</w:t>
      </w:r>
      <w:r w:rsidR="00370DA6" w:rsidRPr="00B238CA">
        <w:t xml:space="preserve">couraging </w:t>
      </w:r>
      <w:r w:rsidR="00370DA6" w:rsidRPr="00B238CA">
        <w:rPr>
          <w:b/>
        </w:rPr>
        <w:t>customer behaviours</w:t>
      </w:r>
      <w:r w:rsidR="00370DA6" w:rsidRPr="00B238CA">
        <w:t xml:space="preserve"> which are conducive to cost and road safety objectives.</w:t>
      </w:r>
      <w:r w:rsidR="00370DA6" w:rsidRPr="00860D12">
        <w:t xml:space="preserve"> </w:t>
      </w:r>
      <w:r w:rsidR="00370DA6">
        <w:t>At times, these principles present com</w:t>
      </w:r>
      <w:r w:rsidR="00370DA6" w:rsidRPr="00B238CA">
        <w:t xml:space="preserve">peting </w:t>
      </w:r>
      <w:r w:rsidR="00370DA6" w:rsidRPr="00456127">
        <w:t>rationales</w:t>
      </w:r>
      <w:r w:rsidR="00370DA6">
        <w:t xml:space="preserve"> that require</w:t>
      </w:r>
      <w:r w:rsidR="00370DA6" w:rsidRPr="00B238CA">
        <w:t xml:space="preserve"> balanc</w:t>
      </w:r>
      <w:r w:rsidR="00370DA6">
        <w:t>ing.</w:t>
      </w:r>
    </w:p>
    <w:p w14:paraId="5FDC677C" w14:textId="77777777" w:rsidR="00370DA6" w:rsidRPr="00456127" w:rsidRDefault="00370DA6">
      <w:pPr>
        <w:pStyle w:val="NoSpacing"/>
      </w:pPr>
      <w:r w:rsidRPr="00456127">
        <w:t>Operational Efficiency</w:t>
      </w:r>
    </w:p>
    <w:p w14:paraId="257AF5D6" w14:textId="77777777" w:rsidR="00370DA6" w:rsidRPr="00B238CA" w:rsidRDefault="00370DA6" w:rsidP="00370DA6">
      <w:pPr>
        <w:pStyle w:val="Bullet1-Black"/>
        <w:numPr>
          <w:ilvl w:val="0"/>
          <w:numId w:val="0"/>
        </w:numPr>
        <w:ind w:left="27"/>
      </w:pPr>
      <w:r w:rsidRPr="00B238CA">
        <w:t xml:space="preserve">Government entities </w:t>
      </w:r>
      <w:r w:rsidRPr="00456127">
        <w:t>should</w:t>
      </w:r>
      <w:r w:rsidRPr="00B238CA">
        <w:t>:</w:t>
      </w:r>
    </w:p>
    <w:p w14:paraId="7935DAE5" w14:textId="77777777" w:rsidR="00370DA6" w:rsidRPr="00456127" w:rsidRDefault="00370DA6" w:rsidP="00370DA6">
      <w:pPr>
        <w:pStyle w:val="Bullet1-Black"/>
      </w:pPr>
      <w:r w:rsidRPr="00456127">
        <w:t>ensure that services are delivered efficiently</w:t>
      </w:r>
    </w:p>
    <w:p w14:paraId="221B8053" w14:textId="77777777" w:rsidR="00370DA6" w:rsidRPr="00B238CA" w:rsidRDefault="00370DA6" w:rsidP="00370DA6">
      <w:pPr>
        <w:pStyle w:val="Bullet1-Black"/>
      </w:pPr>
      <w:r w:rsidRPr="00456127">
        <w:t>ensure sustainable usage of</w:t>
      </w:r>
      <w:r w:rsidRPr="00B238CA">
        <w:t xml:space="preserve"> public services.</w:t>
      </w:r>
    </w:p>
    <w:p w14:paraId="1416B0D2" w14:textId="77777777" w:rsidR="00370DA6" w:rsidRPr="00B238CA" w:rsidRDefault="00370DA6" w:rsidP="00370DA6">
      <w:pPr>
        <w:pStyle w:val="Bullet1-Black"/>
        <w:numPr>
          <w:ilvl w:val="0"/>
          <w:numId w:val="0"/>
        </w:numPr>
        <w:ind w:left="27"/>
      </w:pPr>
      <w:r>
        <w:br/>
      </w:r>
      <w:r w:rsidRPr="00B238CA">
        <w:t>The public should:</w:t>
      </w:r>
    </w:p>
    <w:p w14:paraId="458A1266" w14:textId="63E7A210" w:rsidR="00370DA6" w:rsidRPr="00B238CA" w:rsidRDefault="00370DA6" w:rsidP="00370DA6">
      <w:pPr>
        <w:pStyle w:val="Bullet1-Black"/>
      </w:pPr>
      <w:r w:rsidRPr="00B238CA">
        <w:t xml:space="preserve">share in the private value that is created through public service provision. </w:t>
      </w:r>
    </w:p>
    <w:p w14:paraId="5CF0B00A" w14:textId="77777777" w:rsidR="00370DA6" w:rsidRPr="00B238CA" w:rsidRDefault="00370DA6" w:rsidP="00370DA6">
      <w:pPr>
        <w:pStyle w:val="Bullet1-Black"/>
      </w:pPr>
      <w:r w:rsidRPr="00B238CA">
        <w:t>not be burdened with the costs associated with poorly executed or controlled services.</w:t>
      </w:r>
    </w:p>
    <w:p w14:paraId="189E596F" w14:textId="77777777" w:rsidR="00370DA6" w:rsidRPr="009D2538" w:rsidRDefault="00370DA6">
      <w:pPr>
        <w:pStyle w:val="NoSpacing"/>
      </w:pPr>
      <w:r w:rsidRPr="009D2538">
        <w:t>Equity</w:t>
      </w:r>
    </w:p>
    <w:p w14:paraId="0DD9BD16" w14:textId="77777777" w:rsidR="00370DA6" w:rsidRPr="00B238CA" w:rsidRDefault="00370DA6" w:rsidP="00370DA6">
      <w:pPr>
        <w:pStyle w:val="Bullet1-Black"/>
        <w:numPr>
          <w:ilvl w:val="0"/>
          <w:numId w:val="0"/>
        </w:numPr>
        <w:ind w:left="27"/>
      </w:pPr>
      <w:r w:rsidRPr="00B238CA">
        <w:t>The price of a service should:</w:t>
      </w:r>
    </w:p>
    <w:p w14:paraId="7537AC96" w14:textId="77777777" w:rsidR="00370DA6" w:rsidRPr="00B238CA" w:rsidRDefault="00370DA6" w:rsidP="00370DA6">
      <w:pPr>
        <w:pStyle w:val="Bullet1-Black"/>
      </w:pPr>
      <w:r w:rsidRPr="00B238CA">
        <w:t>not limit access to those with a more limited ability to pay</w:t>
      </w:r>
    </w:p>
    <w:p w14:paraId="73E4EE26" w14:textId="77777777" w:rsidR="00370DA6" w:rsidRPr="00B238CA" w:rsidRDefault="00370DA6" w:rsidP="00370DA6">
      <w:pPr>
        <w:pStyle w:val="Bullet1-Black"/>
      </w:pPr>
      <w:r w:rsidRPr="00B238CA">
        <w:t>be relative to the private sector where the service is in competition with that sector</w:t>
      </w:r>
    </w:p>
    <w:p w14:paraId="30912B28" w14:textId="77777777" w:rsidR="00370DA6" w:rsidRPr="00B238CA" w:rsidRDefault="00370DA6" w:rsidP="00370DA6">
      <w:pPr>
        <w:pStyle w:val="Bullet1-Black"/>
      </w:pPr>
      <w:r w:rsidRPr="00B238CA">
        <w:t xml:space="preserve">ensure that where </w:t>
      </w:r>
      <w:r>
        <w:t>i</w:t>
      </w:r>
      <w:r w:rsidRPr="00B238CA">
        <w:t xml:space="preserve">nter-agency services generate </w:t>
      </w:r>
      <w:r>
        <w:t>benefits</w:t>
      </w:r>
      <w:r w:rsidRPr="00B238CA">
        <w:t xml:space="preserve"> for other agencies, the cost should be borne by that agency</w:t>
      </w:r>
    </w:p>
    <w:p w14:paraId="4C31610B" w14:textId="77777777" w:rsidR="00370DA6" w:rsidRPr="00B238CA" w:rsidRDefault="00370DA6" w:rsidP="00370DA6">
      <w:pPr>
        <w:pStyle w:val="Bullet1-Black"/>
      </w:pPr>
      <w:r w:rsidRPr="00B238CA">
        <w:t>be priced to ensure maximum accessibility where the services create broad community benefits.</w:t>
      </w:r>
    </w:p>
    <w:p w14:paraId="1D64AFBA" w14:textId="77777777" w:rsidR="00370DA6" w:rsidRPr="00B238CA" w:rsidRDefault="00370DA6" w:rsidP="00370DA6">
      <w:pPr>
        <w:pStyle w:val="Bullet1-Black"/>
        <w:numPr>
          <w:ilvl w:val="0"/>
          <w:numId w:val="0"/>
        </w:numPr>
        <w:ind w:left="27"/>
      </w:pPr>
      <w:r>
        <w:br/>
      </w:r>
      <w:r w:rsidRPr="00B238CA">
        <w:t xml:space="preserve">Users who </w:t>
      </w:r>
      <w:r w:rsidRPr="00456127">
        <w:t>benefit</w:t>
      </w:r>
      <w:r w:rsidRPr="00B238CA">
        <w:t>:</w:t>
      </w:r>
    </w:p>
    <w:p w14:paraId="3AB6260C" w14:textId="77777777" w:rsidR="00370DA6" w:rsidRPr="00B238CA" w:rsidRDefault="00370DA6" w:rsidP="00370DA6">
      <w:pPr>
        <w:pStyle w:val="Bullet1-Black"/>
      </w:pPr>
      <w:r w:rsidRPr="00B238CA">
        <w:t>from the service should bear the cost of service provision</w:t>
      </w:r>
    </w:p>
    <w:p w14:paraId="78DE6C07" w14:textId="77777777" w:rsidR="00370DA6" w:rsidRDefault="00370DA6" w:rsidP="00370DA6">
      <w:pPr>
        <w:pStyle w:val="Bullet1-Black"/>
      </w:pPr>
      <w:r w:rsidRPr="00B238CA">
        <w:t>from service differentiation should pay for the differentiated service.</w:t>
      </w:r>
    </w:p>
    <w:p w14:paraId="355959E9" w14:textId="77777777" w:rsidR="00370DA6" w:rsidRPr="009D2538" w:rsidRDefault="00370DA6">
      <w:pPr>
        <w:pStyle w:val="NoSpacing"/>
      </w:pPr>
      <w:r w:rsidRPr="009D2538">
        <w:t>Simplicity</w:t>
      </w:r>
    </w:p>
    <w:p w14:paraId="3FDB125E" w14:textId="77777777" w:rsidR="00370DA6" w:rsidRPr="00B238CA" w:rsidRDefault="00370DA6" w:rsidP="00370DA6">
      <w:pPr>
        <w:pStyle w:val="Bullet1-Black"/>
        <w:numPr>
          <w:ilvl w:val="0"/>
          <w:numId w:val="0"/>
        </w:numPr>
        <w:ind w:left="27"/>
      </w:pPr>
      <w:r w:rsidRPr="00B238CA">
        <w:t xml:space="preserve">Pricing </w:t>
      </w:r>
      <w:r w:rsidRPr="00456127">
        <w:t>structures</w:t>
      </w:r>
      <w:r w:rsidRPr="00B238CA">
        <w:t xml:space="preserve"> should be easy to understand and simple to administer. Fees should:</w:t>
      </w:r>
    </w:p>
    <w:p w14:paraId="525C6801" w14:textId="77777777" w:rsidR="00370DA6" w:rsidRPr="00B238CA" w:rsidRDefault="00370DA6" w:rsidP="00370DA6">
      <w:pPr>
        <w:pStyle w:val="Bullet1-Black"/>
      </w:pPr>
      <w:r w:rsidRPr="00B238CA">
        <w:t>not be subjected to frequent fluctuations (other than to reflect CPI related increases)</w:t>
      </w:r>
    </w:p>
    <w:p w14:paraId="3E0ECF9F" w14:textId="77777777" w:rsidR="00370DA6" w:rsidRPr="00EA01D9" w:rsidRDefault="00370DA6" w:rsidP="00370DA6">
      <w:pPr>
        <w:pStyle w:val="Bullet1-Black"/>
      </w:pPr>
      <w:r w:rsidRPr="00EA01D9">
        <w:t>only be charged if it can be collected economically and efficiently.</w:t>
      </w:r>
    </w:p>
    <w:p w14:paraId="593FD7C2" w14:textId="77777777" w:rsidR="00370DA6" w:rsidRPr="009D2538" w:rsidRDefault="00370DA6">
      <w:pPr>
        <w:pStyle w:val="NoSpacing"/>
      </w:pPr>
      <w:r w:rsidRPr="009D2538">
        <w:t>Customer Behaviours</w:t>
      </w:r>
    </w:p>
    <w:p w14:paraId="014514E2" w14:textId="77777777" w:rsidR="00370DA6" w:rsidRPr="00B238CA" w:rsidRDefault="00370DA6" w:rsidP="00370DA6">
      <w:pPr>
        <w:pStyle w:val="Bullet1-Black"/>
        <w:numPr>
          <w:ilvl w:val="0"/>
          <w:numId w:val="0"/>
        </w:numPr>
        <w:ind w:left="27"/>
      </w:pPr>
      <w:r w:rsidRPr="00B238CA">
        <w:t>Pricing should:</w:t>
      </w:r>
    </w:p>
    <w:p w14:paraId="523EC8B0" w14:textId="6FA0D35C" w:rsidR="00370DA6" w:rsidRPr="00B238CA" w:rsidRDefault="00370DA6" w:rsidP="00370DA6">
      <w:pPr>
        <w:pStyle w:val="Bullet1-Black"/>
      </w:pPr>
      <w:r>
        <w:t>e</w:t>
      </w:r>
      <w:r w:rsidRPr="00B238CA">
        <w:t>ncourage positive behaviours conducive to road safety and the efficient use of resources. A charge for a service should be set at a level that enables consumers to value the service and avoid frivolous use habits</w:t>
      </w:r>
      <w:r w:rsidR="00FA570F">
        <w:t>.</w:t>
      </w:r>
    </w:p>
    <w:p w14:paraId="4DA5F6AF" w14:textId="2215A82C" w:rsidR="00370DA6" w:rsidRPr="00B238CA" w:rsidRDefault="00370DA6" w:rsidP="00370DA6">
      <w:pPr>
        <w:pStyle w:val="Bullet1-Black"/>
      </w:pPr>
      <w:r w:rsidRPr="00B238CA">
        <w:t>not dissuade customers from undertaking desired activities.</w:t>
      </w:r>
    </w:p>
    <w:p w14:paraId="72F56858" w14:textId="77777777" w:rsidR="00370DA6" w:rsidRPr="00B238CA" w:rsidRDefault="00370DA6" w:rsidP="00370DA6">
      <w:pPr>
        <w:pStyle w:val="Heading2"/>
        <w:spacing w:before="240" w:after="180"/>
      </w:pPr>
      <w:bookmarkStart w:id="612" w:name="_Toc4084199"/>
      <w:bookmarkStart w:id="613" w:name="_Toc10703482"/>
      <w:r w:rsidRPr="00B238CA">
        <w:lastRenderedPageBreak/>
        <w:t>Cost Recovery Options</w:t>
      </w:r>
      <w:bookmarkEnd w:id="612"/>
      <w:bookmarkEnd w:id="613"/>
      <w:r w:rsidRPr="00B238CA">
        <w:t xml:space="preserve"> </w:t>
      </w:r>
    </w:p>
    <w:p w14:paraId="4BB0F0D4" w14:textId="77777777" w:rsidR="00370DA6" w:rsidRPr="00B238CA" w:rsidRDefault="00370DA6" w:rsidP="00456127">
      <w:pPr>
        <w:pStyle w:val="TextPara"/>
      </w:pPr>
      <w:r w:rsidRPr="00B238CA">
        <w:t xml:space="preserve">There are three broad options for cost recovery </w:t>
      </w:r>
      <w:r>
        <w:t>–</w:t>
      </w:r>
      <w:r w:rsidRPr="00B238CA">
        <w:t xml:space="preserve"> no </w:t>
      </w:r>
      <w:r w:rsidRPr="00456127">
        <w:t>recovery</w:t>
      </w:r>
      <w:r w:rsidRPr="00B238CA">
        <w:t>, partial recovery and full recovery.</w:t>
      </w:r>
    </w:p>
    <w:p w14:paraId="5E13CE67" w14:textId="77777777" w:rsidR="00370DA6" w:rsidRPr="00690EBF" w:rsidRDefault="00370DA6">
      <w:pPr>
        <w:pStyle w:val="NoSpacing"/>
      </w:pPr>
      <w:r>
        <w:t>No Cost R</w:t>
      </w:r>
      <w:r w:rsidRPr="00690EBF">
        <w:t>ecovery</w:t>
      </w:r>
    </w:p>
    <w:p w14:paraId="38E23A02" w14:textId="77777777" w:rsidR="00370DA6" w:rsidRPr="00B238CA" w:rsidRDefault="00370DA6" w:rsidP="00F07544">
      <w:pPr>
        <w:pStyle w:val="TextPara"/>
        <w:spacing w:before="0" w:line="276" w:lineRule="auto"/>
        <w:rPr>
          <w:rFonts w:cs="Segoe UI"/>
          <w:szCs w:val="20"/>
        </w:rPr>
      </w:pPr>
      <w:r w:rsidRPr="00B238CA">
        <w:rPr>
          <w:rFonts w:cs="Segoe UI"/>
          <w:szCs w:val="20"/>
        </w:rPr>
        <w:t>Without cost recovery, there would be a greater need for government appropriations to fund VicRoads operations. These additional appropriations would be sourced from general revenues, which are funded by the entire tax paying community. Thus, no cost recovery means that all tax payers would subsidise the individuals who are consuming the services provided.</w:t>
      </w:r>
    </w:p>
    <w:p w14:paraId="59D82A7A" w14:textId="77777777" w:rsidR="00370DA6" w:rsidRPr="00B238CA" w:rsidRDefault="00370DA6" w:rsidP="00F07544">
      <w:pPr>
        <w:pStyle w:val="TextPara"/>
        <w:spacing w:before="0" w:line="276" w:lineRule="auto"/>
        <w:rPr>
          <w:rFonts w:cs="Segoe UI"/>
          <w:szCs w:val="20"/>
        </w:rPr>
      </w:pPr>
      <w:r w:rsidRPr="00B238CA">
        <w:rPr>
          <w:rFonts w:cs="Segoe UI"/>
          <w:szCs w:val="20"/>
        </w:rPr>
        <w:t xml:space="preserve">Furthermore, providing any service free of charge may result in customer behaviours which diminish the value of the service to the customer, create excessive demand, and result in greater delivery costs. Such behaviours would compromise the efficient delivery of services. </w:t>
      </w:r>
    </w:p>
    <w:p w14:paraId="54E27CA9" w14:textId="713CD467" w:rsidR="00370DA6" w:rsidRPr="00B238CA" w:rsidRDefault="00370DA6" w:rsidP="00F07544">
      <w:pPr>
        <w:pStyle w:val="TextPara"/>
        <w:spacing w:before="0" w:line="276" w:lineRule="auto"/>
        <w:rPr>
          <w:rFonts w:cs="Segoe UI"/>
          <w:szCs w:val="20"/>
        </w:rPr>
      </w:pPr>
      <w:r w:rsidRPr="00B238CA">
        <w:rPr>
          <w:rFonts w:cs="Segoe UI"/>
          <w:szCs w:val="20"/>
        </w:rPr>
        <w:t>In a situation where charging a fee for a service encourage</w:t>
      </w:r>
      <w:r w:rsidR="00954158">
        <w:rPr>
          <w:rFonts w:cs="Segoe UI"/>
          <w:szCs w:val="20"/>
        </w:rPr>
        <w:t>s</w:t>
      </w:r>
      <w:r w:rsidRPr="00B238CA">
        <w:rPr>
          <w:rFonts w:cs="Segoe UI"/>
          <w:szCs w:val="20"/>
        </w:rPr>
        <w:t xml:space="preserve"> undesirable customer behaviours, or where the fee may be perceived to be onerous, or frivolous, it may be reasonable to not prescribe a fee.</w:t>
      </w:r>
    </w:p>
    <w:p w14:paraId="0FD54048" w14:textId="77777777" w:rsidR="00370DA6" w:rsidRPr="00B238CA" w:rsidRDefault="00370DA6" w:rsidP="00EA01D9">
      <w:pPr>
        <w:pStyle w:val="TextPara"/>
        <w:spacing w:before="0" w:line="276" w:lineRule="auto"/>
        <w:rPr>
          <w:rFonts w:cs="Segoe UI"/>
          <w:szCs w:val="20"/>
        </w:rPr>
      </w:pPr>
      <w:r w:rsidRPr="00B238CA">
        <w:rPr>
          <w:rFonts w:cs="Segoe UI"/>
          <w:szCs w:val="20"/>
        </w:rPr>
        <w:t xml:space="preserve">Examples where charging a fee </w:t>
      </w:r>
      <w:r>
        <w:rPr>
          <w:rFonts w:cs="Segoe UI"/>
          <w:szCs w:val="20"/>
        </w:rPr>
        <w:t>may</w:t>
      </w:r>
      <w:r w:rsidRPr="00B238CA">
        <w:rPr>
          <w:rFonts w:cs="Segoe UI"/>
          <w:szCs w:val="20"/>
        </w:rPr>
        <w:t xml:space="preserve"> not </w:t>
      </w:r>
      <w:r>
        <w:rPr>
          <w:rFonts w:cs="Segoe UI"/>
          <w:szCs w:val="20"/>
        </w:rPr>
        <w:t xml:space="preserve">be </w:t>
      </w:r>
      <w:r w:rsidRPr="00B238CA">
        <w:rPr>
          <w:rFonts w:cs="Segoe UI"/>
          <w:szCs w:val="20"/>
        </w:rPr>
        <w:t>warranted would be:</w:t>
      </w:r>
    </w:p>
    <w:tbl>
      <w:tblPr>
        <w:tblStyle w:val="TableGrid"/>
        <w:tblW w:w="9356"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2586"/>
        <w:gridCol w:w="6770"/>
      </w:tblGrid>
      <w:tr w:rsidR="00370DA6" w:rsidRPr="009C2218" w14:paraId="6C87ACD5" w14:textId="77777777" w:rsidTr="00B24AF0">
        <w:tc>
          <w:tcPr>
            <w:tcW w:w="2586" w:type="dxa"/>
          </w:tcPr>
          <w:p w14:paraId="030FB851" w14:textId="77777777" w:rsidR="00370DA6" w:rsidRPr="00456127" w:rsidRDefault="00370DA6" w:rsidP="00456127">
            <w:pPr>
              <w:pStyle w:val="TableParagraph"/>
              <w:rPr>
                <w:i/>
                <w:szCs w:val="18"/>
              </w:rPr>
            </w:pPr>
            <w:r w:rsidRPr="00456127">
              <w:rPr>
                <w:i/>
              </w:rPr>
              <w:t xml:space="preserve">Medical </w:t>
            </w:r>
            <w:r>
              <w:rPr>
                <w:i/>
              </w:rPr>
              <w:t xml:space="preserve">fitness-to-drive </w:t>
            </w:r>
            <w:r w:rsidRPr="00456127">
              <w:rPr>
                <w:i/>
              </w:rPr>
              <w:t>review administration</w:t>
            </w:r>
          </w:p>
        </w:tc>
        <w:tc>
          <w:tcPr>
            <w:tcW w:w="6770" w:type="dxa"/>
          </w:tcPr>
          <w:p w14:paraId="0D1EAAB5" w14:textId="32951AB3" w:rsidR="00370DA6" w:rsidRPr="009C2218" w:rsidRDefault="00954158" w:rsidP="00456127">
            <w:pPr>
              <w:pStyle w:val="TableParagraph"/>
              <w:rPr>
                <w:szCs w:val="18"/>
              </w:rPr>
            </w:pPr>
            <w:r>
              <w:t>If a</w:t>
            </w:r>
            <w:r w:rsidR="00370DA6">
              <w:t>ny fee m</w:t>
            </w:r>
            <w:r>
              <w:t>ight</w:t>
            </w:r>
            <w:r w:rsidR="00370DA6">
              <w:t xml:space="preserve"> dissuade people from self-reporting and, as a result, compromise road safety outcomes.</w:t>
            </w:r>
          </w:p>
        </w:tc>
      </w:tr>
      <w:tr w:rsidR="00370DA6" w:rsidRPr="009C2218" w14:paraId="649DC89C" w14:textId="77777777" w:rsidTr="00B24AF0">
        <w:tc>
          <w:tcPr>
            <w:tcW w:w="2586" w:type="dxa"/>
          </w:tcPr>
          <w:p w14:paraId="2BFE585D" w14:textId="77777777" w:rsidR="00370DA6" w:rsidRPr="00456127" w:rsidRDefault="00370DA6" w:rsidP="00456127">
            <w:pPr>
              <w:pStyle w:val="TableParagraph"/>
              <w:rPr>
                <w:i/>
                <w:szCs w:val="18"/>
              </w:rPr>
            </w:pPr>
            <w:r w:rsidRPr="00456127">
              <w:rPr>
                <w:i/>
              </w:rPr>
              <w:t>Name and address change administration</w:t>
            </w:r>
          </w:p>
        </w:tc>
        <w:tc>
          <w:tcPr>
            <w:tcW w:w="6770" w:type="dxa"/>
          </w:tcPr>
          <w:p w14:paraId="5790AF31" w14:textId="51FD33DC" w:rsidR="00370DA6" w:rsidRPr="009C2218" w:rsidRDefault="00954158" w:rsidP="00456127">
            <w:pPr>
              <w:pStyle w:val="TableParagraph"/>
              <w:rPr>
                <w:szCs w:val="18"/>
              </w:rPr>
            </w:pPr>
            <w:r>
              <w:rPr>
                <w:rFonts w:cs="Segoe UI"/>
              </w:rPr>
              <w:t>If a</w:t>
            </w:r>
            <w:r w:rsidR="00370DA6">
              <w:rPr>
                <w:rFonts w:cs="Segoe UI"/>
              </w:rPr>
              <w:t>ny fee m</w:t>
            </w:r>
            <w:r>
              <w:rPr>
                <w:rFonts w:cs="Segoe UI"/>
              </w:rPr>
              <w:t>ight</w:t>
            </w:r>
            <w:r w:rsidR="00370DA6">
              <w:rPr>
                <w:rFonts w:cs="Segoe UI"/>
              </w:rPr>
              <w:t xml:space="preserve"> discourage customers from updating records</w:t>
            </w:r>
            <w:r>
              <w:rPr>
                <w:rFonts w:cs="Segoe UI"/>
              </w:rPr>
              <w:t>, which</w:t>
            </w:r>
            <w:r w:rsidR="00370DA6">
              <w:rPr>
                <w:rFonts w:cs="Segoe UI"/>
              </w:rPr>
              <w:t xml:space="preserve"> would have a detrimental impact on VicRoads</w:t>
            </w:r>
            <w:r>
              <w:rPr>
                <w:rFonts w:cs="Segoe UI"/>
              </w:rPr>
              <w:t>’</w:t>
            </w:r>
            <w:r w:rsidR="00370DA6">
              <w:rPr>
                <w:rFonts w:cs="Segoe UI"/>
              </w:rPr>
              <w:t xml:space="preserve"> ability to communicate notices, sanctions, and other communications/instructions.</w:t>
            </w:r>
          </w:p>
        </w:tc>
      </w:tr>
      <w:tr w:rsidR="00370DA6" w:rsidRPr="009C2218" w14:paraId="00DACD8E" w14:textId="77777777" w:rsidTr="00B24AF0">
        <w:tc>
          <w:tcPr>
            <w:tcW w:w="2586" w:type="dxa"/>
          </w:tcPr>
          <w:p w14:paraId="1425F266" w14:textId="77777777" w:rsidR="00370DA6" w:rsidRPr="00456127" w:rsidRDefault="00370DA6" w:rsidP="00456127">
            <w:pPr>
              <w:pStyle w:val="TableParagraph"/>
              <w:rPr>
                <w:i/>
              </w:rPr>
            </w:pPr>
            <w:r w:rsidRPr="00456127">
              <w:rPr>
                <w:i/>
              </w:rPr>
              <w:t>General Enquiries</w:t>
            </w:r>
          </w:p>
        </w:tc>
        <w:tc>
          <w:tcPr>
            <w:tcW w:w="6770" w:type="dxa"/>
          </w:tcPr>
          <w:p w14:paraId="0ED0F1D9" w14:textId="0C4CE09C" w:rsidR="00370DA6" w:rsidRDefault="00954158" w:rsidP="00456127">
            <w:pPr>
              <w:pStyle w:val="TableParagraph"/>
            </w:pPr>
            <w:r>
              <w:t>If a</w:t>
            </w:r>
            <w:r w:rsidR="00370DA6">
              <w:t>ny fee m</w:t>
            </w:r>
            <w:r>
              <w:t>ight</w:t>
            </w:r>
            <w:r w:rsidR="00370DA6">
              <w:t xml:space="preserve"> discourage customers from seeking advice or information (e.g. demerit point status, sanction status, licence expiry) and as such limit the understanding of both their rights and obligations.</w:t>
            </w:r>
            <w:r>
              <w:t xml:space="preserve"> (Charging such a fee might also be administratively difficult.) </w:t>
            </w:r>
          </w:p>
        </w:tc>
      </w:tr>
    </w:tbl>
    <w:p w14:paraId="650C6B25" w14:textId="77777777" w:rsidR="00370DA6" w:rsidRDefault="00370DA6" w:rsidP="00F07544">
      <w:pPr>
        <w:pStyle w:val="TextPara"/>
        <w:spacing w:before="0" w:line="276" w:lineRule="auto"/>
        <w:rPr>
          <w:rFonts w:cs="Segoe UI"/>
          <w:szCs w:val="20"/>
        </w:rPr>
      </w:pPr>
    </w:p>
    <w:p w14:paraId="28774AE1" w14:textId="77777777" w:rsidR="00370DA6" w:rsidRPr="009D2538" w:rsidRDefault="00370DA6">
      <w:pPr>
        <w:pStyle w:val="NoSpacing"/>
      </w:pPr>
      <w:r w:rsidRPr="009D2538">
        <w:t xml:space="preserve">Partial Cost </w:t>
      </w:r>
      <w:r>
        <w:t>R</w:t>
      </w:r>
      <w:r w:rsidRPr="009D2538">
        <w:t>ecovery</w:t>
      </w:r>
    </w:p>
    <w:p w14:paraId="59E105C2" w14:textId="7B4C41BB" w:rsidR="007C7567" w:rsidRDefault="00370DA6" w:rsidP="00456127">
      <w:pPr>
        <w:pStyle w:val="TextPara"/>
      </w:pPr>
      <w:r w:rsidRPr="00B238CA">
        <w:t xml:space="preserve">Partial cost recovery raises the same issues identified for the no recovery option, albeit to a lesser degree. </w:t>
      </w:r>
      <w:r w:rsidR="007C7567">
        <w:t xml:space="preserve">Partial cost recovery may be appropriate for a variety of reasons, including affordability and social justice reasons, to encourage use or access to services, </w:t>
      </w:r>
      <w:r w:rsidR="00564006">
        <w:t xml:space="preserve">because doing so would harm other policy objectives </w:t>
      </w:r>
      <w:r w:rsidR="007C7567">
        <w:t>or because benefits of the service are primarily public rather than private.</w:t>
      </w:r>
    </w:p>
    <w:p w14:paraId="03804FEA" w14:textId="37C4B06C" w:rsidR="00370DA6" w:rsidRPr="00B238CA" w:rsidRDefault="007C7567" w:rsidP="00456127">
      <w:pPr>
        <w:pStyle w:val="TextPara"/>
      </w:pPr>
      <w:r>
        <w:t>For example, t</w:t>
      </w:r>
      <w:r w:rsidR="00370DA6" w:rsidRPr="00B238CA">
        <w:t xml:space="preserve">o meet affordability and </w:t>
      </w:r>
      <w:r w:rsidR="00370DA6" w:rsidRPr="00456127">
        <w:t>social</w:t>
      </w:r>
      <w:r w:rsidR="00370DA6" w:rsidRPr="00B238CA">
        <w:t xml:space="preserve"> justice challenges, fee concessions for disadvantaged persons would result in partial recovery</w:t>
      </w:r>
      <w:r w:rsidR="00370DA6">
        <w:t>,</w:t>
      </w:r>
      <w:r w:rsidR="00370DA6" w:rsidRPr="00B238CA">
        <w:t xml:space="preserve"> leaving the government to fund the unrecovered costs to maintain the services.</w:t>
      </w:r>
    </w:p>
    <w:p w14:paraId="6C8683FF" w14:textId="77777777" w:rsidR="00370DA6" w:rsidRPr="00B238CA" w:rsidRDefault="00370DA6" w:rsidP="00456127">
      <w:pPr>
        <w:pStyle w:val="TextPara"/>
      </w:pPr>
      <w:r w:rsidRPr="00B238CA">
        <w:t xml:space="preserve">The application of concession </w:t>
      </w:r>
      <w:r w:rsidRPr="00456127">
        <w:t>entitlements</w:t>
      </w:r>
      <w:r w:rsidRPr="00B238CA">
        <w:t xml:space="preserve"> or the means-testing of fees adds a level of administrative costs when seeking to manage entitlement and facilitate billing and fee collection. Concessions could be justified where the amount or frequency of the fee were to create affordability concerns for low income households.</w:t>
      </w:r>
    </w:p>
    <w:p w14:paraId="7F82AC1E" w14:textId="77777777" w:rsidR="00370DA6" w:rsidRDefault="00370DA6" w:rsidP="00456127">
      <w:pPr>
        <w:pStyle w:val="TextPara"/>
      </w:pPr>
      <w:r w:rsidRPr="00B238CA">
        <w:t xml:space="preserve">If service recipients not entitled to concessions do not absorb the shortfall, the government will be required to fund the shortfall to maintain the </w:t>
      </w:r>
      <w:r w:rsidRPr="00456127">
        <w:t>same</w:t>
      </w:r>
      <w:r w:rsidRPr="00B238CA">
        <w:t xml:space="preserve"> level of service and fees. Where recipients</w:t>
      </w:r>
      <w:r>
        <w:t>,</w:t>
      </w:r>
      <w:r w:rsidRPr="00B238CA">
        <w:t xml:space="preserve"> </w:t>
      </w:r>
      <w:r>
        <w:t xml:space="preserve">who are not </w:t>
      </w:r>
      <w:r w:rsidRPr="00B238CA">
        <w:t xml:space="preserve">entitled </w:t>
      </w:r>
      <w:r>
        <w:t xml:space="preserve">to </w:t>
      </w:r>
      <w:r w:rsidRPr="00B238CA">
        <w:t>concession</w:t>
      </w:r>
      <w:r>
        <w:t>s,</w:t>
      </w:r>
      <w:r w:rsidRPr="00B238CA">
        <w:t xml:space="preserve"> absorb part </w:t>
      </w:r>
      <w:r>
        <w:t xml:space="preserve">of, </w:t>
      </w:r>
      <w:r w:rsidRPr="00B238CA">
        <w:t>or all</w:t>
      </w:r>
      <w:r>
        <w:t xml:space="preserve"> </w:t>
      </w:r>
      <w:r w:rsidRPr="00B238CA">
        <w:t>the shortfall, equity concerns would need to be addressed.</w:t>
      </w:r>
    </w:p>
    <w:p w14:paraId="5311FD0C" w14:textId="77777777" w:rsidR="00370DA6" w:rsidRPr="009D2538" w:rsidRDefault="00370DA6">
      <w:pPr>
        <w:pStyle w:val="NoSpacing"/>
      </w:pPr>
      <w:r w:rsidRPr="009D2538">
        <w:t xml:space="preserve">Full Cost </w:t>
      </w:r>
      <w:r>
        <w:t>R</w:t>
      </w:r>
      <w:r w:rsidRPr="009D2538">
        <w:t>ecovery</w:t>
      </w:r>
    </w:p>
    <w:p w14:paraId="7425A2D4" w14:textId="44A2867C" w:rsidR="00370DA6" w:rsidRDefault="00370DA6" w:rsidP="00456127">
      <w:pPr>
        <w:pStyle w:val="TextPara"/>
      </w:pPr>
      <w:r w:rsidRPr="00B238CA">
        <w:t xml:space="preserve">The </w:t>
      </w:r>
      <w:r>
        <w:t xml:space="preserve">full </w:t>
      </w:r>
      <w:r w:rsidRPr="00B238CA">
        <w:t xml:space="preserve">recovery of costs </w:t>
      </w:r>
      <w:r>
        <w:t xml:space="preserve">of the services </w:t>
      </w:r>
      <w:r w:rsidRPr="00B238CA">
        <w:t xml:space="preserve">across </w:t>
      </w:r>
      <w:r>
        <w:t xml:space="preserve">the </w:t>
      </w:r>
      <w:r w:rsidRPr="00B238CA">
        <w:t xml:space="preserve">customer base enables </w:t>
      </w:r>
      <w:r>
        <w:t xml:space="preserve">an equitable </w:t>
      </w:r>
      <w:r w:rsidRPr="00B238CA">
        <w:t xml:space="preserve">distribution of costs </w:t>
      </w:r>
      <w:r>
        <w:t xml:space="preserve">by charging those who </w:t>
      </w:r>
      <w:r w:rsidRPr="00456127">
        <w:t>consume</w:t>
      </w:r>
      <w:r>
        <w:t xml:space="preserve"> the services</w:t>
      </w:r>
      <w:r w:rsidRPr="00B238CA">
        <w:t>. Targeting those who specifically consume the services is an effective means of full cost recovery, provided</w:t>
      </w:r>
      <w:r w:rsidRPr="000F164B">
        <w:t xml:space="preserve"> </w:t>
      </w:r>
      <w:r w:rsidRPr="00B238CA">
        <w:t>the cost is not prohibitive</w:t>
      </w:r>
      <w:r>
        <w:t xml:space="preserve"> (e.g. </w:t>
      </w:r>
      <w:r w:rsidR="00467660">
        <w:t xml:space="preserve">considering </w:t>
      </w:r>
      <w:r>
        <w:t>customers</w:t>
      </w:r>
      <w:r w:rsidR="00467660">
        <w:t>’</w:t>
      </w:r>
      <w:r>
        <w:t xml:space="preserve"> </w:t>
      </w:r>
      <w:r>
        <w:lastRenderedPageBreak/>
        <w:t>capacity to pay)</w:t>
      </w:r>
      <w:r w:rsidRPr="00B238CA">
        <w:t xml:space="preserve"> </w:t>
      </w:r>
      <w:r>
        <w:t xml:space="preserve">and </w:t>
      </w:r>
      <w:r w:rsidRPr="00B238CA">
        <w:t>resultant customer behaviours</w:t>
      </w:r>
      <w:r>
        <w:t xml:space="preserve"> do not compromise </w:t>
      </w:r>
      <w:r w:rsidRPr="00B238CA">
        <w:t>road safety objectives</w:t>
      </w:r>
      <w:r>
        <w:t xml:space="preserve"> (e.g. discouraging self-reporting for medical fitness-to-drive review).</w:t>
      </w:r>
    </w:p>
    <w:p w14:paraId="62E48750" w14:textId="77777777" w:rsidR="00370DA6" w:rsidRPr="00B238CA" w:rsidRDefault="00370DA6" w:rsidP="00360EE1">
      <w:pPr>
        <w:pStyle w:val="TextPara"/>
        <w:keepNext/>
      </w:pPr>
      <w:r w:rsidRPr="00B238CA">
        <w:t xml:space="preserve">Examples of instances where </w:t>
      </w:r>
      <w:r w:rsidRPr="00B24AF0">
        <w:t>full</w:t>
      </w:r>
      <w:r w:rsidRPr="00B238CA">
        <w:t xml:space="preserve"> cost recovery may be appropriate include:</w:t>
      </w:r>
    </w:p>
    <w:tbl>
      <w:tblPr>
        <w:tblStyle w:val="TableGrid"/>
        <w:tblW w:w="9356"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2586"/>
        <w:gridCol w:w="6770"/>
      </w:tblGrid>
      <w:tr w:rsidR="00370DA6" w:rsidRPr="009C2218" w14:paraId="2018272A" w14:textId="77777777" w:rsidTr="00B24AF0">
        <w:tc>
          <w:tcPr>
            <w:tcW w:w="2586" w:type="dxa"/>
          </w:tcPr>
          <w:p w14:paraId="74280245" w14:textId="77777777" w:rsidR="00370DA6" w:rsidRPr="00B24AF0" w:rsidRDefault="00370DA6" w:rsidP="00B24AF0">
            <w:pPr>
              <w:pStyle w:val="TableParagraph"/>
              <w:rPr>
                <w:i/>
                <w:szCs w:val="18"/>
              </w:rPr>
            </w:pPr>
            <w:r w:rsidRPr="00B24AF0">
              <w:rPr>
                <w:i/>
              </w:rPr>
              <w:t>Licence and permit testing</w:t>
            </w:r>
          </w:p>
        </w:tc>
        <w:tc>
          <w:tcPr>
            <w:tcW w:w="6770" w:type="dxa"/>
          </w:tcPr>
          <w:p w14:paraId="3DEBF4B9" w14:textId="09292683" w:rsidR="00370DA6" w:rsidRPr="009C2218" w:rsidRDefault="00797713" w:rsidP="00C65CD7">
            <w:pPr>
              <w:pStyle w:val="TableParagraph"/>
              <w:rPr>
                <w:szCs w:val="18"/>
              </w:rPr>
            </w:pPr>
            <w:r>
              <w:rPr>
                <w:rFonts w:cs="Segoe UI"/>
              </w:rPr>
              <w:t>If f</w:t>
            </w:r>
            <w:r w:rsidR="00370DA6">
              <w:rPr>
                <w:rFonts w:cs="Segoe UI"/>
              </w:rPr>
              <w:t xml:space="preserve">ees charged for this service would not dissuade customers from applying for a learner permit or driver licence. </w:t>
            </w:r>
            <w:r w:rsidR="00370DA6">
              <w:t>There are multiple parts to this service. Each part is contingent on the successful completion of the previous part. A person consumes the service</w:t>
            </w:r>
            <w:r w:rsidR="00370DA6" w:rsidRPr="00F83134">
              <w:t xml:space="preserve"> </w:t>
            </w:r>
            <w:r w:rsidR="00370DA6">
              <w:t>at</w:t>
            </w:r>
            <w:r w:rsidR="00370DA6" w:rsidRPr="00F83134">
              <w:t xml:space="preserve"> each step of the process – appointments, computer tests and on road testing. If the person fails a test, they need to </w:t>
            </w:r>
            <w:r w:rsidR="00370DA6">
              <w:t>re-</w:t>
            </w:r>
            <w:r w:rsidR="00370DA6" w:rsidRPr="00F83134">
              <w:t>book</w:t>
            </w:r>
            <w:r w:rsidR="00370DA6">
              <w:t xml:space="preserve"> the test. </w:t>
            </w:r>
            <w:r w:rsidR="00370DA6">
              <w:rPr>
                <w:rFonts w:cs="Segoe UI"/>
              </w:rPr>
              <w:t>A ‘user pays’ approach to fees should be considered as each person’s lack of preparation and/or practical ability to pass a test may require consuming the service more than once.</w:t>
            </w:r>
          </w:p>
        </w:tc>
      </w:tr>
      <w:tr w:rsidR="00370DA6" w:rsidRPr="009C2218" w14:paraId="155943DA" w14:textId="77777777" w:rsidTr="00B24AF0">
        <w:tc>
          <w:tcPr>
            <w:tcW w:w="2586" w:type="dxa"/>
          </w:tcPr>
          <w:p w14:paraId="59A33472" w14:textId="77777777" w:rsidR="00370DA6" w:rsidRPr="00B24AF0" w:rsidRDefault="00370DA6" w:rsidP="00B24AF0">
            <w:pPr>
              <w:pStyle w:val="TableParagraph"/>
              <w:rPr>
                <w:i/>
                <w:szCs w:val="18"/>
              </w:rPr>
            </w:pPr>
            <w:r w:rsidRPr="00B24AF0">
              <w:rPr>
                <w:i/>
              </w:rPr>
              <w:t>Duplicate licences</w:t>
            </w:r>
          </w:p>
        </w:tc>
        <w:tc>
          <w:tcPr>
            <w:tcW w:w="6770" w:type="dxa"/>
          </w:tcPr>
          <w:p w14:paraId="651FF079" w14:textId="539AB5F2" w:rsidR="00370DA6" w:rsidRPr="009C2218" w:rsidRDefault="00797713" w:rsidP="00B24AF0">
            <w:pPr>
              <w:pStyle w:val="TableParagraph"/>
              <w:rPr>
                <w:szCs w:val="18"/>
              </w:rPr>
            </w:pPr>
            <w:r>
              <w:rPr>
                <w:rFonts w:cs="Segoe UI"/>
              </w:rPr>
              <w:t>If f</w:t>
            </w:r>
            <w:r w:rsidR="00370DA6">
              <w:rPr>
                <w:rFonts w:cs="Segoe UI"/>
              </w:rPr>
              <w:t>ees charged for this service would not dissuade customers from obtaining a duplicate licence.</w:t>
            </w:r>
            <w:r w:rsidR="00370DA6">
              <w:t xml:space="preserve"> </w:t>
            </w:r>
            <w:r w:rsidR="00370DA6">
              <w:rPr>
                <w:rFonts w:cs="Segoe UI"/>
              </w:rPr>
              <w:t xml:space="preserve">A ‘user pays’ approach to fees should be considered. </w:t>
            </w:r>
          </w:p>
        </w:tc>
      </w:tr>
      <w:tr w:rsidR="00370DA6" w:rsidRPr="009C2218" w14:paraId="36F707AC" w14:textId="77777777" w:rsidTr="00B24AF0">
        <w:tc>
          <w:tcPr>
            <w:tcW w:w="2586" w:type="dxa"/>
          </w:tcPr>
          <w:p w14:paraId="1C8CB945" w14:textId="77777777" w:rsidR="00370DA6" w:rsidRPr="00B24AF0" w:rsidRDefault="00370DA6" w:rsidP="00B24AF0">
            <w:pPr>
              <w:pStyle w:val="TableParagraph"/>
              <w:rPr>
                <w:i/>
                <w:szCs w:val="18"/>
              </w:rPr>
            </w:pPr>
            <w:r w:rsidRPr="00B24AF0">
              <w:rPr>
                <w:i/>
              </w:rPr>
              <w:t>Alcohol interlock management</w:t>
            </w:r>
          </w:p>
        </w:tc>
        <w:tc>
          <w:tcPr>
            <w:tcW w:w="6770" w:type="dxa"/>
          </w:tcPr>
          <w:p w14:paraId="5DAC52F2" w14:textId="21B9B8A2" w:rsidR="00370DA6" w:rsidRPr="009C2218" w:rsidRDefault="00797713" w:rsidP="00B24AF0">
            <w:pPr>
              <w:pStyle w:val="TableParagraph"/>
              <w:rPr>
                <w:szCs w:val="18"/>
              </w:rPr>
            </w:pPr>
            <w:r>
              <w:rPr>
                <w:rFonts w:cs="Segoe UI"/>
              </w:rPr>
              <w:t>If f</w:t>
            </w:r>
            <w:r w:rsidR="00370DA6">
              <w:rPr>
                <w:rFonts w:cs="Segoe UI"/>
              </w:rPr>
              <w:t xml:space="preserve">ees charged for this service would not dissuade customers from having VicRoads monitor their ability to separate their drinking from driving. This is required to have the alcohol interlock removed from their vehicle after successfully demonstrating their ability to drive alcohol-free for the required period. A ‘user pays’ approach to fees should be considered. As the alcohol interlock period runs for a minimum period of six months, it may be appropriate to consider concessions for those customers who may find it difficult to </w:t>
            </w:r>
            <w:r w:rsidR="00370DA6">
              <w:t>pay the full rate.</w:t>
            </w:r>
          </w:p>
        </w:tc>
      </w:tr>
    </w:tbl>
    <w:p w14:paraId="3DEE31B1" w14:textId="77777777" w:rsidR="00370DA6" w:rsidRDefault="00370DA6" w:rsidP="00893C3E">
      <w:pPr>
        <w:pStyle w:val="TextPara"/>
        <w:spacing w:before="0" w:line="276" w:lineRule="auto"/>
        <w:rPr>
          <w:rFonts w:cs="Segoe UI"/>
          <w:szCs w:val="20"/>
        </w:rPr>
      </w:pPr>
    </w:p>
    <w:p w14:paraId="75F535D4" w14:textId="77777777" w:rsidR="00370DA6" w:rsidRDefault="00370DA6" w:rsidP="00370DA6">
      <w:pPr>
        <w:pStyle w:val="Heading2"/>
        <w:spacing w:before="240" w:after="180"/>
      </w:pPr>
      <w:bookmarkStart w:id="614" w:name="_Toc4084200"/>
      <w:bookmarkStart w:id="615" w:name="_Toc10703483"/>
      <w:r>
        <w:t>Fee Structure Options</w:t>
      </w:r>
      <w:bookmarkEnd w:id="614"/>
      <w:bookmarkEnd w:id="615"/>
      <w:r>
        <w:t xml:space="preserve"> </w:t>
      </w:r>
    </w:p>
    <w:p w14:paraId="5B1F00BF" w14:textId="21405FB5" w:rsidR="00370DA6" w:rsidRDefault="00370DA6" w:rsidP="00456127">
      <w:pPr>
        <w:pStyle w:val="TextPara"/>
      </w:pPr>
      <w:r w:rsidRPr="009D6F3B">
        <w:t>Fees can be structured t</w:t>
      </w:r>
      <w:r>
        <w:t>o</w:t>
      </w:r>
      <w:r w:rsidRPr="009D6F3B">
        <w:t xml:space="preserve"> encourage behaviours that value the service</w:t>
      </w:r>
      <w:r>
        <w:t>,</w:t>
      </w:r>
      <w:r w:rsidRPr="009D6F3B">
        <w:t xml:space="preserve"> </w:t>
      </w:r>
      <w:r>
        <w:t xml:space="preserve">have equity considerations, </w:t>
      </w:r>
      <w:r w:rsidRPr="009D6F3B">
        <w:t>and reflect the finite resources</w:t>
      </w:r>
      <w:r>
        <w:t xml:space="preserve"> required</w:t>
      </w:r>
      <w:r w:rsidRPr="009D6F3B">
        <w:t xml:space="preserve"> to provide the service.</w:t>
      </w:r>
      <w:r>
        <w:t xml:space="preserve"> </w:t>
      </w:r>
      <w:r w:rsidR="008F6F1D">
        <w:fldChar w:fldCharType="begin"/>
      </w:r>
      <w:r w:rsidR="008F6F1D">
        <w:instrText xml:space="preserve"> REF _Ref4403299 \h </w:instrText>
      </w:r>
      <w:r w:rsidR="008F6F1D">
        <w:fldChar w:fldCharType="separate"/>
      </w:r>
      <w:r w:rsidR="00EB4B02">
        <w:t xml:space="preserve">Table </w:t>
      </w:r>
      <w:r w:rsidR="00EB4B02">
        <w:rPr>
          <w:noProof/>
        </w:rPr>
        <w:t>34</w:t>
      </w:r>
      <w:r w:rsidR="008F6F1D">
        <w:fldChar w:fldCharType="end"/>
      </w:r>
      <w:r w:rsidR="008F6F1D">
        <w:t xml:space="preserve"> </w:t>
      </w:r>
      <w:r w:rsidRPr="00B238CA">
        <w:t>outlines the characteristics and potential applicability of various fee structures for the services provided by VicRoads and their relevance to Regulations.</w:t>
      </w:r>
    </w:p>
    <w:p w14:paraId="4F6C8D9B" w14:textId="4BB4FBF6" w:rsidR="00370DA6" w:rsidRDefault="00370DA6" w:rsidP="00AA0BBA">
      <w:pPr>
        <w:pStyle w:val="Caption"/>
      </w:pPr>
      <w:bookmarkStart w:id="616" w:name="_Ref4403299"/>
      <w:bookmarkStart w:id="617" w:name="_Toc4084316"/>
      <w:bookmarkStart w:id="618" w:name="_Toc10703727"/>
      <w:r>
        <w:t xml:space="preserve">Table </w:t>
      </w:r>
      <w:r>
        <w:rPr>
          <w:noProof/>
        </w:rPr>
        <w:fldChar w:fldCharType="begin"/>
      </w:r>
      <w:r>
        <w:rPr>
          <w:noProof/>
        </w:rPr>
        <w:instrText xml:space="preserve"> SEQ Table \* ARABIC </w:instrText>
      </w:r>
      <w:r>
        <w:rPr>
          <w:noProof/>
        </w:rPr>
        <w:fldChar w:fldCharType="separate"/>
      </w:r>
      <w:r w:rsidR="00EB4B02">
        <w:rPr>
          <w:noProof/>
        </w:rPr>
        <w:t>34</w:t>
      </w:r>
      <w:r>
        <w:rPr>
          <w:noProof/>
        </w:rPr>
        <w:fldChar w:fldCharType="end"/>
      </w:r>
      <w:bookmarkEnd w:id="616"/>
      <w:r>
        <w:t xml:space="preserve"> – Fee Structure Options</w:t>
      </w:r>
      <w:bookmarkEnd w:id="617"/>
      <w:bookmarkEnd w:id="618"/>
      <w:r>
        <w:t xml:space="preserve"> </w:t>
      </w:r>
    </w:p>
    <w:tbl>
      <w:tblPr>
        <w:tblStyle w:val="RIS-Table2"/>
        <w:tblW w:w="9948" w:type="dxa"/>
        <w:tblLook w:val="04A0" w:firstRow="1" w:lastRow="0" w:firstColumn="1" w:lastColumn="0" w:noHBand="0" w:noVBand="1"/>
      </w:tblPr>
      <w:tblGrid>
        <w:gridCol w:w="2059"/>
        <w:gridCol w:w="2521"/>
        <w:gridCol w:w="2645"/>
        <w:gridCol w:w="2723"/>
      </w:tblGrid>
      <w:tr w:rsidR="00370DA6" w:rsidRPr="00B238CA" w14:paraId="19E1DE41" w14:textId="77777777" w:rsidTr="00370DA6">
        <w:trPr>
          <w:cnfStyle w:val="100000000000" w:firstRow="1" w:lastRow="0" w:firstColumn="0" w:lastColumn="0" w:oddVBand="0" w:evenVBand="0" w:oddHBand="0" w:evenHBand="0" w:firstRowFirstColumn="0" w:firstRowLastColumn="0" w:lastRowFirstColumn="0" w:lastRowLastColumn="0"/>
          <w:cantSplit/>
        </w:trPr>
        <w:tc>
          <w:tcPr>
            <w:tcW w:w="0" w:type="dxa"/>
          </w:tcPr>
          <w:p w14:paraId="12815492" w14:textId="77777777" w:rsidR="00370DA6" w:rsidRPr="00B238CA" w:rsidRDefault="00370DA6" w:rsidP="00F07544">
            <w:pPr>
              <w:pStyle w:val="TableHeaders"/>
              <w:spacing w:line="276" w:lineRule="auto"/>
              <w:rPr>
                <w:rFonts w:cs="Segoe UI"/>
              </w:rPr>
            </w:pPr>
            <w:r w:rsidRPr="00B238CA">
              <w:rPr>
                <w:rFonts w:cs="Segoe UI"/>
              </w:rPr>
              <w:t>Structure</w:t>
            </w:r>
          </w:p>
        </w:tc>
        <w:tc>
          <w:tcPr>
            <w:tcW w:w="0" w:type="dxa"/>
          </w:tcPr>
          <w:p w14:paraId="06960FAD" w14:textId="77777777" w:rsidR="00370DA6" w:rsidRPr="00B238CA" w:rsidRDefault="00370DA6" w:rsidP="00F07544">
            <w:pPr>
              <w:pStyle w:val="TableHeaders"/>
              <w:spacing w:line="276" w:lineRule="auto"/>
              <w:rPr>
                <w:rFonts w:cs="Segoe UI"/>
              </w:rPr>
            </w:pPr>
            <w:r w:rsidRPr="00B238CA">
              <w:rPr>
                <w:rFonts w:cs="Segoe UI"/>
              </w:rPr>
              <w:t>Description</w:t>
            </w:r>
          </w:p>
        </w:tc>
        <w:tc>
          <w:tcPr>
            <w:tcW w:w="0" w:type="dxa"/>
          </w:tcPr>
          <w:p w14:paraId="45E420E3" w14:textId="77777777" w:rsidR="00370DA6" w:rsidRPr="00B238CA" w:rsidRDefault="00370DA6" w:rsidP="00F07544">
            <w:pPr>
              <w:pStyle w:val="TableHeaders"/>
              <w:spacing w:line="276" w:lineRule="auto"/>
              <w:rPr>
                <w:rFonts w:cs="Segoe UI"/>
              </w:rPr>
            </w:pPr>
            <w:r w:rsidRPr="00B238CA">
              <w:rPr>
                <w:rFonts w:cs="Segoe UI"/>
              </w:rPr>
              <w:t>Possible Application</w:t>
            </w:r>
          </w:p>
        </w:tc>
        <w:tc>
          <w:tcPr>
            <w:tcW w:w="0" w:type="dxa"/>
          </w:tcPr>
          <w:p w14:paraId="5BCE716A" w14:textId="77777777" w:rsidR="00370DA6" w:rsidRPr="00B238CA" w:rsidRDefault="00370DA6" w:rsidP="00F07544">
            <w:pPr>
              <w:pStyle w:val="TableHeaders"/>
              <w:spacing w:line="276" w:lineRule="auto"/>
              <w:rPr>
                <w:rFonts w:cs="Segoe UI"/>
              </w:rPr>
            </w:pPr>
            <w:r w:rsidRPr="00B238CA">
              <w:rPr>
                <w:rFonts w:cs="Segoe UI"/>
              </w:rPr>
              <w:t>Relevance to Regulations</w:t>
            </w:r>
          </w:p>
        </w:tc>
      </w:tr>
      <w:tr w:rsidR="00370DA6" w:rsidRPr="00B238CA" w14:paraId="7E34833D" w14:textId="77777777" w:rsidTr="00370DA6">
        <w:trPr>
          <w:cantSplit/>
        </w:trPr>
        <w:tc>
          <w:tcPr>
            <w:tcW w:w="0" w:type="dxa"/>
          </w:tcPr>
          <w:p w14:paraId="091828ED" w14:textId="77777777" w:rsidR="00370DA6" w:rsidRPr="00B238CA" w:rsidRDefault="00370DA6" w:rsidP="00F07544">
            <w:pPr>
              <w:pStyle w:val="TableParagraph"/>
              <w:spacing w:line="276" w:lineRule="auto"/>
              <w:rPr>
                <w:rFonts w:cs="Segoe UI"/>
                <w:b/>
                <w:szCs w:val="18"/>
              </w:rPr>
            </w:pPr>
            <w:r w:rsidRPr="00B238CA">
              <w:rPr>
                <w:rFonts w:cs="Segoe UI"/>
                <w:b/>
              </w:rPr>
              <w:t xml:space="preserve">Unit price </w:t>
            </w:r>
          </w:p>
        </w:tc>
        <w:tc>
          <w:tcPr>
            <w:tcW w:w="0" w:type="dxa"/>
          </w:tcPr>
          <w:p w14:paraId="7EE6C03F" w14:textId="77777777" w:rsidR="00370DA6" w:rsidRPr="00893C3E" w:rsidRDefault="00370DA6" w:rsidP="00893C3E">
            <w:pPr>
              <w:pStyle w:val="TableParagraph"/>
            </w:pPr>
            <w:r w:rsidRPr="00893C3E">
              <w:t xml:space="preserve">This fee structure reflects a fixed rate per transaction (e.g. public transport where there is a fee per journey). </w:t>
            </w:r>
          </w:p>
        </w:tc>
        <w:tc>
          <w:tcPr>
            <w:tcW w:w="0" w:type="dxa"/>
          </w:tcPr>
          <w:p w14:paraId="756A1AE8" w14:textId="77777777" w:rsidR="00370DA6" w:rsidRPr="00893C3E" w:rsidRDefault="00370DA6" w:rsidP="00893C3E">
            <w:pPr>
              <w:pStyle w:val="TableParagraph"/>
            </w:pPr>
            <w:r w:rsidRPr="00893C3E">
              <w:t>Where customers consume services as independent events and where each unit is very similar if not identical.</w:t>
            </w:r>
          </w:p>
        </w:tc>
        <w:tc>
          <w:tcPr>
            <w:tcW w:w="0" w:type="dxa"/>
          </w:tcPr>
          <w:p w14:paraId="02973763" w14:textId="77777777" w:rsidR="00370DA6" w:rsidRPr="00893C3E" w:rsidRDefault="00370DA6" w:rsidP="00893C3E">
            <w:pPr>
              <w:pStyle w:val="TableParagraph"/>
            </w:pPr>
            <w:r w:rsidRPr="00893C3E">
              <w:t>This is an appropriate pricing structure for some of the services provided by VicRoads. Most registration and licensing services are consumed in this manner, e.g. licence renewal, vehicle registration renewals and permits, vehicle inspections, exemptions etc.</w:t>
            </w:r>
          </w:p>
        </w:tc>
      </w:tr>
      <w:tr w:rsidR="00370DA6" w:rsidRPr="00B238CA" w14:paraId="6C77DD91" w14:textId="77777777" w:rsidTr="00370DA6">
        <w:trPr>
          <w:cnfStyle w:val="000000010000" w:firstRow="0" w:lastRow="0" w:firstColumn="0" w:lastColumn="0" w:oddVBand="0" w:evenVBand="0" w:oddHBand="0" w:evenHBand="1" w:firstRowFirstColumn="0" w:firstRowLastColumn="0" w:lastRowFirstColumn="0" w:lastRowLastColumn="0"/>
          <w:cantSplit/>
        </w:trPr>
        <w:tc>
          <w:tcPr>
            <w:tcW w:w="0" w:type="dxa"/>
          </w:tcPr>
          <w:p w14:paraId="3F9BB6CB" w14:textId="77777777" w:rsidR="00370DA6" w:rsidRPr="00B238CA" w:rsidRDefault="00370DA6" w:rsidP="00F07544">
            <w:pPr>
              <w:pStyle w:val="TableParagraph"/>
              <w:spacing w:line="276" w:lineRule="auto"/>
              <w:rPr>
                <w:rFonts w:cs="Segoe UI"/>
                <w:b/>
                <w:szCs w:val="18"/>
              </w:rPr>
            </w:pPr>
            <w:r w:rsidRPr="00B238CA">
              <w:rPr>
                <w:rFonts w:cs="Segoe UI"/>
                <w:b/>
              </w:rPr>
              <w:t>Flat rate price</w:t>
            </w:r>
          </w:p>
        </w:tc>
        <w:tc>
          <w:tcPr>
            <w:tcW w:w="0" w:type="dxa"/>
          </w:tcPr>
          <w:p w14:paraId="53C06F6C" w14:textId="77777777" w:rsidR="00370DA6" w:rsidRPr="00893C3E" w:rsidRDefault="00370DA6" w:rsidP="00893C3E">
            <w:pPr>
              <w:pStyle w:val="TableParagraph"/>
            </w:pPr>
            <w:r w:rsidRPr="00893C3E">
              <w:t>This fee structure reflects the volume consumed when purchasing a single product (e.g. fuel).</w:t>
            </w:r>
          </w:p>
        </w:tc>
        <w:tc>
          <w:tcPr>
            <w:tcW w:w="0" w:type="dxa"/>
          </w:tcPr>
          <w:p w14:paraId="187F6EBC" w14:textId="77777777" w:rsidR="00370DA6" w:rsidRPr="00893C3E" w:rsidRDefault="00370DA6" w:rsidP="00893C3E">
            <w:pPr>
              <w:pStyle w:val="TableParagraph"/>
            </w:pPr>
            <w:r w:rsidRPr="00893C3E">
              <w:t>Where customers in a single transaction may consume various quantities of a product.</w:t>
            </w:r>
          </w:p>
        </w:tc>
        <w:tc>
          <w:tcPr>
            <w:tcW w:w="0" w:type="dxa"/>
          </w:tcPr>
          <w:p w14:paraId="6BC7D65F" w14:textId="77777777" w:rsidR="00370DA6" w:rsidRPr="00893C3E" w:rsidRDefault="00370DA6" w:rsidP="00893C3E">
            <w:pPr>
              <w:pStyle w:val="TableParagraph"/>
            </w:pPr>
            <w:r w:rsidRPr="00893C3E">
              <w:t>This is an appropriate pricing structure for some of the services provided by VicRoads. These include Dealers (i.e. LMCT’s) processing multiple inspections per day and the quantity varies daily.</w:t>
            </w:r>
          </w:p>
        </w:tc>
      </w:tr>
      <w:tr w:rsidR="00370DA6" w:rsidRPr="00B238CA" w14:paraId="5119C8C2" w14:textId="77777777" w:rsidTr="00370DA6">
        <w:trPr>
          <w:cantSplit/>
        </w:trPr>
        <w:tc>
          <w:tcPr>
            <w:tcW w:w="0" w:type="dxa"/>
          </w:tcPr>
          <w:p w14:paraId="4D7BE29C" w14:textId="77777777" w:rsidR="00370DA6" w:rsidRPr="00B238CA" w:rsidRDefault="00370DA6" w:rsidP="00F07544">
            <w:pPr>
              <w:pStyle w:val="TableParagraph"/>
              <w:spacing w:line="276" w:lineRule="auto"/>
              <w:rPr>
                <w:rFonts w:cs="Segoe UI"/>
                <w:b/>
                <w:szCs w:val="18"/>
              </w:rPr>
            </w:pPr>
            <w:r w:rsidRPr="00B238CA">
              <w:rPr>
                <w:rFonts w:cs="Segoe UI"/>
                <w:b/>
              </w:rPr>
              <w:lastRenderedPageBreak/>
              <w:t>Flat fee price</w:t>
            </w:r>
          </w:p>
        </w:tc>
        <w:tc>
          <w:tcPr>
            <w:tcW w:w="0" w:type="dxa"/>
          </w:tcPr>
          <w:p w14:paraId="24B159E8" w14:textId="77777777" w:rsidR="00370DA6" w:rsidRPr="00893C3E" w:rsidRDefault="00370DA6" w:rsidP="00893C3E">
            <w:pPr>
              <w:pStyle w:val="TableParagraph"/>
            </w:pPr>
            <w:r w:rsidRPr="00893C3E">
              <w:t>This fee structure involves a single fee and does not change irrespective of the volume consumed (e.g. all you can eat restaurants).</w:t>
            </w:r>
          </w:p>
        </w:tc>
        <w:tc>
          <w:tcPr>
            <w:tcW w:w="0" w:type="dxa"/>
          </w:tcPr>
          <w:p w14:paraId="42D2EDF3" w14:textId="77777777" w:rsidR="00370DA6" w:rsidRPr="00893C3E" w:rsidRDefault="00370DA6" w:rsidP="00893C3E">
            <w:pPr>
              <w:pStyle w:val="TableParagraph"/>
            </w:pPr>
            <w:r w:rsidRPr="00893C3E">
              <w:t xml:space="preserve">Where the service provided (whilst achieving the same outcome) may involve significantly different levels of effort or activity. </w:t>
            </w:r>
          </w:p>
        </w:tc>
        <w:tc>
          <w:tcPr>
            <w:tcW w:w="0" w:type="dxa"/>
          </w:tcPr>
          <w:p w14:paraId="30FF66DC" w14:textId="77777777" w:rsidR="00370DA6" w:rsidRPr="00893C3E" w:rsidRDefault="00370DA6" w:rsidP="00893C3E">
            <w:pPr>
              <w:pStyle w:val="TableParagraph"/>
            </w:pPr>
            <w:r w:rsidRPr="00893C3E">
              <w:t xml:space="preserve">This is an appropriate pricing structure for some of the services provided by VicRoads. These include the provision of reports some of which are automatically produced whilst others may require various levels of manual effort, but in the eyes of the customer they are getting the same product. </w:t>
            </w:r>
          </w:p>
        </w:tc>
      </w:tr>
      <w:tr w:rsidR="00370DA6" w:rsidRPr="00B238CA" w14:paraId="398B1441" w14:textId="77777777" w:rsidTr="00370DA6">
        <w:trPr>
          <w:cnfStyle w:val="000000010000" w:firstRow="0" w:lastRow="0" w:firstColumn="0" w:lastColumn="0" w:oddVBand="0" w:evenVBand="0" w:oddHBand="0" w:evenHBand="1" w:firstRowFirstColumn="0" w:firstRowLastColumn="0" w:lastRowFirstColumn="0" w:lastRowLastColumn="0"/>
          <w:cantSplit/>
        </w:trPr>
        <w:tc>
          <w:tcPr>
            <w:tcW w:w="0" w:type="dxa"/>
          </w:tcPr>
          <w:p w14:paraId="65379536" w14:textId="77777777" w:rsidR="00370DA6" w:rsidRPr="00B238CA" w:rsidRDefault="00370DA6" w:rsidP="00F07544">
            <w:pPr>
              <w:pStyle w:val="TableParagraph"/>
              <w:spacing w:line="276" w:lineRule="auto"/>
              <w:rPr>
                <w:rFonts w:cs="Segoe UI"/>
                <w:b/>
                <w:szCs w:val="18"/>
              </w:rPr>
            </w:pPr>
            <w:r w:rsidRPr="00B238CA">
              <w:rPr>
                <w:rFonts w:cs="Segoe UI"/>
                <w:b/>
              </w:rPr>
              <w:t>Tiered price</w:t>
            </w:r>
          </w:p>
        </w:tc>
        <w:tc>
          <w:tcPr>
            <w:tcW w:w="0" w:type="dxa"/>
          </w:tcPr>
          <w:p w14:paraId="2064378C" w14:textId="77777777" w:rsidR="00370DA6" w:rsidRPr="00893C3E" w:rsidRDefault="00370DA6" w:rsidP="00893C3E">
            <w:pPr>
              <w:pStyle w:val="TableParagraph"/>
            </w:pPr>
            <w:r w:rsidRPr="00893C3E">
              <w:t>This fee structure can have a high upfront amount and then a lesser rate for added consumption (e.g. Taxi) or the reverse where there is a disincentive to consume too much (e.g. electricity and gas).</w:t>
            </w:r>
          </w:p>
        </w:tc>
        <w:tc>
          <w:tcPr>
            <w:tcW w:w="0" w:type="dxa"/>
          </w:tcPr>
          <w:p w14:paraId="3FB3C429" w14:textId="77777777" w:rsidR="00370DA6" w:rsidRPr="00893C3E" w:rsidRDefault="00370DA6" w:rsidP="00893C3E">
            <w:pPr>
              <w:pStyle w:val="TableParagraph"/>
            </w:pPr>
            <w:r w:rsidRPr="00893C3E">
              <w:t>None.</w:t>
            </w:r>
          </w:p>
        </w:tc>
        <w:tc>
          <w:tcPr>
            <w:tcW w:w="0" w:type="dxa"/>
          </w:tcPr>
          <w:p w14:paraId="6E792B9D" w14:textId="571EF5F1" w:rsidR="00370DA6" w:rsidRPr="00893C3E" w:rsidRDefault="00370DA6" w:rsidP="00893C3E">
            <w:pPr>
              <w:pStyle w:val="TableParagraph"/>
            </w:pPr>
            <w:r w:rsidRPr="00893C3E">
              <w:t xml:space="preserve">There is no real application for this fee structure due to the nature </w:t>
            </w:r>
            <w:r>
              <w:t>of the</w:t>
            </w:r>
            <w:r w:rsidRPr="00893C3E">
              <w:t xml:space="preserve"> services </w:t>
            </w:r>
            <w:r>
              <w:t xml:space="preserve">provided by VicRoads and the manner in which they </w:t>
            </w:r>
            <w:r w:rsidRPr="00893C3E">
              <w:t>are consumed by the customer. In the case of a progressive charge, it could be a disincentive to undertake necessary transactions.</w:t>
            </w:r>
          </w:p>
        </w:tc>
      </w:tr>
      <w:tr w:rsidR="00370DA6" w:rsidRPr="00B238CA" w14:paraId="747B454C" w14:textId="77777777" w:rsidTr="00370DA6">
        <w:trPr>
          <w:cantSplit/>
        </w:trPr>
        <w:tc>
          <w:tcPr>
            <w:tcW w:w="0" w:type="dxa"/>
          </w:tcPr>
          <w:p w14:paraId="2794E2F2" w14:textId="77777777" w:rsidR="00370DA6" w:rsidRPr="00B238CA" w:rsidRDefault="00370DA6" w:rsidP="00F07544">
            <w:pPr>
              <w:pStyle w:val="TableParagraph"/>
              <w:spacing w:line="276" w:lineRule="auto"/>
              <w:rPr>
                <w:rFonts w:cs="Segoe UI"/>
                <w:b/>
                <w:szCs w:val="18"/>
              </w:rPr>
            </w:pPr>
            <w:r w:rsidRPr="00B238CA">
              <w:rPr>
                <w:rFonts w:cs="Segoe UI"/>
                <w:b/>
              </w:rPr>
              <w:t xml:space="preserve">Packaged price </w:t>
            </w:r>
          </w:p>
        </w:tc>
        <w:tc>
          <w:tcPr>
            <w:tcW w:w="0" w:type="dxa"/>
          </w:tcPr>
          <w:p w14:paraId="15D335E2" w14:textId="77777777" w:rsidR="00370DA6" w:rsidRPr="00893C3E" w:rsidRDefault="00370DA6" w:rsidP="00893C3E">
            <w:pPr>
              <w:pStyle w:val="TableParagraph"/>
            </w:pPr>
            <w:r w:rsidRPr="00893C3E">
              <w:t>This fee structure reflects the grouping of several products into a basket of goods or services at a total price (e.g. a hamper).</w:t>
            </w:r>
          </w:p>
        </w:tc>
        <w:tc>
          <w:tcPr>
            <w:tcW w:w="0" w:type="dxa"/>
          </w:tcPr>
          <w:p w14:paraId="62C6DC04" w14:textId="77777777" w:rsidR="00370DA6" w:rsidRPr="00893C3E" w:rsidRDefault="00370DA6" w:rsidP="00893C3E">
            <w:pPr>
              <w:pStyle w:val="TableParagraph"/>
            </w:pPr>
            <w:r w:rsidRPr="00893C3E">
              <w:t>All the appointments and tests could be bundled into a single fee as there are multiple steps undertaken by customers when seeking to obtain a driver licence.</w:t>
            </w:r>
          </w:p>
        </w:tc>
        <w:tc>
          <w:tcPr>
            <w:tcW w:w="0" w:type="dxa"/>
          </w:tcPr>
          <w:p w14:paraId="01F37926" w14:textId="77777777" w:rsidR="00370DA6" w:rsidRPr="00893C3E" w:rsidRDefault="00370DA6" w:rsidP="00893C3E">
            <w:pPr>
              <w:pStyle w:val="TableParagraph"/>
            </w:pPr>
            <w:r w:rsidRPr="00893C3E">
              <w:t>This could be used for some of the services offered by VicRoads. However, it does create a risk of potentially poor incentives — for example, it might encourage customers to undertake multiple tests before they are sufficiently prepared, rather than undertake further practice or lessons as the cost of the test is less than driving lessons. This would lead to higher failure rates and demand for drive test appointments and longer wait times to book appointments, impacting those who are sufficiently prepared.</w:t>
            </w:r>
          </w:p>
        </w:tc>
      </w:tr>
      <w:tr w:rsidR="00370DA6" w:rsidRPr="00B238CA" w14:paraId="36C2D150" w14:textId="77777777" w:rsidTr="00370DA6">
        <w:trPr>
          <w:cnfStyle w:val="000000010000" w:firstRow="0" w:lastRow="0" w:firstColumn="0" w:lastColumn="0" w:oddVBand="0" w:evenVBand="0" w:oddHBand="0" w:evenHBand="1" w:firstRowFirstColumn="0" w:firstRowLastColumn="0" w:lastRowFirstColumn="0" w:lastRowLastColumn="0"/>
          <w:cantSplit/>
        </w:trPr>
        <w:tc>
          <w:tcPr>
            <w:tcW w:w="0" w:type="dxa"/>
          </w:tcPr>
          <w:p w14:paraId="381E720B" w14:textId="77777777" w:rsidR="00370DA6" w:rsidRPr="00B238CA" w:rsidRDefault="00370DA6" w:rsidP="00F07544">
            <w:pPr>
              <w:pStyle w:val="TableParagraph"/>
              <w:spacing w:line="276" w:lineRule="auto"/>
              <w:rPr>
                <w:rFonts w:cs="Segoe UI"/>
                <w:b/>
                <w:szCs w:val="18"/>
              </w:rPr>
            </w:pPr>
            <w:r w:rsidRPr="00B238CA">
              <w:rPr>
                <w:rFonts w:cs="Segoe UI"/>
                <w:b/>
              </w:rPr>
              <w:lastRenderedPageBreak/>
              <w:t>Variable service mode price</w:t>
            </w:r>
          </w:p>
        </w:tc>
        <w:tc>
          <w:tcPr>
            <w:tcW w:w="0" w:type="dxa"/>
          </w:tcPr>
          <w:p w14:paraId="0309DD1A" w14:textId="77777777" w:rsidR="00370DA6" w:rsidRPr="00893C3E" w:rsidRDefault="00370DA6" w:rsidP="00893C3E">
            <w:pPr>
              <w:pStyle w:val="TableParagraph"/>
            </w:pPr>
            <w:r w:rsidRPr="00893C3E">
              <w:t>This fee structure reflects a different price depending on the way the service is consumed (e.g. online shopping versus in store shopping).</w:t>
            </w:r>
          </w:p>
        </w:tc>
        <w:tc>
          <w:tcPr>
            <w:tcW w:w="0" w:type="dxa"/>
          </w:tcPr>
          <w:p w14:paraId="2C73DE67" w14:textId="77777777" w:rsidR="00370DA6" w:rsidRPr="00893C3E" w:rsidRDefault="00370DA6" w:rsidP="00893C3E">
            <w:pPr>
              <w:pStyle w:val="TableParagraph"/>
            </w:pPr>
            <w:r w:rsidRPr="00893C3E">
              <w:t>Online purchases may be discounted relative to in–person (CSC) transactions.</w:t>
            </w:r>
          </w:p>
        </w:tc>
        <w:tc>
          <w:tcPr>
            <w:tcW w:w="0" w:type="dxa"/>
          </w:tcPr>
          <w:p w14:paraId="7427D27C" w14:textId="77777777" w:rsidR="00370DA6" w:rsidRPr="00893C3E" w:rsidRDefault="00370DA6" w:rsidP="00893C3E">
            <w:pPr>
              <w:pStyle w:val="TableParagraph"/>
            </w:pPr>
            <w:r w:rsidRPr="00893C3E">
              <w:t xml:space="preserve">This is a potentially appropriate pricing structure for the services provided by VicRoads. It will be a useful consideration in the future to drive behaviours. However, it would mean that consumers opting to remain on traditional service modes will likely incur higher costs. This will raise equity issues and disadvantage customers who do not have internet access or are not comfortable using new and emerging technologies, which is inconsistent with </w:t>
            </w:r>
            <w:r>
              <w:t>the DoT policy of ensuring that all channels are accessible to all customers – see section 9.1 (Equity)</w:t>
            </w:r>
            <w:r w:rsidRPr="00893C3E">
              <w:t>.</w:t>
            </w:r>
            <w:r>
              <w:t xml:space="preserve"> </w:t>
            </w:r>
          </w:p>
        </w:tc>
      </w:tr>
    </w:tbl>
    <w:p w14:paraId="6AE4C40D" w14:textId="77777777" w:rsidR="00370DA6" w:rsidRDefault="00370DA6" w:rsidP="00370DA6">
      <w:pPr>
        <w:pStyle w:val="TextPara"/>
      </w:pPr>
    </w:p>
    <w:p w14:paraId="65420654" w14:textId="77777777" w:rsidR="00370DA6" w:rsidRDefault="00370DA6" w:rsidP="00370DA6">
      <w:pPr>
        <w:pStyle w:val="TextPara"/>
        <w:sectPr w:rsidR="00370DA6" w:rsidSect="00910C49">
          <w:headerReference w:type="even" r:id="rId57"/>
          <w:headerReference w:type="default" r:id="rId58"/>
          <w:headerReference w:type="first" r:id="rId59"/>
          <w:endnotePr>
            <w:numFmt w:val="decimal"/>
          </w:endnotePr>
          <w:pgSz w:w="11906" w:h="16838" w:code="9"/>
          <w:pgMar w:top="1418" w:right="1134" w:bottom="1418" w:left="1247" w:header="567" w:footer="397" w:gutter="0"/>
          <w:cols w:space="708"/>
          <w:docGrid w:linePitch="360"/>
        </w:sectPr>
      </w:pPr>
    </w:p>
    <w:p w14:paraId="30F9BC07" w14:textId="77777777" w:rsidR="00370DA6" w:rsidRPr="00F07544" w:rsidRDefault="00370DA6" w:rsidP="00370DA6">
      <w:pPr>
        <w:pStyle w:val="Heading1"/>
        <w:pageBreakBefore/>
        <w:spacing w:before="240" w:after="240"/>
      </w:pPr>
      <w:bookmarkStart w:id="619" w:name="_Toc4084201"/>
      <w:bookmarkStart w:id="620" w:name="_Toc10703484"/>
      <w:r>
        <w:lastRenderedPageBreak/>
        <w:t>Efficient Delivery of S</w:t>
      </w:r>
      <w:r w:rsidRPr="00F07544">
        <w:t>ervices</w:t>
      </w:r>
      <w:bookmarkEnd w:id="619"/>
      <w:bookmarkEnd w:id="620"/>
    </w:p>
    <w:p w14:paraId="77AF2784" w14:textId="3534DFF3" w:rsidR="00370DA6" w:rsidRPr="00B238CA" w:rsidRDefault="00370DA6" w:rsidP="00D7064D">
      <w:pPr>
        <w:pStyle w:val="TextPara"/>
      </w:pPr>
      <w:r w:rsidRPr="00B238CA">
        <w:t xml:space="preserve">The Registration and Licensing (R&amp;L) Division of VicRoads has a management system </w:t>
      </w:r>
      <w:r>
        <w:t>that is focussed on good</w:t>
      </w:r>
      <w:r w:rsidRPr="00B238CA">
        <w:t xml:space="preserve"> </w:t>
      </w:r>
      <w:r w:rsidRPr="00B238CA">
        <w:rPr>
          <w:b/>
        </w:rPr>
        <w:t>governance</w:t>
      </w:r>
      <w:r w:rsidRPr="00B238CA">
        <w:t xml:space="preserve">, </w:t>
      </w:r>
      <w:r w:rsidRPr="00552943">
        <w:rPr>
          <w:b/>
        </w:rPr>
        <w:t>efficient service</w:t>
      </w:r>
      <w:r>
        <w:t xml:space="preserve"> </w:t>
      </w:r>
      <w:r w:rsidRPr="00B238CA">
        <w:rPr>
          <w:b/>
        </w:rPr>
        <w:t xml:space="preserve">delivery </w:t>
      </w:r>
      <w:r w:rsidRPr="00B238CA">
        <w:t xml:space="preserve">and </w:t>
      </w:r>
      <w:r w:rsidRPr="00B238CA">
        <w:rPr>
          <w:b/>
        </w:rPr>
        <w:t>continuous improvement</w:t>
      </w:r>
      <w:r w:rsidRPr="00B238CA">
        <w:t xml:space="preserve"> to optimise resources and </w:t>
      </w:r>
      <w:r>
        <w:t xml:space="preserve">processes in accordance with the purpose statements in the </w:t>
      </w:r>
      <w:r w:rsidRPr="00552943">
        <w:rPr>
          <w:i/>
        </w:rPr>
        <w:t>RSA</w:t>
      </w:r>
      <w:r>
        <w:t xml:space="preserve"> s1(b) – refer </w:t>
      </w:r>
      <w:r>
        <w:fldChar w:fldCharType="begin"/>
      </w:r>
      <w:r>
        <w:instrText xml:space="preserve"> REF _Ref505071030 \h </w:instrText>
      </w:r>
      <w:r>
        <w:fldChar w:fldCharType="separate"/>
      </w:r>
      <w:r w:rsidR="00EB4B02" w:rsidRPr="00117C96">
        <w:t xml:space="preserve">Figure </w:t>
      </w:r>
      <w:r w:rsidR="00EB4B02">
        <w:rPr>
          <w:noProof/>
        </w:rPr>
        <w:t>2</w:t>
      </w:r>
      <w:r w:rsidR="00EB4B02" w:rsidRPr="00117C96">
        <w:t xml:space="preserve"> –</w:t>
      </w:r>
      <w:r w:rsidR="00EB4B02">
        <w:t xml:space="preserve"> VicRoads f</w:t>
      </w:r>
      <w:r w:rsidR="00EB4B02" w:rsidRPr="007C0728">
        <w:t>unctional</w:t>
      </w:r>
      <w:r w:rsidR="00EB4B02" w:rsidRPr="00117C96">
        <w:t xml:space="preserve"> framework</w:t>
      </w:r>
      <w:r>
        <w:fldChar w:fldCharType="end"/>
      </w:r>
      <w:r w:rsidRPr="00B238CA">
        <w:t>. The ongoing pursuit of improvements to systems and processes, with customer needs at the core of all considerations, ensures continued delivery of effective and efficient outcomes.</w:t>
      </w:r>
    </w:p>
    <w:p w14:paraId="158BDE07" w14:textId="77777777" w:rsidR="00370DA6" w:rsidRDefault="00370DA6" w:rsidP="00370DA6">
      <w:pPr>
        <w:pStyle w:val="Heading2"/>
        <w:spacing w:before="240" w:after="180"/>
      </w:pPr>
      <w:bookmarkStart w:id="621" w:name="_Toc4084202"/>
      <w:bookmarkStart w:id="622" w:name="_Toc10703485"/>
      <w:r w:rsidRPr="00117C96">
        <w:t>Governance</w:t>
      </w:r>
      <w:bookmarkEnd w:id="621"/>
      <w:bookmarkEnd w:id="622"/>
    </w:p>
    <w:p w14:paraId="31D17BC0" w14:textId="77777777" w:rsidR="00370DA6" w:rsidRPr="00B238CA" w:rsidRDefault="00370DA6" w:rsidP="00456127">
      <w:pPr>
        <w:pStyle w:val="TextPara"/>
      </w:pPr>
      <w:r w:rsidRPr="00B238CA">
        <w:t xml:space="preserve">VicRoads employs a governance system </w:t>
      </w:r>
      <w:r w:rsidRPr="00456127">
        <w:t>that</w:t>
      </w:r>
      <w:r w:rsidRPr="00B238CA">
        <w:t xml:space="preserve"> utilises organisational, cultural and financial control mechanisms to ensure efficiency, </w:t>
      </w:r>
      <w:r>
        <w:t xml:space="preserve">optimal </w:t>
      </w:r>
      <w:r w:rsidRPr="00B238CA">
        <w:t>service delivery and integrity.</w:t>
      </w:r>
    </w:p>
    <w:p w14:paraId="4C8539FC" w14:textId="77777777" w:rsidR="00370DA6" w:rsidRPr="00690EBF" w:rsidRDefault="00370DA6">
      <w:pPr>
        <w:pStyle w:val="NoSpacing"/>
      </w:pPr>
      <w:r w:rsidRPr="00690EBF">
        <w:t>Organisation Mechanisms</w:t>
      </w:r>
    </w:p>
    <w:p w14:paraId="2E0E4C18" w14:textId="77777777" w:rsidR="00370DA6" w:rsidRPr="00B238CA" w:rsidRDefault="00370DA6" w:rsidP="00456127">
      <w:pPr>
        <w:pStyle w:val="TextPara"/>
      </w:pPr>
      <w:r w:rsidRPr="00B238CA">
        <w:t>The key customer interaction points are the Customer Service Centres (in</w:t>
      </w:r>
      <w:r>
        <w:t xml:space="preserve"> </w:t>
      </w:r>
      <w:r w:rsidRPr="00B238CA">
        <w:t xml:space="preserve">person), Call Centres (by telephone) and digital channels (online </w:t>
      </w:r>
      <w:r w:rsidRPr="00456127">
        <w:t>transactions</w:t>
      </w:r>
      <w:r w:rsidRPr="00B238CA">
        <w:t xml:space="preserve">). These interaction points </w:t>
      </w:r>
      <w:r>
        <w:t xml:space="preserve">are integrated to provide a seamless experience for the customer, irrespective of which channel they use. These channels are enabled and supported by </w:t>
      </w:r>
      <w:r w:rsidRPr="00B238CA">
        <w:t>dedicated management and technology. The back-office support functions of finance, strategy, and general management are managed separately from customer facing functions. This allows the delivery of services to the customer to be focussed and efficient.</w:t>
      </w:r>
    </w:p>
    <w:p w14:paraId="7589FC7F" w14:textId="77777777" w:rsidR="00370DA6" w:rsidRPr="00690EBF" w:rsidRDefault="00370DA6">
      <w:pPr>
        <w:pStyle w:val="NoSpacing"/>
      </w:pPr>
      <w:r w:rsidRPr="00690EBF">
        <w:t>Culture Mechanisms</w:t>
      </w:r>
    </w:p>
    <w:p w14:paraId="49A894CA" w14:textId="60C42C51" w:rsidR="00370DA6" w:rsidRPr="00117C96" w:rsidRDefault="00370DA6" w:rsidP="00C02B69">
      <w:pPr>
        <w:pStyle w:val="TextPara"/>
      </w:pPr>
      <w:r w:rsidRPr="00B238CA">
        <w:t xml:space="preserve">VicRoads is mindful that its people are at the heart of the delivery of efficient services. The organisation’s culture is central to this delivery. VicRoads’ </w:t>
      </w:r>
      <w:r w:rsidRPr="00B238CA">
        <w:rPr>
          <w:i/>
        </w:rPr>
        <w:t>Care, Share, Dare</w:t>
      </w:r>
      <w:r w:rsidRPr="00B238CA">
        <w:t xml:space="preserve"> </w:t>
      </w:r>
      <w:r>
        <w:t xml:space="preserve">culture sets the behavioural goals and </w:t>
      </w:r>
      <w:r w:rsidRPr="00B238CA">
        <w:t xml:space="preserve">expectations for </w:t>
      </w:r>
      <w:r>
        <w:t>all staff</w:t>
      </w:r>
      <w:r w:rsidRPr="00B238CA">
        <w:t>. The framework for this cultural objective is shown in</w:t>
      </w:r>
      <w:r w:rsidR="008F6F1D">
        <w:t xml:space="preserve"> </w:t>
      </w:r>
      <w:r w:rsidR="008F6F1D">
        <w:fldChar w:fldCharType="begin"/>
      </w:r>
      <w:r w:rsidR="008F6F1D">
        <w:instrText xml:space="preserve"> REF _Ref4403345 \h </w:instrText>
      </w:r>
      <w:r w:rsidR="008F6F1D">
        <w:fldChar w:fldCharType="separate"/>
      </w:r>
      <w:r w:rsidR="00EB4B02" w:rsidRPr="00117C96">
        <w:t xml:space="preserve">Figure </w:t>
      </w:r>
      <w:r w:rsidR="00EB4B02">
        <w:rPr>
          <w:noProof/>
        </w:rPr>
        <w:t>14</w:t>
      </w:r>
      <w:r w:rsidR="008F6F1D">
        <w:fldChar w:fldCharType="end"/>
      </w:r>
      <w:r>
        <w:t>.</w:t>
      </w:r>
    </w:p>
    <w:p w14:paraId="6360DE93" w14:textId="5317FC8D" w:rsidR="00370DA6" w:rsidRPr="00117C96" w:rsidRDefault="00370DA6" w:rsidP="00AA0BBA">
      <w:pPr>
        <w:pStyle w:val="Caption"/>
      </w:pPr>
      <w:bookmarkStart w:id="623" w:name="_Ref4403345"/>
      <w:bookmarkStart w:id="624" w:name="_Toc4084378"/>
      <w:bookmarkStart w:id="625" w:name="_Toc10703659"/>
      <w:r w:rsidRPr="00117C96">
        <w:t xml:space="preserve">Figure </w:t>
      </w:r>
      <w:r>
        <w:rPr>
          <w:noProof/>
        </w:rPr>
        <w:fldChar w:fldCharType="begin"/>
      </w:r>
      <w:r>
        <w:rPr>
          <w:noProof/>
        </w:rPr>
        <w:instrText xml:space="preserve"> SEQ Figure \* ARABIC </w:instrText>
      </w:r>
      <w:r>
        <w:rPr>
          <w:noProof/>
        </w:rPr>
        <w:fldChar w:fldCharType="separate"/>
      </w:r>
      <w:r w:rsidR="00EB4B02">
        <w:rPr>
          <w:noProof/>
        </w:rPr>
        <w:t>14</w:t>
      </w:r>
      <w:r>
        <w:rPr>
          <w:noProof/>
        </w:rPr>
        <w:fldChar w:fldCharType="end"/>
      </w:r>
      <w:bookmarkEnd w:id="623"/>
      <w:r w:rsidRPr="00117C96">
        <w:t xml:space="preserve"> – VicRoads Organisation Culture: Care, Share, Dare</w:t>
      </w:r>
      <w:bookmarkEnd w:id="624"/>
      <w:bookmarkEnd w:id="625"/>
    </w:p>
    <w:p w14:paraId="16479B66" w14:textId="77777777" w:rsidR="00370DA6" w:rsidRPr="00117C96" w:rsidRDefault="00370DA6" w:rsidP="00D7064D">
      <w:pPr>
        <w:spacing w:before="240" w:after="0" w:line="240" w:lineRule="auto"/>
        <w:ind w:left="142"/>
        <w:rPr>
          <w:rFonts w:ascii="Segoe UI" w:hAnsi="Segoe UI" w:cs="Segoe UI"/>
        </w:rPr>
      </w:pPr>
      <w:r w:rsidRPr="00117C96">
        <w:rPr>
          <w:rFonts w:ascii="Segoe UI" w:hAnsi="Segoe UI" w:cs="Segoe UI"/>
          <w:noProof/>
          <w:lang w:val="en-GB" w:eastAsia="en-GB"/>
        </w:rPr>
        <w:drawing>
          <wp:inline distT="0" distB="0" distL="0" distR="0" wp14:anchorId="1BA40C9F" wp14:editId="7F84EF86">
            <wp:extent cx="4660900" cy="3647077"/>
            <wp:effectExtent l="0" t="0" r="0" b="0"/>
            <wp:docPr id="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4686859" cy="3667390"/>
                    </a:xfrm>
                    <a:prstGeom prst="rect">
                      <a:avLst/>
                    </a:prstGeom>
                    <a:noFill/>
                    <a:ln w="9525">
                      <a:noFill/>
                      <a:miter lim="800000"/>
                      <a:headEnd/>
                      <a:tailEnd/>
                    </a:ln>
                  </pic:spPr>
                </pic:pic>
              </a:graphicData>
            </a:graphic>
          </wp:inline>
        </w:drawing>
      </w:r>
    </w:p>
    <w:p w14:paraId="54216468" w14:textId="77777777" w:rsidR="00370DA6" w:rsidRPr="00117C96" w:rsidRDefault="00370DA6" w:rsidP="00FF4211">
      <w:pPr>
        <w:pStyle w:val="Source"/>
        <w:rPr>
          <w:rFonts w:cs="Segoe UI"/>
        </w:rPr>
      </w:pPr>
      <w:r w:rsidRPr="00117C96">
        <w:rPr>
          <w:rFonts w:cs="Segoe UI"/>
        </w:rPr>
        <w:t>Source: VicRoads</w:t>
      </w:r>
      <w:r>
        <w:rPr>
          <w:rFonts w:cs="Segoe UI"/>
        </w:rPr>
        <w:t>, 2017</w:t>
      </w:r>
    </w:p>
    <w:p w14:paraId="2015C725" w14:textId="77777777" w:rsidR="00370DA6" w:rsidRPr="00690EBF" w:rsidRDefault="00370DA6">
      <w:pPr>
        <w:pStyle w:val="NoSpacing"/>
      </w:pPr>
      <w:r w:rsidRPr="00690EBF">
        <w:lastRenderedPageBreak/>
        <w:t>Financial Control Mechanisms</w:t>
      </w:r>
    </w:p>
    <w:p w14:paraId="7E85965A" w14:textId="77777777" w:rsidR="00370DA6" w:rsidRPr="00F4147F" w:rsidRDefault="00370DA6" w:rsidP="00F4147F">
      <w:pPr>
        <w:pStyle w:val="TextPara"/>
      </w:pPr>
      <w:r w:rsidRPr="00F4147F">
        <w:t>Financial oversight is managed through a budgetary process, which allocates budgets to business areas, categorised by cost type (e.g. capital expenditure, expense category). Cost performance against budget is reported and reviewed monthly across VicRoads and at various organisational levels. Ultimately, financial governance is overseen by the Finance Governance Committee.</w:t>
      </w:r>
    </w:p>
    <w:p w14:paraId="65E5F893" w14:textId="61731D53" w:rsidR="00370DA6" w:rsidRPr="00F4147F" w:rsidRDefault="00370DA6" w:rsidP="00F4147F">
      <w:pPr>
        <w:pStyle w:val="TextPara"/>
      </w:pPr>
      <w:r w:rsidRPr="00F4147F">
        <w:t xml:space="preserve">The Finance Governance Committee’s membership includes the Executive Director </w:t>
      </w:r>
      <w:r>
        <w:t>Customer &amp; Technology</w:t>
      </w:r>
      <w:r w:rsidRPr="00F4147F">
        <w:t xml:space="preserve"> (chair), Deputy Chief Executive, Chief Financial Officer (CFO) and other senior Finance personnel as well as the CFO of </w:t>
      </w:r>
      <w:r>
        <w:t>DoT</w:t>
      </w:r>
      <w:r w:rsidRPr="00F4147F">
        <w:t xml:space="preserve">. The committee advises the VicRoads’ Vision and Governance Committee and the Executive Leadership Team on matters relating to the financial performance of </w:t>
      </w:r>
      <w:r w:rsidR="00B07110" w:rsidRPr="00F4147F">
        <w:t>VicRoads and</w:t>
      </w:r>
      <w:r w:rsidRPr="00F4147F">
        <w:t xml:space="preserve"> provides oversight and advice on organisational financial activities. The responsibilities of </w:t>
      </w:r>
      <w:r>
        <w:t xml:space="preserve">the </w:t>
      </w:r>
      <w:r w:rsidRPr="00F4147F">
        <w:t>Finance Governance Committee include budget management, reporting and monitoring, financial sustainability, financial compliance, policy and authorisations, and the capability of people and systems.</w:t>
      </w:r>
    </w:p>
    <w:p w14:paraId="427DFF3C" w14:textId="77777777" w:rsidR="00370DA6" w:rsidRPr="00F4147F" w:rsidRDefault="00370DA6" w:rsidP="00F4147F">
      <w:pPr>
        <w:pStyle w:val="TextPara"/>
      </w:pPr>
      <w:r w:rsidRPr="00F4147F">
        <w:t>The customer</w:t>
      </w:r>
      <w:r>
        <w:t>-</w:t>
      </w:r>
      <w:r w:rsidRPr="00F4147F">
        <w:t xml:space="preserve">facing business functions (Customer Service Centres, Call Centres, Medical </w:t>
      </w:r>
      <w:r>
        <w:t xml:space="preserve">Fitness-to-Drive </w:t>
      </w:r>
      <w:r w:rsidRPr="00F4147F">
        <w:t xml:space="preserve">Review etc.) use the </w:t>
      </w:r>
      <w:r>
        <w:t>Queue</w:t>
      </w:r>
      <w:r w:rsidRPr="00F4147F">
        <w:t xml:space="preserve"> Management System (QMS) and the ShiftTrack system to capture the effort (number of transactions and transaction service times) to deliver </w:t>
      </w:r>
      <w:r>
        <w:t xml:space="preserve">all </w:t>
      </w:r>
      <w:r w:rsidRPr="00F4147F">
        <w:t>customer services. The workforce optimisation attributes of these systems track staff capacity and customer demand to efficiently deploy staff to respond to customer demand, ensuring that downtime in minimised.</w:t>
      </w:r>
    </w:p>
    <w:p w14:paraId="76B586D9" w14:textId="77777777" w:rsidR="00370DA6" w:rsidRPr="00F4147F" w:rsidRDefault="00370DA6" w:rsidP="00F4147F">
      <w:pPr>
        <w:pStyle w:val="TextPara"/>
      </w:pPr>
      <w:r w:rsidRPr="00F4147F">
        <w:t>Procurement is closely managed through policy, systems and procedures, ensuring that budgetary and probity controls are adhered to. Functions are outsourced where the third party can deliver the service more efficiently than VicRoads due to their scale and/or specialisation. All major contracts are exposed to competitive tendering processes and due diligence assessments.</w:t>
      </w:r>
    </w:p>
    <w:p w14:paraId="2D031BCF" w14:textId="77777777" w:rsidR="00370DA6" w:rsidRPr="00F4147F" w:rsidRDefault="00370DA6" w:rsidP="00F4147F">
      <w:pPr>
        <w:pStyle w:val="TextPara"/>
      </w:pPr>
      <w:r w:rsidRPr="00F4147F">
        <w:t>An annual audit program is conducted to ensure compliance with procedures.</w:t>
      </w:r>
      <w:r>
        <w:t xml:space="preserve"> </w:t>
      </w:r>
    </w:p>
    <w:p w14:paraId="6B4E9A1B" w14:textId="77777777" w:rsidR="00370DA6" w:rsidRPr="00117C96" w:rsidRDefault="00370DA6" w:rsidP="00370DA6">
      <w:pPr>
        <w:pStyle w:val="Heading2"/>
        <w:spacing w:before="240" w:after="180"/>
      </w:pPr>
      <w:bookmarkStart w:id="626" w:name="_Toc4084203"/>
      <w:bookmarkStart w:id="627" w:name="_Toc10703486"/>
      <w:r>
        <w:t xml:space="preserve">Efficient Service </w:t>
      </w:r>
      <w:r w:rsidRPr="00117C96">
        <w:t>Delivery</w:t>
      </w:r>
      <w:bookmarkEnd w:id="626"/>
      <w:bookmarkEnd w:id="627"/>
    </w:p>
    <w:p w14:paraId="417AE9B5" w14:textId="77777777" w:rsidR="00370DA6" w:rsidRPr="00B238CA" w:rsidRDefault="00370DA6" w:rsidP="00C02B69">
      <w:pPr>
        <w:pStyle w:val="TextPara"/>
      </w:pPr>
      <w:r w:rsidRPr="00B238CA">
        <w:t>Delivery performance is managed and measured at an activity level by transaction volumes and handling times against services levels. Workforce management principles are applied to ensure that staff are allocated efficiently to tasks and that services are optimised. Customers have several modes to engage with VicRoads</w:t>
      </w:r>
      <w:r>
        <w:t xml:space="preserve"> including CSC, Call Centre and VicRoads website. </w:t>
      </w:r>
      <w:r w:rsidRPr="00B238CA">
        <w:t xml:space="preserve">To extend the flexibility for customers to engage with VicRoads, there is an ongoing program of initiatives to </w:t>
      </w:r>
      <w:r>
        <w:t>provide</w:t>
      </w:r>
      <w:r w:rsidRPr="00B238CA">
        <w:t xml:space="preserve"> more transactions </w:t>
      </w:r>
      <w:r>
        <w:t>via</w:t>
      </w:r>
      <w:r w:rsidRPr="00B238CA">
        <w:t xml:space="preserve"> online channels where </w:t>
      </w:r>
      <w:r>
        <w:t xml:space="preserve">it is </w:t>
      </w:r>
      <w:r w:rsidRPr="00B238CA">
        <w:t>of mutual benefit to VicRoads and customers</w:t>
      </w:r>
      <w:r>
        <w:t xml:space="preserve"> to do so</w:t>
      </w:r>
      <w:r w:rsidRPr="00B238CA">
        <w:t>.</w:t>
      </w:r>
    </w:p>
    <w:p w14:paraId="23648DD0" w14:textId="09655C27" w:rsidR="00370DA6" w:rsidRDefault="00370DA6" w:rsidP="00C02B69">
      <w:pPr>
        <w:pStyle w:val="TextPara"/>
      </w:pPr>
      <w:r w:rsidRPr="00B238CA">
        <w:t xml:space="preserve">Over the 5-year period to FY16/17, the number of both drivers and vehicles </w:t>
      </w:r>
      <w:r>
        <w:t>has increased a</w:t>
      </w:r>
      <w:r w:rsidRPr="00B238CA">
        <w:t xml:space="preserve">t an annual average rate of 1.8% and 1.9% </w:t>
      </w:r>
      <w:r>
        <w:t>respectively – refer to</w:t>
      </w:r>
      <w:r w:rsidR="008F6F1D">
        <w:t xml:space="preserve"> </w:t>
      </w:r>
      <w:r w:rsidR="008F6F1D">
        <w:fldChar w:fldCharType="begin"/>
      </w:r>
      <w:r w:rsidR="008F6F1D">
        <w:instrText xml:space="preserve"> REF _Ref4403409 \h </w:instrText>
      </w:r>
      <w:r w:rsidR="008F6F1D">
        <w:fldChar w:fldCharType="separate"/>
      </w:r>
      <w:r w:rsidR="00EB4B02">
        <w:t xml:space="preserve">Table </w:t>
      </w:r>
      <w:r w:rsidR="00EB4B02">
        <w:rPr>
          <w:noProof/>
        </w:rPr>
        <w:t>35</w:t>
      </w:r>
      <w:r w:rsidR="008F6F1D">
        <w:fldChar w:fldCharType="end"/>
      </w:r>
      <w:r>
        <w:t>.</w:t>
      </w:r>
    </w:p>
    <w:p w14:paraId="63A11BDC" w14:textId="77777777" w:rsidR="00370DA6" w:rsidRPr="00B238CA" w:rsidRDefault="00370DA6" w:rsidP="00C02B69">
      <w:pPr>
        <w:pStyle w:val="TextPara"/>
      </w:pPr>
      <w:r w:rsidRPr="00B238CA">
        <w:t xml:space="preserve">This growth has a direct impact on </w:t>
      </w:r>
      <w:r w:rsidRPr="00C02B69">
        <w:t>customer</w:t>
      </w:r>
      <w:r w:rsidRPr="00B238CA">
        <w:t xml:space="preserve"> transactions and the total cost of operations. Drive tests, customer enquiries, registrations, transfers, billing and many other transactions all increase in volume with drivers and vehicle growth.</w:t>
      </w:r>
    </w:p>
    <w:p w14:paraId="36B6A2B6" w14:textId="7932E24F" w:rsidR="00370DA6" w:rsidRPr="00117C96" w:rsidRDefault="00370DA6" w:rsidP="00AA0BBA">
      <w:pPr>
        <w:pStyle w:val="Caption"/>
      </w:pPr>
      <w:bookmarkStart w:id="628" w:name="_Ref4403409"/>
      <w:bookmarkStart w:id="629" w:name="_Toc4084317"/>
      <w:bookmarkStart w:id="630" w:name="_Toc10703728"/>
      <w:r>
        <w:t xml:space="preserve">Table </w:t>
      </w:r>
      <w:r>
        <w:rPr>
          <w:noProof/>
        </w:rPr>
        <w:fldChar w:fldCharType="begin"/>
      </w:r>
      <w:r>
        <w:rPr>
          <w:noProof/>
        </w:rPr>
        <w:instrText xml:space="preserve"> SEQ Table \* ARABIC </w:instrText>
      </w:r>
      <w:r>
        <w:rPr>
          <w:noProof/>
        </w:rPr>
        <w:fldChar w:fldCharType="separate"/>
      </w:r>
      <w:r w:rsidR="00EB4B02">
        <w:rPr>
          <w:noProof/>
        </w:rPr>
        <w:t>35</w:t>
      </w:r>
      <w:r>
        <w:rPr>
          <w:noProof/>
        </w:rPr>
        <w:fldChar w:fldCharType="end"/>
      </w:r>
      <w:bookmarkEnd w:id="628"/>
      <w:r>
        <w:t xml:space="preserve"> – </w:t>
      </w:r>
      <w:r w:rsidRPr="005C2E66">
        <w:t>Licens</w:t>
      </w:r>
      <w:r>
        <w:t>ed drivers and registered vehicles: 5-year trend</w:t>
      </w:r>
      <w:bookmarkEnd w:id="629"/>
      <w:bookmarkEnd w:id="630"/>
    </w:p>
    <w:tbl>
      <w:tblPr>
        <w:tblStyle w:val="RIS-Table2"/>
        <w:tblW w:w="0" w:type="auto"/>
        <w:tblLayout w:type="fixed"/>
        <w:tblLook w:val="04A0" w:firstRow="1" w:lastRow="0" w:firstColumn="1" w:lastColumn="0" w:noHBand="0" w:noVBand="1"/>
      </w:tblPr>
      <w:tblGrid>
        <w:gridCol w:w="4390"/>
        <w:gridCol w:w="992"/>
        <w:gridCol w:w="993"/>
        <w:gridCol w:w="1134"/>
        <w:gridCol w:w="992"/>
        <w:gridCol w:w="992"/>
      </w:tblGrid>
      <w:tr w:rsidR="00370DA6" w:rsidRPr="00117C96" w14:paraId="6E31A867" w14:textId="77777777" w:rsidTr="000A0322">
        <w:trPr>
          <w:cnfStyle w:val="100000000000" w:firstRow="1" w:lastRow="0" w:firstColumn="0" w:lastColumn="0" w:oddVBand="0" w:evenVBand="0" w:oddHBand="0" w:evenHBand="0" w:firstRowFirstColumn="0" w:firstRowLastColumn="0" w:lastRowFirstColumn="0" w:lastRowLastColumn="0"/>
        </w:trPr>
        <w:tc>
          <w:tcPr>
            <w:tcW w:w="4390" w:type="dxa"/>
          </w:tcPr>
          <w:p w14:paraId="178CE727" w14:textId="77777777" w:rsidR="00370DA6" w:rsidRPr="00117C96" w:rsidRDefault="00370DA6" w:rsidP="00467F4F">
            <w:pPr>
              <w:pStyle w:val="TableHeaders"/>
            </w:pPr>
            <w:r w:rsidRPr="00117C96">
              <w:t>Customer Base</w:t>
            </w:r>
          </w:p>
        </w:tc>
        <w:tc>
          <w:tcPr>
            <w:tcW w:w="992" w:type="dxa"/>
          </w:tcPr>
          <w:p w14:paraId="138C7E24" w14:textId="77777777" w:rsidR="00370DA6" w:rsidRDefault="00370DA6" w:rsidP="00467F4F">
            <w:pPr>
              <w:pStyle w:val="TextPara"/>
              <w:spacing w:before="0" w:after="0"/>
              <w:rPr>
                <w:rFonts w:cs="Segoe UI"/>
                <w:b w:val="0"/>
                <w:bCs/>
                <w:sz w:val="18"/>
              </w:rPr>
            </w:pPr>
            <w:r w:rsidRPr="00117C96">
              <w:rPr>
                <w:rFonts w:cs="Segoe UI"/>
                <w:sz w:val="18"/>
              </w:rPr>
              <w:t>FY12/13</w:t>
            </w:r>
          </w:p>
          <w:p w14:paraId="0FCFDCAF" w14:textId="77777777" w:rsidR="00370DA6" w:rsidRDefault="00370DA6" w:rsidP="00467F4F">
            <w:pPr>
              <w:pStyle w:val="TextPara"/>
              <w:spacing w:before="0" w:after="0"/>
              <w:rPr>
                <w:rFonts w:cs="Segoe UI"/>
                <w:b w:val="0"/>
                <w:bCs/>
                <w:sz w:val="18"/>
              </w:rPr>
            </w:pPr>
            <w:r>
              <w:rPr>
                <w:rFonts w:cs="Segoe UI"/>
                <w:sz w:val="18"/>
              </w:rPr>
              <w:t>‘000</w:t>
            </w:r>
          </w:p>
        </w:tc>
        <w:tc>
          <w:tcPr>
            <w:tcW w:w="993" w:type="dxa"/>
          </w:tcPr>
          <w:p w14:paraId="3451E27E" w14:textId="77777777" w:rsidR="00370DA6" w:rsidRDefault="00370DA6" w:rsidP="00467F4F">
            <w:pPr>
              <w:pStyle w:val="TextPara"/>
              <w:spacing w:before="0" w:after="0"/>
              <w:rPr>
                <w:rFonts w:cs="Segoe UI"/>
                <w:b w:val="0"/>
                <w:bCs/>
                <w:sz w:val="18"/>
              </w:rPr>
            </w:pPr>
            <w:r w:rsidRPr="00117C96">
              <w:rPr>
                <w:rFonts w:cs="Segoe UI"/>
                <w:sz w:val="18"/>
              </w:rPr>
              <w:t>FY13/14</w:t>
            </w:r>
          </w:p>
          <w:p w14:paraId="446AC919" w14:textId="77777777" w:rsidR="00370DA6" w:rsidRDefault="00370DA6" w:rsidP="00467F4F">
            <w:pPr>
              <w:pStyle w:val="TextPara"/>
              <w:spacing w:before="0" w:after="0"/>
              <w:rPr>
                <w:rFonts w:cs="Segoe UI"/>
                <w:b w:val="0"/>
                <w:bCs/>
                <w:sz w:val="18"/>
              </w:rPr>
            </w:pPr>
            <w:r>
              <w:rPr>
                <w:rFonts w:cs="Segoe UI"/>
                <w:sz w:val="18"/>
              </w:rPr>
              <w:t>‘000</w:t>
            </w:r>
          </w:p>
        </w:tc>
        <w:tc>
          <w:tcPr>
            <w:tcW w:w="1134" w:type="dxa"/>
          </w:tcPr>
          <w:p w14:paraId="4FB1AF4E" w14:textId="77777777" w:rsidR="00370DA6" w:rsidRDefault="00370DA6" w:rsidP="00467F4F">
            <w:pPr>
              <w:pStyle w:val="TextPara"/>
              <w:spacing w:before="0" w:after="0"/>
              <w:rPr>
                <w:rFonts w:cs="Segoe UI"/>
                <w:b w:val="0"/>
                <w:bCs/>
                <w:sz w:val="18"/>
              </w:rPr>
            </w:pPr>
            <w:r w:rsidRPr="00117C96">
              <w:rPr>
                <w:rFonts w:cs="Segoe UI"/>
                <w:sz w:val="18"/>
              </w:rPr>
              <w:t>FY14/15</w:t>
            </w:r>
          </w:p>
          <w:p w14:paraId="6E9F1A66" w14:textId="77777777" w:rsidR="00370DA6" w:rsidRDefault="00370DA6" w:rsidP="00467F4F">
            <w:pPr>
              <w:pStyle w:val="TextPara"/>
              <w:spacing w:before="0" w:after="0"/>
              <w:rPr>
                <w:rFonts w:cs="Segoe UI"/>
                <w:b w:val="0"/>
                <w:bCs/>
                <w:sz w:val="18"/>
              </w:rPr>
            </w:pPr>
            <w:r>
              <w:rPr>
                <w:rFonts w:cs="Segoe UI"/>
                <w:sz w:val="18"/>
              </w:rPr>
              <w:t>‘000</w:t>
            </w:r>
          </w:p>
        </w:tc>
        <w:tc>
          <w:tcPr>
            <w:tcW w:w="992" w:type="dxa"/>
          </w:tcPr>
          <w:p w14:paraId="68C4BDCD" w14:textId="77777777" w:rsidR="00370DA6" w:rsidRDefault="00370DA6" w:rsidP="00467F4F">
            <w:pPr>
              <w:pStyle w:val="TextPara"/>
              <w:spacing w:before="0" w:after="0"/>
              <w:rPr>
                <w:rFonts w:cs="Segoe UI"/>
                <w:b w:val="0"/>
                <w:bCs/>
                <w:sz w:val="18"/>
              </w:rPr>
            </w:pPr>
            <w:r w:rsidRPr="00117C96">
              <w:rPr>
                <w:rFonts w:cs="Segoe UI"/>
                <w:sz w:val="18"/>
              </w:rPr>
              <w:t>FY15/16</w:t>
            </w:r>
          </w:p>
          <w:p w14:paraId="5EB26053" w14:textId="77777777" w:rsidR="00370DA6" w:rsidRDefault="00370DA6" w:rsidP="00467F4F">
            <w:pPr>
              <w:pStyle w:val="TextPara"/>
              <w:spacing w:before="0" w:after="0"/>
              <w:rPr>
                <w:rFonts w:cs="Segoe UI"/>
                <w:b w:val="0"/>
                <w:bCs/>
                <w:sz w:val="18"/>
              </w:rPr>
            </w:pPr>
            <w:r>
              <w:rPr>
                <w:rFonts w:cs="Segoe UI"/>
                <w:sz w:val="18"/>
              </w:rPr>
              <w:t>‘000</w:t>
            </w:r>
          </w:p>
        </w:tc>
        <w:tc>
          <w:tcPr>
            <w:tcW w:w="992" w:type="dxa"/>
          </w:tcPr>
          <w:p w14:paraId="7C263DD8" w14:textId="77777777" w:rsidR="00370DA6" w:rsidRDefault="00370DA6" w:rsidP="00467F4F">
            <w:pPr>
              <w:pStyle w:val="TextPara"/>
              <w:spacing w:before="0" w:after="0"/>
              <w:rPr>
                <w:rFonts w:cs="Segoe UI"/>
                <w:b w:val="0"/>
                <w:bCs/>
                <w:sz w:val="18"/>
              </w:rPr>
            </w:pPr>
            <w:r w:rsidRPr="00117C96">
              <w:rPr>
                <w:rFonts w:cs="Segoe UI"/>
                <w:sz w:val="18"/>
              </w:rPr>
              <w:t>FY16/17</w:t>
            </w:r>
          </w:p>
          <w:p w14:paraId="621F84AC" w14:textId="77777777" w:rsidR="00370DA6" w:rsidRDefault="00370DA6" w:rsidP="00467F4F">
            <w:pPr>
              <w:pStyle w:val="TextPara"/>
              <w:spacing w:before="0" w:after="0"/>
              <w:rPr>
                <w:rFonts w:cs="Segoe UI"/>
                <w:b w:val="0"/>
                <w:bCs/>
                <w:sz w:val="18"/>
              </w:rPr>
            </w:pPr>
            <w:r>
              <w:rPr>
                <w:rFonts w:cs="Segoe UI"/>
                <w:sz w:val="18"/>
              </w:rPr>
              <w:t>‘000</w:t>
            </w:r>
          </w:p>
        </w:tc>
      </w:tr>
      <w:tr w:rsidR="00370DA6" w:rsidRPr="004C0DBD" w14:paraId="3F00B0AC" w14:textId="77777777" w:rsidTr="000A0322">
        <w:tc>
          <w:tcPr>
            <w:tcW w:w="4390" w:type="dxa"/>
          </w:tcPr>
          <w:p w14:paraId="0216632B" w14:textId="77777777" w:rsidR="00370DA6" w:rsidRPr="00EC36DF" w:rsidRDefault="00370DA6" w:rsidP="00467F4F">
            <w:pPr>
              <w:pStyle w:val="TableParagraph"/>
            </w:pPr>
            <w:r w:rsidRPr="00EC36DF">
              <w:t>Licensed drivers (excluding learners) at 30 June</w:t>
            </w:r>
          </w:p>
        </w:tc>
        <w:tc>
          <w:tcPr>
            <w:tcW w:w="992" w:type="dxa"/>
          </w:tcPr>
          <w:p w14:paraId="2FE723E4" w14:textId="77777777" w:rsidR="00370DA6" w:rsidRPr="00EC36DF" w:rsidRDefault="00370DA6" w:rsidP="00467F4F">
            <w:pPr>
              <w:pStyle w:val="TableParagraph"/>
              <w:ind w:right="10"/>
              <w:jc w:val="right"/>
            </w:pPr>
            <w:r w:rsidRPr="00EC36DF">
              <w:t>3,958</w:t>
            </w:r>
          </w:p>
        </w:tc>
        <w:tc>
          <w:tcPr>
            <w:tcW w:w="993" w:type="dxa"/>
          </w:tcPr>
          <w:p w14:paraId="5158AF4E" w14:textId="77777777" w:rsidR="00370DA6" w:rsidRPr="00EC36DF" w:rsidRDefault="00370DA6" w:rsidP="00467F4F">
            <w:pPr>
              <w:pStyle w:val="TableParagraph"/>
              <w:ind w:right="10"/>
              <w:jc w:val="right"/>
            </w:pPr>
            <w:r w:rsidRPr="00EC36DF">
              <w:t>4,029</w:t>
            </w:r>
          </w:p>
        </w:tc>
        <w:tc>
          <w:tcPr>
            <w:tcW w:w="1134" w:type="dxa"/>
          </w:tcPr>
          <w:p w14:paraId="524A2D22" w14:textId="77777777" w:rsidR="00370DA6" w:rsidRPr="00EC36DF" w:rsidRDefault="00370DA6" w:rsidP="00467F4F">
            <w:pPr>
              <w:pStyle w:val="TableParagraph"/>
              <w:ind w:right="10"/>
              <w:jc w:val="right"/>
            </w:pPr>
            <w:r w:rsidRPr="00EC36DF">
              <w:t>4,109</w:t>
            </w:r>
          </w:p>
        </w:tc>
        <w:tc>
          <w:tcPr>
            <w:tcW w:w="992" w:type="dxa"/>
          </w:tcPr>
          <w:p w14:paraId="02B25D7A" w14:textId="77777777" w:rsidR="00370DA6" w:rsidRPr="00EC36DF" w:rsidRDefault="00370DA6" w:rsidP="00467F4F">
            <w:pPr>
              <w:pStyle w:val="TableParagraph"/>
              <w:ind w:right="10"/>
              <w:jc w:val="right"/>
            </w:pPr>
            <w:r w:rsidRPr="00EC36DF">
              <w:t>4,189</w:t>
            </w:r>
          </w:p>
        </w:tc>
        <w:tc>
          <w:tcPr>
            <w:tcW w:w="992" w:type="dxa"/>
          </w:tcPr>
          <w:p w14:paraId="0FB8C8EC" w14:textId="77777777" w:rsidR="00370DA6" w:rsidRPr="00EC36DF" w:rsidRDefault="00370DA6" w:rsidP="00467F4F">
            <w:pPr>
              <w:pStyle w:val="TableParagraph"/>
              <w:ind w:right="10"/>
              <w:jc w:val="right"/>
            </w:pPr>
            <w:r w:rsidRPr="00EC36DF">
              <w:t>4,252</w:t>
            </w:r>
          </w:p>
        </w:tc>
      </w:tr>
      <w:tr w:rsidR="00370DA6" w:rsidRPr="004C0DBD" w14:paraId="2F5AC739" w14:textId="77777777" w:rsidTr="000A0322">
        <w:trPr>
          <w:cnfStyle w:val="000000010000" w:firstRow="0" w:lastRow="0" w:firstColumn="0" w:lastColumn="0" w:oddVBand="0" w:evenVBand="0" w:oddHBand="0" w:evenHBand="1" w:firstRowFirstColumn="0" w:firstRowLastColumn="0" w:lastRowFirstColumn="0" w:lastRowLastColumn="0"/>
        </w:trPr>
        <w:tc>
          <w:tcPr>
            <w:tcW w:w="4390" w:type="dxa"/>
          </w:tcPr>
          <w:p w14:paraId="1886840A" w14:textId="77777777" w:rsidR="00370DA6" w:rsidRPr="00EC36DF" w:rsidRDefault="00370DA6" w:rsidP="00467F4F">
            <w:pPr>
              <w:pStyle w:val="TableParagraph"/>
            </w:pPr>
            <w:r w:rsidRPr="00EC36DF">
              <w:t>Registered vehicles at 30 June</w:t>
            </w:r>
          </w:p>
        </w:tc>
        <w:tc>
          <w:tcPr>
            <w:tcW w:w="992" w:type="dxa"/>
          </w:tcPr>
          <w:p w14:paraId="7B842708" w14:textId="77777777" w:rsidR="00370DA6" w:rsidRPr="00EC36DF" w:rsidRDefault="00370DA6" w:rsidP="00467F4F">
            <w:pPr>
              <w:pStyle w:val="TableParagraph"/>
              <w:ind w:right="10"/>
              <w:jc w:val="right"/>
            </w:pPr>
            <w:r w:rsidRPr="00EC36DF">
              <w:t>5,319</w:t>
            </w:r>
          </w:p>
        </w:tc>
        <w:tc>
          <w:tcPr>
            <w:tcW w:w="993" w:type="dxa"/>
          </w:tcPr>
          <w:p w14:paraId="17DA4EFA" w14:textId="77777777" w:rsidR="00370DA6" w:rsidRPr="00EC36DF" w:rsidRDefault="00370DA6" w:rsidP="00467F4F">
            <w:pPr>
              <w:pStyle w:val="TableParagraph"/>
              <w:ind w:right="10"/>
              <w:jc w:val="right"/>
            </w:pPr>
            <w:r w:rsidRPr="00EC36DF">
              <w:t>5,439</w:t>
            </w:r>
          </w:p>
        </w:tc>
        <w:tc>
          <w:tcPr>
            <w:tcW w:w="1134" w:type="dxa"/>
          </w:tcPr>
          <w:p w14:paraId="2D14840B" w14:textId="77777777" w:rsidR="00370DA6" w:rsidRPr="00EC36DF" w:rsidRDefault="00370DA6" w:rsidP="00467F4F">
            <w:pPr>
              <w:pStyle w:val="TableParagraph"/>
              <w:ind w:right="10"/>
              <w:jc w:val="right"/>
            </w:pPr>
            <w:r w:rsidRPr="00EC36DF">
              <w:t>5,562</w:t>
            </w:r>
          </w:p>
        </w:tc>
        <w:tc>
          <w:tcPr>
            <w:tcW w:w="992" w:type="dxa"/>
          </w:tcPr>
          <w:p w14:paraId="071A6ED2" w14:textId="77777777" w:rsidR="00370DA6" w:rsidRPr="00EC36DF" w:rsidRDefault="00370DA6" w:rsidP="00467F4F">
            <w:pPr>
              <w:pStyle w:val="TableParagraph"/>
              <w:ind w:right="10"/>
              <w:jc w:val="right"/>
            </w:pPr>
            <w:r w:rsidRPr="00EC36DF">
              <w:t>5,699</w:t>
            </w:r>
          </w:p>
        </w:tc>
        <w:tc>
          <w:tcPr>
            <w:tcW w:w="992" w:type="dxa"/>
          </w:tcPr>
          <w:p w14:paraId="1C1A1315" w14:textId="77777777" w:rsidR="00370DA6" w:rsidRPr="00EC36DF" w:rsidRDefault="00370DA6" w:rsidP="00467F4F">
            <w:pPr>
              <w:pStyle w:val="TableParagraph"/>
              <w:ind w:right="10"/>
              <w:jc w:val="right"/>
            </w:pPr>
            <w:r w:rsidRPr="00EC36DF">
              <w:t>5,730</w:t>
            </w:r>
          </w:p>
        </w:tc>
      </w:tr>
    </w:tbl>
    <w:p w14:paraId="4899B132" w14:textId="77777777" w:rsidR="00370DA6" w:rsidRPr="00F4147F" w:rsidRDefault="00370DA6" w:rsidP="00F4147F">
      <w:pPr>
        <w:pStyle w:val="Source"/>
      </w:pPr>
      <w:r w:rsidRPr="00117C96">
        <w:t xml:space="preserve">Source: </w:t>
      </w:r>
      <w:r>
        <w:t xml:space="preserve">VicRoads </w:t>
      </w:r>
      <w:r w:rsidRPr="00117C96">
        <w:t>R&amp;L Finance Fast Facts</w:t>
      </w:r>
    </w:p>
    <w:p w14:paraId="4B2F9CB0" w14:textId="77777777" w:rsidR="00370DA6" w:rsidRPr="00B238CA" w:rsidRDefault="00370DA6" w:rsidP="006D39AC">
      <w:pPr>
        <w:pStyle w:val="TextPara"/>
        <w:spacing w:before="240"/>
      </w:pPr>
      <w:r w:rsidRPr="00B238CA">
        <w:t xml:space="preserve">Measuring delivery performance against a combination of </w:t>
      </w:r>
      <w:r w:rsidRPr="00B238CA">
        <w:rPr>
          <w:b/>
        </w:rPr>
        <w:t>efficiency metrics</w:t>
      </w:r>
      <w:r w:rsidRPr="00B238CA">
        <w:t xml:space="preserve">, </w:t>
      </w:r>
      <w:r w:rsidRPr="00B238CA">
        <w:rPr>
          <w:b/>
        </w:rPr>
        <w:t>service levels</w:t>
      </w:r>
      <w:r w:rsidRPr="00B238CA">
        <w:t xml:space="preserve"> and </w:t>
      </w:r>
      <w:r w:rsidRPr="00B238CA">
        <w:rPr>
          <w:b/>
        </w:rPr>
        <w:t>customer satisfaction</w:t>
      </w:r>
      <w:r w:rsidRPr="00B238CA">
        <w:t xml:space="preserve"> </w:t>
      </w:r>
      <w:r w:rsidRPr="00552943">
        <w:rPr>
          <w:b/>
        </w:rPr>
        <w:t>ratings</w:t>
      </w:r>
      <w:r>
        <w:t xml:space="preserve"> </w:t>
      </w:r>
      <w:r w:rsidRPr="00B238CA">
        <w:t>enable</w:t>
      </w:r>
      <w:r>
        <w:t>s</w:t>
      </w:r>
      <w:r w:rsidRPr="00B238CA">
        <w:t xml:space="preserve"> a balanced </w:t>
      </w:r>
      <w:r w:rsidRPr="00C02B69">
        <w:t>assessment</w:t>
      </w:r>
      <w:r w:rsidRPr="00B238CA">
        <w:t xml:space="preserve"> of the outcomes achieved.</w:t>
      </w:r>
    </w:p>
    <w:p w14:paraId="7C9AD763" w14:textId="77777777" w:rsidR="00370DA6" w:rsidRPr="00A70E0E" w:rsidRDefault="00370DA6" w:rsidP="008103DD">
      <w:pPr>
        <w:pStyle w:val="Heading3"/>
      </w:pPr>
      <w:bookmarkStart w:id="631" w:name="_Toc10703487"/>
      <w:r w:rsidRPr="00296394">
        <w:lastRenderedPageBreak/>
        <w:t xml:space="preserve">Efficiency </w:t>
      </w:r>
      <w:r>
        <w:t>M</w:t>
      </w:r>
      <w:r w:rsidRPr="00296394">
        <w:t>etrics</w:t>
      </w:r>
      <w:bookmarkEnd w:id="631"/>
    </w:p>
    <w:p w14:paraId="5B45EDCB" w14:textId="44F21413" w:rsidR="00370DA6" w:rsidRDefault="00370DA6" w:rsidP="00370DA6">
      <w:pPr>
        <w:pStyle w:val="TextPara"/>
      </w:pPr>
      <w:r>
        <w:t>B</w:t>
      </w:r>
      <w:r w:rsidRPr="00B238CA">
        <w:t>enchmark</w:t>
      </w:r>
      <w:r>
        <w:t>ing</w:t>
      </w:r>
      <w:r w:rsidRPr="00B238CA">
        <w:t xml:space="preserve"> cost and productivity against </w:t>
      </w:r>
      <w:r>
        <w:t>similar</w:t>
      </w:r>
      <w:r w:rsidRPr="00B238CA">
        <w:t xml:space="preserve"> organisations </w:t>
      </w:r>
      <w:r>
        <w:t xml:space="preserve">can </w:t>
      </w:r>
      <w:r w:rsidRPr="00B238CA">
        <w:t xml:space="preserve">provide a </w:t>
      </w:r>
      <w:r>
        <w:t>good</w:t>
      </w:r>
      <w:r w:rsidRPr="00B238CA">
        <w:t xml:space="preserve"> indication of performance</w:t>
      </w:r>
      <w:r>
        <w:t>. H</w:t>
      </w:r>
      <w:r w:rsidRPr="00B238CA">
        <w:t>owever</w:t>
      </w:r>
      <w:r>
        <w:t>,</w:t>
      </w:r>
      <w:r w:rsidRPr="00B238CA">
        <w:t xml:space="preserve"> there is no national standard of performance measurement and no established practice of sharing costs and performance information </w:t>
      </w:r>
      <w:r>
        <w:t>among Australian</w:t>
      </w:r>
      <w:r w:rsidRPr="00B238CA">
        <w:t xml:space="preserve"> jurisdictions. </w:t>
      </w:r>
      <w:r>
        <w:t>As a result, there are</w:t>
      </w:r>
      <w:r w:rsidRPr="00B238CA">
        <w:t xml:space="preserve"> no benchmarks available to compare VicRoads’ service delivery with other registration and licensing organisations in Australia.</w:t>
      </w:r>
      <w:r>
        <w:t xml:space="preserve"> </w:t>
      </w:r>
      <w:r w:rsidRPr="00B238CA">
        <w:t>Th</w:t>
      </w:r>
      <w:r>
        <w:t>is lack of availability of</w:t>
      </w:r>
      <w:r w:rsidRPr="00B238CA">
        <w:t xml:space="preserve"> benchmark data </w:t>
      </w:r>
      <w:r>
        <w:t xml:space="preserve">applies also to </w:t>
      </w:r>
      <w:r w:rsidRPr="00B238CA">
        <w:t xml:space="preserve">Victorian Government </w:t>
      </w:r>
      <w:r>
        <w:t>agencies</w:t>
      </w:r>
      <w:r w:rsidR="00797713">
        <w:t xml:space="preserve"> (none of which provides service similar enough to VicRoads to enable meaningful comparison)</w:t>
      </w:r>
      <w:r w:rsidRPr="00B238CA">
        <w:t xml:space="preserve">. </w:t>
      </w:r>
      <w:r w:rsidRPr="00B238CA" w:rsidDel="00997346">
        <w:t xml:space="preserve"> </w:t>
      </w:r>
    </w:p>
    <w:p w14:paraId="24C07644" w14:textId="77777777" w:rsidR="00370DA6" w:rsidRPr="00B238CA" w:rsidRDefault="00370DA6" w:rsidP="00370DA6">
      <w:pPr>
        <w:pStyle w:val="TextPara"/>
      </w:pPr>
      <w:r>
        <w:t>The only relevant benchmarks are some high-volume transactions performed both by VicRoads staff at CSCs and by outsourced service providers. For example, Australia Post is contracted to perform a limited number of functions on behalf of VicRoads for the convenience of its customers. One of these transactions is the reissue of driver licences, which consists of the taking of a photo of the customer and the receipting of the licence fee. While Australia Post charges VicRoads $5.00 per transaction, the same transaction performed by CSC staff on average costs VicRoads $4.89 to provide. Similarly, Australia Post charges $5.00 per vehicle registration renewal transaction, while the CSC average cost for the same transaction is $4.58. Based on these transactions, VicRoads compares reasonably against Australia Post.</w:t>
      </w:r>
    </w:p>
    <w:p w14:paraId="0685C94D" w14:textId="77777777" w:rsidR="00370DA6" w:rsidRDefault="00370DA6" w:rsidP="00C02B69">
      <w:pPr>
        <w:pStyle w:val="TextPara"/>
      </w:pPr>
      <w:r w:rsidRPr="0086263D">
        <w:t xml:space="preserve">As there is no set of broad-based benchmarks to compare against, </w:t>
      </w:r>
      <w:r w:rsidRPr="008103DD">
        <w:rPr>
          <w:b/>
        </w:rPr>
        <w:t>operating costs</w:t>
      </w:r>
      <w:r w:rsidRPr="0086263D">
        <w:t xml:space="preserve"> and </w:t>
      </w:r>
      <w:r w:rsidRPr="008103DD">
        <w:rPr>
          <w:b/>
        </w:rPr>
        <w:t>labour productivity</w:t>
      </w:r>
      <w:r w:rsidRPr="0086263D">
        <w:t xml:space="preserve"> trends within VicRoads have been used as the key indicators of efficiency for the purposes of this RIS.</w:t>
      </w:r>
    </w:p>
    <w:p w14:paraId="55884419" w14:textId="2C045131" w:rsidR="00370DA6" w:rsidRPr="00BF133E" w:rsidRDefault="00370DA6" w:rsidP="00EB4B02">
      <w:pPr>
        <w:pStyle w:val="NoSpacing"/>
        <w:numPr>
          <w:ilvl w:val="0"/>
          <w:numId w:val="32"/>
        </w:numPr>
        <w:rPr>
          <w:i w:val="0"/>
        </w:rPr>
      </w:pPr>
      <w:r w:rsidRPr="00BF133E">
        <w:rPr>
          <w:i w:val="0"/>
        </w:rPr>
        <w:t>Operating costs</w:t>
      </w:r>
      <w:r w:rsidR="00122873" w:rsidRPr="00BF133E">
        <w:rPr>
          <w:i w:val="0"/>
          <w:color w:val="auto"/>
        </w:rPr>
        <w:t xml:space="preserve"> </w:t>
      </w:r>
    </w:p>
    <w:p w14:paraId="67A9449A" w14:textId="4B36AEC2" w:rsidR="00370DA6" w:rsidRDefault="00370DA6" w:rsidP="00370DA6">
      <w:pPr>
        <w:pStyle w:val="TextPara"/>
      </w:pPr>
      <w:r>
        <w:t xml:space="preserve">The services are delivered at various locations around Victoria for customer convenience using various technologies with staff optimisation being a key consideration. </w:t>
      </w:r>
      <w:r w:rsidR="001411BC">
        <w:t xml:space="preserve">To provide a quality service that minimises the cost of providing those services, VicRoads </w:t>
      </w:r>
      <w:r w:rsidR="00ED280D">
        <w:t xml:space="preserve">supports customers enquiries and preparations for attending CSCs with telephone and </w:t>
      </w:r>
      <w:r w:rsidR="001411BC">
        <w:t>o</w:t>
      </w:r>
      <w:r w:rsidR="000E1114">
        <w:t xml:space="preserve">nline services </w:t>
      </w:r>
      <w:r w:rsidR="00ED280D">
        <w:t xml:space="preserve">which </w:t>
      </w:r>
      <w:r w:rsidR="001411BC">
        <w:t>provide e</w:t>
      </w:r>
      <w:r>
        <w:t>xtensive information for transactions</w:t>
      </w:r>
      <w:r w:rsidR="001411BC">
        <w:t xml:space="preserve">. </w:t>
      </w:r>
      <w:r w:rsidR="00ED280D">
        <w:t>These services are further supplemented with</w:t>
      </w:r>
      <w:r>
        <w:t xml:space="preserve"> pamphlets and booklets for complex transactions</w:t>
      </w:r>
      <w:r w:rsidR="00ED280D">
        <w:t xml:space="preserve"> (</w:t>
      </w:r>
      <w:r>
        <w:t>such as getting one’s licence back after a licence cancellation</w:t>
      </w:r>
      <w:r w:rsidR="00ED280D">
        <w:t>)</w:t>
      </w:r>
      <w:r>
        <w:t>.</w:t>
      </w:r>
      <w:r w:rsidR="00ED280D">
        <w:t xml:space="preserve"> </w:t>
      </w:r>
      <w:r>
        <w:t xml:space="preserve">To optimise CSC staff resources and to minimise the time customers spend at CSCs, “walk up” customers are channelled to appropriately skilled staff to ensure transactions are handled expeditiously. </w:t>
      </w:r>
    </w:p>
    <w:p w14:paraId="05CFBE93" w14:textId="359786BC" w:rsidR="00F84E98" w:rsidRDefault="00370DA6" w:rsidP="00F84E98">
      <w:pPr>
        <w:pStyle w:val="TextPara"/>
      </w:pPr>
      <w:r>
        <w:t xml:space="preserve">For resourcing flexibility all customer service staff are trained to process the common high-volume transactions for both licensing and vehicle registration services. This enables dynamic resource allocation as required through the queue management system (QMS) </w:t>
      </w:r>
      <w:r w:rsidR="00835A35">
        <w:t xml:space="preserve">at CSCs and ShiftTrack at Call Centres </w:t>
      </w:r>
      <w:r>
        <w:t xml:space="preserve">to meet customer demand for most transaction types. </w:t>
      </w:r>
      <w:r w:rsidR="00FF3479">
        <w:t>Th</w:t>
      </w:r>
      <w:r w:rsidR="00835A35">
        <w:t>ese</w:t>
      </w:r>
      <w:r w:rsidR="00FF3479">
        <w:t xml:space="preserve"> system</w:t>
      </w:r>
      <w:r w:rsidR="00835A35">
        <w:t>s</w:t>
      </w:r>
      <w:r w:rsidR="00FF3479">
        <w:t xml:space="preserve"> track the </w:t>
      </w:r>
      <w:r w:rsidR="006467DE">
        <w:t xml:space="preserve">broad </w:t>
      </w:r>
      <w:r w:rsidR="00FF3479">
        <w:t xml:space="preserve">type of transaction </w:t>
      </w:r>
      <w:r w:rsidR="00687A45">
        <w:t xml:space="preserve">at a service level </w:t>
      </w:r>
      <w:r w:rsidR="00FF3479">
        <w:t>and the time taken to complete that transaction</w:t>
      </w:r>
      <w:r w:rsidR="00687A45">
        <w:t>, rather than at the individual process step level within the service. That is to say,</w:t>
      </w:r>
      <w:r w:rsidR="00835A35">
        <w:t xml:space="preserve"> </w:t>
      </w:r>
      <w:r w:rsidR="00687A45">
        <w:t>a</w:t>
      </w:r>
      <w:r w:rsidR="00835A35">
        <w:t>t the CSC the QMS system tracks</w:t>
      </w:r>
      <w:r w:rsidR="00FF3479">
        <w:t xml:space="preserve"> </w:t>
      </w:r>
      <w:r w:rsidR="00835A35">
        <w:t xml:space="preserve">a transaction </w:t>
      </w:r>
      <w:r w:rsidR="00FF3479">
        <w:t>from the point at which the customer attends the CSC counter until they leave</w:t>
      </w:r>
      <w:r w:rsidR="00835A35">
        <w:t xml:space="preserve"> (it does not break down the individual steps that might make up a transaction (e.g. updat</w:t>
      </w:r>
      <w:r w:rsidR="00687A45">
        <w:t>ing</w:t>
      </w:r>
      <w:r w:rsidR="00835A35">
        <w:t xml:space="preserve"> system records, tak</w:t>
      </w:r>
      <w:r w:rsidR="00687A45">
        <w:t>ing of</w:t>
      </w:r>
      <w:r w:rsidR="00835A35">
        <w:t xml:space="preserve"> payment, issu</w:t>
      </w:r>
      <w:r w:rsidR="00687A45">
        <w:t xml:space="preserve">ing </w:t>
      </w:r>
      <w:r w:rsidR="00BF133E">
        <w:t xml:space="preserve">a </w:t>
      </w:r>
      <w:r w:rsidR="00835A35">
        <w:t>receipt</w:t>
      </w:r>
      <w:r w:rsidR="00687A45">
        <w:t xml:space="preserve"> etc</w:t>
      </w:r>
      <w:r w:rsidR="00835A35">
        <w:t>)</w:t>
      </w:r>
      <w:r w:rsidR="00FF3479">
        <w:t>.</w:t>
      </w:r>
      <w:r w:rsidR="001A18FF">
        <w:t xml:space="preserve"> </w:t>
      </w:r>
      <w:r w:rsidR="00FF3479">
        <w:t>Should the customer require multiple transactions to be serviced (</w:t>
      </w:r>
      <w:r w:rsidR="00835A35">
        <w:t>e.g.</w:t>
      </w:r>
      <w:r w:rsidR="00FF3479">
        <w:t xml:space="preserve"> update licence</w:t>
      </w:r>
      <w:r w:rsidR="00835A35">
        <w:t xml:space="preserve"> photo</w:t>
      </w:r>
      <w:r w:rsidR="00FF3479">
        <w:t xml:space="preserve"> and register a trailer) the CSC operator wi</w:t>
      </w:r>
      <w:r w:rsidR="00951C28">
        <w:t>ll</w:t>
      </w:r>
      <w:r w:rsidR="00FF3479">
        <w:t xml:space="preserve"> end one transactions and start the “meter” for the next transaction. The system is </w:t>
      </w:r>
      <w:r w:rsidR="00835A35">
        <w:t xml:space="preserve">key for identifying skill and resource level requirements types for staff optimisation. </w:t>
      </w:r>
      <w:r w:rsidR="00F84E98">
        <w:t>The QMS system was not designed for Activity Based Costing analysis and is not sufficiently reliable to use for costing individual transaction types.</w:t>
      </w:r>
    </w:p>
    <w:p w14:paraId="63B9B9C2" w14:textId="49EA7DAA" w:rsidR="00370DA6" w:rsidRDefault="00370DA6" w:rsidP="00370DA6">
      <w:pPr>
        <w:pStyle w:val="TextPara"/>
      </w:pPr>
      <w:r>
        <w:t>For more complex transactions there are staff at CSCs and call centres trained in specialist licensing and registration transactions, support</w:t>
      </w:r>
      <w:r w:rsidR="00951C28">
        <w:t>ed</w:t>
      </w:r>
      <w:r>
        <w:t xml:space="preserve"> by a centralised team of policy advisors accessible by phone.  Further, an appointment system is used to facilitate complex transactions. Customers can contact VicRoads by telephone or in person to schedule appointments and learn about the process and the information required to expedite transaction processing when they visit the relevant CSC, such as for licence testing and licence conversion. </w:t>
      </w:r>
    </w:p>
    <w:p w14:paraId="6718444E" w14:textId="77777777" w:rsidR="00370DA6" w:rsidRDefault="00370DA6" w:rsidP="00370DA6">
      <w:pPr>
        <w:pStyle w:val="TextPara"/>
      </w:pPr>
      <w:r>
        <w:lastRenderedPageBreak/>
        <w:t>To take licence conversion as an example, the Overseas Licence Conversion Process covers three main stages in the process –</w:t>
      </w:r>
    </w:p>
    <w:p w14:paraId="290155B4" w14:textId="77777777" w:rsidR="00370DA6" w:rsidRDefault="00370DA6" w:rsidP="00370DA6">
      <w:pPr>
        <w:pStyle w:val="Bullet1-Black"/>
      </w:pPr>
      <w:r>
        <w:t>customers access the service through various channels (booking an appointment by phone, in person at CSCs and in the case of overseas licence holders from recognised countries online via VicRoads website) and enquire about the information they must provide for the licence conversion transaction</w:t>
      </w:r>
    </w:p>
    <w:p w14:paraId="3341AD6A" w14:textId="77777777" w:rsidR="00370DA6" w:rsidRDefault="00370DA6" w:rsidP="00370DA6">
      <w:pPr>
        <w:pStyle w:val="Bullet1-Black"/>
      </w:pPr>
      <w:r>
        <w:t xml:space="preserve">customers schedule an appointment at a CSC and subsequently change the appointment time, if it no longer suits them </w:t>
      </w:r>
    </w:p>
    <w:p w14:paraId="79A678DF" w14:textId="77777777" w:rsidR="00370DA6" w:rsidRDefault="00370DA6" w:rsidP="00370DA6">
      <w:pPr>
        <w:pStyle w:val="Bullet1-Black"/>
      </w:pPr>
      <w:r>
        <w:t>customers attend the CSC for their appointment to have their existing overseas licence converted to a Victorian licence.</w:t>
      </w:r>
    </w:p>
    <w:p w14:paraId="0277FA27" w14:textId="0944DACB" w:rsidR="00335695" w:rsidRDefault="00335695" w:rsidP="00370DA6">
      <w:pPr>
        <w:pStyle w:val="TextPara"/>
      </w:pPr>
      <w:r>
        <w:t xml:space="preserve">Refer </w:t>
      </w:r>
      <w:r w:rsidR="00546312">
        <w:t xml:space="preserve">to in Appendix </w:t>
      </w:r>
      <w:r w:rsidR="00546312">
        <w:fldChar w:fldCharType="begin"/>
      </w:r>
      <w:r w:rsidR="00546312">
        <w:instrText xml:space="preserve"> REF _Ref4493279 \r \h </w:instrText>
      </w:r>
      <w:r w:rsidR="00546312">
        <w:fldChar w:fldCharType="separate"/>
      </w:r>
      <w:r w:rsidR="00EB4B02">
        <w:t>D</w:t>
      </w:r>
      <w:r w:rsidR="00546312">
        <w:fldChar w:fldCharType="end"/>
      </w:r>
      <w:r w:rsidR="00546312" w:rsidRPr="005C1752">
        <w:t xml:space="preserve"> </w:t>
      </w:r>
      <w:r w:rsidR="00546312">
        <w:t>for a detailed process map</w:t>
      </w:r>
      <w:r>
        <w:t>.</w:t>
      </w:r>
      <w:r w:rsidR="00546312">
        <w:t xml:space="preserve"> </w:t>
      </w:r>
    </w:p>
    <w:p w14:paraId="4FC45673" w14:textId="49452E19" w:rsidR="00370DA6" w:rsidRPr="00117C96" w:rsidRDefault="00370DA6" w:rsidP="00370DA6">
      <w:pPr>
        <w:pStyle w:val="TextPara"/>
      </w:pPr>
      <w:r>
        <w:t>In this process flow, each stage builds the foundation for the next stage, ensuring that when the licence conversion takes place all the necessary information has been sourced and preparatory work has been undertaken so that the transaction can be completed successfully. By adopting this process, VicRoads optimises the allocation of skilled staff members and minimise</w:t>
      </w:r>
      <w:r w:rsidR="00951C28">
        <w:t>s</w:t>
      </w:r>
      <w:r>
        <w:t xml:space="preserve"> the time the customer is required to spend at the CSC. It should be noted that only those persons from overseas countries without a recognised driver education system are required to undertake the full licence testing process to obtain a Victorian licence.</w:t>
      </w:r>
    </w:p>
    <w:p w14:paraId="3A356108" w14:textId="77777777" w:rsidR="00370DA6" w:rsidRPr="00B238CA" w:rsidRDefault="00370DA6" w:rsidP="00C02B69">
      <w:pPr>
        <w:pStyle w:val="TextPara"/>
      </w:pPr>
      <w:r w:rsidRPr="00B238CA">
        <w:t xml:space="preserve">A valid basis for the assessment of costs and how they are trending is to measure costs on a per customer </w:t>
      </w:r>
      <w:r>
        <w:t xml:space="preserve">or transaction </w:t>
      </w:r>
      <w:r w:rsidRPr="00B238CA">
        <w:t xml:space="preserve">basis so that </w:t>
      </w:r>
      <w:r>
        <w:t xml:space="preserve">the impact of </w:t>
      </w:r>
      <w:r w:rsidRPr="00C02B69">
        <w:t>customer</w:t>
      </w:r>
      <w:r>
        <w:t xml:space="preserve"> and transaction</w:t>
      </w:r>
      <w:r w:rsidRPr="00B238CA">
        <w:t xml:space="preserve"> growth is removed as a variable. </w:t>
      </w:r>
    </w:p>
    <w:p w14:paraId="2CD845ED" w14:textId="627716B5" w:rsidR="00370DA6" w:rsidRPr="00B238CA" w:rsidRDefault="008F6F1D" w:rsidP="00C02B69">
      <w:pPr>
        <w:pStyle w:val="TextPara"/>
      </w:pPr>
      <w:r>
        <w:fldChar w:fldCharType="begin"/>
      </w:r>
      <w:r>
        <w:instrText xml:space="preserve"> REF _Ref4403444 \h </w:instrText>
      </w:r>
      <w:r>
        <w:fldChar w:fldCharType="separate"/>
      </w:r>
      <w:r w:rsidR="00EB4B02" w:rsidRPr="00AE7C05">
        <w:t xml:space="preserve">Table </w:t>
      </w:r>
      <w:r w:rsidR="00EB4B02">
        <w:rPr>
          <w:noProof/>
        </w:rPr>
        <w:t>36</w:t>
      </w:r>
      <w:r>
        <w:fldChar w:fldCharType="end"/>
      </w:r>
      <w:r>
        <w:t xml:space="preserve"> </w:t>
      </w:r>
      <w:r w:rsidR="00370DA6" w:rsidRPr="00B05560">
        <w:t>shows that operating costs per customer (based on the number of driver licence and learner permit holders) have increased by 1.98% over the 5-year period to FY16/17</w:t>
      </w:r>
      <w:r w:rsidR="00AA43F7" w:rsidRPr="00AA43F7">
        <w:t>(used as the base year for modelling).</w:t>
      </w:r>
      <w:r w:rsidR="00370DA6" w:rsidRPr="00B05560">
        <w:t xml:space="preserve"> This equates to a decrease of 7.6% when adjusted for the </w:t>
      </w:r>
      <w:r w:rsidR="00370DA6" w:rsidRPr="00C02B69">
        <w:t>impact</w:t>
      </w:r>
      <w:r w:rsidR="00370DA6" w:rsidRPr="00B05560">
        <w:t xml:space="preserve"> of an annual inflation rate of 2.02%</w:t>
      </w:r>
      <w:r w:rsidR="00370DA6" w:rsidRPr="00B05560">
        <w:rPr>
          <w:rStyle w:val="EndnoteReference"/>
          <w:rFonts w:cs="Segoe UI"/>
          <w:szCs w:val="20"/>
        </w:rPr>
        <w:endnoteReference w:id="401"/>
      </w:r>
      <w:r w:rsidR="00370DA6" w:rsidRPr="00B05560">
        <w:t xml:space="preserve"> for the period.</w:t>
      </w:r>
      <w:r w:rsidR="00370DA6">
        <w:t xml:space="preserve"> It also shows that </w:t>
      </w:r>
      <w:r w:rsidR="00370DA6" w:rsidRPr="00B05560">
        <w:t xml:space="preserve">operating costs per </w:t>
      </w:r>
      <w:r w:rsidR="00370DA6">
        <w:t>transaction</w:t>
      </w:r>
      <w:r w:rsidR="00370DA6" w:rsidRPr="00B05560">
        <w:t xml:space="preserve"> have </w:t>
      </w:r>
      <w:r w:rsidR="00370DA6">
        <w:t>decreased by 1</w:t>
      </w:r>
      <w:r w:rsidR="00370DA6" w:rsidRPr="00B05560">
        <w:t>8</w:t>
      </w:r>
      <w:r w:rsidR="00370DA6">
        <w:t>.5% over the 4</w:t>
      </w:r>
      <w:r w:rsidR="00370DA6" w:rsidRPr="00B05560">
        <w:t>-year period to FY16/17. This equates to a dec</w:t>
      </w:r>
      <w:r w:rsidR="00370DA6">
        <w:t>rease of 23.3</w:t>
      </w:r>
      <w:r w:rsidR="00370DA6" w:rsidRPr="00B05560">
        <w:t xml:space="preserve">% when adjusted for the </w:t>
      </w:r>
      <w:r w:rsidR="00370DA6" w:rsidRPr="00C02B69">
        <w:t>impact</w:t>
      </w:r>
      <w:r w:rsidR="00370DA6" w:rsidRPr="00B05560">
        <w:t xml:space="preserve"> of an annual inflation rate</w:t>
      </w:r>
    </w:p>
    <w:p w14:paraId="7FFF5CA7" w14:textId="4E8F9F5A" w:rsidR="00370DA6" w:rsidRPr="00AE7C05" w:rsidRDefault="00370DA6" w:rsidP="00AA0BBA">
      <w:pPr>
        <w:pStyle w:val="Caption"/>
      </w:pPr>
      <w:bookmarkStart w:id="632" w:name="_Ref4403444"/>
      <w:bookmarkStart w:id="633" w:name="_Toc4084318"/>
      <w:bookmarkStart w:id="634" w:name="_Toc10703729"/>
      <w:bookmarkStart w:id="635" w:name="_Hlk9009418"/>
      <w:r w:rsidRPr="00AE7C05">
        <w:t xml:space="preserve">Table </w:t>
      </w:r>
      <w:r>
        <w:rPr>
          <w:noProof/>
        </w:rPr>
        <w:fldChar w:fldCharType="begin"/>
      </w:r>
      <w:r>
        <w:rPr>
          <w:noProof/>
        </w:rPr>
        <w:instrText xml:space="preserve"> SEQ Table \* ARABIC </w:instrText>
      </w:r>
      <w:r>
        <w:rPr>
          <w:noProof/>
        </w:rPr>
        <w:fldChar w:fldCharType="separate"/>
      </w:r>
      <w:r w:rsidR="00EB4B02">
        <w:rPr>
          <w:noProof/>
        </w:rPr>
        <w:t>36</w:t>
      </w:r>
      <w:r>
        <w:rPr>
          <w:noProof/>
        </w:rPr>
        <w:fldChar w:fldCharType="end"/>
      </w:r>
      <w:bookmarkEnd w:id="632"/>
      <w:r w:rsidRPr="00AE7C05">
        <w:t xml:space="preserve"> – Operating Costs </w:t>
      </w:r>
      <w:bookmarkEnd w:id="633"/>
      <w:r>
        <w:t>Trends</w:t>
      </w:r>
      <w:bookmarkEnd w:id="634"/>
    </w:p>
    <w:tbl>
      <w:tblPr>
        <w:tblStyle w:val="RIS-Table2"/>
        <w:tblW w:w="9634" w:type="dxa"/>
        <w:tblLayout w:type="fixed"/>
        <w:tblLook w:val="04A0" w:firstRow="1" w:lastRow="0" w:firstColumn="1" w:lastColumn="0" w:noHBand="0" w:noVBand="1"/>
      </w:tblPr>
      <w:tblGrid>
        <w:gridCol w:w="3114"/>
        <w:gridCol w:w="992"/>
        <w:gridCol w:w="992"/>
        <w:gridCol w:w="993"/>
        <w:gridCol w:w="992"/>
        <w:gridCol w:w="992"/>
        <w:gridCol w:w="1559"/>
      </w:tblGrid>
      <w:tr w:rsidR="00370DA6" w:rsidRPr="00B238CA" w14:paraId="453AC948" w14:textId="77777777" w:rsidTr="000A0322">
        <w:trPr>
          <w:cnfStyle w:val="100000000000" w:firstRow="1" w:lastRow="0" w:firstColumn="0" w:lastColumn="0" w:oddVBand="0" w:evenVBand="0" w:oddHBand="0" w:evenHBand="0" w:firstRowFirstColumn="0" w:firstRowLastColumn="0" w:lastRowFirstColumn="0" w:lastRowLastColumn="0"/>
        </w:trPr>
        <w:tc>
          <w:tcPr>
            <w:tcW w:w="3114" w:type="dxa"/>
          </w:tcPr>
          <w:p w14:paraId="02925E6B" w14:textId="77777777" w:rsidR="00370DA6" w:rsidRPr="00B238CA" w:rsidRDefault="00370DA6" w:rsidP="007265B8">
            <w:pPr>
              <w:pStyle w:val="TableHeaders"/>
              <w:spacing w:line="276" w:lineRule="auto"/>
              <w:rPr>
                <w:rFonts w:cs="Segoe UI"/>
              </w:rPr>
            </w:pPr>
            <w:r w:rsidRPr="00B238CA">
              <w:rPr>
                <w:rFonts w:cs="Segoe UI"/>
              </w:rPr>
              <w:t xml:space="preserve">Operating Expenditure </w:t>
            </w:r>
            <w:r>
              <w:rPr>
                <w:rFonts w:cs="Segoe UI"/>
              </w:rPr>
              <w:br/>
            </w:r>
            <w:r w:rsidRPr="00B238CA">
              <w:rPr>
                <w:rFonts w:cs="Segoe UI"/>
              </w:rPr>
              <w:t>per Customer</w:t>
            </w:r>
          </w:p>
        </w:tc>
        <w:tc>
          <w:tcPr>
            <w:tcW w:w="0" w:type="dxa"/>
          </w:tcPr>
          <w:p w14:paraId="443CEA24" w14:textId="77777777" w:rsidR="00370DA6" w:rsidRPr="00B238CA" w:rsidRDefault="00370DA6" w:rsidP="007265B8">
            <w:pPr>
              <w:pStyle w:val="TableHeaders"/>
              <w:spacing w:line="276" w:lineRule="auto"/>
              <w:rPr>
                <w:rFonts w:cs="Segoe UI"/>
              </w:rPr>
            </w:pPr>
            <w:r w:rsidRPr="00B238CA">
              <w:rPr>
                <w:rFonts w:cs="Segoe UI"/>
              </w:rPr>
              <w:t>FY12/13</w:t>
            </w:r>
          </w:p>
        </w:tc>
        <w:tc>
          <w:tcPr>
            <w:tcW w:w="992" w:type="dxa"/>
          </w:tcPr>
          <w:p w14:paraId="6FEF348E" w14:textId="77777777" w:rsidR="00370DA6" w:rsidRPr="00B238CA" w:rsidRDefault="00370DA6" w:rsidP="007265B8">
            <w:pPr>
              <w:pStyle w:val="TableHeaders"/>
              <w:spacing w:line="276" w:lineRule="auto"/>
              <w:rPr>
                <w:rFonts w:cs="Segoe UI"/>
              </w:rPr>
            </w:pPr>
            <w:r w:rsidRPr="00B238CA">
              <w:rPr>
                <w:rFonts w:cs="Segoe UI"/>
              </w:rPr>
              <w:t>FY13/14</w:t>
            </w:r>
          </w:p>
        </w:tc>
        <w:tc>
          <w:tcPr>
            <w:tcW w:w="993" w:type="dxa"/>
          </w:tcPr>
          <w:p w14:paraId="46C01562" w14:textId="77777777" w:rsidR="00370DA6" w:rsidRPr="00B238CA" w:rsidRDefault="00370DA6" w:rsidP="007265B8">
            <w:pPr>
              <w:pStyle w:val="TableHeaders"/>
              <w:spacing w:line="276" w:lineRule="auto"/>
              <w:rPr>
                <w:rFonts w:cs="Segoe UI"/>
              </w:rPr>
            </w:pPr>
            <w:r w:rsidRPr="00B238CA">
              <w:rPr>
                <w:rFonts w:cs="Segoe UI"/>
              </w:rPr>
              <w:t>FY14/15</w:t>
            </w:r>
          </w:p>
        </w:tc>
        <w:tc>
          <w:tcPr>
            <w:tcW w:w="992" w:type="dxa"/>
          </w:tcPr>
          <w:p w14:paraId="52013CB9" w14:textId="77777777" w:rsidR="00370DA6" w:rsidRPr="00B238CA" w:rsidRDefault="00370DA6" w:rsidP="007265B8">
            <w:pPr>
              <w:pStyle w:val="TableHeaders"/>
              <w:spacing w:line="276" w:lineRule="auto"/>
              <w:rPr>
                <w:rFonts w:cs="Segoe UI"/>
              </w:rPr>
            </w:pPr>
            <w:r w:rsidRPr="00B238CA">
              <w:rPr>
                <w:rFonts w:cs="Segoe UI"/>
              </w:rPr>
              <w:t>FY15/16</w:t>
            </w:r>
          </w:p>
        </w:tc>
        <w:tc>
          <w:tcPr>
            <w:tcW w:w="992" w:type="dxa"/>
          </w:tcPr>
          <w:p w14:paraId="1483632C" w14:textId="77777777" w:rsidR="00370DA6" w:rsidRPr="00B238CA" w:rsidRDefault="00370DA6" w:rsidP="007265B8">
            <w:pPr>
              <w:pStyle w:val="TableHeaders"/>
              <w:spacing w:line="276" w:lineRule="auto"/>
              <w:rPr>
                <w:rFonts w:cs="Segoe UI"/>
              </w:rPr>
            </w:pPr>
            <w:r w:rsidRPr="00B238CA">
              <w:rPr>
                <w:rFonts w:cs="Segoe UI"/>
              </w:rPr>
              <w:t>FY16/17</w:t>
            </w:r>
          </w:p>
        </w:tc>
        <w:tc>
          <w:tcPr>
            <w:tcW w:w="1559" w:type="dxa"/>
          </w:tcPr>
          <w:p w14:paraId="0F8039EC" w14:textId="77777777" w:rsidR="00370DA6" w:rsidRPr="00B238CA" w:rsidRDefault="00370DA6" w:rsidP="007265B8">
            <w:pPr>
              <w:pStyle w:val="TableHeaders"/>
              <w:spacing w:line="276" w:lineRule="auto"/>
              <w:rPr>
                <w:rFonts w:cs="Segoe UI"/>
              </w:rPr>
            </w:pPr>
            <w:r>
              <w:rPr>
                <w:rFonts w:cs="Segoe UI"/>
              </w:rPr>
              <w:t xml:space="preserve">Efficiency Outcome </w:t>
            </w:r>
            <w:r>
              <w:rPr>
                <w:rFonts w:cs="Segoe UI"/>
              </w:rPr>
              <w:br/>
              <w:t>over 5 years</w:t>
            </w:r>
          </w:p>
        </w:tc>
      </w:tr>
      <w:tr w:rsidR="00370DA6" w:rsidRPr="00B238CA" w14:paraId="79B266E9" w14:textId="77777777" w:rsidTr="000A0322">
        <w:trPr>
          <w:trHeight w:val="567"/>
        </w:trPr>
        <w:tc>
          <w:tcPr>
            <w:tcW w:w="3114" w:type="dxa"/>
          </w:tcPr>
          <w:p w14:paraId="7B48B1FC" w14:textId="77777777" w:rsidR="00370DA6" w:rsidRPr="00B238CA" w:rsidRDefault="00370DA6" w:rsidP="007265B8">
            <w:pPr>
              <w:pStyle w:val="TableParagraph"/>
              <w:spacing w:line="276" w:lineRule="auto"/>
              <w:rPr>
                <w:rFonts w:cs="Segoe UI"/>
              </w:rPr>
            </w:pPr>
            <w:r w:rsidRPr="00B238CA">
              <w:rPr>
                <w:rFonts w:cs="Segoe UI"/>
              </w:rPr>
              <w:t>Operating Expenditure (unadjusted)</w:t>
            </w:r>
          </w:p>
        </w:tc>
        <w:tc>
          <w:tcPr>
            <w:tcW w:w="992" w:type="dxa"/>
          </w:tcPr>
          <w:p w14:paraId="2EE100CA"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$34.85</w:t>
            </w:r>
          </w:p>
        </w:tc>
        <w:tc>
          <w:tcPr>
            <w:tcW w:w="992" w:type="dxa"/>
          </w:tcPr>
          <w:p w14:paraId="08E8231F"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$36.31</w:t>
            </w:r>
          </w:p>
        </w:tc>
        <w:tc>
          <w:tcPr>
            <w:tcW w:w="993" w:type="dxa"/>
          </w:tcPr>
          <w:p w14:paraId="4C9818A7"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$35.39</w:t>
            </w:r>
          </w:p>
        </w:tc>
        <w:tc>
          <w:tcPr>
            <w:tcW w:w="992" w:type="dxa"/>
          </w:tcPr>
          <w:p w14:paraId="01F6A7F2"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$37.10</w:t>
            </w:r>
          </w:p>
        </w:tc>
        <w:tc>
          <w:tcPr>
            <w:tcW w:w="992" w:type="dxa"/>
          </w:tcPr>
          <w:p w14:paraId="6E95AA41"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$35.54</w:t>
            </w:r>
          </w:p>
        </w:tc>
        <w:tc>
          <w:tcPr>
            <w:tcW w:w="1559" w:type="dxa"/>
            <w:vMerge w:val="restart"/>
          </w:tcPr>
          <w:p w14:paraId="7EB17A6B" w14:textId="77777777" w:rsidR="00370DA6" w:rsidRPr="00B238CA" w:rsidRDefault="00370DA6" w:rsidP="007265B8">
            <w:pPr>
              <w:spacing w:after="40"/>
              <w:jc w:val="center"/>
              <w:rPr>
                <w:rFonts w:ascii="Segoe UI" w:hAnsi="Segoe UI" w:cs="Segoe UI"/>
                <w:bCs/>
                <w:sz w:val="18"/>
                <w:szCs w:val="18"/>
              </w:rPr>
            </w:pPr>
            <w:r>
              <w:rPr>
                <w:rFonts w:ascii="Segoe UI" w:hAnsi="Segoe UI" w:cs="Segoe UI"/>
                <w:bCs/>
                <w:sz w:val="18"/>
                <w:szCs w:val="18"/>
              </w:rPr>
              <w:t xml:space="preserve">7.6% cost reduction per </w:t>
            </w:r>
            <w:r w:rsidRPr="0029544F">
              <w:rPr>
                <w:rFonts w:ascii="Segoe UI" w:hAnsi="Segoe UI" w:cs="Segoe UI"/>
                <w:b/>
                <w:bCs/>
                <w:sz w:val="18"/>
                <w:szCs w:val="18"/>
              </w:rPr>
              <w:t>customer</w:t>
            </w:r>
            <w:r>
              <w:rPr>
                <w:rFonts w:ascii="Segoe UI" w:hAnsi="Segoe UI" w:cs="Segoe UI"/>
                <w:bCs/>
                <w:sz w:val="18"/>
                <w:szCs w:val="18"/>
              </w:rPr>
              <w:t xml:space="preserve"> (adjusted for inflation)</w:t>
            </w:r>
          </w:p>
        </w:tc>
      </w:tr>
      <w:tr w:rsidR="00370DA6" w:rsidRPr="00B238CA" w14:paraId="2BB8EE79" w14:textId="77777777" w:rsidTr="000A0322">
        <w:trPr>
          <w:cnfStyle w:val="000000010000" w:firstRow="0" w:lastRow="0" w:firstColumn="0" w:lastColumn="0" w:oddVBand="0" w:evenVBand="0" w:oddHBand="0" w:evenHBand="1" w:firstRowFirstColumn="0" w:firstRowLastColumn="0" w:lastRowFirstColumn="0" w:lastRowLastColumn="0"/>
          <w:trHeight w:val="567"/>
        </w:trPr>
        <w:tc>
          <w:tcPr>
            <w:tcW w:w="3114" w:type="dxa"/>
          </w:tcPr>
          <w:p w14:paraId="4C22E537" w14:textId="77777777" w:rsidR="00370DA6" w:rsidRPr="00B238CA" w:rsidRDefault="00370DA6" w:rsidP="007265B8">
            <w:pPr>
              <w:pStyle w:val="TableParagraph"/>
              <w:spacing w:line="276" w:lineRule="auto"/>
              <w:rPr>
                <w:rFonts w:cs="Segoe UI"/>
              </w:rPr>
            </w:pPr>
            <w:r w:rsidRPr="00B238CA">
              <w:rPr>
                <w:rFonts w:cs="Segoe UI"/>
              </w:rPr>
              <w:t>Operating Expenditure (inflation adjusted)</w:t>
            </w:r>
          </w:p>
        </w:tc>
        <w:tc>
          <w:tcPr>
            <w:tcW w:w="992" w:type="dxa"/>
          </w:tcPr>
          <w:p w14:paraId="71C05076"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$34.85</w:t>
            </w:r>
          </w:p>
        </w:tc>
        <w:tc>
          <w:tcPr>
            <w:tcW w:w="992" w:type="dxa"/>
          </w:tcPr>
          <w:p w14:paraId="79DBA4C4"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$35.42</w:t>
            </w:r>
          </w:p>
        </w:tc>
        <w:tc>
          <w:tcPr>
            <w:tcW w:w="993" w:type="dxa"/>
          </w:tcPr>
          <w:p w14:paraId="7A4CF49A"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$33.68</w:t>
            </w:r>
          </w:p>
        </w:tc>
        <w:tc>
          <w:tcPr>
            <w:tcW w:w="992" w:type="dxa"/>
          </w:tcPr>
          <w:p w14:paraId="7550AC75"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$34.45</w:t>
            </w:r>
          </w:p>
        </w:tc>
        <w:tc>
          <w:tcPr>
            <w:tcW w:w="992" w:type="dxa"/>
          </w:tcPr>
          <w:p w14:paraId="32F4EFBA"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bCs/>
                <w:sz w:val="18"/>
                <w:szCs w:val="18"/>
              </w:rPr>
              <w:t>$32.20</w:t>
            </w:r>
          </w:p>
        </w:tc>
        <w:tc>
          <w:tcPr>
            <w:tcW w:w="1559" w:type="dxa"/>
            <w:vMerge/>
          </w:tcPr>
          <w:p w14:paraId="799D89B5" w14:textId="77777777" w:rsidR="00370DA6" w:rsidRPr="00B238CA" w:rsidRDefault="00370DA6" w:rsidP="007265B8">
            <w:pPr>
              <w:spacing w:after="40"/>
              <w:jc w:val="center"/>
              <w:rPr>
                <w:rFonts w:ascii="Segoe UI" w:hAnsi="Segoe UI" w:cs="Segoe UI"/>
                <w:bCs/>
                <w:sz w:val="18"/>
                <w:szCs w:val="18"/>
              </w:rPr>
            </w:pPr>
          </w:p>
        </w:tc>
      </w:tr>
    </w:tbl>
    <w:p w14:paraId="70A16C66" w14:textId="77777777" w:rsidR="00370DA6" w:rsidRDefault="00370DA6" w:rsidP="00370DA6">
      <w:pPr>
        <w:pStyle w:val="TableParagraph"/>
        <w:spacing w:before="0" w:after="0"/>
      </w:pPr>
    </w:p>
    <w:tbl>
      <w:tblPr>
        <w:tblStyle w:val="RIS-Table2"/>
        <w:tblW w:w="9634" w:type="dxa"/>
        <w:tblLayout w:type="fixed"/>
        <w:tblLook w:val="04A0" w:firstRow="1" w:lastRow="0" w:firstColumn="1" w:lastColumn="0" w:noHBand="0" w:noVBand="1"/>
      </w:tblPr>
      <w:tblGrid>
        <w:gridCol w:w="3114"/>
        <w:gridCol w:w="992"/>
        <w:gridCol w:w="992"/>
        <w:gridCol w:w="993"/>
        <w:gridCol w:w="992"/>
        <w:gridCol w:w="992"/>
        <w:gridCol w:w="1559"/>
      </w:tblGrid>
      <w:tr w:rsidR="00370DA6" w:rsidRPr="00B238CA" w14:paraId="23F29792" w14:textId="77777777" w:rsidTr="00370DA6">
        <w:trPr>
          <w:cnfStyle w:val="100000000000" w:firstRow="1" w:lastRow="0" w:firstColumn="0" w:lastColumn="0" w:oddVBand="0" w:evenVBand="0" w:oddHBand="0" w:evenHBand="0" w:firstRowFirstColumn="0" w:firstRowLastColumn="0" w:lastRowFirstColumn="0" w:lastRowLastColumn="0"/>
        </w:trPr>
        <w:tc>
          <w:tcPr>
            <w:tcW w:w="3114" w:type="dxa"/>
          </w:tcPr>
          <w:p w14:paraId="7BC87A17" w14:textId="77777777" w:rsidR="00370DA6" w:rsidRPr="00B238CA" w:rsidRDefault="00370DA6" w:rsidP="00370DA6">
            <w:pPr>
              <w:pStyle w:val="TableHeaders"/>
              <w:spacing w:line="276" w:lineRule="auto"/>
              <w:rPr>
                <w:rFonts w:cs="Segoe UI"/>
              </w:rPr>
            </w:pPr>
            <w:r w:rsidRPr="00B238CA">
              <w:rPr>
                <w:rFonts w:cs="Segoe UI"/>
              </w:rPr>
              <w:t xml:space="preserve">Operating Expenditure </w:t>
            </w:r>
            <w:r>
              <w:rPr>
                <w:rFonts w:cs="Segoe UI"/>
              </w:rPr>
              <w:br/>
            </w:r>
            <w:r w:rsidRPr="00B238CA">
              <w:rPr>
                <w:rFonts w:cs="Segoe UI"/>
              </w:rPr>
              <w:t xml:space="preserve">per </w:t>
            </w:r>
            <w:r>
              <w:rPr>
                <w:rFonts w:cs="Segoe UI"/>
              </w:rPr>
              <w:t>Transaction</w:t>
            </w:r>
          </w:p>
        </w:tc>
        <w:tc>
          <w:tcPr>
            <w:tcW w:w="992" w:type="dxa"/>
          </w:tcPr>
          <w:p w14:paraId="5500BA11" w14:textId="77777777" w:rsidR="00370DA6" w:rsidRPr="00B238CA" w:rsidRDefault="00370DA6" w:rsidP="00370DA6">
            <w:pPr>
              <w:pStyle w:val="TableHeaders"/>
              <w:spacing w:line="276" w:lineRule="auto"/>
              <w:rPr>
                <w:rFonts w:cs="Segoe UI"/>
              </w:rPr>
            </w:pPr>
            <w:r w:rsidRPr="00B238CA">
              <w:rPr>
                <w:rFonts w:cs="Segoe UI"/>
              </w:rPr>
              <w:t>FY12/13</w:t>
            </w:r>
          </w:p>
        </w:tc>
        <w:tc>
          <w:tcPr>
            <w:tcW w:w="992" w:type="dxa"/>
          </w:tcPr>
          <w:p w14:paraId="17EF05CE" w14:textId="77777777" w:rsidR="00370DA6" w:rsidRPr="00B238CA" w:rsidRDefault="00370DA6" w:rsidP="00370DA6">
            <w:pPr>
              <w:pStyle w:val="TableHeaders"/>
              <w:spacing w:line="276" w:lineRule="auto"/>
              <w:rPr>
                <w:rFonts w:cs="Segoe UI"/>
              </w:rPr>
            </w:pPr>
            <w:r w:rsidRPr="00B238CA">
              <w:rPr>
                <w:rFonts w:cs="Segoe UI"/>
              </w:rPr>
              <w:t>FY13/14</w:t>
            </w:r>
          </w:p>
        </w:tc>
        <w:tc>
          <w:tcPr>
            <w:tcW w:w="993" w:type="dxa"/>
          </w:tcPr>
          <w:p w14:paraId="47BE6B54" w14:textId="77777777" w:rsidR="00370DA6" w:rsidRPr="00B238CA" w:rsidRDefault="00370DA6" w:rsidP="00370DA6">
            <w:pPr>
              <w:pStyle w:val="TableHeaders"/>
              <w:spacing w:line="276" w:lineRule="auto"/>
              <w:rPr>
                <w:rFonts w:cs="Segoe UI"/>
              </w:rPr>
            </w:pPr>
            <w:r w:rsidRPr="00B238CA">
              <w:rPr>
                <w:rFonts w:cs="Segoe UI"/>
              </w:rPr>
              <w:t>FY14/15</w:t>
            </w:r>
          </w:p>
        </w:tc>
        <w:tc>
          <w:tcPr>
            <w:tcW w:w="992" w:type="dxa"/>
          </w:tcPr>
          <w:p w14:paraId="6F2857E5" w14:textId="77777777" w:rsidR="00370DA6" w:rsidRPr="00B238CA" w:rsidRDefault="00370DA6" w:rsidP="00370DA6">
            <w:pPr>
              <w:pStyle w:val="TableHeaders"/>
              <w:spacing w:line="276" w:lineRule="auto"/>
              <w:rPr>
                <w:rFonts w:cs="Segoe UI"/>
              </w:rPr>
            </w:pPr>
            <w:r w:rsidRPr="00B238CA">
              <w:rPr>
                <w:rFonts w:cs="Segoe UI"/>
              </w:rPr>
              <w:t>FY15/16</w:t>
            </w:r>
          </w:p>
        </w:tc>
        <w:tc>
          <w:tcPr>
            <w:tcW w:w="992" w:type="dxa"/>
          </w:tcPr>
          <w:p w14:paraId="79C0D8FC" w14:textId="77777777" w:rsidR="00370DA6" w:rsidRPr="00B238CA" w:rsidRDefault="00370DA6" w:rsidP="00370DA6">
            <w:pPr>
              <w:pStyle w:val="TableHeaders"/>
              <w:spacing w:line="276" w:lineRule="auto"/>
              <w:rPr>
                <w:rFonts w:cs="Segoe UI"/>
              </w:rPr>
            </w:pPr>
            <w:r w:rsidRPr="00B238CA">
              <w:rPr>
                <w:rFonts w:cs="Segoe UI"/>
              </w:rPr>
              <w:t>FY16/17</w:t>
            </w:r>
          </w:p>
        </w:tc>
        <w:tc>
          <w:tcPr>
            <w:tcW w:w="1559" w:type="dxa"/>
          </w:tcPr>
          <w:p w14:paraId="765131DB" w14:textId="77777777" w:rsidR="00370DA6" w:rsidRPr="00B238CA" w:rsidRDefault="00370DA6" w:rsidP="00370DA6">
            <w:pPr>
              <w:pStyle w:val="TableHeaders"/>
              <w:spacing w:line="276" w:lineRule="auto"/>
              <w:rPr>
                <w:rFonts w:cs="Segoe UI"/>
              </w:rPr>
            </w:pPr>
            <w:r>
              <w:rPr>
                <w:rFonts w:cs="Segoe UI"/>
              </w:rPr>
              <w:t xml:space="preserve">Efficiency Outcome </w:t>
            </w:r>
            <w:r>
              <w:rPr>
                <w:rFonts w:cs="Segoe UI"/>
              </w:rPr>
              <w:br/>
              <w:t>over 4 years</w:t>
            </w:r>
          </w:p>
        </w:tc>
      </w:tr>
      <w:tr w:rsidR="00370DA6" w:rsidRPr="00B238CA" w14:paraId="3699A565" w14:textId="77777777" w:rsidTr="00370DA6">
        <w:trPr>
          <w:trHeight w:val="567"/>
        </w:trPr>
        <w:tc>
          <w:tcPr>
            <w:tcW w:w="3114" w:type="dxa"/>
          </w:tcPr>
          <w:p w14:paraId="2CAD7D01" w14:textId="77777777" w:rsidR="00370DA6" w:rsidRPr="00B238CA" w:rsidRDefault="00370DA6" w:rsidP="00370DA6">
            <w:pPr>
              <w:pStyle w:val="TableParagraph"/>
            </w:pPr>
            <w:r w:rsidRPr="00B238CA">
              <w:t>Operating Expenditure (unadjusted)</w:t>
            </w:r>
          </w:p>
        </w:tc>
        <w:tc>
          <w:tcPr>
            <w:tcW w:w="992" w:type="dxa"/>
          </w:tcPr>
          <w:p w14:paraId="16A15559" w14:textId="77777777" w:rsidR="00370DA6" w:rsidRPr="00042344" w:rsidRDefault="00370DA6" w:rsidP="00370DA6">
            <w:pPr>
              <w:pStyle w:val="TableParagraph"/>
              <w:jc w:val="center"/>
              <w:rPr>
                <w:szCs w:val="18"/>
              </w:rPr>
            </w:pPr>
            <w:r w:rsidRPr="0029544F">
              <w:rPr>
                <w:szCs w:val="18"/>
              </w:rPr>
              <w:t>Not Available</w:t>
            </w:r>
          </w:p>
        </w:tc>
        <w:tc>
          <w:tcPr>
            <w:tcW w:w="992" w:type="dxa"/>
          </w:tcPr>
          <w:p w14:paraId="465403D5" w14:textId="77777777" w:rsidR="00370DA6" w:rsidRPr="00042344" w:rsidRDefault="00370DA6" w:rsidP="00370DA6">
            <w:pPr>
              <w:pStyle w:val="TableParagraph"/>
              <w:jc w:val="center"/>
              <w:rPr>
                <w:szCs w:val="18"/>
              </w:rPr>
            </w:pPr>
            <w:r w:rsidRPr="0029544F">
              <w:rPr>
                <w:szCs w:val="18"/>
              </w:rPr>
              <w:t>$6.53</w:t>
            </w:r>
          </w:p>
        </w:tc>
        <w:tc>
          <w:tcPr>
            <w:tcW w:w="993" w:type="dxa"/>
          </w:tcPr>
          <w:p w14:paraId="2023EDAE" w14:textId="77777777" w:rsidR="00370DA6" w:rsidRPr="00042344" w:rsidRDefault="00370DA6" w:rsidP="00370DA6">
            <w:pPr>
              <w:pStyle w:val="TableParagraph"/>
              <w:jc w:val="center"/>
              <w:rPr>
                <w:szCs w:val="18"/>
              </w:rPr>
            </w:pPr>
            <w:r w:rsidRPr="0029544F">
              <w:rPr>
                <w:szCs w:val="18"/>
              </w:rPr>
              <w:t>$5.73</w:t>
            </w:r>
          </w:p>
        </w:tc>
        <w:tc>
          <w:tcPr>
            <w:tcW w:w="992" w:type="dxa"/>
          </w:tcPr>
          <w:p w14:paraId="1D61E3E3" w14:textId="77777777" w:rsidR="00370DA6" w:rsidRPr="00042344" w:rsidRDefault="00370DA6" w:rsidP="00370DA6">
            <w:pPr>
              <w:pStyle w:val="TableParagraph"/>
              <w:jc w:val="center"/>
              <w:rPr>
                <w:szCs w:val="18"/>
              </w:rPr>
            </w:pPr>
            <w:r w:rsidRPr="0029544F">
              <w:rPr>
                <w:szCs w:val="18"/>
              </w:rPr>
              <w:t>$5.48</w:t>
            </w:r>
          </w:p>
        </w:tc>
        <w:tc>
          <w:tcPr>
            <w:tcW w:w="992" w:type="dxa"/>
          </w:tcPr>
          <w:p w14:paraId="4F702D5E" w14:textId="77777777" w:rsidR="00370DA6" w:rsidRPr="00042344" w:rsidRDefault="00370DA6" w:rsidP="00370DA6">
            <w:pPr>
              <w:pStyle w:val="TableParagraph"/>
              <w:jc w:val="center"/>
              <w:rPr>
                <w:szCs w:val="18"/>
              </w:rPr>
            </w:pPr>
            <w:r w:rsidRPr="0029544F">
              <w:rPr>
                <w:szCs w:val="18"/>
              </w:rPr>
              <w:t>$5.32</w:t>
            </w:r>
          </w:p>
        </w:tc>
        <w:tc>
          <w:tcPr>
            <w:tcW w:w="1559" w:type="dxa"/>
            <w:vMerge w:val="restart"/>
          </w:tcPr>
          <w:p w14:paraId="1D8947F1" w14:textId="77777777" w:rsidR="00370DA6" w:rsidRPr="00B238CA" w:rsidRDefault="00370DA6" w:rsidP="00370DA6">
            <w:pPr>
              <w:pStyle w:val="TableParagraph"/>
              <w:jc w:val="center"/>
            </w:pPr>
            <w:r>
              <w:t xml:space="preserve">23.3% cost reduction per </w:t>
            </w:r>
            <w:r w:rsidRPr="0029544F">
              <w:rPr>
                <w:b/>
              </w:rPr>
              <w:t>transaction</w:t>
            </w:r>
            <w:r>
              <w:t xml:space="preserve"> (adjusted for inflation)</w:t>
            </w:r>
          </w:p>
        </w:tc>
      </w:tr>
      <w:tr w:rsidR="00370DA6" w:rsidRPr="00B238CA" w14:paraId="58FF40C8" w14:textId="77777777" w:rsidTr="00370DA6">
        <w:trPr>
          <w:cnfStyle w:val="000000010000" w:firstRow="0" w:lastRow="0" w:firstColumn="0" w:lastColumn="0" w:oddVBand="0" w:evenVBand="0" w:oddHBand="0" w:evenHBand="1" w:firstRowFirstColumn="0" w:firstRowLastColumn="0" w:lastRowFirstColumn="0" w:lastRowLastColumn="0"/>
          <w:trHeight w:val="567"/>
        </w:trPr>
        <w:tc>
          <w:tcPr>
            <w:tcW w:w="3114" w:type="dxa"/>
          </w:tcPr>
          <w:p w14:paraId="3F6ADA0D" w14:textId="77777777" w:rsidR="00370DA6" w:rsidRPr="00B238CA" w:rsidRDefault="00370DA6" w:rsidP="00370DA6">
            <w:pPr>
              <w:pStyle w:val="TableParagraph"/>
            </w:pPr>
            <w:r w:rsidRPr="00B238CA">
              <w:t>Operating Expenditure (inflation adjusted)</w:t>
            </w:r>
          </w:p>
        </w:tc>
        <w:tc>
          <w:tcPr>
            <w:tcW w:w="992" w:type="dxa"/>
          </w:tcPr>
          <w:p w14:paraId="013BEDB5" w14:textId="77777777" w:rsidR="00370DA6" w:rsidRPr="00042344" w:rsidRDefault="00370DA6" w:rsidP="00370DA6">
            <w:pPr>
              <w:pStyle w:val="TableParagraph"/>
              <w:jc w:val="center"/>
              <w:rPr>
                <w:szCs w:val="18"/>
              </w:rPr>
            </w:pPr>
            <w:r w:rsidRPr="0029544F">
              <w:rPr>
                <w:szCs w:val="18"/>
              </w:rPr>
              <w:t>Not Available</w:t>
            </w:r>
          </w:p>
        </w:tc>
        <w:tc>
          <w:tcPr>
            <w:tcW w:w="992" w:type="dxa"/>
          </w:tcPr>
          <w:p w14:paraId="731AE914" w14:textId="77777777" w:rsidR="00370DA6" w:rsidRPr="00042344" w:rsidRDefault="00370DA6" w:rsidP="00370DA6">
            <w:pPr>
              <w:pStyle w:val="TableParagraph"/>
              <w:jc w:val="center"/>
              <w:rPr>
                <w:szCs w:val="18"/>
              </w:rPr>
            </w:pPr>
            <w:r w:rsidRPr="0029544F">
              <w:rPr>
                <w:szCs w:val="18"/>
              </w:rPr>
              <w:t>$6.53</w:t>
            </w:r>
          </w:p>
        </w:tc>
        <w:tc>
          <w:tcPr>
            <w:tcW w:w="993" w:type="dxa"/>
          </w:tcPr>
          <w:p w14:paraId="6A6CAA89" w14:textId="77777777" w:rsidR="00370DA6" w:rsidRPr="00D11E29" w:rsidRDefault="00370DA6" w:rsidP="00370DA6">
            <w:pPr>
              <w:pStyle w:val="TableParagraph"/>
              <w:jc w:val="center"/>
              <w:rPr>
                <w:szCs w:val="18"/>
              </w:rPr>
            </w:pPr>
            <w:r w:rsidRPr="00D11E29">
              <w:rPr>
                <w:szCs w:val="18"/>
              </w:rPr>
              <w:t>$5.61</w:t>
            </w:r>
          </w:p>
        </w:tc>
        <w:tc>
          <w:tcPr>
            <w:tcW w:w="992" w:type="dxa"/>
          </w:tcPr>
          <w:p w14:paraId="65D74254" w14:textId="77777777" w:rsidR="00370DA6" w:rsidRPr="00D11E29" w:rsidRDefault="00370DA6" w:rsidP="00370DA6">
            <w:pPr>
              <w:pStyle w:val="TableParagraph"/>
              <w:jc w:val="center"/>
              <w:rPr>
                <w:szCs w:val="18"/>
              </w:rPr>
            </w:pPr>
            <w:r w:rsidRPr="00D11E29">
              <w:rPr>
                <w:szCs w:val="18"/>
              </w:rPr>
              <w:t>$5.26</w:t>
            </w:r>
          </w:p>
        </w:tc>
        <w:tc>
          <w:tcPr>
            <w:tcW w:w="992" w:type="dxa"/>
          </w:tcPr>
          <w:p w14:paraId="0E187453" w14:textId="77777777" w:rsidR="00370DA6" w:rsidRPr="009D247B" w:rsidRDefault="00370DA6" w:rsidP="00370DA6">
            <w:pPr>
              <w:pStyle w:val="TableParagraph"/>
              <w:jc w:val="center"/>
              <w:rPr>
                <w:szCs w:val="18"/>
              </w:rPr>
            </w:pPr>
            <w:r w:rsidRPr="009D247B">
              <w:rPr>
                <w:szCs w:val="18"/>
              </w:rPr>
              <w:t>$5.01</w:t>
            </w:r>
          </w:p>
        </w:tc>
        <w:tc>
          <w:tcPr>
            <w:tcW w:w="1559" w:type="dxa"/>
            <w:vMerge/>
          </w:tcPr>
          <w:p w14:paraId="5B334587" w14:textId="77777777" w:rsidR="00370DA6" w:rsidRPr="00B238CA" w:rsidRDefault="00370DA6" w:rsidP="00370DA6">
            <w:pPr>
              <w:spacing w:after="40"/>
              <w:jc w:val="center"/>
              <w:rPr>
                <w:rFonts w:ascii="Segoe UI" w:hAnsi="Segoe UI" w:cs="Segoe UI"/>
                <w:bCs/>
                <w:sz w:val="18"/>
                <w:szCs w:val="18"/>
              </w:rPr>
            </w:pPr>
          </w:p>
        </w:tc>
      </w:tr>
    </w:tbl>
    <w:p w14:paraId="53651258" w14:textId="77777777" w:rsidR="00370DA6" w:rsidRDefault="00370DA6" w:rsidP="00370DA6">
      <w:pPr>
        <w:pStyle w:val="Source"/>
      </w:pPr>
      <w:r w:rsidRPr="00B238CA">
        <w:t>Source: VicRoads R&amp;L Finance Fast Facts</w:t>
      </w:r>
      <w:r w:rsidR="007F5C05">
        <w:t xml:space="preserve"> – data up to 2016-17 used to ensure all data used lines up the actuals used for the modelling.</w:t>
      </w:r>
    </w:p>
    <w:bookmarkEnd w:id="635"/>
    <w:p w14:paraId="677DA411" w14:textId="77777777" w:rsidR="00370DA6" w:rsidRDefault="00370DA6" w:rsidP="00CB6240">
      <w:pPr>
        <w:pStyle w:val="Source"/>
      </w:pPr>
    </w:p>
    <w:p w14:paraId="5A0C01CE" w14:textId="77777777" w:rsidR="00370DA6" w:rsidRPr="004C31C5" w:rsidRDefault="00370DA6" w:rsidP="004C31C5">
      <w:pPr>
        <w:pStyle w:val="NoSpacing"/>
      </w:pPr>
      <w:r w:rsidRPr="004C31C5">
        <w:lastRenderedPageBreak/>
        <w:t xml:space="preserve">Labour productivity </w:t>
      </w:r>
    </w:p>
    <w:p w14:paraId="19AE2FAE" w14:textId="77777777" w:rsidR="00370DA6" w:rsidRPr="00B238CA" w:rsidRDefault="00370DA6" w:rsidP="00C02B69">
      <w:pPr>
        <w:pStyle w:val="TextPara"/>
      </w:pPr>
      <w:r>
        <w:t xml:space="preserve">Labour productivity measures the output of a single unit of labour. </w:t>
      </w:r>
      <w:r w:rsidRPr="006F749D">
        <w:t>Growth in labo</w:t>
      </w:r>
      <w:r>
        <w:t>u</w:t>
      </w:r>
      <w:r w:rsidRPr="006F749D">
        <w:t xml:space="preserve">r productivity depends on </w:t>
      </w:r>
      <w:r>
        <w:t xml:space="preserve">process improvement, optimising the allocation of resources and technology. </w:t>
      </w:r>
      <w:r w:rsidRPr="00B238CA">
        <w:t xml:space="preserve">Equivalent Full Time (EFT) is a metric used throughout VicRoads to measure the level of person effort utilised to deliver a service or </w:t>
      </w:r>
      <w:r w:rsidRPr="00C02B69">
        <w:t>function</w:t>
      </w:r>
      <w:r w:rsidRPr="00B238CA">
        <w:t>. It ensures part-time and contract labour are aligned with “full-time” staff.</w:t>
      </w:r>
    </w:p>
    <w:p w14:paraId="4A67D2A5" w14:textId="2150680B" w:rsidR="00370DA6" w:rsidRPr="00552943" w:rsidRDefault="00370DA6" w:rsidP="00C02B69">
      <w:pPr>
        <w:pStyle w:val="TextPara"/>
      </w:pPr>
      <w:r w:rsidRPr="00552943">
        <w:t>Over the 5-year period to FY16/17, there has been a year-on-year improvement in the “per EFT” productivity</w:t>
      </w:r>
      <w:r>
        <w:t xml:space="preserve">. </w:t>
      </w:r>
      <w:r w:rsidR="008F6F1D">
        <w:fldChar w:fldCharType="begin"/>
      </w:r>
      <w:r w:rsidR="008F6F1D">
        <w:instrText xml:space="preserve"> REF _Ref4403479 \h </w:instrText>
      </w:r>
      <w:r w:rsidR="008F6F1D">
        <w:fldChar w:fldCharType="separate"/>
      </w:r>
      <w:r w:rsidR="00EB4B02">
        <w:t xml:space="preserve">Table </w:t>
      </w:r>
      <w:r w:rsidR="00EB4B02">
        <w:rPr>
          <w:noProof/>
        </w:rPr>
        <w:t>37</w:t>
      </w:r>
      <w:r w:rsidR="008F6F1D">
        <w:fldChar w:fldCharType="end"/>
      </w:r>
      <w:r w:rsidR="008F6F1D">
        <w:t xml:space="preserve"> </w:t>
      </w:r>
      <w:r w:rsidRPr="00552943">
        <w:t xml:space="preserve">shows that the number of core transactions (i.e. primary cost-driving transactions which exclude look up, search and enquiry transaction types) have increased by 10.8%. At the same time EFTs during this period has increased by 8.1%. </w:t>
      </w:r>
      <w:r>
        <w:t>This means that</w:t>
      </w:r>
      <w:r w:rsidRPr="00552943">
        <w:t xml:space="preserve"> there has been a productivity increase (primary transactions per EFT) of 2.5%. </w:t>
      </w:r>
    </w:p>
    <w:p w14:paraId="0C08D2C5" w14:textId="33B40CB9" w:rsidR="00370DA6" w:rsidRDefault="00370DA6" w:rsidP="00AA0BBA">
      <w:pPr>
        <w:pStyle w:val="Caption"/>
      </w:pPr>
      <w:bookmarkStart w:id="636" w:name="_Ref4403479"/>
      <w:bookmarkStart w:id="637" w:name="_Toc4084319"/>
      <w:bookmarkStart w:id="638" w:name="_Toc10703730"/>
      <w:r>
        <w:t xml:space="preserve">Table </w:t>
      </w:r>
      <w:r>
        <w:rPr>
          <w:noProof/>
        </w:rPr>
        <w:fldChar w:fldCharType="begin"/>
      </w:r>
      <w:r>
        <w:rPr>
          <w:noProof/>
        </w:rPr>
        <w:instrText xml:space="preserve"> SEQ Table \* ARABIC </w:instrText>
      </w:r>
      <w:r>
        <w:rPr>
          <w:noProof/>
        </w:rPr>
        <w:fldChar w:fldCharType="separate"/>
      </w:r>
      <w:r w:rsidR="00EB4B02">
        <w:rPr>
          <w:noProof/>
        </w:rPr>
        <w:t>37</w:t>
      </w:r>
      <w:r>
        <w:rPr>
          <w:noProof/>
        </w:rPr>
        <w:fldChar w:fldCharType="end"/>
      </w:r>
      <w:bookmarkEnd w:id="636"/>
      <w:r>
        <w:t xml:space="preserve"> – Labour p</w:t>
      </w:r>
      <w:r w:rsidRPr="00220792">
        <w:t>roductivity per EFT</w:t>
      </w:r>
      <w:bookmarkEnd w:id="637"/>
      <w:bookmarkEnd w:id="638"/>
    </w:p>
    <w:tbl>
      <w:tblPr>
        <w:tblStyle w:val="RIS-Table2"/>
        <w:tblW w:w="9635" w:type="dxa"/>
        <w:tblLayout w:type="fixed"/>
        <w:tblLook w:val="04A0" w:firstRow="1" w:lastRow="0" w:firstColumn="1" w:lastColumn="0" w:noHBand="0" w:noVBand="1"/>
      </w:tblPr>
      <w:tblGrid>
        <w:gridCol w:w="3114"/>
        <w:gridCol w:w="981"/>
        <w:gridCol w:w="982"/>
        <w:gridCol w:w="981"/>
        <w:gridCol w:w="982"/>
        <w:gridCol w:w="982"/>
        <w:gridCol w:w="1613"/>
      </w:tblGrid>
      <w:tr w:rsidR="00370DA6" w:rsidRPr="00117C96" w14:paraId="4FF4CABE" w14:textId="77777777" w:rsidTr="000A0322">
        <w:trPr>
          <w:cnfStyle w:val="100000000000" w:firstRow="1" w:lastRow="0" w:firstColumn="0" w:lastColumn="0" w:oddVBand="0" w:evenVBand="0" w:oddHBand="0" w:evenHBand="0" w:firstRowFirstColumn="0" w:firstRowLastColumn="0" w:lastRowFirstColumn="0" w:lastRowLastColumn="0"/>
        </w:trPr>
        <w:tc>
          <w:tcPr>
            <w:tcW w:w="3114" w:type="dxa"/>
          </w:tcPr>
          <w:p w14:paraId="498A8657" w14:textId="77777777" w:rsidR="00370DA6" w:rsidRPr="00117C96" w:rsidRDefault="00370DA6" w:rsidP="000A0322">
            <w:pPr>
              <w:pStyle w:val="TableHeaders"/>
              <w:keepNext/>
            </w:pPr>
            <w:r w:rsidRPr="00117C96">
              <w:t>Core Transactions</w:t>
            </w:r>
          </w:p>
        </w:tc>
        <w:tc>
          <w:tcPr>
            <w:tcW w:w="981" w:type="dxa"/>
          </w:tcPr>
          <w:p w14:paraId="625088FA" w14:textId="77777777" w:rsidR="00370DA6" w:rsidRPr="00117C96" w:rsidRDefault="00370DA6" w:rsidP="000A0322">
            <w:pPr>
              <w:pStyle w:val="TableHeaders"/>
              <w:keepNext/>
            </w:pPr>
            <w:r w:rsidRPr="00117C96">
              <w:t>FY12/13</w:t>
            </w:r>
          </w:p>
        </w:tc>
        <w:tc>
          <w:tcPr>
            <w:tcW w:w="982" w:type="dxa"/>
          </w:tcPr>
          <w:p w14:paraId="46A3C2B3" w14:textId="77777777" w:rsidR="00370DA6" w:rsidRPr="00117C96" w:rsidRDefault="00370DA6" w:rsidP="000A0322">
            <w:pPr>
              <w:pStyle w:val="TableHeaders"/>
              <w:keepNext/>
            </w:pPr>
            <w:r w:rsidRPr="00117C96">
              <w:t>FY13/14</w:t>
            </w:r>
          </w:p>
        </w:tc>
        <w:tc>
          <w:tcPr>
            <w:tcW w:w="981" w:type="dxa"/>
          </w:tcPr>
          <w:p w14:paraId="13712BBD" w14:textId="77777777" w:rsidR="00370DA6" w:rsidRPr="00117C96" w:rsidRDefault="00370DA6" w:rsidP="000A0322">
            <w:pPr>
              <w:pStyle w:val="TableHeaders"/>
              <w:keepNext/>
            </w:pPr>
            <w:r w:rsidRPr="00117C96">
              <w:t>FY14/15</w:t>
            </w:r>
          </w:p>
        </w:tc>
        <w:tc>
          <w:tcPr>
            <w:tcW w:w="982" w:type="dxa"/>
          </w:tcPr>
          <w:p w14:paraId="77A7BBE9" w14:textId="77777777" w:rsidR="00370DA6" w:rsidRPr="00117C96" w:rsidRDefault="00370DA6" w:rsidP="000A0322">
            <w:pPr>
              <w:pStyle w:val="TableHeaders"/>
              <w:keepNext/>
            </w:pPr>
            <w:r w:rsidRPr="00117C96">
              <w:t>FY15/16</w:t>
            </w:r>
          </w:p>
        </w:tc>
        <w:tc>
          <w:tcPr>
            <w:tcW w:w="982" w:type="dxa"/>
          </w:tcPr>
          <w:p w14:paraId="78E0DA12" w14:textId="77777777" w:rsidR="00370DA6" w:rsidRPr="00117C96" w:rsidRDefault="00370DA6" w:rsidP="000A0322">
            <w:pPr>
              <w:pStyle w:val="TableHeaders"/>
              <w:keepNext/>
            </w:pPr>
            <w:r w:rsidRPr="00117C96">
              <w:t>FY16/17</w:t>
            </w:r>
          </w:p>
        </w:tc>
        <w:tc>
          <w:tcPr>
            <w:tcW w:w="1613" w:type="dxa"/>
          </w:tcPr>
          <w:p w14:paraId="651ACB44" w14:textId="77777777" w:rsidR="00370DA6" w:rsidRPr="00117C96" w:rsidRDefault="00370DA6" w:rsidP="001F69CF">
            <w:pPr>
              <w:pStyle w:val="TableHeaders"/>
              <w:keepNext/>
            </w:pPr>
            <w:r>
              <w:rPr>
                <w:rFonts w:cs="Segoe UI"/>
              </w:rPr>
              <w:t xml:space="preserve">Efficiency Outcome </w:t>
            </w:r>
            <w:r>
              <w:rPr>
                <w:rFonts w:cs="Segoe UI"/>
              </w:rPr>
              <w:br/>
              <w:t>over 5 years</w:t>
            </w:r>
          </w:p>
        </w:tc>
      </w:tr>
      <w:tr w:rsidR="00370DA6" w:rsidRPr="00117C96" w14:paraId="75926C83" w14:textId="77777777" w:rsidTr="000A0322">
        <w:trPr>
          <w:trHeight w:val="567"/>
        </w:trPr>
        <w:tc>
          <w:tcPr>
            <w:tcW w:w="3114" w:type="dxa"/>
            <w:vAlign w:val="center"/>
          </w:tcPr>
          <w:p w14:paraId="7D12A918" w14:textId="77777777" w:rsidR="00370DA6" w:rsidRPr="00A97176" w:rsidRDefault="00370DA6" w:rsidP="000A0322">
            <w:pPr>
              <w:pStyle w:val="TextPara"/>
              <w:keepNext/>
              <w:spacing w:before="40" w:after="40"/>
              <w:rPr>
                <w:rFonts w:cs="Segoe UI"/>
                <w:b/>
                <w:bCs/>
                <w:sz w:val="18"/>
              </w:rPr>
            </w:pPr>
            <w:r w:rsidRPr="00A97176">
              <w:rPr>
                <w:sz w:val="18"/>
              </w:rPr>
              <w:t>Primary Transactions (‘000)</w:t>
            </w:r>
          </w:p>
        </w:tc>
        <w:tc>
          <w:tcPr>
            <w:tcW w:w="981" w:type="dxa"/>
            <w:vAlign w:val="center"/>
          </w:tcPr>
          <w:p w14:paraId="4FEE0843" w14:textId="77777777" w:rsidR="00370DA6" w:rsidRPr="00117C96" w:rsidRDefault="00370DA6" w:rsidP="000A0322">
            <w:pPr>
              <w:keepNext/>
              <w:spacing w:after="40"/>
              <w:jc w:val="right"/>
              <w:rPr>
                <w:rFonts w:ascii="Segoe UI" w:hAnsi="Segoe UI" w:cs="Segoe UI"/>
                <w:bCs/>
                <w:color w:val="000000"/>
                <w:sz w:val="18"/>
                <w:szCs w:val="28"/>
              </w:rPr>
            </w:pPr>
            <w:r>
              <w:rPr>
                <w:rFonts w:ascii="Segoe UI" w:hAnsi="Segoe UI" w:cs="Segoe UI"/>
                <w:bCs/>
                <w:color w:val="000000"/>
                <w:sz w:val="18"/>
                <w:szCs w:val="28"/>
              </w:rPr>
              <w:t>11,519</w:t>
            </w:r>
          </w:p>
        </w:tc>
        <w:tc>
          <w:tcPr>
            <w:tcW w:w="982" w:type="dxa"/>
            <w:vAlign w:val="center"/>
          </w:tcPr>
          <w:p w14:paraId="79BFC6A2" w14:textId="77777777" w:rsidR="00370DA6" w:rsidRPr="00117C96" w:rsidRDefault="00370DA6" w:rsidP="000A0322">
            <w:pPr>
              <w:keepNext/>
              <w:spacing w:after="40"/>
              <w:jc w:val="right"/>
              <w:rPr>
                <w:rFonts w:ascii="Segoe UI" w:hAnsi="Segoe UI" w:cs="Segoe UI"/>
                <w:bCs/>
                <w:color w:val="000000"/>
                <w:sz w:val="18"/>
                <w:szCs w:val="28"/>
              </w:rPr>
            </w:pPr>
            <w:r>
              <w:rPr>
                <w:rFonts w:ascii="Segoe UI" w:hAnsi="Segoe UI" w:cs="Segoe UI"/>
                <w:bCs/>
                <w:color w:val="000000"/>
                <w:sz w:val="18"/>
                <w:szCs w:val="28"/>
              </w:rPr>
              <w:t>11,927</w:t>
            </w:r>
          </w:p>
        </w:tc>
        <w:tc>
          <w:tcPr>
            <w:tcW w:w="981" w:type="dxa"/>
            <w:vAlign w:val="center"/>
          </w:tcPr>
          <w:p w14:paraId="4D341BF4" w14:textId="77777777" w:rsidR="00370DA6" w:rsidRPr="00117C96" w:rsidRDefault="00370DA6" w:rsidP="000A0322">
            <w:pPr>
              <w:keepNext/>
              <w:spacing w:after="40"/>
              <w:jc w:val="right"/>
              <w:rPr>
                <w:rFonts w:ascii="Segoe UI" w:hAnsi="Segoe UI" w:cs="Segoe UI"/>
                <w:bCs/>
                <w:color w:val="000000"/>
                <w:sz w:val="18"/>
                <w:szCs w:val="28"/>
              </w:rPr>
            </w:pPr>
            <w:r>
              <w:rPr>
                <w:rFonts w:ascii="Segoe UI" w:hAnsi="Segoe UI" w:cs="Segoe UI"/>
                <w:bCs/>
                <w:color w:val="000000"/>
                <w:sz w:val="18"/>
                <w:szCs w:val="28"/>
              </w:rPr>
              <w:t>12,335</w:t>
            </w:r>
          </w:p>
        </w:tc>
        <w:tc>
          <w:tcPr>
            <w:tcW w:w="982" w:type="dxa"/>
            <w:vAlign w:val="center"/>
          </w:tcPr>
          <w:p w14:paraId="63213715" w14:textId="77777777" w:rsidR="00370DA6" w:rsidRPr="00117C96" w:rsidRDefault="00370DA6" w:rsidP="000A0322">
            <w:pPr>
              <w:keepNext/>
              <w:spacing w:after="40"/>
              <w:jc w:val="right"/>
              <w:rPr>
                <w:rFonts w:ascii="Segoe UI" w:hAnsi="Segoe UI" w:cs="Segoe UI"/>
                <w:bCs/>
                <w:color w:val="000000"/>
                <w:sz w:val="18"/>
                <w:szCs w:val="28"/>
              </w:rPr>
            </w:pPr>
            <w:r>
              <w:rPr>
                <w:rFonts w:ascii="Segoe UI" w:hAnsi="Segoe UI" w:cs="Segoe UI"/>
                <w:bCs/>
                <w:color w:val="000000"/>
                <w:sz w:val="18"/>
                <w:szCs w:val="28"/>
              </w:rPr>
              <w:t>12,701</w:t>
            </w:r>
          </w:p>
        </w:tc>
        <w:tc>
          <w:tcPr>
            <w:tcW w:w="982" w:type="dxa"/>
            <w:vAlign w:val="center"/>
          </w:tcPr>
          <w:p w14:paraId="0C4AF97F" w14:textId="77777777" w:rsidR="00370DA6" w:rsidRPr="00117C96" w:rsidRDefault="00370DA6" w:rsidP="000A0322">
            <w:pPr>
              <w:keepNext/>
              <w:spacing w:after="40"/>
              <w:jc w:val="right"/>
              <w:rPr>
                <w:rFonts w:ascii="Segoe UI" w:hAnsi="Segoe UI" w:cs="Segoe UI"/>
                <w:bCs/>
                <w:color w:val="000000"/>
                <w:sz w:val="18"/>
                <w:szCs w:val="28"/>
              </w:rPr>
            </w:pPr>
            <w:r>
              <w:rPr>
                <w:rFonts w:ascii="Segoe UI" w:hAnsi="Segoe UI" w:cs="Segoe UI"/>
                <w:bCs/>
                <w:color w:val="000000"/>
                <w:sz w:val="18"/>
                <w:szCs w:val="28"/>
              </w:rPr>
              <w:t>12,763</w:t>
            </w:r>
          </w:p>
        </w:tc>
        <w:tc>
          <w:tcPr>
            <w:tcW w:w="1613" w:type="dxa"/>
            <w:vMerge w:val="restart"/>
            <w:vAlign w:val="center"/>
          </w:tcPr>
          <w:p w14:paraId="335240F3" w14:textId="77777777" w:rsidR="00370DA6" w:rsidRDefault="00370DA6" w:rsidP="000A0322">
            <w:pPr>
              <w:keepNext/>
              <w:spacing w:after="40"/>
              <w:jc w:val="center"/>
              <w:rPr>
                <w:rFonts w:ascii="Segoe UI" w:hAnsi="Segoe UI" w:cs="Segoe UI"/>
                <w:bCs/>
                <w:color w:val="000000"/>
                <w:sz w:val="18"/>
                <w:szCs w:val="28"/>
              </w:rPr>
            </w:pPr>
            <w:r>
              <w:rPr>
                <w:rFonts w:ascii="Segoe UI" w:hAnsi="Segoe UI" w:cs="Segoe UI"/>
                <w:bCs/>
                <w:color w:val="000000"/>
                <w:sz w:val="18"/>
                <w:szCs w:val="28"/>
              </w:rPr>
              <w:t xml:space="preserve">2.5% productivity increase per EFT </w:t>
            </w:r>
          </w:p>
        </w:tc>
      </w:tr>
      <w:tr w:rsidR="00370DA6" w:rsidRPr="00117C96" w14:paraId="0FDD2922" w14:textId="77777777" w:rsidTr="000A0322">
        <w:trPr>
          <w:cnfStyle w:val="000000010000" w:firstRow="0" w:lastRow="0" w:firstColumn="0" w:lastColumn="0" w:oddVBand="0" w:evenVBand="0" w:oddHBand="0" w:evenHBand="1" w:firstRowFirstColumn="0" w:firstRowLastColumn="0" w:lastRowFirstColumn="0" w:lastRowLastColumn="0"/>
          <w:trHeight w:val="567"/>
        </w:trPr>
        <w:tc>
          <w:tcPr>
            <w:tcW w:w="3114" w:type="dxa"/>
            <w:vAlign w:val="center"/>
          </w:tcPr>
          <w:p w14:paraId="0D59CD50" w14:textId="77777777" w:rsidR="00370DA6" w:rsidRPr="00A97176" w:rsidRDefault="00370DA6" w:rsidP="000A0322">
            <w:pPr>
              <w:pStyle w:val="TextPara"/>
              <w:keepNext/>
              <w:spacing w:before="40" w:after="40"/>
              <w:rPr>
                <w:rFonts w:cs="Segoe UI"/>
                <w:sz w:val="18"/>
              </w:rPr>
            </w:pPr>
            <w:r w:rsidRPr="00A97176">
              <w:rPr>
                <w:sz w:val="18"/>
              </w:rPr>
              <w:t>EFTs as at 30 June in each period</w:t>
            </w:r>
          </w:p>
        </w:tc>
        <w:tc>
          <w:tcPr>
            <w:tcW w:w="981" w:type="dxa"/>
            <w:vAlign w:val="center"/>
          </w:tcPr>
          <w:p w14:paraId="492622F2" w14:textId="77777777" w:rsidR="00370DA6" w:rsidRPr="00117C96" w:rsidRDefault="00370DA6" w:rsidP="000A0322">
            <w:pPr>
              <w:keepNext/>
              <w:spacing w:after="40"/>
              <w:jc w:val="right"/>
              <w:rPr>
                <w:rFonts w:ascii="Segoe UI" w:hAnsi="Segoe UI" w:cs="Segoe UI"/>
                <w:bCs/>
                <w:color w:val="000000"/>
                <w:sz w:val="18"/>
                <w:szCs w:val="28"/>
              </w:rPr>
            </w:pPr>
            <w:r w:rsidRPr="00117C96">
              <w:rPr>
                <w:rFonts w:ascii="Segoe UI" w:hAnsi="Segoe UI" w:cs="Segoe UI"/>
                <w:bCs/>
                <w:color w:val="000000"/>
                <w:sz w:val="18"/>
                <w:szCs w:val="28"/>
              </w:rPr>
              <w:t>816.2</w:t>
            </w:r>
          </w:p>
        </w:tc>
        <w:tc>
          <w:tcPr>
            <w:tcW w:w="982" w:type="dxa"/>
            <w:vAlign w:val="center"/>
          </w:tcPr>
          <w:p w14:paraId="5717702F" w14:textId="77777777" w:rsidR="00370DA6" w:rsidRPr="00117C96" w:rsidRDefault="00370DA6" w:rsidP="000A0322">
            <w:pPr>
              <w:keepNext/>
              <w:spacing w:after="40"/>
              <w:jc w:val="right"/>
              <w:rPr>
                <w:rFonts w:ascii="Segoe UI" w:hAnsi="Segoe UI" w:cs="Segoe UI"/>
                <w:bCs/>
                <w:color w:val="000000"/>
                <w:sz w:val="18"/>
                <w:szCs w:val="28"/>
              </w:rPr>
            </w:pPr>
            <w:r w:rsidRPr="00117C96">
              <w:rPr>
                <w:rFonts w:ascii="Segoe UI" w:hAnsi="Segoe UI" w:cs="Segoe UI"/>
                <w:bCs/>
                <w:color w:val="000000"/>
                <w:sz w:val="18"/>
                <w:szCs w:val="28"/>
              </w:rPr>
              <w:t>797.8</w:t>
            </w:r>
          </w:p>
        </w:tc>
        <w:tc>
          <w:tcPr>
            <w:tcW w:w="981" w:type="dxa"/>
            <w:vAlign w:val="center"/>
          </w:tcPr>
          <w:p w14:paraId="3937A5D9" w14:textId="77777777" w:rsidR="00370DA6" w:rsidRPr="00117C96" w:rsidRDefault="00370DA6" w:rsidP="000A0322">
            <w:pPr>
              <w:keepNext/>
              <w:spacing w:after="40"/>
              <w:jc w:val="right"/>
              <w:rPr>
                <w:rFonts w:ascii="Segoe UI" w:hAnsi="Segoe UI" w:cs="Segoe UI"/>
                <w:bCs/>
                <w:color w:val="000000"/>
                <w:sz w:val="18"/>
                <w:szCs w:val="28"/>
              </w:rPr>
            </w:pPr>
            <w:r w:rsidRPr="00117C96">
              <w:rPr>
                <w:rFonts w:ascii="Segoe UI" w:hAnsi="Segoe UI" w:cs="Segoe UI"/>
                <w:bCs/>
                <w:color w:val="000000"/>
                <w:sz w:val="18"/>
                <w:szCs w:val="28"/>
              </w:rPr>
              <w:t>845.0</w:t>
            </w:r>
          </w:p>
        </w:tc>
        <w:tc>
          <w:tcPr>
            <w:tcW w:w="982" w:type="dxa"/>
            <w:vAlign w:val="center"/>
          </w:tcPr>
          <w:p w14:paraId="26E24974" w14:textId="77777777" w:rsidR="00370DA6" w:rsidRPr="004B7C84" w:rsidRDefault="00370DA6" w:rsidP="000A0322">
            <w:pPr>
              <w:keepNext/>
              <w:spacing w:after="40"/>
              <w:jc w:val="right"/>
              <w:rPr>
                <w:rFonts w:ascii="Segoe UI" w:hAnsi="Segoe UI" w:cs="Segoe UI"/>
                <w:bCs/>
                <w:color w:val="000000"/>
                <w:sz w:val="18"/>
                <w:szCs w:val="28"/>
              </w:rPr>
            </w:pPr>
            <w:r w:rsidRPr="004B7C84">
              <w:rPr>
                <w:rFonts w:ascii="Segoe UI" w:hAnsi="Segoe UI" w:cs="Segoe UI"/>
                <w:bCs/>
                <w:color w:val="000000"/>
                <w:sz w:val="18"/>
                <w:szCs w:val="28"/>
              </w:rPr>
              <w:t>882.6</w:t>
            </w:r>
          </w:p>
        </w:tc>
        <w:tc>
          <w:tcPr>
            <w:tcW w:w="982" w:type="dxa"/>
            <w:vAlign w:val="center"/>
          </w:tcPr>
          <w:p w14:paraId="5228B5E4" w14:textId="77777777" w:rsidR="00370DA6" w:rsidRPr="004B7C84" w:rsidRDefault="00370DA6" w:rsidP="000A0322">
            <w:pPr>
              <w:keepNext/>
              <w:spacing w:after="40"/>
              <w:jc w:val="right"/>
              <w:rPr>
                <w:rFonts w:ascii="Segoe UI" w:hAnsi="Segoe UI" w:cs="Segoe UI"/>
                <w:bCs/>
                <w:sz w:val="18"/>
                <w:szCs w:val="28"/>
              </w:rPr>
            </w:pPr>
            <w:r w:rsidRPr="004B7C84">
              <w:rPr>
                <w:rFonts w:ascii="Segoe UI" w:hAnsi="Segoe UI" w:cs="Segoe UI"/>
                <w:bCs/>
                <w:sz w:val="18"/>
                <w:szCs w:val="28"/>
              </w:rPr>
              <w:t>882.6</w:t>
            </w:r>
          </w:p>
        </w:tc>
        <w:tc>
          <w:tcPr>
            <w:tcW w:w="1613" w:type="dxa"/>
            <w:vMerge/>
          </w:tcPr>
          <w:p w14:paraId="7ED6C1FE" w14:textId="77777777" w:rsidR="00370DA6" w:rsidRPr="004B7C84" w:rsidRDefault="00370DA6" w:rsidP="001F69CF">
            <w:pPr>
              <w:keepNext/>
              <w:spacing w:after="40"/>
              <w:jc w:val="right"/>
              <w:rPr>
                <w:rFonts w:ascii="Segoe UI" w:hAnsi="Segoe UI" w:cs="Segoe UI"/>
                <w:bCs/>
                <w:sz w:val="18"/>
                <w:szCs w:val="28"/>
              </w:rPr>
            </w:pPr>
          </w:p>
        </w:tc>
      </w:tr>
      <w:tr w:rsidR="00370DA6" w:rsidRPr="00117C96" w14:paraId="503A3490" w14:textId="77777777" w:rsidTr="000A0322">
        <w:trPr>
          <w:trHeight w:val="567"/>
        </w:trPr>
        <w:tc>
          <w:tcPr>
            <w:tcW w:w="3114" w:type="dxa"/>
            <w:vAlign w:val="center"/>
          </w:tcPr>
          <w:p w14:paraId="327FBA92" w14:textId="77777777" w:rsidR="00370DA6" w:rsidRPr="00A97176" w:rsidRDefault="00370DA6" w:rsidP="000A0322">
            <w:pPr>
              <w:pStyle w:val="TextPara"/>
              <w:keepNext/>
              <w:spacing w:before="40" w:after="40"/>
              <w:rPr>
                <w:rFonts w:cs="Segoe UI"/>
                <w:b/>
                <w:bCs/>
                <w:sz w:val="18"/>
              </w:rPr>
            </w:pPr>
            <w:r w:rsidRPr="00A97176">
              <w:rPr>
                <w:sz w:val="18"/>
              </w:rPr>
              <w:t>Primary Transactions per EFT</w:t>
            </w:r>
          </w:p>
        </w:tc>
        <w:tc>
          <w:tcPr>
            <w:tcW w:w="981" w:type="dxa"/>
            <w:vAlign w:val="center"/>
          </w:tcPr>
          <w:p w14:paraId="692535DF" w14:textId="77777777" w:rsidR="00370DA6" w:rsidRPr="00117C96" w:rsidRDefault="00370DA6" w:rsidP="000A0322">
            <w:pPr>
              <w:keepNext/>
              <w:spacing w:after="40"/>
              <w:jc w:val="right"/>
              <w:rPr>
                <w:rFonts w:ascii="Segoe UI" w:hAnsi="Segoe UI" w:cs="Segoe UI"/>
                <w:bCs/>
                <w:color w:val="000000"/>
                <w:sz w:val="18"/>
                <w:szCs w:val="28"/>
              </w:rPr>
            </w:pPr>
            <w:r w:rsidRPr="0082126B">
              <w:rPr>
                <w:rFonts w:ascii="Segoe UI" w:hAnsi="Segoe UI" w:cs="Segoe UI"/>
                <w:bCs/>
                <w:color w:val="000000"/>
                <w:sz w:val="18"/>
                <w:szCs w:val="28"/>
              </w:rPr>
              <w:t>14,113</w:t>
            </w:r>
          </w:p>
        </w:tc>
        <w:tc>
          <w:tcPr>
            <w:tcW w:w="982" w:type="dxa"/>
            <w:vAlign w:val="center"/>
          </w:tcPr>
          <w:p w14:paraId="5390AD1D" w14:textId="77777777" w:rsidR="00370DA6" w:rsidRPr="00117C96" w:rsidRDefault="00370DA6" w:rsidP="000A0322">
            <w:pPr>
              <w:keepNext/>
              <w:spacing w:after="40"/>
              <w:jc w:val="right"/>
              <w:rPr>
                <w:rFonts w:ascii="Segoe UI" w:hAnsi="Segoe UI" w:cs="Segoe UI"/>
                <w:bCs/>
                <w:color w:val="000000"/>
                <w:sz w:val="18"/>
                <w:szCs w:val="28"/>
              </w:rPr>
            </w:pPr>
            <w:r w:rsidRPr="0082126B">
              <w:rPr>
                <w:rFonts w:ascii="Segoe UI" w:hAnsi="Segoe UI" w:cs="Segoe UI"/>
                <w:bCs/>
                <w:color w:val="000000"/>
                <w:sz w:val="18"/>
                <w:szCs w:val="28"/>
              </w:rPr>
              <w:t>14,950</w:t>
            </w:r>
          </w:p>
        </w:tc>
        <w:tc>
          <w:tcPr>
            <w:tcW w:w="981" w:type="dxa"/>
            <w:vAlign w:val="center"/>
          </w:tcPr>
          <w:p w14:paraId="704E0A19" w14:textId="77777777" w:rsidR="00370DA6" w:rsidRPr="00117C96" w:rsidRDefault="00370DA6" w:rsidP="000A0322">
            <w:pPr>
              <w:keepNext/>
              <w:spacing w:after="40"/>
              <w:jc w:val="right"/>
              <w:rPr>
                <w:rFonts w:ascii="Segoe UI" w:hAnsi="Segoe UI" w:cs="Segoe UI"/>
                <w:bCs/>
                <w:color w:val="000000"/>
                <w:sz w:val="18"/>
                <w:szCs w:val="28"/>
              </w:rPr>
            </w:pPr>
            <w:r w:rsidRPr="0082126B">
              <w:rPr>
                <w:rFonts w:ascii="Segoe UI" w:hAnsi="Segoe UI" w:cs="Segoe UI"/>
                <w:bCs/>
                <w:color w:val="000000"/>
                <w:sz w:val="18"/>
                <w:szCs w:val="28"/>
              </w:rPr>
              <w:t>14,599</w:t>
            </w:r>
          </w:p>
        </w:tc>
        <w:tc>
          <w:tcPr>
            <w:tcW w:w="982" w:type="dxa"/>
            <w:vAlign w:val="center"/>
          </w:tcPr>
          <w:p w14:paraId="7CE655BE" w14:textId="77777777" w:rsidR="00370DA6" w:rsidRPr="00117C96" w:rsidRDefault="00370DA6" w:rsidP="000A0322">
            <w:pPr>
              <w:keepNext/>
              <w:spacing w:after="40"/>
              <w:jc w:val="right"/>
              <w:rPr>
                <w:rFonts w:ascii="Segoe UI" w:hAnsi="Segoe UI" w:cs="Segoe UI"/>
                <w:bCs/>
                <w:color w:val="000000"/>
                <w:sz w:val="18"/>
                <w:szCs w:val="28"/>
              </w:rPr>
            </w:pPr>
            <w:r w:rsidRPr="0082126B">
              <w:rPr>
                <w:rFonts w:ascii="Segoe UI" w:hAnsi="Segoe UI" w:cs="Segoe UI"/>
                <w:bCs/>
                <w:color w:val="000000"/>
                <w:sz w:val="18"/>
                <w:szCs w:val="28"/>
              </w:rPr>
              <w:t>14,390</w:t>
            </w:r>
          </w:p>
        </w:tc>
        <w:tc>
          <w:tcPr>
            <w:tcW w:w="982" w:type="dxa"/>
            <w:vAlign w:val="center"/>
          </w:tcPr>
          <w:p w14:paraId="2B74532F" w14:textId="77777777" w:rsidR="00370DA6" w:rsidRPr="00117C96" w:rsidRDefault="00370DA6" w:rsidP="000A0322">
            <w:pPr>
              <w:keepNext/>
              <w:spacing w:after="40"/>
              <w:jc w:val="right"/>
              <w:rPr>
                <w:rFonts w:ascii="Segoe UI" w:hAnsi="Segoe UI" w:cs="Segoe UI"/>
                <w:bCs/>
                <w:color w:val="000000"/>
                <w:sz w:val="18"/>
                <w:szCs w:val="28"/>
              </w:rPr>
            </w:pPr>
            <w:r w:rsidRPr="0082126B">
              <w:rPr>
                <w:rFonts w:ascii="Segoe UI" w:hAnsi="Segoe UI" w:cs="Segoe UI"/>
                <w:bCs/>
                <w:color w:val="000000"/>
                <w:sz w:val="18"/>
                <w:szCs w:val="28"/>
              </w:rPr>
              <w:t>14,461</w:t>
            </w:r>
          </w:p>
        </w:tc>
        <w:tc>
          <w:tcPr>
            <w:tcW w:w="1613" w:type="dxa"/>
            <w:vMerge/>
          </w:tcPr>
          <w:p w14:paraId="28A800FA" w14:textId="77777777" w:rsidR="00370DA6" w:rsidRPr="0082126B" w:rsidRDefault="00370DA6" w:rsidP="001F69CF">
            <w:pPr>
              <w:keepNext/>
              <w:spacing w:after="40"/>
              <w:jc w:val="right"/>
              <w:rPr>
                <w:rFonts w:ascii="Segoe UI" w:hAnsi="Segoe UI" w:cs="Segoe UI"/>
                <w:bCs/>
                <w:color w:val="000000"/>
                <w:sz w:val="18"/>
                <w:szCs w:val="28"/>
              </w:rPr>
            </w:pPr>
          </w:p>
        </w:tc>
      </w:tr>
    </w:tbl>
    <w:p w14:paraId="63FF4590" w14:textId="77777777" w:rsidR="00370DA6" w:rsidRPr="00117C96" w:rsidRDefault="00370DA6" w:rsidP="00370DA6">
      <w:pPr>
        <w:pStyle w:val="Source"/>
      </w:pPr>
      <w:r w:rsidRPr="00117C96">
        <w:t>Source</w:t>
      </w:r>
      <w:r>
        <w:t xml:space="preserve">: </w:t>
      </w:r>
      <w:r w:rsidRPr="00117C96">
        <w:t xml:space="preserve"> </w:t>
      </w:r>
      <w:r w:rsidRPr="00AC65B9">
        <w:t>VicRoads</w:t>
      </w:r>
      <w:r>
        <w:t xml:space="preserve"> </w:t>
      </w:r>
      <w:r w:rsidRPr="00117C96">
        <w:t>R&amp;L Finance Fast Facts</w:t>
      </w:r>
      <w:r w:rsidR="009D6218">
        <w:t xml:space="preserve"> FY17</w:t>
      </w:r>
    </w:p>
    <w:p w14:paraId="531C8991" w14:textId="77777777" w:rsidR="00370DA6" w:rsidRPr="00117C96" w:rsidRDefault="00370DA6" w:rsidP="008103DD">
      <w:pPr>
        <w:pStyle w:val="Heading3"/>
        <w:ind w:left="851" w:hanging="851"/>
      </w:pPr>
      <w:bookmarkStart w:id="639" w:name="_Toc10703488"/>
      <w:r w:rsidRPr="00117C96">
        <w:t>Service Levels</w:t>
      </w:r>
      <w:bookmarkEnd w:id="639"/>
      <w:r w:rsidRPr="00117C96">
        <w:t xml:space="preserve"> </w:t>
      </w:r>
    </w:p>
    <w:p w14:paraId="08D65ADE" w14:textId="12660FE4" w:rsidR="00370DA6" w:rsidRDefault="00370DA6" w:rsidP="00370DA6">
      <w:pPr>
        <w:pStyle w:val="TextPara"/>
      </w:pPr>
      <w:r w:rsidRPr="00875339">
        <w:t xml:space="preserve">The key service levels, which R&amp;L </w:t>
      </w:r>
      <w:r w:rsidRPr="00C02B69">
        <w:t>manages</w:t>
      </w:r>
      <w:r w:rsidRPr="00875339">
        <w:t xml:space="preserve">, have been established for more than 5 years. </w:t>
      </w:r>
      <w:r>
        <w:t>In some cases, t</w:t>
      </w:r>
      <w:r w:rsidRPr="00875339">
        <w:t xml:space="preserve">he target service levels </w:t>
      </w:r>
      <w:r>
        <w:t xml:space="preserve">have been </w:t>
      </w:r>
      <w:r w:rsidRPr="00875339">
        <w:t xml:space="preserve">challenging as </w:t>
      </w:r>
      <w:r>
        <w:t xml:space="preserve">the number of </w:t>
      </w:r>
      <w:r w:rsidRPr="00875339">
        <w:t xml:space="preserve">customers and transactions </w:t>
      </w:r>
      <w:r>
        <w:t xml:space="preserve">has </w:t>
      </w:r>
      <w:r w:rsidRPr="00875339">
        <w:t>continue</w:t>
      </w:r>
      <w:r>
        <w:t>d</w:t>
      </w:r>
      <w:r w:rsidRPr="00875339">
        <w:t xml:space="preserve"> to </w:t>
      </w:r>
      <w:r>
        <w:t xml:space="preserve">increase at a faster rate than </w:t>
      </w:r>
      <w:r w:rsidRPr="00875339">
        <w:t xml:space="preserve">EFT </w:t>
      </w:r>
      <w:r>
        <w:t xml:space="preserve">growth. </w:t>
      </w:r>
    </w:p>
    <w:p w14:paraId="2268AC4D" w14:textId="677C6EF0" w:rsidR="00370DA6" w:rsidRDefault="00B915E5" w:rsidP="00370DA6">
      <w:pPr>
        <w:pStyle w:val="TextPara"/>
      </w:pPr>
      <w:r>
        <w:t>Constrained resources present an ongoing challenge to deliver the services to the desired levels. To compensate for this, ongoing strategies and technology enhancements are employed to optimise resources, improve business processes and encourage customers to transact through digital channels in pursuit of the service level targets on an ongoing basis.</w:t>
      </w:r>
    </w:p>
    <w:p w14:paraId="24A6BB8C" w14:textId="77777777" w:rsidR="00370DA6" w:rsidRPr="00875339" w:rsidRDefault="00370DA6" w:rsidP="00C02B69">
      <w:pPr>
        <w:pStyle w:val="TextPara"/>
      </w:pPr>
      <w:r w:rsidRPr="00875339">
        <w:t xml:space="preserve">VicRoads considers </w:t>
      </w:r>
      <w:r>
        <w:t xml:space="preserve">that these target service levels are still </w:t>
      </w:r>
      <w:r w:rsidRPr="00875339">
        <w:t xml:space="preserve">appropriate and effective goals </w:t>
      </w:r>
      <w:r>
        <w:t xml:space="preserve">for R&amp;L. </w:t>
      </w:r>
    </w:p>
    <w:p w14:paraId="2B75BED4" w14:textId="38A347B2" w:rsidR="00370DA6" w:rsidRDefault="003B5460" w:rsidP="00861D16">
      <w:pPr>
        <w:pStyle w:val="TextPara"/>
      </w:pPr>
      <w:r>
        <w:fldChar w:fldCharType="begin"/>
      </w:r>
      <w:r>
        <w:instrText xml:space="preserve"> REF _Ref4403551 \h </w:instrText>
      </w:r>
      <w:r w:rsidR="00861D16">
        <w:instrText xml:space="preserve"> \* MERGEFORMAT </w:instrText>
      </w:r>
      <w:r>
        <w:fldChar w:fldCharType="separate"/>
      </w:r>
      <w:r w:rsidR="00EB4B02">
        <w:t>Table 38</w:t>
      </w:r>
      <w:r>
        <w:fldChar w:fldCharType="end"/>
      </w:r>
      <w:r>
        <w:t xml:space="preserve"> </w:t>
      </w:r>
      <w:r w:rsidR="00370DA6">
        <w:t>shows that</w:t>
      </w:r>
      <w:r w:rsidR="00B86F67">
        <w:t>,</w:t>
      </w:r>
      <w:r w:rsidR="00370DA6">
        <w:t xml:space="preserve"> o</w:t>
      </w:r>
      <w:r w:rsidR="00370DA6" w:rsidRPr="00117C96">
        <w:t xml:space="preserve">ver the </w:t>
      </w:r>
      <w:r w:rsidR="00370DA6">
        <w:t>5-year period to FY16/17,</w:t>
      </w:r>
      <w:r w:rsidR="00370DA6" w:rsidRPr="00117C96">
        <w:t xml:space="preserve"> </w:t>
      </w:r>
      <w:r w:rsidR="0065451C">
        <w:t xml:space="preserve">VicRoads has achieved the required service level target in 25 of the 35 service levels measured. While there </w:t>
      </w:r>
      <w:r w:rsidR="00951C28">
        <w:t>was</w:t>
      </w:r>
      <w:r w:rsidR="0065451C">
        <w:t xml:space="preserve"> some overall deterioration in service levels in FY16/17 compared with the previous few years, online and efficiency</w:t>
      </w:r>
      <w:r w:rsidR="008143FB">
        <w:t>-</w:t>
      </w:r>
      <w:r w:rsidR="0065451C">
        <w:t xml:space="preserve">based projects have been undertaken to reduce the demand for these services through the CSC and Call Centres in order to reverse this latest trend. </w:t>
      </w:r>
    </w:p>
    <w:p w14:paraId="5F26A41B" w14:textId="351D0C46" w:rsidR="00370DA6" w:rsidRPr="00117C96" w:rsidRDefault="00370DA6" w:rsidP="00AA0BBA">
      <w:pPr>
        <w:pStyle w:val="Caption"/>
      </w:pPr>
      <w:bookmarkStart w:id="640" w:name="_Ref4403551"/>
      <w:bookmarkStart w:id="641" w:name="_Toc4084320"/>
      <w:bookmarkStart w:id="642" w:name="_Toc10703731"/>
      <w:r>
        <w:t xml:space="preserve">Table </w:t>
      </w:r>
      <w:r>
        <w:rPr>
          <w:noProof/>
        </w:rPr>
        <w:fldChar w:fldCharType="begin"/>
      </w:r>
      <w:r>
        <w:rPr>
          <w:noProof/>
        </w:rPr>
        <w:instrText xml:space="preserve"> SEQ Table \* ARABIC </w:instrText>
      </w:r>
      <w:r>
        <w:rPr>
          <w:noProof/>
        </w:rPr>
        <w:fldChar w:fldCharType="separate"/>
      </w:r>
      <w:r w:rsidR="00EB4B02">
        <w:rPr>
          <w:noProof/>
        </w:rPr>
        <w:t>38</w:t>
      </w:r>
      <w:r>
        <w:rPr>
          <w:noProof/>
        </w:rPr>
        <w:fldChar w:fldCharType="end"/>
      </w:r>
      <w:bookmarkEnd w:id="640"/>
      <w:r>
        <w:t xml:space="preserve"> – Service Levels</w:t>
      </w:r>
      <w:bookmarkEnd w:id="641"/>
      <w:bookmarkEnd w:id="642"/>
    </w:p>
    <w:tbl>
      <w:tblPr>
        <w:tblStyle w:val="RIS-Table"/>
        <w:tblW w:w="0" w:type="auto"/>
        <w:tblLayout w:type="fixed"/>
        <w:tblLook w:val="04A0" w:firstRow="1" w:lastRow="0" w:firstColumn="1" w:lastColumn="0" w:noHBand="0" w:noVBand="1"/>
      </w:tblPr>
      <w:tblGrid>
        <w:gridCol w:w="3402"/>
        <w:gridCol w:w="1134"/>
        <w:gridCol w:w="992"/>
        <w:gridCol w:w="992"/>
        <w:gridCol w:w="992"/>
        <w:gridCol w:w="993"/>
        <w:gridCol w:w="992"/>
      </w:tblGrid>
      <w:tr w:rsidR="00370DA6" w:rsidRPr="00673CB6" w14:paraId="41F3402D" w14:textId="77777777" w:rsidTr="00AF059E">
        <w:trPr>
          <w:cnfStyle w:val="100000000000" w:firstRow="1" w:lastRow="0" w:firstColumn="0" w:lastColumn="0" w:oddVBand="0" w:evenVBand="0" w:oddHBand="0" w:evenHBand="0" w:firstRowFirstColumn="0" w:firstRowLastColumn="0" w:lastRowFirstColumn="0" w:lastRowLastColumn="0"/>
        </w:trPr>
        <w:tc>
          <w:tcPr>
            <w:tcW w:w="3402" w:type="dxa"/>
          </w:tcPr>
          <w:p w14:paraId="68727886" w14:textId="77777777" w:rsidR="00370DA6" w:rsidRPr="00673CB6" w:rsidRDefault="00370DA6" w:rsidP="00467F4F">
            <w:pPr>
              <w:pStyle w:val="TableHeaders"/>
              <w:rPr>
                <w:szCs w:val="18"/>
              </w:rPr>
            </w:pPr>
            <w:bookmarkStart w:id="643" w:name="_Hlk9252737"/>
            <w:r w:rsidRPr="00673CB6">
              <w:rPr>
                <w:szCs w:val="18"/>
              </w:rPr>
              <w:t>Service level</w:t>
            </w:r>
          </w:p>
        </w:tc>
        <w:tc>
          <w:tcPr>
            <w:tcW w:w="1134" w:type="dxa"/>
          </w:tcPr>
          <w:p w14:paraId="0A8688EC" w14:textId="77777777" w:rsidR="00370DA6" w:rsidRPr="000A0322" w:rsidRDefault="00370DA6" w:rsidP="00467F4F">
            <w:pPr>
              <w:spacing w:before="60" w:after="60"/>
              <w:rPr>
                <w:rFonts w:ascii="Segoe UI" w:hAnsi="Segoe UI" w:cs="Segoe UI"/>
                <w:bCs/>
                <w:sz w:val="18"/>
                <w:szCs w:val="18"/>
              </w:rPr>
            </w:pPr>
            <w:r w:rsidRPr="000A0322">
              <w:rPr>
                <w:rFonts w:ascii="Segoe UI" w:hAnsi="Segoe UI" w:cs="Segoe UI"/>
                <w:bCs/>
                <w:sz w:val="18"/>
                <w:szCs w:val="18"/>
              </w:rPr>
              <w:t>Target</w:t>
            </w:r>
          </w:p>
        </w:tc>
        <w:tc>
          <w:tcPr>
            <w:tcW w:w="992" w:type="dxa"/>
          </w:tcPr>
          <w:p w14:paraId="663F69D9" w14:textId="77777777" w:rsidR="00370DA6" w:rsidRPr="00673CB6" w:rsidRDefault="00370DA6" w:rsidP="00467F4F">
            <w:pPr>
              <w:pStyle w:val="TableHeaders"/>
              <w:rPr>
                <w:szCs w:val="18"/>
              </w:rPr>
            </w:pPr>
            <w:r w:rsidRPr="00673CB6">
              <w:rPr>
                <w:szCs w:val="18"/>
              </w:rPr>
              <w:t>FY12/13</w:t>
            </w:r>
          </w:p>
        </w:tc>
        <w:tc>
          <w:tcPr>
            <w:tcW w:w="992" w:type="dxa"/>
          </w:tcPr>
          <w:p w14:paraId="29CC98CD" w14:textId="77777777" w:rsidR="00370DA6" w:rsidRPr="00673CB6" w:rsidRDefault="00370DA6" w:rsidP="00467F4F">
            <w:pPr>
              <w:pStyle w:val="TableHeaders"/>
              <w:rPr>
                <w:szCs w:val="18"/>
              </w:rPr>
            </w:pPr>
            <w:r w:rsidRPr="00673CB6">
              <w:rPr>
                <w:szCs w:val="18"/>
              </w:rPr>
              <w:t>FY13/14</w:t>
            </w:r>
          </w:p>
        </w:tc>
        <w:tc>
          <w:tcPr>
            <w:tcW w:w="992" w:type="dxa"/>
          </w:tcPr>
          <w:p w14:paraId="290ECAB0" w14:textId="77777777" w:rsidR="00370DA6" w:rsidRPr="00673CB6" w:rsidRDefault="00370DA6" w:rsidP="00467F4F">
            <w:pPr>
              <w:pStyle w:val="TableHeaders"/>
              <w:rPr>
                <w:szCs w:val="18"/>
              </w:rPr>
            </w:pPr>
            <w:r w:rsidRPr="00673CB6">
              <w:rPr>
                <w:szCs w:val="18"/>
              </w:rPr>
              <w:t>FY14/15</w:t>
            </w:r>
          </w:p>
        </w:tc>
        <w:tc>
          <w:tcPr>
            <w:tcW w:w="993" w:type="dxa"/>
          </w:tcPr>
          <w:p w14:paraId="37829017" w14:textId="77777777" w:rsidR="00370DA6" w:rsidRPr="00673CB6" w:rsidRDefault="00370DA6" w:rsidP="00467F4F">
            <w:pPr>
              <w:pStyle w:val="TableHeaders"/>
              <w:rPr>
                <w:szCs w:val="18"/>
              </w:rPr>
            </w:pPr>
            <w:r w:rsidRPr="00673CB6">
              <w:rPr>
                <w:szCs w:val="18"/>
              </w:rPr>
              <w:t>FY15/16</w:t>
            </w:r>
          </w:p>
        </w:tc>
        <w:tc>
          <w:tcPr>
            <w:tcW w:w="992" w:type="dxa"/>
          </w:tcPr>
          <w:p w14:paraId="26DE8724" w14:textId="77777777" w:rsidR="00370DA6" w:rsidRPr="00673CB6" w:rsidRDefault="00370DA6" w:rsidP="00467F4F">
            <w:pPr>
              <w:pStyle w:val="TableHeaders"/>
              <w:rPr>
                <w:szCs w:val="18"/>
              </w:rPr>
            </w:pPr>
            <w:r w:rsidRPr="00673CB6">
              <w:rPr>
                <w:szCs w:val="18"/>
              </w:rPr>
              <w:t>FY16/17</w:t>
            </w:r>
          </w:p>
        </w:tc>
      </w:tr>
      <w:tr w:rsidR="00370DA6" w:rsidRPr="00117C96" w14:paraId="077ED672" w14:textId="77777777" w:rsidTr="00AF059E">
        <w:tc>
          <w:tcPr>
            <w:tcW w:w="3402" w:type="dxa"/>
          </w:tcPr>
          <w:p w14:paraId="2BF1DEDB" w14:textId="77777777" w:rsidR="00370DA6" w:rsidRPr="00A70E0E" w:rsidRDefault="00370DA6" w:rsidP="00A70E0E">
            <w:pPr>
              <w:pStyle w:val="TableParagraph"/>
            </w:pPr>
            <w:r w:rsidRPr="00A70E0E">
              <w:t>First contact resolution - customer interactions completed the first time</w:t>
            </w:r>
          </w:p>
        </w:tc>
        <w:tc>
          <w:tcPr>
            <w:tcW w:w="1134" w:type="dxa"/>
            <w:shd w:val="clear" w:color="auto" w:fill="DDE8F4" w:themeFill="text2" w:themeFillTint="1A"/>
          </w:tcPr>
          <w:p w14:paraId="78FF4F99" w14:textId="77777777" w:rsidR="00370DA6" w:rsidRPr="00E674E3" w:rsidRDefault="00370DA6" w:rsidP="00467F4F">
            <w:pPr>
              <w:spacing w:after="0"/>
              <w:jc w:val="center"/>
              <w:rPr>
                <w:rFonts w:ascii="Segoe UI" w:hAnsi="Segoe UI" w:cs="Segoe UI"/>
                <w:b/>
                <w:bCs/>
                <w:color w:val="0070C0"/>
                <w:sz w:val="18"/>
                <w:szCs w:val="18"/>
              </w:rPr>
            </w:pPr>
            <w:r w:rsidRPr="00E674E3">
              <w:rPr>
                <w:rFonts w:ascii="Segoe UI" w:hAnsi="Segoe UI" w:cs="Segoe UI"/>
                <w:b/>
                <w:bCs/>
                <w:color w:val="0070C0"/>
                <w:sz w:val="18"/>
                <w:szCs w:val="18"/>
              </w:rPr>
              <w:t>85%</w:t>
            </w:r>
          </w:p>
        </w:tc>
        <w:tc>
          <w:tcPr>
            <w:tcW w:w="992" w:type="dxa"/>
          </w:tcPr>
          <w:p w14:paraId="759D8AD4"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65%</w:t>
            </w:r>
          </w:p>
        </w:tc>
        <w:tc>
          <w:tcPr>
            <w:tcW w:w="992" w:type="dxa"/>
          </w:tcPr>
          <w:p w14:paraId="37E3D6BC"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75%</w:t>
            </w:r>
          </w:p>
        </w:tc>
        <w:tc>
          <w:tcPr>
            <w:tcW w:w="992" w:type="dxa"/>
          </w:tcPr>
          <w:p w14:paraId="3AB1BD8B"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72%</w:t>
            </w:r>
          </w:p>
        </w:tc>
        <w:tc>
          <w:tcPr>
            <w:tcW w:w="993" w:type="dxa"/>
          </w:tcPr>
          <w:p w14:paraId="4FC14FC4"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65%</w:t>
            </w:r>
          </w:p>
        </w:tc>
        <w:tc>
          <w:tcPr>
            <w:tcW w:w="992" w:type="dxa"/>
          </w:tcPr>
          <w:p w14:paraId="461DFCFA"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67%</w:t>
            </w:r>
          </w:p>
        </w:tc>
      </w:tr>
      <w:tr w:rsidR="00370DA6" w:rsidRPr="00117C96" w14:paraId="76A4A17D" w14:textId="77777777" w:rsidTr="00AF059E">
        <w:trPr>
          <w:cnfStyle w:val="000000010000" w:firstRow="0" w:lastRow="0" w:firstColumn="0" w:lastColumn="0" w:oddVBand="0" w:evenVBand="0" w:oddHBand="0" w:evenHBand="1" w:firstRowFirstColumn="0" w:firstRowLastColumn="0" w:lastRowFirstColumn="0" w:lastRowLastColumn="0"/>
        </w:trPr>
        <w:tc>
          <w:tcPr>
            <w:tcW w:w="3402" w:type="dxa"/>
          </w:tcPr>
          <w:p w14:paraId="27F57BCD" w14:textId="77777777" w:rsidR="00370DA6" w:rsidRPr="00A70E0E" w:rsidRDefault="00370DA6" w:rsidP="00A70E0E">
            <w:pPr>
              <w:pStyle w:val="TableParagraph"/>
            </w:pPr>
            <w:r w:rsidRPr="00A70E0E">
              <w:t>Average speed to answers customer calls</w:t>
            </w:r>
          </w:p>
        </w:tc>
        <w:tc>
          <w:tcPr>
            <w:tcW w:w="1134" w:type="dxa"/>
            <w:shd w:val="clear" w:color="auto" w:fill="DDE8F4" w:themeFill="text2" w:themeFillTint="1A"/>
          </w:tcPr>
          <w:p w14:paraId="0F9B3DA5" w14:textId="77777777" w:rsidR="00370DA6" w:rsidRPr="00E674E3" w:rsidRDefault="00370DA6" w:rsidP="00467F4F">
            <w:pPr>
              <w:jc w:val="center"/>
              <w:rPr>
                <w:rFonts w:ascii="Segoe UI" w:hAnsi="Segoe UI" w:cs="Segoe UI"/>
                <w:b/>
                <w:bCs/>
                <w:color w:val="0070C0"/>
                <w:sz w:val="18"/>
                <w:szCs w:val="18"/>
              </w:rPr>
            </w:pPr>
            <w:r w:rsidRPr="00E674E3">
              <w:rPr>
                <w:rFonts w:ascii="Segoe UI" w:hAnsi="Segoe UI" w:cs="Segoe UI"/>
                <w:b/>
                <w:bCs/>
                <w:color w:val="0070C0"/>
                <w:sz w:val="18"/>
                <w:szCs w:val="18"/>
              </w:rPr>
              <w:t>240 seconds max</w:t>
            </w:r>
          </w:p>
        </w:tc>
        <w:tc>
          <w:tcPr>
            <w:tcW w:w="992" w:type="dxa"/>
          </w:tcPr>
          <w:p w14:paraId="51989212"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205</w:t>
            </w:r>
            <w:r>
              <w:rPr>
                <w:rFonts w:ascii="Segoe UI" w:hAnsi="Segoe UI" w:cs="Segoe UI"/>
                <w:bCs/>
                <w:sz w:val="18"/>
                <w:szCs w:val="18"/>
              </w:rPr>
              <w:t xml:space="preserve"> seconds</w:t>
            </w:r>
          </w:p>
        </w:tc>
        <w:tc>
          <w:tcPr>
            <w:tcW w:w="992" w:type="dxa"/>
          </w:tcPr>
          <w:p w14:paraId="6528A00B"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202</w:t>
            </w:r>
            <w:r>
              <w:rPr>
                <w:rFonts w:ascii="Segoe UI" w:hAnsi="Segoe UI" w:cs="Segoe UI"/>
                <w:bCs/>
                <w:sz w:val="18"/>
                <w:szCs w:val="18"/>
              </w:rPr>
              <w:t xml:space="preserve"> seconds</w:t>
            </w:r>
          </w:p>
        </w:tc>
        <w:tc>
          <w:tcPr>
            <w:tcW w:w="992" w:type="dxa"/>
          </w:tcPr>
          <w:p w14:paraId="6290A83A"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208</w:t>
            </w:r>
            <w:r>
              <w:rPr>
                <w:rFonts w:ascii="Segoe UI" w:hAnsi="Segoe UI" w:cs="Segoe UI"/>
                <w:bCs/>
                <w:sz w:val="18"/>
                <w:szCs w:val="18"/>
              </w:rPr>
              <w:t xml:space="preserve"> seconds</w:t>
            </w:r>
          </w:p>
        </w:tc>
        <w:tc>
          <w:tcPr>
            <w:tcW w:w="993" w:type="dxa"/>
          </w:tcPr>
          <w:p w14:paraId="629297EE"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268</w:t>
            </w:r>
            <w:r>
              <w:rPr>
                <w:rFonts w:ascii="Segoe UI" w:hAnsi="Segoe UI" w:cs="Segoe UI"/>
                <w:bCs/>
                <w:sz w:val="18"/>
                <w:szCs w:val="18"/>
              </w:rPr>
              <w:t xml:space="preserve"> seconds</w:t>
            </w:r>
          </w:p>
        </w:tc>
        <w:tc>
          <w:tcPr>
            <w:tcW w:w="992" w:type="dxa"/>
          </w:tcPr>
          <w:p w14:paraId="2CDB5DA7"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310</w:t>
            </w:r>
            <w:r>
              <w:rPr>
                <w:rFonts w:ascii="Segoe UI" w:hAnsi="Segoe UI" w:cs="Segoe UI"/>
                <w:bCs/>
                <w:sz w:val="18"/>
                <w:szCs w:val="18"/>
              </w:rPr>
              <w:t xml:space="preserve"> seconds</w:t>
            </w:r>
          </w:p>
        </w:tc>
      </w:tr>
      <w:tr w:rsidR="00370DA6" w:rsidRPr="00117C96" w14:paraId="005371B6" w14:textId="77777777" w:rsidTr="00AF059E">
        <w:tc>
          <w:tcPr>
            <w:tcW w:w="3402" w:type="dxa"/>
          </w:tcPr>
          <w:p w14:paraId="24D41FBD" w14:textId="77777777" w:rsidR="00370DA6" w:rsidRPr="00A70E0E" w:rsidRDefault="00370DA6" w:rsidP="00A70E0E">
            <w:pPr>
              <w:pStyle w:val="TableParagraph"/>
            </w:pPr>
            <w:r w:rsidRPr="00A70E0E">
              <w:lastRenderedPageBreak/>
              <w:t>Customers served within 10 minutes in VicRoads Customer Service Centres</w:t>
            </w:r>
          </w:p>
        </w:tc>
        <w:tc>
          <w:tcPr>
            <w:tcW w:w="1134" w:type="dxa"/>
            <w:shd w:val="clear" w:color="auto" w:fill="DDE8F4" w:themeFill="text2" w:themeFillTint="1A"/>
          </w:tcPr>
          <w:p w14:paraId="78D25BB7" w14:textId="77777777" w:rsidR="00370DA6" w:rsidRPr="00E674E3" w:rsidRDefault="00370DA6" w:rsidP="00467F4F">
            <w:pPr>
              <w:spacing w:after="0"/>
              <w:jc w:val="center"/>
              <w:rPr>
                <w:rFonts w:ascii="Segoe UI" w:hAnsi="Segoe UI" w:cs="Segoe UI"/>
                <w:b/>
                <w:bCs/>
                <w:color w:val="0070C0"/>
                <w:sz w:val="18"/>
                <w:szCs w:val="18"/>
              </w:rPr>
            </w:pPr>
            <w:r w:rsidRPr="00E674E3">
              <w:rPr>
                <w:rFonts w:ascii="Segoe UI" w:hAnsi="Segoe UI" w:cs="Segoe UI"/>
                <w:b/>
                <w:bCs/>
                <w:color w:val="0070C0"/>
                <w:sz w:val="18"/>
                <w:szCs w:val="18"/>
              </w:rPr>
              <w:t>80%</w:t>
            </w:r>
          </w:p>
        </w:tc>
        <w:tc>
          <w:tcPr>
            <w:tcW w:w="992" w:type="dxa"/>
          </w:tcPr>
          <w:p w14:paraId="39157551"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77%</w:t>
            </w:r>
          </w:p>
        </w:tc>
        <w:tc>
          <w:tcPr>
            <w:tcW w:w="992" w:type="dxa"/>
          </w:tcPr>
          <w:p w14:paraId="07426564"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80%</w:t>
            </w:r>
          </w:p>
        </w:tc>
        <w:tc>
          <w:tcPr>
            <w:tcW w:w="992" w:type="dxa"/>
          </w:tcPr>
          <w:p w14:paraId="19387350"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81%</w:t>
            </w:r>
          </w:p>
        </w:tc>
        <w:tc>
          <w:tcPr>
            <w:tcW w:w="993" w:type="dxa"/>
          </w:tcPr>
          <w:p w14:paraId="25AC9091"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76%</w:t>
            </w:r>
          </w:p>
        </w:tc>
        <w:tc>
          <w:tcPr>
            <w:tcW w:w="992" w:type="dxa"/>
          </w:tcPr>
          <w:p w14:paraId="6832CF9C" w14:textId="77777777" w:rsidR="00370DA6" w:rsidRPr="00D466CE" w:rsidRDefault="00370DA6" w:rsidP="00370DA6">
            <w:pPr>
              <w:spacing w:after="0"/>
              <w:jc w:val="center"/>
              <w:rPr>
                <w:rFonts w:ascii="Segoe UI" w:hAnsi="Segoe UI" w:cs="Segoe UI"/>
                <w:bCs/>
                <w:sz w:val="18"/>
                <w:szCs w:val="18"/>
              </w:rPr>
            </w:pPr>
            <w:r w:rsidRPr="00D466CE">
              <w:rPr>
                <w:rFonts w:ascii="Segoe UI" w:hAnsi="Segoe UI" w:cs="Segoe UI"/>
                <w:bCs/>
                <w:sz w:val="18"/>
                <w:szCs w:val="18"/>
              </w:rPr>
              <w:t>72%</w:t>
            </w:r>
          </w:p>
        </w:tc>
      </w:tr>
      <w:tr w:rsidR="00370DA6" w:rsidRPr="00117C96" w14:paraId="17789E87" w14:textId="77777777" w:rsidTr="00AF059E">
        <w:trPr>
          <w:cnfStyle w:val="000000010000" w:firstRow="0" w:lastRow="0" w:firstColumn="0" w:lastColumn="0" w:oddVBand="0" w:evenVBand="0" w:oddHBand="0" w:evenHBand="1" w:firstRowFirstColumn="0" w:firstRowLastColumn="0" w:lastRowFirstColumn="0" w:lastRowLastColumn="0"/>
        </w:trPr>
        <w:tc>
          <w:tcPr>
            <w:tcW w:w="3402" w:type="dxa"/>
          </w:tcPr>
          <w:p w14:paraId="1C3E0506" w14:textId="77777777" w:rsidR="00370DA6" w:rsidRPr="00A70E0E" w:rsidRDefault="00370DA6" w:rsidP="00A70E0E">
            <w:pPr>
              <w:pStyle w:val="TableParagraph"/>
            </w:pPr>
            <w:r w:rsidRPr="00A70E0E">
              <w:t>Driver licence test appointment available</w:t>
            </w:r>
          </w:p>
        </w:tc>
        <w:tc>
          <w:tcPr>
            <w:tcW w:w="1134" w:type="dxa"/>
            <w:shd w:val="clear" w:color="auto" w:fill="DDE8F4" w:themeFill="text2" w:themeFillTint="1A"/>
          </w:tcPr>
          <w:p w14:paraId="1253699C" w14:textId="77777777" w:rsidR="00370DA6" w:rsidRPr="00E674E3" w:rsidRDefault="00370DA6">
            <w:pPr>
              <w:spacing w:after="0"/>
              <w:jc w:val="center"/>
              <w:rPr>
                <w:rFonts w:ascii="Segoe UI" w:hAnsi="Segoe UI" w:cs="Segoe UI"/>
                <w:b/>
                <w:bCs/>
                <w:color w:val="0070C0"/>
                <w:sz w:val="18"/>
                <w:szCs w:val="18"/>
              </w:rPr>
            </w:pPr>
            <w:r>
              <w:rPr>
                <w:rFonts w:ascii="Segoe UI" w:hAnsi="Segoe UI" w:cs="Segoe UI"/>
                <w:b/>
                <w:bCs/>
                <w:color w:val="0070C0"/>
                <w:sz w:val="18"/>
                <w:szCs w:val="18"/>
              </w:rPr>
              <w:t xml:space="preserve">within </w:t>
            </w:r>
            <w:r w:rsidRPr="00E674E3">
              <w:rPr>
                <w:rFonts w:ascii="Segoe UI" w:hAnsi="Segoe UI" w:cs="Segoe UI"/>
                <w:b/>
                <w:bCs/>
                <w:color w:val="0070C0"/>
                <w:sz w:val="18"/>
                <w:szCs w:val="18"/>
              </w:rPr>
              <w:t>4.0</w:t>
            </w:r>
            <w:r>
              <w:rPr>
                <w:rFonts w:ascii="Segoe UI" w:hAnsi="Segoe UI" w:cs="Segoe UI"/>
                <w:b/>
                <w:bCs/>
                <w:color w:val="0070C0"/>
                <w:sz w:val="18"/>
                <w:szCs w:val="18"/>
              </w:rPr>
              <w:t xml:space="preserve"> </w:t>
            </w:r>
            <w:r w:rsidRPr="00E674E3">
              <w:rPr>
                <w:rFonts w:ascii="Segoe UI" w:hAnsi="Segoe UI" w:cs="Segoe UI"/>
                <w:b/>
                <w:bCs/>
                <w:color w:val="0070C0"/>
                <w:sz w:val="18"/>
                <w:szCs w:val="18"/>
              </w:rPr>
              <w:t>weeks</w:t>
            </w:r>
          </w:p>
        </w:tc>
        <w:tc>
          <w:tcPr>
            <w:tcW w:w="992" w:type="dxa"/>
          </w:tcPr>
          <w:p w14:paraId="250750E7"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bCs/>
                <w:color w:val="000000" w:themeColor="text1"/>
                <w:sz w:val="18"/>
                <w:szCs w:val="18"/>
              </w:rPr>
              <w:t>3.0</w:t>
            </w:r>
            <w:r>
              <w:rPr>
                <w:rFonts w:ascii="Segoe UI" w:hAnsi="Segoe UI" w:cs="Segoe UI"/>
                <w:bCs/>
                <w:color w:val="000000" w:themeColor="text1"/>
                <w:sz w:val="18"/>
                <w:szCs w:val="18"/>
              </w:rPr>
              <w:t xml:space="preserve"> weeks</w:t>
            </w:r>
          </w:p>
        </w:tc>
        <w:tc>
          <w:tcPr>
            <w:tcW w:w="992" w:type="dxa"/>
          </w:tcPr>
          <w:p w14:paraId="24B76F7B"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bCs/>
                <w:color w:val="000000" w:themeColor="text1"/>
                <w:sz w:val="18"/>
                <w:szCs w:val="18"/>
              </w:rPr>
              <w:t>2.9</w:t>
            </w:r>
            <w:r>
              <w:rPr>
                <w:rFonts w:ascii="Segoe UI" w:hAnsi="Segoe UI" w:cs="Segoe UI"/>
                <w:bCs/>
                <w:color w:val="000000" w:themeColor="text1"/>
                <w:sz w:val="18"/>
                <w:szCs w:val="18"/>
              </w:rPr>
              <w:t xml:space="preserve"> weeks</w:t>
            </w:r>
          </w:p>
        </w:tc>
        <w:tc>
          <w:tcPr>
            <w:tcW w:w="992" w:type="dxa"/>
          </w:tcPr>
          <w:p w14:paraId="2C3C990D"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bCs/>
                <w:color w:val="000000" w:themeColor="text1"/>
                <w:sz w:val="18"/>
                <w:szCs w:val="18"/>
              </w:rPr>
              <w:t>2.5</w:t>
            </w:r>
            <w:r>
              <w:rPr>
                <w:rFonts w:ascii="Segoe UI" w:hAnsi="Segoe UI" w:cs="Segoe UI"/>
                <w:bCs/>
                <w:color w:val="000000" w:themeColor="text1"/>
                <w:sz w:val="18"/>
                <w:szCs w:val="18"/>
              </w:rPr>
              <w:t xml:space="preserve"> weeks</w:t>
            </w:r>
          </w:p>
        </w:tc>
        <w:tc>
          <w:tcPr>
            <w:tcW w:w="993" w:type="dxa"/>
          </w:tcPr>
          <w:p w14:paraId="2BC8599F"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bCs/>
                <w:color w:val="000000" w:themeColor="text1"/>
                <w:sz w:val="18"/>
                <w:szCs w:val="18"/>
              </w:rPr>
              <w:t>3.1</w:t>
            </w:r>
            <w:r>
              <w:rPr>
                <w:rFonts w:ascii="Segoe UI" w:hAnsi="Segoe UI" w:cs="Segoe UI"/>
                <w:bCs/>
                <w:color w:val="000000" w:themeColor="text1"/>
                <w:sz w:val="18"/>
                <w:szCs w:val="18"/>
              </w:rPr>
              <w:t xml:space="preserve"> weeks</w:t>
            </w:r>
          </w:p>
        </w:tc>
        <w:tc>
          <w:tcPr>
            <w:tcW w:w="992" w:type="dxa"/>
          </w:tcPr>
          <w:p w14:paraId="4022F0B1"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bCs/>
                <w:color w:val="000000" w:themeColor="text1"/>
                <w:sz w:val="18"/>
                <w:szCs w:val="18"/>
              </w:rPr>
              <w:t>3.5</w:t>
            </w:r>
            <w:r>
              <w:rPr>
                <w:rFonts w:ascii="Segoe UI" w:hAnsi="Segoe UI" w:cs="Segoe UI"/>
                <w:bCs/>
                <w:color w:val="000000" w:themeColor="text1"/>
                <w:sz w:val="18"/>
                <w:szCs w:val="18"/>
              </w:rPr>
              <w:t xml:space="preserve"> weeks</w:t>
            </w:r>
          </w:p>
        </w:tc>
      </w:tr>
      <w:tr w:rsidR="00370DA6" w:rsidRPr="00117C96" w14:paraId="2BF87474" w14:textId="77777777" w:rsidTr="00AF059E">
        <w:tc>
          <w:tcPr>
            <w:tcW w:w="3402" w:type="dxa"/>
          </w:tcPr>
          <w:p w14:paraId="09666DEC" w14:textId="77777777" w:rsidR="00370DA6" w:rsidRPr="00A70E0E" w:rsidRDefault="00370DA6" w:rsidP="00A70E0E">
            <w:pPr>
              <w:pStyle w:val="TableParagraph"/>
            </w:pPr>
            <w:r w:rsidRPr="00A70E0E">
              <w:t>Learner Permit Test appointment available</w:t>
            </w:r>
          </w:p>
        </w:tc>
        <w:tc>
          <w:tcPr>
            <w:tcW w:w="1134" w:type="dxa"/>
            <w:shd w:val="clear" w:color="auto" w:fill="DDE8F4" w:themeFill="text2" w:themeFillTint="1A"/>
          </w:tcPr>
          <w:p w14:paraId="3993B826" w14:textId="77777777" w:rsidR="00370DA6" w:rsidRDefault="00370DA6">
            <w:pPr>
              <w:spacing w:after="0"/>
              <w:jc w:val="center"/>
              <w:rPr>
                <w:rFonts w:ascii="Segoe UI" w:hAnsi="Segoe UI" w:cs="Segoe UI"/>
                <w:b/>
                <w:bCs/>
                <w:color w:val="0070C0"/>
                <w:sz w:val="18"/>
                <w:szCs w:val="18"/>
              </w:rPr>
            </w:pPr>
            <w:r>
              <w:rPr>
                <w:rFonts w:ascii="Segoe UI" w:hAnsi="Segoe UI" w:cs="Segoe UI"/>
                <w:b/>
                <w:bCs/>
                <w:color w:val="0070C0"/>
                <w:sz w:val="18"/>
                <w:szCs w:val="18"/>
              </w:rPr>
              <w:t>within 1</w:t>
            </w:r>
            <w:r w:rsidRPr="00E674E3">
              <w:rPr>
                <w:rFonts w:ascii="Segoe UI" w:hAnsi="Segoe UI" w:cs="Segoe UI"/>
                <w:b/>
                <w:bCs/>
                <w:color w:val="0070C0"/>
                <w:sz w:val="18"/>
                <w:szCs w:val="18"/>
              </w:rPr>
              <w:t>.0</w:t>
            </w:r>
            <w:r>
              <w:rPr>
                <w:rFonts w:ascii="Segoe UI" w:hAnsi="Segoe UI" w:cs="Segoe UI"/>
                <w:b/>
                <w:bCs/>
                <w:color w:val="0070C0"/>
                <w:sz w:val="18"/>
                <w:szCs w:val="18"/>
              </w:rPr>
              <w:t xml:space="preserve"> </w:t>
            </w:r>
            <w:r w:rsidRPr="00E674E3">
              <w:rPr>
                <w:rFonts w:ascii="Segoe UI" w:hAnsi="Segoe UI" w:cs="Segoe UI"/>
                <w:b/>
                <w:bCs/>
                <w:color w:val="0070C0"/>
                <w:sz w:val="18"/>
                <w:szCs w:val="18"/>
              </w:rPr>
              <w:t>weeks</w:t>
            </w:r>
          </w:p>
        </w:tc>
        <w:tc>
          <w:tcPr>
            <w:tcW w:w="992" w:type="dxa"/>
          </w:tcPr>
          <w:p w14:paraId="730C533B" w14:textId="77777777" w:rsidR="00370DA6" w:rsidRPr="00A82C70" w:rsidRDefault="00370DA6" w:rsidP="00370DA6">
            <w:pPr>
              <w:spacing w:after="0"/>
              <w:jc w:val="center"/>
              <w:rPr>
                <w:rFonts w:ascii="Segoe UI" w:hAnsi="Segoe UI" w:cs="Segoe UI"/>
                <w:color w:val="000000" w:themeColor="text1"/>
                <w:sz w:val="18"/>
                <w:szCs w:val="18"/>
              </w:rPr>
            </w:pPr>
            <w:r w:rsidRPr="00A82C70">
              <w:rPr>
                <w:rFonts w:ascii="Segoe UI" w:hAnsi="Segoe UI" w:cs="Segoe UI"/>
                <w:color w:val="000000" w:themeColor="text1"/>
                <w:sz w:val="18"/>
              </w:rPr>
              <w:t>0.7</w:t>
            </w:r>
            <w:r>
              <w:rPr>
                <w:rFonts w:ascii="Segoe UI" w:hAnsi="Segoe UI" w:cs="Segoe UI"/>
                <w:bCs/>
                <w:color w:val="000000" w:themeColor="text1"/>
                <w:sz w:val="18"/>
                <w:szCs w:val="18"/>
              </w:rPr>
              <w:t xml:space="preserve"> weeks</w:t>
            </w:r>
          </w:p>
        </w:tc>
        <w:tc>
          <w:tcPr>
            <w:tcW w:w="992" w:type="dxa"/>
          </w:tcPr>
          <w:p w14:paraId="3AE1FEF0" w14:textId="77777777" w:rsidR="00370DA6" w:rsidRPr="00A82C70" w:rsidRDefault="00370DA6" w:rsidP="00370DA6">
            <w:pPr>
              <w:spacing w:after="0"/>
              <w:jc w:val="center"/>
              <w:rPr>
                <w:rFonts w:ascii="Segoe UI" w:hAnsi="Segoe UI" w:cs="Segoe UI"/>
                <w:color w:val="000000" w:themeColor="text1"/>
                <w:sz w:val="18"/>
                <w:szCs w:val="18"/>
              </w:rPr>
            </w:pPr>
            <w:r w:rsidRPr="00A82C70">
              <w:rPr>
                <w:rFonts w:ascii="Segoe UI" w:hAnsi="Segoe UI" w:cs="Segoe UI"/>
                <w:color w:val="000000" w:themeColor="text1"/>
                <w:sz w:val="18"/>
              </w:rPr>
              <w:t>0.8</w:t>
            </w:r>
            <w:r>
              <w:rPr>
                <w:rFonts w:ascii="Segoe UI" w:hAnsi="Segoe UI" w:cs="Segoe UI"/>
                <w:bCs/>
                <w:color w:val="000000" w:themeColor="text1"/>
                <w:sz w:val="18"/>
                <w:szCs w:val="18"/>
              </w:rPr>
              <w:t xml:space="preserve"> weeks</w:t>
            </w:r>
          </w:p>
        </w:tc>
        <w:tc>
          <w:tcPr>
            <w:tcW w:w="992" w:type="dxa"/>
          </w:tcPr>
          <w:p w14:paraId="0AFE0473" w14:textId="77777777" w:rsidR="00370DA6" w:rsidRPr="00A82C70" w:rsidRDefault="00370DA6" w:rsidP="00370DA6">
            <w:pPr>
              <w:spacing w:after="0"/>
              <w:jc w:val="center"/>
              <w:rPr>
                <w:rFonts w:ascii="Segoe UI" w:hAnsi="Segoe UI" w:cs="Segoe UI"/>
                <w:color w:val="000000" w:themeColor="text1"/>
                <w:sz w:val="18"/>
                <w:szCs w:val="18"/>
              </w:rPr>
            </w:pPr>
            <w:r w:rsidRPr="00A82C70">
              <w:rPr>
                <w:rFonts w:ascii="Segoe UI" w:hAnsi="Segoe UI" w:cs="Segoe UI"/>
                <w:color w:val="000000" w:themeColor="text1"/>
                <w:sz w:val="18"/>
              </w:rPr>
              <w:t>0.8</w:t>
            </w:r>
            <w:r>
              <w:rPr>
                <w:rFonts w:ascii="Segoe UI" w:hAnsi="Segoe UI" w:cs="Segoe UI"/>
                <w:bCs/>
                <w:color w:val="000000" w:themeColor="text1"/>
                <w:sz w:val="18"/>
                <w:szCs w:val="18"/>
              </w:rPr>
              <w:t xml:space="preserve"> weeks</w:t>
            </w:r>
          </w:p>
        </w:tc>
        <w:tc>
          <w:tcPr>
            <w:tcW w:w="993" w:type="dxa"/>
          </w:tcPr>
          <w:p w14:paraId="4DFD5949" w14:textId="77777777" w:rsidR="00370DA6" w:rsidRPr="00A82C70" w:rsidRDefault="00370DA6" w:rsidP="00370DA6">
            <w:pPr>
              <w:spacing w:after="0"/>
              <w:jc w:val="center"/>
              <w:rPr>
                <w:rFonts w:ascii="Segoe UI" w:hAnsi="Segoe UI" w:cs="Segoe UI"/>
                <w:color w:val="000000" w:themeColor="text1"/>
                <w:sz w:val="18"/>
                <w:szCs w:val="18"/>
              </w:rPr>
            </w:pPr>
            <w:r w:rsidRPr="00A82C70">
              <w:rPr>
                <w:rFonts w:ascii="Segoe UI" w:hAnsi="Segoe UI" w:cs="Segoe UI"/>
                <w:color w:val="000000" w:themeColor="text1"/>
                <w:sz w:val="18"/>
              </w:rPr>
              <w:t>0.9</w:t>
            </w:r>
            <w:r>
              <w:rPr>
                <w:rFonts w:ascii="Segoe UI" w:hAnsi="Segoe UI" w:cs="Segoe UI"/>
                <w:bCs/>
                <w:color w:val="000000" w:themeColor="text1"/>
                <w:sz w:val="18"/>
                <w:szCs w:val="18"/>
              </w:rPr>
              <w:t xml:space="preserve"> weeks</w:t>
            </w:r>
          </w:p>
        </w:tc>
        <w:tc>
          <w:tcPr>
            <w:tcW w:w="992" w:type="dxa"/>
          </w:tcPr>
          <w:p w14:paraId="0B57377D" w14:textId="77777777" w:rsidR="00370DA6" w:rsidRPr="00A82C70" w:rsidRDefault="00370DA6" w:rsidP="00370DA6">
            <w:pPr>
              <w:spacing w:after="0"/>
              <w:jc w:val="center"/>
              <w:rPr>
                <w:rFonts w:ascii="Segoe UI" w:hAnsi="Segoe UI" w:cs="Segoe UI"/>
                <w:color w:val="000000" w:themeColor="text1"/>
                <w:sz w:val="18"/>
                <w:szCs w:val="18"/>
              </w:rPr>
            </w:pPr>
            <w:r w:rsidRPr="00A82C70">
              <w:rPr>
                <w:rFonts w:ascii="Segoe UI" w:hAnsi="Segoe UI" w:cs="Segoe UI"/>
                <w:color w:val="000000" w:themeColor="text1"/>
                <w:sz w:val="18"/>
              </w:rPr>
              <w:t>0.9</w:t>
            </w:r>
            <w:r>
              <w:rPr>
                <w:rFonts w:ascii="Segoe UI" w:hAnsi="Segoe UI" w:cs="Segoe UI"/>
                <w:bCs/>
                <w:color w:val="000000" w:themeColor="text1"/>
                <w:sz w:val="18"/>
                <w:szCs w:val="18"/>
              </w:rPr>
              <w:t xml:space="preserve"> weeks</w:t>
            </w:r>
          </w:p>
        </w:tc>
      </w:tr>
      <w:tr w:rsidR="00370DA6" w:rsidRPr="00117C96" w14:paraId="016C2325" w14:textId="77777777" w:rsidTr="00AF059E">
        <w:trPr>
          <w:cnfStyle w:val="000000010000" w:firstRow="0" w:lastRow="0" w:firstColumn="0" w:lastColumn="0" w:oddVBand="0" w:evenVBand="0" w:oddHBand="0" w:evenHBand="1" w:firstRowFirstColumn="0" w:firstRowLastColumn="0" w:lastRowFirstColumn="0" w:lastRowLastColumn="0"/>
          <w:trHeight w:val="601"/>
        </w:trPr>
        <w:tc>
          <w:tcPr>
            <w:tcW w:w="3402" w:type="dxa"/>
          </w:tcPr>
          <w:p w14:paraId="759848E6" w14:textId="77777777" w:rsidR="00370DA6" w:rsidRPr="00A70E0E" w:rsidRDefault="00370DA6" w:rsidP="00A70E0E">
            <w:pPr>
              <w:pStyle w:val="TableParagraph"/>
            </w:pPr>
            <w:r w:rsidRPr="00A70E0E">
              <w:t>Registration appointments available</w:t>
            </w:r>
          </w:p>
        </w:tc>
        <w:tc>
          <w:tcPr>
            <w:tcW w:w="1134" w:type="dxa"/>
            <w:shd w:val="clear" w:color="auto" w:fill="DDE8F4" w:themeFill="text2" w:themeFillTint="1A"/>
          </w:tcPr>
          <w:p w14:paraId="6E3199AF" w14:textId="77777777" w:rsidR="00370DA6" w:rsidRDefault="00370DA6" w:rsidP="00A6686D">
            <w:pPr>
              <w:spacing w:after="0"/>
              <w:jc w:val="center"/>
              <w:rPr>
                <w:rFonts w:ascii="Segoe UI" w:hAnsi="Segoe UI" w:cs="Segoe UI"/>
                <w:b/>
                <w:bCs/>
                <w:color w:val="0070C0"/>
                <w:sz w:val="18"/>
                <w:szCs w:val="18"/>
              </w:rPr>
            </w:pPr>
            <w:r>
              <w:rPr>
                <w:rFonts w:ascii="Segoe UI" w:hAnsi="Segoe UI" w:cs="Segoe UI"/>
                <w:b/>
                <w:bCs/>
                <w:color w:val="0070C0"/>
                <w:sz w:val="18"/>
                <w:szCs w:val="18"/>
              </w:rPr>
              <w:t>within 3.0 days</w:t>
            </w:r>
          </w:p>
        </w:tc>
        <w:tc>
          <w:tcPr>
            <w:tcW w:w="992" w:type="dxa"/>
          </w:tcPr>
          <w:p w14:paraId="7FE1D1C5"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1.5</w:t>
            </w:r>
            <w:r>
              <w:rPr>
                <w:rFonts w:ascii="Segoe UI" w:hAnsi="Segoe UI" w:cs="Segoe UI"/>
                <w:sz w:val="18"/>
              </w:rPr>
              <w:t xml:space="preserve"> day</w:t>
            </w:r>
            <w:r w:rsidRPr="00764199">
              <w:rPr>
                <w:rFonts w:ascii="Segoe UI" w:hAnsi="Segoe UI" w:cs="Segoe UI"/>
                <w:sz w:val="18"/>
              </w:rPr>
              <w:t>s</w:t>
            </w:r>
          </w:p>
        </w:tc>
        <w:tc>
          <w:tcPr>
            <w:tcW w:w="992" w:type="dxa"/>
          </w:tcPr>
          <w:p w14:paraId="153974DF"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0.8</w:t>
            </w:r>
            <w:r>
              <w:rPr>
                <w:rFonts w:ascii="Segoe UI" w:hAnsi="Segoe UI" w:cs="Segoe UI"/>
                <w:sz w:val="18"/>
              </w:rPr>
              <w:t xml:space="preserve"> day</w:t>
            </w:r>
            <w:r w:rsidRPr="00764199">
              <w:rPr>
                <w:rFonts w:ascii="Segoe UI" w:hAnsi="Segoe UI" w:cs="Segoe UI"/>
                <w:sz w:val="18"/>
              </w:rPr>
              <w:t>s</w:t>
            </w:r>
          </w:p>
        </w:tc>
        <w:tc>
          <w:tcPr>
            <w:tcW w:w="992" w:type="dxa"/>
          </w:tcPr>
          <w:p w14:paraId="58453DB1"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1.1</w:t>
            </w:r>
            <w:r>
              <w:rPr>
                <w:rFonts w:ascii="Segoe UI" w:hAnsi="Segoe UI" w:cs="Segoe UI"/>
                <w:sz w:val="18"/>
              </w:rPr>
              <w:t xml:space="preserve"> day</w:t>
            </w:r>
            <w:r w:rsidRPr="00764199">
              <w:rPr>
                <w:rFonts w:ascii="Segoe UI" w:hAnsi="Segoe UI" w:cs="Segoe UI"/>
                <w:sz w:val="18"/>
              </w:rPr>
              <w:t>s</w:t>
            </w:r>
          </w:p>
        </w:tc>
        <w:tc>
          <w:tcPr>
            <w:tcW w:w="993" w:type="dxa"/>
          </w:tcPr>
          <w:p w14:paraId="735C8F5B"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1.3</w:t>
            </w:r>
            <w:r>
              <w:rPr>
                <w:rFonts w:ascii="Segoe UI" w:hAnsi="Segoe UI" w:cs="Segoe UI"/>
                <w:sz w:val="18"/>
              </w:rPr>
              <w:t xml:space="preserve"> day</w:t>
            </w:r>
            <w:r w:rsidRPr="00764199">
              <w:rPr>
                <w:rFonts w:ascii="Segoe UI" w:hAnsi="Segoe UI" w:cs="Segoe UI"/>
                <w:sz w:val="18"/>
              </w:rPr>
              <w:t>s</w:t>
            </w:r>
          </w:p>
        </w:tc>
        <w:tc>
          <w:tcPr>
            <w:tcW w:w="992" w:type="dxa"/>
          </w:tcPr>
          <w:p w14:paraId="40F49104"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1.7</w:t>
            </w:r>
            <w:r>
              <w:rPr>
                <w:rFonts w:ascii="Segoe UI" w:hAnsi="Segoe UI" w:cs="Segoe UI"/>
                <w:sz w:val="18"/>
              </w:rPr>
              <w:t xml:space="preserve"> day</w:t>
            </w:r>
            <w:r w:rsidRPr="00764199">
              <w:rPr>
                <w:rFonts w:ascii="Segoe UI" w:hAnsi="Segoe UI" w:cs="Segoe UI"/>
                <w:sz w:val="18"/>
              </w:rPr>
              <w:t>s</w:t>
            </w:r>
          </w:p>
        </w:tc>
      </w:tr>
      <w:tr w:rsidR="00370DA6" w:rsidRPr="00117C96" w14:paraId="17B4581E" w14:textId="77777777" w:rsidTr="00AF059E">
        <w:trPr>
          <w:trHeight w:val="601"/>
        </w:trPr>
        <w:tc>
          <w:tcPr>
            <w:tcW w:w="3402" w:type="dxa"/>
          </w:tcPr>
          <w:p w14:paraId="2C8CEA01" w14:textId="77777777" w:rsidR="00370DA6" w:rsidRPr="00A70E0E" w:rsidRDefault="00370DA6" w:rsidP="00A70E0E">
            <w:pPr>
              <w:pStyle w:val="TableParagraph"/>
            </w:pPr>
            <w:r w:rsidRPr="00A70E0E">
              <w:t>High-risk registration appointment available</w:t>
            </w:r>
          </w:p>
        </w:tc>
        <w:tc>
          <w:tcPr>
            <w:tcW w:w="1134" w:type="dxa"/>
            <w:shd w:val="clear" w:color="auto" w:fill="DDE8F4" w:themeFill="text2" w:themeFillTint="1A"/>
          </w:tcPr>
          <w:p w14:paraId="34F9FE9C" w14:textId="77777777" w:rsidR="00370DA6" w:rsidRDefault="00370DA6" w:rsidP="00A6686D">
            <w:pPr>
              <w:spacing w:after="0"/>
              <w:jc w:val="center"/>
              <w:rPr>
                <w:rFonts w:ascii="Segoe UI" w:hAnsi="Segoe UI" w:cs="Segoe UI"/>
                <w:b/>
                <w:bCs/>
                <w:color w:val="0070C0"/>
                <w:sz w:val="18"/>
                <w:szCs w:val="18"/>
              </w:rPr>
            </w:pPr>
            <w:r>
              <w:rPr>
                <w:rFonts w:ascii="Segoe UI" w:hAnsi="Segoe UI" w:cs="Segoe UI"/>
                <w:b/>
                <w:bCs/>
                <w:color w:val="0070C0"/>
                <w:sz w:val="18"/>
                <w:szCs w:val="18"/>
              </w:rPr>
              <w:t>within 2.0 days</w:t>
            </w:r>
          </w:p>
        </w:tc>
        <w:tc>
          <w:tcPr>
            <w:tcW w:w="992" w:type="dxa"/>
          </w:tcPr>
          <w:p w14:paraId="75A96845"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1.5</w:t>
            </w:r>
            <w:r>
              <w:rPr>
                <w:rFonts w:ascii="Segoe UI" w:hAnsi="Segoe UI" w:cs="Segoe UI"/>
                <w:sz w:val="18"/>
              </w:rPr>
              <w:t xml:space="preserve"> day</w:t>
            </w:r>
            <w:r w:rsidRPr="00764199">
              <w:rPr>
                <w:rFonts w:ascii="Segoe UI" w:hAnsi="Segoe UI" w:cs="Segoe UI"/>
                <w:sz w:val="18"/>
              </w:rPr>
              <w:t>s</w:t>
            </w:r>
          </w:p>
        </w:tc>
        <w:tc>
          <w:tcPr>
            <w:tcW w:w="992" w:type="dxa"/>
          </w:tcPr>
          <w:p w14:paraId="7F120D18"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0.7</w:t>
            </w:r>
            <w:r>
              <w:rPr>
                <w:rFonts w:ascii="Segoe UI" w:hAnsi="Segoe UI" w:cs="Segoe UI"/>
                <w:sz w:val="18"/>
              </w:rPr>
              <w:t xml:space="preserve"> day</w:t>
            </w:r>
            <w:r w:rsidRPr="00764199">
              <w:rPr>
                <w:rFonts w:ascii="Segoe UI" w:hAnsi="Segoe UI" w:cs="Segoe UI"/>
                <w:sz w:val="18"/>
              </w:rPr>
              <w:t>s</w:t>
            </w:r>
          </w:p>
        </w:tc>
        <w:tc>
          <w:tcPr>
            <w:tcW w:w="992" w:type="dxa"/>
          </w:tcPr>
          <w:p w14:paraId="728D5B36"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0.9</w:t>
            </w:r>
            <w:r>
              <w:rPr>
                <w:rFonts w:ascii="Segoe UI" w:hAnsi="Segoe UI" w:cs="Segoe UI"/>
                <w:sz w:val="18"/>
              </w:rPr>
              <w:t xml:space="preserve"> day</w:t>
            </w:r>
            <w:r w:rsidRPr="00764199">
              <w:rPr>
                <w:rFonts w:ascii="Segoe UI" w:hAnsi="Segoe UI" w:cs="Segoe UI"/>
                <w:sz w:val="18"/>
              </w:rPr>
              <w:t>s</w:t>
            </w:r>
          </w:p>
        </w:tc>
        <w:tc>
          <w:tcPr>
            <w:tcW w:w="993" w:type="dxa"/>
          </w:tcPr>
          <w:p w14:paraId="33F10C72"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1.2</w:t>
            </w:r>
            <w:r>
              <w:rPr>
                <w:rFonts w:ascii="Segoe UI" w:hAnsi="Segoe UI" w:cs="Segoe UI"/>
                <w:sz w:val="18"/>
              </w:rPr>
              <w:t xml:space="preserve"> day</w:t>
            </w:r>
            <w:r w:rsidRPr="00764199">
              <w:rPr>
                <w:rFonts w:ascii="Segoe UI" w:hAnsi="Segoe UI" w:cs="Segoe UI"/>
                <w:sz w:val="18"/>
              </w:rPr>
              <w:t>s</w:t>
            </w:r>
          </w:p>
        </w:tc>
        <w:tc>
          <w:tcPr>
            <w:tcW w:w="992" w:type="dxa"/>
          </w:tcPr>
          <w:p w14:paraId="4177458F" w14:textId="77777777" w:rsidR="00370DA6" w:rsidRPr="00A82C70" w:rsidRDefault="00370DA6" w:rsidP="00370DA6">
            <w:pPr>
              <w:spacing w:after="0"/>
              <w:jc w:val="center"/>
              <w:rPr>
                <w:rFonts w:ascii="Segoe UI" w:hAnsi="Segoe UI" w:cs="Segoe UI"/>
                <w:bCs/>
                <w:color w:val="000000" w:themeColor="text1"/>
                <w:sz w:val="18"/>
                <w:szCs w:val="18"/>
              </w:rPr>
            </w:pPr>
            <w:r w:rsidRPr="00A82C70">
              <w:rPr>
                <w:rFonts w:ascii="Segoe UI" w:hAnsi="Segoe UI" w:cs="Segoe UI"/>
                <w:sz w:val="18"/>
              </w:rPr>
              <w:t>1.6</w:t>
            </w:r>
            <w:r>
              <w:rPr>
                <w:rFonts w:ascii="Segoe UI" w:hAnsi="Segoe UI" w:cs="Segoe UI"/>
                <w:sz w:val="18"/>
              </w:rPr>
              <w:t xml:space="preserve"> day</w:t>
            </w:r>
            <w:r w:rsidRPr="00764199">
              <w:rPr>
                <w:rFonts w:ascii="Segoe UI" w:hAnsi="Segoe UI" w:cs="Segoe UI"/>
                <w:sz w:val="18"/>
              </w:rPr>
              <w:t>s</w:t>
            </w:r>
          </w:p>
        </w:tc>
      </w:tr>
    </w:tbl>
    <w:bookmarkEnd w:id="643"/>
    <w:p w14:paraId="7CA53037" w14:textId="77777777" w:rsidR="00370DA6" w:rsidRPr="00117C96" w:rsidRDefault="00370DA6" w:rsidP="00FF4211">
      <w:pPr>
        <w:pStyle w:val="Source"/>
      </w:pPr>
      <w:r w:rsidRPr="00117C96">
        <w:t xml:space="preserve">Source: </w:t>
      </w:r>
      <w:r>
        <w:t xml:space="preserve">VicRoads </w:t>
      </w:r>
      <w:r w:rsidRPr="00117C96">
        <w:t>R&amp;L Finance Fast Facts (12-month average)</w:t>
      </w:r>
    </w:p>
    <w:p w14:paraId="6837AC75" w14:textId="77777777" w:rsidR="00370DA6" w:rsidRDefault="00370DA6" w:rsidP="008103DD">
      <w:pPr>
        <w:pStyle w:val="Heading3"/>
        <w:ind w:left="851" w:hanging="851"/>
      </w:pPr>
      <w:bookmarkStart w:id="644" w:name="_Toc10703489"/>
      <w:r w:rsidRPr="00117C96">
        <w:t xml:space="preserve">Customer Satisfaction </w:t>
      </w:r>
      <w:r>
        <w:t>Ratings</w:t>
      </w:r>
      <w:bookmarkEnd w:id="644"/>
    </w:p>
    <w:p w14:paraId="3ADFF5B9" w14:textId="700744F6" w:rsidR="00370DA6" w:rsidRDefault="00370DA6" w:rsidP="00C02B69">
      <w:pPr>
        <w:pStyle w:val="TextPara"/>
      </w:pPr>
      <w:r>
        <w:t>Al</w:t>
      </w:r>
      <w:r w:rsidRPr="00B238CA">
        <w:t xml:space="preserve">though </w:t>
      </w:r>
      <w:r>
        <w:t xml:space="preserve">the target </w:t>
      </w:r>
      <w:r w:rsidRPr="00B238CA">
        <w:t>service levels have been challenging</w:t>
      </w:r>
      <w:r>
        <w:t xml:space="preserve">, </w:t>
      </w:r>
      <w:r w:rsidR="003B5460">
        <w:fldChar w:fldCharType="begin"/>
      </w:r>
      <w:r w:rsidR="003B5460">
        <w:instrText xml:space="preserve"> REF _Ref4403581 \h </w:instrText>
      </w:r>
      <w:r w:rsidR="003B5460">
        <w:fldChar w:fldCharType="separate"/>
      </w:r>
      <w:r w:rsidR="00EB4B02">
        <w:t xml:space="preserve">Table </w:t>
      </w:r>
      <w:r w:rsidR="00EB4B02">
        <w:rPr>
          <w:noProof/>
        </w:rPr>
        <w:t>39</w:t>
      </w:r>
      <w:r w:rsidR="003B5460">
        <w:fldChar w:fldCharType="end"/>
      </w:r>
      <w:r w:rsidR="003B5460">
        <w:t xml:space="preserve"> </w:t>
      </w:r>
      <w:r w:rsidRPr="00BC489A">
        <w:t>shows that customer satisfaction levels remain high</w:t>
      </w:r>
      <w:r>
        <w:t xml:space="preserve">, </w:t>
      </w:r>
      <w:r w:rsidRPr="00B238CA">
        <w:t>indicating that whilst service levels, standards and priorities are set ambitiously, the focus placed on the customer is yielding strong results</w:t>
      </w:r>
      <w:r w:rsidRPr="00BC489A">
        <w:t>.</w:t>
      </w:r>
      <w:r>
        <w:t xml:space="preserve"> </w:t>
      </w:r>
    </w:p>
    <w:p w14:paraId="3CE27F4B" w14:textId="6A78C287" w:rsidR="00370DA6" w:rsidRDefault="00370DA6" w:rsidP="00AA0BBA">
      <w:pPr>
        <w:pStyle w:val="Caption"/>
      </w:pPr>
      <w:bookmarkStart w:id="645" w:name="_Ref4403581"/>
      <w:bookmarkStart w:id="646" w:name="_Toc4084321"/>
      <w:bookmarkStart w:id="647" w:name="_Toc10703732"/>
      <w:r>
        <w:t xml:space="preserve">Table </w:t>
      </w:r>
      <w:r>
        <w:rPr>
          <w:noProof/>
        </w:rPr>
        <w:fldChar w:fldCharType="begin"/>
      </w:r>
      <w:r>
        <w:rPr>
          <w:noProof/>
        </w:rPr>
        <w:instrText xml:space="preserve"> SEQ Table \* ARABIC </w:instrText>
      </w:r>
      <w:r>
        <w:rPr>
          <w:noProof/>
        </w:rPr>
        <w:fldChar w:fldCharType="separate"/>
      </w:r>
      <w:r w:rsidR="00EB4B02">
        <w:rPr>
          <w:noProof/>
        </w:rPr>
        <w:t>39</w:t>
      </w:r>
      <w:r>
        <w:rPr>
          <w:noProof/>
        </w:rPr>
        <w:fldChar w:fldCharType="end"/>
      </w:r>
      <w:bookmarkEnd w:id="645"/>
      <w:r>
        <w:t xml:space="preserve"> – </w:t>
      </w:r>
      <w:r w:rsidRPr="00DB5435">
        <w:t>Customer satisfaction</w:t>
      </w:r>
      <w:bookmarkEnd w:id="646"/>
      <w:bookmarkEnd w:id="647"/>
    </w:p>
    <w:tbl>
      <w:tblPr>
        <w:tblStyle w:val="RIS-Table2"/>
        <w:tblW w:w="0" w:type="auto"/>
        <w:tblLayout w:type="fixed"/>
        <w:tblLook w:val="04A0" w:firstRow="1" w:lastRow="0" w:firstColumn="1" w:lastColumn="0" w:noHBand="0" w:noVBand="1"/>
      </w:tblPr>
      <w:tblGrid>
        <w:gridCol w:w="3402"/>
        <w:gridCol w:w="1134"/>
        <w:gridCol w:w="992"/>
        <w:gridCol w:w="992"/>
        <w:gridCol w:w="992"/>
        <w:gridCol w:w="992"/>
        <w:gridCol w:w="993"/>
      </w:tblGrid>
      <w:tr w:rsidR="00370DA6" w:rsidRPr="00117C96" w14:paraId="6364A3BC" w14:textId="77777777" w:rsidTr="00AF059E">
        <w:trPr>
          <w:cnfStyle w:val="100000000000" w:firstRow="1" w:lastRow="0" w:firstColumn="0" w:lastColumn="0" w:oddVBand="0" w:evenVBand="0" w:oddHBand="0" w:evenHBand="0" w:firstRowFirstColumn="0" w:firstRowLastColumn="0" w:lastRowFirstColumn="0" w:lastRowLastColumn="0"/>
        </w:trPr>
        <w:tc>
          <w:tcPr>
            <w:tcW w:w="3402" w:type="dxa"/>
          </w:tcPr>
          <w:p w14:paraId="583A25DA" w14:textId="77777777" w:rsidR="00370DA6" w:rsidRPr="00117C96" w:rsidRDefault="00370DA6" w:rsidP="00467F4F">
            <w:pPr>
              <w:pStyle w:val="TableHeaders"/>
            </w:pPr>
            <w:r w:rsidRPr="00117C96">
              <w:t>Customer Satisfaction</w:t>
            </w:r>
          </w:p>
        </w:tc>
        <w:tc>
          <w:tcPr>
            <w:tcW w:w="1134" w:type="dxa"/>
          </w:tcPr>
          <w:p w14:paraId="49CB1295" w14:textId="77777777" w:rsidR="00370DA6" w:rsidRPr="000A0322" w:rsidRDefault="00370DA6" w:rsidP="00467F4F">
            <w:pPr>
              <w:spacing w:before="60" w:after="60"/>
              <w:rPr>
                <w:rFonts w:ascii="Segoe UI" w:hAnsi="Segoe UI" w:cs="Segoe UI"/>
                <w:bCs/>
                <w:sz w:val="18"/>
                <w:szCs w:val="18"/>
              </w:rPr>
            </w:pPr>
            <w:r w:rsidRPr="000A0322">
              <w:rPr>
                <w:rFonts w:ascii="Segoe UI" w:hAnsi="Segoe UI" w:cs="Segoe UI"/>
                <w:bCs/>
                <w:sz w:val="18"/>
                <w:szCs w:val="18"/>
              </w:rPr>
              <w:t>Target</w:t>
            </w:r>
          </w:p>
        </w:tc>
        <w:tc>
          <w:tcPr>
            <w:tcW w:w="992" w:type="dxa"/>
          </w:tcPr>
          <w:p w14:paraId="0E94B7AC" w14:textId="77777777" w:rsidR="00370DA6" w:rsidRPr="00117C96" w:rsidRDefault="00370DA6" w:rsidP="00467F4F">
            <w:pPr>
              <w:pStyle w:val="TableHeaders"/>
            </w:pPr>
            <w:r w:rsidRPr="00117C96">
              <w:t>FY12/13</w:t>
            </w:r>
          </w:p>
        </w:tc>
        <w:tc>
          <w:tcPr>
            <w:tcW w:w="992" w:type="dxa"/>
          </w:tcPr>
          <w:p w14:paraId="7A56F748" w14:textId="77777777" w:rsidR="00370DA6" w:rsidRPr="00117C96" w:rsidRDefault="00370DA6" w:rsidP="00467F4F">
            <w:pPr>
              <w:pStyle w:val="TableHeaders"/>
            </w:pPr>
            <w:r w:rsidRPr="00117C96">
              <w:t>FY13/14</w:t>
            </w:r>
          </w:p>
        </w:tc>
        <w:tc>
          <w:tcPr>
            <w:tcW w:w="992" w:type="dxa"/>
          </w:tcPr>
          <w:p w14:paraId="75596F07" w14:textId="77777777" w:rsidR="00370DA6" w:rsidRPr="00117C96" w:rsidRDefault="00370DA6" w:rsidP="00467F4F">
            <w:pPr>
              <w:pStyle w:val="TableHeaders"/>
            </w:pPr>
            <w:r w:rsidRPr="00117C96">
              <w:t>FY14/15</w:t>
            </w:r>
          </w:p>
        </w:tc>
        <w:tc>
          <w:tcPr>
            <w:tcW w:w="992" w:type="dxa"/>
          </w:tcPr>
          <w:p w14:paraId="030552B6" w14:textId="77777777" w:rsidR="00370DA6" w:rsidRPr="00117C96" w:rsidRDefault="00370DA6" w:rsidP="00467F4F">
            <w:pPr>
              <w:pStyle w:val="TableHeaders"/>
            </w:pPr>
            <w:r w:rsidRPr="00117C96">
              <w:t>FY15/16</w:t>
            </w:r>
          </w:p>
        </w:tc>
        <w:tc>
          <w:tcPr>
            <w:tcW w:w="993" w:type="dxa"/>
          </w:tcPr>
          <w:p w14:paraId="7E42CAA2" w14:textId="77777777" w:rsidR="00370DA6" w:rsidRPr="00117C96" w:rsidRDefault="00370DA6" w:rsidP="00467F4F">
            <w:pPr>
              <w:pStyle w:val="TableHeaders"/>
            </w:pPr>
            <w:r w:rsidRPr="00117C96">
              <w:t>FY16/17</w:t>
            </w:r>
          </w:p>
        </w:tc>
      </w:tr>
      <w:tr w:rsidR="00370DA6" w:rsidRPr="00EF7B9B" w14:paraId="63F336E6" w14:textId="77777777" w:rsidTr="00AF059E">
        <w:tc>
          <w:tcPr>
            <w:tcW w:w="3402" w:type="dxa"/>
          </w:tcPr>
          <w:p w14:paraId="26EA5005" w14:textId="77777777" w:rsidR="00370DA6" w:rsidRPr="00EF7B9B" w:rsidRDefault="00370DA6" w:rsidP="00467F4F">
            <w:pPr>
              <w:pStyle w:val="TableParagraph"/>
            </w:pPr>
            <w:r>
              <w:t>C</w:t>
            </w:r>
            <w:r w:rsidRPr="00EF7B9B">
              <w:t>ustomers satisfied with registration and licensing services</w:t>
            </w:r>
            <w:r>
              <w:rPr>
                <w:rStyle w:val="EndnoteReference"/>
              </w:rPr>
              <w:endnoteReference w:id="402"/>
            </w:r>
          </w:p>
        </w:tc>
        <w:tc>
          <w:tcPr>
            <w:tcW w:w="1134" w:type="dxa"/>
            <w:shd w:val="clear" w:color="auto" w:fill="DDE8F4" w:themeFill="text2" w:themeFillTint="1A"/>
          </w:tcPr>
          <w:p w14:paraId="060C98CD" w14:textId="77777777" w:rsidR="00370DA6" w:rsidRPr="00950831" w:rsidRDefault="00370DA6" w:rsidP="00467F4F">
            <w:pPr>
              <w:jc w:val="center"/>
              <w:rPr>
                <w:rFonts w:ascii="Segoe UI" w:hAnsi="Segoe UI" w:cs="Segoe UI"/>
                <w:b/>
                <w:bCs/>
                <w:color w:val="0070C0"/>
                <w:sz w:val="18"/>
                <w:szCs w:val="18"/>
              </w:rPr>
            </w:pPr>
            <w:r w:rsidRPr="00950831">
              <w:rPr>
                <w:rFonts w:ascii="Segoe UI" w:hAnsi="Segoe UI" w:cs="Segoe UI"/>
                <w:b/>
                <w:bCs/>
                <w:color w:val="0070C0"/>
                <w:sz w:val="18"/>
                <w:szCs w:val="18"/>
              </w:rPr>
              <w:t>85%</w:t>
            </w:r>
          </w:p>
        </w:tc>
        <w:tc>
          <w:tcPr>
            <w:tcW w:w="992" w:type="dxa"/>
          </w:tcPr>
          <w:p w14:paraId="2C4EA0CE" w14:textId="77777777" w:rsidR="00370DA6" w:rsidRPr="00E52A4D" w:rsidRDefault="00370DA6" w:rsidP="00467F4F">
            <w:pPr>
              <w:jc w:val="center"/>
              <w:rPr>
                <w:rFonts w:ascii="Segoe UI" w:hAnsi="Segoe UI" w:cs="Segoe UI"/>
                <w:bCs/>
                <w:color w:val="000000"/>
                <w:sz w:val="18"/>
                <w:szCs w:val="18"/>
              </w:rPr>
            </w:pPr>
            <w:r w:rsidRPr="00E52A4D">
              <w:rPr>
                <w:rFonts w:ascii="Segoe UI" w:hAnsi="Segoe UI" w:cs="Segoe UI"/>
                <w:bCs/>
                <w:color w:val="000000"/>
                <w:sz w:val="18"/>
                <w:szCs w:val="18"/>
              </w:rPr>
              <w:t>90%</w:t>
            </w:r>
          </w:p>
        </w:tc>
        <w:tc>
          <w:tcPr>
            <w:tcW w:w="992" w:type="dxa"/>
          </w:tcPr>
          <w:p w14:paraId="5F7BB861" w14:textId="77777777" w:rsidR="00370DA6" w:rsidRPr="00E52A4D" w:rsidRDefault="00370DA6" w:rsidP="00467F4F">
            <w:pPr>
              <w:jc w:val="center"/>
              <w:rPr>
                <w:rFonts w:ascii="Segoe UI" w:hAnsi="Segoe UI" w:cs="Segoe UI"/>
                <w:bCs/>
                <w:color w:val="000000"/>
                <w:sz w:val="18"/>
                <w:szCs w:val="18"/>
              </w:rPr>
            </w:pPr>
            <w:r w:rsidRPr="00E52A4D">
              <w:rPr>
                <w:rFonts w:ascii="Segoe UI" w:hAnsi="Segoe UI" w:cs="Segoe UI"/>
                <w:bCs/>
                <w:color w:val="000000"/>
                <w:sz w:val="18"/>
                <w:szCs w:val="18"/>
              </w:rPr>
              <w:t>91%</w:t>
            </w:r>
          </w:p>
        </w:tc>
        <w:tc>
          <w:tcPr>
            <w:tcW w:w="992" w:type="dxa"/>
          </w:tcPr>
          <w:p w14:paraId="285D4E43" w14:textId="77777777" w:rsidR="00370DA6" w:rsidRPr="00E52A4D" w:rsidRDefault="00370DA6" w:rsidP="00467F4F">
            <w:pPr>
              <w:jc w:val="center"/>
              <w:rPr>
                <w:rFonts w:ascii="Segoe UI" w:hAnsi="Segoe UI" w:cs="Segoe UI"/>
                <w:bCs/>
                <w:color w:val="000000"/>
                <w:sz w:val="18"/>
                <w:szCs w:val="18"/>
              </w:rPr>
            </w:pPr>
            <w:r w:rsidRPr="00E52A4D">
              <w:rPr>
                <w:rFonts w:ascii="Segoe UI" w:hAnsi="Segoe UI" w:cs="Segoe UI"/>
                <w:bCs/>
                <w:color w:val="000000"/>
                <w:sz w:val="18"/>
                <w:szCs w:val="18"/>
              </w:rPr>
              <w:t>89%</w:t>
            </w:r>
          </w:p>
        </w:tc>
        <w:tc>
          <w:tcPr>
            <w:tcW w:w="992" w:type="dxa"/>
          </w:tcPr>
          <w:p w14:paraId="1E901ED5" w14:textId="77777777" w:rsidR="00370DA6" w:rsidRPr="00E52A4D" w:rsidRDefault="00370DA6" w:rsidP="00467F4F">
            <w:pPr>
              <w:jc w:val="center"/>
              <w:rPr>
                <w:rFonts w:ascii="Segoe UI" w:hAnsi="Segoe UI" w:cs="Segoe UI"/>
                <w:bCs/>
                <w:color w:val="000000"/>
                <w:sz w:val="18"/>
                <w:szCs w:val="18"/>
              </w:rPr>
            </w:pPr>
            <w:r w:rsidRPr="00E52A4D">
              <w:rPr>
                <w:rFonts w:ascii="Segoe UI" w:hAnsi="Segoe UI" w:cs="Segoe UI"/>
                <w:bCs/>
                <w:color w:val="000000"/>
                <w:sz w:val="18"/>
                <w:szCs w:val="18"/>
              </w:rPr>
              <w:t>90%</w:t>
            </w:r>
          </w:p>
        </w:tc>
        <w:tc>
          <w:tcPr>
            <w:tcW w:w="993" w:type="dxa"/>
          </w:tcPr>
          <w:p w14:paraId="19FB9797" w14:textId="77777777" w:rsidR="00370DA6" w:rsidRPr="00E52A4D" w:rsidRDefault="00370DA6" w:rsidP="00467F4F">
            <w:pPr>
              <w:jc w:val="center"/>
              <w:rPr>
                <w:rFonts w:ascii="Segoe UI" w:hAnsi="Segoe UI" w:cs="Segoe UI"/>
                <w:bCs/>
                <w:color w:val="000000"/>
                <w:sz w:val="18"/>
                <w:szCs w:val="18"/>
              </w:rPr>
            </w:pPr>
            <w:r w:rsidRPr="00E52A4D">
              <w:rPr>
                <w:rFonts w:ascii="Segoe UI" w:hAnsi="Segoe UI" w:cs="Segoe UI"/>
                <w:bCs/>
                <w:color w:val="000000"/>
                <w:sz w:val="18"/>
                <w:szCs w:val="18"/>
              </w:rPr>
              <w:t>91%</w:t>
            </w:r>
          </w:p>
        </w:tc>
      </w:tr>
    </w:tbl>
    <w:p w14:paraId="048DF47E" w14:textId="77777777" w:rsidR="00370DA6" w:rsidRPr="00117C96" w:rsidRDefault="00370DA6" w:rsidP="00FF4211">
      <w:pPr>
        <w:pStyle w:val="Source"/>
      </w:pPr>
      <w:r w:rsidRPr="00117C96">
        <w:t xml:space="preserve">Source: </w:t>
      </w:r>
      <w:r>
        <w:t>VicRoads R&amp;L Finance Fast Facts</w:t>
      </w:r>
    </w:p>
    <w:p w14:paraId="54E93E91" w14:textId="77777777" w:rsidR="00370DA6" w:rsidRPr="00117C96" w:rsidRDefault="00370DA6" w:rsidP="00370DA6">
      <w:pPr>
        <w:pStyle w:val="Heading2"/>
        <w:spacing w:before="240" w:after="180"/>
      </w:pPr>
      <w:bookmarkStart w:id="648" w:name="_Toc4084204"/>
      <w:bookmarkStart w:id="649" w:name="_Toc10703490"/>
      <w:r w:rsidRPr="00117C96">
        <w:t>Continuous Improvement</w:t>
      </w:r>
      <w:bookmarkEnd w:id="648"/>
      <w:bookmarkEnd w:id="649"/>
    </w:p>
    <w:p w14:paraId="131234BE" w14:textId="77777777" w:rsidR="00370DA6" w:rsidRPr="00B238CA" w:rsidRDefault="00370DA6" w:rsidP="00A70E0E">
      <w:pPr>
        <w:pStyle w:val="TextPara"/>
      </w:pPr>
      <w:r w:rsidRPr="00B238CA">
        <w:t xml:space="preserve">Ongoing improvement is a key objective for VicRoads. </w:t>
      </w:r>
      <w:r>
        <w:t xml:space="preserve">The </w:t>
      </w:r>
      <w:r w:rsidRPr="00B238CA">
        <w:t xml:space="preserve">R&amp;L </w:t>
      </w:r>
      <w:r>
        <w:t xml:space="preserve">division has </w:t>
      </w:r>
      <w:r w:rsidRPr="00B238CA">
        <w:t xml:space="preserve">a business unit </w:t>
      </w:r>
      <w:r>
        <w:t xml:space="preserve">responsible for continuous improvement. The total cost of R&amp;L’s continuous improvement initiatives </w:t>
      </w:r>
      <w:r w:rsidRPr="00B238CA">
        <w:t xml:space="preserve">for the 2-year period FY15/16 </w:t>
      </w:r>
      <w:r>
        <w:t>and</w:t>
      </w:r>
      <w:r w:rsidRPr="00B238CA">
        <w:t xml:space="preserve"> FY1</w:t>
      </w:r>
      <w:r>
        <w:t>6</w:t>
      </w:r>
      <w:r w:rsidRPr="00B238CA">
        <w:t>/1</w:t>
      </w:r>
      <w:r>
        <w:t>7</w:t>
      </w:r>
      <w:r w:rsidRPr="00B238CA">
        <w:t xml:space="preserve"> was $3</w:t>
      </w:r>
      <w:r>
        <w:t>2</w:t>
      </w:r>
      <w:r w:rsidRPr="00B238CA">
        <w:t>.65m</w:t>
      </w:r>
      <w:r>
        <w:t xml:space="preserve">. There were substantial investments in internet services, customer and services information access, and case management. It is unlikely that this level of systems and process investment will continue. In terms of investment, an annual amount of </w:t>
      </w:r>
      <w:r w:rsidRPr="00B238CA">
        <w:t xml:space="preserve">$10m </w:t>
      </w:r>
      <w:r>
        <w:t xml:space="preserve">has been provisioned for modelling purposes with this investment focussed on </w:t>
      </w:r>
      <w:r w:rsidRPr="00B238CA">
        <w:t>customer service</w:t>
      </w:r>
      <w:r>
        <w:t xml:space="preserve">s, </w:t>
      </w:r>
      <w:r w:rsidRPr="00B238CA">
        <w:t>online access to services</w:t>
      </w:r>
      <w:r>
        <w:t>, and process automation.</w:t>
      </w:r>
    </w:p>
    <w:p w14:paraId="3C7E1E5D" w14:textId="77777777" w:rsidR="00370DA6" w:rsidRPr="00131178" w:rsidRDefault="00370DA6" w:rsidP="00131178">
      <w:pPr>
        <w:pStyle w:val="NoSpacing"/>
        <w:rPr>
          <w:i w:val="0"/>
          <w:color w:val="auto"/>
        </w:rPr>
      </w:pPr>
      <w:r w:rsidRPr="00131178">
        <w:rPr>
          <w:i w:val="0"/>
          <w:color w:val="auto"/>
        </w:rPr>
        <w:t>Improvement Initiatives</w:t>
      </w:r>
    </w:p>
    <w:p w14:paraId="4D5F983F" w14:textId="77777777" w:rsidR="00370DA6" w:rsidRPr="00B238CA" w:rsidRDefault="00370DA6" w:rsidP="00C02B69">
      <w:pPr>
        <w:pStyle w:val="TextPara"/>
      </w:pPr>
      <w:r w:rsidRPr="00B238CA">
        <w:t xml:space="preserve">In recent years, key improvement initiatives have included the expansion of online transactions and payment channels, </w:t>
      </w:r>
      <w:r w:rsidRPr="00C02B69">
        <w:t>implementation</w:t>
      </w:r>
      <w:r w:rsidRPr="00B238CA">
        <w:t xml:space="preserve"> of customer case management appl</w:t>
      </w:r>
      <w:r>
        <w:t>ications, introduction of short-</w:t>
      </w:r>
      <w:r w:rsidRPr="00B238CA">
        <w:t xml:space="preserve">term registration, upgrading knowledge management and customer service capability through enhancement of the Customer Information System (CIS), and </w:t>
      </w:r>
      <w:r>
        <w:t xml:space="preserve">business </w:t>
      </w:r>
      <w:r w:rsidRPr="00B238CA">
        <w:t>process reengineering.</w:t>
      </w:r>
    </w:p>
    <w:p w14:paraId="67608725" w14:textId="77777777" w:rsidR="00370DA6" w:rsidRPr="00B238CA" w:rsidRDefault="00370DA6" w:rsidP="00C02B69">
      <w:pPr>
        <w:pStyle w:val="TextPara"/>
      </w:pPr>
      <w:r w:rsidRPr="00B238CA">
        <w:t xml:space="preserve">There is an ongoing change </w:t>
      </w:r>
      <w:r w:rsidRPr="00C02B69">
        <w:t>program</w:t>
      </w:r>
      <w:r w:rsidRPr="00B238CA">
        <w:t xml:space="preserve"> to deliver continual business and systems efficiencies, enhance </w:t>
      </w:r>
      <w:r>
        <w:t xml:space="preserve">service </w:t>
      </w:r>
      <w:r w:rsidRPr="00B238CA">
        <w:t>quality, and introduce new online capabilities for customer convenience.</w:t>
      </w:r>
    </w:p>
    <w:p w14:paraId="7D2D839C" w14:textId="77777777" w:rsidR="00370DA6" w:rsidRPr="00131178" w:rsidRDefault="00370DA6" w:rsidP="00131178">
      <w:pPr>
        <w:pStyle w:val="NoSpacing"/>
        <w:rPr>
          <w:i w:val="0"/>
          <w:color w:val="auto"/>
        </w:rPr>
      </w:pPr>
      <w:r w:rsidRPr="00131178">
        <w:rPr>
          <w:i w:val="0"/>
          <w:color w:val="auto"/>
        </w:rPr>
        <w:t>Service Modes</w:t>
      </w:r>
    </w:p>
    <w:p w14:paraId="561EEA76" w14:textId="77777777" w:rsidR="00370DA6" w:rsidRDefault="00370DA6" w:rsidP="00C02B69">
      <w:pPr>
        <w:pStyle w:val="TextPara"/>
      </w:pPr>
      <w:r w:rsidRPr="00AE7C05">
        <w:t xml:space="preserve">The online channel has </w:t>
      </w:r>
      <w:r w:rsidRPr="00C02B69">
        <w:t>become</w:t>
      </w:r>
      <w:r w:rsidRPr="00AE7C05">
        <w:t xml:space="preserve"> the customers’ preferred method of transacting with VicRoads. Transactions through this channel have grown by 54% over the 4-year period to FY16/17.</w:t>
      </w:r>
    </w:p>
    <w:p w14:paraId="7B159531" w14:textId="3BEDBAE6" w:rsidR="00370DA6" w:rsidRPr="00B238CA" w:rsidRDefault="003B5460" w:rsidP="00C02B69">
      <w:pPr>
        <w:pStyle w:val="TextPara"/>
      </w:pPr>
      <w:r>
        <w:lastRenderedPageBreak/>
        <w:fldChar w:fldCharType="begin"/>
      </w:r>
      <w:r>
        <w:instrText xml:space="preserve"> REF _Ref4403601 \h </w:instrText>
      </w:r>
      <w:r>
        <w:fldChar w:fldCharType="separate"/>
      </w:r>
      <w:r w:rsidR="00EB4B02" w:rsidRPr="00AE7C05">
        <w:t xml:space="preserve">Table </w:t>
      </w:r>
      <w:r w:rsidR="00EB4B02">
        <w:rPr>
          <w:noProof/>
        </w:rPr>
        <w:t>40</w:t>
      </w:r>
      <w:r>
        <w:fldChar w:fldCharType="end"/>
      </w:r>
      <w:r>
        <w:t xml:space="preserve"> </w:t>
      </w:r>
      <w:r w:rsidR="00370DA6" w:rsidRPr="00AE7C05">
        <w:t xml:space="preserve">shows that traditional </w:t>
      </w:r>
      <w:r w:rsidR="00370DA6" w:rsidRPr="00C02B69">
        <w:t>methods</w:t>
      </w:r>
      <w:r w:rsidR="00370DA6" w:rsidRPr="00AE7C05">
        <w:t xml:space="preserve"> of service delivery transactions have declined marginally over the same period with call centre (telephone) transactions declining by 11.1% and customer service centre (in person) transactions declining by 6.8%.</w:t>
      </w:r>
    </w:p>
    <w:p w14:paraId="06098153" w14:textId="26055C8C" w:rsidR="00370DA6" w:rsidRPr="00AE7C05" w:rsidRDefault="00370DA6" w:rsidP="00AA0BBA">
      <w:pPr>
        <w:pStyle w:val="Caption"/>
      </w:pPr>
      <w:bookmarkStart w:id="650" w:name="_Ref4403601"/>
      <w:bookmarkStart w:id="651" w:name="_Toc4084322"/>
      <w:bookmarkStart w:id="652" w:name="_Toc10703733"/>
      <w:r w:rsidRPr="00AE7C05">
        <w:t xml:space="preserve">Table </w:t>
      </w:r>
      <w:r>
        <w:rPr>
          <w:noProof/>
        </w:rPr>
        <w:fldChar w:fldCharType="begin"/>
      </w:r>
      <w:r>
        <w:rPr>
          <w:noProof/>
        </w:rPr>
        <w:instrText xml:space="preserve"> SEQ Table \* ARABIC </w:instrText>
      </w:r>
      <w:r>
        <w:rPr>
          <w:noProof/>
        </w:rPr>
        <w:fldChar w:fldCharType="separate"/>
      </w:r>
      <w:r w:rsidR="00EB4B02">
        <w:rPr>
          <w:noProof/>
        </w:rPr>
        <w:t>40</w:t>
      </w:r>
      <w:r>
        <w:rPr>
          <w:noProof/>
        </w:rPr>
        <w:fldChar w:fldCharType="end"/>
      </w:r>
      <w:bookmarkEnd w:id="650"/>
      <w:r w:rsidRPr="00AE7C05">
        <w:t xml:space="preserve"> – R&amp;L transaction by service mode trends</w:t>
      </w:r>
      <w:bookmarkEnd w:id="651"/>
      <w:bookmarkEnd w:id="652"/>
    </w:p>
    <w:tbl>
      <w:tblPr>
        <w:tblStyle w:val="RIS-Table2"/>
        <w:tblW w:w="9498" w:type="dxa"/>
        <w:tblLayout w:type="fixed"/>
        <w:tblLook w:val="04A0" w:firstRow="1" w:lastRow="0" w:firstColumn="1" w:lastColumn="0" w:noHBand="0" w:noVBand="1"/>
      </w:tblPr>
      <w:tblGrid>
        <w:gridCol w:w="4820"/>
        <w:gridCol w:w="1276"/>
        <w:gridCol w:w="1134"/>
        <w:gridCol w:w="1134"/>
        <w:gridCol w:w="1134"/>
      </w:tblGrid>
      <w:tr w:rsidR="00370DA6" w:rsidRPr="00AF059E" w14:paraId="0D618061" w14:textId="77777777" w:rsidTr="00AF059E">
        <w:trPr>
          <w:cnfStyle w:val="100000000000" w:firstRow="1" w:lastRow="0" w:firstColumn="0" w:lastColumn="0" w:oddVBand="0" w:evenVBand="0" w:oddHBand="0" w:evenHBand="0" w:firstRowFirstColumn="0" w:firstRowLastColumn="0" w:lastRowFirstColumn="0" w:lastRowLastColumn="0"/>
        </w:trPr>
        <w:tc>
          <w:tcPr>
            <w:tcW w:w="4820" w:type="dxa"/>
            <w:hideMark/>
          </w:tcPr>
          <w:p w14:paraId="35B2FED5" w14:textId="77777777" w:rsidR="00370DA6" w:rsidRPr="00AF059E" w:rsidRDefault="00370DA6" w:rsidP="007265B8">
            <w:pPr>
              <w:pStyle w:val="TableHeaders"/>
              <w:spacing w:line="276" w:lineRule="auto"/>
              <w:rPr>
                <w:rFonts w:cs="Segoe UI"/>
                <w:szCs w:val="18"/>
              </w:rPr>
            </w:pPr>
            <w:r w:rsidRPr="00AF059E">
              <w:rPr>
                <w:rFonts w:cs="Segoe UI"/>
                <w:szCs w:val="18"/>
              </w:rPr>
              <w:t>Service Mode</w:t>
            </w:r>
          </w:p>
        </w:tc>
        <w:tc>
          <w:tcPr>
            <w:tcW w:w="1276" w:type="dxa"/>
            <w:hideMark/>
          </w:tcPr>
          <w:p w14:paraId="2EE6F544" w14:textId="77777777" w:rsidR="00370DA6" w:rsidRPr="00AF059E" w:rsidRDefault="00370DA6" w:rsidP="006A2492">
            <w:pPr>
              <w:pStyle w:val="TableHeaders"/>
              <w:spacing w:line="276" w:lineRule="auto"/>
              <w:rPr>
                <w:rFonts w:cs="Segoe UI"/>
                <w:szCs w:val="18"/>
              </w:rPr>
            </w:pPr>
            <w:r w:rsidRPr="00AF059E">
              <w:rPr>
                <w:rFonts w:cs="Segoe UI"/>
                <w:szCs w:val="18"/>
              </w:rPr>
              <w:t>FY13/14</w:t>
            </w:r>
            <w:r w:rsidR="006A2492">
              <w:rPr>
                <w:rFonts w:cs="Segoe UI"/>
                <w:szCs w:val="18"/>
              </w:rPr>
              <w:br/>
            </w:r>
            <w:r w:rsidRPr="00AF059E">
              <w:rPr>
                <w:rFonts w:cs="Segoe UI"/>
                <w:szCs w:val="18"/>
              </w:rPr>
              <w:t>‘000</w:t>
            </w:r>
          </w:p>
        </w:tc>
        <w:tc>
          <w:tcPr>
            <w:tcW w:w="1134" w:type="dxa"/>
            <w:hideMark/>
          </w:tcPr>
          <w:p w14:paraId="6D5BFAE8" w14:textId="77777777" w:rsidR="00370DA6" w:rsidRPr="00AF059E" w:rsidRDefault="00370DA6" w:rsidP="006A2492">
            <w:pPr>
              <w:pStyle w:val="TableHeaders"/>
              <w:spacing w:line="276" w:lineRule="auto"/>
              <w:rPr>
                <w:rFonts w:cs="Segoe UI"/>
                <w:szCs w:val="18"/>
              </w:rPr>
            </w:pPr>
            <w:r w:rsidRPr="00AF059E">
              <w:rPr>
                <w:rFonts w:cs="Segoe UI"/>
                <w:szCs w:val="18"/>
              </w:rPr>
              <w:t>FY14/15</w:t>
            </w:r>
            <w:r w:rsidR="006A2492">
              <w:rPr>
                <w:rFonts w:cs="Segoe UI"/>
                <w:szCs w:val="18"/>
              </w:rPr>
              <w:br/>
            </w:r>
            <w:r w:rsidRPr="00AF059E">
              <w:rPr>
                <w:rFonts w:cs="Segoe UI"/>
                <w:szCs w:val="18"/>
              </w:rPr>
              <w:t>‘000</w:t>
            </w:r>
          </w:p>
        </w:tc>
        <w:tc>
          <w:tcPr>
            <w:tcW w:w="1134" w:type="dxa"/>
            <w:hideMark/>
          </w:tcPr>
          <w:p w14:paraId="7CB581E0" w14:textId="77777777" w:rsidR="00370DA6" w:rsidRPr="00AF059E" w:rsidRDefault="00370DA6" w:rsidP="006A2492">
            <w:pPr>
              <w:pStyle w:val="TableHeaders"/>
              <w:spacing w:line="276" w:lineRule="auto"/>
              <w:rPr>
                <w:rFonts w:cs="Segoe UI"/>
                <w:szCs w:val="18"/>
              </w:rPr>
            </w:pPr>
            <w:r w:rsidRPr="00AF059E">
              <w:rPr>
                <w:rFonts w:cs="Segoe UI"/>
                <w:szCs w:val="18"/>
              </w:rPr>
              <w:t>FY15/16</w:t>
            </w:r>
            <w:r w:rsidR="006A2492">
              <w:rPr>
                <w:rFonts w:cs="Segoe UI"/>
                <w:szCs w:val="18"/>
              </w:rPr>
              <w:br/>
            </w:r>
            <w:r w:rsidRPr="00AF059E">
              <w:rPr>
                <w:rFonts w:cs="Segoe UI"/>
                <w:szCs w:val="18"/>
              </w:rPr>
              <w:t>‘000</w:t>
            </w:r>
          </w:p>
        </w:tc>
        <w:tc>
          <w:tcPr>
            <w:tcW w:w="1134" w:type="dxa"/>
            <w:hideMark/>
          </w:tcPr>
          <w:p w14:paraId="5A446848" w14:textId="77777777" w:rsidR="00370DA6" w:rsidRPr="00AF059E" w:rsidRDefault="00370DA6" w:rsidP="006A2492">
            <w:pPr>
              <w:pStyle w:val="TableHeaders"/>
              <w:spacing w:line="276" w:lineRule="auto"/>
              <w:rPr>
                <w:rFonts w:cs="Segoe UI"/>
                <w:szCs w:val="18"/>
              </w:rPr>
            </w:pPr>
            <w:r w:rsidRPr="00AF059E">
              <w:rPr>
                <w:rFonts w:cs="Segoe UI"/>
                <w:szCs w:val="18"/>
              </w:rPr>
              <w:t>FY16/17</w:t>
            </w:r>
            <w:r w:rsidR="006A2492">
              <w:rPr>
                <w:rFonts w:cs="Segoe UI"/>
                <w:szCs w:val="18"/>
              </w:rPr>
              <w:br/>
            </w:r>
            <w:r w:rsidRPr="00AF059E">
              <w:rPr>
                <w:rFonts w:cs="Segoe UI"/>
                <w:szCs w:val="18"/>
              </w:rPr>
              <w:t>‘000</w:t>
            </w:r>
          </w:p>
        </w:tc>
      </w:tr>
      <w:tr w:rsidR="00370DA6" w:rsidRPr="00B238CA" w14:paraId="292FA841" w14:textId="77777777" w:rsidTr="00AF059E">
        <w:tc>
          <w:tcPr>
            <w:tcW w:w="4820" w:type="dxa"/>
            <w:hideMark/>
          </w:tcPr>
          <w:p w14:paraId="7086C421" w14:textId="77777777" w:rsidR="00370DA6" w:rsidRPr="00B238CA" w:rsidRDefault="00370DA6" w:rsidP="007265B8">
            <w:pPr>
              <w:pStyle w:val="TextPara"/>
              <w:spacing w:before="40" w:after="40" w:line="276" w:lineRule="auto"/>
              <w:rPr>
                <w:rFonts w:cs="Segoe UI"/>
                <w:bCs/>
                <w:sz w:val="18"/>
                <w:szCs w:val="18"/>
              </w:rPr>
            </w:pPr>
            <w:r w:rsidRPr="00B238CA">
              <w:rPr>
                <w:rFonts w:cs="Segoe UI"/>
                <w:color w:val="000000"/>
                <w:sz w:val="18"/>
                <w:szCs w:val="18"/>
              </w:rPr>
              <w:t>Online self service</w:t>
            </w:r>
          </w:p>
        </w:tc>
        <w:tc>
          <w:tcPr>
            <w:tcW w:w="1276" w:type="dxa"/>
            <w:hideMark/>
          </w:tcPr>
          <w:p w14:paraId="7D1F1D58" w14:textId="77777777" w:rsidR="00370DA6" w:rsidRPr="00B238CA" w:rsidRDefault="00370DA6" w:rsidP="007265B8">
            <w:pPr>
              <w:spacing w:after="40"/>
              <w:jc w:val="center"/>
              <w:rPr>
                <w:rFonts w:ascii="Segoe UI" w:hAnsi="Segoe UI" w:cs="Segoe UI"/>
                <w:bCs/>
                <w:color w:val="0D0D0D"/>
                <w:sz w:val="18"/>
                <w:szCs w:val="18"/>
              </w:rPr>
            </w:pPr>
            <w:r w:rsidRPr="00B238CA">
              <w:rPr>
                <w:rFonts w:ascii="Segoe UI" w:hAnsi="Segoe UI" w:cs="Segoe UI"/>
                <w:sz w:val="18"/>
                <w:szCs w:val="18"/>
              </w:rPr>
              <w:t>12,592</w:t>
            </w:r>
          </w:p>
        </w:tc>
        <w:tc>
          <w:tcPr>
            <w:tcW w:w="1134" w:type="dxa"/>
            <w:hideMark/>
          </w:tcPr>
          <w:p w14:paraId="2DB5C6CF" w14:textId="77777777" w:rsidR="00370DA6" w:rsidRPr="00B238CA" w:rsidRDefault="00370DA6" w:rsidP="007265B8">
            <w:pPr>
              <w:spacing w:after="40"/>
              <w:jc w:val="center"/>
              <w:rPr>
                <w:rFonts w:ascii="Segoe UI" w:hAnsi="Segoe UI" w:cs="Segoe UI"/>
                <w:bCs/>
                <w:color w:val="0D0D0D"/>
                <w:sz w:val="18"/>
                <w:szCs w:val="18"/>
              </w:rPr>
            </w:pPr>
            <w:r w:rsidRPr="00B238CA">
              <w:rPr>
                <w:rFonts w:ascii="Segoe UI" w:hAnsi="Segoe UI" w:cs="Segoe UI"/>
                <w:sz w:val="18"/>
                <w:szCs w:val="18"/>
              </w:rPr>
              <w:t>15,581</w:t>
            </w:r>
          </w:p>
        </w:tc>
        <w:tc>
          <w:tcPr>
            <w:tcW w:w="1134" w:type="dxa"/>
            <w:hideMark/>
          </w:tcPr>
          <w:p w14:paraId="3198C732" w14:textId="77777777" w:rsidR="00370DA6" w:rsidRPr="00B238CA" w:rsidRDefault="00370DA6" w:rsidP="007265B8">
            <w:pPr>
              <w:spacing w:after="40"/>
              <w:jc w:val="center"/>
              <w:rPr>
                <w:rFonts w:ascii="Segoe UI" w:hAnsi="Segoe UI" w:cs="Segoe UI"/>
                <w:bCs/>
                <w:color w:val="0D0D0D"/>
                <w:sz w:val="18"/>
                <w:szCs w:val="18"/>
              </w:rPr>
            </w:pPr>
            <w:r w:rsidRPr="00B238CA">
              <w:rPr>
                <w:rFonts w:ascii="Segoe UI" w:hAnsi="Segoe UI" w:cs="Segoe UI"/>
                <w:sz w:val="18"/>
                <w:szCs w:val="18"/>
              </w:rPr>
              <w:t>18,935</w:t>
            </w:r>
          </w:p>
        </w:tc>
        <w:tc>
          <w:tcPr>
            <w:tcW w:w="1134" w:type="dxa"/>
            <w:hideMark/>
          </w:tcPr>
          <w:p w14:paraId="4D1E9464" w14:textId="77777777" w:rsidR="00370DA6" w:rsidRPr="00B238CA" w:rsidRDefault="00370DA6" w:rsidP="007265B8">
            <w:pPr>
              <w:spacing w:after="40"/>
              <w:jc w:val="center"/>
              <w:rPr>
                <w:rFonts w:ascii="Segoe UI" w:hAnsi="Segoe UI" w:cs="Segoe UI"/>
                <w:bCs/>
                <w:color w:val="0D0D0D"/>
                <w:sz w:val="18"/>
                <w:szCs w:val="18"/>
              </w:rPr>
            </w:pPr>
            <w:r w:rsidRPr="00B238CA">
              <w:rPr>
                <w:rFonts w:ascii="Segoe UI" w:hAnsi="Segoe UI" w:cs="Segoe UI"/>
                <w:sz w:val="18"/>
                <w:szCs w:val="18"/>
              </w:rPr>
              <w:t>19,482</w:t>
            </w:r>
          </w:p>
        </w:tc>
      </w:tr>
      <w:tr w:rsidR="00370DA6" w:rsidRPr="00B238CA" w14:paraId="1E50237C" w14:textId="77777777" w:rsidTr="00AF059E">
        <w:trPr>
          <w:cnfStyle w:val="000000010000" w:firstRow="0" w:lastRow="0" w:firstColumn="0" w:lastColumn="0" w:oddVBand="0" w:evenVBand="0" w:oddHBand="0" w:evenHBand="1" w:firstRowFirstColumn="0" w:firstRowLastColumn="0" w:lastRowFirstColumn="0" w:lastRowLastColumn="0"/>
        </w:trPr>
        <w:tc>
          <w:tcPr>
            <w:tcW w:w="4820" w:type="dxa"/>
            <w:hideMark/>
          </w:tcPr>
          <w:p w14:paraId="24569CFB" w14:textId="1FB2FFE8" w:rsidR="00370DA6" w:rsidRPr="00B238CA" w:rsidRDefault="00370DA6" w:rsidP="007265B8">
            <w:pPr>
              <w:pStyle w:val="TextPara"/>
              <w:spacing w:before="40" w:after="40" w:line="276" w:lineRule="auto"/>
              <w:ind w:left="178"/>
              <w:rPr>
                <w:rFonts w:cs="Segoe UI"/>
                <w:i/>
                <w:color w:val="000000"/>
                <w:sz w:val="16"/>
                <w:szCs w:val="16"/>
              </w:rPr>
            </w:pPr>
            <w:r w:rsidRPr="00B238CA">
              <w:rPr>
                <w:rFonts w:cs="Segoe UI"/>
                <w:i/>
                <w:color w:val="000000"/>
                <w:sz w:val="16"/>
                <w:szCs w:val="16"/>
              </w:rPr>
              <w:t>VicRoads web</w:t>
            </w:r>
            <w:r w:rsidR="008143FB" w:rsidRPr="00B238CA">
              <w:rPr>
                <w:rFonts w:cs="Segoe UI"/>
                <w:i/>
                <w:color w:val="000000"/>
                <w:sz w:val="16"/>
                <w:szCs w:val="16"/>
              </w:rPr>
              <w:t>-</w:t>
            </w:r>
            <w:r w:rsidRPr="00B238CA">
              <w:rPr>
                <w:rFonts w:cs="Segoe UI"/>
                <w:i/>
                <w:color w:val="000000"/>
                <w:sz w:val="16"/>
                <w:szCs w:val="16"/>
              </w:rPr>
              <w:t>based services</w:t>
            </w:r>
          </w:p>
        </w:tc>
        <w:tc>
          <w:tcPr>
            <w:tcW w:w="1276" w:type="dxa"/>
            <w:hideMark/>
          </w:tcPr>
          <w:p w14:paraId="29D11B15" w14:textId="77777777" w:rsidR="00370DA6" w:rsidRPr="00B238CA" w:rsidRDefault="00370DA6" w:rsidP="00C02B69">
            <w:pPr>
              <w:spacing w:after="40"/>
              <w:jc w:val="right"/>
              <w:rPr>
                <w:rFonts w:ascii="Segoe UI" w:hAnsi="Segoe UI" w:cs="Segoe UI"/>
                <w:i/>
                <w:color w:val="000000"/>
                <w:sz w:val="16"/>
                <w:szCs w:val="16"/>
              </w:rPr>
            </w:pPr>
            <w:r w:rsidRPr="00B238CA">
              <w:rPr>
                <w:rFonts w:ascii="Segoe UI" w:hAnsi="Segoe UI" w:cs="Segoe UI"/>
                <w:i/>
                <w:sz w:val="16"/>
                <w:szCs w:val="16"/>
              </w:rPr>
              <w:t xml:space="preserve">9,352 </w:t>
            </w:r>
          </w:p>
        </w:tc>
        <w:tc>
          <w:tcPr>
            <w:tcW w:w="1134" w:type="dxa"/>
            <w:hideMark/>
          </w:tcPr>
          <w:p w14:paraId="5608BC8F" w14:textId="77777777" w:rsidR="00370DA6" w:rsidRPr="00B238CA" w:rsidRDefault="00370DA6" w:rsidP="00C02B69">
            <w:pPr>
              <w:spacing w:after="40"/>
              <w:jc w:val="right"/>
              <w:rPr>
                <w:rFonts w:ascii="Segoe UI" w:hAnsi="Segoe UI" w:cs="Segoe UI"/>
                <w:i/>
                <w:color w:val="000000"/>
                <w:sz w:val="16"/>
                <w:szCs w:val="16"/>
              </w:rPr>
            </w:pPr>
            <w:r w:rsidRPr="00B238CA">
              <w:rPr>
                <w:rFonts w:ascii="Segoe UI" w:hAnsi="Segoe UI" w:cs="Segoe UI"/>
                <w:i/>
                <w:sz w:val="16"/>
                <w:szCs w:val="16"/>
              </w:rPr>
              <w:t xml:space="preserve">12,421 </w:t>
            </w:r>
          </w:p>
        </w:tc>
        <w:tc>
          <w:tcPr>
            <w:tcW w:w="1134" w:type="dxa"/>
            <w:hideMark/>
          </w:tcPr>
          <w:p w14:paraId="2836A22D" w14:textId="77777777" w:rsidR="00370DA6" w:rsidRPr="00B238CA" w:rsidRDefault="00370DA6" w:rsidP="00C02B69">
            <w:pPr>
              <w:spacing w:after="40"/>
              <w:jc w:val="right"/>
              <w:rPr>
                <w:rFonts w:ascii="Segoe UI" w:hAnsi="Segoe UI" w:cs="Segoe UI"/>
                <w:i/>
                <w:color w:val="000000"/>
                <w:sz w:val="16"/>
                <w:szCs w:val="16"/>
              </w:rPr>
            </w:pPr>
            <w:r w:rsidRPr="00B238CA">
              <w:rPr>
                <w:rFonts w:ascii="Segoe UI" w:hAnsi="Segoe UI" w:cs="Segoe UI"/>
                <w:i/>
                <w:sz w:val="16"/>
                <w:szCs w:val="16"/>
              </w:rPr>
              <w:t xml:space="preserve">15,036 </w:t>
            </w:r>
          </w:p>
        </w:tc>
        <w:tc>
          <w:tcPr>
            <w:tcW w:w="1134" w:type="dxa"/>
            <w:hideMark/>
          </w:tcPr>
          <w:p w14:paraId="52F86539" w14:textId="77777777" w:rsidR="00370DA6" w:rsidRPr="00B238CA" w:rsidRDefault="00370DA6" w:rsidP="00C02B69">
            <w:pPr>
              <w:spacing w:after="40"/>
              <w:jc w:val="right"/>
              <w:rPr>
                <w:rFonts w:ascii="Segoe UI" w:hAnsi="Segoe UI" w:cs="Segoe UI"/>
                <w:bCs/>
                <w:i/>
                <w:sz w:val="16"/>
                <w:szCs w:val="16"/>
              </w:rPr>
            </w:pPr>
            <w:r w:rsidRPr="00B238CA">
              <w:rPr>
                <w:rFonts w:ascii="Segoe UI" w:hAnsi="Segoe UI" w:cs="Segoe UI"/>
                <w:i/>
                <w:sz w:val="16"/>
                <w:szCs w:val="16"/>
              </w:rPr>
              <w:t xml:space="preserve">16,031 </w:t>
            </w:r>
          </w:p>
        </w:tc>
      </w:tr>
      <w:tr w:rsidR="00370DA6" w:rsidRPr="00B238CA" w14:paraId="61F67FA5" w14:textId="77777777" w:rsidTr="00AF059E">
        <w:trPr>
          <w:trHeight w:val="20"/>
        </w:trPr>
        <w:tc>
          <w:tcPr>
            <w:tcW w:w="4820" w:type="dxa"/>
            <w:hideMark/>
          </w:tcPr>
          <w:p w14:paraId="036E157B" w14:textId="77777777" w:rsidR="00370DA6" w:rsidRPr="00B238CA" w:rsidRDefault="00370DA6" w:rsidP="007265B8">
            <w:pPr>
              <w:pStyle w:val="TextPara"/>
              <w:spacing w:before="40" w:after="40" w:line="276" w:lineRule="auto"/>
              <w:ind w:left="178"/>
              <w:rPr>
                <w:rFonts w:cs="Segoe UI"/>
                <w:bCs/>
                <w:i/>
                <w:sz w:val="16"/>
                <w:szCs w:val="16"/>
              </w:rPr>
            </w:pPr>
            <w:r w:rsidRPr="00B238CA">
              <w:rPr>
                <w:rFonts w:cs="Segoe UI"/>
                <w:i/>
                <w:color w:val="000000"/>
                <w:sz w:val="16"/>
                <w:szCs w:val="16"/>
              </w:rPr>
              <w:t>Services to third parties (e.g. Toll companies, councils etc.)</w:t>
            </w:r>
          </w:p>
        </w:tc>
        <w:tc>
          <w:tcPr>
            <w:tcW w:w="1276" w:type="dxa"/>
            <w:hideMark/>
          </w:tcPr>
          <w:p w14:paraId="313AC376" w14:textId="77777777" w:rsidR="00370DA6" w:rsidRPr="00B238CA" w:rsidRDefault="00370DA6" w:rsidP="00C02B69">
            <w:pPr>
              <w:spacing w:after="40"/>
              <w:jc w:val="right"/>
              <w:rPr>
                <w:rFonts w:ascii="Segoe UI" w:hAnsi="Segoe UI" w:cs="Segoe UI"/>
                <w:bCs/>
                <w:i/>
                <w:color w:val="000000"/>
                <w:sz w:val="16"/>
                <w:szCs w:val="16"/>
              </w:rPr>
            </w:pPr>
            <w:r w:rsidRPr="00B238CA">
              <w:rPr>
                <w:rFonts w:ascii="Segoe UI" w:hAnsi="Segoe UI" w:cs="Segoe UI"/>
                <w:i/>
                <w:sz w:val="16"/>
                <w:szCs w:val="16"/>
              </w:rPr>
              <w:t xml:space="preserve">3,005 </w:t>
            </w:r>
          </w:p>
        </w:tc>
        <w:tc>
          <w:tcPr>
            <w:tcW w:w="1134" w:type="dxa"/>
            <w:hideMark/>
          </w:tcPr>
          <w:p w14:paraId="36694D0D" w14:textId="77777777" w:rsidR="00370DA6" w:rsidRPr="00B238CA" w:rsidRDefault="00370DA6" w:rsidP="00C02B69">
            <w:pPr>
              <w:spacing w:after="40"/>
              <w:jc w:val="right"/>
              <w:rPr>
                <w:rFonts w:ascii="Segoe UI" w:hAnsi="Segoe UI" w:cs="Segoe UI"/>
                <w:bCs/>
                <w:i/>
                <w:color w:val="000000"/>
                <w:sz w:val="16"/>
                <w:szCs w:val="16"/>
              </w:rPr>
            </w:pPr>
            <w:r w:rsidRPr="00B238CA">
              <w:rPr>
                <w:rFonts w:ascii="Segoe UI" w:hAnsi="Segoe UI" w:cs="Segoe UI"/>
                <w:i/>
                <w:sz w:val="16"/>
                <w:szCs w:val="16"/>
              </w:rPr>
              <w:t xml:space="preserve">2,731 </w:t>
            </w:r>
          </w:p>
        </w:tc>
        <w:tc>
          <w:tcPr>
            <w:tcW w:w="1134" w:type="dxa"/>
            <w:hideMark/>
          </w:tcPr>
          <w:p w14:paraId="00BDB4A2" w14:textId="77777777" w:rsidR="00370DA6" w:rsidRPr="00B238CA" w:rsidRDefault="00370DA6" w:rsidP="00C02B69">
            <w:pPr>
              <w:spacing w:after="40"/>
              <w:jc w:val="right"/>
              <w:rPr>
                <w:rFonts w:ascii="Segoe UI" w:hAnsi="Segoe UI" w:cs="Segoe UI"/>
                <w:bCs/>
                <w:i/>
                <w:color w:val="000000"/>
                <w:sz w:val="16"/>
                <w:szCs w:val="16"/>
              </w:rPr>
            </w:pPr>
            <w:r w:rsidRPr="00B238CA">
              <w:rPr>
                <w:rFonts w:ascii="Segoe UI" w:hAnsi="Segoe UI" w:cs="Segoe UI"/>
                <w:i/>
                <w:sz w:val="16"/>
                <w:szCs w:val="16"/>
              </w:rPr>
              <w:t xml:space="preserve">3,132 </w:t>
            </w:r>
          </w:p>
        </w:tc>
        <w:tc>
          <w:tcPr>
            <w:tcW w:w="1134" w:type="dxa"/>
            <w:hideMark/>
          </w:tcPr>
          <w:p w14:paraId="08C75437" w14:textId="77777777" w:rsidR="00370DA6" w:rsidRPr="00B238CA" w:rsidRDefault="00370DA6" w:rsidP="00C02B69">
            <w:pPr>
              <w:spacing w:after="40"/>
              <w:jc w:val="right"/>
              <w:rPr>
                <w:rFonts w:ascii="Segoe UI" w:hAnsi="Segoe UI" w:cs="Segoe UI"/>
                <w:bCs/>
                <w:i/>
                <w:sz w:val="16"/>
                <w:szCs w:val="16"/>
              </w:rPr>
            </w:pPr>
            <w:r w:rsidRPr="00B238CA">
              <w:rPr>
                <w:rFonts w:ascii="Segoe UI" w:hAnsi="Segoe UI" w:cs="Segoe UI"/>
                <w:i/>
                <w:sz w:val="16"/>
                <w:szCs w:val="16"/>
              </w:rPr>
              <w:t xml:space="preserve">2,748 </w:t>
            </w:r>
          </w:p>
        </w:tc>
      </w:tr>
      <w:tr w:rsidR="00370DA6" w:rsidRPr="00B238CA" w14:paraId="072917E0" w14:textId="77777777" w:rsidTr="00AF059E">
        <w:trPr>
          <w:cnfStyle w:val="000000010000" w:firstRow="0" w:lastRow="0" w:firstColumn="0" w:lastColumn="0" w:oddVBand="0" w:evenVBand="0" w:oddHBand="0" w:evenHBand="1" w:firstRowFirstColumn="0" w:firstRowLastColumn="0" w:lastRowFirstColumn="0" w:lastRowLastColumn="0"/>
          <w:trHeight w:val="20"/>
        </w:trPr>
        <w:tc>
          <w:tcPr>
            <w:tcW w:w="4820" w:type="dxa"/>
            <w:hideMark/>
          </w:tcPr>
          <w:p w14:paraId="488BD517" w14:textId="77777777" w:rsidR="00370DA6" w:rsidRPr="00B238CA" w:rsidRDefault="00370DA6" w:rsidP="007265B8">
            <w:pPr>
              <w:pStyle w:val="TextPara"/>
              <w:spacing w:before="40" w:after="40" w:line="276" w:lineRule="auto"/>
              <w:ind w:left="178"/>
              <w:rPr>
                <w:rFonts w:cs="Segoe UI"/>
                <w:bCs/>
                <w:i/>
                <w:sz w:val="16"/>
                <w:szCs w:val="16"/>
              </w:rPr>
            </w:pPr>
            <w:r w:rsidRPr="00B238CA">
              <w:rPr>
                <w:rFonts w:cs="Segoe UI"/>
                <w:i/>
                <w:color w:val="000000"/>
                <w:sz w:val="16"/>
                <w:szCs w:val="16"/>
              </w:rPr>
              <w:t>Automated Telephony (IVR)</w:t>
            </w:r>
          </w:p>
        </w:tc>
        <w:tc>
          <w:tcPr>
            <w:tcW w:w="1276" w:type="dxa"/>
            <w:hideMark/>
          </w:tcPr>
          <w:p w14:paraId="377AA3FB" w14:textId="77777777" w:rsidR="00370DA6" w:rsidRPr="00B238CA" w:rsidRDefault="00370DA6" w:rsidP="00C02B69">
            <w:pPr>
              <w:spacing w:after="40"/>
              <w:jc w:val="right"/>
              <w:rPr>
                <w:rFonts w:ascii="Segoe UI" w:hAnsi="Segoe UI" w:cs="Segoe UI"/>
                <w:bCs/>
                <w:i/>
                <w:color w:val="000000"/>
                <w:sz w:val="16"/>
                <w:szCs w:val="16"/>
              </w:rPr>
            </w:pPr>
            <w:r w:rsidRPr="00B238CA">
              <w:rPr>
                <w:rFonts w:ascii="Segoe UI" w:hAnsi="Segoe UI" w:cs="Segoe UI"/>
                <w:i/>
                <w:sz w:val="16"/>
                <w:szCs w:val="16"/>
              </w:rPr>
              <w:t xml:space="preserve">235 </w:t>
            </w:r>
          </w:p>
        </w:tc>
        <w:tc>
          <w:tcPr>
            <w:tcW w:w="1134" w:type="dxa"/>
            <w:hideMark/>
          </w:tcPr>
          <w:p w14:paraId="76F198BD" w14:textId="77777777" w:rsidR="00370DA6" w:rsidRPr="00B238CA" w:rsidRDefault="00370DA6" w:rsidP="00C02B69">
            <w:pPr>
              <w:spacing w:after="40"/>
              <w:jc w:val="right"/>
              <w:rPr>
                <w:rFonts w:ascii="Segoe UI" w:hAnsi="Segoe UI" w:cs="Segoe UI"/>
                <w:bCs/>
                <w:i/>
                <w:color w:val="000000"/>
                <w:sz w:val="16"/>
                <w:szCs w:val="16"/>
              </w:rPr>
            </w:pPr>
            <w:r w:rsidRPr="00B238CA">
              <w:rPr>
                <w:rFonts w:ascii="Segoe UI" w:hAnsi="Segoe UI" w:cs="Segoe UI"/>
                <w:i/>
                <w:sz w:val="16"/>
                <w:szCs w:val="16"/>
              </w:rPr>
              <w:t xml:space="preserve">428 </w:t>
            </w:r>
          </w:p>
        </w:tc>
        <w:tc>
          <w:tcPr>
            <w:tcW w:w="1134" w:type="dxa"/>
            <w:hideMark/>
          </w:tcPr>
          <w:p w14:paraId="2D7D9295" w14:textId="77777777" w:rsidR="00370DA6" w:rsidRPr="00B238CA" w:rsidRDefault="00370DA6" w:rsidP="00C02B69">
            <w:pPr>
              <w:spacing w:after="40"/>
              <w:jc w:val="right"/>
              <w:rPr>
                <w:rFonts w:ascii="Segoe UI" w:hAnsi="Segoe UI" w:cs="Segoe UI"/>
                <w:bCs/>
                <w:i/>
                <w:color w:val="000000"/>
                <w:sz w:val="16"/>
                <w:szCs w:val="16"/>
              </w:rPr>
            </w:pPr>
            <w:r w:rsidRPr="00B238CA">
              <w:rPr>
                <w:rFonts w:ascii="Segoe UI" w:hAnsi="Segoe UI" w:cs="Segoe UI"/>
                <w:i/>
                <w:sz w:val="16"/>
                <w:szCs w:val="16"/>
              </w:rPr>
              <w:t xml:space="preserve">767 </w:t>
            </w:r>
          </w:p>
        </w:tc>
        <w:tc>
          <w:tcPr>
            <w:tcW w:w="1134" w:type="dxa"/>
            <w:hideMark/>
          </w:tcPr>
          <w:p w14:paraId="456D24C9" w14:textId="77777777" w:rsidR="00370DA6" w:rsidRPr="00B238CA" w:rsidRDefault="00370DA6" w:rsidP="00C02B69">
            <w:pPr>
              <w:spacing w:after="40"/>
              <w:jc w:val="right"/>
              <w:rPr>
                <w:rFonts w:ascii="Segoe UI" w:hAnsi="Segoe UI" w:cs="Segoe UI"/>
                <w:bCs/>
                <w:i/>
                <w:sz w:val="16"/>
                <w:szCs w:val="16"/>
              </w:rPr>
            </w:pPr>
            <w:r w:rsidRPr="00B238CA">
              <w:rPr>
                <w:rFonts w:ascii="Segoe UI" w:hAnsi="Segoe UI" w:cs="Segoe UI"/>
                <w:i/>
                <w:sz w:val="16"/>
                <w:szCs w:val="16"/>
              </w:rPr>
              <w:t xml:space="preserve">703 </w:t>
            </w:r>
          </w:p>
        </w:tc>
      </w:tr>
      <w:tr w:rsidR="00370DA6" w:rsidRPr="00B238CA" w14:paraId="52C4CA7A" w14:textId="77777777" w:rsidTr="00AF059E">
        <w:tc>
          <w:tcPr>
            <w:tcW w:w="4820" w:type="dxa"/>
            <w:hideMark/>
          </w:tcPr>
          <w:p w14:paraId="4E85B295" w14:textId="77777777" w:rsidR="00370DA6" w:rsidRPr="00B238CA" w:rsidRDefault="00370DA6" w:rsidP="007265B8">
            <w:pPr>
              <w:pStyle w:val="TextPara"/>
              <w:spacing w:before="40" w:after="40" w:line="276" w:lineRule="auto"/>
              <w:rPr>
                <w:rFonts w:cs="Segoe UI"/>
                <w:color w:val="000000"/>
                <w:sz w:val="18"/>
                <w:szCs w:val="18"/>
              </w:rPr>
            </w:pPr>
            <w:r w:rsidRPr="00B238CA">
              <w:rPr>
                <w:rFonts w:cs="Segoe UI"/>
                <w:color w:val="000000"/>
                <w:sz w:val="18"/>
                <w:szCs w:val="18"/>
              </w:rPr>
              <w:t>Counter services (in-person)</w:t>
            </w:r>
          </w:p>
        </w:tc>
        <w:tc>
          <w:tcPr>
            <w:tcW w:w="1276" w:type="dxa"/>
            <w:hideMark/>
          </w:tcPr>
          <w:p w14:paraId="7A20DF88" w14:textId="77777777" w:rsidR="00370DA6" w:rsidRPr="00B238CA" w:rsidRDefault="00370DA6" w:rsidP="007265B8">
            <w:pPr>
              <w:spacing w:after="40"/>
              <w:jc w:val="center"/>
              <w:rPr>
                <w:rFonts w:ascii="Segoe UI" w:hAnsi="Segoe UI" w:cs="Segoe UI"/>
                <w:color w:val="000000"/>
                <w:sz w:val="18"/>
                <w:szCs w:val="18"/>
              </w:rPr>
            </w:pPr>
            <w:r w:rsidRPr="00B238CA">
              <w:rPr>
                <w:rFonts w:ascii="Segoe UI" w:hAnsi="Segoe UI" w:cs="Segoe UI"/>
                <w:sz w:val="18"/>
                <w:szCs w:val="18"/>
              </w:rPr>
              <w:t>6,389</w:t>
            </w:r>
          </w:p>
        </w:tc>
        <w:tc>
          <w:tcPr>
            <w:tcW w:w="1134" w:type="dxa"/>
            <w:hideMark/>
          </w:tcPr>
          <w:p w14:paraId="5A2C69B4" w14:textId="77777777" w:rsidR="00370DA6" w:rsidRPr="00B238CA" w:rsidRDefault="00370DA6" w:rsidP="007265B8">
            <w:pPr>
              <w:spacing w:after="40"/>
              <w:jc w:val="center"/>
              <w:rPr>
                <w:rFonts w:ascii="Segoe UI" w:hAnsi="Segoe UI" w:cs="Segoe UI"/>
                <w:color w:val="000000"/>
                <w:sz w:val="18"/>
                <w:szCs w:val="18"/>
              </w:rPr>
            </w:pPr>
            <w:r w:rsidRPr="00B238CA">
              <w:rPr>
                <w:rFonts w:ascii="Segoe UI" w:hAnsi="Segoe UI" w:cs="Segoe UI"/>
                <w:sz w:val="18"/>
                <w:szCs w:val="18"/>
              </w:rPr>
              <w:t>6,393</w:t>
            </w:r>
          </w:p>
        </w:tc>
        <w:tc>
          <w:tcPr>
            <w:tcW w:w="1134" w:type="dxa"/>
            <w:hideMark/>
          </w:tcPr>
          <w:p w14:paraId="74DFFD9F" w14:textId="77777777" w:rsidR="00370DA6" w:rsidRPr="00B238CA" w:rsidRDefault="00370DA6" w:rsidP="007265B8">
            <w:pPr>
              <w:spacing w:after="40"/>
              <w:jc w:val="center"/>
              <w:rPr>
                <w:rFonts w:ascii="Segoe UI" w:hAnsi="Segoe UI" w:cs="Segoe UI"/>
                <w:color w:val="000000"/>
                <w:sz w:val="18"/>
                <w:szCs w:val="18"/>
              </w:rPr>
            </w:pPr>
            <w:r w:rsidRPr="00B238CA">
              <w:rPr>
                <w:rFonts w:ascii="Segoe UI" w:hAnsi="Segoe UI" w:cs="Segoe UI"/>
                <w:sz w:val="18"/>
                <w:szCs w:val="18"/>
              </w:rPr>
              <w:t>6,189</w:t>
            </w:r>
          </w:p>
        </w:tc>
        <w:tc>
          <w:tcPr>
            <w:tcW w:w="1134" w:type="dxa"/>
            <w:hideMark/>
          </w:tcPr>
          <w:p w14:paraId="5011B7CB"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sz w:val="18"/>
                <w:szCs w:val="18"/>
              </w:rPr>
              <w:t>5,955</w:t>
            </w:r>
          </w:p>
        </w:tc>
      </w:tr>
      <w:tr w:rsidR="00370DA6" w:rsidRPr="00B238CA" w14:paraId="2A24CB49" w14:textId="77777777" w:rsidTr="00AF059E">
        <w:trPr>
          <w:cnfStyle w:val="000000010000" w:firstRow="0" w:lastRow="0" w:firstColumn="0" w:lastColumn="0" w:oddVBand="0" w:evenVBand="0" w:oddHBand="0" w:evenHBand="1" w:firstRowFirstColumn="0" w:firstRowLastColumn="0" w:lastRowFirstColumn="0" w:lastRowLastColumn="0"/>
        </w:trPr>
        <w:tc>
          <w:tcPr>
            <w:tcW w:w="4820" w:type="dxa"/>
            <w:hideMark/>
          </w:tcPr>
          <w:p w14:paraId="62987B17" w14:textId="77777777" w:rsidR="00370DA6" w:rsidRPr="00B238CA" w:rsidRDefault="00370DA6" w:rsidP="007265B8">
            <w:pPr>
              <w:pStyle w:val="TextPara"/>
              <w:spacing w:before="40" w:after="40" w:line="276" w:lineRule="auto"/>
              <w:ind w:left="178"/>
              <w:rPr>
                <w:rFonts w:cs="Segoe UI"/>
                <w:i/>
                <w:color w:val="000000"/>
                <w:sz w:val="16"/>
                <w:szCs w:val="16"/>
              </w:rPr>
            </w:pPr>
            <w:r w:rsidRPr="00B238CA">
              <w:rPr>
                <w:rFonts w:cs="Segoe UI"/>
                <w:i/>
                <w:color w:val="000000"/>
                <w:sz w:val="16"/>
                <w:szCs w:val="16"/>
              </w:rPr>
              <w:t>VicRoads Customer Service Centres</w:t>
            </w:r>
          </w:p>
        </w:tc>
        <w:tc>
          <w:tcPr>
            <w:tcW w:w="1276" w:type="dxa"/>
            <w:hideMark/>
          </w:tcPr>
          <w:p w14:paraId="0EB71A38" w14:textId="77777777" w:rsidR="00370DA6" w:rsidRPr="00B238CA" w:rsidRDefault="00370DA6" w:rsidP="007265B8">
            <w:pPr>
              <w:spacing w:after="40"/>
              <w:jc w:val="right"/>
              <w:rPr>
                <w:rFonts w:ascii="Segoe UI" w:hAnsi="Segoe UI" w:cs="Segoe UI"/>
                <w:i/>
                <w:color w:val="000000"/>
                <w:sz w:val="16"/>
                <w:szCs w:val="16"/>
              </w:rPr>
            </w:pPr>
            <w:r w:rsidRPr="00B238CA">
              <w:rPr>
                <w:rFonts w:ascii="Segoe UI" w:hAnsi="Segoe UI" w:cs="Segoe UI"/>
                <w:i/>
                <w:sz w:val="16"/>
                <w:szCs w:val="16"/>
              </w:rPr>
              <w:t xml:space="preserve">5,007 </w:t>
            </w:r>
          </w:p>
        </w:tc>
        <w:tc>
          <w:tcPr>
            <w:tcW w:w="1134" w:type="dxa"/>
            <w:hideMark/>
          </w:tcPr>
          <w:p w14:paraId="2175894C" w14:textId="77777777" w:rsidR="00370DA6" w:rsidRPr="00B238CA" w:rsidRDefault="00370DA6" w:rsidP="007265B8">
            <w:pPr>
              <w:spacing w:after="40"/>
              <w:jc w:val="right"/>
              <w:rPr>
                <w:rFonts w:ascii="Segoe UI" w:hAnsi="Segoe UI" w:cs="Segoe UI"/>
                <w:i/>
                <w:color w:val="000000"/>
                <w:sz w:val="16"/>
                <w:szCs w:val="16"/>
              </w:rPr>
            </w:pPr>
            <w:r w:rsidRPr="00B238CA">
              <w:rPr>
                <w:rFonts w:ascii="Segoe UI" w:hAnsi="Segoe UI" w:cs="Segoe UI"/>
                <w:i/>
                <w:sz w:val="16"/>
                <w:szCs w:val="16"/>
              </w:rPr>
              <w:t xml:space="preserve">5,043 </w:t>
            </w:r>
          </w:p>
        </w:tc>
        <w:tc>
          <w:tcPr>
            <w:tcW w:w="1134" w:type="dxa"/>
            <w:hideMark/>
          </w:tcPr>
          <w:p w14:paraId="3520EFDE" w14:textId="77777777" w:rsidR="00370DA6" w:rsidRPr="00B238CA" w:rsidRDefault="00370DA6" w:rsidP="007265B8">
            <w:pPr>
              <w:spacing w:after="40"/>
              <w:jc w:val="right"/>
              <w:rPr>
                <w:rFonts w:ascii="Segoe UI" w:hAnsi="Segoe UI" w:cs="Segoe UI"/>
                <w:i/>
                <w:color w:val="000000"/>
                <w:sz w:val="16"/>
                <w:szCs w:val="16"/>
              </w:rPr>
            </w:pPr>
            <w:r w:rsidRPr="00B238CA">
              <w:rPr>
                <w:rFonts w:ascii="Segoe UI" w:hAnsi="Segoe UI" w:cs="Segoe UI"/>
                <w:i/>
                <w:sz w:val="16"/>
                <w:szCs w:val="16"/>
              </w:rPr>
              <w:t xml:space="preserve">4,883 </w:t>
            </w:r>
          </w:p>
        </w:tc>
        <w:tc>
          <w:tcPr>
            <w:tcW w:w="1134" w:type="dxa"/>
            <w:hideMark/>
          </w:tcPr>
          <w:p w14:paraId="4B9EE786" w14:textId="77777777" w:rsidR="00370DA6" w:rsidRPr="00B238CA" w:rsidRDefault="00370DA6" w:rsidP="007265B8">
            <w:pPr>
              <w:spacing w:after="40"/>
              <w:jc w:val="right"/>
              <w:rPr>
                <w:rFonts w:ascii="Segoe UI" w:hAnsi="Segoe UI" w:cs="Segoe UI"/>
                <w:bCs/>
                <w:i/>
                <w:sz w:val="16"/>
                <w:szCs w:val="16"/>
              </w:rPr>
            </w:pPr>
            <w:r w:rsidRPr="00B238CA">
              <w:rPr>
                <w:rFonts w:ascii="Segoe UI" w:hAnsi="Segoe UI" w:cs="Segoe UI"/>
                <w:i/>
                <w:sz w:val="16"/>
                <w:szCs w:val="16"/>
              </w:rPr>
              <w:t xml:space="preserve">4,770 </w:t>
            </w:r>
          </w:p>
        </w:tc>
      </w:tr>
      <w:tr w:rsidR="00370DA6" w:rsidRPr="00B238CA" w14:paraId="5EDAB8E3" w14:textId="77777777" w:rsidTr="00AF059E">
        <w:tc>
          <w:tcPr>
            <w:tcW w:w="4820" w:type="dxa"/>
            <w:hideMark/>
          </w:tcPr>
          <w:p w14:paraId="60976D8F" w14:textId="77777777" w:rsidR="00370DA6" w:rsidRPr="00B238CA" w:rsidRDefault="00370DA6" w:rsidP="007265B8">
            <w:pPr>
              <w:pStyle w:val="TextPara"/>
              <w:spacing w:before="40" w:after="40" w:line="276" w:lineRule="auto"/>
              <w:ind w:left="178"/>
              <w:rPr>
                <w:rFonts w:cs="Segoe UI"/>
                <w:i/>
                <w:color w:val="000000"/>
                <w:sz w:val="16"/>
                <w:szCs w:val="16"/>
              </w:rPr>
            </w:pPr>
            <w:r w:rsidRPr="00B238CA">
              <w:rPr>
                <w:rFonts w:cs="Segoe UI"/>
                <w:i/>
                <w:color w:val="000000"/>
                <w:sz w:val="16"/>
                <w:szCs w:val="16"/>
              </w:rPr>
              <w:t>Australia Post and Agency Service Centres</w:t>
            </w:r>
          </w:p>
        </w:tc>
        <w:tc>
          <w:tcPr>
            <w:tcW w:w="1276" w:type="dxa"/>
            <w:hideMark/>
          </w:tcPr>
          <w:p w14:paraId="2C52F013" w14:textId="77777777" w:rsidR="00370DA6" w:rsidRPr="00B238CA" w:rsidRDefault="00370DA6" w:rsidP="007265B8">
            <w:pPr>
              <w:spacing w:after="40"/>
              <w:jc w:val="right"/>
              <w:rPr>
                <w:rFonts w:ascii="Segoe UI" w:hAnsi="Segoe UI" w:cs="Segoe UI"/>
                <w:i/>
                <w:color w:val="000000"/>
                <w:sz w:val="16"/>
                <w:szCs w:val="16"/>
              </w:rPr>
            </w:pPr>
            <w:r w:rsidRPr="00B238CA">
              <w:rPr>
                <w:rFonts w:ascii="Segoe UI" w:hAnsi="Segoe UI" w:cs="Segoe UI"/>
                <w:i/>
                <w:sz w:val="16"/>
                <w:szCs w:val="16"/>
              </w:rPr>
              <w:t xml:space="preserve">1,382 </w:t>
            </w:r>
          </w:p>
        </w:tc>
        <w:tc>
          <w:tcPr>
            <w:tcW w:w="1134" w:type="dxa"/>
            <w:hideMark/>
          </w:tcPr>
          <w:p w14:paraId="04D0DCAD" w14:textId="77777777" w:rsidR="00370DA6" w:rsidRPr="00B238CA" w:rsidRDefault="00370DA6" w:rsidP="007265B8">
            <w:pPr>
              <w:spacing w:after="40"/>
              <w:jc w:val="right"/>
              <w:rPr>
                <w:rFonts w:ascii="Segoe UI" w:hAnsi="Segoe UI" w:cs="Segoe UI"/>
                <w:i/>
                <w:color w:val="000000"/>
                <w:sz w:val="16"/>
                <w:szCs w:val="16"/>
              </w:rPr>
            </w:pPr>
            <w:r w:rsidRPr="00B238CA">
              <w:rPr>
                <w:rFonts w:ascii="Segoe UI" w:hAnsi="Segoe UI" w:cs="Segoe UI"/>
                <w:i/>
                <w:sz w:val="16"/>
                <w:szCs w:val="16"/>
              </w:rPr>
              <w:t xml:space="preserve">1,350 </w:t>
            </w:r>
          </w:p>
        </w:tc>
        <w:tc>
          <w:tcPr>
            <w:tcW w:w="1134" w:type="dxa"/>
            <w:hideMark/>
          </w:tcPr>
          <w:p w14:paraId="5BAE8F2B" w14:textId="77777777" w:rsidR="00370DA6" w:rsidRPr="00B238CA" w:rsidRDefault="00370DA6" w:rsidP="007265B8">
            <w:pPr>
              <w:spacing w:after="40"/>
              <w:jc w:val="right"/>
              <w:rPr>
                <w:rFonts w:ascii="Segoe UI" w:hAnsi="Segoe UI" w:cs="Segoe UI"/>
                <w:i/>
                <w:color w:val="000000"/>
                <w:sz w:val="16"/>
                <w:szCs w:val="16"/>
              </w:rPr>
            </w:pPr>
            <w:r w:rsidRPr="00B238CA">
              <w:rPr>
                <w:rFonts w:ascii="Segoe UI" w:hAnsi="Segoe UI" w:cs="Segoe UI"/>
                <w:i/>
                <w:sz w:val="16"/>
                <w:szCs w:val="16"/>
              </w:rPr>
              <w:t xml:space="preserve"> 1,305 </w:t>
            </w:r>
          </w:p>
        </w:tc>
        <w:tc>
          <w:tcPr>
            <w:tcW w:w="1134" w:type="dxa"/>
            <w:hideMark/>
          </w:tcPr>
          <w:p w14:paraId="52B758E9" w14:textId="77777777" w:rsidR="00370DA6" w:rsidRPr="00B238CA" w:rsidRDefault="00370DA6" w:rsidP="007265B8">
            <w:pPr>
              <w:spacing w:after="40"/>
              <w:jc w:val="right"/>
              <w:rPr>
                <w:rFonts w:ascii="Segoe UI" w:hAnsi="Segoe UI" w:cs="Segoe UI"/>
                <w:bCs/>
                <w:i/>
                <w:sz w:val="16"/>
                <w:szCs w:val="16"/>
              </w:rPr>
            </w:pPr>
            <w:r w:rsidRPr="00B238CA">
              <w:rPr>
                <w:rFonts w:ascii="Segoe UI" w:hAnsi="Segoe UI" w:cs="Segoe UI"/>
                <w:i/>
                <w:sz w:val="16"/>
                <w:szCs w:val="16"/>
              </w:rPr>
              <w:t xml:space="preserve">1,184 </w:t>
            </w:r>
          </w:p>
        </w:tc>
      </w:tr>
      <w:tr w:rsidR="00370DA6" w:rsidRPr="00B238CA" w14:paraId="50DC28F1" w14:textId="77777777" w:rsidTr="00AF059E">
        <w:trPr>
          <w:cnfStyle w:val="000000010000" w:firstRow="0" w:lastRow="0" w:firstColumn="0" w:lastColumn="0" w:oddVBand="0" w:evenVBand="0" w:oddHBand="0" w:evenHBand="1" w:firstRowFirstColumn="0" w:firstRowLastColumn="0" w:lastRowFirstColumn="0" w:lastRowLastColumn="0"/>
        </w:trPr>
        <w:tc>
          <w:tcPr>
            <w:tcW w:w="4820" w:type="dxa"/>
            <w:hideMark/>
          </w:tcPr>
          <w:p w14:paraId="07F3B8EE" w14:textId="77777777" w:rsidR="00370DA6" w:rsidRPr="00B238CA" w:rsidRDefault="00370DA6" w:rsidP="007265B8">
            <w:pPr>
              <w:pStyle w:val="TextPara"/>
              <w:spacing w:before="40" w:after="40" w:line="276" w:lineRule="auto"/>
              <w:rPr>
                <w:rFonts w:cs="Segoe UI"/>
                <w:color w:val="000000"/>
                <w:sz w:val="18"/>
                <w:szCs w:val="18"/>
              </w:rPr>
            </w:pPr>
            <w:r w:rsidRPr="00B238CA">
              <w:rPr>
                <w:rFonts w:cs="Segoe UI"/>
                <w:color w:val="000000"/>
                <w:sz w:val="18"/>
                <w:szCs w:val="18"/>
              </w:rPr>
              <w:t>Call Centres (telephone)</w:t>
            </w:r>
          </w:p>
        </w:tc>
        <w:tc>
          <w:tcPr>
            <w:tcW w:w="1276" w:type="dxa"/>
            <w:hideMark/>
          </w:tcPr>
          <w:p w14:paraId="2C0A3B7C" w14:textId="77777777" w:rsidR="00370DA6" w:rsidRPr="00B238CA" w:rsidRDefault="00370DA6" w:rsidP="007265B8">
            <w:pPr>
              <w:spacing w:after="40"/>
              <w:jc w:val="center"/>
              <w:rPr>
                <w:rFonts w:ascii="Segoe UI" w:hAnsi="Segoe UI" w:cs="Segoe UI"/>
                <w:color w:val="000000"/>
                <w:sz w:val="18"/>
                <w:szCs w:val="18"/>
              </w:rPr>
            </w:pPr>
            <w:r w:rsidRPr="00B238CA">
              <w:rPr>
                <w:rFonts w:ascii="Segoe UI" w:hAnsi="Segoe UI" w:cs="Segoe UI"/>
                <w:sz w:val="18"/>
                <w:szCs w:val="18"/>
              </w:rPr>
              <w:t>2,401</w:t>
            </w:r>
          </w:p>
        </w:tc>
        <w:tc>
          <w:tcPr>
            <w:tcW w:w="1134" w:type="dxa"/>
            <w:hideMark/>
          </w:tcPr>
          <w:p w14:paraId="1F98C04B" w14:textId="77777777" w:rsidR="00370DA6" w:rsidRPr="00B238CA" w:rsidRDefault="00370DA6" w:rsidP="007265B8">
            <w:pPr>
              <w:spacing w:after="40"/>
              <w:jc w:val="center"/>
              <w:rPr>
                <w:rFonts w:ascii="Segoe UI" w:hAnsi="Segoe UI" w:cs="Segoe UI"/>
                <w:color w:val="000000"/>
                <w:sz w:val="18"/>
                <w:szCs w:val="18"/>
              </w:rPr>
            </w:pPr>
            <w:r w:rsidRPr="00B238CA">
              <w:rPr>
                <w:rFonts w:ascii="Segoe UI" w:hAnsi="Segoe UI" w:cs="Segoe UI"/>
                <w:sz w:val="18"/>
                <w:szCs w:val="18"/>
              </w:rPr>
              <w:t>2,387</w:t>
            </w:r>
          </w:p>
        </w:tc>
        <w:tc>
          <w:tcPr>
            <w:tcW w:w="1134" w:type="dxa"/>
            <w:hideMark/>
          </w:tcPr>
          <w:p w14:paraId="4215B238" w14:textId="77777777" w:rsidR="00370DA6" w:rsidRPr="00B238CA" w:rsidRDefault="00370DA6" w:rsidP="007265B8">
            <w:pPr>
              <w:spacing w:after="40"/>
              <w:jc w:val="center"/>
              <w:rPr>
                <w:rFonts w:ascii="Segoe UI" w:hAnsi="Segoe UI" w:cs="Segoe UI"/>
                <w:color w:val="000000"/>
                <w:sz w:val="18"/>
                <w:szCs w:val="18"/>
              </w:rPr>
            </w:pPr>
            <w:r w:rsidRPr="00B238CA">
              <w:rPr>
                <w:rFonts w:ascii="Segoe UI" w:hAnsi="Segoe UI" w:cs="Segoe UI"/>
                <w:sz w:val="18"/>
                <w:szCs w:val="18"/>
              </w:rPr>
              <w:t>2,287</w:t>
            </w:r>
          </w:p>
        </w:tc>
        <w:tc>
          <w:tcPr>
            <w:tcW w:w="1134" w:type="dxa"/>
            <w:hideMark/>
          </w:tcPr>
          <w:p w14:paraId="5562F84B"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sz w:val="18"/>
                <w:szCs w:val="18"/>
              </w:rPr>
              <w:t>2,135</w:t>
            </w:r>
          </w:p>
        </w:tc>
      </w:tr>
      <w:tr w:rsidR="00370DA6" w:rsidRPr="00B238CA" w14:paraId="095DF4BB" w14:textId="77777777" w:rsidTr="00AF059E">
        <w:tc>
          <w:tcPr>
            <w:tcW w:w="4820" w:type="dxa"/>
            <w:hideMark/>
          </w:tcPr>
          <w:p w14:paraId="291B7B45" w14:textId="77777777" w:rsidR="00370DA6" w:rsidRPr="00B238CA" w:rsidRDefault="00370DA6" w:rsidP="007265B8">
            <w:pPr>
              <w:pStyle w:val="TextPara"/>
              <w:spacing w:before="40" w:after="40" w:line="276" w:lineRule="auto"/>
              <w:rPr>
                <w:rFonts w:cs="Segoe UI"/>
                <w:color w:val="000000"/>
                <w:sz w:val="18"/>
                <w:szCs w:val="18"/>
              </w:rPr>
            </w:pPr>
            <w:r w:rsidRPr="00B238CA">
              <w:rPr>
                <w:rFonts w:cs="Segoe UI"/>
                <w:color w:val="000000"/>
                <w:sz w:val="18"/>
                <w:szCs w:val="18"/>
              </w:rPr>
              <w:t>Mail</w:t>
            </w:r>
          </w:p>
        </w:tc>
        <w:tc>
          <w:tcPr>
            <w:tcW w:w="1276" w:type="dxa"/>
            <w:hideMark/>
          </w:tcPr>
          <w:p w14:paraId="1E54D81E" w14:textId="77777777" w:rsidR="00370DA6" w:rsidRPr="00B238CA" w:rsidRDefault="00370DA6" w:rsidP="007265B8">
            <w:pPr>
              <w:spacing w:after="40"/>
              <w:jc w:val="center"/>
              <w:rPr>
                <w:rFonts w:ascii="Segoe UI" w:hAnsi="Segoe UI" w:cs="Segoe UI"/>
                <w:color w:val="000000"/>
                <w:sz w:val="18"/>
                <w:szCs w:val="18"/>
              </w:rPr>
            </w:pPr>
            <w:r w:rsidRPr="00B238CA">
              <w:rPr>
                <w:rFonts w:ascii="Segoe UI" w:hAnsi="Segoe UI" w:cs="Segoe UI"/>
                <w:sz w:val="18"/>
                <w:szCs w:val="18"/>
              </w:rPr>
              <w:t>1,653</w:t>
            </w:r>
          </w:p>
        </w:tc>
        <w:tc>
          <w:tcPr>
            <w:tcW w:w="1134" w:type="dxa"/>
            <w:hideMark/>
          </w:tcPr>
          <w:p w14:paraId="37F3A667" w14:textId="77777777" w:rsidR="00370DA6" w:rsidRPr="00B238CA" w:rsidRDefault="00370DA6" w:rsidP="007265B8">
            <w:pPr>
              <w:spacing w:after="40"/>
              <w:jc w:val="center"/>
              <w:rPr>
                <w:rFonts w:ascii="Segoe UI" w:hAnsi="Segoe UI" w:cs="Segoe UI"/>
                <w:color w:val="000000"/>
                <w:sz w:val="18"/>
                <w:szCs w:val="18"/>
              </w:rPr>
            </w:pPr>
            <w:r w:rsidRPr="00B238CA">
              <w:rPr>
                <w:rFonts w:ascii="Segoe UI" w:hAnsi="Segoe UI" w:cs="Segoe UI"/>
                <w:sz w:val="18"/>
                <w:szCs w:val="18"/>
              </w:rPr>
              <w:t>1,756</w:t>
            </w:r>
          </w:p>
        </w:tc>
        <w:tc>
          <w:tcPr>
            <w:tcW w:w="1134" w:type="dxa"/>
            <w:hideMark/>
          </w:tcPr>
          <w:p w14:paraId="19439D67" w14:textId="77777777" w:rsidR="00370DA6" w:rsidRPr="00B238CA" w:rsidRDefault="00370DA6" w:rsidP="007265B8">
            <w:pPr>
              <w:spacing w:after="40"/>
              <w:jc w:val="center"/>
              <w:rPr>
                <w:rFonts w:ascii="Segoe UI" w:hAnsi="Segoe UI" w:cs="Segoe UI"/>
                <w:color w:val="000000"/>
                <w:sz w:val="18"/>
                <w:szCs w:val="18"/>
              </w:rPr>
            </w:pPr>
            <w:r w:rsidRPr="00B238CA">
              <w:rPr>
                <w:rFonts w:ascii="Segoe UI" w:hAnsi="Segoe UI" w:cs="Segoe UI"/>
                <w:sz w:val="18"/>
                <w:szCs w:val="18"/>
              </w:rPr>
              <w:t>1,742</w:t>
            </w:r>
          </w:p>
        </w:tc>
        <w:tc>
          <w:tcPr>
            <w:tcW w:w="1134" w:type="dxa"/>
            <w:hideMark/>
          </w:tcPr>
          <w:p w14:paraId="51FA460B" w14:textId="77777777" w:rsidR="00370DA6" w:rsidRPr="00B238CA" w:rsidRDefault="00370DA6" w:rsidP="007265B8">
            <w:pPr>
              <w:spacing w:after="40"/>
              <w:jc w:val="center"/>
              <w:rPr>
                <w:rFonts w:ascii="Segoe UI" w:hAnsi="Segoe UI" w:cs="Segoe UI"/>
                <w:bCs/>
                <w:sz w:val="18"/>
                <w:szCs w:val="18"/>
              </w:rPr>
            </w:pPr>
            <w:r w:rsidRPr="00B238CA">
              <w:rPr>
                <w:rFonts w:ascii="Segoe UI" w:hAnsi="Segoe UI" w:cs="Segoe UI"/>
                <w:sz w:val="18"/>
                <w:szCs w:val="18"/>
              </w:rPr>
              <w:t>1,688</w:t>
            </w:r>
          </w:p>
        </w:tc>
      </w:tr>
      <w:tr w:rsidR="00370DA6" w:rsidRPr="00B238CA" w14:paraId="3E2C808F" w14:textId="77777777" w:rsidTr="00AF059E">
        <w:trPr>
          <w:cnfStyle w:val="000000010000" w:firstRow="0" w:lastRow="0" w:firstColumn="0" w:lastColumn="0" w:oddVBand="0" w:evenVBand="0" w:oddHBand="0" w:evenHBand="1" w:firstRowFirstColumn="0" w:firstRowLastColumn="0" w:lastRowFirstColumn="0" w:lastRowLastColumn="0"/>
        </w:trPr>
        <w:tc>
          <w:tcPr>
            <w:tcW w:w="4820" w:type="dxa"/>
            <w:shd w:val="clear" w:color="auto" w:fill="DDE8F4" w:themeFill="text2" w:themeFillTint="1A"/>
            <w:hideMark/>
          </w:tcPr>
          <w:p w14:paraId="74827083" w14:textId="77777777" w:rsidR="00370DA6" w:rsidRPr="00B238CA" w:rsidRDefault="00370DA6" w:rsidP="007265B8">
            <w:pPr>
              <w:pStyle w:val="TextPara"/>
              <w:spacing w:before="40" w:after="40" w:line="276" w:lineRule="auto"/>
              <w:rPr>
                <w:rFonts w:cs="Segoe UI"/>
                <w:b/>
                <w:sz w:val="18"/>
                <w:szCs w:val="18"/>
              </w:rPr>
            </w:pPr>
            <w:r w:rsidRPr="00B238CA">
              <w:rPr>
                <w:rFonts w:cs="Segoe UI"/>
                <w:b/>
                <w:sz w:val="18"/>
                <w:szCs w:val="18"/>
              </w:rPr>
              <w:t>TOTAL</w:t>
            </w:r>
          </w:p>
        </w:tc>
        <w:tc>
          <w:tcPr>
            <w:tcW w:w="1276" w:type="dxa"/>
            <w:shd w:val="clear" w:color="auto" w:fill="DDE8F4" w:themeFill="text2" w:themeFillTint="1A"/>
            <w:hideMark/>
          </w:tcPr>
          <w:p w14:paraId="4B2355D7" w14:textId="77777777" w:rsidR="00370DA6" w:rsidRPr="00B238CA" w:rsidRDefault="00370DA6" w:rsidP="007265B8">
            <w:pPr>
              <w:spacing w:after="40"/>
              <w:jc w:val="center"/>
              <w:rPr>
                <w:rFonts w:ascii="Segoe UI" w:hAnsi="Segoe UI" w:cs="Segoe UI"/>
                <w:b/>
                <w:sz w:val="18"/>
                <w:szCs w:val="18"/>
              </w:rPr>
            </w:pPr>
            <w:r w:rsidRPr="00B238CA">
              <w:rPr>
                <w:rFonts w:ascii="Segoe UI" w:hAnsi="Segoe UI" w:cs="Segoe UI"/>
                <w:b/>
                <w:sz w:val="18"/>
                <w:szCs w:val="18"/>
              </w:rPr>
              <w:t>23,035</w:t>
            </w:r>
          </w:p>
        </w:tc>
        <w:tc>
          <w:tcPr>
            <w:tcW w:w="1134" w:type="dxa"/>
            <w:shd w:val="clear" w:color="auto" w:fill="DDE8F4" w:themeFill="text2" w:themeFillTint="1A"/>
            <w:hideMark/>
          </w:tcPr>
          <w:p w14:paraId="25A0E383" w14:textId="77777777" w:rsidR="00370DA6" w:rsidRPr="00B238CA" w:rsidRDefault="00370DA6" w:rsidP="007265B8">
            <w:pPr>
              <w:spacing w:after="40"/>
              <w:jc w:val="center"/>
              <w:rPr>
                <w:rFonts w:ascii="Segoe UI" w:hAnsi="Segoe UI" w:cs="Segoe UI"/>
                <w:b/>
                <w:sz w:val="18"/>
                <w:szCs w:val="18"/>
              </w:rPr>
            </w:pPr>
            <w:r w:rsidRPr="00B238CA">
              <w:rPr>
                <w:rFonts w:ascii="Segoe UI" w:hAnsi="Segoe UI" w:cs="Segoe UI"/>
                <w:b/>
                <w:sz w:val="18"/>
                <w:szCs w:val="18"/>
              </w:rPr>
              <w:t>26,118</w:t>
            </w:r>
          </w:p>
        </w:tc>
        <w:tc>
          <w:tcPr>
            <w:tcW w:w="1134" w:type="dxa"/>
            <w:shd w:val="clear" w:color="auto" w:fill="DDE8F4" w:themeFill="text2" w:themeFillTint="1A"/>
            <w:hideMark/>
          </w:tcPr>
          <w:p w14:paraId="2844DA3B" w14:textId="77777777" w:rsidR="00370DA6" w:rsidRPr="00B238CA" w:rsidRDefault="00370DA6" w:rsidP="007265B8">
            <w:pPr>
              <w:spacing w:after="40"/>
              <w:jc w:val="center"/>
              <w:rPr>
                <w:rFonts w:ascii="Segoe UI" w:hAnsi="Segoe UI" w:cs="Segoe UI"/>
                <w:b/>
                <w:sz w:val="18"/>
                <w:szCs w:val="18"/>
              </w:rPr>
            </w:pPr>
            <w:r w:rsidRPr="00B238CA">
              <w:rPr>
                <w:rFonts w:ascii="Segoe UI" w:hAnsi="Segoe UI" w:cs="Segoe UI"/>
                <w:b/>
                <w:sz w:val="18"/>
                <w:szCs w:val="18"/>
              </w:rPr>
              <w:t>29,153</w:t>
            </w:r>
          </w:p>
        </w:tc>
        <w:tc>
          <w:tcPr>
            <w:tcW w:w="1134" w:type="dxa"/>
            <w:shd w:val="clear" w:color="auto" w:fill="DDE8F4" w:themeFill="text2" w:themeFillTint="1A"/>
            <w:hideMark/>
          </w:tcPr>
          <w:p w14:paraId="7474C167" w14:textId="77777777" w:rsidR="00370DA6" w:rsidRPr="00B238CA" w:rsidRDefault="00370DA6" w:rsidP="007265B8">
            <w:pPr>
              <w:spacing w:after="40"/>
              <w:jc w:val="center"/>
              <w:rPr>
                <w:rFonts w:ascii="Segoe UI" w:hAnsi="Segoe UI" w:cs="Segoe UI"/>
                <w:b/>
                <w:bCs/>
                <w:sz w:val="18"/>
                <w:szCs w:val="18"/>
              </w:rPr>
            </w:pPr>
            <w:r w:rsidRPr="00B238CA">
              <w:rPr>
                <w:rFonts w:ascii="Segoe UI" w:hAnsi="Segoe UI" w:cs="Segoe UI"/>
                <w:b/>
                <w:sz w:val="18"/>
                <w:szCs w:val="18"/>
              </w:rPr>
              <w:t>29,259</w:t>
            </w:r>
          </w:p>
        </w:tc>
      </w:tr>
    </w:tbl>
    <w:p w14:paraId="4C4CB668" w14:textId="77777777" w:rsidR="00370DA6" w:rsidRPr="00B238CA" w:rsidRDefault="00370DA6" w:rsidP="00690EBF">
      <w:pPr>
        <w:pStyle w:val="Source"/>
        <w:rPr>
          <w:rFonts w:cs="Segoe UI"/>
        </w:rPr>
      </w:pPr>
      <w:r w:rsidRPr="00B238CA">
        <w:rPr>
          <w:rFonts w:cs="Segoe UI"/>
        </w:rPr>
        <w:t>Source: VicRoads R&amp;L Finance Fast Facts</w:t>
      </w:r>
    </w:p>
    <w:p w14:paraId="35FE800F" w14:textId="77777777" w:rsidR="00370DA6" w:rsidRDefault="00370DA6" w:rsidP="00C02B69">
      <w:pPr>
        <w:pStyle w:val="TextPara"/>
      </w:pPr>
      <w:r w:rsidRPr="00B238CA">
        <w:t xml:space="preserve">To </w:t>
      </w:r>
      <w:r w:rsidRPr="00C02B69">
        <w:t>meet</w:t>
      </w:r>
      <w:r w:rsidRPr="00B238CA">
        <w:t xml:space="preserve"> the growing number of customer transactions and the expectations for more convenient access to services, VicRoads continues to invest in online services.  These services have a lower cost per transaction and enables customers to self-serve at their convenience</w:t>
      </w:r>
      <w:r>
        <w:t>.</w:t>
      </w:r>
    </w:p>
    <w:p w14:paraId="7F8395D7" w14:textId="77777777" w:rsidR="00370DA6" w:rsidRDefault="00370DA6" w:rsidP="00C02B69">
      <w:pPr>
        <w:pStyle w:val="TextPara"/>
      </w:pPr>
      <w:r>
        <w:t xml:space="preserve">This approach enables </w:t>
      </w:r>
      <w:r w:rsidRPr="00C02B69">
        <w:t>VicRoads</w:t>
      </w:r>
      <w:r w:rsidRPr="00B238CA">
        <w:t xml:space="preserve"> </w:t>
      </w:r>
      <w:r>
        <w:t xml:space="preserve">to </w:t>
      </w:r>
      <w:r w:rsidRPr="00B238CA">
        <w:t xml:space="preserve">continue to strive for the service level targets without increasing fees to support the proportionate increase </w:t>
      </w:r>
      <w:r>
        <w:t>in its</w:t>
      </w:r>
      <w:r w:rsidRPr="00B238CA">
        <w:t xml:space="preserve"> workforce (i.e. EFT) that would have been required to service the growth in transactions</w:t>
      </w:r>
      <w:r>
        <w:t xml:space="preserve"> through traditional channels</w:t>
      </w:r>
      <w:r w:rsidRPr="00B238CA">
        <w:t>.</w:t>
      </w:r>
    </w:p>
    <w:p w14:paraId="76184380" w14:textId="1A6A3437" w:rsidR="00370DA6" w:rsidRPr="00B238CA" w:rsidRDefault="00370DA6" w:rsidP="00690EBF">
      <w:pPr>
        <w:pStyle w:val="TextPara"/>
        <w:spacing w:before="0" w:line="276" w:lineRule="auto"/>
        <w:rPr>
          <w:rFonts w:cs="Segoe UI"/>
          <w:szCs w:val="20"/>
        </w:rPr>
      </w:pPr>
      <w:r w:rsidRPr="00B238CA">
        <w:rPr>
          <w:rFonts w:cs="Segoe UI"/>
          <w:szCs w:val="20"/>
        </w:rPr>
        <w:t>As shown in</w:t>
      </w:r>
      <w:r w:rsidR="003B5460">
        <w:rPr>
          <w:rFonts w:cs="Segoe UI"/>
          <w:szCs w:val="20"/>
        </w:rPr>
        <w:t xml:space="preserve"> </w:t>
      </w:r>
      <w:r w:rsidR="003B5460">
        <w:rPr>
          <w:rFonts w:cs="Segoe UI"/>
          <w:szCs w:val="20"/>
        </w:rPr>
        <w:fldChar w:fldCharType="begin"/>
      </w:r>
      <w:r w:rsidR="003B5460">
        <w:rPr>
          <w:rFonts w:cs="Segoe UI"/>
          <w:szCs w:val="20"/>
        </w:rPr>
        <w:instrText xml:space="preserve"> REF _Ref4403628 \h </w:instrText>
      </w:r>
      <w:r w:rsidR="003B5460">
        <w:rPr>
          <w:rFonts w:cs="Segoe UI"/>
          <w:szCs w:val="20"/>
        </w:rPr>
      </w:r>
      <w:r w:rsidR="003B5460">
        <w:rPr>
          <w:rFonts w:cs="Segoe UI"/>
          <w:szCs w:val="20"/>
        </w:rPr>
        <w:fldChar w:fldCharType="separate"/>
      </w:r>
      <w:r w:rsidR="00EB4B02" w:rsidRPr="00B238CA">
        <w:t xml:space="preserve">Figure </w:t>
      </w:r>
      <w:r w:rsidR="00EB4B02">
        <w:rPr>
          <w:noProof/>
        </w:rPr>
        <w:t>15</w:t>
      </w:r>
      <w:r w:rsidR="003B5460">
        <w:rPr>
          <w:rFonts w:cs="Segoe UI"/>
          <w:szCs w:val="20"/>
        </w:rPr>
        <w:fldChar w:fldCharType="end"/>
      </w:r>
      <w:r w:rsidRPr="00B238CA">
        <w:rPr>
          <w:rFonts w:cs="Segoe UI"/>
          <w:szCs w:val="20"/>
        </w:rPr>
        <w:t xml:space="preserve">, online services </w:t>
      </w:r>
      <w:r>
        <w:rPr>
          <w:rFonts w:cs="Segoe UI"/>
          <w:szCs w:val="20"/>
        </w:rPr>
        <w:t xml:space="preserve">in FY16/17 </w:t>
      </w:r>
      <w:r w:rsidRPr="00B238CA">
        <w:rPr>
          <w:rFonts w:cs="Segoe UI"/>
          <w:szCs w:val="20"/>
        </w:rPr>
        <w:t>constitute</w:t>
      </w:r>
      <w:r>
        <w:rPr>
          <w:rFonts w:cs="Segoe UI"/>
          <w:szCs w:val="20"/>
        </w:rPr>
        <w:t>d</w:t>
      </w:r>
      <w:r w:rsidRPr="00B238CA">
        <w:rPr>
          <w:rFonts w:cs="Segoe UI"/>
          <w:szCs w:val="20"/>
        </w:rPr>
        <w:t xml:space="preserve"> 67% of transactions.</w:t>
      </w:r>
    </w:p>
    <w:p w14:paraId="1BE28302" w14:textId="23AEC6D3" w:rsidR="00370DA6" w:rsidRPr="00B238CA" w:rsidRDefault="00370DA6" w:rsidP="00AA0BBA">
      <w:pPr>
        <w:pStyle w:val="Caption"/>
      </w:pPr>
      <w:bookmarkStart w:id="653" w:name="_Ref4403628"/>
      <w:bookmarkStart w:id="654" w:name="_Toc4084379"/>
      <w:bookmarkStart w:id="655" w:name="_Toc10703660"/>
      <w:r w:rsidRPr="00B238CA">
        <w:t xml:space="preserve">Figure </w:t>
      </w:r>
      <w:r>
        <w:rPr>
          <w:noProof/>
        </w:rPr>
        <w:fldChar w:fldCharType="begin"/>
      </w:r>
      <w:r>
        <w:rPr>
          <w:noProof/>
        </w:rPr>
        <w:instrText xml:space="preserve"> SEQ Figure \* ARABIC </w:instrText>
      </w:r>
      <w:r>
        <w:rPr>
          <w:noProof/>
        </w:rPr>
        <w:fldChar w:fldCharType="separate"/>
      </w:r>
      <w:r w:rsidR="00EB4B02">
        <w:rPr>
          <w:noProof/>
        </w:rPr>
        <w:t>15</w:t>
      </w:r>
      <w:r>
        <w:rPr>
          <w:noProof/>
        </w:rPr>
        <w:fldChar w:fldCharType="end"/>
      </w:r>
      <w:bookmarkEnd w:id="653"/>
      <w:r w:rsidRPr="00B238CA">
        <w:t xml:space="preserve"> – R&amp;L Online Self-Serve transactions proportions</w:t>
      </w:r>
      <w:bookmarkEnd w:id="654"/>
      <w:bookmarkEnd w:id="655"/>
    </w:p>
    <w:p w14:paraId="5BC8A0CB" w14:textId="77777777" w:rsidR="00370DA6" w:rsidRPr="00B238CA" w:rsidRDefault="00370DA6" w:rsidP="00B6608D">
      <w:pPr>
        <w:spacing w:before="120"/>
        <w:rPr>
          <w:rFonts w:ascii="Segoe UI" w:hAnsi="Segoe UI" w:cs="Segoe UI"/>
        </w:rPr>
      </w:pPr>
      <w:r w:rsidRPr="00B238CA">
        <w:rPr>
          <w:rFonts w:ascii="Segoe UI" w:hAnsi="Segoe UI" w:cs="Segoe UI"/>
          <w:noProof/>
          <w:color w:val="70AD47"/>
          <w:lang w:val="en-GB" w:eastAsia="en-GB"/>
        </w:rPr>
        <w:drawing>
          <wp:inline distT="0" distB="0" distL="0" distR="0" wp14:anchorId="29E5D7A0" wp14:editId="36B6B9F4">
            <wp:extent cx="4597879" cy="3122762"/>
            <wp:effectExtent l="0" t="0" r="12700" b="1905"/>
            <wp:docPr id="1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ACD6702" w14:textId="77777777" w:rsidR="00370DA6" w:rsidRPr="00B238CA" w:rsidRDefault="00370DA6" w:rsidP="00B6608D">
      <w:pPr>
        <w:pStyle w:val="Source"/>
        <w:tabs>
          <w:tab w:val="clear" w:pos="851"/>
        </w:tabs>
        <w:ind w:left="284" w:firstLine="0"/>
        <w:rPr>
          <w:rFonts w:cs="Segoe UI"/>
        </w:rPr>
      </w:pPr>
      <w:r w:rsidRPr="00B238CA">
        <w:rPr>
          <w:rFonts w:cs="Segoe UI"/>
        </w:rPr>
        <w:lastRenderedPageBreak/>
        <w:t>Source: R&amp;L Finance Fast Facts</w:t>
      </w:r>
      <w:r w:rsidRPr="00B238CA">
        <w:rPr>
          <w:rFonts w:cs="Segoe UI"/>
        </w:rPr>
        <w:br/>
      </w:r>
    </w:p>
    <w:p w14:paraId="74F59AB4" w14:textId="77777777" w:rsidR="00370DA6" w:rsidRPr="00B238CA" w:rsidRDefault="00370DA6" w:rsidP="00C02B69">
      <w:pPr>
        <w:pStyle w:val="TextPara"/>
      </w:pPr>
      <w:r w:rsidRPr="00B238CA">
        <w:t xml:space="preserve">The efficiency focus of VicRoads is outlined in one of the case studies covered in the Victorian Auditor General’s report on </w:t>
      </w:r>
      <w:r w:rsidRPr="00B238CA">
        <w:rPr>
          <w:i/>
        </w:rPr>
        <w:t>Delivering Services to Citizens and Consumers via Devices of Personal Choice: Phase 2</w:t>
      </w:r>
      <w:r w:rsidRPr="00B238CA">
        <w:t>,</w:t>
      </w:r>
      <w:r w:rsidRPr="00B238CA">
        <w:rPr>
          <w:vertAlign w:val="superscript"/>
        </w:rPr>
        <w:endnoteReference w:id="403"/>
      </w:r>
      <w:r w:rsidRPr="00B238CA">
        <w:rPr>
          <w:vertAlign w:val="superscript"/>
        </w:rPr>
        <w:t xml:space="preserve"> </w:t>
      </w:r>
      <w:r w:rsidRPr="00B238CA">
        <w:t>which was tabled in Parliament on 7 October 2015. The case study showcased VicRoads’ digital transformation journey.</w:t>
      </w:r>
    </w:p>
    <w:p w14:paraId="0D3CE993" w14:textId="77777777" w:rsidR="00370DA6" w:rsidRPr="00B238CA" w:rsidRDefault="00370DA6" w:rsidP="00C02B69">
      <w:pPr>
        <w:pStyle w:val="TextPara"/>
      </w:pPr>
      <w:r w:rsidRPr="00B238CA">
        <w:t xml:space="preserve">The Auditor-General’s report acknowledged that VicRoads has made “significant and positive progress in establishing a structured and effective process for obtaining and analysing digital service delivery performance. Its strategic use by senior management has resulted in VicRoads being able to achieve a range of </w:t>
      </w:r>
      <w:r w:rsidRPr="00C02B69">
        <w:t>efficiencies</w:t>
      </w:r>
      <w:r w:rsidRPr="00B238CA">
        <w:t>, particularly lowering operational costs through delivering high demand and/or low complexity transactions online.”</w:t>
      </w:r>
      <w:r w:rsidRPr="00B238CA">
        <w:rPr>
          <w:vertAlign w:val="superscript"/>
        </w:rPr>
        <w:endnoteReference w:id="404"/>
      </w:r>
    </w:p>
    <w:p w14:paraId="74D95B61" w14:textId="77777777" w:rsidR="00370DA6" w:rsidRPr="00B238CA" w:rsidRDefault="00370DA6" w:rsidP="00C02B69">
      <w:pPr>
        <w:pStyle w:val="TextPara"/>
      </w:pPr>
      <w:r w:rsidRPr="00B238CA">
        <w:t xml:space="preserve">Recognising the limitations of its manual-intensive process and the importance of activity-based costing, VicRoads enhanced its </w:t>
      </w:r>
      <w:r>
        <w:t>Queue</w:t>
      </w:r>
      <w:r w:rsidRPr="00B238CA">
        <w:t xml:space="preserve"> Management System (QMS) at its customer service centres to capture </w:t>
      </w:r>
      <w:r w:rsidR="006467DE">
        <w:t xml:space="preserve">broad </w:t>
      </w:r>
      <w:r w:rsidRPr="00B238CA">
        <w:t xml:space="preserve">transaction types served by </w:t>
      </w:r>
      <w:r w:rsidRPr="00C02B69">
        <w:t>ticket</w:t>
      </w:r>
      <w:r w:rsidRPr="00B238CA">
        <w:t>, operator and duration. It also set up its new contact centre technology to similarly capture transaction types by call and handling time.</w:t>
      </w:r>
      <w:r w:rsidRPr="00B238CA">
        <w:rPr>
          <w:vertAlign w:val="superscript"/>
        </w:rPr>
        <w:endnoteReference w:id="405"/>
      </w:r>
      <w:r w:rsidRPr="00B238CA">
        <w:t xml:space="preserve"> The capturing of this data enabled VicRoads to better understand how to achieve efficiencies and lower operational costs.</w:t>
      </w:r>
    </w:p>
    <w:p w14:paraId="5193942B" w14:textId="77777777" w:rsidR="00370DA6" w:rsidRPr="00B238CA" w:rsidRDefault="00370DA6" w:rsidP="00C02B69">
      <w:pPr>
        <w:pStyle w:val="TextPara"/>
        <w:spacing w:after="0"/>
      </w:pPr>
      <w:r w:rsidRPr="00B238CA">
        <w:t xml:space="preserve">The case study listed “the key success factors for developing and implementing VicRoads' process for obtaining and analysing its </w:t>
      </w:r>
      <w:r w:rsidRPr="00C02B69">
        <w:t>service</w:t>
      </w:r>
      <w:r w:rsidRPr="00B238CA">
        <w:t xml:space="preserve"> delivery performance – both digital and non-digital – as follows:</w:t>
      </w:r>
    </w:p>
    <w:p w14:paraId="25A8203F" w14:textId="77777777" w:rsidR="00370DA6" w:rsidRPr="00B238CA" w:rsidRDefault="00370DA6" w:rsidP="00370DA6">
      <w:pPr>
        <w:pStyle w:val="Bullet1-Black"/>
        <w:spacing w:before="0"/>
        <w:ind w:left="385" w:hanging="357"/>
      </w:pPr>
      <w:r w:rsidRPr="00B238CA">
        <w:t>a focus in the business operations area on capturing detailed and consistent operational information such as transaction times and transaction volume</w:t>
      </w:r>
    </w:p>
    <w:p w14:paraId="3DE9D692" w14:textId="77777777" w:rsidR="00370DA6" w:rsidRPr="00B238CA" w:rsidRDefault="00370DA6" w:rsidP="00370DA6">
      <w:pPr>
        <w:pStyle w:val="Bullet1-Black"/>
        <w:spacing w:before="0"/>
        <w:ind w:left="385" w:hanging="357"/>
      </w:pPr>
      <w:r w:rsidRPr="00B238CA">
        <w:t>a well-managed and consistent approach to capturing input costs, for example, contract payments are itemised</w:t>
      </w:r>
    </w:p>
    <w:p w14:paraId="4ED97608" w14:textId="77777777" w:rsidR="00370DA6" w:rsidRPr="00B238CA" w:rsidRDefault="00370DA6" w:rsidP="00370DA6">
      <w:pPr>
        <w:pStyle w:val="Bullet1-Black"/>
        <w:spacing w:before="0"/>
        <w:ind w:left="385" w:hanging="357"/>
      </w:pPr>
      <w:r w:rsidRPr="00B238CA">
        <w:t>strong endorsement and support by VicRoads senior management to use the service transaction data as part of key decision-making efforts aimed at improving digital service offerings</w:t>
      </w:r>
    </w:p>
    <w:p w14:paraId="0791E654" w14:textId="77777777" w:rsidR="00370DA6" w:rsidRDefault="00370DA6" w:rsidP="00370DA6">
      <w:pPr>
        <w:pStyle w:val="Bullet1-Black"/>
        <w:spacing w:before="0"/>
        <w:ind w:left="385" w:hanging="357"/>
      </w:pPr>
      <w:r w:rsidRPr="00B238CA">
        <w:t>dedicated resources with subject matter knowledge in finance, accounting and business data intelligence for the establishment and maintenance of the model.”</w:t>
      </w:r>
      <w:r>
        <w:rPr>
          <w:rStyle w:val="EndnoteReference"/>
        </w:rPr>
        <w:endnoteReference w:id="406"/>
      </w:r>
      <w:r w:rsidRPr="00B238CA">
        <w:t xml:space="preserve"> </w:t>
      </w:r>
    </w:p>
    <w:p w14:paraId="033DDAB1" w14:textId="77777777" w:rsidR="00370DA6" w:rsidRPr="00B238CA" w:rsidRDefault="00370DA6" w:rsidP="00370DA6">
      <w:pPr>
        <w:pStyle w:val="TextPara"/>
        <w:spacing w:line="276" w:lineRule="auto"/>
        <w:rPr>
          <w:rFonts w:cs="Segoe UI"/>
          <w:szCs w:val="20"/>
        </w:rPr>
      </w:pPr>
      <w:r w:rsidRPr="00B238CA">
        <w:rPr>
          <w:rFonts w:cs="Segoe UI"/>
          <w:szCs w:val="20"/>
        </w:rPr>
        <w:t>The report also acknowledged VicRoads’ “commitment to continuously look for opportunities for improvement in obtaining and analysing transaction service delivery performance.”</w:t>
      </w:r>
      <w:r w:rsidRPr="00B238CA">
        <w:rPr>
          <w:rStyle w:val="EndnoteReference"/>
          <w:rFonts w:cs="Segoe UI"/>
          <w:szCs w:val="20"/>
        </w:rPr>
        <w:endnoteReference w:id="407"/>
      </w:r>
      <w:r w:rsidRPr="00B238CA">
        <w:rPr>
          <w:rFonts w:cs="Segoe UI"/>
          <w:szCs w:val="20"/>
        </w:rPr>
        <w:t xml:space="preserve"> </w:t>
      </w:r>
    </w:p>
    <w:p w14:paraId="76FB7849" w14:textId="77777777" w:rsidR="00370DA6" w:rsidRPr="00B238CA" w:rsidRDefault="00370DA6" w:rsidP="00370DA6">
      <w:pPr>
        <w:pStyle w:val="Heading2"/>
        <w:spacing w:before="240" w:after="180"/>
      </w:pPr>
      <w:bookmarkStart w:id="656" w:name="_Toc4084205"/>
      <w:bookmarkStart w:id="657" w:name="_Toc10703491"/>
      <w:r w:rsidRPr="00B238CA">
        <w:t>Efficient Delivery of Services Summary</w:t>
      </w:r>
      <w:bookmarkEnd w:id="656"/>
      <w:bookmarkEnd w:id="657"/>
    </w:p>
    <w:p w14:paraId="28428D5F" w14:textId="77777777" w:rsidR="00370DA6" w:rsidRPr="00B238CA" w:rsidRDefault="00370DA6" w:rsidP="00690EBF">
      <w:pPr>
        <w:pStyle w:val="TextPara"/>
        <w:spacing w:before="0" w:line="276" w:lineRule="auto"/>
        <w:rPr>
          <w:rFonts w:cs="Segoe UI"/>
          <w:szCs w:val="20"/>
        </w:rPr>
      </w:pPr>
      <w:r w:rsidRPr="00B238CA">
        <w:rPr>
          <w:rFonts w:cs="Segoe UI"/>
          <w:szCs w:val="20"/>
        </w:rPr>
        <w:t xml:space="preserve">Overall efficiency levels continue to improve over an extended period with real reductions in costs per customer and an increase in productivity in terms of transactions per EFT. Although performance measures for response times are </w:t>
      </w:r>
      <w:r>
        <w:rPr>
          <w:rFonts w:cs="Segoe UI"/>
          <w:szCs w:val="20"/>
        </w:rPr>
        <w:t>not always achieved</w:t>
      </w:r>
      <w:r w:rsidRPr="00B238CA">
        <w:rPr>
          <w:rFonts w:cs="Segoe UI"/>
          <w:szCs w:val="20"/>
        </w:rPr>
        <w:t>, customer satisfaction has remained consistently higher than target which indicate</w:t>
      </w:r>
      <w:r>
        <w:rPr>
          <w:rFonts w:cs="Segoe UI"/>
          <w:szCs w:val="20"/>
        </w:rPr>
        <w:t>s</w:t>
      </w:r>
      <w:r w:rsidRPr="00B238CA">
        <w:rPr>
          <w:rFonts w:cs="Segoe UI"/>
          <w:szCs w:val="20"/>
        </w:rPr>
        <w:t xml:space="preserve"> that services are being delivered effectively.</w:t>
      </w:r>
    </w:p>
    <w:p w14:paraId="1C3641DE" w14:textId="77777777" w:rsidR="00370DA6" w:rsidRDefault="00370DA6" w:rsidP="00DB4C8E">
      <w:pPr>
        <w:pStyle w:val="TextPara"/>
        <w:spacing w:before="0" w:line="276" w:lineRule="auto"/>
        <w:rPr>
          <w:rFonts w:cs="Segoe UI"/>
          <w:szCs w:val="20"/>
        </w:rPr>
      </w:pPr>
      <w:r w:rsidRPr="00B238CA">
        <w:rPr>
          <w:rFonts w:cs="Segoe UI"/>
          <w:szCs w:val="20"/>
        </w:rPr>
        <w:t xml:space="preserve">Maintaining a focus on continuous improvement </w:t>
      </w:r>
      <w:r>
        <w:rPr>
          <w:rFonts w:cs="Segoe UI"/>
          <w:szCs w:val="20"/>
        </w:rPr>
        <w:t xml:space="preserve">to achieve service levels </w:t>
      </w:r>
      <w:r w:rsidRPr="00B238CA">
        <w:rPr>
          <w:rFonts w:cs="Segoe UI"/>
          <w:szCs w:val="20"/>
        </w:rPr>
        <w:t xml:space="preserve">and increasing access to services online to meet customer needs are key </w:t>
      </w:r>
      <w:r>
        <w:rPr>
          <w:rFonts w:cs="Segoe UI"/>
          <w:szCs w:val="20"/>
        </w:rPr>
        <w:t xml:space="preserve">drivers which will influence </w:t>
      </w:r>
      <w:r w:rsidRPr="00B238CA">
        <w:rPr>
          <w:rFonts w:cs="Segoe UI"/>
          <w:szCs w:val="20"/>
        </w:rPr>
        <w:t>ongoing efficiency improvements whilst maintaining strong customer satisfaction</w:t>
      </w:r>
      <w:r w:rsidRPr="0080416F">
        <w:rPr>
          <w:rFonts w:cs="Segoe UI"/>
          <w:szCs w:val="20"/>
        </w:rPr>
        <w:t>.</w:t>
      </w:r>
    </w:p>
    <w:p w14:paraId="688998A5" w14:textId="77777777" w:rsidR="00370DA6" w:rsidRPr="0080416F" w:rsidRDefault="00370DA6" w:rsidP="00370DA6">
      <w:pPr>
        <w:pStyle w:val="TextPara"/>
      </w:pPr>
    </w:p>
    <w:p w14:paraId="01B1D839" w14:textId="77777777" w:rsidR="00370DA6" w:rsidRDefault="00370DA6" w:rsidP="00370DA6">
      <w:pPr>
        <w:pStyle w:val="TextPara"/>
        <w:sectPr w:rsidR="00370DA6" w:rsidSect="00910C49">
          <w:headerReference w:type="even" r:id="rId62"/>
          <w:headerReference w:type="default" r:id="rId63"/>
          <w:headerReference w:type="first" r:id="rId64"/>
          <w:endnotePr>
            <w:numFmt w:val="decimal"/>
          </w:endnotePr>
          <w:pgSz w:w="11906" w:h="16838" w:code="9"/>
          <w:pgMar w:top="1418" w:right="1134" w:bottom="1418" w:left="1247" w:header="567" w:footer="397" w:gutter="0"/>
          <w:cols w:space="708"/>
          <w:docGrid w:linePitch="360"/>
        </w:sectPr>
      </w:pPr>
    </w:p>
    <w:p w14:paraId="1EC0B3DD" w14:textId="77777777" w:rsidR="00370DA6" w:rsidRDefault="00370DA6" w:rsidP="00370DA6">
      <w:pPr>
        <w:pStyle w:val="Heading1"/>
        <w:pageBreakBefore/>
        <w:spacing w:before="240" w:after="240"/>
      </w:pPr>
      <w:bookmarkStart w:id="658" w:name="_Toc4084206"/>
      <w:bookmarkStart w:id="659" w:name="_Toc10703492"/>
      <w:r>
        <w:lastRenderedPageBreak/>
        <w:t>Service Delivery Cost</w:t>
      </w:r>
      <w:bookmarkEnd w:id="658"/>
      <w:bookmarkEnd w:id="659"/>
    </w:p>
    <w:p w14:paraId="61C0DEC1" w14:textId="77777777" w:rsidR="00370DA6" w:rsidRPr="00117C96" w:rsidRDefault="00370DA6" w:rsidP="00370DA6">
      <w:pPr>
        <w:pStyle w:val="Heading2"/>
        <w:spacing w:before="240" w:after="180"/>
      </w:pPr>
      <w:bookmarkStart w:id="660" w:name="_Toc4084207"/>
      <w:bookmarkStart w:id="661" w:name="_Toc10703493"/>
      <w:r w:rsidRPr="00117C96">
        <w:t>Total Cost of Services</w:t>
      </w:r>
      <w:r>
        <w:t xml:space="preserve"> for </w:t>
      </w:r>
      <w:r w:rsidRPr="00117C96">
        <w:t>FY16/17</w:t>
      </w:r>
      <w:bookmarkEnd w:id="660"/>
      <w:bookmarkEnd w:id="661"/>
    </w:p>
    <w:p w14:paraId="3F2E8F2B" w14:textId="709D4BBE" w:rsidR="00370DA6" w:rsidRPr="00117C96" w:rsidRDefault="00370DA6" w:rsidP="00DF3451">
      <w:pPr>
        <w:pStyle w:val="TextPara"/>
      </w:pPr>
      <w:r>
        <w:t xml:space="preserve">The </w:t>
      </w:r>
      <w:r w:rsidRPr="00117C96">
        <w:t xml:space="preserve">R&amp;L </w:t>
      </w:r>
      <w:r>
        <w:t xml:space="preserve">business </w:t>
      </w:r>
      <w:r w:rsidRPr="00117C96">
        <w:t>regularly interacts with almost every adult Victorian. VicRoads provides a range of licensing and registratio</w:t>
      </w:r>
      <w:r>
        <w:t xml:space="preserve">ns services and </w:t>
      </w:r>
      <w:r w:rsidRPr="00117C96">
        <w:t>annually processes 24 million customer transactions, including 5</w:t>
      </w:r>
      <w:r>
        <w:t>.73</w:t>
      </w:r>
      <w:r w:rsidRPr="00117C96">
        <w:t xml:space="preserve"> million vehicle registrations and 860,000 licence renewals</w:t>
      </w:r>
      <w:r>
        <w:t>.</w:t>
      </w:r>
      <w:r w:rsidRPr="00117C96">
        <w:rPr>
          <w:rStyle w:val="EndnoteReference"/>
          <w:rFonts w:cs="Segoe UI"/>
          <w:szCs w:val="20"/>
        </w:rPr>
        <w:endnoteReference w:id="408"/>
      </w:r>
      <w:r w:rsidR="005A4B31">
        <w:t xml:space="preserve"> In addition there are approximately 4 million customer </w:t>
      </w:r>
      <w:r w:rsidR="005A4B31" w:rsidRPr="003B182B">
        <w:t xml:space="preserve">transactions </w:t>
      </w:r>
      <w:r w:rsidR="005A4B31">
        <w:t xml:space="preserve">undertaken by external agencies such as </w:t>
      </w:r>
      <w:r w:rsidR="005A4B31" w:rsidRPr="003B182B">
        <w:t>Australia Post</w:t>
      </w:r>
      <w:r w:rsidR="00BC5FC4">
        <w:t xml:space="preserve">, </w:t>
      </w:r>
      <w:r w:rsidR="005A4B31" w:rsidRPr="003B182B">
        <w:t xml:space="preserve"> </w:t>
      </w:r>
      <w:r w:rsidR="005A4B31">
        <w:t>with</w:t>
      </w:r>
      <w:r w:rsidR="005A4B31" w:rsidRPr="003B182B">
        <w:t xml:space="preserve"> both mail and counter services.</w:t>
      </w:r>
      <w:r w:rsidR="005A4B31" w:rsidRPr="003B182B">
        <w:rPr>
          <w:rStyle w:val="EndnoteReference"/>
          <w:vertAlign w:val="baseline"/>
        </w:rPr>
        <w:t xml:space="preserve"> </w:t>
      </w:r>
    </w:p>
    <w:p w14:paraId="78374487" w14:textId="5B0FB750" w:rsidR="00370DA6" w:rsidRDefault="00370DA6" w:rsidP="00DF3451">
      <w:pPr>
        <w:pStyle w:val="TextPara"/>
      </w:pPr>
      <w:r w:rsidRPr="00B238CA">
        <w:rPr>
          <w:rFonts w:cs="Segoe UI"/>
          <w:szCs w:val="20"/>
        </w:rPr>
        <w:t xml:space="preserve">In FY16/17 R&amp;L delivered these </w:t>
      </w:r>
      <w:r>
        <w:rPr>
          <w:rFonts w:cs="Segoe UI"/>
          <w:szCs w:val="20"/>
        </w:rPr>
        <w:t>services</w:t>
      </w:r>
      <w:r w:rsidRPr="00B238CA">
        <w:rPr>
          <w:rFonts w:cs="Segoe UI"/>
          <w:szCs w:val="20"/>
        </w:rPr>
        <w:t xml:space="preserve"> through 4</w:t>
      </w:r>
      <w:r>
        <w:rPr>
          <w:rFonts w:cs="Segoe UI"/>
          <w:szCs w:val="20"/>
        </w:rPr>
        <w:t>1</w:t>
      </w:r>
      <w:r w:rsidRPr="00B238CA">
        <w:rPr>
          <w:rFonts w:cs="Segoe UI"/>
          <w:szCs w:val="20"/>
        </w:rPr>
        <w:t xml:space="preserve"> Customer Servi</w:t>
      </w:r>
      <w:r>
        <w:rPr>
          <w:rFonts w:cs="Segoe UI"/>
          <w:szCs w:val="20"/>
        </w:rPr>
        <w:t>ce Centres (CSC), Call Centres</w:t>
      </w:r>
      <w:r w:rsidRPr="00B238CA">
        <w:rPr>
          <w:rFonts w:cs="Segoe UI"/>
          <w:szCs w:val="20"/>
        </w:rPr>
        <w:t xml:space="preserve">, specialist business units and online </w:t>
      </w:r>
      <w:r>
        <w:rPr>
          <w:rFonts w:cs="Segoe UI"/>
          <w:szCs w:val="20"/>
        </w:rPr>
        <w:t>channels</w:t>
      </w:r>
      <w:r w:rsidRPr="00B238CA">
        <w:rPr>
          <w:rFonts w:cs="Segoe UI"/>
          <w:szCs w:val="20"/>
        </w:rPr>
        <w:t xml:space="preserve">. To deliver the </w:t>
      </w:r>
      <w:r>
        <w:rPr>
          <w:rFonts w:cs="Segoe UI"/>
          <w:szCs w:val="20"/>
        </w:rPr>
        <w:t>services</w:t>
      </w:r>
      <w:r w:rsidRPr="00B238CA">
        <w:rPr>
          <w:rFonts w:cs="Segoe UI"/>
          <w:szCs w:val="20"/>
        </w:rPr>
        <w:t xml:space="preserve"> required, R&amp;L utilised 882 EFTs, a number of </w:t>
      </w:r>
      <w:r w:rsidR="00F72255" w:rsidRPr="00B238CA">
        <w:rPr>
          <w:rFonts w:cs="Segoe UI"/>
          <w:szCs w:val="20"/>
        </w:rPr>
        <w:t>third-party</w:t>
      </w:r>
      <w:r w:rsidRPr="00B238CA">
        <w:rPr>
          <w:rFonts w:cs="Segoe UI"/>
          <w:szCs w:val="20"/>
        </w:rPr>
        <w:t xml:space="preserve"> service providers and agencies at a total cost of $208.50 million, as shown in</w:t>
      </w:r>
      <w:r w:rsidR="005465DE">
        <w:rPr>
          <w:rFonts w:cs="Segoe UI"/>
          <w:szCs w:val="20"/>
        </w:rPr>
        <w:t xml:space="preserve"> </w:t>
      </w:r>
      <w:r w:rsidR="005465DE">
        <w:rPr>
          <w:rFonts w:cs="Segoe UI"/>
          <w:szCs w:val="20"/>
        </w:rPr>
        <w:fldChar w:fldCharType="begin"/>
      </w:r>
      <w:r w:rsidR="005465DE">
        <w:rPr>
          <w:rFonts w:cs="Segoe UI"/>
          <w:szCs w:val="20"/>
        </w:rPr>
        <w:instrText xml:space="preserve"> REF _Ref4403690 \h </w:instrText>
      </w:r>
      <w:r w:rsidR="005465DE">
        <w:rPr>
          <w:rFonts w:cs="Segoe UI"/>
          <w:szCs w:val="20"/>
        </w:rPr>
      </w:r>
      <w:r w:rsidR="005465DE">
        <w:rPr>
          <w:rFonts w:cs="Segoe UI"/>
          <w:szCs w:val="20"/>
        </w:rPr>
        <w:fldChar w:fldCharType="separate"/>
      </w:r>
      <w:r w:rsidR="00EB4B02">
        <w:t xml:space="preserve">Table </w:t>
      </w:r>
      <w:r w:rsidR="00EB4B02">
        <w:rPr>
          <w:noProof/>
        </w:rPr>
        <w:t>41</w:t>
      </w:r>
      <w:r w:rsidR="005465DE">
        <w:rPr>
          <w:rFonts w:cs="Segoe UI"/>
          <w:szCs w:val="20"/>
        </w:rPr>
        <w:fldChar w:fldCharType="end"/>
      </w:r>
    </w:p>
    <w:p w14:paraId="7B4CDC0F" w14:textId="41ACD203" w:rsidR="00370DA6" w:rsidRDefault="00370DA6" w:rsidP="00DF3451">
      <w:pPr>
        <w:pStyle w:val="TextPara"/>
      </w:pPr>
      <w:r>
        <w:t xml:space="preserve">A description of the cost items is provided in </w:t>
      </w:r>
      <w:r w:rsidR="005465DE">
        <w:fldChar w:fldCharType="begin"/>
      </w:r>
      <w:r w:rsidR="005465DE">
        <w:instrText xml:space="preserve"> REF _Ref4403758 \h </w:instrText>
      </w:r>
      <w:r w:rsidR="005465DE">
        <w:fldChar w:fldCharType="separate"/>
      </w:r>
      <w:r w:rsidR="00EB4B02">
        <w:t xml:space="preserve">Table </w:t>
      </w:r>
      <w:r w:rsidR="00EB4B02">
        <w:rPr>
          <w:noProof/>
        </w:rPr>
        <w:t>42</w:t>
      </w:r>
      <w:r w:rsidR="005465DE">
        <w:fldChar w:fldCharType="end"/>
      </w:r>
      <w:r w:rsidR="005465DE">
        <w:t xml:space="preserve"> </w:t>
      </w:r>
      <w:r>
        <w:t>and</w:t>
      </w:r>
      <w:r w:rsidR="005465DE">
        <w:t xml:space="preserve"> </w:t>
      </w:r>
      <w:r w:rsidR="005465DE">
        <w:fldChar w:fldCharType="begin"/>
      </w:r>
      <w:r w:rsidR="005465DE">
        <w:instrText xml:space="preserve"> REF _Ref4403771 \h </w:instrText>
      </w:r>
      <w:r w:rsidR="005465DE">
        <w:fldChar w:fldCharType="separate"/>
      </w:r>
      <w:r w:rsidR="00EB4B02">
        <w:t xml:space="preserve">Table </w:t>
      </w:r>
      <w:r w:rsidR="00EB4B02">
        <w:rPr>
          <w:noProof/>
        </w:rPr>
        <w:t>43</w:t>
      </w:r>
      <w:r w:rsidR="005465DE">
        <w:fldChar w:fldCharType="end"/>
      </w:r>
      <w:r w:rsidR="00D76527">
        <w:t>.</w:t>
      </w:r>
      <w:r>
        <w:t xml:space="preserve"> </w:t>
      </w:r>
    </w:p>
    <w:p w14:paraId="4EA336BE" w14:textId="16976EF3" w:rsidR="00370DA6" w:rsidRDefault="00370DA6" w:rsidP="00AA0BBA">
      <w:pPr>
        <w:pStyle w:val="Caption"/>
      </w:pPr>
      <w:bookmarkStart w:id="662" w:name="_Ref4403690"/>
      <w:bookmarkStart w:id="663" w:name="_Toc4084323"/>
      <w:bookmarkStart w:id="664" w:name="_Toc10703734"/>
      <w:r>
        <w:t xml:space="preserve">Table </w:t>
      </w:r>
      <w:r>
        <w:rPr>
          <w:noProof/>
        </w:rPr>
        <w:fldChar w:fldCharType="begin"/>
      </w:r>
      <w:r>
        <w:rPr>
          <w:noProof/>
        </w:rPr>
        <w:instrText xml:space="preserve"> SEQ Table \* ARABIC </w:instrText>
      </w:r>
      <w:r>
        <w:rPr>
          <w:noProof/>
        </w:rPr>
        <w:fldChar w:fldCharType="separate"/>
      </w:r>
      <w:r w:rsidR="00EB4B02">
        <w:rPr>
          <w:noProof/>
        </w:rPr>
        <w:t>41</w:t>
      </w:r>
      <w:r>
        <w:rPr>
          <w:noProof/>
        </w:rPr>
        <w:fldChar w:fldCharType="end"/>
      </w:r>
      <w:bookmarkEnd w:id="662"/>
      <w:r>
        <w:t xml:space="preserve"> – </w:t>
      </w:r>
      <w:r w:rsidRPr="00C364C4">
        <w:t>R&amp;L Costs FY16/17 (including overhead allocations)</w:t>
      </w:r>
      <w:bookmarkEnd w:id="663"/>
      <w:bookmarkEnd w:id="664"/>
    </w:p>
    <w:tbl>
      <w:tblPr>
        <w:tblStyle w:val="RIS-Table2"/>
        <w:tblW w:w="6097" w:type="dxa"/>
        <w:tblInd w:w="-5" w:type="dxa"/>
        <w:tblLook w:val="04A0" w:firstRow="1" w:lastRow="0" w:firstColumn="1" w:lastColumn="0" w:noHBand="0" w:noVBand="1"/>
      </w:tblPr>
      <w:tblGrid>
        <w:gridCol w:w="4536"/>
        <w:gridCol w:w="1561"/>
      </w:tblGrid>
      <w:tr w:rsidR="00370DA6" w:rsidRPr="00A63D17" w14:paraId="7E8155C2" w14:textId="77777777" w:rsidTr="00B6608D">
        <w:trPr>
          <w:cnfStyle w:val="100000000000" w:firstRow="1" w:lastRow="0" w:firstColumn="0" w:lastColumn="0" w:oddVBand="0" w:evenVBand="0" w:oddHBand="0" w:evenHBand="0" w:firstRowFirstColumn="0" w:firstRowLastColumn="0" w:lastRowFirstColumn="0" w:lastRowLastColumn="0"/>
          <w:trHeight w:val="420"/>
        </w:trPr>
        <w:tc>
          <w:tcPr>
            <w:tcW w:w="4536" w:type="dxa"/>
            <w:hideMark/>
          </w:tcPr>
          <w:p w14:paraId="6677E446" w14:textId="77777777" w:rsidR="00370DA6" w:rsidRPr="00DB704F" w:rsidRDefault="00370DA6" w:rsidP="006B6D5C">
            <w:pPr>
              <w:pStyle w:val="TableHeaders"/>
            </w:pPr>
            <w:r>
              <w:t>Cost Item</w:t>
            </w:r>
          </w:p>
        </w:tc>
        <w:tc>
          <w:tcPr>
            <w:tcW w:w="1559" w:type="dxa"/>
            <w:hideMark/>
          </w:tcPr>
          <w:p w14:paraId="207D35B0" w14:textId="77777777" w:rsidR="00370DA6" w:rsidRPr="00DB704F" w:rsidRDefault="00370DA6" w:rsidP="006B6D5C">
            <w:pPr>
              <w:pStyle w:val="TableHeaders"/>
            </w:pPr>
            <w:r>
              <w:t>$m</w:t>
            </w:r>
          </w:p>
        </w:tc>
      </w:tr>
      <w:tr w:rsidR="00370DA6" w:rsidRPr="00D02AA2" w14:paraId="72BB8821" w14:textId="77777777" w:rsidTr="00AF059E">
        <w:trPr>
          <w:trHeight w:val="300"/>
        </w:trPr>
        <w:tc>
          <w:tcPr>
            <w:tcW w:w="6097" w:type="dxa"/>
            <w:gridSpan w:val="2"/>
            <w:shd w:val="clear" w:color="auto" w:fill="DDE8F4" w:themeFill="text2" w:themeFillTint="1A"/>
            <w:noWrap/>
          </w:tcPr>
          <w:p w14:paraId="42C3F5DA" w14:textId="77777777" w:rsidR="00370DA6" w:rsidRPr="00D02AA2" w:rsidRDefault="00370DA6" w:rsidP="006B6D5C">
            <w:pPr>
              <w:pStyle w:val="TableParagraph"/>
              <w:ind w:right="173"/>
            </w:pPr>
            <w:r w:rsidRPr="00D52956">
              <w:rPr>
                <w:b/>
              </w:rPr>
              <w:t>Direct Costs</w:t>
            </w:r>
          </w:p>
        </w:tc>
      </w:tr>
      <w:tr w:rsidR="00370DA6" w:rsidRPr="00D02AA2" w14:paraId="56576732" w14:textId="77777777" w:rsidTr="00B6608D">
        <w:trPr>
          <w:cnfStyle w:val="000000010000" w:firstRow="0" w:lastRow="0" w:firstColumn="0" w:lastColumn="0" w:oddVBand="0" w:evenVBand="0" w:oddHBand="0" w:evenHBand="1" w:firstRowFirstColumn="0" w:firstRowLastColumn="0" w:lastRowFirstColumn="0" w:lastRowLastColumn="0"/>
          <w:trHeight w:val="300"/>
        </w:trPr>
        <w:tc>
          <w:tcPr>
            <w:tcW w:w="4536" w:type="dxa"/>
            <w:noWrap/>
          </w:tcPr>
          <w:p w14:paraId="1F625553" w14:textId="77777777" w:rsidR="00370DA6" w:rsidRPr="00D02AA2" w:rsidRDefault="00370DA6" w:rsidP="006B6D5C">
            <w:pPr>
              <w:pStyle w:val="TableParagraph"/>
              <w:ind w:left="316"/>
            </w:pPr>
            <w:r w:rsidRPr="00D02AA2">
              <w:t xml:space="preserve">Management </w:t>
            </w:r>
            <w:r>
              <w:t>and</w:t>
            </w:r>
            <w:r w:rsidRPr="00D02AA2">
              <w:t xml:space="preserve"> Strategy</w:t>
            </w:r>
          </w:p>
        </w:tc>
        <w:tc>
          <w:tcPr>
            <w:tcW w:w="1559" w:type="dxa"/>
            <w:noWrap/>
          </w:tcPr>
          <w:p w14:paraId="1A700408" w14:textId="77777777" w:rsidR="00370DA6" w:rsidRPr="00D02AA2" w:rsidRDefault="00370DA6" w:rsidP="006B6D5C">
            <w:pPr>
              <w:pStyle w:val="TableParagraph"/>
              <w:ind w:right="173"/>
              <w:jc w:val="right"/>
            </w:pPr>
            <w:r w:rsidRPr="00D02AA2">
              <w:t xml:space="preserve">7.44 </w:t>
            </w:r>
          </w:p>
        </w:tc>
      </w:tr>
      <w:tr w:rsidR="00370DA6" w:rsidRPr="00D02AA2" w14:paraId="0F3E2231" w14:textId="77777777" w:rsidTr="00B6608D">
        <w:trPr>
          <w:trHeight w:val="300"/>
        </w:trPr>
        <w:tc>
          <w:tcPr>
            <w:tcW w:w="4536" w:type="dxa"/>
            <w:noWrap/>
            <w:vAlign w:val="center"/>
            <w:hideMark/>
          </w:tcPr>
          <w:p w14:paraId="721EBD28" w14:textId="77777777" w:rsidR="00370DA6" w:rsidRPr="00D02AA2" w:rsidRDefault="00370DA6" w:rsidP="00367B33">
            <w:pPr>
              <w:pStyle w:val="TableParagraph"/>
              <w:ind w:left="316"/>
            </w:pPr>
            <w:r w:rsidRPr="00D246A3">
              <w:rPr>
                <w:rFonts w:cs="Segoe UI"/>
                <w:color w:val="000000" w:themeColor="text1"/>
              </w:rPr>
              <w:t>Customer Facing Services</w:t>
            </w:r>
          </w:p>
        </w:tc>
        <w:tc>
          <w:tcPr>
            <w:tcW w:w="1559" w:type="dxa"/>
            <w:noWrap/>
            <w:hideMark/>
          </w:tcPr>
          <w:p w14:paraId="204B9920" w14:textId="77777777" w:rsidR="00370DA6" w:rsidRPr="00D02AA2" w:rsidRDefault="00370DA6" w:rsidP="00367B33">
            <w:pPr>
              <w:pStyle w:val="TableParagraph"/>
              <w:ind w:right="173"/>
              <w:jc w:val="right"/>
            </w:pPr>
            <w:r w:rsidRPr="00D02AA2">
              <w:t xml:space="preserve">76.65 </w:t>
            </w:r>
          </w:p>
        </w:tc>
      </w:tr>
      <w:tr w:rsidR="00370DA6" w:rsidRPr="00D02AA2" w14:paraId="5790D63A" w14:textId="77777777" w:rsidTr="00B6608D">
        <w:trPr>
          <w:cnfStyle w:val="000000010000" w:firstRow="0" w:lastRow="0" w:firstColumn="0" w:lastColumn="0" w:oddVBand="0" w:evenVBand="0" w:oddHBand="0" w:evenHBand="1" w:firstRowFirstColumn="0" w:firstRowLastColumn="0" w:lastRowFirstColumn="0" w:lastRowLastColumn="0"/>
          <w:trHeight w:val="300"/>
        </w:trPr>
        <w:tc>
          <w:tcPr>
            <w:tcW w:w="4536" w:type="dxa"/>
            <w:noWrap/>
            <w:vAlign w:val="center"/>
            <w:hideMark/>
          </w:tcPr>
          <w:p w14:paraId="5DB262CD" w14:textId="77777777" w:rsidR="00370DA6" w:rsidRPr="00D02AA2" w:rsidRDefault="00370DA6" w:rsidP="00367B33">
            <w:pPr>
              <w:pStyle w:val="TableParagraph"/>
              <w:ind w:left="316"/>
            </w:pPr>
            <w:r w:rsidRPr="00D246A3">
              <w:rPr>
                <w:rFonts w:cs="Segoe UI"/>
                <w:color w:val="000000" w:themeColor="text1"/>
              </w:rPr>
              <w:t>Customer Support Services</w:t>
            </w:r>
          </w:p>
        </w:tc>
        <w:tc>
          <w:tcPr>
            <w:tcW w:w="1559" w:type="dxa"/>
            <w:noWrap/>
            <w:hideMark/>
          </w:tcPr>
          <w:p w14:paraId="1F854ABC" w14:textId="77777777" w:rsidR="00370DA6" w:rsidRPr="00D02AA2" w:rsidRDefault="00370DA6" w:rsidP="00367B33">
            <w:pPr>
              <w:pStyle w:val="TableParagraph"/>
              <w:ind w:right="173"/>
              <w:jc w:val="right"/>
            </w:pPr>
            <w:r w:rsidRPr="00D02AA2">
              <w:t xml:space="preserve">37.84 </w:t>
            </w:r>
          </w:p>
        </w:tc>
      </w:tr>
      <w:tr w:rsidR="00370DA6" w:rsidRPr="00D02AA2" w14:paraId="25F73BD3" w14:textId="77777777" w:rsidTr="00B6608D">
        <w:trPr>
          <w:trHeight w:val="300"/>
        </w:trPr>
        <w:tc>
          <w:tcPr>
            <w:tcW w:w="4536" w:type="dxa"/>
            <w:noWrap/>
            <w:hideMark/>
          </w:tcPr>
          <w:p w14:paraId="6A77574B" w14:textId="77777777" w:rsidR="00370DA6" w:rsidRPr="00D02AA2" w:rsidRDefault="00370DA6" w:rsidP="006B6D5C">
            <w:pPr>
              <w:pStyle w:val="TableParagraph"/>
              <w:ind w:left="316"/>
            </w:pPr>
            <w:r w:rsidRPr="00D02AA2">
              <w:t>Business Systems Support</w:t>
            </w:r>
          </w:p>
        </w:tc>
        <w:tc>
          <w:tcPr>
            <w:tcW w:w="1559" w:type="dxa"/>
            <w:noWrap/>
            <w:hideMark/>
          </w:tcPr>
          <w:p w14:paraId="7F5CCB7B" w14:textId="77777777" w:rsidR="00370DA6" w:rsidRPr="00D02AA2" w:rsidRDefault="00370DA6" w:rsidP="006B6D5C">
            <w:pPr>
              <w:pStyle w:val="TableParagraph"/>
              <w:ind w:right="173"/>
              <w:jc w:val="right"/>
            </w:pPr>
            <w:r w:rsidRPr="00D02AA2">
              <w:t xml:space="preserve">22.31 </w:t>
            </w:r>
          </w:p>
        </w:tc>
      </w:tr>
      <w:tr w:rsidR="00370DA6" w:rsidRPr="00D02AA2" w14:paraId="79AC28A3" w14:textId="77777777" w:rsidTr="00B6608D">
        <w:trPr>
          <w:cnfStyle w:val="000000010000" w:firstRow="0" w:lastRow="0" w:firstColumn="0" w:lastColumn="0" w:oddVBand="0" w:evenVBand="0" w:oddHBand="0" w:evenHBand="1" w:firstRowFirstColumn="0" w:firstRowLastColumn="0" w:lastRowFirstColumn="0" w:lastRowLastColumn="0"/>
          <w:trHeight w:val="300"/>
        </w:trPr>
        <w:tc>
          <w:tcPr>
            <w:tcW w:w="4536" w:type="dxa"/>
            <w:noWrap/>
            <w:hideMark/>
          </w:tcPr>
          <w:p w14:paraId="18BED729" w14:textId="77777777" w:rsidR="00370DA6" w:rsidRPr="00D02AA2" w:rsidRDefault="00370DA6" w:rsidP="006B6D5C">
            <w:pPr>
              <w:pStyle w:val="TableParagraph"/>
              <w:ind w:left="316"/>
            </w:pPr>
            <w:r>
              <w:t>Payment Services</w:t>
            </w:r>
          </w:p>
        </w:tc>
        <w:tc>
          <w:tcPr>
            <w:tcW w:w="1559" w:type="dxa"/>
            <w:noWrap/>
            <w:hideMark/>
          </w:tcPr>
          <w:p w14:paraId="6C50FAA3" w14:textId="77777777" w:rsidR="00370DA6" w:rsidRPr="00D02AA2" w:rsidRDefault="00370DA6" w:rsidP="006B6D5C">
            <w:pPr>
              <w:pStyle w:val="TableParagraph"/>
              <w:ind w:right="173"/>
              <w:jc w:val="right"/>
            </w:pPr>
            <w:r w:rsidRPr="00D02AA2">
              <w:t xml:space="preserve">9.15 </w:t>
            </w:r>
          </w:p>
        </w:tc>
      </w:tr>
      <w:tr w:rsidR="00370DA6" w:rsidRPr="00D02AA2" w14:paraId="14F11CD0" w14:textId="77777777" w:rsidTr="00B6608D">
        <w:trPr>
          <w:trHeight w:val="300"/>
        </w:trPr>
        <w:tc>
          <w:tcPr>
            <w:tcW w:w="4536" w:type="dxa"/>
            <w:noWrap/>
            <w:hideMark/>
          </w:tcPr>
          <w:p w14:paraId="5C9FE4EE" w14:textId="77777777" w:rsidR="00370DA6" w:rsidRPr="00D02AA2" w:rsidRDefault="00370DA6" w:rsidP="006B6D5C">
            <w:pPr>
              <w:pStyle w:val="TableParagraph"/>
              <w:ind w:left="316"/>
            </w:pPr>
            <w:r>
              <w:t xml:space="preserve">CSC </w:t>
            </w:r>
            <w:r w:rsidRPr="00D02AA2">
              <w:t>Office Depreciation</w:t>
            </w:r>
          </w:p>
        </w:tc>
        <w:tc>
          <w:tcPr>
            <w:tcW w:w="1559" w:type="dxa"/>
            <w:noWrap/>
            <w:hideMark/>
          </w:tcPr>
          <w:p w14:paraId="7D1E7811" w14:textId="77777777" w:rsidR="00370DA6" w:rsidRPr="00D02AA2" w:rsidRDefault="00370DA6" w:rsidP="006B6D5C">
            <w:pPr>
              <w:pStyle w:val="TableParagraph"/>
              <w:ind w:right="173"/>
              <w:jc w:val="right"/>
            </w:pPr>
            <w:r w:rsidRPr="00D02AA2">
              <w:t xml:space="preserve">0.22 </w:t>
            </w:r>
          </w:p>
        </w:tc>
      </w:tr>
      <w:tr w:rsidR="00370DA6" w:rsidRPr="00D02AA2" w14:paraId="3AB2E8CC" w14:textId="77777777" w:rsidTr="00B6608D">
        <w:trPr>
          <w:cnfStyle w:val="000000010000" w:firstRow="0" w:lastRow="0" w:firstColumn="0" w:lastColumn="0" w:oddVBand="0" w:evenVBand="0" w:oddHBand="0" w:evenHBand="1" w:firstRowFirstColumn="0" w:firstRowLastColumn="0" w:lastRowFirstColumn="0" w:lastRowLastColumn="0"/>
          <w:trHeight w:val="300"/>
        </w:trPr>
        <w:tc>
          <w:tcPr>
            <w:tcW w:w="4536" w:type="dxa"/>
            <w:noWrap/>
            <w:hideMark/>
          </w:tcPr>
          <w:p w14:paraId="00EB1C20" w14:textId="77777777" w:rsidR="00370DA6" w:rsidRPr="00D02AA2" w:rsidRDefault="00370DA6" w:rsidP="006B6D5C">
            <w:pPr>
              <w:pStyle w:val="TableParagraph"/>
              <w:ind w:left="316"/>
            </w:pPr>
            <w:r w:rsidRPr="00D02AA2">
              <w:t>Business Improvement</w:t>
            </w:r>
          </w:p>
        </w:tc>
        <w:tc>
          <w:tcPr>
            <w:tcW w:w="1559" w:type="dxa"/>
            <w:noWrap/>
            <w:hideMark/>
          </w:tcPr>
          <w:p w14:paraId="56A2B2D1" w14:textId="77777777" w:rsidR="00370DA6" w:rsidRPr="00D02AA2" w:rsidRDefault="00370DA6" w:rsidP="006B6D5C">
            <w:pPr>
              <w:pStyle w:val="TableParagraph"/>
              <w:ind w:right="173"/>
              <w:jc w:val="right"/>
            </w:pPr>
            <w:r w:rsidRPr="00D02AA2">
              <w:t xml:space="preserve">5.00 </w:t>
            </w:r>
          </w:p>
        </w:tc>
      </w:tr>
      <w:tr w:rsidR="00370DA6" w:rsidRPr="00C945BC" w14:paraId="41056534" w14:textId="77777777" w:rsidTr="00B6608D">
        <w:trPr>
          <w:trHeight w:val="330"/>
        </w:trPr>
        <w:tc>
          <w:tcPr>
            <w:tcW w:w="4536" w:type="dxa"/>
            <w:shd w:val="clear" w:color="auto" w:fill="auto"/>
            <w:noWrap/>
            <w:hideMark/>
          </w:tcPr>
          <w:p w14:paraId="7C99BC7D" w14:textId="77777777" w:rsidR="00370DA6" w:rsidRPr="00C945BC" w:rsidRDefault="00370DA6" w:rsidP="006B6D5C">
            <w:pPr>
              <w:pStyle w:val="TableParagraph"/>
              <w:jc w:val="right"/>
              <w:rPr>
                <w:b/>
              </w:rPr>
            </w:pPr>
            <w:r w:rsidRPr="00C945BC">
              <w:rPr>
                <w:b/>
              </w:rPr>
              <w:t>Total Direct Costs</w:t>
            </w:r>
          </w:p>
        </w:tc>
        <w:tc>
          <w:tcPr>
            <w:tcW w:w="1559" w:type="dxa"/>
            <w:shd w:val="clear" w:color="auto" w:fill="auto"/>
            <w:noWrap/>
            <w:hideMark/>
          </w:tcPr>
          <w:p w14:paraId="30E0F435" w14:textId="77777777" w:rsidR="00370DA6" w:rsidRPr="00C945BC" w:rsidRDefault="00370DA6" w:rsidP="006B6D5C">
            <w:pPr>
              <w:pStyle w:val="TableParagraph"/>
              <w:ind w:right="173"/>
              <w:jc w:val="right"/>
              <w:rPr>
                <w:b/>
              </w:rPr>
            </w:pPr>
            <w:r w:rsidRPr="00C945BC">
              <w:rPr>
                <w:b/>
              </w:rPr>
              <w:t xml:space="preserve">158.62 </w:t>
            </w:r>
          </w:p>
        </w:tc>
      </w:tr>
      <w:tr w:rsidR="00370DA6" w:rsidRPr="00D02AA2" w14:paraId="64B6E526" w14:textId="77777777" w:rsidTr="00AF059E">
        <w:trPr>
          <w:cnfStyle w:val="000000010000" w:firstRow="0" w:lastRow="0" w:firstColumn="0" w:lastColumn="0" w:oddVBand="0" w:evenVBand="0" w:oddHBand="0" w:evenHBand="1" w:firstRowFirstColumn="0" w:firstRowLastColumn="0" w:lastRowFirstColumn="0" w:lastRowLastColumn="0"/>
          <w:trHeight w:val="300"/>
        </w:trPr>
        <w:tc>
          <w:tcPr>
            <w:tcW w:w="6097" w:type="dxa"/>
            <w:gridSpan w:val="2"/>
            <w:shd w:val="clear" w:color="auto" w:fill="DDE8F4" w:themeFill="text2" w:themeFillTint="1A"/>
            <w:noWrap/>
          </w:tcPr>
          <w:p w14:paraId="07084E77" w14:textId="77777777" w:rsidR="00370DA6" w:rsidRPr="00D02AA2" w:rsidRDefault="00370DA6" w:rsidP="006B6D5C">
            <w:pPr>
              <w:pStyle w:val="TableParagraph"/>
              <w:ind w:right="173"/>
            </w:pPr>
            <w:r>
              <w:rPr>
                <w:rFonts w:cs="Segoe UI"/>
                <w:b/>
              </w:rPr>
              <w:t>Indirect</w:t>
            </w:r>
            <w:r w:rsidRPr="00B238CA">
              <w:rPr>
                <w:rFonts w:cs="Segoe UI"/>
                <w:b/>
              </w:rPr>
              <w:t xml:space="preserve"> Costs </w:t>
            </w:r>
          </w:p>
        </w:tc>
      </w:tr>
      <w:tr w:rsidR="00370DA6" w:rsidRPr="00D02AA2" w14:paraId="528EEE93" w14:textId="77777777" w:rsidTr="00B6608D">
        <w:trPr>
          <w:trHeight w:val="300"/>
        </w:trPr>
        <w:tc>
          <w:tcPr>
            <w:tcW w:w="4536" w:type="dxa"/>
            <w:noWrap/>
            <w:hideMark/>
          </w:tcPr>
          <w:p w14:paraId="5781CC4D" w14:textId="77777777" w:rsidR="00370DA6" w:rsidRPr="00D02AA2" w:rsidRDefault="00370DA6" w:rsidP="00783392">
            <w:pPr>
              <w:pStyle w:val="TableParagraph"/>
              <w:ind w:left="284"/>
            </w:pPr>
            <w:r w:rsidRPr="00D02AA2">
              <w:t>Corporate Overheads</w:t>
            </w:r>
          </w:p>
        </w:tc>
        <w:tc>
          <w:tcPr>
            <w:tcW w:w="1559" w:type="dxa"/>
            <w:noWrap/>
            <w:hideMark/>
          </w:tcPr>
          <w:p w14:paraId="29879C96" w14:textId="77777777" w:rsidR="00370DA6" w:rsidRPr="00D02AA2" w:rsidRDefault="00370DA6" w:rsidP="00783392">
            <w:pPr>
              <w:pStyle w:val="TableParagraph"/>
              <w:ind w:right="173"/>
              <w:jc w:val="right"/>
            </w:pPr>
            <w:r w:rsidRPr="00D02AA2">
              <w:t xml:space="preserve">11.85 </w:t>
            </w:r>
          </w:p>
        </w:tc>
      </w:tr>
      <w:tr w:rsidR="00370DA6" w:rsidRPr="00D02AA2" w14:paraId="5FA36534" w14:textId="77777777" w:rsidTr="00B6608D">
        <w:trPr>
          <w:cnfStyle w:val="000000010000" w:firstRow="0" w:lastRow="0" w:firstColumn="0" w:lastColumn="0" w:oddVBand="0" w:evenVBand="0" w:oddHBand="0" w:evenHBand="1" w:firstRowFirstColumn="0" w:firstRowLastColumn="0" w:lastRowFirstColumn="0" w:lastRowLastColumn="0"/>
          <w:trHeight w:val="300"/>
        </w:trPr>
        <w:tc>
          <w:tcPr>
            <w:tcW w:w="4536" w:type="dxa"/>
            <w:noWrap/>
          </w:tcPr>
          <w:p w14:paraId="50634D33" w14:textId="77777777" w:rsidR="00370DA6" w:rsidRPr="00D02AA2" w:rsidRDefault="00370DA6" w:rsidP="006B6D5C">
            <w:pPr>
              <w:pStyle w:val="TableParagraph"/>
              <w:ind w:left="284"/>
            </w:pPr>
            <w:r w:rsidRPr="00D02AA2">
              <w:t>Systems Depreciation</w:t>
            </w:r>
          </w:p>
        </w:tc>
        <w:tc>
          <w:tcPr>
            <w:tcW w:w="1559" w:type="dxa"/>
            <w:noWrap/>
          </w:tcPr>
          <w:p w14:paraId="0C958887" w14:textId="77777777" w:rsidR="00370DA6" w:rsidRPr="00D02AA2" w:rsidRDefault="00370DA6" w:rsidP="006B6D5C">
            <w:pPr>
              <w:pStyle w:val="TableParagraph"/>
              <w:ind w:right="173"/>
              <w:jc w:val="right"/>
            </w:pPr>
            <w:r w:rsidRPr="00D02AA2">
              <w:t xml:space="preserve">27.99 </w:t>
            </w:r>
          </w:p>
        </w:tc>
      </w:tr>
      <w:tr w:rsidR="00370DA6" w:rsidRPr="00D02AA2" w14:paraId="62023BF0" w14:textId="77777777" w:rsidTr="00B6608D">
        <w:trPr>
          <w:trHeight w:val="300"/>
        </w:trPr>
        <w:tc>
          <w:tcPr>
            <w:tcW w:w="4536" w:type="dxa"/>
            <w:noWrap/>
            <w:hideMark/>
          </w:tcPr>
          <w:p w14:paraId="1A6E64A5" w14:textId="77777777" w:rsidR="00370DA6" w:rsidRPr="00D02AA2" w:rsidRDefault="00370DA6" w:rsidP="006B6D5C">
            <w:pPr>
              <w:pStyle w:val="TableParagraph"/>
              <w:ind w:left="284"/>
            </w:pPr>
            <w:r w:rsidRPr="00D02AA2">
              <w:t>Systems Upkeep</w:t>
            </w:r>
          </w:p>
        </w:tc>
        <w:tc>
          <w:tcPr>
            <w:tcW w:w="1559" w:type="dxa"/>
            <w:noWrap/>
            <w:hideMark/>
          </w:tcPr>
          <w:p w14:paraId="1817BEDF" w14:textId="77777777" w:rsidR="00370DA6" w:rsidRPr="00D02AA2" w:rsidRDefault="00370DA6" w:rsidP="006B6D5C">
            <w:pPr>
              <w:pStyle w:val="TableParagraph"/>
              <w:ind w:right="173"/>
              <w:jc w:val="right"/>
            </w:pPr>
            <w:r w:rsidRPr="00D02AA2">
              <w:t xml:space="preserve">10.04 </w:t>
            </w:r>
          </w:p>
        </w:tc>
      </w:tr>
      <w:tr w:rsidR="00370DA6" w:rsidRPr="00C945BC" w14:paraId="640EA981" w14:textId="77777777" w:rsidTr="00B6608D">
        <w:trPr>
          <w:cnfStyle w:val="000000010000" w:firstRow="0" w:lastRow="0" w:firstColumn="0" w:lastColumn="0" w:oddVBand="0" w:evenVBand="0" w:oddHBand="0" w:evenHBand="1" w:firstRowFirstColumn="0" w:firstRowLastColumn="0" w:lastRowFirstColumn="0" w:lastRowLastColumn="0"/>
          <w:trHeight w:val="330"/>
        </w:trPr>
        <w:tc>
          <w:tcPr>
            <w:tcW w:w="4536" w:type="dxa"/>
            <w:shd w:val="clear" w:color="auto" w:fill="auto"/>
            <w:noWrap/>
            <w:hideMark/>
          </w:tcPr>
          <w:p w14:paraId="0AC2589B" w14:textId="77777777" w:rsidR="00370DA6" w:rsidRPr="00C945BC" w:rsidRDefault="00370DA6" w:rsidP="006B6D5C">
            <w:pPr>
              <w:pStyle w:val="TableParagraph"/>
              <w:jc w:val="right"/>
              <w:rPr>
                <w:b/>
              </w:rPr>
            </w:pPr>
            <w:r w:rsidRPr="00C945BC">
              <w:rPr>
                <w:b/>
              </w:rPr>
              <w:t xml:space="preserve">Total </w:t>
            </w:r>
            <w:r>
              <w:rPr>
                <w:rFonts w:cs="Segoe UI"/>
                <w:b/>
              </w:rPr>
              <w:t>Indirect</w:t>
            </w:r>
            <w:r w:rsidRPr="00B238CA">
              <w:rPr>
                <w:rFonts w:cs="Segoe UI"/>
                <w:b/>
              </w:rPr>
              <w:t xml:space="preserve"> Costs</w:t>
            </w:r>
          </w:p>
        </w:tc>
        <w:tc>
          <w:tcPr>
            <w:tcW w:w="1559" w:type="dxa"/>
            <w:shd w:val="clear" w:color="auto" w:fill="auto"/>
            <w:noWrap/>
            <w:hideMark/>
          </w:tcPr>
          <w:p w14:paraId="5CCDF3CB" w14:textId="77777777" w:rsidR="00370DA6" w:rsidRPr="00C945BC" w:rsidRDefault="00370DA6" w:rsidP="006B6D5C">
            <w:pPr>
              <w:pStyle w:val="TableParagraph"/>
              <w:ind w:right="173"/>
              <w:jc w:val="right"/>
              <w:rPr>
                <w:b/>
              </w:rPr>
            </w:pPr>
            <w:r w:rsidRPr="00C945BC">
              <w:rPr>
                <w:b/>
              </w:rPr>
              <w:t xml:space="preserve">49.88 </w:t>
            </w:r>
          </w:p>
        </w:tc>
      </w:tr>
      <w:tr w:rsidR="00370DA6" w:rsidRPr="003F4CCE" w14:paraId="08FE18CD" w14:textId="77777777" w:rsidTr="00AF059E">
        <w:trPr>
          <w:trHeight w:val="420"/>
        </w:trPr>
        <w:tc>
          <w:tcPr>
            <w:tcW w:w="4536" w:type="dxa"/>
            <w:shd w:val="clear" w:color="auto" w:fill="ADC6E6" w:themeFill="text2" w:themeFillTint="40"/>
            <w:hideMark/>
          </w:tcPr>
          <w:p w14:paraId="2189B63F" w14:textId="77777777" w:rsidR="00370DA6" w:rsidRPr="003F4CCE" w:rsidRDefault="00370DA6" w:rsidP="006B6D5C">
            <w:pPr>
              <w:pStyle w:val="TableHeaders"/>
              <w:jc w:val="right"/>
              <w:rPr>
                <w:b/>
                <w:color w:val="auto"/>
              </w:rPr>
            </w:pPr>
            <w:r w:rsidRPr="003F4CCE">
              <w:rPr>
                <w:b/>
                <w:color w:val="auto"/>
              </w:rPr>
              <w:t>Total Costs</w:t>
            </w:r>
          </w:p>
        </w:tc>
        <w:tc>
          <w:tcPr>
            <w:tcW w:w="1559" w:type="dxa"/>
            <w:shd w:val="clear" w:color="auto" w:fill="ADC6E6" w:themeFill="text2" w:themeFillTint="40"/>
            <w:hideMark/>
          </w:tcPr>
          <w:p w14:paraId="3B215672" w14:textId="77777777" w:rsidR="00370DA6" w:rsidRPr="003F4CCE" w:rsidRDefault="00370DA6" w:rsidP="006B6D5C">
            <w:pPr>
              <w:pStyle w:val="TableHeaders"/>
              <w:ind w:right="173"/>
              <w:jc w:val="right"/>
              <w:rPr>
                <w:b/>
                <w:color w:val="auto"/>
              </w:rPr>
            </w:pPr>
            <w:r w:rsidRPr="003F4CCE">
              <w:rPr>
                <w:b/>
                <w:color w:val="auto"/>
              </w:rPr>
              <w:t>208.50</w:t>
            </w:r>
          </w:p>
        </w:tc>
      </w:tr>
    </w:tbl>
    <w:p w14:paraId="170A2B98" w14:textId="77777777" w:rsidR="00370DA6" w:rsidRDefault="00370DA6" w:rsidP="007C7894">
      <w:pPr>
        <w:pStyle w:val="TextPara"/>
        <w:rPr>
          <w:rFonts w:cs="Segoe UI"/>
        </w:rPr>
      </w:pPr>
      <w:r>
        <w:rPr>
          <w:rFonts w:cs="Segoe UI"/>
        </w:rPr>
        <w:t>The details of the scope of each cost item (Direct Costs and Indirect Costs) is outlined in the following sub-sections:</w:t>
      </w:r>
    </w:p>
    <w:p w14:paraId="7C3725C1" w14:textId="77777777" w:rsidR="00370DA6" w:rsidRDefault="00370DA6" w:rsidP="00370DA6">
      <w:pPr>
        <w:pStyle w:val="Heading3"/>
        <w:spacing w:before="240"/>
      </w:pPr>
      <w:bookmarkStart w:id="665" w:name="_Toc4084208"/>
      <w:bookmarkStart w:id="666" w:name="_Toc10703494"/>
      <w:r>
        <w:t>Direct Cost d</w:t>
      </w:r>
      <w:r w:rsidRPr="00117C96">
        <w:t>etails</w:t>
      </w:r>
      <w:bookmarkEnd w:id="665"/>
      <w:bookmarkEnd w:id="666"/>
    </w:p>
    <w:p w14:paraId="6AB05E83" w14:textId="77777777" w:rsidR="00370DA6" w:rsidRPr="00B238CA" w:rsidRDefault="00370DA6" w:rsidP="00367B33">
      <w:pPr>
        <w:pStyle w:val="TextPara"/>
        <w:spacing w:before="0" w:line="276" w:lineRule="auto"/>
        <w:rPr>
          <w:rFonts w:cs="Segoe UI"/>
          <w:szCs w:val="20"/>
        </w:rPr>
      </w:pPr>
      <w:r w:rsidRPr="00B238CA">
        <w:rPr>
          <w:rFonts w:cs="Segoe UI"/>
          <w:szCs w:val="20"/>
        </w:rPr>
        <w:t xml:space="preserve">Direct costs encompass all costs charged to the R&amp;L business to perform </w:t>
      </w:r>
      <w:r>
        <w:rPr>
          <w:rFonts w:cs="Segoe UI"/>
          <w:szCs w:val="20"/>
        </w:rPr>
        <w:t>their functions</w:t>
      </w:r>
      <w:r w:rsidRPr="00B238CA">
        <w:rPr>
          <w:rFonts w:cs="Segoe UI"/>
          <w:szCs w:val="20"/>
        </w:rPr>
        <w:t xml:space="preserve">. It includes direct </w:t>
      </w:r>
      <w:r>
        <w:rPr>
          <w:rFonts w:cs="Segoe UI"/>
          <w:szCs w:val="20"/>
        </w:rPr>
        <w:t>costs from internal and external suppliers</w:t>
      </w:r>
      <w:r w:rsidRPr="00B238CA">
        <w:rPr>
          <w:rFonts w:cs="Segoe UI"/>
          <w:szCs w:val="20"/>
        </w:rPr>
        <w:t xml:space="preserve"> for services provided specifically </w:t>
      </w:r>
      <w:r w:rsidRPr="00B238CA">
        <w:rPr>
          <w:rFonts w:cs="Segoe UI"/>
        </w:rPr>
        <w:t>to R&amp;L to support its operations</w:t>
      </w:r>
      <w:r w:rsidRPr="00B238CA">
        <w:rPr>
          <w:rFonts w:cs="Segoe UI"/>
          <w:szCs w:val="20"/>
        </w:rPr>
        <w:t>. It excludes any share of corporate overheads.</w:t>
      </w:r>
    </w:p>
    <w:p w14:paraId="0B26BC1B" w14:textId="054EF240" w:rsidR="00370DA6" w:rsidRPr="00D13984" w:rsidRDefault="005734A7" w:rsidP="00DF3451">
      <w:pPr>
        <w:pStyle w:val="TextPara"/>
      </w:pPr>
      <w:r>
        <w:t xml:space="preserve">Table </w:t>
      </w:r>
      <w:r w:rsidR="001C0787">
        <w:t>4</w:t>
      </w:r>
      <w:r w:rsidR="002D637D">
        <w:t>5</w:t>
      </w:r>
      <w:r w:rsidR="005465DE">
        <w:t xml:space="preserve"> </w:t>
      </w:r>
      <w:r w:rsidR="00370DA6">
        <w:t>provides a list of direct costs groups and a summary of the scope of each group.</w:t>
      </w:r>
    </w:p>
    <w:p w14:paraId="680B1C97" w14:textId="4A8825BC" w:rsidR="00370DA6" w:rsidRDefault="00370DA6" w:rsidP="00AA0BBA">
      <w:pPr>
        <w:pStyle w:val="Caption"/>
      </w:pPr>
      <w:bookmarkStart w:id="667" w:name="_Ref4403758"/>
      <w:bookmarkStart w:id="668" w:name="_Toc4084324"/>
      <w:bookmarkStart w:id="669" w:name="_Toc10703735"/>
      <w:r>
        <w:lastRenderedPageBreak/>
        <w:t xml:space="preserve">Table </w:t>
      </w:r>
      <w:r>
        <w:rPr>
          <w:noProof/>
        </w:rPr>
        <w:fldChar w:fldCharType="begin"/>
      </w:r>
      <w:r>
        <w:rPr>
          <w:noProof/>
        </w:rPr>
        <w:instrText xml:space="preserve"> SEQ Table \* ARABIC </w:instrText>
      </w:r>
      <w:r>
        <w:rPr>
          <w:noProof/>
        </w:rPr>
        <w:fldChar w:fldCharType="separate"/>
      </w:r>
      <w:r w:rsidR="00EB4B02">
        <w:rPr>
          <w:noProof/>
        </w:rPr>
        <w:t>42</w:t>
      </w:r>
      <w:r>
        <w:rPr>
          <w:noProof/>
        </w:rPr>
        <w:fldChar w:fldCharType="end"/>
      </w:r>
      <w:bookmarkEnd w:id="667"/>
      <w:r>
        <w:t xml:space="preserve"> – R&amp;L direct c</w:t>
      </w:r>
      <w:r w:rsidRPr="00DB6F7B">
        <w:t>ost</w:t>
      </w:r>
      <w:r>
        <w:t xml:space="preserve"> groups</w:t>
      </w:r>
      <w:r w:rsidRPr="00DB6F7B">
        <w:t xml:space="preserve"> descriptions</w:t>
      </w:r>
      <w:bookmarkEnd w:id="668"/>
      <w:bookmarkEnd w:id="669"/>
    </w:p>
    <w:tbl>
      <w:tblPr>
        <w:tblStyle w:val="RIS-Table2"/>
        <w:tblW w:w="9637" w:type="dxa"/>
        <w:tblLayout w:type="fixed"/>
        <w:tblLook w:val="04A0" w:firstRow="1" w:lastRow="0" w:firstColumn="1" w:lastColumn="0" w:noHBand="0" w:noVBand="1"/>
      </w:tblPr>
      <w:tblGrid>
        <w:gridCol w:w="2154"/>
        <w:gridCol w:w="7483"/>
      </w:tblGrid>
      <w:tr w:rsidR="00370DA6" w:rsidRPr="00117C96" w14:paraId="323CDADE" w14:textId="77777777" w:rsidTr="00E2454D">
        <w:trPr>
          <w:cnfStyle w:val="100000000000" w:firstRow="1" w:lastRow="0" w:firstColumn="0" w:lastColumn="0" w:oddVBand="0" w:evenVBand="0" w:oddHBand="0" w:evenHBand="0" w:firstRowFirstColumn="0" w:firstRowLastColumn="0" w:lastRowFirstColumn="0" w:lastRowLastColumn="0"/>
        </w:trPr>
        <w:tc>
          <w:tcPr>
            <w:tcW w:w="2154" w:type="dxa"/>
          </w:tcPr>
          <w:p w14:paraId="0D54C352" w14:textId="77777777" w:rsidR="00370DA6" w:rsidRPr="00117C96" w:rsidRDefault="00370DA6" w:rsidP="006B6D5C">
            <w:pPr>
              <w:pStyle w:val="TableHeaders"/>
            </w:pPr>
            <w:r>
              <w:t>Cost</w:t>
            </w:r>
            <w:r w:rsidRPr="00117C96">
              <w:t xml:space="preserve"> Group</w:t>
            </w:r>
          </w:p>
        </w:tc>
        <w:tc>
          <w:tcPr>
            <w:tcW w:w="7483" w:type="dxa"/>
          </w:tcPr>
          <w:p w14:paraId="07D5DAF0" w14:textId="77777777" w:rsidR="00370DA6" w:rsidRPr="00117C96" w:rsidRDefault="00370DA6" w:rsidP="006B6D5C">
            <w:pPr>
              <w:pStyle w:val="TableHeaders"/>
            </w:pPr>
            <w:r w:rsidRPr="00117C96">
              <w:t>Description</w:t>
            </w:r>
          </w:p>
        </w:tc>
      </w:tr>
      <w:tr w:rsidR="00370DA6" w:rsidRPr="00EF7B9B" w14:paraId="66B8D60D" w14:textId="77777777" w:rsidTr="00E2454D">
        <w:tc>
          <w:tcPr>
            <w:tcW w:w="2154" w:type="dxa"/>
          </w:tcPr>
          <w:p w14:paraId="63A53A88" w14:textId="77777777" w:rsidR="00370DA6" w:rsidRPr="0058352C" w:rsidRDefault="00370DA6" w:rsidP="00367B33">
            <w:pPr>
              <w:pStyle w:val="TableParagraph"/>
              <w:rPr>
                <w:b/>
              </w:rPr>
            </w:pPr>
            <w:r>
              <w:rPr>
                <w:b/>
              </w:rPr>
              <w:t>Management and</w:t>
            </w:r>
            <w:r w:rsidRPr="0058352C">
              <w:rPr>
                <w:b/>
              </w:rPr>
              <w:t xml:space="preserve"> Strategy</w:t>
            </w:r>
          </w:p>
        </w:tc>
        <w:tc>
          <w:tcPr>
            <w:tcW w:w="7483" w:type="dxa"/>
          </w:tcPr>
          <w:p w14:paraId="54C362F9" w14:textId="77777777" w:rsidR="00370DA6" w:rsidRPr="00B9528C" w:rsidRDefault="00370DA6" w:rsidP="00370DA6">
            <w:pPr>
              <w:pStyle w:val="TableList1"/>
              <w:ind w:left="360" w:hanging="360"/>
            </w:pPr>
            <w:r w:rsidRPr="00B9528C">
              <w:t xml:space="preserve">R&amp;L Business management, business and </w:t>
            </w:r>
            <w:r>
              <w:t>operational</w:t>
            </w:r>
            <w:r w:rsidRPr="00B9528C">
              <w:t xml:space="preserve"> strategy, program management, investment overview, process optimisation</w:t>
            </w:r>
          </w:p>
        </w:tc>
      </w:tr>
      <w:tr w:rsidR="00370DA6" w:rsidRPr="00EF7B9B" w14:paraId="468E8746" w14:textId="77777777" w:rsidTr="00E2454D">
        <w:trPr>
          <w:cnfStyle w:val="000000010000" w:firstRow="0" w:lastRow="0" w:firstColumn="0" w:lastColumn="0" w:oddVBand="0" w:evenVBand="0" w:oddHBand="0" w:evenHBand="1" w:firstRowFirstColumn="0" w:firstRowLastColumn="0" w:lastRowFirstColumn="0" w:lastRowLastColumn="0"/>
        </w:trPr>
        <w:tc>
          <w:tcPr>
            <w:tcW w:w="2154" w:type="dxa"/>
          </w:tcPr>
          <w:p w14:paraId="5BF8AAA1" w14:textId="77777777" w:rsidR="00370DA6" w:rsidRPr="0058352C" w:rsidRDefault="00370DA6" w:rsidP="00367B33">
            <w:pPr>
              <w:pStyle w:val="TableParagraph"/>
              <w:rPr>
                <w:b/>
              </w:rPr>
            </w:pPr>
            <w:r w:rsidRPr="00B238CA">
              <w:rPr>
                <w:rFonts w:cs="Segoe UI"/>
                <w:b/>
              </w:rPr>
              <w:t xml:space="preserve">Customer </w:t>
            </w:r>
            <w:r>
              <w:rPr>
                <w:rFonts w:cs="Segoe UI"/>
                <w:b/>
              </w:rPr>
              <w:t xml:space="preserve">Facing </w:t>
            </w:r>
            <w:r w:rsidRPr="00B238CA">
              <w:rPr>
                <w:rFonts w:cs="Segoe UI"/>
                <w:b/>
              </w:rPr>
              <w:t>Services</w:t>
            </w:r>
          </w:p>
        </w:tc>
        <w:tc>
          <w:tcPr>
            <w:tcW w:w="7483" w:type="dxa"/>
          </w:tcPr>
          <w:p w14:paraId="6DB6D0A1" w14:textId="77777777" w:rsidR="00370DA6" w:rsidRPr="00B9528C" w:rsidRDefault="00370DA6" w:rsidP="00370DA6">
            <w:pPr>
              <w:pStyle w:val="TableList1"/>
              <w:ind w:left="360" w:hanging="360"/>
            </w:pPr>
            <w:r w:rsidRPr="00B9528C">
              <w:t>4</w:t>
            </w:r>
            <w:r>
              <w:t>1</w:t>
            </w:r>
            <w:r w:rsidRPr="00B9528C">
              <w:t xml:space="preserve"> Customer Service Centres (CSCs) and 3 Call Centres provide over-the-counter and telephone services to the Victorian public. These services include responding to enquiries, conducting drive tests, issuing permits, exemptions management, vehicle inspections, and vehicle transfers</w:t>
            </w:r>
          </w:p>
          <w:p w14:paraId="196EB125" w14:textId="77777777" w:rsidR="00370DA6" w:rsidRPr="00B9528C" w:rsidRDefault="00370DA6" w:rsidP="00370DA6">
            <w:pPr>
              <w:pStyle w:val="TableList1"/>
              <w:ind w:left="360" w:hanging="360"/>
            </w:pPr>
            <w:r w:rsidRPr="00B9528C">
              <w:t>Workforce optimisation/management</w:t>
            </w:r>
          </w:p>
        </w:tc>
      </w:tr>
      <w:tr w:rsidR="00370DA6" w:rsidRPr="00EF7B9B" w14:paraId="43ED1E61" w14:textId="77777777" w:rsidTr="00E2454D">
        <w:tc>
          <w:tcPr>
            <w:tcW w:w="2154" w:type="dxa"/>
          </w:tcPr>
          <w:p w14:paraId="64E8500F" w14:textId="77777777" w:rsidR="00370DA6" w:rsidRPr="0058352C" w:rsidRDefault="00370DA6" w:rsidP="00367B33">
            <w:pPr>
              <w:pStyle w:val="TableParagraph"/>
              <w:rPr>
                <w:b/>
              </w:rPr>
            </w:pPr>
            <w:r>
              <w:rPr>
                <w:rFonts w:cs="Segoe UI"/>
                <w:b/>
              </w:rPr>
              <w:t xml:space="preserve">Customer </w:t>
            </w:r>
            <w:r w:rsidRPr="00B238CA">
              <w:rPr>
                <w:rFonts w:cs="Segoe UI"/>
                <w:b/>
              </w:rPr>
              <w:t>Support Services</w:t>
            </w:r>
          </w:p>
        </w:tc>
        <w:tc>
          <w:tcPr>
            <w:tcW w:w="7483" w:type="dxa"/>
          </w:tcPr>
          <w:p w14:paraId="3F54422A" w14:textId="5EB92BE3" w:rsidR="00370DA6" w:rsidRPr="00B238CA" w:rsidRDefault="00370DA6" w:rsidP="00370DA6">
            <w:pPr>
              <w:pStyle w:val="TableList1"/>
              <w:ind w:left="360" w:hanging="360"/>
            </w:pPr>
            <w:r>
              <w:t>M</w:t>
            </w:r>
            <w:r w:rsidRPr="00B238CA">
              <w:t xml:space="preserve">anagement </w:t>
            </w:r>
            <w:r>
              <w:t>of third</w:t>
            </w:r>
            <w:r w:rsidR="008143FB" w:rsidRPr="00B238CA">
              <w:t>-</w:t>
            </w:r>
            <w:r w:rsidRPr="00B238CA">
              <w:t>party</w:t>
            </w:r>
            <w:r>
              <w:t xml:space="preserve"> service providers</w:t>
            </w:r>
            <w:r w:rsidRPr="00B238CA">
              <w:t xml:space="preserve"> - </w:t>
            </w:r>
            <w:r>
              <w:t xml:space="preserve">Motor vehicle dealers, Licensed </w:t>
            </w:r>
            <w:r w:rsidRPr="00B238CA">
              <w:t>T</w:t>
            </w:r>
            <w:r>
              <w:t>ester</w:t>
            </w:r>
            <w:r w:rsidRPr="00B238CA">
              <w:t>s, point of sale agencies (e.g. Australia Post)</w:t>
            </w:r>
          </w:p>
          <w:p w14:paraId="1E7B229F" w14:textId="77777777" w:rsidR="00370DA6" w:rsidRPr="00B238CA" w:rsidRDefault="00370DA6" w:rsidP="00370DA6">
            <w:pPr>
              <w:pStyle w:val="TableList1"/>
              <w:ind w:left="360" w:hanging="360"/>
            </w:pPr>
            <w:r w:rsidRPr="00B238CA">
              <w:t xml:space="preserve">Contract management </w:t>
            </w:r>
            <w:r>
              <w:t xml:space="preserve">of suppliers who provide services to VicRoads </w:t>
            </w:r>
            <w:r w:rsidRPr="00B238CA">
              <w:t xml:space="preserve">– </w:t>
            </w:r>
            <w:r>
              <w:t xml:space="preserve">including </w:t>
            </w:r>
            <w:r w:rsidRPr="00B238CA">
              <w:t>print, mail, l</w:t>
            </w:r>
            <w:r>
              <w:t>icence cards, vehicle plates</w:t>
            </w:r>
          </w:p>
          <w:p w14:paraId="74EBEDAC" w14:textId="77777777" w:rsidR="00370DA6" w:rsidRDefault="00370DA6" w:rsidP="00370DA6">
            <w:pPr>
              <w:pStyle w:val="TableList1"/>
              <w:ind w:left="360" w:hanging="360"/>
            </w:pPr>
            <w:r>
              <w:t>Provision of specialist customer services:</w:t>
            </w:r>
          </w:p>
          <w:p w14:paraId="1A09DD5E" w14:textId="77777777" w:rsidR="00370DA6" w:rsidRPr="00B238CA" w:rsidRDefault="00370DA6" w:rsidP="00265CBE">
            <w:pPr>
              <w:pStyle w:val="TableList2"/>
            </w:pPr>
            <w:r w:rsidRPr="00B238CA">
              <w:t>Medical</w:t>
            </w:r>
            <w:r>
              <w:t xml:space="preserve"> fitness-to-drive</w:t>
            </w:r>
            <w:r w:rsidRPr="00B238CA">
              <w:t xml:space="preserve"> review services</w:t>
            </w:r>
          </w:p>
          <w:p w14:paraId="077E189F" w14:textId="77777777" w:rsidR="00370DA6" w:rsidRPr="00B238CA" w:rsidRDefault="00370DA6" w:rsidP="00457BB1">
            <w:pPr>
              <w:pStyle w:val="TableList2"/>
            </w:pPr>
            <w:r w:rsidRPr="00B238CA">
              <w:t>Alcohol interlock management services</w:t>
            </w:r>
          </w:p>
          <w:p w14:paraId="0B834B74" w14:textId="77777777" w:rsidR="00370DA6" w:rsidRPr="00B238CA" w:rsidRDefault="00370DA6" w:rsidP="00457BB1">
            <w:pPr>
              <w:pStyle w:val="TableList2"/>
            </w:pPr>
            <w:r w:rsidRPr="00B238CA">
              <w:t xml:space="preserve">Subject Matter </w:t>
            </w:r>
            <w:r>
              <w:t>Expert (SME) support to the CSC</w:t>
            </w:r>
            <w:r w:rsidRPr="00B238CA">
              <w:t>s</w:t>
            </w:r>
          </w:p>
          <w:p w14:paraId="46F263C0" w14:textId="77777777" w:rsidR="00370DA6" w:rsidRDefault="00370DA6" w:rsidP="00285F85">
            <w:pPr>
              <w:pStyle w:val="TableList2"/>
            </w:pPr>
            <w:r>
              <w:t>Generation of customer-requested reports</w:t>
            </w:r>
          </w:p>
          <w:p w14:paraId="5BE9A8F2" w14:textId="77777777" w:rsidR="00370DA6" w:rsidRPr="00B238CA" w:rsidRDefault="00370DA6" w:rsidP="007A0FCA">
            <w:pPr>
              <w:pStyle w:val="TableList2"/>
            </w:pPr>
            <w:r>
              <w:t>Driver behaviour</w:t>
            </w:r>
            <w:r w:rsidRPr="00B238CA">
              <w:t xml:space="preserve"> management</w:t>
            </w:r>
          </w:p>
          <w:p w14:paraId="2E0330D8" w14:textId="77777777" w:rsidR="00370DA6" w:rsidRPr="00B238CA" w:rsidRDefault="00370DA6">
            <w:pPr>
              <w:pStyle w:val="TableList3"/>
            </w:pPr>
            <w:r w:rsidRPr="00B238CA">
              <w:t xml:space="preserve">Demerit point and other sanction (suspensions </w:t>
            </w:r>
            <w:r>
              <w:t>and</w:t>
            </w:r>
            <w:r w:rsidRPr="00B238CA">
              <w:t xml:space="preserve"> cancellations) processing</w:t>
            </w:r>
          </w:p>
          <w:p w14:paraId="4B759BA5" w14:textId="77777777" w:rsidR="00370DA6" w:rsidRPr="00B238CA" w:rsidRDefault="00370DA6">
            <w:pPr>
              <w:pStyle w:val="TableList3"/>
            </w:pPr>
            <w:r w:rsidRPr="00B238CA">
              <w:t>Appeal outcome processing</w:t>
            </w:r>
          </w:p>
          <w:p w14:paraId="79E0E639" w14:textId="77777777" w:rsidR="00370DA6" w:rsidRPr="003A5C1C" w:rsidRDefault="00370DA6" w:rsidP="00370DA6">
            <w:pPr>
              <w:pStyle w:val="TableList1"/>
              <w:ind w:left="360" w:hanging="360"/>
            </w:pPr>
            <w:r w:rsidRPr="00B238CA">
              <w:t>Finance support – customer billing, dishonours, TAC and partner processing support</w:t>
            </w:r>
            <w:r>
              <w:t>.</w:t>
            </w:r>
          </w:p>
        </w:tc>
      </w:tr>
      <w:tr w:rsidR="00370DA6" w:rsidRPr="00EF7B9B" w14:paraId="514D1DA5" w14:textId="77777777" w:rsidTr="00E2454D">
        <w:trPr>
          <w:cnfStyle w:val="000000010000" w:firstRow="0" w:lastRow="0" w:firstColumn="0" w:lastColumn="0" w:oddVBand="0" w:evenVBand="0" w:oddHBand="0" w:evenHBand="1" w:firstRowFirstColumn="0" w:firstRowLastColumn="0" w:lastRowFirstColumn="0" w:lastRowLastColumn="0"/>
        </w:trPr>
        <w:tc>
          <w:tcPr>
            <w:tcW w:w="2154" w:type="dxa"/>
          </w:tcPr>
          <w:p w14:paraId="7AB34ADF" w14:textId="77777777" w:rsidR="00370DA6" w:rsidRPr="0058352C" w:rsidRDefault="00370DA6" w:rsidP="00367B33">
            <w:pPr>
              <w:pStyle w:val="TableParagraph"/>
              <w:rPr>
                <w:b/>
              </w:rPr>
            </w:pPr>
            <w:r w:rsidRPr="0058352C">
              <w:rPr>
                <w:b/>
              </w:rPr>
              <w:t>Business Systems Support</w:t>
            </w:r>
          </w:p>
        </w:tc>
        <w:tc>
          <w:tcPr>
            <w:tcW w:w="7483" w:type="dxa"/>
          </w:tcPr>
          <w:p w14:paraId="4B4C52D5" w14:textId="77777777" w:rsidR="00370DA6" w:rsidRDefault="00370DA6" w:rsidP="00370DA6">
            <w:pPr>
              <w:pStyle w:val="TableList1"/>
              <w:ind w:left="360" w:hanging="360"/>
            </w:pPr>
            <w:r>
              <w:t xml:space="preserve">Operational </w:t>
            </w:r>
            <w:r w:rsidRPr="00B238CA">
              <w:t xml:space="preserve">policy </w:t>
            </w:r>
            <w:r>
              <w:t>development and refinement</w:t>
            </w:r>
          </w:p>
          <w:p w14:paraId="4A129F1A" w14:textId="77777777" w:rsidR="00370DA6" w:rsidRPr="00B238CA" w:rsidRDefault="00370DA6" w:rsidP="00370DA6">
            <w:pPr>
              <w:pStyle w:val="TableList1"/>
              <w:ind w:left="360" w:hanging="360"/>
            </w:pPr>
            <w:r>
              <w:t xml:space="preserve">Development and maintenance of </w:t>
            </w:r>
            <w:r w:rsidRPr="00B238CA">
              <w:t>business rules</w:t>
            </w:r>
          </w:p>
          <w:p w14:paraId="476E8D99" w14:textId="77777777" w:rsidR="00370DA6" w:rsidRPr="00B238CA" w:rsidRDefault="00370DA6" w:rsidP="00370DA6">
            <w:pPr>
              <w:pStyle w:val="TableList1"/>
              <w:ind w:left="360" w:hanging="360"/>
            </w:pPr>
            <w:r>
              <w:t>Production of c</w:t>
            </w:r>
            <w:r w:rsidRPr="00B238CA">
              <w:t>ustomer communications</w:t>
            </w:r>
            <w:r>
              <w:t xml:space="preserve"> material </w:t>
            </w:r>
            <w:r w:rsidRPr="00B238CA">
              <w:t>- brochures, website, notices</w:t>
            </w:r>
            <w:r>
              <w:t>,</w:t>
            </w:r>
            <w:r w:rsidRPr="00B238CA">
              <w:t xml:space="preserve"> etc</w:t>
            </w:r>
          </w:p>
          <w:p w14:paraId="773B08A9" w14:textId="77777777" w:rsidR="00370DA6" w:rsidRPr="00AE7C05" w:rsidRDefault="00370DA6" w:rsidP="00370DA6">
            <w:pPr>
              <w:pStyle w:val="TableList1"/>
              <w:ind w:left="360" w:hanging="360"/>
            </w:pPr>
            <w:r>
              <w:t>Conduct of i</w:t>
            </w:r>
            <w:r w:rsidRPr="00B238CA">
              <w:t>nternal reviews</w:t>
            </w:r>
          </w:p>
          <w:p w14:paraId="2EC832AF" w14:textId="77777777" w:rsidR="00370DA6" w:rsidRPr="003A5C1C" w:rsidRDefault="00370DA6" w:rsidP="00370DA6">
            <w:pPr>
              <w:pStyle w:val="TableList1"/>
              <w:ind w:left="360" w:hanging="360"/>
            </w:pPr>
            <w:r w:rsidRPr="00B238CA">
              <w:t>Systems management, data analysis, reporting, and support</w:t>
            </w:r>
          </w:p>
        </w:tc>
      </w:tr>
      <w:tr w:rsidR="00370DA6" w:rsidRPr="00EF7B9B" w14:paraId="64A368B2" w14:textId="77777777" w:rsidTr="00E2454D">
        <w:tc>
          <w:tcPr>
            <w:tcW w:w="2154" w:type="dxa"/>
          </w:tcPr>
          <w:p w14:paraId="16771404" w14:textId="77777777" w:rsidR="00370DA6" w:rsidRPr="0058352C" w:rsidRDefault="00370DA6" w:rsidP="00367B33">
            <w:pPr>
              <w:pStyle w:val="TableParagraph"/>
              <w:rPr>
                <w:b/>
              </w:rPr>
            </w:pPr>
            <w:r>
              <w:rPr>
                <w:b/>
              </w:rPr>
              <w:t>Payment Services</w:t>
            </w:r>
          </w:p>
        </w:tc>
        <w:tc>
          <w:tcPr>
            <w:tcW w:w="7483" w:type="dxa"/>
          </w:tcPr>
          <w:p w14:paraId="7147A575" w14:textId="77777777" w:rsidR="00370DA6" w:rsidRPr="00AE7C05" w:rsidRDefault="00370DA6" w:rsidP="00370DA6">
            <w:pPr>
              <w:pStyle w:val="TableList1"/>
              <w:ind w:left="360" w:hanging="360"/>
            </w:pPr>
            <w:r>
              <w:t>Processing of c</w:t>
            </w:r>
            <w:r w:rsidRPr="00B238CA">
              <w:t>harges for credit card transactions and Australia Post, Agents and BPAY fees</w:t>
            </w:r>
          </w:p>
        </w:tc>
      </w:tr>
      <w:tr w:rsidR="00370DA6" w:rsidRPr="00EF7B9B" w14:paraId="63F7E641" w14:textId="77777777" w:rsidTr="00E2454D">
        <w:trPr>
          <w:cnfStyle w:val="000000010000" w:firstRow="0" w:lastRow="0" w:firstColumn="0" w:lastColumn="0" w:oddVBand="0" w:evenVBand="0" w:oddHBand="0" w:evenHBand="1" w:firstRowFirstColumn="0" w:firstRowLastColumn="0" w:lastRowFirstColumn="0" w:lastRowLastColumn="0"/>
        </w:trPr>
        <w:tc>
          <w:tcPr>
            <w:tcW w:w="2154" w:type="dxa"/>
          </w:tcPr>
          <w:p w14:paraId="6BF463C8" w14:textId="77777777" w:rsidR="00370DA6" w:rsidRPr="0058352C" w:rsidRDefault="00370DA6" w:rsidP="00367B33">
            <w:pPr>
              <w:pStyle w:val="TableParagraph"/>
              <w:rPr>
                <w:b/>
              </w:rPr>
            </w:pPr>
            <w:r>
              <w:rPr>
                <w:b/>
              </w:rPr>
              <w:t xml:space="preserve">CSC </w:t>
            </w:r>
            <w:r w:rsidRPr="0058352C">
              <w:rPr>
                <w:b/>
              </w:rPr>
              <w:t>Office Depreciation</w:t>
            </w:r>
          </w:p>
        </w:tc>
        <w:tc>
          <w:tcPr>
            <w:tcW w:w="7483" w:type="dxa"/>
          </w:tcPr>
          <w:p w14:paraId="19A4D7CF" w14:textId="77777777" w:rsidR="00370DA6" w:rsidRPr="00AE7C05" w:rsidRDefault="00370DA6" w:rsidP="00370DA6">
            <w:pPr>
              <w:pStyle w:val="TableList1"/>
              <w:ind w:left="360" w:hanging="360"/>
            </w:pPr>
            <w:r w:rsidRPr="00B238CA">
              <w:t>CSC related depreciation costs</w:t>
            </w:r>
          </w:p>
        </w:tc>
      </w:tr>
      <w:tr w:rsidR="00370DA6" w:rsidRPr="00EF7B9B" w14:paraId="2CE83844" w14:textId="77777777" w:rsidTr="00E2454D">
        <w:tc>
          <w:tcPr>
            <w:tcW w:w="2154" w:type="dxa"/>
          </w:tcPr>
          <w:p w14:paraId="38494573" w14:textId="77777777" w:rsidR="00370DA6" w:rsidRPr="0058352C" w:rsidRDefault="00370DA6" w:rsidP="00367B33">
            <w:pPr>
              <w:pStyle w:val="TableParagraph"/>
              <w:rPr>
                <w:b/>
              </w:rPr>
            </w:pPr>
            <w:r w:rsidRPr="0058352C">
              <w:rPr>
                <w:b/>
              </w:rPr>
              <w:t>Business Improvement</w:t>
            </w:r>
          </w:p>
        </w:tc>
        <w:tc>
          <w:tcPr>
            <w:tcW w:w="7483" w:type="dxa"/>
          </w:tcPr>
          <w:p w14:paraId="6DFA0D96" w14:textId="77777777" w:rsidR="00370DA6" w:rsidRPr="00AE7C05" w:rsidRDefault="00370DA6" w:rsidP="00370DA6">
            <w:pPr>
              <w:pStyle w:val="TableList1"/>
              <w:ind w:left="360" w:hanging="360"/>
            </w:pPr>
            <w:r w:rsidRPr="00B238CA">
              <w:t xml:space="preserve">Non-system business improvement projects/initiatives such as document controls, work instructions, process re-engineering, </w:t>
            </w:r>
            <w:r>
              <w:t xml:space="preserve">and </w:t>
            </w:r>
            <w:r w:rsidRPr="00B238CA">
              <w:t>culture development</w:t>
            </w:r>
          </w:p>
        </w:tc>
      </w:tr>
    </w:tbl>
    <w:p w14:paraId="63C35D72" w14:textId="77777777" w:rsidR="00370DA6" w:rsidRDefault="00370DA6" w:rsidP="00370DA6">
      <w:pPr>
        <w:pStyle w:val="Heading3"/>
        <w:spacing w:before="240"/>
      </w:pPr>
      <w:bookmarkStart w:id="670" w:name="_Toc4084209"/>
      <w:bookmarkStart w:id="671" w:name="_Toc10703495"/>
      <w:r>
        <w:t>Indirect</w:t>
      </w:r>
      <w:r w:rsidRPr="00117C96">
        <w:t xml:space="preserve"> </w:t>
      </w:r>
      <w:r>
        <w:t>Cost d</w:t>
      </w:r>
      <w:r w:rsidRPr="00117C96">
        <w:t>etails</w:t>
      </w:r>
      <w:bookmarkEnd w:id="670"/>
      <w:bookmarkEnd w:id="671"/>
    </w:p>
    <w:p w14:paraId="58E4C8F6" w14:textId="77777777" w:rsidR="00370DA6" w:rsidRPr="00B238CA" w:rsidRDefault="00370DA6" w:rsidP="00B9528C">
      <w:pPr>
        <w:pStyle w:val="TextPara"/>
      </w:pPr>
      <w:r w:rsidRPr="00B238CA">
        <w:t xml:space="preserve">Indirect costs </w:t>
      </w:r>
      <w:r w:rsidRPr="00B9528C">
        <w:t>encompass</w:t>
      </w:r>
      <w:r w:rsidRPr="00B238CA">
        <w:t xml:space="preserve"> costs not direc</w:t>
      </w:r>
      <w:r>
        <w:t>tly incurred by R&amp;L, including</w:t>
      </w:r>
      <w:r w:rsidRPr="00B238CA">
        <w:t>:</w:t>
      </w:r>
    </w:p>
    <w:p w14:paraId="5BFE6A72" w14:textId="77777777" w:rsidR="00370DA6" w:rsidRPr="00B238CA" w:rsidRDefault="00370DA6" w:rsidP="00370DA6">
      <w:pPr>
        <w:pStyle w:val="Bullet1-Black"/>
      </w:pPr>
      <w:r>
        <w:t xml:space="preserve">a </w:t>
      </w:r>
      <w:r w:rsidRPr="00B238CA">
        <w:t xml:space="preserve">portion of the annual costs of corporate management. The functions that are shared across VicRoads </w:t>
      </w:r>
      <w:r>
        <w:t xml:space="preserve">include </w:t>
      </w:r>
      <w:r w:rsidRPr="00B238CA">
        <w:t xml:space="preserve">management accounting, legal services, </w:t>
      </w:r>
      <w:r>
        <w:t xml:space="preserve">and </w:t>
      </w:r>
      <w:r w:rsidRPr="00B238CA">
        <w:t>human resources</w:t>
      </w:r>
    </w:p>
    <w:p w14:paraId="4A467287" w14:textId="77777777" w:rsidR="00370DA6" w:rsidRPr="00B238CA" w:rsidRDefault="00370DA6" w:rsidP="00370DA6">
      <w:pPr>
        <w:pStyle w:val="Bullet1-Black"/>
      </w:pPr>
      <w:r>
        <w:t xml:space="preserve">the estimated </w:t>
      </w:r>
      <w:r w:rsidRPr="00B238CA">
        <w:t xml:space="preserve">annual cost to provide R&amp;L’s </w:t>
      </w:r>
      <w:r>
        <w:t>Information Technology</w:t>
      </w:r>
      <w:r w:rsidRPr="00B238CA">
        <w:t xml:space="preserve"> business systems (i.e. excluding desktop applications) based on the expected long-term costs to build and maintain those systems </w:t>
      </w:r>
      <w:r>
        <w:t xml:space="preserve">to support the delivery of </w:t>
      </w:r>
      <w:r w:rsidRPr="00B238CA">
        <w:t xml:space="preserve">the </w:t>
      </w:r>
      <w:r>
        <w:t xml:space="preserve">projected </w:t>
      </w:r>
      <w:r w:rsidRPr="00B238CA">
        <w:t>services required</w:t>
      </w:r>
      <w:r>
        <w:t xml:space="preserve"> over the next 10 years</w:t>
      </w:r>
      <w:r w:rsidRPr="00B238CA">
        <w:t>.</w:t>
      </w:r>
    </w:p>
    <w:p w14:paraId="0BA47A17" w14:textId="77777777" w:rsidR="00370DA6" w:rsidRPr="00B238CA" w:rsidRDefault="00370DA6" w:rsidP="00B9528C">
      <w:pPr>
        <w:pStyle w:val="TextPara"/>
      </w:pPr>
      <w:r w:rsidRPr="00B238CA">
        <w:rPr>
          <w:b/>
        </w:rPr>
        <w:t>Note</w:t>
      </w:r>
      <w:r w:rsidRPr="00B238CA">
        <w:t>: Floor space and desktop top facilities are included in staffing costs as part of R&amp;L’</w:t>
      </w:r>
      <w:r>
        <w:t>s Direct C</w:t>
      </w:r>
      <w:r w:rsidRPr="00B238CA">
        <w:t>osts.</w:t>
      </w:r>
    </w:p>
    <w:p w14:paraId="3FEC7E0D" w14:textId="028CC290" w:rsidR="00370DA6" w:rsidRDefault="005465DE" w:rsidP="005F150A">
      <w:pPr>
        <w:pStyle w:val="TextPara"/>
      </w:pPr>
      <w:r>
        <w:rPr>
          <w:rFonts w:cs="Segoe UI"/>
          <w:szCs w:val="20"/>
        </w:rPr>
        <w:fldChar w:fldCharType="begin"/>
      </w:r>
      <w:r>
        <w:rPr>
          <w:rFonts w:cs="Segoe UI"/>
          <w:szCs w:val="20"/>
        </w:rPr>
        <w:instrText xml:space="preserve"> REF _Ref4403771 \h </w:instrText>
      </w:r>
      <w:r>
        <w:rPr>
          <w:rFonts w:cs="Segoe UI"/>
          <w:szCs w:val="20"/>
        </w:rPr>
      </w:r>
      <w:r>
        <w:rPr>
          <w:rFonts w:cs="Segoe UI"/>
          <w:szCs w:val="20"/>
        </w:rPr>
        <w:fldChar w:fldCharType="separate"/>
      </w:r>
      <w:r w:rsidR="00EB4B02">
        <w:t xml:space="preserve">Table </w:t>
      </w:r>
      <w:r w:rsidR="00EB4B02">
        <w:rPr>
          <w:noProof/>
        </w:rPr>
        <w:t>43</w:t>
      </w:r>
      <w:r>
        <w:rPr>
          <w:rFonts w:cs="Segoe UI"/>
          <w:szCs w:val="20"/>
        </w:rPr>
        <w:fldChar w:fldCharType="end"/>
      </w:r>
      <w:r>
        <w:rPr>
          <w:rFonts w:cs="Segoe UI"/>
          <w:szCs w:val="20"/>
        </w:rPr>
        <w:t xml:space="preserve"> </w:t>
      </w:r>
      <w:r w:rsidR="00370DA6" w:rsidRPr="00B238CA">
        <w:rPr>
          <w:rFonts w:cs="Segoe UI"/>
          <w:szCs w:val="20"/>
        </w:rPr>
        <w:t xml:space="preserve">provides a list of </w:t>
      </w:r>
      <w:r w:rsidR="003B2937">
        <w:rPr>
          <w:rFonts w:cs="Segoe UI"/>
          <w:szCs w:val="20"/>
        </w:rPr>
        <w:t>I</w:t>
      </w:r>
      <w:r w:rsidR="00370DA6" w:rsidRPr="00B238CA">
        <w:rPr>
          <w:rFonts w:cs="Segoe UI"/>
          <w:szCs w:val="20"/>
        </w:rPr>
        <w:t>ndirect cost groups</w:t>
      </w:r>
      <w:r w:rsidR="00370DA6">
        <w:rPr>
          <w:rFonts w:cs="Segoe UI"/>
          <w:szCs w:val="20"/>
        </w:rPr>
        <w:t>, the portion allocated to R&amp;L,</w:t>
      </w:r>
      <w:r w:rsidR="00370DA6" w:rsidRPr="00B238CA">
        <w:rPr>
          <w:rFonts w:cs="Segoe UI"/>
          <w:szCs w:val="20"/>
        </w:rPr>
        <w:t xml:space="preserve"> and a summary of the scope of each group.</w:t>
      </w:r>
    </w:p>
    <w:p w14:paraId="6EAC8D50" w14:textId="7D1955DE" w:rsidR="00370DA6" w:rsidRDefault="00370DA6" w:rsidP="00AA0BBA">
      <w:pPr>
        <w:pStyle w:val="Caption"/>
      </w:pPr>
      <w:bookmarkStart w:id="672" w:name="_Ref4403771"/>
      <w:bookmarkStart w:id="673" w:name="_Toc4084325"/>
      <w:bookmarkStart w:id="674" w:name="_Toc10703736"/>
      <w:r>
        <w:lastRenderedPageBreak/>
        <w:t xml:space="preserve">Table </w:t>
      </w:r>
      <w:r>
        <w:rPr>
          <w:noProof/>
        </w:rPr>
        <w:fldChar w:fldCharType="begin"/>
      </w:r>
      <w:r>
        <w:rPr>
          <w:noProof/>
        </w:rPr>
        <w:instrText xml:space="preserve"> SEQ Table \* ARABIC </w:instrText>
      </w:r>
      <w:r>
        <w:rPr>
          <w:noProof/>
        </w:rPr>
        <w:fldChar w:fldCharType="separate"/>
      </w:r>
      <w:r w:rsidR="00EB4B02">
        <w:rPr>
          <w:noProof/>
        </w:rPr>
        <w:t>43</w:t>
      </w:r>
      <w:r>
        <w:rPr>
          <w:noProof/>
        </w:rPr>
        <w:fldChar w:fldCharType="end"/>
      </w:r>
      <w:bookmarkEnd w:id="672"/>
      <w:r>
        <w:t xml:space="preserve"> – </w:t>
      </w:r>
      <w:r w:rsidRPr="003A74B3">
        <w:t>R&amp;L Overhead Cost descriptions</w:t>
      </w:r>
      <w:bookmarkEnd w:id="673"/>
      <w:bookmarkEnd w:id="674"/>
    </w:p>
    <w:tbl>
      <w:tblPr>
        <w:tblStyle w:val="RIS-Table2"/>
        <w:tblW w:w="9498" w:type="dxa"/>
        <w:tblLayout w:type="fixed"/>
        <w:tblLook w:val="04A0" w:firstRow="1" w:lastRow="0" w:firstColumn="1" w:lastColumn="0" w:noHBand="0" w:noVBand="1"/>
      </w:tblPr>
      <w:tblGrid>
        <w:gridCol w:w="1696"/>
        <w:gridCol w:w="7802"/>
      </w:tblGrid>
      <w:tr w:rsidR="00370DA6" w:rsidRPr="00117C96" w14:paraId="77DEAA4A" w14:textId="77777777" w:rsidTr="00370DA6">
        <w:trPr>
          <w:cnfStyle w:val="100000000000" w:firstRow="1" w:lastRow="0" w:firstColumn="0" w:lastColumn="0" w:oddVBand="0" w:evenVBand="0" w:oddHBand="0" w:evenHBand="0" w:firstRowFirstColumn="0" w:firstRowLastColumn="0" w:lastRowFirstColumn="0" w:lastRowLastColumn="0"/>
        </w:trPr>
        <w:tc>
          <w:tcPr>
            <w:tcW w:w="1696" w:type="dxa"/>
          </w:tcPr>
          <w:p w14:paraId="6CB63909" w14:textId="77777777" w:rsidR="00370DA6" w:rsidRPr="00117C96" w:rsidRDefault="00370DA6" w:rsidP="006B6D5C">
            <w:pPr>
              <w:pStyle w:val="TableHeaders"/>
            </w:pPr>
            <w:r>
              <w:t>Cost</w:t>
            </w:r>
            <w:r w:rsidRPr="00117C96">
              <w:t xml:space="preserve"> Group</w:t>
            </w:r>
          </w:p>
        </w:tc>
        <w:tc>
          <w:tcPr>
            <w:tcW w:w="7802" w:type="dxa"/>
          </w:tcPr>
          <w:p w14:paraId="25B6FB98" w14:textId="77777777" w:rsidR="00370DA6" w:rsidRPr="00117C96" w:rsidRDefault="00370DA6" w:rsidP="006B6D5C">
            <w:pPr>
              <w:pStyle w:val="TableHeaders"/>
            </w:pPr>
            <w:r w:rsidRPr="00117C96">
              <w:t>Description</w:t>
            </w:r>
          </w:p>
        </w:tc>
      </w:tr>
      <w:tr w:rsidR="00370DA6" w:rsidRPr="00EF7B9B" w14:paraId="2DE47E87" w14:textId="77777777" w:rsidTr="00370DA6">
        <w:tc>
          <w:tcPr>
            <w:tcW w:w="1696" w:type="dxa"/>
          </w:tcPr>
          <w:p w14:paraId="3437E24D" w14:textId="77777777" w:rsidR="00370DA6" w:rsidRPr="004B2371" w:rsidRDefault="00370DA6" w:rsidP="00367B33">
            <w:pPr>
              <w:pStyle w:val="TableParagraph"/>
              <w:rPr>
                <w:b/>
              </w:rPr>
            </w:pPr>
            <w:r w:rsidRPr="004B2371">
              <w:rPr>
                <w:b/>
              </w:rPr>
              <w:t xml:space="preserve">Corporate </w:t>
            </w:r>
            <w:r>
              <w:rPr>
                <w:b/>
              </w:rPr>
              <w:t>Overheads</w:t>
            </w:r>
          </w:p>
        </w:tc>
        <w:tc>
          <w:tcPr>
            <w:tcW w:w="7802" w:type="dxa"/>
          </w:tcPr>
          <w:p w14:paraId="5EF182E8" w14:textId="77777777" w:rsidR="00370DA6" w:rsidRPr="00B238CA" w:rsidRDefault="00370DA6" w:rsidP="00E45F70">
            <w:pPr>
              <w:pStyle w:val="TableParagraph"/>
            </w:pPr>
            <w:r w:rsidRPr="00B238CA">
              <w:t>A share of corporate overheads is allocated to R&amp;L</w:t>
            </w:r>
            <w:r>
              <w:t>,</w:t>
            </w:r>
            <w:r w:rsidRPr="00B238CA">
              <w:t xml:space="preserve"> using </w:t>
            </w:r>
            <w:r>
              <w:t xml:space="preserve">either </w:t>
            </w:r>
            <w:r w:rsidRPr="00B238CA">
              <w:t xml:space="preserve">EFT numbers </w:t>
            </w:r>
            <w:r>
              <w:t xml:space="preserve">or total divisional </w:t>
            </w:r>
            <w:r w:rsidRPr="00B238CA">
              <w:t>expenditure</w:t>
            </w:r>
            <w:r>
              <w:t>,</w:t>
            </w:r>
            <w:r w:rsidRPr="00B238CA">
              <w:t xml:space="preserve"> </w:t>
            </w:r>
            <w:r>
              <w:t xml:space="preserve">as there is no </w:t>
            </w:r>
            <w:r w:rsidRPr="00B238CA">
              <w:t xml:space="preserve">staff </w:t>
            </w:r>
            <w:r w:rsidRPr="00E45F70">
              <w:t>activity</w:t>
            </w:r>
            <w:r w:rsidRPr="00B238CA">
              <w:t xml:space="preserve"> recording</w:t>
            </w:r>
            <w:r>
              <w:t xml:space="preserve"> for these corporate cost areas that would enable </w:t>
            </w:r>
            <w:r w:rsidRPr="00B238CA">
              <w:t>a m</w:t>
            </w:r>
            <w:r>
              <w:t>ore accurate allocation of cost.</w:t>
            </w:r>
          </w:p>
          <w:p w14:paraId="7237DD70" w14:textId="77777777" w:rsidR="00370DA6" w:rsidRPr="00E45F70" w:rsidRDefault="00370DA6" w:rsidP="00370DA6">
            <w:pPr>
              <w:pStyle w:val="TableList1"/>
              <w:ind w:left="360" w:hanging="360"/>
            </w:pPr>
            <w:r w:rsidRPr="00B238CA">
              <w:t>EFT proportion (R&amp;L</w:t>
            </w:r>
            <w:r>
              <w:t>’s</w:t>
            </w:r>
            <w:r w:rsidRPr="00B238CA">
              <w:t xml:space="preserve"> </w:t>
            </w:r>
            <w:r>
              <w:t>staffing level makes up</w:t>
            </w:r>
            <w:r w:rsidRPr="00B238CA">
              <w:t xml:space="preserve"> 23</w:t>
            </w:r>
            <w:r w:rsidRPr="00E45F70">
              <w:t>.5% of total VicRoads) has been used to apportion costs from functions that include Corporate Management, People and Culture, Marketing and Business Transformation costs</w:t>
            </w:r>
            <w:r>
              <w:t>.</w:t>
            </w:r>
          </w:p>
          <w:p w14:paraId="643705C0" w14:textId="77777777" w:rsidR="00370DA6" w:rsidRPr="007C7894" w:rsidRDefault="00370DA6" w:rsidP="00370DA6">
            <w:pPr>
              <w:pStyle w:val="TableList1"/>
              <w:ind w:left="360" w:hanging="360"/>
            </w:pPr>
            <w:r w:rsidRPr="00E45F70">
              <w:t>Expenditure (R&amp;L</w:t>
            </w:r>
            <w:r>
              <w:t xml:space="preserve">’s annual expenditure amounts to </w:t>
            </w:r>
            <w:r w:rsidRPr="00E45F70">
              <w:t>8.2% of</w:t>
            </w:r>
            <w:r w:rsidRPr="00B238CA">
              <w:t xml:space="preserve"> total VicRoads) has been used to apportion costs from functions that include Finance, Legal, Risk and Purchasing function costs</w:t>
            </w:r>
            <w:r>
              <w:t>.</w:t>
            </w:r>
          </w:p>
        </w:tc>
      </w:tr>
      <w:tr w:rsidR="00370DA6" w:rsidRPr="00EF7B9B" w14:paraId="74502FC6" w14:textId="77777777" w:rsidTr="00370DA6">
        <w:trPr>
          <w:cnfStyle w:val="000000010000" w:firstRow="0" w:lastRow="0" w:firstColumn="0" w:lastColumn="0" w:oddVBand="0" w:evenVBand="0" w:oddHBand="0" w:evenHBand="1" w:firstRowFirstColumn="0" w:firstRowLastColumn="0" w:lastRowFirstColumn="0" w:lastRowLastColumn="0"/>
        </w:trPr>
        <w:tc>
          <w:tcPr>
            <w:tcW w:w="1696" w:type="dxa"/>
          </w:tcPr>
          <w:p w14:paraId="31D6CA79" w14:textId="77777777" w:rsidR="00370DA6" w:rsidRPr="004B2371" w:rsidRDefault="00370DA6" w:rsidP="007C7894">
            <w:pPr>
              <w:pStyle w:val="TableParagraph"/>
              <w:rPr>
                <w:b/>
              </w:rPr>
            </w:pPr>
            <w:r w:rsidRPr="004B2371">
              <w:rPr>
                <w:b/>
              </w:rPr>
              <w:t>Systems Depreciation</w:t>
            </w:r>
          </w:p>
        </w:tc>
        <w:tc>
          <w:tcPr>
            <w:tcW w:w="7802" w:type="dxa"/>
          </w:tcPr>
          <w:p w14:paraId="18225E19" w14:textId="77777777" w:rsidR="00370DA6" w:rsidRPr="00B238CA" w:rsidRDefault="00370DA6" w:rsidP="00E45F70">
            <w:pPr>
              <w:pStyle w:val="TableParagraph"/>
            </w:pPr>
            <w:r w:rsidRPr="00B238CA">
              <w:t>The in</w:t>
            </w:r>
            <w:r>
              <w:t>vestments in system development</w:t>
            </w:r>
            <w:r w:rsidRPr="00B238CA">
              <w:t xml:space="preserve"> is not a fixed sum year on year. There are peaks and troughs in expenditure depending on the suite of initiatives, available funds and requi</w:t>
            </w:r>
            <w:r>
              <w:t xml:space="preserve">rements for change. A ‘total cost </w:t>
            </w:r>
            <w:r w:rsidRPr="00B238CA">
              <w:t>of</w:t>
            </w:r>
            <w:r>
              <w:t xml:space="preserve"> ownership’</w:t>
            </w:r>
            <w:r w:rsidRPr="00B238CA">
              <w:t xml:space="preserve"> approach has been applied to assess, over the long term (10 years and more)</w:t>
            </w:r>
            <w:r>
              <w:t>,</w:t>
            </w:r>
            <w:r w:rsidRPr="00B238CA">
              <w:t xml:space="preserve"> the costs of provisioning an </w:t>
            </w:r>
            <w:r>
              <w:t>Information Technology</w:t>
            </w:r>
            <w:r w:rsidRPr="00B238CA">
              <w:t xml:space="preserve"> environment that </w:t>
            </w:r>
            <w:r>
              <w:t>meets the</w:t>
            </w:r>
            <w:r w:rsidRPr="00B238CA">
              <w:t xml:space="preserve"> needs of the day. This approach then enables the </w:t>
            </w:r>
            <w:r w:rsidRPr="00B9528C">
              <w:t>application</w:t>
            </w:r>
            <w:r w:rsidRPr="00B238CA">
              <w:t xml:space="preserve"> of a standard annual </w:t>
            </w:r>
            <w:r>
              <w:t>Information Technology</w:t>
            </w:r>
            <w:r w:rsidRPr="00B238CA">
              <w:t xml:space="preserve"> infrastructure cost when determining the total cost to deliver the registration and licensing services.</w:t>
            </w:r>
          </w:p>
          <w:p w14:paraId="7980AC43" w14:textId="77777777" w:rsidR="00370DA6" w:rsidRPr="00B238CA" w:rsidRDefault="00370DA6" w:rsidP="00B9528C">
            <w:pPr>
              <w:pStyle w:val="TableParagraph"/>
              <w:rPr>
                <w:bCs w:val="0"/>
                <w:color w:val="0D0D0D"/>
              </w:rPr>
            </w:pPr>
            <w:r w:rsidRPr="00B238CA">
              <w:t xml:space="preserve">The systems investment has </w:t>
            </w:r>
            <w:r w:rsidRPr="00B9528C">
              <w:t>been</w:t>
            </w:r>
            <w:r w:rsidRPr="00B238CA">
              <w:t xml:space="preserve"> broken into two groups:</w:t>
            </w:r>
          </w:p>
          <w:p w14:paraId="585D759B" w14:textId="77777777" w:rsidR="00370DA6" w:rsidRPr="0025681E" w:rsidRDefault="00370DA6" w:rsidP="00370DA6">
            <w:pPr>
              <w:pStyle w:val="TableParagraph"/>
              <w:numPr>
                <w:ilvl w:val="6"/>
                <w:numId w:val="8"/>
              </w:numPr>
              <w:tabs>
                <w:tab w:val="left" w:pos="320"/>
              </w:tabs>
              <w:ind w:left="320" w:hanging="284"/>
              <w:rPr>
                <w:b/>
              </w:rPr>
            </w:pPr>
            <w:r w:rsidRPr="00E45F70">
              <w:rPr>
                <w:b/>
              </w:rPr>
              <w:t>Core systems</w:t>
            </w:r>
            <w:r w:rsidRPr="00E45F70">
              <w:t xml:space="preserve">, being the Vehicle Registration </w:t>
            </w:r>
            <w:r>
              <w:t>and Identification</w:t>
            </w:r>
            <w:r w:rsidRPr="00E45F70">
              <w:t xml:space="preserve"> System (VRIS) and the </w:t>
            </w:r>
            <w:r w:rsidRPr="00E857BB">
              <w:t>Driver</w:t>
            </w:r>
            <w:r w:rsidRPr="00E45F70">
              <w:t xml:space="preserve"> Licensing System (DLS), provide most of the technology functions to run the R&amp;L business. These systems:</w:t>
            </w:r>
          </w:p>
          <w:p w14:paraId="1475B179" w14:textId="77777777" w:rsidR="00370DA6" w:rsidRPr="00B238CA" w:rsidRDefault="00370DA6" w:rsidP="00370DA6">
            <w:pPr>
              <w:pStyle w:val="TableList1"/>
              <w:ind w:left="597" w:hanging="360"/>
            </w:pPr>
            <w:r w:rsidRPr="00B238CA">
              <w:t xml:space="preserve">have extensive coverage of the business functions to manage the licensing and registration records. These systems are bespoke applications which are now 30+ years old. </w:t>
            </w:r>
            <w:r>
              <w:t>They have</w:t>
            </w:r>
            <w:r w:rsidRPr="00B238CA">
              <w:t xml:space="preserve"> extensive levels of integration, customisation</w:t>
            </w:r>
            <w:r>
              <w:t>,</w:t>
            </w:r>
            <w:r w:rsidRPr="00B238CA">
              <w:t xml:space="preserve"> and connectivity to other applications required to run the business</w:t>
            </w:r>
            <w:r>
              <w:t>. T</w:t>
            </w:r>
            <w:r w:rsidRPr="00B238CA">
              <w:t xml:space="preserve">he modern equivalent of these systems </w:t>
            </w:r>
            <w:r>
              <w:t>would be</w:t>
            </w:r>
            <w:r w:rsidRPr="00B238CA">
              <w:t xml:space="preserve"> Enterprise Resource Planning (ERP) applications</w:t>
            </w:r>
            <w:r>
              <w:t>.</w:t>
            </w:r>
            <w:r w:rsidRPr="00B238CA">
              <w:t xml:space="preserve"> </w:t>
            </w:r>
          </w:p>
          <w:p w14:paraId="02263398" w14:textId="77777777" w:rsidR="00370DA6" w:rsidRPr="00B238CA" w:rsidRDefault="00370DA6" w:rsidP="005F6F8B">
            <w:pPr>
              <w:pStyle w:val="TableList1"/>
              <w:numPr>
                <w:ilvl w:val="0"/>
                <w:numId w:val="0"/>
              </w:numPr>
              <w:ind w:left="623"/>
            </w:pPr>
            <w:r w:rsidRPr="00B238CA">
              <w:t xml:space="preserve">As at 2018, ERP systems have a typical life of 10 to 15 years before a major overhaul or replacement is required due to technology advances, pressure to contain operating costs and customer demands. This differs from many of the bespoke, mainframes systems of the past, including VRIS and DLS, which have </w:t>
            </w:r>
            <w:r>
              <w:t xml:space="preserve">a system life of more than 20 </w:t>
            </w:r>
            <w:r w:rsidRPr="00B238CA">
              <w:t>years</w:t>
            </w:r>
            <w:r>
              <w:t xml:space="preserve"> but</w:t>
            </w:r>
            <w:r w:rsidRPr="00B238CA">
              <w:t xml:space="preserve"> are inflexible and expensive to change. </w:t>
            </w:r>
          </w:p>
          <w:p w14:paraId="0E961062" w14:textId="77777777" w:rsidR="00370DA6" w:rsidRPr="00B238CA" w:rsidRDefault="00370DA6" w:rsidP="00AC190A">
            <w:pPr>
              <w:pStyle w:val="TableList1"/>
              <w:numPr>
                <w:ilvl w:val="0"/>
                <w:numId w:val="0"/>
              </w:numPr>
              <w:ind w:left="623"/>
            </w:pPr>
            <w:r w:rsidRPr="00B238CA">
              <w:t>Shifts in technology, customer demands (for access to services, personalised information, and immediacy of service) and pressure to contain cost have driven the need for greater flexibility. In the next regulatory period (2019 – 2029) a major system overhaul will be required to respond to customer, policy and legislative needs</w:t>
            </w:r>
            <w:r>
              <w:t>. G</w:t>
            </w:r>
            <w:r w:rsidRPr="00B238CA">
              <w:t xml:space="preserve">iven </w:t>
            </w:r>
            <w:r>
              <w:t xml:space="preserve">that </w:t>
            </w:r>
            <w:r w:rsidRPr="00B238CA">
              <w:t>the ar</w:t>
            </w:r>
            <w:r>
              <w:t xml:space="preserve">chitecture of the VRIS and DLS systems is over 30 years old, and </w:t>
            </w:r>
            <w:r w:rsidRPr="00B238CA">
              <w:t xml:space="preserve">the obsolescence </w:t>
            </w:r>
            <w:r>
              <w:t xml:space="preserve">of its underpinning </w:t>
            </w:r>
            <w:r w:rsidRPr="00B238CA">
              <w:t>technology</w:t>
            </w:r>
            <w:r>
              <w:t xml:space="preserve">, it is expected these systems will be replaced as part the overhaul. </w:t>
            </w:r>
          </w:p>
          <w:p w14:paraId="2DFF41FE" w14:textId="77777777" w:rsidR="00370DA6" w:rsidRPr="00B238CA" w:rsidRDefault="00370DA6" w:rsidP="00370DA6">
            <w:pPr>
              <w:pStyle w:val="TableList1"/>
              <w:ind w:left="597" w:hanging="360"/>
            </w:pPr>
            <w:r w:rsidRPr="00B238CA">
              <w:t xml:space="preserve">have been assessed as having a replacement value of </w:t>
            </w:r>
            <w:r>
              <w:t xml:space="preserve">between </w:t>
            </w:r>
            <w:r w:rsidRPr="00B238CA">
              <w:t xml:space="preserve">$280m </w:t>
            </w:r>
            <w:r>
              <w:t>and $300m based on the RandL P</w:t>
            </w:r>
            <w:r w:rsidRPr="00B238CA">
              <w:t>roject</w:t>
            </w:r>
            <w:r>
              <w:t xml:space="preserve"> (intended to replace the VRIS</w:t>
            </w:r>
            <w:r w:rsidRPr="00B238CA">
              <w:t xml:space="preserve"> and </w:t>
            </w:r>
            <w:r>
              <w:t>DLS</w:t>
            </w:r>
            <w:r w:rsidRPr="00B238CA">
              <w:t xml:space="preserve"> systems </w:t>
            </w:r>
            <w:r>
              <w:t>but did not progress to completion)</w:t>
            </w:r>
            <w:r w:rsidRPr="00B238CA">
              <w:t xml:space="preserve"> and industry advice from DXC Technology Company</w:t>
            </w:r>
            <w:r>
              <w:t xml:space="preserve"> (</w:t>
            </w:r>
            <w:r w:rsidRPr="00B238CA">
              <w:t>the provider of system support and maintenance servic</w:t>
            </w:r>
            <w:r>
              <w:t>es for the VRIS and DLS systems)</w:t>
            </w:r>
            <w:r w:rsidRPr="00B238CA">
              <w:t>. Depreciation of $290m over 12.5 years equates to $23.20m annually.</w:t>
            </w:r>
          </w:p>
          <w:p w14:paraId="34937535" w14:textId="77777777" w:rsidR="00370DA6" w:rsidRPr="0025681E" w:rsidRDefault="00370DA6" w:rsidP="00370DA6">
            <w:pPr>
              <w:pStyle w:val="TableParagraph"/>
              <w:numPr>
                <w:ilvl w:val="6"/>
                <w:numId w:val="8"/>
              </w:numPr>
              <w:tabs>
                <w:tab w:val="left" w:pos="320"/>
              </w:tabs>
              <w:ind w:left="320" w:hanging="284"/>
              <w:rPr>
                <w:b/>
              </w:rPr>
            </w:pPr>
            <w:r w:rsidRPr="00E45F70">
              <w:rPr>
                <w:b/>
              </w:rPr>
              <w:t>Supplementary systems</w:t>
            </w:r>
            <w:r w:rsidRPr="00E45F70">
              <w:t xml:space="preserve"> </w:t>
            </w:r>
            <w:r w:rsidRPr="00DB4C8E">
              <w:t>(i.e. telephony applications, productivity/workforce management applications, web applications, tactical customer management applications, standard business applications etc.), which have a typical life of 4-6 years before a major overhaul or replacement is required.</w:t>
            </w:r>
            <w:r w:rsidRPr="00DB4C8E">
              <w:rPr>
                <w:b/>
                <w:sz w:val="22"/>
              </w:rPr>
              <w:t xml:space="preserve"> </w:t>
            </w:r>
          </w:p>
          <w:p w14:paraId="1804341E" w14:textId="05D114BB" w:rsidR="00370DA6" w:rsidRPr="00EF7B9B" w:rsidRDefault="00370DA6" w:rsidP="00370DA6">
            <w:pPr>
              <w:pStyle w:val="TableParagraph"/>
              <w:ind w:left="320"/>
              <w:rPr>
                <w:color w:val="0D0D0D"/>
              </w:rPr>
            </w:pPr>
            <w:r w:rsidRPr="00826257">
              <w:t xml:space="preserve">The replacement value of the various </w:t>
            </w:r>
            <w:r>
              <w:t xml:space="preserve">supplementary </w:t>
            </w:r>
            <w:r w:rsidRPr="00826257">
              <w:t xml:space="preserve">systems has been assessed at between $21.6m </w:t>
            </w:r>
            <w:r>
              <w:t>and</w:t>
            </w:r>
            <w:r w:rsidRPr="00826257">
              <w:t xml:space="preserve"> $35.8m based on </w:t>
            </w:r>
            <w:r>
              <w:t xml:space="preserve">the </w:t>
            </w:r>
            <w:r w:rsidRPr="00826257">
              <w:t xml:space="preserve">recent implementation of </w:t>
            </w:r>
            <w:r>
              <w:t xml:space="preserve">the </w:t>
            </w:r>
            <w:r w:rsidRPr="00826257">
              <w:t>web</w:t>
            </w:r>
            <w:r w:rsidR="008143FB" w:rsidRPr="00826257">
              <w:t>-</w:t>
            </w:r>
            <w:r w:rsidRPr="00826257">
              <w:t xml:space="preserve">based customer access application </w:t>
            </w:r>
            <w:r>
              <w:t xml:space="preserve">and </w:t>
            </w:r>
            <w:r w:rsidRPr="00826257">
              <w:t xml:space="preserve">case management application. Depreciation has been </w:t>
            </w:r>
            <w:r>
              <w:t>estimated</w:t>
            </w:r>
            <w:r w:rsidRPr="00826257">
              <w:t xml:space="preserve"> at $4.8m annually based on a mixture of life spans for the systems involved.</w:t>
            </w:r>
          </w:p>
        </w:tc>
      </w:tr>
      <w:tr w:rsidR="00370DA6" w:rsidRPr="00EF7B9B" w14:paraId="3CD1634C" w14:textId="77777777" w:rsidTr="00370DA6">
        <w:tc>
          <w:tcPr>
            <w:tcW w:w="1696" w:type="dxa"/>
          </w:tcPr>
          <w:p w14:paraId="4345A6B5" w14:textId="77777777" w:rsidR="00370DA6" w:rsidRPr="004B2371" w:rsidRDefault="00370DA6" w:rsidP="007C7894">
            <w:pPr>
              <w:pStyle w:val="TableParagraph"/>
              <w:rPr>
                <w:b/>
              </w:rPr>
            </w:pPr>
            <w:r w:rsidRPr="004B2371">
              <w:rPr>
                <w:b/>
              </w:rPr>
              <w:lastRenderedPageBreak/>
              <w:t xml:space="preserve">Systems Upkeep </w:t>
            </w:r>
          </w:p>
        </w:tc>
        <w:tc>
          <w:tcPr>
            <w:tcW w:w="7802" w:type="dxa"/>
          </w:tcPr>
          <w:p w14:paraId="62193742" w14:textId="77777777" w:rsidR="00370DA6" w:rsidRPr="00B238CA" w:rsidRDefault="00370DA6" w:rsidP="008422B1">
            <w:pPr>
              <w:pStyle w:val="TableParagraph"/>
            </w:pPr>
            <w:r w:rsidRPr="00B238CA">
              <w:t>All systems (core and supplementary) require ongoing investment to maintain currency of the systems to meet the demands of the mar</w:t>
            </w:r>
            <w:r>
              <w:t>ket. Examples of this include s</w:t>
            </w:r>
            <w:r w:rsidRPr="00B238CA">
              <w:t>ystem version upgrades (vendor updates)</w:t>
            </w:r>
            <w:r>
              <w:t>,</w:t>
            </w:r>
            <w:r w:rsidRPr="00B238CA">
              <w:t xml:space="preserve"> </w:t>
            </w:r>
            <w:r>
              <w:t>configuration updates</w:t>
            </w:r>
            <w:r w:rsidRPr="00B238CA">
              <w:t>, new service or product offerings, catering for organisational change and customer demands, and compliance requirements to meet changes in legislation and regulations</w:t>
            </w:r>
            <w:r>
              <w:t>.</w:t>
            </w:r>
          </w:p>
          <w:p w14:paraId="7C69C015" w14:textId="77777777" w:rsidR="00370DA6" w:rsidRPr="00B238CA" w:rsidRDefault="00370DA6" w:rsidP="008422B1">
            <w:pPr>
              <w:pStyle w:val="TableParagraph"/>
            </w:pPr>
            <w:r w:rsidRPr="00B238CA">
              <w:t>DLS and VRIS are bespoke applications built on legacy technology. Changes to these systems are significantly more expensive than modern ERP applications as much of the functionality is hard coded. It is expected that during the new regulatory period</w:t>
            </w:r>
            <w:r>
              <w:t>,</w:t>
            </w:r>
            <w:r w:rsidRPr="00B238CA">
              <w:t xml:space="preserve"> a core systems replacement will occur after which time the systems upkeep costs will </w:t>
            </w:r>
            <w:r>
              <w:t>lower</w:t>
            </w:r>
            <w:r w:rsidRPr="00B238CA">
              <w:t>.</w:t>
            </w:r>
          </w:p>
          <w:p w14:paraId="7FFACF0D" w14:textId="77777777" w:rsidR="00370DA6" w:rsidRPr="00B238CA" w:rsidRDefault="00370DA6" w:rsidP="008422B1">
            <w:pPr>
              <w:pStyle w:val="TableParagraph"/>
            </w:pPr>
            <w:r w:rsidRPr="00B238CA">
              <w:t xml:space="preserve">Recent system updates include online capability enhancements, customer and case management applications, </w:t>
            </w:r>
            <w:r w:rsidRPr="008422B1">
              <w:t>payment</w:t>
            </w:r>
            <w:r>
              <w:t xml:space="preserve"> option enhancements, short-</w:t>
            </w:r>
            <w:r w:rsidRPr="00B238CA">
              <w:t>term registration introduction, and various process improvements. These developments cost $14.46m in FY15/16 and $18.18m in FY16/17.</w:t>
            </w:r>
          </w:p>
          <w:p w14:paraId="53E61571" w14:textId="77777777" w:rsidR="00370DA6" w:rsidRPr="003A5C1C" w:rsidRDefault="00370DA6" w:rsidP="008422B1">
            <w:pPr>
              <w:pStyle w:val="TableParagraph"/>
            </w:pPr>
            <w:r w:rsidRPr="008422B1">
              <w:t>Over</w:t>
            </w:r>
            <w:r w:rsidRPr="00B238CA">
              <w:t xml:space="preserve"> the long term</w:t>
            </w:r>
            <w:r>
              <w:t>,</w:t>
            </w:r>
            <w:r w:rsidRPr="00B238CA">
              <w:t xml:space="preserve"> an average annual expenditure of $10.00m (PV) has been forecast.  </w:t>
            </w:r>
          </w:p>
        </w:tc>
      </w:tr>
    </w:tbl>
    <w:p w14:paraId="47DB2CE1" w14:textId="77777777" w:rsidR="00370DA6" w:rsidRDefault="00370DA6" w:rsidP="00370DA6">
      <w:pPr>
        <w:pStyle w:val="Heading2"/>
        <w:spacing w:before="240" w:after="180"/>
      </w:pPr>
      <w:bookmarkStart w:id="675" w:name="_Toc4084210"/>
      <w:bookmarkStart w:id="676" w:name="_Toc10703496"/>
      <w:r w:rsidRPr="00117C96">
        <w:t>Projected C</w:t>
      </w:r>
      <w:r>
        <w:t>ost to Deliver Services</w:t>
      </w:r>
      <w:bookmarkEnd w:id="675"/>
      <w:bookmarkEnd w:id="676"/>
    </w:p>
    <w:p w14:paraId="3E559E83" w14:textId="6F1CED55" w:rsidR="00370DA6" w:rsidRPr="00CB6E7B" w:rsidRDefault="005465DE" w:rsidP="003859D2">
      <w:pPr>
        <w:pStyle w:val="TextPara"/>
      </w:pPr>
      <w:r>
        <w:fldChar w:fldCharType="begin"/>
      </w:r>
      <w:r>
        <w:instrText xml:space="preserve"> REF _Ref4403942 \h </w:instrText>
      </w:r>
      <w:r>
        <w:fldChar w:fldCharType="separate"/>
      </w:r>
      <w:r w:rsidR="00EB4B02">
        <w:t xml:space="preserve">Table </w:t>
      </w:r>
      <w:r w:rsidR="00EB4B02">
        <w:rPr>
          <w:noProof/>
        </w:rPr>
        <w:t>44</w:t>
      </w:r>
      <w:r>
        <w:fldChar w:fldCharType="end"/>
      </w:r>
      <w:r>
        <w:t xml:space="preserve"> </w:t>
      </w:r>
      <w:r w:rsidR="00370DA6">
        <w:t>shows the projected R&amp;L cost of services (developed from the base year FY16/17 and using the forecasting assumptions in Section</w:t>
      </w:r>
      <w:r>
        <w:t xml:space="preserve"> </w:t>
      </w:r>
      <w:r>
        <w:fldChar w:fldCharType="begin"/>
      </w:r>
      <w:r>
        <w:instrText xml:space="preserve"> REF _Ref4403998 \r \h </w:instrText>
      </w:r>
      <w:r>
        <w:fldChar w:fldCharType="separate"/>
      </w:r>
      <w:r w:rsidR="00EB4B02">
        <w:t>12.2.1</w:t>
      </w:r>
      <w:r>
        <w:fldChar w:fldCharType="end"/>
      </w:r>
      <w:r w:rsidR="00370DA6">
        <w:t>) in present value (PV) terms for the first four financial years of the next regulatory period. The rationale for the selection of this period is outlined in Section</w:t>
      </w:r>
      <w:r>
        <w:t xml:space="preserve"> </w:t>
      </w:r>
      <w:r>
        <w:fldChar w:fldCharType="begin"/>
      </w:r>
      <w:r>
        <w:instrText xml:space="preserve"> REF _Ref4404033 \r \h </w:instrText>
      </w:r>
      <w:r>
        <w:fldChar w:fldCharType="separate"/>
      </w:r>
      <w:r w:rsidR="00EB4B02">
        <w:t>12.2.2</w:t>
      </w:r>
      <w:r>
        <w:fldChar w:fldCharType="end"/>
      </w:r>
      <w:r w:rsidR="00370DA6">
        <w:t xml:space="preserve">.  </w:t>
      </w:r>
    </w:p>
    <w:p w14:paraId="75AEDB35" w14:textId="1859E22C" w:rsidR="00370DA6" w:rsidRDefault="00370DA6" w:rsidP="00AA0BBA">
      <w:pPr>
        <w:pStyle w:val="Caption"/>
      </w:pPr>
      <w:bookmarkStart w:id="677" w:name="_Ref4403942"/>
      <w:bookmarkStart w:id="678" w:name="_Toc4084326"/>
      <w:bookmarkStart w:id="679" w:name="_Toc10703737"/>
      <w:r>
        <w:t xml:space="preserve">Table </w:t>
      </w:r>
      <w:r>
        <w:rPr>
          <w:noProof/>
        </w:rPr>
        <w:fldChar w:fldCharType="begin"/>
      </w:r>
      <w:r>
        <w:rPr>
          <w:noProof/>
        </w:rPr>
        <w:instrText xml:space="preserve"> SEQ Table \* ARABIC </w:instrText>
      </w:r>
      <w:r>
        <w:rPr>
          <w:noProof/>
        </w:rPr>
        <w:fldChar w:fldCharType="separate"/>
      </w:r>
      <w:r w:rsidR="00EB4B02">
        <w:rPr>
          <w:noProof/>
        </w:rPr>
        <w:t>44</w:t>
      </w:r>
      <w:r>
        <w:rPr>
          <w:noProof/>
        </w:rPr>
        <w:fldChar w:fldCharType="end"/>
      </w:r>
      <w:bookmarkEnd w:id="677"/>
      <w:r>
        <w:t xml:space="preserve"> – </w:t>
      </w:r>
      <w:r w:rsidRPr="0065195E">
        <w:t>Projected R&amp;L Costs (Present Value)</w:t>
      </w:r>
      <w:bookmarkEnd w:id="678"/>
      <w:bookmarkEnd w:id="679"/>
    </w:p>
    <w:tbl>
      <w:tblPr>
        <w:tblStyle w:val="RIS-Table2"/>
        <w:tblW w:w="9515" w:type="dxa"/>
        <w:tblLayout w:type="fixed"/>
        <w:tblLook w:val="04A0" w:firstRow="1" w:lastRow="0" w:firstColumn="1" w:lastColumn="0" w:noHBand="0" w:noVBand="1"/>
      </w:tblPr>
      <w:tblGrid>
        <w:gridCol w:w="3694"/>
        <w:gridCol w:w="1158"/>
        <w:gridCol w:w="1158"/>
        <w:gridCol w:w="1157"/>
        <w:gridCol w:w="1157"/>
        <w:gridCol w:w="1181"/>
        <w:gridCol w:w="10"/>
      </w:tblGrid>
      <w:tr w:rsidR="00370DA6" w14:paraId="0DAE31EB" w14:textId="77777777" w:rsidTr="00104139">
        <w:trPr>
          <w:gridAfter w:val="1"/>
          <w:cnfStyle w:val="100000000000" w:firstRow="1" w:lastRow="0" w:firstColumn="0" w:lastColumn="0" w:oddVBand="0" w:evenVBand="0" w:oddHBand="0" w:evenHBand="0" w:firstRowFirstColumn="0" w:firstRowLastColumn="0" w:lastRowFirstColumn="0" w:lastRowLastColumn="0"/>
          <w:wAfter w:w="10" w:type="dxa"/>
          <w:trHeight w:val="420"/>
        </w:trPr>
        <w:tc>
          <w:tcPr>
            <w:tcW w:w="3694" w:type="dxa"/>
            <w:vMerge w:val="restart"/>
            <w:tcBorders>
              <w:right w:val="single" w:sz="12" w:space="0" w:color="FFFFFF" w:themeColor="background1"/>
            </w:tcBorders>
          </w:tcPr>
          <w:p w14:paraId="501C755E" w14:textId="77777777" w:rsidR="00370DA6" w:rsidRDefault="00370DA6" w:rsidP="00370DA6">
            <w:pPr>
              <w:pStyle w:val="TableHeaders"/>
              <w:spacing w:line="276" w:lineRule="auto"/>
              <w:rPr>
                <w:rFonts w:cs="Segoe UI"/>
                <w:szCs w:val="18"/>
              </w:rPr>
            </w:pPr>
            <w:r>
              <w:rPr>
                <w:rFonts w:cs="Segoe UI"/>
                <w:szCs w:val="18"/>
              </w:rPr>
              <w:t>Cost Item</w:t>
            </w:r>
          </w:p>
        </w:tc>
        <w:tc>
          <w:tcPr>
            <w:tcW w:w="1158" w:type="dxa"/>
            <w:tcBorders>
              <w:top w:val="nil"/>
              <w:left w:val="single" w:sz="12" w:space="0" w:color="FFFFFF" w:themeColor="background1"/>
              <w:bottom w:val="single" w:sz="4" w:space="0" w:color="FFFFFF" w:themeColor="background1"/>
              <w:right w:val="single" w:sz="12" w:space="0" w:color="FFFFFF" w:themeColor="background1"/>
            </w:tcBorders>
          </w:tcPr>
          <w:p w14:paraId="6ECF6D63" w14:textId="77777777" w:rsidR="00370DA6" w:rsidRPr="00ED6EAE" w:rsidRDefault="00370DA6">
            <w:pPr>
              <w:pStyle w:val="TableHeaders"/>
              <w:spacing w:line="276" w:lineRule="auto"/>
              <w:rPr>
                <w:rFonts w:cs="Segoe UI"/>
                <w:szCs w:val="18"/>
              </w:rPr>
            </w:pPr>
            <w:r w:rsidRPr="00ED6EAE">
              <w:rPr>
                <w:rFonts w:cs="Segoe UI"/>
                <w:szCs w:val="18"/>
              </w:rPr>
              <w:t>Actual</w:t>
            </w:r>
          </w:p>
        </w:tc>
        <w:tc>
          <w:tcPr>
            <w:tcW w:w="4653" w:type="dxa"/>
            <w:gridSpan w:val="4"/>
            <w:tcBorders>
              <w:top w:val="nil"/>
              <w:left w:val="single" w:sz="12" w:space="0" w:color="FFFFFF" w:themeColor="background1"/>
              <w:bottom w:val="single" w:sz="4" w:space="0" w:color="FFFFFF" w:themeColor="background1"/>
            </w:tcBorders>
          </w:tcPr>
          <w:p w14:paraId="26A471CB" w14:textId="77777777" w:rsidR="00370DA6" w:rsidRDefault="00370DA6">
            <w:pPr>
              <w:pStyle w:val="TableHeaders"/>
              <w:spacing w:line="276" w:lineRule="auto"/>
              <w:rPr>
                <w:rFonts w:cs="Segoe UI"/>
                <w:szCs w:val="18"/>
              </w:rPr>
            </w:pPr>
            <w:r>
              <w:rPr>
                <w:rFonts w:cs="Segoe UI"/>
                <w:szCs w:val="18"/>
              </w:rPr>
              <w:t>Projected</w:t>
            </w:r>
          </w:p>
        </w:tc>
      </w:tr>
      <w:tr w:rsidR="00370DA6" w14:paraId="04188F0B" w14:textId="77777777" w:rsidTr="004E0A43">
        <w:trPr>
          <w:gridAfter w:val="1"/>
          <w:wAfter w:w="10" w:type="dxa"/>
          <w:trHeight w:val="420"/>
        </w:trPr>
        <w:tc>
          <w:tcPr>
            <w:tcW w:w="3694" w:type="dxa"/>
            <w:vMerge/>
            <w:tcBorders>
              <w:right w:val="single" w:sz="12" w:space="0" w:color="FFFFFF" w:themeColor="background1"/>
            </w:tcBorders>
            <w:hideMark/>
          </w:tcPr>
          <w:p w14:paraId="6EBDCE8C" w14:textId="77777777" w:rsidR="00370DA6" w:rsidRDefault="00370DA6">
            <w:pPr>
              <w:pStyle w:val="TableHeaders"/>
              <w:spacing w:line="276" w:lineRule="auto"/>
              <w:rPr>
                <w:rFonts w:cs="Segoe UI"/>
                <w:szCs w:val="18"/>
              </w:rPr>
            </w:pPr>
          </w:p>
        </w:tc>
        <w:tc>
          <w:tcPr>
            <w:tcW w:w="1158"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A1F3F"/>
          </w:tcPr>
          <w:p w14:paraId="02A9CA52" w14:textId="77777777" w:rsidR="00370DA6" w:rsidRPr="00ED6EAE" w:rsidRDefault="00370DA6" w:rsidP="00370DA6">
            <w:pPr>
              <w:pStyle w:val="TableHeaders"/>
              <w:spacing w:line="276" w:lineRule="auto"/>
              <w:rPr>
                <w:rFonts w:cs="Segoe UI"/>
                <w:b/>
                <w:szCs w:val="18"/>
              </w:rPr>
            </w:pPr>
            <w:r w:rsidRPr="00ED6EAE">
              <w:rPr>
                <w:rFonts w:cs="Segoe UI"/>
                <w:b/>
                <w:szCs w:val="18"/>
              </w:rPr>
              <w:t>FY16/17</w:t>
            </w:r>
            <w:r w:rsidRPr="00ED6EAE">
              <w:rPr>
                <w:rFonts w:cs="Segoe UI"/>
                <w:b/>
                <w:szCs w:val="18"/>
              </w:rPr>
              <w:br/>
              <w:t>$m</w:t>
            </w:r>
          </w:p>
        </w:tc>
        <w:tc>
          <w:tcPr>
            <w:tcW w:w="1158" w:type="dxa"/>
            <w:tcBorders>
              <w:top w:val="single" w:sz="4" w:space="0" w:color="FFFFFF" w:themeColor="background1"/>
              <w:left w:val="single" w:sz="12" w:space="0" w:color="FFFFFF" w:themeColor="background1"/>
              <w:bottom w:val="single" w:sz="4" w:space="0" w:color="FFFFFF" w:themeColor="background1"/>
            </w:tcBorders>
            <w:shd w:val="clear" w:color="auto" w:fill="0A1F3F"/>
            <w:hideMark/>
          </w:tcPr>
          <w:p w14:paraId="46C37033" w14:textId="77777777" w:rsidR="00370DA6" w:rsidRPr="00C8082B" w:rsidRDefault="00370DA6" w:rsidP="00370DA6">
            <w:pPr>
              <w:pStyle w:val="TableHeaders"/>
              <w:spacing w:line="276" w:lineRule="auto"/>
              <w:rPr>
                <w:rFonts w:cs="Segoe UI"/>
                <w:b/>
                <w:szCs w:val="18"/>
              </w:rPr>
            </w:pPr>
            <w:r w:rsidRPr="00C8082B">
              <w:rPr>
                <w:rFonts w:cs="Segoe UI"/>
                <w:b/>
                <w:szCs w:val="18"/>
              </w:rPr>
              <w:t>FY19/20</w:t>
            </w:r>
            <w:r>
              <w:rPr>
                <w:rFonts w:cs="Segoe UI"/>
                <w:b/>
                <w:szCs w:val="18"/>
              </w:rPr>
              <w:br/>
            </w:r>
            <w:r w:rsidRPr="00C8082B">
              <w:rPr>
                <w:rFonts w:cs="Segoe UI"/>
                <w:b/>
                <w:szCs w:val="18"/>
              </w:rPr>
              <w:t>$m (PV)</w:t>
            </w:r>
          </w:p>
        </w:tc>
        <w:tc>
          <w:tcPr>
            <w:tcW w:w="1157" w:type="dxa"/>
            <w:tcBorders>
              <w:top w:val="single" w:sz="4" w:space="0" w:color="FFFFFF" w:themeColor="background1"/>
              <w:bottom w:val="single" w:sz="4" w:space="0" w:color="FFFFFF" w:themeColor="background1"/>
            </w:tcBorders>
            <w:shd w:val="clear" w:color="auto" w:fill="0A1F3F"/>
            <w:hideMark/>
          </w:tcPr>
          <w:p w14:paraId="52B42826" w14:textId="77777777" w:rsidR="00370DA6" w:rsidRPr="00C8082B" w:rsidRDefault="00370DA6" w:rsidP="00370DA6">
            <w:pPr>
              <w:pStyle w:val="TableHeaders"/>
              <w:spacing w:line="276" w:lineRule="auto"/>
              <w:rPr>
                <w:rFonts w:cs="Segoe UI"/>
                <w:b/>
                <w:szCs w:val="18"/>
              </w:rPr>
            </w:pPr>
            <w:r w:rsidRPr="00C8082B">
              <w:rPr>
                <w:rFonts w:cs="Segoe UI"/>
                <w:b/>
                <w:szCs w:val="18"/>
              </w:rPr>
              <w:t>FY20/21</w:t>
            </w:r>
            <w:r>
              <w:rPr>
                <w:rFonts w:cs="Segoe UI"/>
                <w:b/>
                <w:szCs w:val="18"/>
              </w:rPr>
              <w:br/>
            </w:r>
            <w:r w:rsidRPr="00C8082B">
              <w:rPr>
                <w:rFonts w:cs="Segoe UI"/>
                <w:b/>
                <w:szCs w:val="18"/>
              </w:rPr>
              <w:t>$m (PV)</w:t>
            </w:r>
          </w:p>
        </w:tc>
        <w:tc>
          <w:tcPr>
            <w:tcW w:w="1157" w:type="dxa"/>
            <w:tcBorders>
              <w:top w:val="single" w:sz="4" w:space="0" w:color="FFFFFF" w:themeColor="background1"/>
              <w:bottom w:val="single" w:sz="4" w:space="0" w:color="FFFFFF" w:themeColor="background1"/>
            </w:tcBorders>
            <w:shd w:val="clear" w:color="auto" w:fill="0A1F3F"/>
            <w:hideMark/>
          </w:tcPr>
          <w:p w14:paraId="64751F8E" w14:textId="77777777" w:rsidR="00370DA6" w:rsidRPr="00C8082B" w:rsidRDefault="00370DA6" w:rsidP="00370DA6">
            <w:pPr>
              <w:pStyle w:val="TableHeaders"/>
              <w:spacing w:line="276" w:lineRule="auto"/>
              <w:rPr>
                <w:rFonts w:cs="Segoe UI"/>
                <w:b/>
                <w:szCs w:val="18"/>
              </w:rPr>
            </w:pPr>
            <w:r w:rsidRPr="00C8082B">
              <w:rPr>
                <w:rFonts w:cs="Segoe UI"/>
                <w:b/>
                <w:szCs w:val="18"/>
              </w:rPr>
              <w:t>FY21/22</w:t>
            </w:r>
            <w:r>
              <w:rPr>
                <w:rFonts w:cs="Segoe UI"/>
                <w:b/>
                <w:szCs w:val="18"/>
              </w:rPr>
              <w:br/>
            </w:r>
            <w:r w:rsidRPr="00C8082B">
              <w:rPr>
                <w:rFonts w:cs="Segoe UI"/>
                <w:b/>
                <w:szCs w:val="18"/>
              </w:rPr>
              <w:t>$m (PV)</w:t>
            </w:r>
          </w:p>
        </w:tc>
        <w:tc>
          <w:tcPr>
            <w:tcW w:w="1181" w:type="dxa"/>
            <w:tcBorders>
              <w:top w:val="single" w:sz="4" w:space="0" w:color="FFFFFF" w:themeColor="background1"/>
              <w:bottom w:val="single" w:sz="4" w:space="0" w:color="FFFFFF" w:themeColor="background1"/>
            </w:tcBorders>
            <w:shd w:val="clear" w:color="auto" w:fill="0A1F3F"/>
            <w:hideMark/>
          </w:tcPr>
          <w:p w14:paraId="7C487E0C" w14:textId="77777777" w:rsidR="00370DA6" w:rsidRPr="00C8082B" w:rsidRDefault="00370DA6" w:rsidP="00370DA6">
            <w:pPr>
              <w:pStyle w:val="TableHeaders"/>
              <w:spacing w:line="276" w:lineRule="auto"/>
              <w:rPr>
                <w:rFonts w:cs="Segoe UI"/>
                <w:b/>
                <w:szCs w:val="18"/>
              </w:rPr>
            </w:pPr>
            <w:r w:rsidRPr="00C8082B">
              <w:rPr>
                <w:rFonts w:cs="Segoe UI"/>
                <w:b/>
                <w:szCs w:val="18"/>
              </w:rPr>
              <w:t>FY22/23</w:t>
            </w:r>
            <w:r>
              <w:rPr>
                <w:rFonts w:cs="Segoe UI"/>
                <w:b/>
                <w:szCs w:val="18"/>
              </w:rPr>
              <w:br/>
            </w:r>
            <w:r w:rsidRPr="00C8082B">
              <w:rPr>
                <w:rFonts w:cs="Segoe UI"/>
                <w:b/>
                <w:szCs w:val="18"/>
              </w:rPr>
              <w:t>$m (PV)</w:t>
            </w:r>
          </w:p>
        </w:tc>
      </w:tr>
      <w:tr w:rsidR="00370DA6" w14:paraId="1BD67F14" w14:textId="77777777" w:rsidTr="00370DA6">
        <w:trPr>
          <w:cnfStyle w:val="000000010000" w:firstRow="0" w:lastRow="0" w:firstColumn="0" w:lastColumn="0" w:oddVBand="0" w:evenVBand="0" w:oddHBand="0" w:evenHBand="1" w:firstRowFirstColumn="0" w:firstRowLastColumn="0" w:lastRowFirstColumn="0" w:lastRowLastColumn="0"/>
          <w:trHeight w:val="300"/>
        </w:trPr>
        <w:tc>
          <w:tcPr>
            <w:tcW w:w="9515" w:type="dxa"/>
            <w:gridSpan w:val="7"/>
            <w:shd w:val="clear" w:color="auto" w:fill="DDE8F4" w:themeFill="text2" w:themeFillTint="1A"/>
          </w:tcPr>
          <w:p w14:paraId="3D345610" w14:textId="77777777" w:rsidR="00370DA6" w:rsidRPr="00ED6EAE" w:rsidRDefault="00370DA6" w:rsidP="00370DA6">
            <w:pPr>
              <w:pStyle w:val="TableParagraph"/>
              <w:spacing w:line="276" w:lineRule="auto"/>
              <w:rPr>
                <w:rFonts w:cs="Segoe UI"/>
                <w:b/>
                <w:szCs w:val="18"/>
              </w:rPr>
            </w:pPr>
            <w:r w:rsidRPr="00ED6EAE">
              <w:rPr>
                <w:rFonts w:cs="Segoe UI"/>
                <w:b/>
                <w:szCs w:val="18"/>
              </w:rPr>
              <w:t>Direct Costs</w:t>
            </w:r>
          </w:p>
        </w:tc>
      </w:tr>
      <w:tr w:rsidR="00CC520B" w14:paraId="77F8DAA4" w14:textId="77777777" w:rsidTr="00104139">
        <w:trPr>
          <w:gridAfter w:val="1"/>
          <w:wAfter w:w="10" w:type="dxa"/>
          <w:trHeight w:val="300"/>
        </w:trPr>
        <w:tc>
          <w:tcPr>
            <w:tcW w:w="3694" w:type="dxa"/>
            <w:tcBorders>
              <w:right w:val="single" w:sz="12" w:space="0" w:color="BFBFBF" w:themeColor="background1" w:themeShade="BF"/>
            </w:tcBorders>
            <w:noWrap/>
            <w:hideMark/>
          </w:tcPr>
          <w:p w14:paraId="0ED5DEE3" w14:textId="77777777" w:rsidR="00CC520B" w:rsidRDefault="00CC520B" w:rsidP="00CC520B">
            <w:pPr>
              <w:pStyle w:val="TableParagraph"/>
              <w:spacing w:line="276" w:lineRule="auto"/>
              <w:ind w:left="284"/>
              <w:rPr>
                <w:rFonts w:cs="Segoe UI"/>
                <w:szCs w:val="18"/>
              </w:rPr>
            </w:pPr>
            <w:r>
              <w:rPr>
                <w:rFonts w:cs="Segoe UI"/>
                <w:szCs w:val="18"/>
              </w:rPr>
              <w:t>Management and Strategy</w:t>
            </w:r>
          </w:p>
        </w:tc>
        <w:tc>
          <w:tcPr>
            <w:tcW w:w="1158" w:type="dxa"/>
            <w:tcBorders>
              <w:left w:val="single" w:sz="12" w:space="0" w:color="BFBFBF" w:themeColor="background1" w:themeShade="BF"/>
              <w:right w:val="single" w:sz="12" w:space="0" w:color="BFBFBF" w:themeColor="background1" w:themeShade="BF"/>
            </w:tcBorders>
          </w:tcPr>
          <w:p w14:paraId="3DD45BEB" w14:textId="77777777" w:rsidR="00CC520B" w:rsidRPr="00ED6EAE" w:rsidRDefault="00CC520B" w:rsidP="00CC520B">
            <w:pPr>
              <w:pStyle w:val="TableParagraph"/>
              <w:spacing w:line="276" w:lineRule="auto"/>
              <w:jc w:val="right"/>
            </w:pPr>
            <w:r w:rsidRPr="00ED6EAE">
              <w:t xml:space="preserve">7.44 </w:t>
            </w:r>
          </w:p>
        </w:tc>
        <w:tc>
          <w:tcPr>
            <w:tcW w:w="1158" w:type="dxa"/>
            <w:tcBorders>
              <w:left w:val="single" w:sz="12" w:space="0" w:color="BFBFBF" w:themeColor="background1" w:themeShade="BF"/>
            </w:tcBorders>
            <w:noWrap/>
            <w:hideMark/>
          </w:tcPr>
          <w:p w14:paraId="16D71BB8" w14:textId="33E56856" w:rsidR="00CC520B" w:rsidRDefault="00CC520B" w:rsidP="00CC520B">
            <w:pPr>
              <w:pStyle w:val="TableParagraph"/>
              <w:spacing w:line="276" w:lineRule="auto"/>
              <w:jc w:val="right"/>
              <w:rPr>
                <w:rFonts w:cs="Segoe UI"/>
                <w:szCs w:val="18"/>
              </w:rPr>
            </w:pPr>
            <w:r w:rsidRPr="00E62881">
              <w:t xml:space="preserve"> 9.00 </w:t>
            </w:r>
          </w:p>
        </w:tc>
        <w:tc>
          <w:tcPr>
            <w:tcW w:w="1157" w:type="dxa"/>
            <w:noWrap/>
            <w:hideMark/>
          </w:tcPr>
          <w:p w14:paraId="554F110C" w14:textId="7A2D6A7F" w:rsidR="00CC520B" w:rsidRDefault="00CC520B" w:rsidP="00CC520B">
            <w:pPr>
              <w:pStyle w:val="TableParagraph"/>
              <w:spacing w:line="276" w:lineRule="auto"/>
              <w:jc w:val="right"/>
              <w:rPr>
                <w:rFonts w:cs="Segoe UI"/>
                <w:szCs w:val="18"/>
              </w:rPr>
            </w:pPr>
            <w:r w:rsidRPr="00E62881">
              <w:t xml:space="preserve"> 9.00 </w:t>
            </w:r>
          </w:p>
        </w:tc>
        <w:tc>
          <w:tcPr>
            <w:tcW w:w="1157" w:type="dxa"/>
            <w:noWrap/>
            <w:hideMark/>
          </w:tcPr>
          <w:p w14:paraId="554DE3D5" w14:textId="40C600A4" w:rsidR="00CC520B" w:rsidRDefault="00CC520B" w:rsidP="00CC520B">
            <w:pPr>
              <w:pStyle w:val="TableParagraph"/>
              <w:spacing w:line="276" w:lineRule="auto"/>
              <w:jc w:val="right"/>
              <w:rPr>
                <w:rFonts w:cs="Segoe UI"/>
                <w:szCs w:val="18"/>
              </w:rPr>
            </w:pPr>
            <w:r w:rsidRPr="00E62881">
              <w:t xml:space="preserve"> 9.00 </w:t>
            </w:r>
          </w:p>
        </w:tc>
        <w:tc>
          <w:tcPr>
            <w:tcW w:w="1181" w:type="dxa"/>
            <w:noWrap/>
            <w:hideMark/>
          </w:tcPr>
          <w:p w14:paraId="282A407E" w14:textId="10258A5D" w:rsidR="00CC520B" w:rsidRDefault="00CC520B" w:rsidP="00CC520B">
            <w:pPr>
              <w:pStyle w:val="TableParagraph"/>
              <w:spacing w:line="276" w:lineRule="auto"/>
              <w:jc w:val="right"/>
              <w:rPr>
                <w:rFonts w:cs="Segoe UI"/>
                <w:szCs w:val="18"/>
              </w:rPr>
            </w:pPr>
            <w:r w:rsidRPr="00E62881">
              <w:t xml:space="preserve"> 9.00 </w:t>
            </w:r>
          </w:p>
        </w:tc>
      </w:tr>
      <w:tr w:rsidR="00CC520B" w14:paraId="085D93F0" w14:textId="77777777" w:rsidTr="00104139">
        <w:trPr>
          <w:gridAfter w:val="1"/>
          <w:cnfStyle w:val="000000010000" w:firstRow="0" w:lastRow="0" w:firstColumn="0" w:lastColumn="0" w:oddVBand="0" w:evenVBand="0" w:oddHBand="0" w:evenHBand="1" w:firstRowFirstColumn="0" w:firstRowLastColumn="0" w:lastRowFirstColumn="0" w:lastRowLastColumn="0"/>
          <w:wAfter w:w="10" w:type="dxa"/>
          <w:trHeight w:val="300"/>
        </w:trPr>
        <w:tc>
          <w:tcPr>
            <w:tcW w:w="3694" w:type="dxa"/>
            <w:tcBorders>
              <w:right w:val="single" w:sz="12" w:space="0" w:color="BFBFBF" w:themeColor="background1" w:themeShade="BF"/>
            </w:tcBorders>
            <w:noWrap/>
            <w:hideMark/>
          </w:tcPr>
          <w:p w14:paraId="20E8C09D" w14:textId="77777777" w:rsidR="00CC520B" w:rsidRDefault="00CC520B" w:rsidP="00CC520B">
            <w:pPr>
              <w:pStyle w:val="TableParagraph"/>
              <w:spacing w:line="276" w:lineRule="auto"/>
              <w:ind w:left="284"/>
              <w:rPr>
                <w:rFonts w:cs="Segoe UI"/>
                <w:szCs w:val="18"/>
              </w:rPr>
            </w:pPr>
            <w:r w:rsidRPr="009E2CE4">
              <w:rPr>
                <w:rFonts w:cs="Segoe UI"/>
              </w:rPr>
              <w:t>Customer Facing Services</w:t>
            </w:r>
          </w:p>
        </w:tc>
        <w:tc>
          <w:tcPr>
            <w:tcW w:w="1158" w:type="dxa"/>
            <w:tcBorders>
              <w:left w:val="single" w:sz="12" w:space="0" w:color="BFBFBF" w:themeColor="background1" w:themeShade="BF"/>
              <w:right w:val="single" w:sz="12" w:space="0" w:color="BFBFBF" w:themeColor="background1" w:themeShade="BF"/>
            </w:tcBorders>
          </w:tcPr>
          <w:p w14:paraId="1C320467" w14:textId="77777777" w:rsidR="00CC520B" w:rsidRPr="00ED6EAE" w:rsidRDefault="00CC520B" w:rsidP="00CC520B">
            <w:pPr>
              <w:pStyle w:val="TableParagraph"/>
              <w:spacing w:line="276" w:lineRule="auto"/>
              <w:jc w:val="right"/>
            </w:pPr>
            <w:r w:rsidRPr="00ED6EAE">
              <w:t xml:space="preserve">76.65 </w:t>
            </w:r>
          </w:p>
        </w:tc>
        <w:tc>
          <w:tcPr>
            <w:tcW w:w="1158" w:type="dxa"/>
            <w:tcBorders>
              <w:left w:val="single" w:sz="12" w:space="0" w:color="BFBFBF" w:themeColor="background1" w:themeShade="BF"/>
            </w:tcBorders>
            <w:noWrap/>
            <w:hideMark/>
          </w:tcPr>
          <w:p w14:paraId="45DFB431" w14:textId="44653516" w:rsidR="00CC520B" w:rsidRDefault="00CC520B" w:rsidP="00CC520B">
            <w:pPr>
              <w:pStyle w:val="TableParagraph"/>
              <w:spacing w:line="276" w:lineRule="auto"/>
              <w:jc w:val="right"/>
              <w:rPr>
                <w:rFonts w:cs="Segoe UI"/>
                <w:szCs w:val="18"/>
              </w:rPr>
            </w:pPr>
            <w:r w:rsidRPr="00E62881">
              <w:t xml:space="preserve"> 91.81 </w:t>
            </w:r>
          </w:p>
        </w:tc>
        <w:tc>
          <w:tcPr>
            <w:tcW w:w="1157" w:type="dxa"/>
            <w:noWrap/>
            <w:hideMark/>
          </w:tcPr>
          <w:p w14:paraId="32108E4C" w14:textId="4CC9636C" w:rsidR="00CC520B" w:rsidRDefault="00CC520B" w:rsidP="00CC520B">
            <w:pPr>
              <w:pStyle w:val="TableParagraph"/>
              <w:spacing w:line="276" w:lineRule="auto"/>
              <w:jc w:val="right"/>
              <w:rPr>
                <w:rFonts w:cs="Segoe UI"/>
                <w:szCs w:val="18"/>
              </w:rPr>
            </w:pPr>
            <w:r w:rsidRPr="00E62881">
              <w:t xml:space="preserve"> 93.59 </w:t>
            </w:r>
          </w:p>
        </w:tc>
        <w:tc>
          <w:tcPr>
            <w:tcW w:w="1157" w:type="dxa"/>
            <w:noWrap/>
            <w:hideMark/>
          </w:tcPr>
          <w:p w14:paraId="402FD2ED" w14:textId="17280199" w:rsidR="00CC520B" w:rsidRDefault="00CC520B" w:rsidP="00CC520B">
            <w:pPr>
              <w:pStyle w:val="TableParagraph"/>
              <w:spacing w:line="276" w:lineRule="auto"/>
              <w:jc w:val="right"/>
              <w:rPr>
                <w:rFonts w:cs="Segoe UI"/>
                <w:szCs w:val="18"/>
              </w:rPr>
            </w:pPr>
            <w:r w:rsidRPr="00E62881">
              <w:t xml:space="preserve"> 95.40 </w:t>
            </w:r>
          </w:p>
        </w:tc>
        <w:tc>
          <w:tcPr>
            <w:tcW w:w="1181" w:type="dxa"/>
            <w:noWrap/>
            <w:hideMark/>
          </w:tcPr>
          <w:p w14:paraId="05BB955C" w14:textId="37AD4FE1" w:rsidR="00CC520B" w:rsidRDefault="00CC520B" w:rsidP="00CC520B">
            <w:pPr>
              <w:pStyle w:val="TableParagraph"/>
              <w:spacing w:line="276" w:lineRule="auto"/>
              <w:jc w:val="right"/>
              <w:rPr>
                <w:rFonts w:cs="Segoe UI"/>
                <w:szCs w:val="18"/>
              </w:rPr>
            </w:pPr>
            <w:r w:rsidRPr="00E62881">
              <w:t xml:space="preserve"> 97.26 </w:t>
            </w:r>
          </w:p>
        </w:tc>
      </w:tr>
      <w:tr w:rsidR="00CC520B" w14:paraId="37362472" w14:textId="77777777" w:rsidTr="00104139">
        <w:trPr>
          <w:gridAfter w:val="1"/>
          <w:wAfter w:w="10" w:type="dxa"/>
          <w:trHeight w:val="300"/>
        </w:trPr>
        <w:tc>
          <w:tcPr>
            <w:tcW w:w="3694" w:type="dxa"/>
            <w:tcBorders>
              <w:right w:val="single" w:sz="12" w:space="0" w:color="BFBFBF" w:themeColor="background1" w:themeShade="BF"/>
            </w:tcBorders>
            <w:noWrap/>
            <w:hideMark/>
          </w:tcPr>
          <w:p w14:paraId="0901036E" w14:textId="77777777" w:rsidR="00CC520B" w:rsidRDefault="00CC520B" w:rsidP="00CC520B">
            <w:pPr>
              <w:pStyle w:val="TableParagraph"/>
              <w:spacing w:line="276" w:lineRule="auto"/>
              <w:ind w:left="284"/>
              <w:rPr>
                <w:rFonts w:cs="Segoe UI"/>
                <w:szCs w:val="18"/>
              </w:rPr>
            </w:pPr>
            <w:r w:rsidRPr="009E2CE4">
              <w:rPr>
                <w:rFonts w:cs="Segoe UI"/>
              </w:rPr>
              <w:t>Customer Support Services</w:t>
            </w:r>
          </w:p>
        </w:tc>
        <w:tc>
          <w:tcPr>
            <w:tcW w:w="1158" w:type="dxa"/>
            <w:tcBorders>
              <w:left w:val="single" w:sz="12" w:space="0" w:color="BFBFBF" w:themeColor="background1" w:themeShade="BF"/>
              <w:right w:val="single" w:sz="12" w:space="0" w:color="BFBFBF" w:themeColor="background1" w:themeShade="BF"/>
            </w:tcBorders>
          </w:tcPr>
          <w:p w14:paraId="06ED5101" w14:textId="77777777" w:rsidR="00CC520B" w:rsidRPr="00ED6EAE" w:rsidRDefault="00CC520B" w:rsidP="00CC520B">
            <w:pPr>
              <w:pStyle w:val="TableParagraph"/>
              <w:spacing w:line="276" w:lineRule="auto"/>
              <w:jc w:val="right"/>
            </w:pPr>
            <w:r w:rsidRPr="00ED6EAE">
              <w:t xml:space="preserve">37.84 </w:t>
            </w:r>
          </w:p>
        </w:tc>
        <w:tc>
          <w:tcPr>
            <w:tcW w:w="1158" w:type="dxa"/>
            <w:tcBorders>
              <w:left w:val="single" w:sz="12" w:space="0" w:color="BFBFBF" w:themeColor="background1" w:themeShade="BF"/>
            </w:tcBorders>
            <w:noWrap/>
            <w:hideMark/>
          </w:tcPr>
          <w:p w14:paraId="59495620" w14:textId="7FD734FC" w:rsidR="00CC520B" w:rsidRDefault="00CC520B" w:rsidP="00CC520B">
            <w:pPr>
              <w:pStyle w:val="TableParagraph"/>
              <w:spacing w:line="276" w:lineRule="auto"/>
              <w:jc w:val="right"/>
              <w:rPr>
                <w:rFonts w:cs="Segoe UI"/>
                <w:szCs w:val="18"/>
              </w:rPr>
            </w:pPr>
            <w:r w:rsidRPr="00E62881">
              <w:t xml:space="preserve"> 60.13 </w:t>
            </w:r>
          </w:p>
        </w:tc>
        <w:tc>
          <w:tcPr>
            <w:tcW w:w="1157" w:type="dxa"/>
            <w:noWrap/>
            <w:hideMark/>
          </w:tcPr>
          <w:p w14:paraId="6D79DD64" w14:textId="14807023" w:rsidR="00CC520B" w:rsidRDefault="00CC520B" w:rsidP="00CC520B">
            <w:pPr>
              <w:pStyle w:val="TableParagraph"/>
              <w:spacing w:line="276" w:lineRule="auto"/>
              <w:jc w:val="right"/>
              <w:rPr>
                <w:rFonts w:cs="Segoe UI"/>
                <w:szCs w:val="18"/>
              </w:rPr>
            </w:pPr>
            <w:r w:rsidRPr="00E62881">
              <w:t xml:space="preserve"> 61.13 </w:t>
            </w:r>
          </w:p>
        </w:tc>
        <w:tc>
          <w:tcPr>
            <w:tcW w:w="1157" w:type="dxa"/>
            <w:noWrap/>
            <w:hideMark/>
          </w:tcPr>
          <w:p w14:paraId="772F4860" w14:textId="159448E8" w:rsidR="00CC520B" w:rsidRDefault="00CC520B" w:rsidP="00CC520B">
            <w:pPr>
              <w:pStyle w:val="TableParagraph"/>
              <w:spacing w:line="276" w:lineRule="auto"/>
              <w:jc w:val="right"/>
              <w:rPr>
                <w:rFonts w:cs="Segoe UI"/>
                <w:szCs w:val="18"/>
              </w:rPr>
            </w:pPr>
            <w:r w:rsidRPr="00E62881">
              <w:t xml:space="preserve"> 62.17 </w:t>
            </w:r>
          </w:p>
        </w:tc>
        <w:tc>
          <w:tcPr>
            <w:tcW w:w="1181" w:type="dxa"/>
            <w:noWrap/>
            <w:hideMark/>
          </w:tcPr>
          <w:p w14:paraId="6BF87F3C" w14:textId="2C86860B" w:rsidR="00CC520B" w:rsidRDefault="00CC520B" w:rsidP="00CC520B">
            <w:pPr>
              <w:pStyle w:val="TableParagraph"/>
              <w:spacing w:line="276" w:lineRule="auto"/>
              <w:jc w:val="right"/>
              <w:rPr>
                <w:rFonts w:cs="Segoe UI"/>
                <w:szCs w:val="18"/>
              </w:rPr>
            </w:pPr>
            <w:r w:rsidRPr="00E62881">
              <w:t xml:space="preserve"> 63.23 </w:t>
            </w:r>
          </w:p>
        </w:tc>
      </w:tr>
      <w:tr w:rsidR="00CC520B" w14:paraId="6A0288CD" w14:textId="77777777" w:rsidTr="00104139">
        <w:trPr>
          <w:gridAfter w:val="1"/>
          <w:cnfStyle w:val="000000010000" w:firstRow="0" w:lastRow="0" w:firstColumn="0" w:lastColumn="0" w:oddVBand="0" w:evenVBand="0" w:oddHBand="0" w:evenHBand="1" w:firstRowFirstColumn="0" w:firstRowLastColumn="0" w:lastRowFirstColumn="0" w:lastRowLastColumn="0"/>
          <w:wAfter w:w="10" w:type="dxa"/>
          <w:trHeight w:val="300"/>
        </w:trPr>
        <w:tc>
          <w:tcPr>
            <w:tcW w:w="3694" w:type="dxa"/>
            <w:tcBorders>
              <w:right w:val="single" w:sz="12" w:space="0" w:color="BFBFBF" w:themeColor="background1" w:themeShade="BF"/>
            </w:tcBorders>
            <w:noWrap/>
            <w:hideMark/>
          </w:tcPr>
          <w:p w14:paraId="332108CD" w14:textId="77777777" w:rsidR="00CC520B" w:rsidRDefault="00CC520B" w:rsidP="00CC520B">
            <w:pPr>
              <w:pStyle w:val="TableParagraph"/>
              <w:spacing w:line="276" w:lineRule="auto"/>
              <w:ind w:left="284"/>
              <w:rPr>
                <w:rFonts w:cs="Segoe UI"/>
                <w:szCs w:val="18"/>
              </w:rPr>
            </w:pPr>
            <w:r>
              <w:rPr>
                <w:rFonts w:cs="Segoe UI"/>
                <w:szCs w:val="18"/>
              </w:rPr>
              <w:t>Business Systems Support</w:t>
            </w:r>
          </w:p>
        </w:tc>
        <w:tc>
          <w:tcPr>
            <w:tcW w:w="1158" w:type="dxa"/>
            <w:tcBorders>
              <w:left w:val="single" w:sz="12" w:space="0" w:color="BFBFBF" w:themeColor="background1" w:themeShade="BF"/>
              <w:right w:val="single" w:sz="12" w:space="0" w:color="BFBFBF" w:themeColor="background1" w:themeShade="BF"/>
            </w:tcBorders>
          </w:tcPr>
          <w:p w14:paraId="155B5CB8" w14:textId="77777777" w:rsidR="00CC520B" w:rsidRPr="00ED6EAE" w:rsidRDefault="00CC520B" w:rsidP="00CC520B">
            <w:pPr>
              <w:pStyle w:val="TableParagraph"/>
              <w:spacing w:line="276" w:lineRule="auto"/>
              <w:jc w:val="right"/>
            </w:pPr>
            <w:r w:rsidRPr="00ED6EAE">
              <w:t xml:space="preserve">22.31 </w:t>
            </w:r>
          </w:p>
        </w:tc>
        <w:tc>
          <w:tcPr>
            <w:tcW w:w="1158" w:type="dxa"/>
            <w:tcBorders>
              <w:left w:val="single" w:sz="12" w:space="0" w:color="BFBFBF" w:themeColor="background1" w:themeShade="BF"/>
            </w:tcBorders>
            <w:noWrap/>
            <w:hideMark/>
          </w:tcPr>
          <w:p w14:paraId="6D00B3D1" w14:textId="53ECDE0A" w:rsidR="00CC520B" w:rsidRDefault="00CC520B" w:rsidP="00CC520B">
            <w:pPr>
              <w:pStyle w:val="TableParagraph"/>
              <w:spacing w:line="276" w:lineRule="auto"/>
              <w:jc w:val="right"/>
              <w:rPr>
                <w:rFonts w:cs="Segoe UI"/>
                <w:szCs w:val="18"/>
              </w:rPr>
            </w:pPr>
            <w:r w:rsidRPr="00E62881">
              <w:t xml:space="preserve"> 21.38 </w:t>
            </w:r>
          </w:p>
        </w:tc>
        <w:tc>
          <w:tcPr>
            <w:tcW w:w="1157" w:type="dxa"/>
            <w:noWrap/>
            <w:hideMark/>
          </w:tcPr>
          <w:p w14:paraId="4EFF42E0" w14:textId="76F2DC0F" w:rsidR="00CC520B" w:rsidRDefault="00CC520B" w:rsidP="00CC520B">
            <w:pPr>
              <w:pStyle w:val="TableParagraph"/>
              <w:spacing w:line="276" w:lineRule="auto"/>
              <w:jc w:val="right"/>
              <w:rPr>
                <w:rFonts w:cs="Segoe UI"/>
                <w:szCs w:val="18"/>
              </w:rPr>
            </w:pPr>
            <w:r w:rsidRPr="00E62881">
              <w:t xml:space="preserve"> 21.21 </w:t>
            </w:r>
          </w:p>
        </w:tc>
        <w:tc>
          <w:tcPr>
            <w:tcW w:w="1157" w:type="dxa"/>
            <w:noWrap/>
            <w:hideMark/>
          </w:tcPr>
          <w:p w14:paraId="31B55F39" w14:textId="05449887" w:rsidR="00CC520B" w:rsidRDefault="00CC520B" w:rsidP="00CC520B">
            <w:pPr>
              <w:pStyle w:val="TableParagraph"/>
              <w:spacing w:line="276" w:lineRule="auto"/>
              <w:jc w:val="right"/>
              <w:rPr>
                <w:rFonts w:cs="Segoe UI"/>
                <w:szCs w:val="18"/>
              </w:rPr>
            </w:pPr>
            <w:r w:rsidRPr="00E62881">
              <w:t xml:space="preserve"> 21.04 </w:t>
            </w:r>
          </w:p>
        </w:tc>
        <w:tc>
          <w:tcPr>
            <w:tcW w:w="1181" w:type="dxa"/>
            <w:noWrap/>
            <w:hideMark/>
          </w:tcPr>
          <w:p w14:paraId="1612CB00" w14:textId="0698C3D9" w:rsidR="00CC520B" w:rsidRDefault="00CC520B" w:rsidP="00CC520B">
            <w:pPr>
              <w:pStyle w:val="TableParagraph"/>
              <w:spacing w:line="276" w:lineRule="auto"/>
              <w:jc w:val="right"/>
              <w:rPr>
                <w:rFonts w:cs="Segoe UI"/>
                <w:szCs w:val="18"/>
              </w:rPr>
            </w:pPr>
            <w:r w:rsidRPr="00E62881">
              <w:t xml:space="preserve"> 20.88 </w:t>
            </w:r>
          </w:p>
        </w:tc>
      </w:tr>
      <w:tr w:rsidR="00CC520B" w14:paraId="7B5759DD" w14:textId="77777777" w:rsidTr="00104139">
        <w:trPr>
          <w:gridAfter w:val="1"/>
          <w:wAfter w:w="10" w:type="dxa"/>
          <w:trHeight w:val="300"/>
        </w:trPr>
        <w:tc>
          <w:tcPr>
            <w:tcW w:w="3694" w:type="dxa"/>
            <w:tcBorders>
              <w:right w:val="single" w:sz="12" w:space="0" w:color="BFBFBF" w:themeColor="background1" w:themeShade="BF"/>
            </w:tcBorders>
            <w:noWrap/>
            <w:hideMark/>
          </w:tcPr>
          <w:p w14:paraId="7E471D73" w14:textId="77777777" w:rsidR="00CC520B" w:rsidRDefault="00CC520B" w:rsidP="00CC520B">
            <w:pPr>
              <w:pStyle w:val="TableParagraph"/>
              <w:spacing w:line="276" w:lineRule="auto"/>
              <w:ind w:left="284"/>
              <w:rPr>
                <w:rFonts w:cs="Segoe UI"/>
                <w:szCs w:val="18"/>
              </w:rPr>
            </w:pPr>
            <w:r>
              <w:rPr>
                <w:rFonts w:cs="Segoe UI"/>
                <w:szCs w:val="18"/>
              </w:rPr>
              <w:t>Payment Services</w:t>
            </w:r>
          </w:p>
        </w:tc>
        <w:tc>
          <w:tcPr>
            <w:tcW w:w="1158" w:type="dxa"/>
            <w:tcBorders>
              <w:left w:val="single" w:sz="12" w:space="0" w:color="BFBFBF" w:themeColor="background1" w:themeShade="BF"/>
              <w:right w:val="single" w:sz="12" w:space="0" w:color="BFBFBF" w:themeColor="background1" w:themeShade="BF"/>
            </w:tcBorders>
          </w:tcPr>
          <w:p w14:paraId="0941C416" w14:textId="77777777" w:rsidR="00CC520B" w:rsidRPr="00ED6EAE" w:rsidRDefault="00CC520B" w:rsidP="00CC520B">
            <w:pPr>
              <w:pStyle w:val="TableParagraph"/>
              <w:spacing w:line="276" w:lineRule="auto"/>
              <w:jc w:val="right"/>
            </w:pPr>
            <w:r w:rsidRPr="00ED6EAE">
              <w:t xml:space="preserve">9.15 </w:t>
            </w:r>
          </w:p>
        </w:tc>
        <w:tc>
          <w:tcPr>
            <w:tcW w:w="1158" w:type="dxa"/>
            <w:tcBorders>
              <w:left w:val="single" w:sz="12" w:space="0" w:color="BFBFBF" w:themeColor="background1" w:themeShade="BF"/>
            </w:tcBorders>
            <w:noWrap/>
            <w:hideMark/>
          </w:tcPr>
          <w:p w14:paraId="3B0C247C" w14:textId="248FF1EF" w:rsidR="00CC520B" w:rsidRDefault="00CC520B" w:rsidP="00CC520B">
            <w:pPr>
              <w:pStyle w:val="TableParagraph"/>
              <w:spacing w:line="276" w:lineRule="auto"/>
              <w:jc w:val="right"/>
              <w:rPr>
                <w:rFonts w:cs="Segoe UI"/>
                <w:szCs w:val="18"/>
              </w:rPr>
            </w:pPr>
            <w:r w:rsidRPr="00E62881">
              <w:t xml:space="preserve"> 15.29 </w:t>
            </w:r>
          </w:p>
        </w:tc>
        <w:tc>
          <w:tcPr>
            <w:tcW w:w="1157" w:type="dxa"/>
            <w:noWrap/>
            <w:hideMark/>
          </w:tcPr>
          <w:p w14:paraId="5BE06E21" w14:textId="79191EF1" w:rsidR="00CC520B" w:rsidRDefault="00CC520B" w:rsidP="00CC520B">
            <w:pPr>
              <w:pStyle w:val="TableParagraph"/>
              <w:spacing w:line="276" w:lineRule="auto"/>
              <w:jc w:val="right"/>
              <w:rPr>
                <w:rFonts w:cs="Segoe UI"/>
                <w:szCs w:val="18"/>
              </w:rPr>
            </w:pPr>
            <w:r w:rsidRPr="00E62881">
              <w:t xml:space="preserve"> 15.68 </w:t>
            </w:r>
          </w:p>
        </w:tc>
        <w:tc>
          <w:tcPr>
            <w:tcW w:w="1157" w:type="dxa"/>
            <w:noWrap/>
            <w:hideMark/>
          </w:tcPr>
          <w:p w14:paraId="4BEDD3F6" w14:textId="47C93950" w:rsidR="00CC520B" w:rsidRDefault="00CC520B" w:rsidP="00CC520B">
            <w:pPr>
              <w:pStyle w:val="TableParagraph"/>
              <w:spacing w:line="276" w:lineRule="auto"/>
              <w:jc w:val="right"/>
              <w:rPr>
                <w:rFonts w:cs="Segoe UI"/>
                <w:szCs w:val="18"/>
              </w:rPr>
            </w:pPr>
            <w:r w:rsidRPr="00E62881">
              <w:t xml:space="preserve"> 16.07 </w:t>
            </w:r>
          </w:p>
        </w:tc>
        <w:tc>
          <w:tcPr>
            <w:tcW w:w="1181" w:type="dxa"/>
            <w:noWrap/>
            <w:hideMark/>
          </w:tcPr>
          <w:p w14:paraId="7DE95463" w14:textId="14991F47" w:rsidR="00CC520B" w:rsidRDefault="00CC520B" w:rsidP="00CC520B">
            <w:pPr>
              <w:pStyle w:val="TableParagraph"/>
              <w:spacing w:line="276" w:lineRule="auto"/>
              <w:jc w:val="right"/>
              <w:rPr>
                <w:rFonts w:cs="Segoe UI"/>
                <w:szCs w:val="18"/>
              </w:rPr>
            </w:pPr>
            <w:r w:rsidRPr="00E62881">
              <w:t xml:space="preserve"> 16.47 </w:t>
            </w:r>
          </w:p>
        </w:tc>
      </w:tr>
      <w:tr w:rsidR="00CC520B" w14:paraId="7CAA274C" w14:textId="77777777" w:rsidTr="00104139">
        <w:trPr>
          <w:gridAfter w:val="1"/>
          <w:cnfStyle w:val="000000010000" w:firstRow="0" w:lastRow="0" w:firstColumn="0" w:lastColumn="0" w:oddVBand="0" w:evenVBand="0" w:oddHBand="0" w:evenHBand="1" w:firstRowFirstColumn="0" w:firstRowLastColumn="0" w:lastRowFirstColumn="0" w:lastRowLastColumn="0"/>
          <w:wAfter w:w="10" w:type="dxa"/>
          <w:trHeight w:val="300"/>
        </w:trPr>
        <w:tc>
          <w:tcPr>
            <w:tcW w:w="3694" w:type="dxa"/>
            <w:tcBorders>
              <w:right w:val="single" w:sz="12" w:space="0" w:color="BFBFBF" w:themeColor="background1" w:themeShade="BF"/>
            </w:tcBorders>
            <w:noWrap/>
            <w:hideMark/>
          </w:tcPr>
          <w:p w14:paraId="611F75E2" w14:textId="77777777" w:rsidR="00CC520B" w:rsidRDefault="00CC520B" w:rsidP="00CC520B">
            <w:pPr>
              <w:pStyle w:val="TableParagraph"/>
              <w:spacing w:line="276" w:lineRule="auto"/>
              <w:ind w:left="284"/>
              <w:rPr>
                <w:rFonts w:cs="Segoe UI"/>
                <w:szCs w:val="18"/>
              </w:rPr>
            </w:pPr>
            <w:r>
              <w:rPr>
                <w:rFonts w:cs="Segoe UI"/>
                <w:szCs w:val="18"/>
              </w:rPr>
              <w:t>CSC Office Depreciation</w:t>
            </w:r>
          </w:p>
        </w:tc>
        <w:tc>
          <w:tcPr>
            <w:tcW w:w="1158" w:type="dxa"/>
            <w:tcBorders>
              <w:left w:val="single" w:sz="12" w:space="0" w:color="BFBFBF" w:themeColor="background1" w:themeShade="BF"/>
              <w:bottom w:val="single" w:sz="4" w:space="0" w:color="BFBFBF" w:themeColor="background1" w:themeShade="BF"/>
              <w:right w:val="single" w:sz="12" w:space="0" w:color="BFBFBF" w:themeColor="background1" w:themeShade="BF"/>
            </w:tcBorders>
          </w:tcPr>
          <w:p w14:paraId="0EFA5006" w14:textId="77777777" w:rsidR="00CC520B" w:rsidRPr="00ED6EAE" w:rsidRDefault="00CC520B" w:rsidP="00CC520B">
            <w:pPr>
              <w:pStyle w:val="TableParagraph"/>
              <w:spacing w:line="276" w:lineRule="auto"/>
              <w:jc w:val="right"/>
            </w:pPr>
            <w:r w:rsidRPr="00ED6EAE">
              <w:t xml:space="preserve">0.22 </w:t>
            </w:r>
          </w:p>
        </w:tc>
        <w:tc>
          <w:tcPr>
            <w:tcW w:w="1158" w:type="dxa"/>
            <w:tcBorders>
              <w:left w:val="single" w:sz="12" w:space="0" w:color="BFBFBF" w:themeColor="background1" w:themeShade="BF"/>
            </w:tcBorders>
            <w:noWrap/>
            <w:hideMark/>
          </w:tcPr>
          <w:p w14:paraId="33DC9F64" w14:textId="41B504F5" w:rsidR="00CC520B" w:rsidRDefault="00CC520B" w:rsidP="00CC520B">
            <w:pPr>
              <w:pStyle w:val="TableParagraph"/>
              <w:spacing w:line="276" w:lineRule="auto"/>
              <w:jc w:val="right"/>
              <w:rPr>
                <w:rFonts w:cs="Segoe UI"/>
                <w:szCs w:val="18"/>
              </w:rPr>
            </w:pPr>
            <w:r w:rsidRPr="00E62881">
              <w:t xml:space="preserve"> 0.22 </w:t>
            </w:r>
          </w:p>
        </w:tc>
        <w:tc>
          <w:tcPr>
            <w:tcW w:w="1157" w:type="dxa"/>
            <w:noWrap/>
            <w:hideMark/>
          </w:tcPr>
          <w:p w14:paraId="31DB956C" w14:textId="0B9D66EF" w:rsidR="00CC520B" w:rsidRDefault="00CC520B" w:rsidP="00CC520B">
            <w:pPr>
              <w:pStyle w:val="TableParagraph"/>
              <w:spacing w:line="276" w:lineRule="auto"/>
              <w:jc w:val="right"/>
              <w:rPr>
                <w:rFonts w:cs="Segoe UI"/>
                <w:szCs w:val="18"/>
              </w:rPr>
            </w:pPr>
            <w:r w:rsidRPr="00E62881">
              <w:t xml:space="preserve"> 0.22 </w:t>
            </w:r>
          </w:p>
        </w:tc>
        <w:tc>
          <w:tcPr>
            <w:tcW w:w="1157" w:type="dxa"/>
            <w:noWrap/>
            <w:hideMark/>
          </w:tcPr>
          <w:p w14:paraId="50001EC2" w14:textId="1B89CD47" w:rsidR="00CC520B" w:rsidRDefault="00CC520B" w:rsidP="00CC520B">
            <w:pPr>
              <w:pStyle w:val="TableParagraph"/>
              <w:spacing w:line="276" w:lineRule="auto"/>
              <w:jc w:val="right"/>
              <w:rPr>
                <w:rFonts w:cs="Segoe UI"/>
                <w:szCs w:val="18"/>
              </w:rPr>
            </w:pPr>
            <w:r w:rsidRPr="00E62881">
              <w:t xml:space="preserve"> 0.21 </w:t>
            </w:r>
          </w:p>
        </w:tc>
        <w:tc>
          <w:tcPr>
            <w:tcW w:w="1181" w:type="dxa"/>
            <w:noWrap/>
            <w:hideMark/>
          </w:tcPr>
          <w:p w14:paraId="2FA8E01B" w14:textId="39E6C324" w:rsidR="00CC520B" w:rsidRDefault="00CC520B" w:rsidP="00CC520B">
            <w:pPr>
              <w:pStyle w:val="TableParagraph"/>
              <w:spacing w:line="276" w:lineRule="auto"/>
              <w:jc w:val="right"/>
              <w:rPr>
                <w:rFonts w:cs="Segoe UI"/>
                <w:szCs w:val="18"/>
              </w:rPr>
            </w:pPr>
            <w:r w:rsidRPr="00E62881">
              <w:t xml:space="preserve"> 0.21 </w:t>
            </w:r>
          </w:p>
        </w:tc>
      </w:tr>
      <w:tr w:rsidR="00CC520B" w14:paraId="11058ED1" w14:textId="77777777" w:rsidTr="00104139">
        <w:trPr>
          <w:gridAfter w:val="1"/>
          <w:wAfter w:w="10" w:type="dxa"/>
          <w:trHeight w:val="300"/>
        </w:trPr>
        <w:tc>
          <w:tcPr>
            <w:tcW w:w="3694" w:type="dxa"/>
            <w:tcBorders>
              <w:right w:val="single" w:sz="12" w:space="0" w:color="BFBFBF" w:themeColor="background1" w:themeShade="BF"/>
            </w:tcBorders>
            <w:noWrap/>
            <w:hideMark/>
          </w:tcPr>
          <w:p w14:paraId="26B2975B" w14:textId="77777777" w:rsidR="00CC520B" w:rsidRDefault="00CC520B" w:rsidP="00CC520B">
            <w:pPr>
              <w:pStyle w:val="TableParagraph"/>
              <w:spacing w:line="276" w:lineRule="auto"/>
              <w:ind w:left="284"/>
              <w:rPr>
                <w:rFonts w:cs="Segoe UI"/>
                <w:szCs w:val="18"/>
              </w:rPr>
            </w:pPr>
            <w:r>
              <w:rPr>
                <w:rFonts w:cs="Segoe UI"/>
                <w:szCs w:val="18"/>
              </w:rPr>
              <w:t>Business Improvement</w:t>
            </w:r>
          </w:p>
        </w:tc>
        <w:tc>
          <w:tcPr>
            <w:tcW w:w="1158" w:type="dxa"/>
            <w:tcBorders>
              <w:left w:val="single" w:sz="12" w:space="0" w:color="BFBFBF" w:themeColor="background1" w:themeShade="BF"/>
              <w:bottom w:val="single" w:sz="4" w:space="0" w:color="BFBFBF" w:themeColor="background1" w:themeShade="BF"/>
              <w:right w:val="single" w:sz="12" w:space="0" w:color="BFBFBF" w:themeColor="background1" w:themeShade="BF"/>
            </w:tcBorders>
          </w:tcPr>
          <w:p w14:paraId="2C654491" w14:textId="77777777" w:rsidR="00CC520B" w:rsidRPr="00ED6EAE" w:rsidRDefault="00CC520B" w:rsidP="00CC520B">
            <w:pPr>
              <w:pStyle w:val="TableParagraph"/>
              <w:spacing w:line="276" w:lineRule="auto"/>
              <w:jc w:val="right"/>
            </w:pPr>
            <w:r w:rsidRPr="00ED6EAE">
              <w:t xml:space="preserve">5.00 </w:t>
            </w:r>
          </w:p>
        </w:tc>
        <w:tc>
          <w:tcPr>
            <w:tcW w:w="1158" w:type="dxa"/>
            <w:tcBorders>
              <w:left w:val="single" w:sz="12" w:space="0" w:color="BFBFBF" w:themeColor="background1" w:themeShade="BF"/>
            </w:tcBorders>
            <w:noWrap/>
            <w:hideMark/>
          </w:tcPr>
          <w:p w14:paraId="44044598" w14:textId="777286CF" w:rsidR="00CC520B" w:rsidRDefault="00CC520B" w:rsidP="00CC520B">
            <w:pPr>
              <w:pStyle w:val="TableParagraph"/>
              <w:spacing w:line="276" w:lineRule="auto"/>
              <w:jc w:val="right"/>
              <w:rPr>
                <w:rFonts w:cs="Segoe UI"/>
                <w:szCs w:val="18"/>
              </w:rPr>
            </w:pPr>
            <w:r w:rsidRPr="00E62881">
              <w:t xml:space="preserve"> 5.15 </w:t>
            </w:r>
          </w:p>
        </w:tc>
        <w:tc>
          <w:tcPr>
            <w:tcW w:w="1157" w:type="dxa"/>
            <w:noWrap/>
            <w:hideMark/>
          </w:tcPr>
          <w:p w14:paraId="72EEA6AA" w14:textId="4EAF1669" w:rsidR="00CC520B" w:rsidRDefault="00CC520B" w:rsidP="00CC520B">
            <w:pPr>
              <w:pStyle w:val="TableParagraph"/>
              <w:spacing w:line="276" w:lineRule="auto"/>
              <w:jc w:val="right"/>
              <w:rPr>
                <w:rFonts w:cs="Segoe UI"/>
                <w:szCs w:val="18"/>
              </w:rPr>
            </w:pPr>
            <w:r w:rsidRPr="00E62881">
              <w:t xml:space="preserve"> 5.10 </w:t>
            </w:r>
          </w:p>
        </w:tc>
        <w:tc>
          <w:tcPr>
            <w:tcW w:w="1157" w:type="dxa"/>
            <w:noWrap/>
            <w:hideMark/>
          </w:tcPr>
          <w:p w14:paraId="487CCEC7" w14:textId="25B40FE1" w:rsidR="00CC520B" w:rsidRDefault="00CC520B" w:rsidP="00CC520B">
            <w:pPr>
              <w:pStyle w:val="TableParagraph"/>
              <w:spacing w:line="276" w:lineRule="auto"/>
              <w:jc w:val="right"/>
              <w:rPr>
                <w:rFonts w:cs="Segoe UI"/>
                <w:szCs w:val="18"/>
              </w:rPr>
            </w:pPr>
            <w:r w:rsidRPr="00E62881">
              <w:t xml:space="preserve"> 5.05 </w:t>
            </w:r>
          </w:p>
        </w:tc>
        <w:tc>
          <w:tcPr>
            <w:tcW w:w="1181" w:type="dxa"/>
            <w:noWrap/>
            <w:hideMark/>
          </w:tcPr>
          <w:p w14:paraId="77158E6B" w14:textId="1B1860B4" w:rsidR="00CC520B" w:rsidRDefault="00CC520B" w:rsidP="00CC520B">
            <w:pPr>
              <w:pStyle w:val="TableParagraph"/>
              <w:spacing w:line="276" w:lineRule="auto"/>
              <w:jc w:val="right"/>
              <w:rPr>
                <w:rFonts w:cs="Segoe UI"/>
                <w:szCs w:val="18"/>
              </w:rPr>
            </w:pPr>
            <w:r w:rsidRPr="00E62881">
              <w:t xml:space="preserve"> 5.00 </w:t>
            </w:r>
          </w:p>
        </w:tc>
      </w:tr>
      <w:tr w:rsidR="00CC520B" w14:paraId="69295329" w14:textId="77777777" w:rsidTr="00104139">
        <w:trPr>
          <w:gridAfter w:val="1"/>
          <w:cnfStyle w:val="000000010000" w:firstRow="0" w:lastRow="0" w:firstColumn="0" w:lastColumn="0" w:oddVBand="0" w:evenVBand="0" w:oddHBand="0" w:evenHBand="1" w:firstRowFirstColumn="0" w:firstRowLastColumn="0" w:lastRowFirstColumn="0" w:lastRowLastColumn="0"/>
          <w:wAfter w:w="10" w:type="dxa"/>
          <w:trHeight w:val="330"/>
        </w:trPr>
        <w:tc>
          <w:tcPr>
            <w:tcW w:w="3694" w:type="dxa"/>
            <w:tcBorders>
              <w:right w:val="single" w:sz="12" w:space="0" w:color="FFFFFF" w:themeColor="background1"/>
            </w:tcBorders>
            <w:shd w:val="clear" w:color="auto" w:fill="ADC6E6" w:themeFill="text2" w:themeFillTint="40"/>
            <w:noWrap/>
            <w:hideMark/>
          </w:tcPr>
          <w:p w14:paraId="1D44A9CA" w14:textId="77777777" w:rsidR="00CC520B" w:rsidRDefault="00CC520B" w:rsidP="00CC520B">
            <w:pPr>
              <w:pStyle w:val="TableParagraph"/>
              <w:spacing w:line="276" w:lineRule="auto"/>
              <w:jc w:val="right"/>
              <w:rPr>
                <w:rFonts w:cs="Segoe UI"/>
                <w:b/>
                <w:szCs w:val="18"/>
              </w:rPr>
            </w:pPr>
            <w:r>
              <w:rPr>
                <w:rFonts w:cs="Segoe UI"/>
                <w:b/>
                <w:szCs w:val="18"/>
              </w:rPr>
              <w:t>Total Direct Costs</w:t>
            </w:r>
          </w:p>
        </w:tc>
        <w:tc>
          <w:tcPr>
            <w:tcW w:w="1158" w:type="dxa"/>
            <w:tcBorders>
              <w:left w:val="single" w:sz="12" w:space="0" w:color="FFFFFF" w:themeColor="background1"/>
              <w:right w:val="single" w:sz="12" w:space="0" w:color="FFFFFF" w:themeColor="background1"/>
            </w:tcBorders>
            <w:shd w:val="clear" w:color="auto" w:fill="ADC6E6" w:themeFill="text2" w:themeFillTint="40"/>
          </w:tcPr>
          <w:p w14:paraId="6E327742" w14:textId="77777777" w:rsidR="00CC520B" w:rsidRPr="00ED6EAE" w:rsidRDefault="00CC520B" w:rsidP="00CC520B">
            <w:pPr>
              <w:pStyle w:val="TableParagraph"/>
              <w:spacing w:line="276" w:lineRule="auto"/>
              <w:jc w:val="right"/>
              <w:rPr>
                <w:b/>
                <w:sz w:val="20"/>
              </w:rPr>
            </w:pPr>
            <w:r w:rsidRPr="00ED6EAE">
              <w:rPr>
                <w:b/>
                <w:sz w:val="20"/>
              </w:rPr>
              <w:t xml:space="preserve">158.62 </w:t>
            </w:r>
          </w:p>
        </w:tc>
        <w:tc>
          <w:tcPr>
            <w:tcW w:w="1158" w:type="dxa"/>
            <w:tcBorders>
              <w:left w:val="single" w:sz="12" w:space="0" w:color="FFFFFF" w:themeColor="background1"/>
            </w:tcBorders>
            <w:shd w:val="clear" w:color="auto" w:fill="ADC6E6" w:themeFill="text2" w:themeFillTint="40"/>
            <w:noWrap/>
            <w:hideMark/>
          </w:tcPr>
          <w:p w14:paraId="211606C1" w14:textId="44814B86" w:rsidR="00CC520B" w:rsidRPr="00CC520B" w:rsidRDefault="00CC520B" w:rsidP="00CC520B">
            <w:pPr>
              <w:pStyle w:val="TableParagraph"/>
              <w:spacing w:line="276" w:lineRule="auto"/>
              <w:jc w:val="right"/>
              <w:rPr>
                <w:rFonts w:cs="Segoe UI"/>
                <w:b/>
                <w:sz w:val="20"/>
              </w:rPr>
            </w:pPr>
            <w:r w:rsidRPr="00CC520B">
              <w:rPr>
                <w:b/>
                <w:sz w:val="20"/>
              </w:rPr>
              <w:t xml:space="preserve"> 202.99 </w:t>
            </w:r>
          </w:p>
        </w:tc>
        <w:tc>
          <w:tcPr>
            <w:tcW w:w="1157" w:type="dxa"/>
            <w:shd w:val="clear" w:color="auto" w:fill="ADC6E6" w:themeFill="text2" w:themeFillTint="40"/>
            <w:noWrap/>
            <w:hideMark/>
          </w:tcPr>
          <w:p w14:paraId="650DE39E" w14:textId="0AEF68C5" w:rsidR="00CC520B" w:rsidRPr="00CC520B" w:rsidRDefault="00CC520B" w:rsidP="00CC520B">
            <w:pPr>
              <w:pStyle w:val="TableParagraph"/>
              <w:spacing w:line="276" w:lineRule="auto"/>
              <w:jc w:val="right"/>
              <w:rPr>
                <w:rFonts w:cs="Segoe UI"/>
                <w:b/>
                <w:sz w:val="20"/>
              </w:rPr>
            </w:pPr>
            <w:r w:rsidRPr="00CC520B">
              <w:rPr>
                <w:b/>
                <w:sz w:val="20"/>
              </w:rPr>
              <w:t xml:space="preserve"> 205.93 </w:t>
            </w:r>
          </w:p>
        </w:tc>
        <w:tc>
          <w:tcPr>
            <w:tcW w:w="1157" w:type="dxa"/>
            <w:shd w:val="clear" w:color="auto" w:fill="ADC6E6" w:themeFill="text2" w:themeFillTint="40"/>
            <w:noWrap/>
            <w:hideMark/>
          </w:tcPr>
          <w:p w14:paraId="60E20581" w14:textId="2C25CE76" w:rsidR="00CC520B" w:rsidRPr="00CC520B" w:rsidRDefault="00CC520B" w:rsidP="00CC520B">
            <w:pPr>
              <w:pStyle w:val="TableParagraph"/>
              <w:spacing w:line="276" w:lineRule="auto"/>
              <w:jc w:val="right"/>
              <w:rPr>
                <w:rFonts w:cs="Segoe UI"/>
                <w:b/>
                <w:sz w:val="20"/>
              </w:rPr>
            </w:pPr>
            <w:r w:rsidRPr="00CC520B">
              <w:rPr>
                <w:b/>
                <w:sz w:val="20"/>
              </w:rPr>
              <w:t xml:space="preserve"> 208.94 </w:t>
            </w:r>
          </w:p>
        </w:tc>
        <w:tc>
          <w:tcPr>
            <w:tcW w:w="1181" w:type="dxa"/>
            <w:shd w:val="clear" w:color="auto" w:fill="ADC6E6" w:themeFill="text2" w:themeFillTint="40"/>
            <w:noWrap/>
            <w:hideMark/>
          </w:tcPr>
          <w:p w14:paraId="59FA0F49" w14:textId="413CE28C" w:rsidR="00CC520B" w:rsidRPr="00CC520B" w:rsidRDefault="00CC520B" w:rsidP="00CC520B">
            <w:pPr>
              <w:pStyle w:val="TableParagraph"/>
              <w:spacing w:line="276" w:lineRule="auto"/>
              <w:jc w:val="right"/>
              <w:rPr>
                <w:rFonts w:cs="Segoe UI"/>
                <w:b/>
                <w:sz w:val="20"/>
              </w:rPr>
            </w:pPr>
            <w:r w:rsidRPr="00CC520B">
              <w:rPr>
                <w:b/>
                <w:sz w:val="20"/>
              </w:rPr>
              <w:t xml:space="preserve"> 212.04 </w:t>
            </w:r>
          </w:p>
        </w:tc>
      </w:tr>
      <w:tr w:rsidR="00370DA6" w14:paraId="4731044B" w14:textId="77777777" w:rsidTr="00370DA6">
        <w:trPr>
          <w:trHeight w:val="300"/>
        </w:trPr>
        <w:tc>
          <w:tcPr>
            <w:tcW w:w="9515" w:type="dxa"/>
            <w:gridSpan w:val="7"/>
            <w:shd w:val="clear" w:color="auto" w:fill="DDE8F4" w:themeFill="text2" w:themeFillTint="1A"/>
          </w:tcPr>
          <w:p w14:paraId="71683E75" w14:textId="77777777" w:rsidR="00370DA6" w:rsidRPr="00ED6EAE" w:rsidRDefault="00370DA6" w:rsidP="00370DA6">
            <w:pPr>
              <w:pStyle w:val="TableParagraph"/>
              <w:spacing w:line="276" w:lineRule="auto"/>
              <w:rPr>
                <w:rFonts w:cs="Segoe UI"/>
                <w:b/>
                <w:szCs w:val="18"/>
              </w:rPr>
            </w:pPr>
            <w:r w:rsidRPr="00ED6EAE">
              <w:rPr>
                <w:rFonts w:cs="Segoe UI"/>
                <w:b/>
                <w:szCs w:val="18"/>
              </w:rPr>
              <w:t>Indirect Costs</w:t>
            </w:r>
          </w:p>
        </w:tc>
      </w:tr>
      <w:tr w:rsidR="00CC520B" w14:paraId="6A7D5917" w14:textId="77777777" w:rsidTr="00104139">
        <w:trPr>
          <w:gridAfter w:val="1"/>
          <w:cnfStyle w:val="000000010000" w:firstRow="0" w:lastRow="0" w:firstColumn="0" w:lastColumn="0" w:oddVBand="0" w:evenVBand="0" w:oddHBand="0" w:evenHBand="1" w:firstRowFirstColumn="0" w:firstRowLastColumn="0" w:lastRowFirstColumn="0" w:lastRowLastColumn="0"/>
          <w:wAfter w:w="10" w:type="dxa"/>
          <w:trHeight w:val="300"/>
        </w:trPr>
        <w:tc>
          <w:tcPr>
            <w:tcW w:w="3694" w:type="dxa"/>
            <w:tcBorders>
              <w:right w:val="single" w:sz="12" w:space="0" w:color="BFBFBF" w:themeColor="background1" w:themeShade="BF"/>
            </w:tcBorders>
            <w:noWrap/>
            <w:hideMark/>
          </w:tcPr>
          <w:p w14:paraId="3E7E7967" w14:textId="77777777" w:rsidR="00CC520B" w:rsidRDefault="00CC520B" w:rsidP="00CC520B">
            <w:pPr>
              <w:pStyle w:val="TableParagraph"/>
              <w:spacing w:line="276" w:lineRule="auto"/>
              <w:ind w:left="284"/>
              <w:rPr>
                <w:rFonts w:cs="Segoe UI"/>
                <w:szCs w:val="18"/>
              </w:rPr>
            </w:pPr>
            <w:r>
              <w:rPr>
                <w:rFonts w:cs="Segoe UI"/>
                <w:szCs w:val="18"/>
              </w:rPr>
              <w:t>Corporate Overheads</w:t>
            </w:r>
          </w:p>
        </w:tc>
        <w:tc>
          <w:tcPr>
            <w:tcW w:w="1158" w:type="dxa"/>
            <w:tcBorders>
              <w:left w:val="single" w:sz="12" w:space="0" w:color="BFBFBF" w:themeColor="background1" w:themeShade="BF"/>
              <w:right w:val="single" w:sz="12" w:space="0" w:color="BFBFBF" w:themeColor="background1" w:themeShade="BF"/>
            </w:tcBorders>
          </w:tcPr>
          <w:p w14:paraId="15043B30" w14:textId="77777777" w:rsidR="00CC520B" w:rsidRPr="00ED6EAE" w:rsidRDefault="00CC520B" w:rsidP="00CC520B">
            <w:pPr>
              <w:pStyle w:val="TableParagraph"/>
              <w:spacing w:line="276" w:lineRule="auto"/>
              <w:jc w:val="right"/>
            </w:pPr>
            <w:r w:rsidRPr="00ED6EAE">
              <w:t xml:space="preserve">11.85 </w:t>
            </w:r>
          </w:p>
        </w:tc>
        <w:tc>
          <w:tcPr>
            <w:tcW w:w="1158" w:type="dxa"/>
            <w:tcBorders>
              <w:left w:val="single" w:sz="12" w:space="0" w:color="BFBFBF" w:themeColor="background1" w:themeShade="BF"/>
            </w:tcBorders>
            <w:noWrap/>
            <w:hideMark/>
          </w:tcPr>
          <w:p w14:paraId="5E5F60F3" w14:textId="4870E712" w:rsidR="00CC520B" w:rsidRDefault="00CC520B" w:rsidP="00CC520B">
            <w:pPr>
              <w:pStyle w:val="TableParagraph"/>
              <w:spacing w:line="276" w:lineRule="auto"/>
              <w:jc w:val="right"/>
              <w:rPr>
                <w:rFonts w:cs="Segoe UI"/>
                <w:szCs w:val="18"/>
              </w:rPr>
            </w:pPr>
            <w:r w:rsidRPr="00FF2862">
              <w:t xml:space="preserve"> 29.05 </w:t>
            </w:r>
          </w:p>
        </w:tc>
        <w:tc>
          <w:tcPr>
            <w:tcW w:w="1157" w:type="dxa"/>
            <w:noWrap/>
            <w:hideMark/>
          </w:tcPr>
          <w:p w14:paraId="0C17332E" w14:textId="511BA888" w:rsidR="00CC520B" w:rsidRDefault="00CC520B" w:rsidP="00CC520B">
            <w:pPr>
              <w:pStyle w:val="TableParagraph"/>
              <w:spacing w:line="276" w:lineRule="auto"/>
              <w:jc w:val="right"/>
              <w:rPr>
                <w:rFonts w:cs="Segoe UI"/>
                <w:szCs w:val="18"/>
              </w:rPr>
            </w:pPr>
            <w:r w:rsidRPr="00FF2862">
              <w:t xml:space="preserve"> 28.70 </w:t>
            </w:r>
          </w:p>
        </w:tc>
        <w:tc>
          <w:tcPr>
            <w:tcW w:w="1157" w:type="dxa"/>
            <w:noWrap/>
            <w:hideMark/>
          </w:tcPr>
          <w:p w14:paraId="71132A93" w14:textId="594A3B4C" w:rsidR="00CC520B" w:rsidRDefault="00CC520B" w:rsidP="00CC520B">
            <w:pPr>
              <w:pStyle w:val="TableParagraph"/>
              <w:spacing w:line="276" w:lineRule="auto"/>
              <w:jc w:val="right"/>
              <w:rPr>
                <w:rFonts w:cs="Segoe UI"/>
                <w:szCs w:val="18"/>
              </w:rPr>
            </w:pPr>
            <w:r w:rsidRPr="00FF2862">
              <w:t xml:space="preserve"> 28.35 </w:t>
            </w:r>
          </w:p>
        </w:tc>
        <w:tc>
          <w:tcPr>
            <w:tcW w:w="1181" w:type="dxa"/>
            <w:noWrap/>
            <w:hideMark/>
          </w:tcPr>
          <w:p w14:paraId="07553275" w14:textId="78F71346" w:rsidR="00CC520B" w:rsidRDefault="00CC520B" w:rsidP="00CC520B">
            <w:pPr>
              <w:pStyle w:val="TableParagraph"/>
              <w:spacing w:line="276" w:lineRule="auto"/>
              <w:jc w:val="right"/>
              <w:rPr>
                <w:rFonts w:cs="Segoe UI"/>
                <w:szCs w:val="18"/>
              </w:rPr>
            </w:pPr>
            <w:r w:rsidRPr="00FF2862">
              <w:t xml:space="preserve"> 28.00 </w:t>
            </w:r>
          </w:p>
        </w:tc>
      </w:tr>
      <w:tr w:rsidR="00CC520B" w14:paraId="78F03B42" w14:textId="77777777" w:rsidTr="00104139">
        <w:trPr>
          <w:gridAfter w:val="1"/>
          <w:wAfter w:w="10" w:type="dxa"/>
          <w:trHeight w:val="300"/>
        </w:trPr>
        <w:tc>
          <w:tcPr>
            <w:tcW w:w="3694" w:type="dxa"/>
            <w:tcBorders>
              <w:right w:val="single" w:sz="12" w:space="0" w:color="BFBFBF" w:themeColor="background1" w:themeShade="BF"/>
            </w:tcBorders>
            <w:noWrap/>
            <w:hideMark/>
          </w:tcPr>
          <w:p w14:paraId="65CFB619" w14:textId="77777777" w:rsidR="00CC520B" w:rsidRDefault="00CC520B" w:rsidP="00CC520B">
            <w:pPr>
              <w:pStyle w:val="TableParagraph"/>
              <w:spacing w:line="276" w:lineRule="auto"/>
              <w:ind w:left="284"/>
              <w:rPr>
                <w:rFonts w:cs="Segoe UI"/>
                <w:szCs w:val="18"/>
              </w:rPr>
            </w:pPr>
            <w:r>
              <w:rPr>
                <w:rFonts w:cs="Segoe UI"/>
                <w:szCs w:val="18"/>
              </w:rPr>
              <w:t>Systems Depreciation</w:t>
            </w:r>
          </w:p>
        </w:tc>
        <w:tc>
          <w:tcPr>
            <w:tcW w:w="1158" w:type="dxa"/>
            <w:tcBorders>
              <w:left w:val="single" w:sz="12" w:space="0" w:color="BFBFBF" w:themeColor="background1" w:themeShade="BF"/>
              <w:right w:val="single" w:sz="12" w:space="0" w:color="BFBFBF" w:themeColor="background1" w:themeShade="BF"/>
            </w:tcBorders>
          </w:tcPr>
          <w:p w14:paraId="6C89C8C0" w14:textId="77777777" w:rsidR="00CC520B" w:rsidRPr="00ED6EAE" w:rsidRDefault="00CC520B" w:rsidP="00CC520B">
            <w:pPr>
              <w:pStyle w:val="TableParagraph"/>
              <w:spacing w:line="276" w:lineRule="auto"/>
              <w:jc w:val="right"/>
            </w:pPr>
            <w:r w:rsidRPr="00ED6EAE">
              <w:t xml:space="preserve">27.99 </w:t>
            </w:r>
          </w:p>
        </w:tc>
        <w:tc>
          <w:tcPr>
            <w:tcW w:w="1158" w:type="dxa"/>
            <w:tcBorders>
              <w:left w:val="single" w:sz="12" w:space="0" w:color="BFBFBF" w:themeColor="background1" w:themeShade="BF"/>
            </w:tcBorders>
            <w:noWrap/>
            <w:hideMark/>
          </w:tcPr>
          <w:p w14:paraId="7CE76EA0" w14:textId="0020A284" w:rsidR="00CC520B" w:rsidRDefault="00CC520B" w:rsidP="00CC520B">
            <w:pPr>
              <w:pStyle w:val="TableParagraph"/>
              <w:spacing w:line="276" w:lineRule="auto"/>
              <w:jc w:val="right"/>
              <w:rPr>
                <w:rFonts w:cs="Segoe UI"/>
                <w:szCs w:val="18"/>
              </w:rPr>
            </w:pPr>
            <w:r w:rsidRPr="00FF2862">
              <w:t xml:space="preserve"> 10.43 </w:t>
            </w:r>
          </w:p>
        </w:tc>
        <w:tc>
          <w:tcPr>
            <w:tcW w:w="1157" w:type="dxa"/>
            <w:noWrap/>
            <w:hideMark/>
          </w:tcPr>
          <w:p w14:paraId="558BDA26" w14:textId="56319C79" w:rsidR="00CC520B" w:rsidRDefault="00CC520B" w:rsidP="00CC520B">
            <w:pPr>
              <w:pStyle w:val="TableParagraph"/>
              <w:spacing w:line="276" w:lineRule="auto"/>
              <w:jc w:val="right"/>
              <w:rPr>
                <w:rFonts w:cs="Segoe UI"/>
                <w:szCs w:val="18"/>
              </w:rPr>
            </w:pPr>
            <w:r w:rsidRPr="00FF2862">
              <w:t xml:space="preserve"> 10.30 </w:t>
            </w:r>
          </w:p>
        </w:tc>
        <w:tc>
          <w:tcPr>
            <w:tcW w:w="1157" w:type="dxa"/>
            <w:noWrap/>
            <w:hideMark/>
          </w:tcPr>
          <w:p w14:paraId="713CBE8A" w14:textId="3EFF1818" w:rsidR="00CC520B" w:rsidRDefault="00CC520B" w:rsidP="00CC520B">
            <w:pPr>
              <w:pStyle w:val="TableParagraph"/>
              <w:spacing w:line="276" w:lineRule="auto"/>
              <w:jc w:val="right"/>
              <w:rPr>
                <w:rFonts w:cs="Segoe UI"/>
                <w:szCs w:val="18"/>
              </w:rPr>
            </w:pPr>
            <w:r w:rsidRPr="00FF2862">
              <w:t xml:space="preserve"> 10.17 </w:t>
            </w:r>
          </w:p>
        </w:tc>
        <w:tc>
          <w:tcPr>
            <w:tcW w:w="1181" w:type="dxa"/>
            <w:noWrap/>
            <w:hideMark/>
          </w:tcPr>
          <w:p w14:paraId="4266B310" w14:textId="127153FD" w:rsidR="00CC520B" w:rsidRDefault="00CC520B" w:rsidP="00CC520B">
            <w:pPr>
              <w:pStyle w:val="TableParagraph"/>
              <w:spacing w:line="276" w:lineRule="auto"/>
              <w:jc w:val="right"/>
              <w:rPr>
                <w:rFonts w:cs="Segoe UI"/>
                <w:szCs w:val="18"/>
              </w:rPr>
            </w:pPr>
            <w:r w:rsidRPr="00FF2862">
              <w:t xml:space="preserve"> 10.05 </w:t>
            </w:r>
          </w:p>
        </w:tc>
      </w:tr>
      <w:tr w:rsidR="00CC520B" w14:paraId="7D715B9A" w14:textId="77777777" w:rsidTr="00104139">
        <w:trPr>
          <w:gridAfter w:val="1"/>
          <w:cnfStyle w:val="000000010000" w:firstRow="0" w:lastRow="0" w:firstColumn="0" w:lastColumn="0" w:oddVBand="0" w:evenVBand="0" w:oddHBand="0" w:evenHBand="1" w:firstRowFirstColumn="0" w:firstRowLastColumn="0" w:lastRowFirstColumn="0" w:lastRowLastColumn="0"/>
          <w:wAfter w:w="10" w:type="dxa"/>
          <w:trHeight w:val="300"/>
        </w:trPr>
        <w:tc>
          <w:tcPr>
            <w:tcW w:w="3694" w:type="dxa"/>
            <w:tcBorders>
              <w:right w:val="single" w:sz="12" w:space="0" w:color="BFBFBF" w:themeColor="background1" w:themeShade="BF"/>
            </w:tcBorders>
            <w:noWrap/>
            <w:hideMark/>
          </w:tcPr>
          <w:p w14:paraId="331E5A00" w14:textId="77777777" w:rsidR="00CC520B" w:rsidRDefault="00CC520B" w:rsidP="00CC520B">
            <w:pPr>
              <w:pStyle w:val="TableParagraph"/>
              <w:spacing w:line="276" w:lineRule="auto"/>
              <w:ind w:left="284"/>
              <w:rPr>
                <w:rFonts w:cs="Segoe UI"/>
                <w:szCs w:val="18"/>
              </w:rPr>
            </w:pPr>
            <w:r>
              <w:rPr>
                <w:rFonts w:cs="Segoe UI"/>
                <w:szCs w:val="18"/>
              </w:rPr>
              <w:t>Systems Upkeep</w:t>
            </w:r>
          </w:p>
        </w:tc>
        <w:tc>
          <w:tcPr>
            <w:tcW w:w="1158" w:type="dxa"/>
            <w:tcBorders>
              <w:left w:val="single" w:sz="12" w:space="0" w:color="BFBFBF" w:themeColor="background1" w:themeShade="BF"/>
              <w:bottom w:val="single" w:sz="4" w:space="0" w:color="BFBFBF" w:themeColor="background1" w:themeShade="BF"/>
              <w:right w:val="single" w:sz="12" w:space="0" w:color="BFBFBF" w:themeColor="background1" w:themeShade="BF"/>
            </w:tcBorders>
          </w:tcPr>
          <w:p w14:paraId="2E6F71C4" w14:textId="77777777" w:rsidR="00CC520B" w:rsidRPr="00ED6EAE" w:rsidRDefault="00CC520B" w:rsidP="00CC520B">
            <w:pPr>
              <w:pStyle w:val="TableParagraph"/>
              <w:spacing w:line="276" w:lineRule="auto"/>
              <w:jc w:val="right"/>
            </w:pPr>
            <w:r w:rsidRPr="00ED6EAE">
              <w:t xml:space="preserve">10.04 </w:t>
            </w:r>
          </w:p>
        </w:tc>
        <w:tc>
          <w:tcPr>
            <w:tcW w:w="1158" w:type="dxa"/>
            <w:tcBorders>
              <w:left w:val="single" w:sz="12" w:space="0" w:color="BFBFBF" w:themeColor="background1" w:themeShade="BF"/>
            </w:tcBorders>
            <w:noWrap/>
            <w:hideMark/>
          </w:tcPr>
          <w:p w14:paraId="046C35C9" w14:textId="13724B9A" w:rsidR="00CC520B" w:rsidRDefault="00CC520B" w:rsidP="00CC520B">
            <w:pPr>
              <w:pStyle w:val="TableParagraph"/>
              <w:spacing w:line="276" w:lineRule="auto"/>
              <w:jc w:val="right"/>
              <w:rPr>
                <w:rFonts w:cs="Segoe UI"/>
                <w:szCs w:val="18"/>
              </w:rPr>
            </w:pPr>
            <w:r w:rsidRPr="00FF2862">
              <w:t xml:space="preserve"> 12.76 </w:t>
            </w:r>
          </w:p>
        </w:tc>
        <w:tc>
          <w:tcPr>
            <w:tcW w:w="1157" w:type="dxa"/>
            <w:noWrap/>
            <w:hideMark/>
          </w:tcPr>
          <w:p w14:paraId="465821BB" w14:textId="659942AD" w:rsidR="00CC520B" w:rsidRDefault="00CC520B" w:rsidP="00CC520B">
            <w:pPr>
              <w:pStyle w:val="TableParagraph"/>
              <w:spacing w:line="276" w:lineRule="auto"/>
              <w:jc w:val="right"/>
              <w:rPr>
                <w:rFonts w:cs="Segoe UI"/>
                <w:szCs w:val="18"/>
              </w:rPr>
            </w:pPr>
            <w:r w:rsidRPr="00FF2862">
              <w:t xml:space="preserve"> 12.76 </w:t>
            </w:r>
          </w:p>
        </w:tc>
        <w:tc>
          <w:tcPr>
            <w:tcW w:w="1157" w:type="dxa"/>
            <w:noWrap/>
            <w:hideMark/>
          </w:tcPr>
          <w:p w14:paraId="3E12E83D" w14:textId="641FE10E" w:rsidR="00CC520B" w:rsidRDefault="00CC520B" w:rsidP="00CC520B">
            <w:pPr>
              <w:pStyle w:val="TableParagraph"/>
              <w:spacing w:line="276" w:lineRule="auto"/>
              <w:jc w:val="right"/>
              <w:rPr>
                <w:rFonts w:cs="Segoe UI"/>
                <w:szCs w:val="18"/>
              </w:rPr>
            </w:pPr>
            <w:r w:rsidRPr="00FF2862">
              <w:t xml:space="preserve"> 12.76 </w:t>
            </w:r>
          </w:p>
        </w:tc>
        <w:tc>
          <w:tcPr>
            <w:tcW w:w="1181" w:type="dxa"/>
            <w:noWrap/>
            <w:hideMark/>
          </w:tcPr>
          <w:p w14:paraId="766435D0" w14:textId="2E0D98FE" w:rsidR="00CC520B" w:rsidRDefault="00CC520B" w:rsidP="00CC520B">
            <w:pPr>
              <w:pStyle w:val="TableParagraph"/>
              <w:spacing w:line="276" w:lineRule="auto"/>
              <w:jc w:val="right"/>
              <w:rPr>
                <w:rFonts w:cs="Segoe UI"/>
                <w:szCs w:val="18"/>
              </w:rPr>
            </w:pPr>
            <w:r w:rsidRPr="00FF2862">
              <w:t xml:space="preserve"> 12.76 </w:t>
            </w:r>
          </w:p>
        </w:tc>
      </w:tr>
      <w:tr w:rsidR="00CC520B" w14:paraId="7CF49854" w14:textId="77777777" w:rsidTr="00104139">
        <w:trPr>
          <w:gridAfter w:val="1"/>
          <w:wAfter w:w="10" w:type="dxa"/>
          <w:trHeight w:val="330"/>
        </w:trPr>
        <w:tc>
          <w:tcPr>
            <w:tcW w:w="3694" w:type="dxa"/>
            <w:tcBorders>
              <w:right w:val="single" w:sz="12" w:space="0" w:color="FFFFFF" w:themeColor="background1"/>
            </w:tcBorders>
            <w:shd w:val="clear" w:color="auto" w:fill="ADC6E6" w:themeFill="text2" w:themeFillTint="40"/>
            <w:noWrap/>
            <w:hideMark/>
          </w:tcPr>
          <w:p w14:paraId="00D42AA5" w14:textId="77777777" w:rsidR="00CC520B" w:rsidRDefault="00CC520B" w:rsidP="00CC520B">
            <w:pPr>
              <w:pStyle w:val="TableParagraph"/>
              <w:spacing w:line="276" w:lineRule="auto"/>
              <w:jc w:val="right"/>
              <w:rPr>
                <w:rFonts w:cs="Segoe UI"/>
                <w:b/>
                <w:szCs w:val="18"/>
              </w:rPr>
            </w:pPr>
            <w:r>
              <w:rPr>
                <w:rFonts w:cs="Segoe UI"/>
                <w:b/>
                <w:szCs w:val="18"/>
              </w:rPr>
              <w:t>Total Indirect Costs</w:t>
            </w:r>
          </w:p>
        </w:tc>
        <w:tc>
          <w:tcPr>
            <w:tcW w:w="1158" w:type="dxa"/>
            <w:tcBorders>
              <w:left w:val="single" w:sz="12" w:space="0" w:color="FFFFFF" w:themeColor="background1"/>
              <w:right w:val="single" w:sz="12" w:space="0" w:color="FFFFFF" w:themeColor="background1"/>
            </w:tcBorders>
            <w:shd w:val="clear" w:color="auto" w:fill="ADC6E6" w:themeFill="text2" w:themeFillTint="40"/>
          </w:tcPr>
          <w:p w14:paraId="6674AD9E" w14:textId="77777777" w:rsidR="00CC520B" w:rsidRPr="00ED6EAE" w:rsidRDefault="00CC520B" w:rsidP="00CC520B">
            <w:pPr>
              <w:pStyle w:val="TableParagraph"/>
              <w:spacing w:line="276" w:lineRule="auto"/>
              <w:jc w:val="right"/>
              <w:rPr>
                <w:b/>
                <w:sz w:val="20"/>
              </w:rPr>
            </w:pPr>
            <w:r w:rsidRPr="00ED6EAE">
              <w:rPr>
                <w:b/>
                <w:sz w:val="20"/>
              </w:rPr>
              <w:t xml:space="preserve">49.88 </w:t>
            </w:r>
          </w:p>
        </w:tc>
        <w:tc>
          <w:tcPr>
            <w:tcW w:w="1158" w:type="dxa"/>
            <w:tcBorders>
              <w:left w:val="single" w:sz="12" w:space="0" w:color="FFFFFF" w:themeColor="background1"/>
            </w:tcBorders>
            <w:shd w:val="clear" w:color="auto" w:fill="ADC6E6" w:themeFill="text2" w:themeFillTint="40"/>
            <w:noWrap/>
            <w:hideMark/>
          </w:tcPr>
          <w:p w14:paraId="253570A6" w14:textId="24840BF8" w:rsidR="00CC520B" w:rsidRPr="00CC520B" w:rsidRDefault="00CC520B" w:rsidP="00CC520B">
            <w:pPr>
              <w:pStyle w:val="TableParagraph"/>
              <w:spacing w:line="276" w:lineRule="auto"/>
              <w:jc w:val="right"/>
              <w:rPr>
                <w:rFonts w:cs="Segoe UI"/>
                <w:b/>
                <w:sz w:val="20"/>
              </w:rPr>
            </w:pPr>
            <w:r w:rsidRPr="00CC520B">
              <w:rPr>
                <w:b/>
                <w:sz w:val="20"/>
              </w:rPr>
              <w:t xml:space="preserve"> 52.24 </w:t>
            </w:r>
          </w:p>
        </w:tc>
        <w:tc>
          <w:tcPr>
            <w:tcW w:w="1157" w:type="dxa"/>
            <w:shd w:val="clear" w:color="auto" w:fill="ADC6E6" w:themeFill="text2" w:themeFillTint="40"/>
            <w:noWrap/>
            <w:hideMark/>
          </w:tcPr>
          <w:p w14:paraId="0E2F64FA" w14:textId="4257C200" w:rsidR="00CC520B" w:rsidRPr="00CC520B" w:rsidRDefault="00CC520B" w:rsidP="00CC520B">
            <w:pPr>
              <w:pStyle w:val="TableParagraph"/>
              <w:spacing w:line="276" w:lineRule="auto"/>
              <w:jc w:val="right"/>
              <w:rPr>
                <w:rFonts w:cs="Segoe UI"/>
                <w:b/>
                <w:sz w:val="20"/>
              </w:rPr>
            </w:pPr>
            <w:r w:rsidRPr="00CC520B">
              <w:rPr>
                <w:b/>
                <w:sz w:val="20"/>
              </w:rPr>
              <w:t xml:space="preserve"> 51.76 </w:t>
            </w:r>
          </w:p>
        </w:tc>
        <w:tc>
          <w:tcPr>
            <w:tcW w:w="1157" w:type="dxa"/>
            <w:shd w:val="clear" w:color="auto" w:fill="ADC6E6" w:themeFill="text2" w:themeFillTint="40"/>
            <w:noWrap/>
            <w:hideMark/>
          </w:tcPr>
          <w:p w14:paraId="4B418809" w14:textId="76FE2776" w:rsidR="00CC520B" w:rsidRPr="00CC520B" w:rsidRDefault="00CC520B" w:rsidP="00CC520B">
            <w:pPr>
              <w:pStyle w:val="TableParagraph"/>
              <w:spacing w:line="276" w:lineRule="auto"/>
              <w:jc w:val="right"/>
              <w:rPr>
                <w:rFonts w:cs="Segoe UI"/>
                <w:b/>
                <w:sz w:val="20"/>
              </w:rPr>
            </w:pPr>
            <w:r w:rsidRPr="00CC520B">
              <w:rPr>
                <w:b/>
                <w:sz w:val="20"/>
              </w:rPr>
              <w:t xml:space="preserve"> 51.28 </w:t>
            </w:r>
          </w:p>
        </w:tc>
        <w:tc>
          <w:tcPr>
            <w:tcW w:w="1181" w:type="dxa"/>
            <w:shd w:val="clear" w:color="auto" w:fill="ADC6E6" w:themeFill="text2" w:themeFillTint="40"/>
            <w:noWrap/>
            <w:hideMark/>
          </w:tcPr>
          <w:p w14:paraId="2C0CAA78" w14:textId="2DFC657A" w:rsidR="00CC520B" w:rsidRPr="00CC520B" w:rsidRDefault="00CC520B" w:rsidP="00CC520B">
            <w:pPr>
              <w:pStyle w:val="TableParagraph"/>
              <w:spacing w:line="276" w:lineRule="auto"/>
              <w:jc w:val="right"/>
              <w:rPr>
                <w:rFonts w:cs="Segoe UI"/>
                <w:b/>
                <w:sz w:val="20"/>
              </w:rPr>
            </w:pPr>
            <w:r w:rsidRPr="00CC520B">
              <w:rPr>
                <w:b/>
                <w:sz w:val="20"/>
              </w:rPr>
              <w:t xml:space="preserve"> 50.81 </w:t>
            </w:r>
          </w:p>
        </w:tc>
      </w:tr>
      <w:tr w:rsidR="00CC520B" w:rsidRPr="0093428B" w14:paraId="28C47B67" w14:textId="77777777" w:rsidTr="00B10E65">
        <w:trPr>
          <w:gridAfter w:val="1"/>
          <w:cnfStyle w:val="000000010000" w:firstRow="0" w:lastRow="0" w:firstColumn="0" w:lastColumn="0" w:oddVBand="0" w:evenVBand="0" w:oddHBand="0" w:evenHBand="1" w:firstRowFirstColumn="0" w:firstRowLastColumn="0" w:lastRowFirstColumn="0" w:lastRowLastColumn="0"/>
          <w:wAfter w:w="10" w:type="dxa"/>
          <w:trHeight w:val="330"/>
        </w:trPr>
        <w:tc>
          <w:tcPr>
            <w:tcW w:w="3694" w:type="dxa"/>
            <w:tcBorders>
              <w:right w:val="single" w:sz="12" w:space="0" w:color="FFFFFF" w:themeColor="background1"/>
            </w:tcBorders>
            <w:shd w:val="clear" w:color="auto" w:fill="2D5A92" w:themeFill="text2" w:themeFillTint="BF"/>
            <w:noWrap/>
            <w:hideMark/>
          </w:tcPr>
          <w:p w14:paraId="4E84CD72" w14:textId="77777777" w:rsidR="00CC520B" w:rsidRPr="0093428B" w:rsidRDefault="00CC520B" w:rsidP="00CC520B">
            <w:pPr>
              <w:pStyle w:val="TableHeaders"/>
              <w:spacing w:line="276" w:lineRule="auto"/>
              <w:rPr>
                <w:rFonts w:cs="Segoe UI"/>
                <w:b/>
                <w:sz w:val="20"/>
                <w:szCs w:val="18"/>
              </w:rPr>
            </w:pPr>
            <w:r w:rsidRPr="0093428B">
              <w:rPr>
                <w:rFonts w:cs="Segoe UI"/>
                <w:b/>
                <w:sz w:val="20"/>
                <w:szCs w:val="18"/>
              </w:rPr>
              <w:t>Total Costs</w:t>
            </w:r>
          </w:p>
        </w:tc>
        <w:tc>
          <w:tcPr>
            <w:tcW w:w="1158" w:type="dxa"/>
            <w:tcBorders>
              <w:left w:val="single" w:sz="12" w:space="0" w:color="FFFFFF" w:themeColor="background1"/>
              <w:bottom w:val="single" w:sz="4" w:space="0" w:color="BFBFBF" w:themeColor="background1" w:themeShade="BF"/>
              <w:right w:val="single" w:sz="12" w:space="0" w:color="FFFFFF" w:themeColor="background1"/>
            </w:tcBorders>
            <w:shd w:val="clear" w:color="auto" w:fill="2D5A92" w:themeFill="text2" w:themeFillTint="BF"/>
          </w:tcPr>
          <w:p w14:paraId="57CA5CDD" w14:textId="77777777" w:rsidR="00CC520B" w:rsidRPr="009D247B" w:rsidRDefault="00CC520B" w:rsidP="00CC520B">
            <w:pPr>
              <w:pStyle w:val="TableHeaders"/>
              <w:spacing w:line="276" w:lineRule="auto"/>
              <w:jc w:val="right"/>
              <w:rPr>
                <w:b/>
                <w:sz w:val="20"/>
              </w:rPr>
            </w:pPr>
            <w:r w:rsidRPr="006F4064">
              <w:rPr>
                <w:b/>
                <w:sz w:val="20"/>
              </w:rPr>
              <w:t>208.50</w:t>
            </w:r>
          </w:p>
        </w:tc>
        <w:tc>
          <w:tcPr>
            <w:tcW w:w="1158" w:type="dxa"/>
            <w:tcBorders>
              <w:left w:val="single" w:sz="12" w:space="0" w:color="FFFFFF" w:themeColor="background1"/>
            </w:tcBorders>
            <w:shd w:val="clear" w:color="auto" w:fill="2D5A92" w:themeFill="text2" w:themeFillTint="BF"/>
            <w:noWrap/>
            <w:hideMark/>
          </w:tcPr>
          <w:p w14:paraId="09596AF2" w14:textId="3D8921C4" w:rsidR="00CC520B" w:rsidRPr="0093428B" w:rsidRDefault="00CC520B" w:rsidP="00CC520B">
            <w:pPr>
              <w:pStyle w:val="TableHeaders"/>
              <w:spacing w:line="276" w:lineRule="auto"/>
              <w:jc w:val="right"/>
              <w:rPr>
                <w:rFonts w:cs="Segoe UI"/>
                <w:b/>
                <w:sz w:val="20"/>
                <w:szCs w:val="18"/>
              </w:rPr>
            </w:pPr>
            <w:r w:rsidRPr="0093428B">
              <w:rPr>
                <w:rFonts w:cs="Segoe UI"/>
                <w:b/>
                <w:sz w:val="20"/>
                <w:szCs w:val="18"/>
              </w:rPr>
              <w:t xml:space="preserve"> </w:t>
            </w:r>
            <w:r>
              <w:rPr>
                <w:rFonts w:cs="Segoe UI"/>
                <w:b/>
                <w:sz w:val="20"/>
                <w:szCs w:val="18"/>
              </w:rPr>
              <w:t>255.22</w:t>
            </w:r>
            <w:r w:rsidRPr="0093428B">
              <w:rPr>
                <w:rStyle w:val="EndnoteReference"/>
                <w:rFonts w:cs="Segoe UI"/>
                <w:sz w:val="20"/>
                <w:szCs w:val="18"/>
              </w:rPr>
              <w:endnoteReference w:id="409"/>
            </w:r>
            <w:r w:rsidRPr="0093428B">
              <w:rPr>
                <w:rFonts w:cs="Segoe UI"/>
                <w:b/>
                <w:sz w:val="20"/>
                <w:szCs w:val="18"/>
              </w:rPr>
              <w:t xml:space="preserve"> </w:t>
            </w:r>
          </w:p>
        </w:tc>
        <w:tc>
          <w:tcPr>
            <w:tcW w:w="1157" w:type="dxa"/>
            <w:shd w:val="clear" w:color="auto" w:fill="2D5A92" w:themeFill="text2" w:themeFillTint="BF"/>
            <w:noWrap/>
            <w:hideMark/>
          </w:tcPr>
          <w:p w14:paraId="46688587" w14:textId="48B06BEA" w:rsidR="00CC520B" w:rsidRPr="00CC520B" w:rsidRDefault="00CC520B" w:rsidP="00CC520B">
            <w:pPr>
              <w:pStyle w:val="TableHeaders"/>
              <w:spacing w:line="276" w:lineRule="auto"/>
              <w:jc w:val="right"/>
              <w:rPr>
                <w:rFonts w:cs="Segoe UI"/>
                <w:b/>
                <w:sz w:val="20"/>
                <w:szCs w:val="18"/>
              </w:rPr>
            </w:pPr>
            <w:r w:rsidRPr="00CC520B">
              <w:rPr>
                <w:b/>
                <w:sz w:val="20"/>
              </w:rPr>
              <w:t xml:space="preserve"> 257.68 </w:t>
            </w:r>
          </w:p>
        </w:tc>
        <w:tc>
          <w:tcPr>
            <w:tcW w:w="1157" w:type="dxa"/>
            <w:shd w:val="clear" w:color="auto" w:fill="2D5A92" w:themeFill="text2" w:themeFillTint="BF"/>
            <w:noWrap/>
            <w:hideMark/>
          </w:tcPr>
          <w:p w14:paraId="32D76E0D" w14:textId="3C70170D" w:rsidR="00CC520B" w:rsidRPr="00CC520B" w:rsidRDefault="00CC520B" w:rsidP="00CC520B">
            <w:pPr>
              <w:pStyle w:val="TableHeaders"/>
              <w:spacing w:line="276" w:lineRule="auto"/>
              <w:jc w:val="right"/>
              <w:rPr>
                <w:rFonts w:cs="Segoe UI"/>
                <w:b/>
                <w:sz w:val="20"/>
                <w:szCs w:val="18"/>
              </w:rPr>
            </w:pPr>
            <w:r w:rsidRPr="00CC520B">
              <w:rPr>
                <w:b/>
                <w:sz w:val="20"/>
              </w:rPr>
              <w:t xml:space="preserve"> 260.22 </w:t>
            </w:r>
          </w:p>
        </w:tc>
        <w:tc>
          <w:tcPr>
            <w:tcW w:w="1181" w:type="dxa"/>
            <w:shd w:val="clear" w:color="auto" w:fill="2D5A92" w:themeFill="text2" w:themeFillTint="BF"/>
            <w:noWrap/>
            <w:hideMark/>
          </w:tcPr>
          <w:p w14:paraId="0DA5B2AE" w14:textId="7F06F9A5" w:rsidR="00CC520B" w:rsidRPr="00CC520B" w:rsidRDefault="00CC520B" w:rsidP="00CC520B">
            <w:pPr>
              <w:pStyle w:val="TableHeaders"/>
              <w:spacing w:line="276" w:lineRule="auto"/>
              <w:jc w:val="right"/>
              <w:rPr>
                <w:rFonts w:cs="Segoe UI"/>
                <w:b/>
                <w:sz w:val="20"/>
                <w:szCs w:val="18"/>
              </w:rPr>
            </w:pPr>
            <w:r w:rsidRPr="00CC520B">
              <w:rPr>
                <w:b/>
                <w:sz w:val="20"/>
              </w:rPr>
              <w:t xml:space="preserve"> 262.85 </w:t>
            </w:r>
          </w:p>
        </w:tc>
      </w:tr>
      <w:tr w:rsidR="00CC520B" w14:paraId="49E1A40D" w14:textId="77777777" w:rsidTr="00B10E65">
        <w:trPr>
          <w:gridAfter w:val="1"/>
          <w:wAfter w:w="10" w:type="dxa"/>
          <w:trHeight w:val="330"/>
        </w:trPr>
        <w:tc>
          <w:tcPr>
            <w:tcW w:w="3694" w:type="dxa"/>
            <w:tcBorders>
              <w:right w:val="single" w:sz="12" w:space="0" w:color="BFBFBF" w:themeColor="background1" w:themeShade="BF"/>
            </w:tcBorders>
            <w:noWrap/>
            <w:hideMark/>
          </w:tcPr>
          <w:p w14:paraId="14BEEF1E" w14:textId="77777777" w:rsidR="00CC520B" w:rsidRDefault="00CC520B" w:rsidP="00CC520B">
            <w:pPr>
              <w:pStyle w:val="TableHeaders"/>
              <w:spacing w:line="276" w:lineRule="auto"/>
              <w:rPr>
                <w:rFonts w:cs="Segoe UI"/>
                <w:b/>
                <w:i/>
                <w:color w:val="auto"/>
                <w:szCs w:val="18"/>
              </w:rPr>
            </w:pPr>
            <w:r>
              <w:rPr>
                <w:b/>
                <w:i/>
                <w:color w:val="000000" w:themeColor="text1"/>
              </w:rPr>
              <w:t>Total Costs per Customer</w:t>
            </w:r>
            <w:r>
              <w:rPr>
                <w:rStyle w:val="EndnoteReference"/>
                <w:b/>
                <w:i/>
                <w:color w:val="000000" w:themeColor="text1"/>
              </w:rPr>
              <w:endnoteReference w:id="410"/>
            </w:r>
          </w:p>
        </w:tc>
        <w:tc>
          <w:tcPr>
            <w:tcW w:w="1158" w:type="dxa"/>
            <w:tcBorders>
              <w:left w:val="single" w:sz="12" w:space="0" w:color="BFBFBF" w:themeColor="background1" w:themeShade="BF"/>
              <w:right w:val="single" w:sz="12" w:space="0" w:color="BFBFBF" w:themeColor="background1" w:themeShade="BF"/>
            </w:tcBorders>
          </w:tcPr>
          <w:p w14:paraId="7BE81D6C" w14:textId="77777777" w:rsidR="00CC520B" w:rsidRPr="00204712" w:rsidRDefault="00CC520B" w:rsidP="00CC520B">
            <w:pPr>
              <w:pStyle w:val="TableHeaders"/>
              <w:spacing w:line="276" w:lineRule="auto"/>
              <w:jc w:val="right"/>
              <w:rPr>
                <w:b/>
                <w:i/>
                <w:color w:val="auto"/>
              </w:rPr>
            </w:pPr>
            <w:r w:rsidRPr="00204712">
              <w:rPr>
                <w:b/>
                <w:i/>
                <w:color w:val="auto"/>
              </w:rPr>
              <w:t>$</w:t>
            </w:r>
            <w:r w:rsidRPr="0077547E">
              <w:rPr>
                <w:b/>
                <w:i/>
                <w:color w:val="auto"/>
              </w:rPr>
              <w:t>49.04</w:t>
            </w:r>
            <w:r>
              <w:rPr>
                <w:rStyle w:val="EndnoteReference"/>
                <w:b/>
                <w:i/>
                <w:color w:val="auto"/>
              </w:rPr>
              <w:endnoteReference w:id="411"/>
            </w:r>
          </w:p>
        </w:tc>
        <w:tc>
          <w:tcPr>
            <w:tcW w:w="1158" w:type="dxa"/>
            <w:tcBorders>
              <w:left w:val="single" w:sz="12" w:space="0" w:color="BFBFBF" w:themeColor="background1" w:themeShade="BF"/>
            </w:tcBorders>
            <w:noWrap/>
            <w:hideMark/>
          </w:tcPr>
          <w:p w14:paraId="12BDBC09" w14:textId="22B8889C" w:rsidR="00CC520B" w:rsidRPr="00DC4659" w:rsidRDefault="00CC520B" w:rsidP="00CC520B">
            <w:pPr>
              <w:pStyle w:val="TableHeaders"/>
              <w:spacing w:line="276" w:lineRule="auto"/>
              <w:jc w:val="right"/>
              <w:rPr>
                <w:rFonts w:cs="Segoe UI"/>
                <w:b/>
                <w:i/>
                <w:color w:val="auto"/>
                <w:szCs w:val="18"/>
              </w:rPr>
            </w:pPr>
            <w:r w:rsidRPr="00CC520B">
              <w:rPr>
                <w:b/>
                <w:i/>
                <w:color w:val="auto"/>
              </w:rPr>
              <w:t xml:space="preserve"> 57.25 </w:t>
            </w:r>
          </w:p>
        </w:tc>
        <w:tc>
          <w:tcPr>
            <w:tcW w:w="1157" w:type="dxa"/>
            <w:noWrap/>
            <w:hideMark/>
          </w:tcPr>
          <w:p w14:paraId="13E36C3B" w14:textId="4C420F04" w:rsidR="00CC520B" w:rsidRPr="00DC4659" w:rsidRDefault="00CC520B" w:rsidP="00CC520B">
            <w:pPr>
              <w:pStyle w:val="TableHeaders"/>
              <w:spacing w:line="276" w:lineRule="auto"/>
              <w:jc w:val="right"/>
              <w:rPr>
                <w:rFonts w:cs="Segoe UI"/>
                <w:b/>
                <w:i/>
                <w:color w:val="auto"/>
                <w:szCs w:val="18"/>
              </w:rPr>
            </w:pPr>
            <w:r w:rsidRPr="00CC520B">
              <w:rPr>
                <w:b/>
                <w:i/>
                <w:color w:val="auto"/>
              </w:rPr>
              <w:t xml:space="preserve"> 56.90 </w:t>
            </w:r>
          </w:p>
        </w:tc>
        <w:tc>
          <w:tcPr>
            <w:tcW w:w="1157" w:type="dxa"/>
            <w:noWrap/>
            <w:hideMark/>
          </w:tcPr>
          <w:p w14:paraId="16BBC770" w14:textId="4422FB3D" w:rsidR="00CC520B" w:rsidRPr="00DC4659" w:rsidRDefault="00CC520B" w:rsidP="00CC520B">
            <w:pPr>
              <w:pStyle w:val="TableHeaders"/>
              <w:spacing w:line="276" w:lineRule="auto"/>
              <w:jc w:val="right"/>
              <w:rPr>
                <w:rFonts w:cs="Segoe UI"/>
                <w:b/>
                <w:i/>
                <w:color w:val="auto"/>
                <w:szCs w:val="18"/>
              </w:rPr>
            </w:pPr>
            <w:r w:rsidRPr="00CC520B">
              <w:rPr>
                <w:b/>
                <w:i/>
                <w:color w:val="auto"/>
              </w:rPr>
              <w:t xml:space="preserve"> 56.56 </w:t>
            </w:r>
          </w:p>
        </w:tc>
        <w:tc>
          <w:tcPr>
            <w:tcW w:w="1181" w:type="dxa"/>
            <w:noWrap/>
            <w:hideMark/>
          </w:tcPr>
          <w:p w14:paraId="3CDEC969" w14:textId="4B2B65B3" w:rsidR="00CC520B" w:rsidRPr="00DC4659" w:rsidRDefault="00CC520B" w:rsidP="00CC520B">
            <w:pPr>
              <w:pStyle w:val="TableHeaders"/>
              <w:spacing w:line="276" w:lineRule="auto"/>
              <w:jc w:val="right"/>
              <w:rPr>
                <w:rFonts w:cs="Segoe UI"/>
                <w:b/>
                <w:i/>
                <w:color w:val="auto"/>
                <w:szCs w:val="18"/>
              </w:rPr>
            </w:pPr>
            <w:r w:rsidRPr="00CC520B">
              <w:rPr>
                <w:b/>
                <w:i/>
                <w:color w:val="auto"/>
              </w:rPr>
              <w:t xml:space="preserve"> 56.24 </w:t>
            </w:r>
          </w:p>
        </w:tc>
      </w:tr>
    </w:tbl>
    <w:p w14:paraId="705F5791" w14:textId="301B617B" w:rsidR="00370DA6" w:rsidRPr="00844A55" w:rsidRDefault="00370DA6" w:rsidP="003859D2">
      <w:pPr>
        <w:pStyle w:val="TextPara"/>
      </w:pPr>
      <w:r w:rsidRPr="0080416F">
        <w:lastRenderedPageBreak/>
        <w:t xml:space="preserve">The Customer Facing Services and Payment </w:t>
      </w:r>
      <w:r w:rsidRPr="003859D2">
        <w:t>Services</w:t>
      </w:r>
      <w:r w:rsidRPr="0080416F">
        <w:t xml:space="preserve"> cost items continue to grow in PV terms due to the impacts of both inflation and customer (drivers and vehicles) growth. All other cost items </w:t>
      </w:r>
      <w:r>
        <w:t xml:space="preserve">are forecast to </w:t>
      </w:r>
      <w:r w:rsidRPr="0080416F">
        <w:t>decrease</w:t>
      </w:r>
      <w:r w:rsidRPr="00C21559">
        <w:t xml:space="preserve"> or stay constant </w:t>
      </w:r>
      <w:r w:rsidRPr="0080416F">
        <w:t>over the same period</w:t>
      </w:r>
      <w:r>
        <w:t xml:space="preserve"> (refer to key forecast assumptions in section </w:t>
      </w:r>
      <w:r w:rsidR="005465DE">
        <w:fldChar w:fldCharType="begin"/>
      </w:r>
      <w:r w:rsidR="005465DE">
        <w:instrText xml:space="preserve"> REF _Ref4404059 \r \h </w:instrText>
      </w:r>
      <w:r w:rsidR="005465DE">
        <w:fldChar w:fldCharType="separate"/>
      </w:r>
      <w:r w:rsidR="00EB4B02">
        <w:t>12.2.1</w:t>
      </w:r>
      <w:r w:rsidR="005465DE">
        <w:fldChar w:fldCharType="end"/>
      </w:r>
      <w:r w:rsidR="005465DE">
        <w:t xml:space="preserve"> </w:t>
      </w:r>
      <w:r>
        <w:t>for rationale)</w:t>
      </w:r>
      <w:r w:rsidRPr="0080416F">
        <w:t xml:space="preserve">. The </w:t>
      </w:r>
      <w:r>
        <w:t xml:space="preserve">projected </w:t>
      </w:r>
      <w:r w:rsidRPr="0080416F">
        <w:t>outcome is that the total cost per customer in FY22/23 is 6.2% less than FY19/20 reflecting a cost efficiency improvement over the period.</w:t>
      </w:r>
    </w:p>
    <w:p w14:paraId="14AF5582" w14:textId="77777777" w:rsidR="00370DA6" w:rsidRDefault="00370DA6" w:rsidP="00370DA6">
      <w:pPr>
        <w:pStyle w:val="Heading3"/>
        <w:spacing w:before="240"/>
      </w:pPr>
      <w:bookmarkStart w:id="680" w:name="_Toc4084211"/>
      <w:bookmarkStart w:id="681" w:name="_Ref4403998"/>
      <w:bookmarkStart w:id="682" w:name="_Ref4404013"/>
      <w:bookmarkStart w:id="683" w:name="_Ref4404059"/>
      <w:bookmarkStart w:id="684" w:name="_Toc10703497"/>
      <w:r w:rsidRPr="00117C96">
        <w:t>Key Forecast Assumptions</w:t>
      </w:r>
      <w:bookmarkEnd w:id="680"/>
      <w:bookmarkEnd w:id="681"/>
      <w:bookmarkEnd w:id="682"/>
      <w:bookmarkEnd w:id="683"/>
      <w:bookmarkEnd w:id="684"/>
    </w:p>
    <w:p w14:paraId="25700B35" w14:textId="1A282174" w:rsidR="00370DA6" w:rsidRPr="00CB6E7B" w:rsidRDefault="00293EEF" w:rsidP="00DF3451">
      <w:pPr>
        <w:pStyle w:val="TextPara"/>
      </w:pPr>
      <w:r>
        <w:fldChar w:fldCharType="begin"/>
      </w:r>
      <w:r>
        <w:instrText xml:space="preserve"> REF _Ref4404673 \h </w:instrText>
      </w:r>
      <w:r>
        <w:fldChar w:fldCharType="separate"/>
      </w:r>
      <w:r w:rsidR="00EB4B02">
        <w:t xml:space="preserve">Table </w:t>
      </w:r>
      <w:r w:rsidR="00EB4B02">
        <w:rPr>
          <w:noProof/>
        </w:rPr>
        <w:t>45</w:t>
      </w:r>
      <w:r>
        <w:fldChar w:fldCharType="end"/>
      </w:r>
      <w:r>
        <w:t xml:space="preserve"> </w:t>
      </w:r>
      <w:r w:rsidR="00370DA6">
        <w:t>lists the key forecast assumptions applied to the base year (FY16/17) to calculate the projected R&amp;L cost of delivering services in</w:t>
      </w:r>
      <w:r w:rsidR="00395CA6">
        <w:t xml:space="preserve"> </w:t>
      </w:r>
      <w:r w:rsidR="00395CA6">
        <w:fldChar w:fldCharType="begin"/>
      </w:r>
      <w:r w:rsidR="00395CA6">
        <w:instrText xml:space="preserve"> REF _Ref4403942 \h </w:instrText>
      </w:r>
      <w:r w:rsidR="00395CA6">
        <w:fldChar w:fldCharType="separate"/>
      </w:r>
      <w:r w:rsidR="00EB4B02">
        <w:t xml:space="preserve">Table </w:t>
      </w:r>
      <w:r w:rsidR="00EB4B02">
        <w:rPr>
          <w:noProof/>
        </w:rPr>
        <w:t>44</w:t>
      </w:r>
      <w:r w:rsidR="00395CA6">
        <w:fldChar w:fldCharType="end"/>
      </w:r>
      <w:r w:rsidR="00370DA6">
        <w:t>.</w:t>
      </w:r>
    </w:p>
    <w:p w14:paraId="566AC5D2" w14:textId="6FCFF2E2" w:rsidR="00370DA6" w:rsidRDefault="00370DA6" w:rsidP="00AA0BBA">
      <w:pPr>
        <w:pStyle w:val="Caption"/>
      </w:pPr>
      <w:bookmarkStart w:id="685" w:name="_Ref4404673"/>
      <w:bookmarkStart w:id="686" w:name="_Toc4084327"/>
      <w:bookmarkStart w:id="687" w:name="_Toc10703738"/>
      <w:r>
        <w:t xml:space="preserve">Table </w:t>
      </w:r>
      <w:r>
        <w:rPr>
          <w:noProof/>
        </w:rPr>
        <w:fldChar w:fldCharType="begin"/>
      </w:r>
      <w:r>
        <w:rPr>
          <w:noProof/>
        </w:rPr>
        <w:instrText xml:space="preserve"> SEQ Table \* ARABIC </w:instrText>
      </w:r>
      <w:r>
        <w:rPr>
          <w:noProof/>
        </w:rPr>
        <w:fldChar w:fldCharType="separate"/>
      </w:r>
      <w:r w:rsidR="00EB4B02">
        <w:rPr>
          <w:noProof/>
        </w:rPr>
        <w:t>45</w:t>
      </w:r>
      <w:r>
        <w:rPr>
          <w:noProof/>
        </w:rPr>
        <w:fldChar w:fldCharType="end"/>
      </w:r>
      <w:bookmarkEnd w:id="685"/>
      <w:r>
        <w:t xml:space="preserve"> – </w:t>
      </w:r>
      <w:r w:rsidRPr="00D67071">
        <w:t>Key Forecast Assumptions</w:t>
      </w:r>
      <w:bookmarkEnd w:id="686"/>
      <w:bookmarkEnd w:id="687"/>
    </w:p>
    <w:tbl>
      <w:tblPr>
        <w:tblStyle w:val="RIS-Table2"/>
        <w:tblW w:w="9498" w:type="dxa"/>
        <w:tblLayout w:type="fixed"/>
        <w:tblLook w:val="04A0" w:firstRow="1" w:lastRow="0" w:firstColumn="1" w:lastColumn="0" w:noHBand="0" w:noVBand="1"/>
      </w:tblPr>
      <w:tblGrid>
        <w:gridCol w:w="1980"/>
        <w:gridCol w:w="992"/>
        <w:gridCol w:w="2977"/>
        <w:gridCol w:w="3549"/>
      </w:tblGrid>
      <w:tr w:rsidR="00370DA6" w:rsidRPr="00117C96" w14:paraId="202DC78F" w14:textId="77777777" w:rsidTr="00370DA6">
        <w:trPr>
          <w:cnfStyle w:val="100000000000" w:firstRow="1" w:lastRow="0" w:firstColumn="0" w:lastColumn="0" w:oddVBand="0" w:evenVBand="0" w:oddHBand="0" w:evenHBand="0" w:firstRowFirstColumn="0" w:firstRowLastColumn="0" w:lastRowFirstColumn="0" w:lastRowLastColumn="0"/>
        </w:trPr>
        <w:tc>
          <w:tcPr>
            <w:tcW w:w="1980" w:type="dxa"/>
          </w:tcPr>
          <w:p w14:paraId="5933F3C3" w14:textId="77777777" w:rsidR="00370DA6" w:rsidRPr="00117C96" w:rsidRDefault="00370DA6" w:rsidP="007265B8">
            <w:pPr>
              <w:pStyle w:val="TableHeaders"/>
            </w:pPr>
            <w:r w:rsidRPr="00117C96">
              <w:t>Key Factor</w:t>
            </w:r>
          </w:p>
        </w:tc>
        <w:tc>
          <w:tcPr>
            <w:tcW w:w="992" w:type="dxa"/>
          </w:tcPr>
          <w:p w14:paraId="391B5DF3" w14:textId="77777777" w:rsidR="00370DA6" w:rsidRPr="00117C96" w:rsidRDefault="00370DA6" w:rsidP="007265B8">
            <w:pPr>
              <w:pStyle w:val="TableHeaders"/>
            </w:pPr>
            <w:r>
              <w:rPr>
                <w:rFonts w:cs="Segoe UI"/>
              </w:rPr>
              <w:t>Factor</w:t>
            </w:r>
          </w:p>
        </w:tc>
        <w:tc>
          <w:tcPr>
            <w:tcW w:w="2977" w:type="dxa"/>
          </w:tcPr>
          <w:p w14:paraId="69F01282" w14:textId="77777777" w:rsidR="00370DA6" w:rsidRPr="00117C96" w:rsidRDefault="00370DA6" w:rsidP="007265B8">
            <w:pPr>
              <w:pStyle w:val="TableHeaders"/>
            </w:pPr>
            <w:r>
              <w:t>Applied to</w:t>
            </w:r>
          </w:p>
        </w:tc>
        <w:tc>
          <w:tcPr>
            <w:tcW w:w="3549" w:type="dxa"/>
          </w:tcPr>
          <w:p w14:paraId="3A030042" w14:textId="77777777" w:rsidR="00370DA6" w:rsidRPr="00117C96" w:rsidRDefault="00370DA6" w:rsidP="007265B8">
            <w:pPr>
              <w:pStyle w:val="TableHeaders"/>
            </w:pPr>
            <w:r w:rsidRPr="00117C96">
              <w:t>Source</w:t>
            </w:r>
          </w:p>
        </w:tc>
      </w:tr>
      <w:tr w:rsidR="00370DA6" w:rsidRPr="00EF7B9B" w14:paraId="24A2F5BD" w14:textId="77777777" w:rsidTr="00370DA6">
        <w:tc>
          <w:tcPr>
            <w:tcW w:w="1980" w:type="dxa"/>
          </w:tcPr>
          <w:p w14:paraId="174D7BCA" w14:textId="77777777" w:rsidR="00370DA6" w:rsidRPr="00815E11" w:rsidRDefault="00370DA6" w:rsidP="007265B8">
            <w:pPr>
              <w:pStyle w:val="TableParagraph"/>
              <w:rPr>
                <w:b/>
              </w:rPr>
            </w:pPr>
            <w:r w:rsidRPr="00815E11">
              <w:rPr>
                <w:b/>
              </w:rPr>
              <w:t>Consumer Price Index (CPI)</w:t>
            </w:r>
          </w:p>
        </w:tc>
        <w:tc>
          <w:tcPr>
            <w:tcW w:w="992" w:type="dxa"/>
          </w:tcPr>
          <w:p w14:paraId="1292A8C3" w14:textId="77777777" w:rsidR="00370DA6" w:rsidRPr="003A5C1C" w:rsidRDefault="00370DA6" w:rsidP="007265B8">
            <w:pPr>
              <w:pStyle w:val="TableParagraph"/>
              <w:ind w:right="99"/>
              <w:jc w:val="center"/>
            </w:pPr>
            <w:r w:rsidRPr="00B238CA">
              <w:rPr>
                <w:rFonts w:cs="Segoe UI"/>
              </w:rPr>
              <w:t>2.50%</w:t>
            </w:r>
            <w:r>
              <w:rPr>
                <w:rFonts w:cs="Segoe UI"/>
              </w:rPr>
              <w:br/>
              <w:t>p.a.</w:t>
            </w:r>
          </w:p>
        </w:tc>
        <w:tc>
          <w:tcPr>
            <w:tcW w:w="2977" w:type="dxa"/>
          </w:tcPr>
          <w:p w14:paraId="1F60F30B" w14:textId="77777777" w:rsidR="00370DA6" w:rsidRDefault="00370DA6" w:rsidP="005F6F8B">
            <w:pPr>
              <w:pStyle w:val="TableList1"/>
              <w:numPr>
                <w:ilvl w:val="0"/>
                <w:numId w:val="0"/>
              </w:numPr>
              <w:ind w:left="-41"/>
            </w:pPr>
            <w:r w:rsidRPr="00EB342C">
              <w:rPr>
                <w:b/>
              </w:rPr>
              <w:t>Costs</w:t>
            </w:r>
            <w:r>
              <w:t>: Third</w:t>
            </w:r>
            <w:r w:rsidRPr="003A5C1C">
              <w:t xml:space="preserve"> party contracts, non-cu</w:t>
            </w:r>
            <w:r>
              <w:t>stomer-</w:t>
            </w:r>
            <w:r w:rsidRPr="003A5C1C">
              <w:t xml:space="preserve">facing </w:t>
            </w:r>
            <w:r>
              <w:t>business</w:t>
            </w:r>
            <w:r w:rsidRPr="003A5C1C">
              <w:t xml:space="preserve"> areas, overheads</w:t>
            </w:r>
          </w:p>
          <w:p w14:paraId="2EC793AE" w14:textId="77777777" w:rsidR="00370DA6" w:rsidRDefault="00370DA6" w:rsidP="00AC190A">
            <w:pPr>
              <w:pStyle w:val="TableList1"/>
              <w:numPr>
                <w:ilvl w:val="0"/>
                <w:numId w:val="0"/>
              </w:numPr>
              <w:ind w:left="-41"/>
            </w:pPr>
            <w:r w:rsidRPr="00EB342C">
              <w:rPr>
                <w:b/>
              </w:rPr>
              <w:t>Revenue</w:t>
            </w:r>
            <w:r>
              <w:t>: Fee rates</w:t>
            </w:r>
          </w:p>
          <w:p w14:paraId="6558BB4B" w14:textId="0A0AA564" w:rsidR="00107DE7" w:rsidRPr="00EF7B9B" w:rsidRDefault="00107DE7" w:rsidP="00AC190A">
            <w:pPr>
              <w:pStyle w:val="TableList1"/>
              <w:numPr>
                <w:ilvl w:val="0"/>
                <w:numId w:val="0"/>
              </w:numPr>
              <w:ind w:left="-41"/>
            </w:pPr>
            <w:r>
              <w:rPr>
                <w:b/>
              </w:rPr>
              <w:t>Note</w:t>
            </w:r>
            <w:r w:rsidRPr="00107DE7">
              <w:t>:</w:t>
            </w:r>
            <w:r>
              <w:t xml:space="preserve"> all figures deflated </w:t>
            </w:r>
            <w:r w:rsidR="008B53E7">
              <w:t xml:space="preserve">by </w:t>
            </w:r>
            <w:r>
              <w:t>CPI</w:t>
            </w:r>
          </w:p>
        </w:tc>
        <w:tc>
          <w:tcPr>
            <w:tcW w:w="3549" w:type="dxa"/>
          </w:tcPr>
          <w:p w14:paraId="18162555" w14:textId="77777777" w:rsidR="00370DA6" w:rsidRPr="00EF7B9B" w:rsidRDefault="00370DA6" w:rsidP="007265B8">
            <w:pPr>
              <w:pStyle w:val="TableParagraph"/>
            </w:pPr>
            <w:r w:rsidRPr="003A5C1C">
              <w:t xml:space="preserve">DTF – Macro Economic Indicators: CPI forecast FY19/20 </w:t>
            </w:r>
            <w:r>
              <w:t>and</w:t>
            </w:r>
            <w:r w:rsidRPr="003A5C1C">
              <w:t xml:space="preserve"> FY20/21</w:t>
            </w:r>
            <w:r w:rsidRPr="003A5C1C">
              <w:rPr>
                <w:rStyle w:val="EndnoteReference"/>
                <w:rFonts w:cs="Segoe UI"/>
                <w:szCs w:val="18"/>
              </w:rPr>
              <w:endnoteReference w:id="412"/>
            </w:r>
          </w:p>
        </w:tc>
      </w:tr>
      <w:tr w:rsidR="00370DA6" w:rsidRPr="00EF7B9B" w14:paraId="192680CE" w14:textId="77777777" w:rsidTr="00370DA6">
        <w:trPr>
          <w:cnfStyle w:val="000000010000" w:firstRow="0" w:lastRow="0" w:firstColumn="0" w:lastColumn="0" w:oddVBand="0" w:evenVBand="0" w:oddHBand="0" w:evenHBand="1" w:firstRowFirstColumn="0" w:firstRowLastColumn="0" w:lastRowFirstColumn="0" w:lastRowLastColumn="0"/>
        </w:trPr>
        <w:tc>
          <w:tcPr>
            <w:tcW w:w="1980" w:type="dxa"/>
          </w:tcPr>
          <w:p w14:paraId="1ABA0E8E" w14:textId="77777777" w:rsidR="00370DA6" w:rsidRPr="00815E11" w:rsidRDefault="00370DA6" w:rsidP="007265B8">
            <w:pPr>
              <w:pStyle w:val="TableParagraph"/>
              <w:rPr>
                <w:b/>
              </w:rPr>
            </w:pPr>
            <w:r w:rsidRPr="00815E11">
              <w:rPr>
                <w:b/>
              </w:rPr>
              <w:t>Wage growth</w:t>
            </w:r>
          </w:p>
        </w:tc>
        <w:tc>
          <w:tcPr>
            <w:tcW w:w="992" w:type="dxa"/>
          </w:tcPr>
          <w:p w14:paraId="6ECD2E95" w14:textId="77777777" w:rsidR="00370DA6" w:rsidRDefault="00370DA6" w:rsidP="00360EE1">
            <w:pPr>
              <w:pStyle w:val="TableParagraph"/>
              <w:spacing w:line="276" w:lineRule="auto"/>
              <w:ind w:right="99"/>
              <w:jc w:val="center"/>
            </w:pPr>
            <w:r w:rsidRPr="00B238CA">
              <w:rPr>
                <w:rFonts w:cs="Segoe UI"/>
              </w:rPr>
              <w:t>3.125%</w:t>
            </w:r>
            <w:r>
              <w:rPr>
                <w:rFonts w:cs="Segoe UI"/>
              </w:rPr>
              <w:t xml:space="preserve"> </w:t>
            </w:r>
            <w:r>
              <w:rPr>
                <w:rFonts w:cs="Segoe UI"/>
              </w:rPr>
              <w:br/>
              <w:t>p.a.</w:t>
            </w:r>
          </w:p>
        </w:tc>
        <w:tc>
          <w:tcPr>
            <w:tcW w:w="2977" w:type="dxa"/>
          </w:tcPr>
          <w:p w14:paraId="5080F187" w14:textId="77777777" w:rsidR="00370DA6" w:rsidRPr="003A5C1C" w:rsidRDefault="00370DA6" w:rsidP="005F6F8B">
            <w:pPr>
              <w:pStyle w:val="TableList1"/>
              <w:numPr>
                <w:ilvl w:val="0"/>
                <w:numId w:val="0"/>
              </w:numPr>
              <w:ind w:left="-41"/>
            </w:pPr>
            <w:r w:rsidRPr="00EB342C">
              <w:rPr>
                <w:b/>
              </w:rPr>
              <w:t>Costs</w:t>
            </w:r>
            <w:r>
              <w:t>: Customer-facing business</w:t>
            </w:r>
            <w:r w:rsidRPr="003A5C1C">
              <w:t xml:space="preserve"> areas – CSC, </w:t>
            </w:r>
            <w:r>
              <w:t>Call Centre</w:t>
            </w:r>
            <w:r w:rsidRPr="003A5C1C">
              <w:t>, L</w:t>
            </w:r>
            <w:r>
              <w:t>icensing and Registration Services (L</w:t>
            </w:r>
            <w:r w:rsidRPr="003A5C1C">
              <w:t>RS</w:t>
            </w:r>
            <w:r>
              <w:t>), Medical Fitness-to-Drive Review (MR)</w:t>
            </w:r>
          </w:p>
        </w:tc>
        <w:tc>
          <w:tcPr>
            <w:tcW w:w="3549" w:type="dxa"/>
          </w:tcPr>
          <w:p w14:paraId="7DBEBB5B" w14:textId="267A168A" w:rsidR="00370DA6" w:rsidRPr="003A5C1C" w:rsidRDefault="00370DA6" w:rsidP="007265B8">
            <w:pPr>
              <w:pStyle w:val="TableParagraph"/>
            </w:pPr>
            <w:r w:rsidRPr="003A5C1C">
              <w:t>DTF – Budget Update 2</w:t>
            </w:r>
            <w:r w:rsidR="00B868E0">
              <w:t>018/19</w:t>
            </w:r>
            <w:r w:rsidRPr="003A5C1C">
              <w:t xml:space="preserve">: Average </w:t>
            </w:r>
            <w:r w:rsidR="00523DB7">
              <w:t xml:space="preserve">“Wage Price Index” </w:t>
            </w:r>
            <w:r w:rsidRPr="003A5C1C">
              <w:t>forecast FY1</w:t>
            </w:r>
            <w:r w:rsidR="0038038C">
              <w:t>8</w:t>
            </w:r>
            <w:r w:rsidRPr="003A5C1C">
              <w:t>/</w:t>
            </w:r>
            <w:r w:rsidR="0038038C">
              <w:t>19</w:t>
            </w:r>
            <w:r w:rsidRPr="003A5C1C">
              <w:t xml:space="preserve"> </w:t>
            </w:r>
            <w:r w:rsidR="00CC520B">
              <w:t>through to</w:t>
            </w:r>
            <w:r w:rsidRPr="003A5C1C">
              <w:t xml:space="preserve"> </w:t>
            </w:r>
            <w:r>
              <w:t>FY2</w:t>
            </w:r>
            <w:r w:rsidR="0038038C">
              <w:t>1</w:t>
            </w:r>
            <w:r w:rsidRPr="003A5C1C">
              <w:t>/2</w:t>
            </w:r>
            <w:r w:rsidR="0038038C">
              <w:t>2</w:t>
            </w:r>
            <w:r w:rsidR="00CC520B">
              <w:t xml:space="preserve"> inclusive</w:t>
            </w:r>
            <w:r>
              <w:rPr>
                <w:rStyle w:val="EndnoteReference"/>
              </w:rPr>
              <w:endnoteReference w:id="413"/>
            </w:r>
          </w:p>
        </w:tc>
      </w:tr>
      <w:tr w:rsidR="00370DA6" w:rsidRPr="00EF7B9B" w14:paraId="6AC02E59" w14:textId="77777777" w:rsidTr="00370DA6">
        <w:tc>
          <w:tcPr>
            <w:tcW w:w="1980" w:type="dxa"/>
          </w:tcPr>
          <w:p w14:paraId="7528244B" w14:textId="77777777" w:rsidR="00370DA6" w:rsidRPr="00815E11" w:rsidRDefault="00370DA6" w:rsidP="007265B8">
            <w:pPr>
              <w:pStyle w:val="TableParagraph"/>
              <w:rPr>
                <w:b/>
              </w:rPr>
            </w:pPr>
            <w:r w:rsidRPr="00815E11">
              <w:rPr>
                <w:b/>
              </w:rPr>
              <w:t xml:space="preserve">New Registration growth </w:t>
            </w:r>
          </w:p>
        </w:tc>
        <w:tc>
          <w:tcPr>
            <w:tcW w:w="992" w:type="dxa"/>
          </w:tcPr>
          <w:p w14:paraId="200539B3" w14:textId="77777777" w:rsidR="00370DA6" w:rsidRDefault="00370DA6" w:rsidP="00360EE1">
            <w:pPr>
              <w:pStyle w:val="TableParagraph"/>
              <w:spacing w:line="276" w:lineRule="auto"/>
              <w:ind w:right="99"/>
              <w:jc w:val="center"/>
            </w:pPr>
            <w:r w:rsidRPr="00B238CA">
              <w:rPr>
                <w:rFonts w:cs="Segoe UI"/>
              </w:rPr>
              <w:t>3.3</w:t>
            </w:r>
            <w:r>
              <w:rPr>
                <w:rFonts w:cs="Segoe UI"/>
              </w:rPr>
              <w:t>0</w:t>
            </w:r>
            <w:r w:rsidRPr="00B238CA">
              <w:rPr>
                <w:rFonts w:cs="Segoe UI"/>
              </w:rPr>
              <w:t>%</w:t>
            </w:r>
            <w:r>
              <w:rPr>
                <w:rFonts w:cs="Segoe UI"/>
              </w:rPr>
              <w:t xml:space="preserve"> </w:t>
            </w:r>
            <w:r>
              <w:rPr>
                <w:rFonts w:cs="Segoe UI"/>
              </w:rPr>
              <w:br/>
              <w:t>p.a.</w:t>
            </w:r>
          </w:p>
        </w:tc>
        <w:tc>
          <w:tcPr>
            <w:tcW w:w="2977" w:type="dxa"/>
          </w:tcPr>
          <w:p w14:paraId="03834399" w14:textId="77777777" w:rsidR="00370DA6" w:rsidRPr="003A5C1C" w:rsidRDefault="00370DA6" w:rsidP="005F6F8B">
            <w:pPr>
              <w:pStyle w:val="TableList1"/>
              <w:numPr>
                <w:ilvl w:val="0"/>
                <w:numId w:val="0"/>
              </w:numPr>
              <w:ind w:left="-41"/>
            </w:pPr>
            <w:r w:rsidRPr="00EB342C">
              <w:rPr>
                <w:b/>
              </w:rPr>
              <w:t>Costs</w:t>
            </w:r>
            <w:r>
              <w:t xml:space="preserve">: </w:t>
            </w:r>
            <w:r w:rsidRPr="003A5C1C">
              <w:t>New registrations, dealer activities</w:t>
            </w:r>
          </w:p>
        </w:tc>
        <w:tc>
          <w:tcPr>
            <w:tcW w:w="3549" w:type="dxa"/>
          </w:tcPr>
          <w:p w14:paraId="5DC50791" w14:textId="77777777" w:rsidR="00370DA6" w:rsidRPr="003A5C1C" w:rsidRDefault="00370DA6" w:rsidP="007265B8">
            <w:pPr>
              <w:pStyle w:val="TableParagraph"/>
            </w:pPr>
            <w:r>
              <w:rPr>
                <w:rFonts w:cs="Segoe UI"/>
              </w:rPr>
              <w:t xml:space="preserve">ABS - </w:t>
            </w:r>
            <w:r w:rsidRPr="00B238CA">
              <w:rPr>
                <w:rFonts w:cs="Segoe UI"/>
              </w:rPr>
              <w:t>New vehicle sales grew by 3.8% between 1994 and 2017</w:t>
            </w:r>
            <w:r>
              <w:rPr>
                <w:rFonts w:cs="Segoe UI"/>
              </w:rPr>
              <w:t>.  H</w:t>
            </w:r>
            <w:r w:rsidRPr="00B238CA">
              <w:rPr>
                <w:rFonts w:cs="Segoe UI"/>
              </w:rPr>
              <w:t xml:space="preserve">igher density living </w:t>
            </w:r>
            <w:r>
              <w:rPr>
                <w:rFonts w:cs="Segoe UI"/>
              </w:rPr>
              <w:t xml:space="preserve">is </w:t>
            </w:r>
            <w:r w:rsidRPr="00B238CA">
              <w:rPr>
                <w:rFonts w:cs="Segoe UI"/>
              </w:rPr>
              <w:t xml:space="preserve">having </w:t>
            </w:r>
            <w:r>
              <w:rPr>
                <w:rFonts w:cs="Segoe UI"/>
              </w:rPr>
              <w:t>a dampening</w:t>
            </w:r>
            <w:r w:rsidRPr="00B238CA">
              <w:rPr>
                <w:rFonts w:cs="Segoe UI"/>
              </w:rPr>
              <w:t xml:space="preserve"> impact on new car sales. VicRoads projections are based on 335,072 new motor vehicle</w:t>
            </w:r>
            <w:r>
              <w:rPr>
                <w:rFonts w:cs="Segoe UI"/>
              </w:rPr>
              <w:t xml:space="preserve"> sales in Victoria</w:t>
            </w:r>
            <w:r w:rsidRPr="00B238CA">
              <w:rPr>
                <w:rFonts w:cs="Segoe UI"/>
              </w:rPr>
              <w:t xml:space="preserve"> </w:t>
            </w:r>
            <w:r>
              <w:rPr>
                <w:rFonts w:cs="Segoe UI"/>
              </w:rPr>
              <w:t>(</w:t>
            </w:r>
            <w:r w:rsidRPr="00B238CA">
              <w:rPr>
                <w:rFonts w:cs="Segoe UI"/>
              </w:rPr>
              <w:t>Dec 2016-Nov 2017</w:t>
            </w:r>
            <w:r>
              <w:rPr>
                <w:rFonts w:cs="Segoe UI"/>
              </w:rPr>
              <w:t>)</w:t>
            </w:r>
            <w:r w:rsidRPr="00B238CA">
              <w:rPr>
                <w:rFonts w:cs="Segoe UI"/>
              </w:rPr>
              <w:t xml:space="preserve"> which constitutes a 3.3%</w:t>
            </w:r>
            <w:r>
              <w:rPr>
                <w:rFonts w:cs="Segoe UI"/>
              </w:rPr>
              <w:t xml:space="preserve"> </w:t>
            </w:r>
            <w:r>
              <w:t>growth</w:t>
            </w:r>
            <w:r>
              <w:rPr>
                <w:rStyle w:val="EndnoteReference"/>
              </w:rPr>
              <w:endnoteReference w:id="414"/>
            </w:r>
          </w:p>
        </w:tc>
      </w:tr>
      <w:tr w:rsidR="00370DA6" w:rsidRPr="00EF7B9B" w14:paraId="73D1FAB7" w14:textId="77777777" w:rsidTr="00370DA6">
        <w:trPr>
          <w:cnfStyle w:val="000000010000" w:firstRow="0" w:lastRow="0" w:firstColumn="0" w:lastColumn="0" w:oddVBand="0" w:evenVBand="0" w:oddHBand="0" w:evenHBand="1" w:firstRowFirstColumn="0" w:firstRowLastColumn="0" w:lastRowFirstColumn="0" w:lastRowLastColumn="0"/>
        </w:trPr>
        <w:tc>
          <w:tcPr>
            <w:tcW w:w="1980" w:type="dxa"/>
          </w:tcPr>
          <w:p w14:paraId="69BF0304" w14:textId="77777777" w:rsidR="00370DA6" w:rsidRPr="00815E11" w:rsidRDefault="00370DA6" w:rsidP="007265B8">
            <w:pPr>
              <w:pStyle w:val="TableParagraph"/>
              <w:rPr>
                <w:b/>
              </w:rPr>
            </w:pPr>
            <w:r w:rsidRPr="00815E11">
              <w:rPr>
                <w:b/>
              </w:rPr>
              <w:t>Vehicle growth</w:t>
            </w:r>
          </w:p>
        </w:tc>
        <w:tc>
          <w:tcPr>
            <w:tcW w:w="992" w:type="dxa"/>
          </w:tcPr>
          <w:p w14:paraId="5FE3A5DD" w14:textId="77777777" w:rsidR="00370DA6" w:rsidRPr="003A5C1C" w:rsidRDefault="00370DA6" w:rsidP="00360EE1">
            <w:pPr>
              <w:pStyle w:val="TableParagraph"/>
              <w:spacing w:line="276" w:lineRule="auto"/>
              <w:ind w:right="99"/>
              <w:jc w:val="center"/>
            </w:pPr>
            <w:r w:rsidRPr="00B238CA">
              <w:rPr>
                <w:rFonts w:cs="Segoe UI"/>
              </w:rPr>
              <w:t>2.5</w:t>
            </w:r>
            <w:r>
              <w:rPr>
                <w:rFonts w:cs="Segoe UI"/>
              </w:rPr>
              <w:t>0</w:t>
            </w:r>
            <w:r w:rsidRPr="00B238CA">
              <w:rPr>
                <w:rFonts w:cs="Segoe UI"/>
              </w:rPr>
              <w:t>%</w:t>
            </w:r>
            <w:r>
              <w:rPr>
                <w:rFonts w:cs="Segoe UI"/>
              </w:rPr>
              <w:t xml:space="preserve"> </w:t>
            </w:r>
            <w:r>
              <w:rPr>
                <w:rFonts w:cs="Segoe UI"/>
              </w:rPr>
              <w:br/>
              <w:t>p.a.</w:t>
            </w:r>
          </w:p>
        </w:tc>
        <w:tc>
          <w:tcPr>
            <w:tcW w:w="2977" w:type="dxa"/>
          </w:tcPr>
          <w:p w14:paraId="3B5F0154" w14:textId="77777777" w:rsidR="00370DA6" w:rsidRDefault="00370DA6" w:rsidP="005F6F8B">
            <w:pPr>
              <w:pStyle w:val="TableList1"/>
              <w:numPr>
                <w:ilvl w:val="0"/>
                <w:numId w:val="0"/>
              </w:numPr>
              <w:ind w:left="-41"/>
            </w:pPr>
            <w:r w:rsidRPr="00EB342C">
              <w:rPr>
                <w:b/>
              </w:rPr>
              <w:t>Costs</w:t>
            </w:r>
            <w:r>
              <w:t xml:space="preserve">: </w:t>
            </w:r>
            <w:r w:rsidRPr="003A5C1C">
              <w:t>Registration renewals, transfers</w:t>
            </w:r>
          </w:p>
          <w:p w14:paraId="46C2B886" w14:textId="77777777" w:rsidR="00370DA6" w:rsidRPr="003A5C1C" w:rsidRDefault="00370DA6" w:rsidP="00AC190A">
            <w:pPr>
              <w:pStyle w:val="TableList1"/>
              <w:numPr>
                <w:ilvl w:val="0"/>
                <w:numId w:val="0"/>
              </w:numPr>
              <w:ind w:left="-41"/>
            </w:pPr>
            <w:r w:rsidRPr="00EB342C">
              <w:rPr>
                <w:b/>
              </w:rPr>
              <w:t>Revenue</w:t>
            </w:r>
            <w:r>
              <w:t>: Registration related volumes</w:t>
            </w:r>
          </w:p>
        </w:tc>
        <w:tc>
          <w:tcPr>
            <w:tcW w:w="3549" w:type="dxa"/>
          </w:tcPr>
          <w:p w14:paraId="372DD1AF" w14:textId="77777777" w:rsidR="00370DA6" w:rsidRPr="003A5C1C" w:rsidRDefault="00370DA6" w:rsidP="007265B8">
            <w:pPr>
              <w:pStyle w:val="TableParagraph"/>
            </w:pPr>
            <w:r w:rsidRPr="003A5C1C">
              <w:t>ABS – Vehicle growth</w:t>
            </w:r>
            <w:r>
              <w:t xml:space="preserve"> between 2016 and 2017</w:t>
            </w:r>
            <w:r w:rsidRPr="003A5C1C">
              <w:rPr>
                <w:rStyle w:val="EndnoteReference"/>
                <w:rFonts w:cs="Segoe UI"/>
                <w:szCs w:val="18"/>
              </w:rPr>
              <w:endnoteReference w:id="415"/>
            </w:r>
          </w:p>
        </w:tc>
      </w:tr>
      <w:tr w:rsidR="00370DA6" w:rsidRPr="00EF7B9B" w14:paraId="0962B279" w14:textId="77777777" w:rsidTr="00370DA6">
        <w:tc>
          <w:tcPr>
            <w:tcW w:w="1980" w:type="dxa"/>
          </w:tcPr>
          <w:p w14:paraId="598C3E02" w14:textId="77777777" w:rsidR="00370DA6" w:rsidRPr="00815E11" w:rsidRDefault="00370DA6" w:rsidP="007265B8">
            <w:pPr>
              <w:pStyle w:val="TableParagraph"/>
              <w:rPr>
                <w:b/>
              </w:rPr>
            </w:pPr>
            <w:r w:rsidRPr="00815E11">
              <w:rPr>
                <w:b/>
              </w:rPr>
              <w:t>New Licence growth</w:t>
            </w:r>
          </w:p>
        </w:tc>
        <w:tc>
          <w:tcPr>
            <w:tcW w:w="992" w:type="dxa"/>
          </w:tcPr>
          <w:p w14:paraId="7433B28F" w14:textId="77777777" w:rsidR="00370DA6" w:rsidRPr="003A5C1C" w:rsidRDefault="00370DA6" w:rsidP="00360EE1">
            <w:pPr>
              <w:pStyle w:val="TableParagraph"/>
              <w:spacing w:line="276" w:lineRule="auto"/>
              <w:ind w:right="99"/>
              <w:jc w:val="center"/>
            </w:pPr>
            <w:r w:rsidRPr="00B238CA">
              <w:rPr>
                <w:rFonts w:cs="Segoe UI"/>
              </w:rPr>
              <w:t>5.0%</w:t>
            </w:r>
            <w:r>
              <w:rPr>
                <w:rFonts w:cs="Segoe UI"/>
              </w:rPr>
              <w:br/>
              <w:t>p.a.</w:t>
            </w:r>
          </w:p>
        </w:tc>
        <w:tc>
          <w:tcPr>
            <w:tcW w:w="2977" w:type="dxa"/>
          </w:tcPr>
          <w:p w14:paraId="7E55FE00" w14:textId="77777777" w:rsidR="00370DA6" w:rsidRPr="003A5C1C" w:rsidRDefault="00370DA6" w:rsidP="005F6F8B">
            <w:pPr>
              <w:pStyle w:val="TableList1"/>
              <w:numPr>
                <w:ilvl w:val="0"/>
                <w:numId w:val="0"/>
              </w:numPr>
              <w:ind w:left="-41"/>
            </w:pPr>
            <w:r w:rsidRPr="00EB342C">
              <w:rPr>
                <w:b/>
              </w:rPr>
              <w:t>Costs</w:t>
            </w:r>
            <w:r>
              <w:t xml:space="preserve">: </w:t>
            </w:r>
            <w:r w:rsidRPr="003A5C1C">
              <w:t xml:space="preserve">Licence </w:t>
            </w:r>
            <w:r>
              <w:t>computer and on-road tests</w:t>
            </w:r>
          </w:p>
        </w:tc>
        <w:tc>
          <w:tcPr>
            <w:tcW w:w="3549" w:type="dxa"/>
          </w:tcPr>
          <w:p w14:paraId="43FE2F20" w14:textId="77777777" w:rsidR="00370DA6" w:rsidRPr="003A5C1C" w:rsidRDefault="00370DA6" w:rsidP="007265B8">
            <w:pPr>
              <w:pStyle w:val="TableParagraph"/>
            </w:pPr>
            <w:r w:rsidRPr="003A5C1C">
              <w:t>VicRoads projections</w:t>
            </w:r>
            <w:r>
              <w:t xml:space="preserve"> based on natural growth in 17-18yo and migration from local jurisdictions and overseas</w:t>
            </w:r>
          </w:p>
        </w:tc>
      </w:tr>
      <w:tr w:rsidR="00370DA6" w:rsidRPr="00EF7B9B" w14:paraId="7FAEAF82" w14:textId="77777777" w:rsidTr="00370DA6">
        <w:trPr>
          <w:cnfStyle w:val="000000010000" w:firstRow="0" w:lastRow="0" w:firstColumn="0" w:lastColumn="0" w:oddVBand="0" w:evenVBand="0" w:oddHBand="0" w:evenHBand="1" w:firstRowFirstColumn="0" w:firstRowLastColumn="0" w:lastRowFirstColumn="0" w:lastRowLastColumn="0"/>
        </w:trPr>
        <w:tc>
          <w:tcPr>
            <w:tcW w:w="1980" w:type="dxa"/>
          </w:tcPr>
          <w:p w14:paraId="2A658940" w14:textId="77777777" w:rsidR="00370DA6" w:rsidRPr="00815E11" w:rsidRDefault="00370DA6" w:rsidP="007265B8">
            <w:pPr>
              <w:pStyle w:val="TableParagraph"/>
              <w:rPr>
                <w:b/>
              </w:rPr>
            </w:pPr>
            <w:r w:rsidRPr="00815E11">
              <w:rPr>
                <w:b/>
              </w:rPr>
              <w:t>Drivers growth</w:t>
            </w:r>
          </w:p>
        </w:tc>
        <w:tc>
          <w:tcPr>
            <w:tcW w:w="992" w:type="dxa"/>
          </w:tcPr>
          <w:p w14:paraId="144F260F" w14:textId="77777777" w:rsidR="00370DA6" w:rsidRPr="003A5C1C" w:rsidRDefault="00370DA6" w:rsidP="00360EE1">
            <w:pPr>
              <w:pStyle w:val="TableParagraph"/>
              <w:spacing w:line="276" w:lineRule="auto"/>
              <w:ind w:right="99"/>
              <w:jc w:val="center"/>
            </w:pPr>
            <w:r w:rsidRPr="00B238CA">
              <w:rPr>
                <w:rFonts w:cs="Segoe UI"/>
              </w:rPr>
              <w:t>1.59%</w:t>
            </w:r>
            <w:r>
              <w:rPr>
                <w:rFonts w:cs="Segoe UI"/>
              </w:rPr>
              <w:br/>
              <w:t>p.a.</w:t>
            </w:r>
          </w:p>
        </w:tc>
        <w:tc>
          <w:tcPr>
            <w:tcW w:w="2977" w:type="dxa"/>
          </w:tcPr>
          <w:p w14:paraId="3B73BDB4" w14:textId="77777777" w:rsidR="00370DA6" w:rsidRDefault="00370DA6" w:rsidP="005F6F8B">
            <w:pPr>
              <w:pStyle w:val="TableList1"/>
              <w:numPr>
                <w:ilvl w:val="0"/>
                <w:numId w:val="0"/>
              </w:numPr>
              <w:ind w:left="-41"/>
            </w:pPr>
            <w:r w:rsidRPr="00EB342C">
              <w:rPr>
                <w:b/>
              </w:rPr>
              <w:t>Costs</w:t>
            </w:r>
            <w:r>
              <w:t xml:space="preserve">: </w:t>
            </w:r>
            <w:r w:rsidRPr="003A5C1C">
              <w:t>Licence renewals</w:t>
            </w:r>
          </w:p>
          <w:p w14:paraId="62417B54" w14:textId="77777777" w:rsidR="00370DA6" w:rsidRPr="003A5C1C" w:rsidRDefault="00370DA6" w:rsidP="00AC190A">
            <w:pPr>
              <w:pStyle w:val="TableList1"/>
              <w:numPr>
                <w:ilvl w:val="0"/>
                <w:numId w:val="0"/>
              </w:numPr>
              <w:ind w:left="-41"/>
            </w:pPr>
            <w:r w:rsidRPr="00EB342C">
              <w:rPr>
                <w:b/>
              </w:rPr>
              <w:t>Revenue</w:t>
            </w:r>
            <w:r>
              <w:t>: Licence related volumes</w:t>
            </w:r>
          </w:p>
        </w:tc>
        <w:tc>
          <w:tcPr>
            <w:tcW w:w="3549" w:type="dxa"/>
          </w:tcPr>
          <w:p w14:paraId="052536A9" w14:textId="77777777" w:rsidR="00370DA6" w:rsidRPr="003A5C1C" w:rsidRDefault="00370DA6" w:rsidP="007265B8">
            <w:pPr>
              <w:pStyle w:val="TableParagraph"/>
            </w:pPr>
            <w:r w:rsidRPr="003A5C1C">
              <w:t>ABS – Vic</w:t>
            </w:r>
            <w:r>
              <w:t xml:space="preserve">torian </w:t>
            </w:r>
            <w:r w:rsidRPr="003A5C1C">
              <w:t xml:space="preserve">population </w:t>
            </w:r>
            <w:r>
              <w:t xml:space="preserve">forecast </w:t>
            </w:r>
            <w:r w:rsidRPr="003A5C1C">
              <w:t>2021-31</w:t>
            </w:r>
            <w:r w:rsidRPr="003A5C1C">
              <w:rPr>
                <w:rStyle w:val="EndnoteReference"/>
                <w:rFonts w:cs="Segoe UI"/>
                <w:szCs w:val="18"/>
              </w:rPr>
              <w:endnoteReference w:id="416"/>
            </w:r>
          </w:p>
        </w:tc>
      </w:tr>
      <w:tr w:rsidR="00370DA6" w:rsidRPr="00EF7B9B" w14:paraId="100EECE0" w14:textId="77777777" w:rsidTr="00107DE7">
        <w:trPr>
          <w:trHeight w:val="614"/>
        </w:trPr>
        <w:tc>
          <w:tcPr>
            <w:tcW w:w="1980" w:type="dxa"/>
          </w:tcPr>
          <w:p w14:paraId="6B8FFE51" w14:textId="77777777" w:rsidR="00370DA6" w:rsidRPr="00815E11" w:rsidRDefault="00370DA6" w:rsidP="007265B8">
            <w:pPr>
              <w:pStyle w:val="TableParagraph"/>
              <w:rPr>
                <w:b/>
              </w:rPr>
            </w:pPr>
            <w:r w:rsidRPr="00815E11">
              <w:rPr>
                <w:b/>
              </w:rPr>
              <w:t>S</w:t>
            </w:r>
            <w:r>
              <w:rPr>
                <w:b/>
              </w:rPr>
              <w:t>hort-term Registration (S</w:t>
            </w:r>
            <w:r w:rsidRPr="00815E11">
              <w:rPr>
                <w:b/>
              </w:rPr>
              <w:t>TR</w:t>
            </w:r>
            <w:r>
              <w:rPr>
                <w:b/>
              </w:rPr>
              <w:t>)</w:t>
            </w:r>
            <w:r w:rsidRPr="00815E11">
              <w:rPr>
                <w:b/>
              </w:rPr>
              <w:t xml:space="preserve"> take up</w:t>
            </w:r>
          </w:p>
        </w:tc>
        <w:tc>
          <w:tcPr>
            <w:tcW w:w="992" w:type="dxa"/>
          </w:tcPr>
          <w:p w14:paraId="0E1C5F71" w14:textId="77777777" w:rsidR="00370DA6" w:rsidRDefault="00370DA6" w:rsidP="00360EE1">
            <w:pPr>
              <w:pStyle w:val="TableParagraph"/>
              <w:spacing w:line="276" w:lineRule="auto"/>
              <w:ind w:right="99"/>
              <w:jc w:val="center"/>
            </w:pPr>
            <w:r w:rsidRPr="00B238CA">
              <w:rPr>
                <w:rFonts w:cs="Segoe UI"/>
              </w:rPr>
              <w:t>50.0%</w:t>
            </w:r>
            <w:r>
              <w:rPr>
                <w:rFonts w:cs="Segoe UI"/>
              </w:rPr>
              <w:br/>
            </w:r>
            <w:r w:rsidRPr="00B238CA">
              <w:rPr>
                <w:rFonts w:cs="Segoe UI"/>
                <w:sz w:val="16"/>
              </w:rPr>
              <w:t>for FY18/19 rising to 70% by FY 21/22</w:t>
            </w:r>
          </w:p>
        </w:tc>
        <w:tc>
          <w:tcPr>
            <w:tcW w:w="2977" w:type="dxa"/>
          </w:tcPr>
          <w:p w14:paraId="718628D2" w14:textId="77777777" w:rsidR="00370DA6" w:rsidRDefault="00370DA6" w:rsidP="005F6F8B">
            <w:pPr>
              <w:pStyle w:val="TableList1"/>
              <w:numPr>
                <w:ilvl w:val="0"/>
                <w:numId w:val="0"/>
              </w:numPr>
              <w:ind w:left="-41"/>
            </w:pPr>
            <w:r w:rsidRPr="00EB342C">
              <w:rPr>
                <w:b/>
              </w:rPr>
              <w:t>Costs</w:t>
            </w:r>
            <w:r>
              <w:t xml:space="preserve">: </w:t>
            </w:r>
            <w:r w:rsidRPr="003A5C1C">
              <w:t>Registration/billing/enquiry transactions</w:t>
            </w:r>
          </w:p>
          <w:p w14:paraId="42D8F806" w14:textId="77777777" w:rsidR="00370DA6" w:rsidRPr="003A5C1C" w:rsidRDefault="00370DA6" w:rsidP="00AC190A">
            <w:pPr>
              <w:pStyle w:val="TableList1"/>
              <w:numPr>
                <w:ilvl w:val="0"/>
                <w:numId w:val="0"/>
              </w:numPr>
              <w:ind w:left="-41"/>
            </w:pPr>
            <w:r w:rsidRPr="00EB342C">
              <w:rPr>
                <w:b/>
              </w:rPr>
              <w:t>Revenue</w:t>
            </w:r>
            <w:r>
              <w:t xml:space="preserve">: </w:t>
            </w:r>
            <w:r w:rsidRPr="003A5C1C">
              <w:t>Registration</w:t>
            </w:r>
            <w:r>
              <w:t xml:space="preserve"> related volumes</w:t>
            </w:r>
          </w:p>
        </w:tc>
        <w:tc>
          <w:tcPr>
            <w:tcW w:w="3549" w:type="dxa"/>
          </w:tcPr>
          <w:p w14:paraId="18AFE236" w14:textId="77777777" w:rsidR="00370DA6" w:rsidRDefault="00370DA6" w:rsidP="007265B8">
            <w:pPr>
              <w:pStyle w:val="TableParagraph"/>
            </w:pPr>
            <w:r w:rsidRPr="003A5C1C">
              <w:t>VicRoads projections</w:t>
            </w:r>
            <w:r>
              <w:t xml:space="preserve"> based on take up rates from other </w:t>
            </w:r>
            <w:r w:rsidRPr="00A21939">
              <w:t>jurisdictions</w:t>
            </w:r>
            <w:r>
              <w:t>, all of which are evolving but give some indications of potential take up:</w:t>
            </w:r>
          </w:p>
          <w:tbl>
            <w:tblPr>
              <w:tblStyle w:val="VicroadsSimpleGrey"/>
              <w:tblW w:w="0" w:type="auto"/>
              <w:tblLayout w:type="fixed"/>
              <w:tblLook w:val="04A0" w:firstRow="1" w:lastRow="0" w:firstColumn="1" w:lastColumn="0" w:noHBand="0" w:noVBand="1"/>
            </w:tblPr>
            <w:tblGrid>
              <w:gridCol w:w="1614"/>
              <w:gridCol w:w="1337"/>
            </w:tblGrid>
            <w:tr w:rsidR="00370DA6" w14:paraId="78FCEC12" w14:textId="77777777" w:rsidTr="00370DA6">
              <w:trPr>
                <w:cnfStyle w:val="100000000000" w:firstRow="1" w:lastRow="0" w:firstColumn="0" w:lastColumn="0" w:oddVBand="0" w:evenVBand="0" w:oddHBand="0" w:evenHBand="0" w:firstRowFirstColumn="0" w:firstRowLastColumn="0" w:lastRowFirstColumn="0" w:lastRowLastColumn="0"/>
              </w:trPr>
              <w:tc>
                <w:tcPr>
                  <w:tcW w:w="1614" w:type="dxa"/>
                  <w:shd w:val="clear" w:color="auto" w:fill="auto"/>
                </w:tcPr>
                <w:p w14:paraId="2E85F7E7" w14:textId="77777777" w:rsidR="00370DA6" w:rsidRPr="00175A53" w:rsidRDefault="00370DA6" w:rsidP="007265B8">
                  <w:pPr>
                    <w:pStyle w:val="TableParagraph"/>
                    <w:rPr>
                      <w:b w:val="0"/>
                    </w:rPr>
                  </w:pPr>
                  <w:r w:rsidRPr="00175A53">
                    <w:rPr>
                      <w:b w:val="0"/>
                    </w:rPr>
                    <w:t>NSW -  12%</w:t>
                  </w:r>
                </w:p>
                <w:p w14:paraId="64841AEE" w14:textId="77777777" w:rsidR="00370DA6" w:rsidRPr="00175A53" w:rsidRDefault="00370DA6" w:rsidP="007265B8">
                  <w:pPr>
                    <w:pStyle w:val="TableParagraph"/>
                    <w:rPr>
                      <w:b w:val="0"/>
                    </w:rPr>
                  </w:pPr>
                  <w:r w:rsidRPr="00175A53">
                    <w:rPr>
                      <w:b w:val="0"/>
                    </w:rPr>
                    <w:t>QLD -   50%</w:t>
                  </w:r>
                </w:p>
                <w:p w14:paraId="3B09F746" w14:textId="77777777" w:rsidR="00370DA6" w:rsidRPr="00175A53" w:rsidRDefault="00370DA6" w:rsidP="007265B8">
                  <w:pPr>
                    <w:pStyle w:val="TableParagraph"/>
                    <w:rPr>
                      <w:b w:val="0"/>
                    </w:rPr>
                  </w:pPr>
                  <w:r w:rsidRPr="00175A53">
                    <w:rPr>
                      <w:b w:val="0"/>
                    </w:rPr>
                    <w:t>SA -      55%</w:t>
                  </w:r>
                </w:p>
                <w:p w14:paraId="086017F8" w14:textId="77777777" w:rsidR="00370DA6" w:rsidRPr="00175A53" w:rsidRDefault="00370DA6" w:rsidP="007265B8">
                  <w:pPr>
                    <w:pStyle w:val="TableParagraph"/>
                    <w:rPr>
                      <w:b w:val="0"/>
                    </w:rPr>
                  </w:pPr>
                  <w:r w:rsidRPr="00175A53">
                    <w:rPr>
                      <w:b w:val="0"/>
                    </w:rPr>
                    <w:t>WA -    45%</w:t>
                  </w:r>
                </w:p>
              </w:tc>
              <w:tc>
                <w:tcPr>
                  <w:tcW w:w="1337" w:type="dxa"/>
                  <w:shd w:val="clear" w:color="auto" w:fill="auto"/>
                </w:tcPr>
                <w:p w14:paraId="698428E8" w14:textId="77777777" w:rsidR="00370DA6" w:rsidRPr="00175A53" w:rsidRDefault="00370DA6" w:rsidP="007265B8">
                  <w:pPr>
                    <w:pStyle w:val="TableParagraph"/>
                    <w:rPr>
                      <w:b w:val="0"/>
                    </w:rPr>
                  </w:pPr>
                  <w:r w:rsidRPr="00175A53">
                    <w:rPr>
                      <w:b w:val="0"/>
                    </w:rPr>
                    <w:t>ACT -   60%</w:t>
                  </w:r>
                </w:p>
                <w:p w14:paraId="0E2245BE" w14:textId="77777777" w:rsidR="00370DA6" w:rsidRPr="00175A53" w:rsidRDefault="00370DA6" w:rsidP="007265B8">
                  <w:pPr>
                    <w:pStyle w:val="TableParagraph"/>
                    <w:rPr>
                      <w:b w:val="0"/>
                    </w:rPr>
                  </w:pPr>
                  <w:r w:rsidRPr="00175A53">
                    <w:rPr>
                      <w:b w:val="0"/>
                    </w:rPr>
                    <w:t>NT -     72%</w:t>
                  </w:r>
                </w:p>
                <w:p w14:paraId="53DA4E5B" w14:textId="77777777" w:rsidR="00370DA6" w:rsidRPr="00175A53" w:rsidRDefault="00370DA6" w:rsidP="007265B8">
                  <w:pPr>
                    <w:pStyle w:val="TableParagraph"/>
                    <w:rPr>
                      <w:b w:val="0"/>
                    </w:rPr>
                  </w:pPr>
                  <w:r w:rsidRPr="00175A53">
                    <w:rPr>
                      <w:b w:val="0"/>
                    </w:rPr>
                    <w:t>TAS -   27%</w:t>
                  </w:r>
                </w:p>
              </w:tc>
            </w:tr>
          </w:tbl>
          <w:p w14:paraId="19F967C7" w14:textId="77777777" w:rsidR="00370DA6" w:rsidRPr="00A21939" w:rsidRDefault="00370DA6" w:rsidP="007265B8">
            <w:pPr>
              <w:pStyle w:val="TableParagraph"/>
            </w:pPr>
          </w:p>
        </w:tc>
      </w:tr>
    </w:tbl>
    <w:p w14:paraId="730A9373" w14:textId="77777777" w:rsidR="00370DA6" w:rsidRPr="00117C96" w:rsidRDefault="00370DA6" w:rsidP="00370DA6">
      <w:pPr>
        <w:pStyle w:val="Heading3"/>
        <w:spacing w:before="240"/>
      </w:pPr>
      <w:bookmarkStart w:id="688" w:name="_Toc4084212"/>
      <w:bookmarkStart w:id="689" w:name="_Ref4404033"/>
      <w:bookmarkStart w:id="690" w:name="_Ref4415668"/>
      <w:bookmarkStart w:id="691" w:name="_Toc10703498"/>
      <w:r w:rsidRPr="00117C96">
        <w:lastRenderedPageBreak/>
        <w:t>Forecast Period Applicable</w:t>
      </w:r>
      <w:bookmarkEnd w:id="688"/>
      <w:bookmarkEnd w:id="689"/>
      <w:bookmarkEnd w:id="690"/>
      <w:bookmarkEnd w:id="691"/>
    </w:p>
    <w:p w14:paraId="77C79890" w14:textId="77777777" w:rsidR="00370DA6" w:rsidRPr="00B238CA" w:rsidRDefault="00370DA6" w:rsidP="003859D2">
      <w:pPr>
        <w:pStyle w:val="TextPara"/>
      </w:pPr>
      <w:r w:rsidRPr="00B238CA">
        <w:t>The 4-year period from FY19/20 to FY22/23 (inclusive) was chosen for the evaluation as it is a period where there is a reasonable level of confidence about the forecast assumptions. A longer period (e.g. through to the end of the regulatory period FY28/29) would be subject to excessive uncertainty given the likely development of automated vehicles and the consumption of vehicles-as-a-service, which are expected to produce a step change in market fundamentals. The timing for these developments and</w:t>
      </w:r>
      <w:r>
        <w:t xml:space="preserve"> degree of impact at this stage</w:t>
      </w:r>
      <w:r w:rsidRPr="00B238CA">
        <w:t xml:space="preserve"> cannot be reliably predicted for forecasting cost and revenue</w:t>
      </w:r>
      <w:r>
        <w:t>, but VicRoads expects they are likely to occur within the next ten years</w:t>
      </w:r>
      <w:r w:rsidRPr="00B238CA">
        <w:t>.</w:t>
      </w:r>
    </w:p>
    <w:p w14:paraId="3F34BAD5" w14:textId="321565D8" w:rsidR="00370DA6" w:rsidRPr="00B238CA" w:rsidRDefault="00370DA6" w:rsidP="003859D2">
      <w:pPr>
        <w:pStyle w:val="TextPara"/>
      </w:pPr>
      <w:r w:rsidRPr="00B238CA">
        <w:t xml:space="preserve">Whilst the fees are to be set for the full regulatory period (10 years) an interim re-evaluation of fees (circa FY23/24) </w:t>
      </w:r>
      <w:r>
        <w:t>is planned to</w:t>
      </w:r>
      <w:r w:rsidRPr="00B238CA">
        <w:t xml:space="preserve"> be conducted to examine whether there has been substantive </w:t>
      </w:r>
      <w:r>
        <w:t>deviation</w:t>
      </w:r>
      <w:r w:rsidRPr="00B238CA">
        <w:t xml:space="preserve"> from the forecast assumptions or there is an imminent change that warrants a change to fees.</w:t>
      </w:r>
      <w:r w:rsidR="005C101E">
        <w:t xml:space="preserve"> Given the imminent move of relevant VicRoads services to Service Victoria </w:t>
      </w:r>
      <w:r w:rsidR="003603C2">
        <w:t>and given the weaknesses in the underlying data set out below, it is essential that a full fee review is undertaken</w:t>
      </w:r>
      <w:r w:rsidR="008B51FA">
        <w:t xml:space="preserve"> </w:t>
      </w:r>
      <w:r w:rsidR="003603C2">
        <w:t xml:space="preserve">mid-term </w:t>
      </w:r>
      <w:r w:rsidR="00271833">
        <w:t>as detailed in the Evaluation Strategy section below.</w:t>
      </w:r>
    </w:p>
    <w:p w14:paraId="64F05438" w14:textId="77777777" w:rsidR="00370DA6" w:rsidRPr="00117C96" w:rsidRDefault="00370DA6" w:rsidP="00370DA6">
      <w:pPr>
        <w:pStyle w:val="Heading2"/>
        <w:spacing w:before="240" w:after="180"/>
      </w:pPr>
      <w:bookmarkStart w:id="692" w:name="_Toc4084213"/>
      <w:bookmarkStart w:id="693" w:name="_Toc10703499"/>
      <w:r>
        <w:t>Allocation of costs to s</w:t>
      </w:r>
      <w:r w:rsidRPr="00117C96">
        <w:t>ervices</w:t>
      </w:r>
      <w:bookmarkEnd w:id="692"/>
      <w:bookmarkEnd w:id="693"/>
    </w:p>
    <w:p w14:paraId="72DBD630" w14:textId="77777777" w:rsidR="00370DA6" w:rsidRDefault="00370DA6" w:rsidP="00370DA6">
      <w:pPr>
        <w:pStyle w:val="Heading3"/>
        <w:spacing w:before="240"/>
      </w:pPr>
      <w:bookmarkStart w:id="694" w:name="_Toc4084214"/>
      <w:bookmarkStart w:id="695" w:name="_Toc10703500"/>
      <w:r>
        <w:t>Primary Allocation</w:t>
      </w:r>
      <w:bookmarkEnd w:id="694"/>
      <w:bookmarkEnd w:id="695"/>
    </w:p>
    <w:p w14:paraId="67FE9DB5" w14:textId="4411B27F" w:rsidR="00F77E91" w:rsidRPr="0017139E" w:rsidRDefault="00F77E91" w:rsidP="00F77E91">
      <w:pPr>
        <w:pStyle w:val="TextPara"/>
      </w:pPr>
      <w:r>
        <w:t xml:space="preserve">During the previous iteration of the Drivers Regulations in 2009 it became apparent that VicRoads systems were inadequate to allow </w:t>
      </w:r>
      <w:r w:rsidRPr="007117C2">
        <w:t xml:space="preserve">VicRoads </w:t>
      </w:r>
      <w:r>
        <w:t xml:space="preserve">to </w:t>
      </w:r>
      <w:r w:rsidRPr="007117C2">
        <w:t>undertak</w:t>
      </w:r>
      <w:r>
        <w:t>e</w:t>
      </w:r>
      <w:r w:rsidRPr="007117C2">
        <w:t xml:space="preserve"> fully distributed costing as part of this regulatory impact statement process.</w:t>
      </w:r>
      <w:r>
        <w:t xml:space="preserve"> </w:t>
      </w:r>
      <w:r w:rsidR="00B74738">
        <w:t xml:space="preserve">At the time VicRoads committed to a </w:t>
      </w:r>
      <w:r w:rsidR="007D7A42">
        <w:t>full fees review within three to five years of the regulations being made, to allow for more detailed data to be produced which could be used when remaking the regulations this time. This review did not happen, and the</w:t>
      </w:r>
      <w:r>
        <w:t xml:space="preserve"> data limitations</w:t>
      </w:r>
      <w:r w:rsidR="007D7A42">
        <w:t xml:space="preserve"> previously articulated</w:t>
      </w:r>
      <w:r w:rsidR="00717003">
        <w:t xml:space="preserve"> in 2009</w:t>
      </w:r>
      <w:r w:rsidR="007D7A42">
        <w:t xml:space="preserve"> </w:t>
      </w:r>
      <w:r>
        <w:t>have not been addressed over the past 10 years</w:t>
      </w:r>
      <w:r w:rsidR="00717003">
        <w:t xml:space="preserve">. As such </w:t>
      </w:r>
      <w:r>
        <w:t>VicRoads</w:t>
      </w:r>
      <w:r w:rsidR="00717003">
        <w:t>’</w:t>
      </w:r>
      <w:r w:rsidR="00611CBE">
        <w:t xml:space="preserve"> </w:t>
      </w:r>
      <w:r w:rsidRPr="008C7DDB">
        <w:rPr>
          <w:rFonts w:eastAsia="Times New Roman" w:cs="Arial"/>
          <w:color w:val="201F1E"/>
          <w:szCs w:val="20"/>
          <w:bdr w:val="none" w:sz="0" w:space="0" w:color="auto" w:frame="1"/>
          <w:lang w:val="en-GB" w:eastAsia="en-GB"/>
        </w:rPr>
        <w:t xml:space="preserve">existing data systems </w:t>
      </w:r>
      <w:r>
        <w:rPr>
          <w:rFonts w:eastAsia="Times New Roman" w:cs="Arial"/>
          <w:color w:val="201F1E"/>
          <w:szCs w:val="20"/>
          <w:bdr w:val="none" w:sz="0" w:space="0" w:color="auto" w:frame="1"/>
          <w:lang w:val="en-GB" w:eastAsia="en-GB"/>
        </w:rPr>
        <w:t xml:space="preserve">remain inadequate </w:t>
      </w:r>
      <w:r w:rsidRPr="008C7DDB">
        <w:rPr>
          <w:rFonts w:eastAsia="Times New Roman" w:cs="Arial"/>
          <w:color w:val="201F1E"/>
          <w:szCs w:val="20"/>
          <w:bdr w:val="none" w:sz="0" w:space="0" w:color="auto" w:frame="1"/>
          <w:lang w:val="en-GB" w:eastAsia="en-GB"/>
        </w:rPr>
        <w:t>to determine activity based costs.</w:t>
      </w:r>
    </w:p>
    <w:p w14:paraId="76B4D437" w14:textId="5D21B2A8" w:rsidR="00370DA6" w:rsidRPr="00B238CA" w:rsidRDefault="00F77E91" w:rsidP="003859D2">
      <w:pPr>
        <w:pStyle w:val="TextPara"/>
      </w:pPr>
      <w:r w:rsidRPr="00F77E91">
        <w:t xml:space="preserve">What VicRoads </w:t>
      </w:r>
      <w:r w:rsidR="00956598">
        <w:t>has been</w:t>
      </w:r>
      <w:r w:rsidRPr="00F77E91">
        <w:t xml:space="preserve"> able to do with existing data systems is </w:t>
      </w:r>
      <w:r w:rsidR="00717003">
        <w:t xml:space="preserve">to use the </w:t>
      </w:r>
      <w:r w:rsidR="00817A86">
        <w:t>CSCs to</w:t>
      </w:r>
      <w:r w:rsidR="00370DA6" w:rsidRPr="00B238CA">
        <w:t xml:space="preserve"> track transaction types, volumes and handling times for each transaction through the </w:t>
      </w:r>
      <w:r w:rsidR="00370DA6">
        <w:t>Queue Management System (</w:t>
      </w:r>
      <w:r w:rsidR="00370DA6" w:rsidRPr="00B238CA">
        <w:t>QMS</w:t>
      </w:r>
      <w:r w:rsidR="00370DA6">
        <w:t>)</w:t>
      </w:r>
      <w:r w:rsidR="00370DA6" w:rsidRPr="00B238CA">
        <w:t xml:space="preserve"> application. This application </w:t>
      </w:r>
      <w:r w:rsidR="000A7CBA">
        <w:t xml:space="preserve">has been used to </w:t>
      </w:r>
      <w:r w:rsidR="00370DA6" w:rsidRPr="00B238CA">
        <w:t>identif</w:t>
      </w:r>
      <w:r w:rsidR="000A7CBA">
        <w:t>y</w:t>
      </w:r>
      <w:r w:rsidR="00370DA6" w:rsidRPr="00B238CA">
        <w:t xml:space="preserve"> </w:t>
      </w:r>
      <w:r w:rsidR="000A7CBA">
        <w:t xml:space="preserve">the </w:t>
      </w:r>
      <w:r w:rsidR="00370DA6" w:rsidRPr="00B238CA">
        <w:t>cost for each service based on the effort recorded for each transaction.</w:t>
      </w:r>
    </w:p>
    <w:p w14:paraId="123E27A9" w14:textId="1A10E3CA" w:rsidR="00370DA6" w:rsidRDefault="00370DA6" w:rsidP="001E5145">
      <w:pPr>
        <w:pStyle w:val="TextPara"/>
      </w:pPr>
      <w:r w:rsidRPr="00B238CA">
        <w:t xml:space="preserve">QMS is </w:t>
      </w:r>
      <w:r>
        <w:t xml:space="preserve">the system </w:t>
      </w:r>
      <w:r w:rsidRPr="00B238CA">
        <w:t xml:space="preserve">used to manage the queue of customers at the CSC by allocating tasks to available staff based on the requested service and matching </w:t>
      </w:r>
      <w:r>
        <w:t xml:space="preserve">it </w:t>
      </w:r>
      <w:r w:rsidRPr="00B238CA">
        <w:t xml:space="preserve">to the skillset of the customer centre operators </w:t>
      </w:r>
      <w:r>
        <w:t>at</w:t>
      </w:r>
      <w:r w:rsidRPr="00B238CA">
        <w:t xml:space="preserve"> the counter. The system records the transaction type and time taken to process and close out each transaction. </w:t>
      </w:r>
      <w:r w:rsidR="000A7CBA">
        <w:t xml:space="preserve">It does not separately identify the component steps which make up a transaction such as updating system records, taking payment and issuing receipts. </w:t>
      </w:r>
      <w:r w:rsidRPr="00B238CA">
        <w:t>When a customer seeks multiple services (e.g. name and/or address change plus registration transfer plus replacement licence) the customer service c</w:t>
      </w:r>
      <w:r>
        <w:t xml:space="preserve">entre operator records when the first transaction ends and the </w:t>
      </w:r>
      <w:r w:rsidRPr="00B238CA">
        <w:t xml:space="preserve">next </w:t>
      </w:r>
      <w:r w:rsidRPr="001E5145">
        <w:t>transaction</w:t>
      </w:r>
      <w:r w:rsidRPr="00B238CA">
        <w:t xml:space="preserve"> </w:t>
      </w:r>
      <w:r>
        <w:t>begins</w:t>
      </w:r>
      <w:r w:rsidRPr="00B238CA">
        <w:t>.  Whil</w:t>
      </w:r>
      <w:r>
        <w:t>e</w:t>
      </w:r>
      <w:r w:rsidRPr="00B238CA">
        <w:t xml:space="preserve"> individual transactions may vary in length, </w:t>
      </w:r>
      <w:r>
        <w:t>QMS</w:t>
      </w:r>
      <w:r w:rsidRPr="00B238CA">
        <w:t xml:space="preserve"> calculates the average time taken for each transaction to enable the costs of the business unit to be apportioned to the services delivered based on the relative effort applied to that service. </w:t>
      </w:r>
    </w:p>
    <w:p w14:paraId="75844499" w14:textId="77777777" w:rsidR="00370DA6" w:rsidRPr="00B238CA" w:rsidRDefault="00370DA6" w:rsidP="001E5145">
      <w:pPr>
        <w:pStyle w:val="TextPara"/>
      </w:pPr>
      <w:r w:rsidRPr="00B238CA">
        <w:t xml:space="preserve">Other specialist customer support </w:t>
      </w:r>
      <w:r>
        <w:t>business units</w:t>
      </w:r>
      <w:r w:rsidRPr="00B238CA">
        <w:t xml:space="preserve"> (Alcohol Interlocks, Medical </w:t>
      </w:r>
      <w:r>
        <w:t xml:space="preserve">Fitness-to-Drive </w:t>
      </w:r>
      <w:r w:rsidRPr="00B238CA">
        <w:t xml:space="preserve">Review, and Licensing and Registration Services) </w:t>
      </w:r>
      <w:r>
        <w:t xml:space="preserve">are responsible for a narrow suite of activities undertaken by specialist staff. </w:t>
      </w:r>
      <w:r w:rsidRPr="00B238CA">
        <w:t>The cost of the</w:t>
      </w:r>
      <w:r>
        <w:t>ir</w:t>
      </w:r>
      <w:r w:rsidRPr="00B238CA">
        <w:t xml:space="preserve"> functions </w:t>
      </w:r>
      <w:r>
        <w:t xml:space="preserve">can </w:t>
      </w:r>
      <w:r w:rsidRPr="00B238CA">
        <w:t xml:space="preserve">be </w:t>
      </w:r>
      <w:r>
        <w:t xml:space="preserve">readily </w:t>
      </w:r>
      <w:r w:rsidRPr="00B238CA">
        <w:t xml:space="preserve">allocated to the specific tasks </w:t>
      </w:r>
      <w:r>
        <w:t xml:space="preserve">that they </w:t>
      </w:r>
      <w:r w:rsidRPr="00B238CA">
        <w:t>perform.</w:t>
      </w:r>
    </w:p>
    <w:p w14:paraId="6E48A959" w14:textId="1D81CC12" w:rsidR="00370DA6" w:rsidRDefault="00370DA6" w:rsidP="003859D2">
      <w:pPr>
        <w:pStyle w:val="TextPara"/>
      </w:pPr>
      <w:r w:rsidRPr="00B238CA">
        <w:t xml:space="preserve">The Call Centres use the ShiftTrack system to </w:t>
      </w:r>
      <w:r w:rsidRPr="003859D2">
        <w:t>perform</w:t>
      </w:r>
      <w:r w:rsidRPr="00B238CA">
        <w:t xml:space="preserve"> call management, workforce management and IVR management functions to achieve similar outcomes to QMS.</w:t>
      </w:r>
    </w:p>
    <w:p w14:paraId="177E87F0" w14:textId="6DF9007C" w:rsidR="000A7CBA" w:rsidRPr="00B238CA" w:rsidRDefault="008535B3" w:rsidP="003859D2">
      <w:pPr>
        <w:pStyle w:val="TextPara"/>
      </w:pPr>
      <w:r>
        <w:t xml:space="preserve">Whilst using this data allows the distribution of costs incurred based on total time and total effort per transaction there is no differentiation in the costs based on resource cost and mode of service. As such a weighted average cost allocation is the outcome producing some level of cross subsidisation. </w:t>
      </w:r>
      <w:r w:rsidR="007F5C05">
        <w:t xml:space="preserve">By way of an </w:t>
      </w:r>
      <w:r w:rsidR="007F5C05">
        <w:lastRenderedPageBreak/>
        <w:t xml:space="preserve">example, </w:t>
      </w:r>
      <w:r w:rsidR="00271833" w:rsidRPr="00271833">
        <w:rPr>
          <w:rFonts w:ascii="Arial" w:hAnsi="Arial"/>
        </w:rPr>
        <w:t xml:space="preserve">if a fee group consumed </w:t>
      </w:r>
      <w:r w:rsidR="007F5C05">
        <w:t>100,000 minutes (because there were 5,000 services and they took 5 minutes on average and the total of all services required 2</w:t>
      </w:r>
      <w:r w:rsidR="00352CFC">
        <w:t xml:space="preserve"> million</w:t>
      </w:r>
      <w:r w:rsidR="007F5C05">
        <w:t xml:space="preserve"> minutes, the service would get allocated 5% of the business unit costs. </w:t>
      </w:r>
    </w:p>
    <w:p w14:paraId="7495C0A0" w14:textId="54FC2F6C" w:rsidR="00370DA6" w:rsidRDefault="00370DA6" w:rsidP="00E14276">
      <w:pPr>
        <w:pStyle w:val="TextPara"/>
      </w:pPr>
      <w:r w:rsidRPr="00B238CA">
        <w:t xml:space="preserve">The costs associated with the R&amp;L </w:t>
      </w:r>
      <w:r w:rsidRPr="003859D2">
        <w:t>support</w:t>
      </w:r>
      <w:r w:rsidRPr="00B238CA">
        <w:t xml:space="preserve"> </w:t>
      </w:r>
      <w:r>
        <w:t>business units,</w:t>
      </w:r>
      <w:r w:rsidRPr="00B238CA">
        <w:t xml:space="preserve"> </w:t>
      </w:r>
      <w:r>
        <w:t>which</w:t>
      </w:r>
      <w:r w:rsidRPr="00B238CA">
        <w:t xml:space="preserve"> support the customer facing </w:t>
      </w:r>
      <w:r>
        <w:t>operations</w:t>
      </w:r>
      <w:r w:rsidRPr="00B238CA">
        <w:t xml:space="preserve"> (e.g. R&amp;L management, strategy, business systems)</w:t>
      </w:r>
      <w:r>
        <w:t>,</w:t>
      </w:r>
      <w:r w:rsidRPr="00B238CA">
        <w:t xml:space="preserve"> </w:t>
      </w:r>
      <w:r>
        <w:t>and</w:t>
      </w:r>
      <w:r w:rsidRPr="00B238CA">
        <w:t xml:space="preserve"> corporate </w:t>
      </w:r>
      <w:r>
        <w:t>overheads</w:t>
      </w:r>
      <w:r w:rsidRPr="00B238CA">
        <w:t xml:space="preserve"> are allocated to each </w:t>
      </w:r>
      <w:r>
        <w:t>activity</w:t>
      </w:r>
      <w:r w:rsidRPr="00B238CA">
        <w:t xml:space="preserve"> </w:t>
      </w:r>
      <w:r>
        <w:t xml:space="preserve">based </w:t>
      </w:r>
      <w:r w:rsidRPr="00B238CA">
        <w:t>on the customer</w:t>
      </w:r>
      <w:r>
        <w:t>-</w:t>
      </w:r>
      <w:r w:rsidRPr="00B238CA">
        <w:t xml:space="preserve">facing effort </w:t>
      </w:r>
      <w:r>
        <w:t xml:space="preserve">(transaction count and time) </w:t>
      </w:r>
      <w:r w:rsidRPr="00B238CA">
        <w:t xml:space="preserve">derived from </w:t>
      </w:r>
      <w:r>
        <w:t xml:space="preserve">the </w:t>
      </w:r>
      <w:r w:rsidRPr="00B238CA">
        <w:t>QMS and ShiftTrack</w:t>
      </w:r>
      <w:r>
        <w:t xml:space="preserve"> work management systems</w:t>
      </w:r>
      <w:r w:rsidRPr="00B238CA">
        <w:t>.</w:t>
      </w:r>
      <w:r>
        <w:t xml:space="preserve"> Transactions vary in complexity and hence cost. For example, the average time to service the high-volume licensing transactions at CSCs are:</w:t>
      </w:r>
    </w:p>
    <w:p w14:paraId="69B42A88" w14:textId="77777777" w:rsidR="00CD16D8" w:rsidRDefault="00CD16D8" w:rsidP="00E14276">
      <w:pPr>
        <w:pStyle w:val="TextPara"/>
      </w:pPr>
    </w:p>
    <w:tbl>
      <w:tblPr>
        <w:tblStyle w:val="TableGrid"/>
        <w:tblW w:w="5421" w:type="dxa"/>
        <w:tblInd w:w="108"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2586"/>
        <w:gridCol w:w="2835"/>
      </w:tblGrid>
      <w:tr w:rsidR="00370DA6" w:rsidRPr="009C2218" w14:paraId="641684D3" w14:textId="77777777" w:rsidTr="00667655">
        <w:trPr>
          <w:tblHeader/>
        </w:trPr>
        <w:tc>
          <w:tcPr>
            <w:tcW w:w="2586" w:type="dxa"/>
            <w:tcBorders>
              <w:top w:val="single" w:sz="18" w:space="0" w:color="BFBFBF" w:themeColor="background1" w:themeShade="BF"/>
            </w:tcBorders>
            <w:shd w:val="clear" w:color="auto" w:fill="DDE8F4" w:themeFill="text2" w:themeFillTint="1A"/>
            <w:vAlign w:val="center"/>
          </w:tcPr>
          <w:p w14:paraId="300BBFB9" w14:textId="77777777" w:rsidR="00370DA6" w:rsidRPr="009247F2" w:rsidRDefault="00370DA6" w:rsidP="000D4C17">
            <w:pPr>
              <w:pStyle w:val="TableParagraph"/>
              <w:spacing w:before="40" w:after="40"/>
              <w:rPr>
                <w:szCs w:val="18"/>
              </w:rPr>
            </w:pPr>
            <w:r w:rsidRPr="001D7765">
              <w:rPr>
                <w:b/>
              </w:rPr>
              <w:t>Transaction Type</w:t>
            </w:r>
          </w:p>
        </w:tc>
        <w:tc>
          <w:tcPr>
            <w:tcW w:w="2835" w:type="dxa"/>
            <w:tcBorders>
              <w:top w:val="single" w:sz="18" w:space="0" w:color="BFBFBF" w:themeColor="background1" w:themeShade="BF"/>
            </w:tcBorders>
            <w:shd w:val="clear" w:color="auto" w:fill="DDE8F4" w:themeFill="text2" w:themeFillTint="1A"/>
            <w:vAlign w:val="center"/>
          </w:tcPr>
          <w:p w14:paraId="4DC6F0F3" w14:textId="77777777" w:rsidR="00370DA6" w:rsidRPr="009247F2" w:rsidRDefault="00370DA6" w:rsidP="000D4C17">
            <w:pPr>
              <w:pStyle w:val="TableParagraph"/>
              <w:spacing w:before="40" w:after="40"/>
              <w:rPr>
                <w:szCs w:val="18"/>
              </w:rPr>
            </w:pPr>
            <w:r w:rsidRPr="001D7765">
              <w:rPr>
                <w:b/>
              </w:rPr>
              <w:t>Ave</w:t>
            </w:r>
            <w:r>
              <w:rPr>
                <w:b/>
              </w:rPr>
              <w:t>rage</w:t>
            </w:r>
            <w:r w:rsidRPr="001D7765">
              <w:rPr>
                <w:b/>
              </w:rPr>
              <w:t xml:space="preserve"> Txn Time (min</w:t>
            </w:r>
            <w:r w:rsidR="00667655">
              <w:rPr>
                <w:b/>
              </w:rPr>
              <w:t>utes</w:t>
            </w:r>
            <w:r w:rsidRPr="001D7765">
              <w:rPr>
                <w:b/>
              </w:rPr>
              <w:t>)</w:t>
            </w:r>
          </w:p>
        </w:tc>
      </w:tr>
      <w:tr w:rsidR="00370DA6" w:rsidRPr="009C2218" w14:paraId="5188CD67" w14:textId="77777777" w:rsidTr="00667655">
        <w:tc>
          <w:tcPr>
            <w:tcW w:w="2586" w:type="dxa"/>
            <w:vAlign w:val="bottom"/>
          </w:tcPr>
          <w:p w14:paraId="4EF277BB" w14:textId="77777777" w:rsidR="00370DA6" w:rsidRPr="009247F2" w:rsidRDefault="00370DA6" w:rsidP="000D4C17">
            <w:pPr>
              <w:pStyle w:val="TableParagraph"/>
              <w:spacing w:before="40" w:after="40"/>
              <w:rPr>
                <w:szCs w:val="18"/>
              </w:rPr>
            </w:pPr>
            <w:r w:rsidRPr="001D7765">
              <w:t xml:space="preserve">Learner Permit Issue </w:t>
            </w:r>
          </w:p>
        </w:tc>
        <w:tc>
          <w:tcPr>
            <w:tcW w:w="2835" w:type="dxa"/>
            <w:vAlign w:val="bottom"/>
          </w:tcPr>
          <w:p w14:paraId="46E81C0C" w14:textId="77777777" w:rsidR="00370DA6" w:rsidRPr="009247F2" w:rsidRDefault="00370DA6" w:rsidP="000D4C17">
            <w:pPr>
              <w:pStyle w:val="TableParagraph"/>
              <w:tabs>
                <w:tab w:val="decimal" w:pos="177"/>
              </w:tabs>
              <w:spacing w:before="40" w:after="40"/>
              <w:jc w:val="center"/>
              <w:rPr>
                <w:szCs w:val="18"/>
              </w:rPr>
            </w:pPr>
            <w:r w:rsidRPr="001D7765">
              <w:t>4.69</w:t>
            </w:r>
          </w:p>
        </w:tc>
      </w:tr>
      <w:tr w:rsidR="00370DA6" w14:paraId="2306219F" w14:textId="77777777" w:rsidTr="00667655">
        <w:tc>
          <w:tcPr>
            <w:tcW w:w="2586" w:type="dxa"/>
            <w:vAlign w:val="bottom"/>
          </w:tcPr>
          <w:p w14:paraId="083CC87B" w14:textId="77777777" w:rsidR="00370DA6" w:rsidRPr="009247F2" w:rsidRDefault="00370DA6" w:rsidP="000D4C17">
            <w:pPr>
              <w:pStyle w:val="TableParagraph"/>
              <w:spacing w:before="40" w:after="40"/>
            </w:pPr>
            <w:r w:rsidRPr="001D7765">
              <w:t xml:space="preserve">Learner Log Replacements </w:t>
            </w:r>
          </w:p>
        </w:tc>
        <w:tc>
          <w:tcPr>
            <w:tcW w:w="2835" w:type="dxa"/>
            <w:vAlign w:val="bottom"/>
          </w:tcPr>
          <w:p w14:paraId="1EE3C4EB" w14:textId="77777777" w:rsidR="00370DA6" w:rsidRPr="009247F2" w:rsidRDefault="00370DA6" w:rsidP="000D4C17">
            <w:pPr>
              <w:pStyle w:val="TableParagraph"/>
              <w:tabs>
                <w:tab w:val="decimal" w:pos="177"/>
              </w:tabs>
              <w:spacing w:before="40" w:after="40"/>
              <w:jc w:val="center"/>
            </w:pPr>
            <w:r w:rsidRPr="001D7765">
              <w:t>2.20</w:t>
            </w:r>
          </w:p>
        </w:tc>
      </w:tr>
      <w:tr w:rsidR="00370DA6" w14:paraId="6047F557" w14:textId="77777777" w:rsidTr="00667655">
        <w:tc>
          <w:tcPr>
            <w:tcW w:w="2586" w:type="dxa"/>
            <w:vAlign w:val="bottom"/>
          </w:tcPr>
          <w:p w14:paraId="3D4497B8" w14:textId="77777777" w:rsidR="00370DA6" w:rsidRPr="001D7765" w:rsidRDefault="00BA6A0D" w:rsidP="000D4C17">
            <w:pPr>
              <w:pStyle w:val="TableParagraph"/>
              <w:spacing w:before="40" w:after="40"/>
            </w:pPr>
            <w:r>
              <w:t>Hazard Perception</w:t>
            </w:r>
            <w:r w:rsidR="00370DA6" w:rsidRPr="001D7765">
              <w:t xml:space="preserve"> Test </w:t>
            </w:r>
          </w:p>
        </w:tc>
        <w:tc>
          <w:tcPr>
            <w:tcW w:w="2835" w:type="dxa"/>
            <w:vAlign w:val="bottom"/>
          </w:tcPr>
          <w:p w14:paraId="0B7D4836" w14:textId="77777777" w:rsidR="00370DA6" w:rsidRPr="001D7765" w:rsidRDefault="00370DA6" w:rsidP="000D4C17">
            <w:pPr>
              <w:pStyle w:val="TableParagraph"/>
              <w:tabs>
                <w:tab w:val="decimal" w:pos="177"/>
              </w:tabs>
              <w:spacing w:before="40" w:after="40"/>
              <w:jc w:val="center"/>
            </w:pPr>
            <w:r w:rsidRPr="001D7765">
              <w:t>10.99</w:t>
            </w:r>
          </w:p>
        </w:tc>
      </w:tr>
      <w:tr w:rsidR="00370DA6" w14:paraId="4D392127" w14:textId="77777777" w:rsidTr="00667655">
        <w:tc>
          <w:tcPr>
            <w:tcW w:w="2586" w:type="dxa"/>
            <w:vAlign w:val="bottom"/>
          </w:tcPr>
          <w:p w14:paraId="439BED83" w14:textId="77777777" w:rsidR="00370DA6" w:rsidRPr="001D7765" w:rsidRDefault="00370DA6" w:rsidP="000D4C17">
            <w:pPr>
              <w:pStyle w:val="TableParagraph"/>
              <w:spacing w:before="40" w:after="40"/>
            </w:pPr>
            <w:r w:rsidRPr="001D7765">
              <w:t xml:space="preserve">Drive Test - Motorcar </w:t>
            </w:r>
          </w:p>
        </w:tc>
        <w:tc>
          <w:tcPr>
            <w:tcW w:w="2835" w:type="dxa"/>
            <w:vAlign w:val="bottom"/>
          </w:tcPr>
          <w:p w14:paraId="4FF38B70" w14:textId="77777777" w:rsidR="00370DA6" w:rsidRPr="001D7765" w:rsidRDefault="00370DA6" w:rsidP="000D4C17">
            <w:pPr>
              <w:pStyle w:val="TableParagraph"/>
              <w:tabs>
                <w:tab w:val="decimal" w:pos="177"/>
              </w:tabs>
              <w:spacing w:before="40" w:after="40"/>
              <w:jc w:val="center"/>
            </w:pPr>
            <w:r w:rsidRPr="001D7765">
              <w:t>45.00</w:t>
            </w:r>
          </w:p>
        </w:tc>
      </w:tr>
      <w:tr w:rsidR="00370DA6" w14:paraId="6043CA39" w14:textId="77777777" w:rsidTr="00667655">
        <w:tc>
          <w:tcPr>
            <w:tcW w:w="2586" w:type="dxa"/>
            <w:tcBorders>
              <w:bottom w:val="single" w:sz="4" w:space="0" w:color="7F7F7F" w:themeColor="text1" w:themeTint="80"/>
            </w:tcBorders>
            <w:vAlign w:val="bottom"/>
          </w:tcPr>
          <w:p w14:paraId="23B9AA5D" w14:textId="77777777" w:rsidR="00370DA6" w:rsidRPr="001D7765" w:rsidRDefault="00370DA6" w:rsidP="000D4C17">
            <w:pPr>
              <w:pStyle w:val="TableParagraph"/>
              <w:spacing w:before="40" w:after="40"/>
            </w:pPr>
            <w:r w:rsidRPr="001D7765">
              <w:t xml:space="preserve">Interstate Licence Conversion </w:t>
            </w:r>
          </w:p>
        </w:tc>
        <w:tc>
          <w:tcPr>
            <w:tcW w:w="2835" w:type="dxa"/>
            <w:tcBorders>
              <w:bottom w:val="single" w:sz="4" w:space="0" w:color="7F7F7F" w:themeColor="text1" w:themeTint="80"/>
            </w:tcBorders>
            <w:vAlign w:val="bottom"/>
          </w:tcPr>
          <w:p w14:paraId="24C9796B" w14:textId="77777777" w:rsidR="00370DA6" w:rsidRPr="001D7765" w:rsidRDefault="00370DA6" w:rsidP="000D4C17">
            <w:pPr>
              <w:pStyle w:val="TableParagraph"/>
              <w:tabs>
                <w:tab w:val="decimal" w:pos="177"/>
              </w:tabs>
              <w:spacing w:before="40" w:after="40"/>
              <w:jc w:val="center"/>
            </w:pPr>
            <w:r w:rsidRPr="001D7765">
              <w:t>10.05</w:t>
            </w:r>
          </w:p>
        </w:tc>
      </w:tr>
      <w:tr w:rsidR="000D4C17" w14:paraId="39603DA8" w14:textId="77777777" w:rsidTr="00667655">
        <w:tc>
          <w:tcPr>
            <w:tcW w:w="2586" w:type="dxa"/>
            <w:tcBorders>
              <w:bottom w:val="single" w:sz="4" w:space="0" w:color="7F7F7F" w:themeColor="text1" w:themeTint="80"/>
            </w:tcBorders>
            <w:vAlign w:val="bottom"/>
          </w:tcPr>
          <w:p w14:paraId="23B1CA12" w14:textId="77777777" w:rsidR="000D4C17" w:rsidRPr="001D7765" w:rsidRDefault="000D4C17" w:rsidP="000D4C17">
            <w:pPr>
              <w:pStyle w:val="TableParagraph"/>
              <w:spacing w:before="40" w:after="40"/>
            </w:pPr>
            <w:r w:rsidRPr="001D7765">
              <w:t xml:space="preserve">Driver Licence Issue - New </w:t>
            </w:r>
          </w:p>
        </w:tc>
        <w:tc>
          <w:tcPr>
            <w:tcW w:w="2835" w:type="dxa"/>
            <w:tcBorders>
              <w:bottom w:val="single" w:sz="4" w:space="0" w:color="7F7F7F" w:themeColor="text1" w:themeTint="80"/>
            </w:tcBorders>
            <w:vAlign w:val="bottom"/>
          </w:tcPr>
          <w:p w14:paraId="76A1D473" w14:textId="77777777" w:rsidR="000D4C17" w:rsidRPr="001D7765" w:rsidRDefault="000D4C17" w:rsidP="000D4C17">
            <w:pPr>
              <w:pStyle w:val="TableParagraph"/>
              <w:tabs>
                <w:tab w:val="decimal" w:pos="177"/>
              </w:tabs>
              <w:spacing w:before="40" w:after="40"/>
              <w:jc w:val="center"/>
            </w:pPr>
            <w:r w:rsidRPr="001D7765">
              <w:t>9.04</w:t>
            </w:r>
          </w:p>
        </w:tc>
      </w:tr>
      <w:tr w:rsidR="000D4C17" w14:paraId="40ADDD38" w14:textId="77777777" w:rsidTr="00667655">
        <w:tc>
          <w:tcPr>
            <w:tcW w:w="2586" w:type="dxa"/>
            <w:tcBorders>
              <w:bottom w:val="single" w:sz="18" w:space="0" w:color="BFBFBF" w:themeColor="background1" w:themeShade="BF"/>
            </w:tcBorders>
            <w:vAlign w:val="bottom"/>
          </w:tcPr>
          <w:p w14:paraId="3C2A35DD" w14:textId="77777777" w:rsidR="000D4C17" w:rsidRPr="001D7765" w:rsidRDefault="000D4C17" w:rsidP="000D4C17">
            <w:pPr>
              <w:pStyle w:val="TableParagraph"/>
              <w:spacing w:before="40" w:after="40"/>
            </w:pPr>
            <w:r>
              <w:t xml:space="preserve">Driver </w:t>
            </w:r>
            <w:r w:rsidRPr="001D7765">
              <w:t>Licen</w:t>
            </w:r>
            <w:r>
              <w:t>c</w:t>
            </w:r>
            <w:r w:rsidRPr="001D7765">
              <w:t xml:space="preserve">e Renewal </w:t>
            </w:r>
          </w:p>
        </w:tc>
        <w:tc>
          <w:tcPr>
            <w:tcW w:w="2835" w:type="dxa"/>
            <w:tcBorders>
              <w:bottom w:val="single" w:sz="18" w:space="0" w:color="BFBFBF" w:themeColor="background1" w:themeShade="BF"/>
            </w:tcBorders>
            <w:vAlign w:val="bottom"/>
          </w:tcPr>
          <w:p w14:paraId="3A614557" w14:textId="77777777" w:rsidR="000D4C17" w:rsidRPr="001D7765" w:rsidRDefault="000D4C17" w:rsidP="000D4C17">
            <w:pPr>
              <w:pStyle w:val="TableParagraph"/>
              <w:tabs>
                <w:tab w:val="decimal" w:pos="177"/>
              </w:tabs>
              <w:spacing w:before="40" w:after="40"/>
              <w:jc w:val="center"/>
            </w:pPr>
            <w:r w:rsidRPr="001D7765">
              <w:t>3.01</w:t>
            </w:r>
          </w:p>
        </w:tc>
      </w:tr>
    </w:tbl>
    <w:p w14:paraId="690C732D" w14:textId="47F98B29" w:rsidR="00F163AB" w:rsidRDefault="00BA6A0D" w:rsidP="00E14276">
      <w:pPr>
        <w:pStyle w:val="TextPara"/>
      </w:pPr>
      <w:r>
        <w:t>The difference in the average duration of these transactions is driven by the activities undertaken in the transaction. For instance, the computer-based hazard perception test</w:t>
      </w:r>
      <w:r w:rsidR="00F9110F">
        <w:t xml:space="preserve">, which takes </w:t>
      </w:r>
      <w:r w:rsidR="005103AC">
        <w:t>11</w:t>
      </w:r>
      <w:r w:rsidR="00F9110F">
        <w:t xml:space="preserve"> minutes on average,</w:t>
      </w:r>
      <w:r>
        <w:t xml:space="preserve"> includes conducting </w:t>
      </w:r>
      <w:r w:rsidR="00902A20">
        <w:t>an evidence of identity check, administering the test and evaluating the test results. The drive test</w:t>
      </w:r>
      <w:r w:rsidR="00F9110F">
        <w:t>, which takes 45 minutes on average,</w:t>
      </w:r>
      <w:r w:rsidR="00902A20">
        <w:t xml:space="preserve"> includes an evidence of identity check, verifying the logbook, conducting an eye-test, inspecting the vehicle to be used for the drive test, conducting the on-road drive test, and writing the drive test assessment report.</w:t>
      </w:r>
    </w:p>
    <w:p w14:paraId="1DAB6A47" w14:textId="77777777" w:rsidR="00370DA6" w:rsidRPr="007B589C" w:rsidRDefault="00370DA6" w:rsidP="00E14276">
      <w:pPr>
        <w:pStyle w:val="TextPara"/>
      </w:pPr>
      <w:r w:rsidRPr="00E14276">
        <w:t>Major third-party contracts (e.g. licence cards, plates, mail receipt and processing, print and post, ag</w:t>
      </w:r>
      <w:r w:rsidRPr="002F5E4F">
        <w:t>ency fees, merchant fees)</w:t>
      </w:r>
      <w:r w:rsidRPr="007B589C" w:rsidDel="0024257B">
        <w:t xml:space="preserve"> </w:t>
      </w:r>
      <w:r w:rsidRPr="007B589C">
        <w:t xml:space="preserve">are allocated directly to the applicable service. </w:t>
      </w:r>
    </w:p>
    <w:p w14:paraId="5418F2F8" w14:textId="77777777" w:rsidR="00370DA6" w:rsidRDefault="00370DA6" w:rsidP="003859D2">
      <w:pPr>
        <w:pStyle w:val="TextPara"/>
      </w:pPr>
      <w:r>
        <w:t>Information t</w:t>
      </w:r>
      <w:r w:rsidRPr="00B238CA">
        <w:t xml:space="preserve">echnology related costs (e.g. systems depreciation, operational support, and systems upkeep) are allocated to each service based on a combination of transaction volumes and transaction complexity (e.g. look-up transactions have a lower weight than </w:t>
      </w:r>
      <w:r w:rsidRPr="003859D2">
        <w:t>transactions</w:t>
      </w:r>
      <w:r w:rsidRPr="00B238CA">
        <w:t xml:space="preserve"> that involve processing, updating and calculating) to reflect the impost a transaction places on the </w:t>
      </w:r>
      <w:r>
        <w:t>technology</w:t>
      </w:r>
      <w:r w:rsidRPr="00B238CA">
        <w:t xml:space="preserve"> environment</w:t>
      </w:r>
      <w:r w:rsidRPr="00142671">
        <w:t>.</w:t>
      </w:r>
    </w:p>
    <w:p w14:paraId="5A4E9AF6" w14:textId="77777777" w:rsidR="00271833" w:rsidRPr="00271833" w:rsidRDefault="00271833" w:rsidP="00271833">
      <w:pPr>
        <w:spacing w:before="120" w:line="280" w:lineRule="exact"/>
        <w:rPr>
          <w:rFonts w:ascii="Segoe UI" w:hAnsi="Segoe UI"/>
        </w:rPr>
      </w:pPr>
      <w:r w:rsidRPr="00271833">
        <w:rPr>
          <w:rFonts w:ascii="Segoe UI" w:hAnsi="Segoe UI"/>
        </w:rPr>
        <w:t>Due to the data activity inadequacies articulated above it has not been possible to use a bottom-up methodology to determine a cost build. What has been possible is to arrive at a distribution of the total cost to operate the R&amp;L business against the services delivered to customers. In essence, apart from the direct allocation of third-party contracted costs to specific services, the QMS and ShiftTrack data identifies the total effort (transaction volume multiplied by the average transaction time taken) expended by the customer-facing business units (CSCs, Call Centres etc.) in delivering each fee group. Additionally, the customer-facing effort data is used to allocate the back-office and corporate overhead costs to individual services. The IT costs are allocated to individual services based on transaction count and system complexity. There is no differentiation between the mode of service (e.g. whether a person has their licence renewed at an Australia Post location or at a CSC).</w:t>
      </w:r>
    </w:p>
    <w:p w14:paraId="6991F58B" w14:textId="77777777" w:rsidR="00370DA6" w:rsidRDefault="00370DA6" w:rsidP="00370DA6">
      <w:pPr>
        <w:pStyle w:val="Heading3"/>
        <w:spacing w:before="240"/>
      </w:pPr>
      <w:bookmarkStart w:id="696" w:name="_Toc4084215"/>
      <w:bookmarkStart w:id="697" w:name="_Toc10703501"/>
      <w:r>
        <w:t>Secondary allocation</w:t>
      </w:r>
      <w:bookmarkEnd w:id="696"/>
      <w:bookmarkEnd w:id="697"/>
    </w:p>
    <w:p w14:paraId="1F85D780" w14:textId="77777777" w:rsidR="00370DA6" w:rsidRDefault="00370DA6" w:rsidP="003859D2">
      <w:pPr>
        <w:pStyle w:val="TextPara"/>
      </w:pPr>
      <w:r w:rsidRPr="00B238CA">
        <w:t xml:space="preserve">VicRoads incurs costs to manage the billing, collection and accounting of </w:t>
      </w:r>
      <w:r>
        <w:t xml:space="preserve">the </w:t>
      </w:r>
      <w:r w:rsidRPr="00B238CA">
        <w:t xml:space="preserve">TAC </w:t>
      </w:r>
      <w:r>
        <w:t xml:space="preserve">charge </w:t>
      </w:r>
      <w:r w:rsidRPr="00B238CA">
        <w:t>(third party insurance</w:t>
      </w:r>
      <w:r>
        <w:t>) and the Victorian Government stamp duty</w:t>
      </w:r>
      <w:r w:rsidRPr="00B238CA">
        <w:t xml:space="preserve"> payments </w:t>
      </w:r>
      <w:r>
        <w:t xml:space="preserve">receipted </w:t>
      </w:r>
      <w:r w:rsidRPr="00B238CA">
        <w:t xml:space="preserve">through registration issue and renewal. To reflect the </w:t>
      </w:r>
      <w:r w:rsidRPr="003859D2">
        <w:t>costs</w:t>
      </w:r>
      <w:r w:rsidRPr="00B238CA">
        <w:t xml:space="preserve"> </w:t>
      </w:r>
      <w:r>
        <w:t>incurred to support</w:t>
      </w:r>
      <w:r w:rsidRPr="00B238CA">
        <w:t xml:space="preserve"> this activity a</w:t>
      </w:r>
      <w:r>
        <w:t xml:space="preserve"> </w:t>
      </w:r>
      <w:r w:rsidRPr="00B238CA">
        <w:t xml:space="preserve">portion of the costs to deliver the registration </w:t>
      </w:r>
      <w:r w:rsidRPr="00B238CA">
        <w:lastRenderedPageBreak/>
        <w:t>issue and renewal service has been allocated (based on the share of revenues collected) against the processing revenues that VicRoads has received</w:t>
      </w:r>
      <w:r>
        <w:t>.</w:t>
      </w:r>
    </w:p>
    <w:p w14:paraId="6CA90298" w14:textId="77777777" w:rsidR="00370DA6" w:rsidRPr="00142671" w:rsidRDefault="00370DA6" w:rsidP="00370DA6">
      <w:pPr>
        <w:pStyle w:val="TextPara"/>
      </w:pPr>
    </w:p>
    <w:p w14:paraId="586EC509" w14:textId="77777777" w:rsidR="00370DA6" w:rsidRPr="00117C96" w:rsidRDefault="00370DA6" w:rsidP="00370DA6">
      <w:pPr>
        <w:pStyle w:val="Heading1"/>
        <w:pageBreakBefore/>
        <w:spacing w:before="240" w:after="240"/>
      </w:pPr>
      <w:bookmarkStart w:id="698" w:name="_Toc4084216"/>
      <w:bookmarkStart w:id="699" w:name="_Toc10703502"/>
      <w:r w:rsidRPr="00D274F5">
        <w:lastRenderedPageBreak/>
        <w:t>Regulated Fee Activities and Other Activities</w:t>
      </w:r>
      <w:bookmarkEnd w:id="698"/>
      <w:bookmarkEnd w:id="699"/>
    </w:p>
    <w:p w14:paraId="2C89DB90" w14:textId="77777777" w:rsidR="00370DA6" w:rsidRPr="00E8723A" w:rsidRDefault="00370DA6" w:rsidP="00370DA6">
      <w:pPr>
        <w:pStyle w:val="Heading2"/>
        <w:spacing w:before="240" w:after="180"/>
      </w:pPr>
      <w:bookmarkStart w:id="700" w:name="_Toc4084217"/>
      <w:bookmarkStart w:id="701" w:name="_Toc10703503"/>
      <w:r w:rsidRPr="00E8723A">
        <w:t>Categories of Activities</w:t>
      </w:r>
      <w:bookmarkEnd w:id="700"/>
      <w:bookmarkEnd w:id="701"/>
    </w:p>
    <w:p w14:paraId="3FB8EF5D" w14:textId="77777777" w:rsidR="00370DA6" w:rsidRPr="00B238CA" w:rsidRDefault="00370DA6" w:rsidP="007265B8">
      <w:pPr>
        <w:pStyle w:val="TextPara"/>
        <w:spacing w:before="0" w:line="276" w:lineRule="auto"/>
        <w:rPr>
          <w:rFonts w:cs="Segoe UI"/>
          <w:szCs w:val="20"/>
        </w:rPr>
      </w:pPr>
      <w:r w:rsidRPr="00B238CA">
        <w:rPr>
          <w:rFonts w:cs="Segoe UI"/>
          <w:szCs w:val="20"/>
        </w:rPr>
        <w:t>There are three categories of activities for which fees are prescribed in the proposed regulations.</w:t>
      </w:r>
    </w:p>
    <w:p w14:paraId="34C3AAA3" w14:textId="77777777" w:rsidR="00370DA6" w:rsidRPr="007A58C4" w:rsidRDefault="00370DA6" w:rsidP="00370DA6">
      <w:pPr>
        <w:pStyle w:val="TextPara"/>
        <w:numPr>
          <w:ilvl w:val="0"/>
          <w:numId w:val="17"/>
        </w:numPr>
        <w:spacing w:before="0" w:line="276" w:lineRule="auto"/>
        <w:rPr>
          <w:rFonts w:cs="Segoe UI"/>
          <w:b/>
          <w:szCs w:val="20"/>
        </w:rPr>
      </w:pPr>
      <w:r w:rsidRPr="007A58C4">
        <w:rPr>
          <w:rFonts w:cs="Segoe UI"/>
          <w:b/>
          <w:szCs w:val="20"/>
        </w:rPr>
        <w:t>Services Groups</w:t>
      </w:r>
    </w:p>
    <w:p w14:paraId="5175FF9D" w14:textId="09CFCC87" w:rsidR="00370DA6" w:rsidRPr="00B238CA" w:rsidRDefault="00370DA6" w:rsidP="007265B8">
      <w:pPr>
        <w:pStyle w:val="TextPara"/>
        <w:spacing w:before="0" w:line="276" w:lineRule="auto"/>
        <w:rPr>
          <w:rFonts w:cs="Segoe UI"/>
          <w:szCs w:val="20"/>
        </w:rPr>
      </w:pPr>
      <w:r w:rsidRPr="00B238CA">
        <w:rPr>
          <w:rFonts w:cs="Segoe UI"/>
          <w:szCs w:val="20"/>
        </w:rPr>
        <w:t xml:space="preserve">Many individual services that VicRoads provides to customers in supporting the </w:t>
      </w:r>
      <w:r w:rsidRPr="00E8723A">
        <w:rPr>
          <w:rFonts w:cs="Segoe UI"/>
          <w:i/>
          <w:szCs w:val="20"/>
        </w:rPr>
        <w:t>RSA</w:t>
      </w:r>
      <w:r w:rsidRPr="00B238CA">
        <w:rPr>
          <w:rFonts w:cs="Segoe UI"/>
          <w:szCs w:val="20"/>
        </w:rPr>
        <w:t xml:space="preserve"> objectives (refer to </w:t>
      </w:r>
      <w:r>
        <w:rPr>
          <w:rFonts w:cs="Segoe UI"/>
          <w:b/>
          <w:szCs w:val="20"/>
        </w:rPr>
        <w:fldChar w:fldCharType="begin"/>
      </w:r>
      <w:r>
        <w:rPr>
          <w:rFonts w:cs="Segoe UI"/>
          <w:szCs w:val="20"/>
        </w:rPr>
        <w:instrText xml:space="preserve"> REF _Ref505071030 \h </w:instrText>
      </w:r>
      <w:r w:rsidR="00847222">
        <w:rPr>
          <w:rFonts w:cs="Segoe UI"/>
          <w:b/>
          <w:szCs w:val="20"/>
        </w:rPr>
        <w:instrText xml:space="preserve"> \* MERGEFORMAT </w:instrText>
      </w:r>
      <w:r>
        <w:rPr>
          <w:rFonts w:cs="Segoe UI"/>
          <w:b/>
          <w:szCs w:val="20"/>
        </w:rPr>
      </w:r>
      <w:r>
        <w:rPr>
          <w:rFonts w:cs="Segoe UI"/>
          <w:b/>
          <w:szCs w:val="20"/>
        </w:rPr>
        <w:fldChar w:fldCharType="separate"/>
      </w:r>
      <w:r w:rsidR="00EB4B02" w:rsidRPr="00EB4B02">
        <w:rPr>
          <w:b/>
        </w:rPr>
        <w:t xml:space="preserve">Figure </w:t>
      </w:r>
      <w:r w:rsidR="00EB4B02" w:rsidRPr="00EB4B02">
        <w:rPr>
          <w:b/>
          <w:noProof/>
        </w:rPr>
        <w:t>2</w:t>
      </w:r>
      <w:r w:rsidR="00EB4B02" w:rsidRPr="00EB4B02">
        <w:rPr>
          <w:b/>
        </w:rPr>
        <w:t xml:space="preserve"> </w:t>
      </w:r>
      <w:r w:rsidR="00EB4B02" w:rsidRPr="00117C96">
        <w:t>–</w:t>
      </w:r>
      <w:r w:rsidR="00EB4B02">
        <w:t xml:space="preserve"> VicRoads f</w:t>
      </w:r>
      <w:r w:rsidR="00EB4B02" w:rsidRPr="007C0728">
        <w:t>unctional</w:t>
      </w:r>
      <w:r w:rsidR="00EB4B02" w:rsidRPr="00117C96">
        <w:t xml:space="preserve"> framework</w:t>
      </w:r>
      <w:r>
        <w:rPr>
          <w:rFonts w:cs="Segoe UI"/>
          <w:b/>
          <w:szCs w:val="20"/>
        </w:rPr>
        <w:fldChar w:fldCharType="end"/>
      </w:r>
      <w:r>
        <w:rPr>
          <w:rFonts w:cs="Segoe UI"/>
          <w:b/>
          <w:szCs w:val="20"/>
        </w:rPr>
        <w:t xml:space="preserve"> </w:t>
      </w:r>
      <w:r>
        <w:fldChar w:fldCharType="begin"/>
      </w:r>
      <w:r>
        <w:instrText xml:space="preserve"> PAGEREF _Ref505071030 \p \h </w:instrText>
      </w:r>
      <w:r>
        <w:fldChar w:fldCharType="separate"/>
      </w:r>
      <w:r w:rsidR="00EB4B02">
        <w:rPr>
          <w:noProof/>
        </w:rPr>
        <w:t>on page 31</w:t>
      </w:r>
      <w:r>
        <w:fldChar w:fldCharType="end"/>
      </w:r>
      <w:r>
        <w:t xml:space="preserve"> above</w:t>
      </w:r>
      <w:r w:rsidRPr="00B238CA">
        <w:rPr>
          <w:rFonts w:cs="Segoe UI"/>
          <w:szCs w:val="20"/>
        </w:rPr>
        <w:t xml:space="preserve">) have a common purpose or are similar in nature. </w:t>
      </w:r>
      <w:r>
        <w:rPr>
          <w:rFonts w:cs="Segoe UI"/>
          <w:szCs w:val="20"/>
        </w:rPr>
        <w:t xml:space="preserve">Clusters of related </w:t>
      </w:r>
      <w:r w:rsidRPr="00B238CA">
        <w:rPr>
          <w:rFonts w:cs="Segoe UI"/>
          <w:szCs w:val="20"/>
        </w:rPr>
        <w:t xml:space="preserve">services form a </w:t>
      </w:r>
      <w:r w:rsidRPr="00B238CA">
        <w:rPr>
          <w:rFonts w:cs="Segoe UI"/>
          <w:b/>
          <w:i/>
          <w:szCs w:val="20"/>
        </w:rPr>
        <w:t>Services Group</w:t>
      </w:r>
      <w:r w:rsidRPr="00B238CA">
        <w:rPr>
          <w:rFonts w:cs="Segoe UI"/>
          <w:szCs w:val="20"/>
        </w:rPr>
        <w:t xml:space="preserve"> for the purposes of assessing the applicability and appropriateness of fees against the costs of providing the </w:t>
      </w:r>
      <w:r>
        <w:rPr>
          <w:rFonts w:cs="Segoe UI"/>
          <w:szCs w:val="20"/>
        </w:rPr>
        <w:t>component</w:t>
      </w:r>
      <w:r w:rsidRPr="00B238CA">
        <w:rPr>
          <w:rFonts w:cs="Segoe UI"/>
          <w:szCs w:val="20"/>
        </w:rPr>
        <w:t xml:space="preserve"> services. </w:t>
      </w:r>
    </w:p>
    <w:p w14:paraId="36DC000E" w14:textId="147795CB" w:rsidR="00370DA6" w:rsidRDefault="00370DA6" w:rsidP="001E5145">
      <w:pPr>
        <w:pStyle w:val="TextPara"/>
      </w:pPr>
      <w:r w:rsidRPr="00DB475C">
        <w:t xml:space="preserve">For example, </w:t>
      </w:r>
      <w:r>
        <w:t>the</w:t>
      </w:r>
      <w:r w:rsidRPr="00DB475C">
        <w:t xml:space="preserve"> overseas </w:t>
      </w:r>
      <w:r>
        <w:t>l</w:t>
      </w:r>
      <w:r w:rsidRPr="00DB475C">
        <w:t xml:space="preserve">icence </w:t>
      </w:r>
      <w:r>
        <w:t>c</w:t>
      </w:r>
      <w:r w:rsidRPr="00DB475C">
        <w:t>onversion</w:t>
      </w:r>
      <w:r>
        <w:t xml:space="preserve"> Services Group consists of several component services:</w:t>
      </w:r>
    </w:p>
    <w:p w14:paraId="30FAE0A5" w14:textId="77777777" w:rsidR="00370DA6" w:rsidRDefault="00370DA6" w:rsidP="00370DA6">
      <w:pPr>
        <w:pStyle w:val="Bullet1-Black"/>
      </w:pPr>
      <w:r>
        <w:t xml:space="preserve">providing </w:t>
      </w:r>
      <w:r w:rsidRPr="00DB475C">
        <w:t>customer</w:t>
      </w:r>
      <w:r>
        <w:t xml:space="preserve">s with an appointment for licence conversion and inform them about </w:t>
      </w:r>
      <w:r w:rsidRPr="00DB475C">
        <w:t>the</w:t>
      </w:r>
      <w:r>
        <w:t xml:space="preserve"> applicable</w:t>
      </w:r>
      <w:r w:rsidRPr="00DB475C">
        <w:t xml:space="preserve"> rules</w:t>
      </w:r>
    </w:p>
    <w:p w14:paraId="2388DF54" w14:textId="77777777" w:rsidR="00370DA6" w:rsidRDefault="00370DA6" w:rsidP="00370DA6">
      <w:pPr>
        <w:pStyle w:val="Bullet1-Black"/>
      </w:pPr>
      <w:r>
        <w:t xml:space="preserve">inspecting the overseas licence documentation when </w:t>
      </w:r>
      <w:r w:rsidRPr="00DB475C">
        <w:t xml:space="preserve">they attend </w:t>
      </w:r>
      <w:r>
        <w:t xml:space="preserve">the appointment at </w:t>
      </w:r>
      <w:r w:rsidRPr="00DB475C">
        <w:t>the CSC at the allotted time</w:t>
      </w:r>
      <w:r>
        <w:t xml:space="preserve"> (</w:t>
      </w:r>
      <w:r w:rsidRPr="00DB475C">
        <w:t xml:space="preserve">If </w:t>
      </w:r>
      <w:r>
        <w:t xml:space="preserve">the </w:t>
      </w:r>
      <w:r w:rsidRPr="00DB475C">
        <w:t xml:space="preserve">documentation </w:t>
      </w:r>
      <w:r>
        <w:t xml:space="preserve">requirements are not met, </w:t>
      </w:r>
      <w:r w:rsidRPr="00DB475C">
        <w:t>customer</w:t>
      </w:r>
      <w:r>
        <w:t>s</w:t>
      </w:r>
      <w:r w:rsidRPr="00DB475C">
        <w:t xml:space="preserve"> will need to </w:t>
      </w:r>
      <w:r>
        <w:t>obtain the correct documentation</w:t>
      </w:r>
      <w:r w:rsidRPr="00DB475C">
        <w:t xml:space="preserve"> before the process</w:t>
      </w:r>
      <w:r>
        <w:t xml:space="preserve"> can continue</w:t>
      </w:r>
      <w:r w:rsidRPr="00DB475C">
        <w:t>.</w:t>
      </w:r>
      <w:r>
        <w:t>)</w:t>
      </w:r>
    </w:p>
    <w:p w14:paraId="54EC54A2" w14:textId="77777777" w:rsidR="00370DA6" w:rsidRDefault="00370DA6" w:rsidP="00370DA6">
      <w:pPr>
        <w:pStyle w:val="Bullet1-Black"/>
      </w:pPr>
      <w:r w:rsidRPr="00DB475C">
        <w:t xml:space="preserve">if </w:t>
      </w:r>
      <w:r>
        <w:t xml:space="preserve">the </w:t>
      </w:r>
      <w:r w:rsidRPr="00DB475C">
        <w:t xml:space="preserve">documentation </w:t>
      </w:r>
      <w:r>
        <w:t xml:space="preserve">requirements are met and </w:t>
      </w:r>
      <w:r w:rsidRPr="00DB475C">
        <w:t>they are from a recognised country</w:t>
      </w:r>
      <w:r>
        <w:t xml:space="preserve">, recording approval of grant of licence in DLS, taking a licence photograph and processing the </w:t>
      </w:r>
      <w:r w:rsidRPr="00DB475C">
        <w:t xml:space="preserve">licence </w:t>
      </w:r>
      <w:r>
        <w:t>fee</w:t>
      </w:r>
      <w:r w:rsidRPr="00DB475C">
        <w:t xml:space="preserve"> </w:t>
      </w:r>
      <w:r>
        <w:t>payment</w:t>
      </w:r>
    </w:p>
    <w:p w14:paraId="0977B0C2" w14:textId="77777777" w:rsidR="00370DA6" w:rsidRDefault="00370DA6" w:rsidP="00370DA6">
      <w:pPr>
        <w:pStyle w:val="Bullet1-Black"/>
      </w:pPr>
      <w:r w:rsidRPr="00DB475C">
        <w:t>issu</w:t>
      </w:r>
      <w:r>
        <w:t>ing</w:t>
      </w:r>
      <w:r w:rsidRPr="00DB475C">
        <w:t xml:space="preserve"> a temporary licence </w:t>
      </w:r>
      <w:r>
        <w:t>to customers for use until they receive the licence card</w:t>
      </w:r>
    </w:p>
    <w:p w14:paraId="4FC4B727" w14:textId="77777777" w:rsidR="00370DA6" w:rsidRDefault="00370DA6" w:rsidP="00370DA6">
      <w:pPr>
        <w:pStyle w:val="Bullet1-Black"/>
      </w:pPr>
      <w:r>
        <w:t>printing and posting a</w:t>
      </w:r>
      <w:r w:rsidRPr="00DB475C">
        <w:t xml:space="preserve"> licence </w:t>
      </w:r>
      <w:r>
        <w:t>card to</w:t>
      </w:r>
      <w:r w:rsidRPr="00DB475C">
        <w:t xml:space="preserve"> </w:t>
      </w:r>
      <w:r>
        <w:t>customers within 10 days from payment of the licence fee</w:t>
      </w:r>
      <w:r w:rsidRPr="00DB475C">
        <w:t xml:space="preserve">. </w:t>
      </w:r>
    </w:p>
    <w:p w14:paraId="48B3213E" w14:textId="5BB8F150" w:rsidR="00370DA6" w:rsidRDefault="00370DA6" w:rsidP="00370DA6">
      <w:pPr>
        <w:pStyle w:val="TextPara"/>
      </w:pPr>
      <w:r>
        <w:t xml:space="preserve">(Note: </w:t>
      </w:r>
      <w:r w:rsidRPr="00DB475C">
        <w:t xml:space="preserve">If the </w:t>
      </w:r>
      <w:r w:rsidRPr="001E5145">
        <w:t>customer</w:t>
      </w:r>
      <w:r w:rsidRPr="00DB475C">
        <w:t xml:space="preserve"> is not from a recognised country they need to undertake the </w:t>
      </w:r>
      <w:r>
        <w:t xml:space="preserve">same </w:t>
      </w:r>
      <w:r w:rsidRPr="00DB475C">
        <w:t>test</w:t>
      </w:r>
      <w:r>
        <w:t xml:space="preserve">s as those applicable to </w:t>
      </w:r>
      <w:r w:rsidRPr="00DB475C">
        <w:t>Victorian</w:t>
      </w:r>
      <w:r>
        <w:t xml:space="preserve"> novice drivers</w:t>
      </w:r>
      <w:r w:rsidRPr="00DB475C">
        <w:t xml:space="preserve">. </w:t>
      </w:r>
      <w:r>
        <w:t>Customers who fail the drive test</w:t>
      </w:r>
      <w:r w:rsidRPr="00DB475C">
        <w:t xml:space="preserve"> can</w:t>
      </w:r>
      <w:r>
        <w:t xml:space="preserve"> no longer </w:t>
      </w:r>
      <w:r w:rsidRPr="00DB475C">
        <w:t xml:space="preserve">drive </w:t>
      </w:r>
      <w:r>
        <w:t>using their overseas licence.)</w:t>
      </w:r>
    </w:p>
    <w:p w14:paraId="1B0F2BB5" w14:textId="29F7EFF5" w:rsidR="00370DA6" w:rsidRPr="00117C96" w:rsidRDefault="00370DA6" w:rsidP="001E5145">
      <w:pPr>
        <w:pStyle w:val="TextPara"/>
      </w:pPr>
      <w:r w:rsidRPr="00B238CA">
        <w:t>Refer</w:t>
      </w:r>
      <w:r>
        <w:t xml:space="preserve"> to</w:t>
      </w:r>
      <w:r w:rsidRPr="00B238CA">
        <w:t xml:space="preserve"> </w:t>
      </w:r>
      <w:r>
        <w:t xml:space="preserve">Appendix </w:t>
      </w:r>
      <w:r w:rsidR="0066060E">
        <w:fldChar w:fldCharType="begin"/>
      </w:r>
      <w:r w:rsidR="0066060E">
        <w:instrText xml:space="preserve"> REF _Ref4401881 \r \h </w:instrText>
      </w:r>
      <w:r w:rsidR="0066060E">
        <w:fldChar w:fldCharType="separate"/>
      </w:r>
      <w:r w:rsidR="00EB4B02">
        <w:t>D</w:t>
      </w:r>
      <w:r w:rsidR="0066060E">
        <w:fldChar w:fldCharType="end"/>
      </w:r>
      <w:r w:rsidR="0066060E">
        <w:t xml:space="preserve"> </w:t>
      </w:r>
      <w:r>
        <w:t xml:space="preserve">for a </w:t>
      </w:r>
      <w:r w:rsidRPr="00B238CA">
        <w:t xml:space="preserve">process </w:t>
      </w:r>
      <w:r>
        <w:t>map of the Overseas Licence Conversion Process</w:t>
      </w:r>
      <w:r w:rsidRPr="00DB475C">
        <w:t>.</w:t>
      </w:r>
    </w:p>
    <w:p w14:paraId="300C6C9C" w14:textId="77777777" w:rsidR="00370DA6" w:rsidRPr="00B238CA" w:rsidRDefault="00370DA6" w:rsidP="00370DA6">
      <w:pPr>
        <w:pStyle w:val="TextPara"/>
        <w:numPr>
          <w:ilvl w:val="0"/>
          <w:numId w:val="17"/>
        </w:numPr>
        <w:spacing w:before="0" w:line="276" w:lineRule="auto"/>
        <w:rPr>
          <w:rFonts w:cs="Segoe UI"/>
          <w:b/>
          <w:szCs w:val="20"/>
        </w:rPr>
      </w:pPr>
      <w:r w:rsidRPr="00B238CA">
        <w:rPr>
          <w:rFonts w:cs="Segoe UI"/>
          <w:b/>
          <w:szCs w:val="20"/>
        </w:rPr>
        <w:t>Permissions Groups</w:t>
      </w:r>
    </w:p>
    <w:p w14:paraId="67AF7CCE" w14:textId="77777777" w:rsidR="00370DA6" w:rsidRPr="00B238CA" w:rsidRDefault="00370DA6" w:rsidP="001E5145">
      <w:pPr>
        <w:pStyle w:val="TextPara"/>
      </w:pPr>
      <w:r w:rsidRPr="00B238CA">
        <w:t xml:space="preserve">There are other regulated fees charged to customers that relate to </w:t>
      </w:r>
      <w:r>
        <w:t xml:space="preserve">the granting of </w:t>
      </w:r>
      <w:r w:rsidRPr="00B238CA">
        <w:t>a permission</w:t>
      </w:r>
      <w:r>
        <w:t>. These will</w:t>
      </w:r>
      <w:r w:rsidRPr="00B238CA">
        <w:t xml:space="preserve"> be </w:t>
      </w:r>
      <w:r w:rsidRPr="001E5145">
        <w:t>referred</w:t>
      </w:r>
      <w:r w:rsidRPr="00B238CA">
        <w:t xml:space="preserve"> to as a </w:t>
      </w:r>
      <w:r w:rsidRPr="00B238CA">
        <w:rPr>
          <w:b/>
          <w:i/>
        </w:rPr>
        <w:t>Permissions Group</w:t>
      </w:r>
      <w:r w:rsidRPr="00B238CA">
        <w:t>. These fees are not a charge for a service. For example:</w:t>
      </w:r>
    </w:p>
    <w:p w14:paraId="5253C666" w14:textId="77777777" w:rsidR="00370DA6" w:rsidRPr="00B238CA" w:rsidRDefault="00370DA6" w:rsidP="00370DA6">
      <w:pPr>
        <w:pStyle w:val="Bullet1-Black"/>
      </w:pPr>
      <w:r w:rsidRPr="00B238CA">
        <w:t>learner driver permit – a permission to drive a vehicle under supervision prio</w:t>
      </w:r>
      <w:r>
        <w:t>r to achieving a driver licence</w:t>
      </w:r>
    </w:p>
    <w:p w14:paraId="72EF0F8B" w14:textId="77777777" w:rsidR="00370DA6" w:rsidRPr="00B238CA" w:rsidRDefault="00370DA6" w:rsidP="00370DA6">
      <w:pPr>
        <w:pStyle w:val="Bullet1-Black"/>
      </w:pPr>
      <w:r w:rsidRPr="00B238CA">
        <w:t>club permit registration – a permission to operate an historic motor vehicle on the road for a limited number of days</w:t>
      </w:r>
    </w:p>
    <w:p w14:paraId="58343531" w14:textId="77777777" w:rsidR="00370DA6" w:rsidRPr="00B238CA" w:rsidRDefault="00370DA6" w:rsidP="00370DA6">
      <w:pPr>
        <w:pStyle w:val="Bullet1-Black"/>
      </w:pPr>
      <w:r w:rsidRPr="00B238CA">
        <w:t xml:space="preserve">unregistered vehicle permit (UVP) </w:t>
      </w:r>
      <w:r>
        <w:t>–</w:t>
      </w:r>
      <w:r w:rsidRPr="00B238CA">
        <w:t xml:space="preserve"> a short-term permission to operate an unregistered vehicle on the road for a specific purpose, </w:t>
      </w:r>
      <w:r>
        <w:t>such as</w:t>
      </w:r>
      <w:r w:rsidRPr="00B238CA">
        <w:t xml:space="preserve"> a test drive or for the vehicle to travel to</w:t>
      </w:r>
      <w:r>
        <w:t xml:space="preserve"> undertake a RWC inspection.</w:t>
      </w:r>
    </w:p>
    <w:p w14:paraId="65E96FA4" w14:textId="77777777" w:rsidR="00370DA6" w:rsidRPr="00A37B27" w:rsidRDefault="00370DA6" w:rsidP="00A37B27">
      <w:pPr>
        <w:spacing w:after="60"/>
        <w:rPr>
          <w:rFonts w:ascii="Segoe UI" w:hAnsi="Segoe UI" w:cs="Segoe UI"/>
          <w:szCs w:val="20"/>
        </w:rPr>
      </w:pPr>
      <w:r w:rsidRPr="00A37B27">
        <w:rPr>
          <w:rFonts w:ascii="Segoe UI" w:hAnsi="Segoe UI" w:cs="Segoe UI"/>
          <w:szCs w:val="20"/>
        </w:rPr>
        <w:t xml:space="preserve">The fees for these permissions are often set at amounts that bear a relationship to the registration fees and the licence fees prescribed in the </w:t>
      </w:r>
      <w:r w:rsidRPr="00A37B27">
        <w:rPr>
          <w:rFonts w:ascii="Segoe UI" w:hAnsi="Segoe UI" w:cs="Segoe UI"/>
          <w:i/>
          <w:szCs w:val="20"/>
        </w:rPr>
        <w:t>RSA</w:t>
      </w:r>
      <w:r w:rsidRPr="00A37B27">
        <w:rPr>
          <w:rFonts w:ascii="Segoe UI" w:hAnsi="Segoe UI" w:cs="Segoe UI"/>
          <w:szCs w:val="20"/>
        </w:rPr>
        <w:t xml:space="preserve"> as they are a form of registration or licence.</w:t>
      </w:r>
    </w:p>
    <w:p w14:paraId="476CD46C" w14:textId="77777777" w:rsidR="00370DA6" w:rsidRPr="00B238CA" w:rsidRDefault="00370DA6" w:rsidP="00370DA6">
      <w:pPr>
        <w:pStyle w:val="TextPara"/>
        <w:numPr>
          <w:ilvl w:val="0"/>
          <w:numId w:val="18"/>
        </w:numPr>
        <w:spacing w:before="0" w:line="276" w:lineRule="auto"/>
        <w:rPr>
          <w:rFonts w:cs="Segoe UI"/>
          <w:b/>
          <w:szCs w:val="20"/>
        </w:rPr>
      </w:pPr>
      <w:r w:rsidRPr="00B238CA">
        <w:rPr>
          <w:rFonts w:cs="Segoe UI"/>
          <w:b/>
          <w:szCs w:val="20"/>
        </w:rPr>
        <w:t>Servicing Agreements Groups</w:t>
      </w:r>
    </w:p>
    <w:p w14:paraId="351E1804" w14:textId="77777777" w:rsidR="00370DA6" w:rsidRPr="00B238CA" w:rsidRDefault="00370DA6" w:rsidP="003859D2">
      <w:pPr>
        <w:pStyle w:val="TextPara"/>
      </w:pPr>
      <w:r w:rsidRPr="00B238CA">
        <w:t>There are regulated fees charged to service providers which authori</w:t>
      </w:r>
      <w:r>
        <w:t>ses</w:t>
      </w:r>
      <w:r w:rsidRPr="00B238CA">
        <w:t xml:space="preserve"> them to provide exclusive services under a servicing agreement with VicRoads. They are referred to as </w:t>
      </w:r>
      <w:r w:rsidRPr="00B238CA">
        <w:rPr>
          <w:b/>
          <w:i/>
        </w:rPr>
        <w:t>Servicing Agreements Groups</w:t>
      </w:r>
      <w:r w:rsidRPr="00B238CA">
        <w:t xml:space="preserve">. As with the </w:t>
      </w:r>
      <w:r w:rsidRPr="003859D2">
        <w:t>Permissions</w:t>
      </w:r>
      <w:r w:rsidRPr="00B238CA">
        <w:t xml:space="preserve"> Groups</w:t>
      </w:r>
      <w:r>
        <w:t>,</w:t>
      </w:r>
      <w:r w:rsidRPr="00B238CA">
        <w:t xml:space="preserve"> these fees are not a charge for a service but for the </w:t>
      </w:r>
      <w:r>
        <w:t>authority</w:t>
      </w:r>
      <w:r w:rsidRPr="00B238CA">
        <w:t xml:space="preserve"> to perform a service on behalf of VicRoads. For example:</w:t>
      </w:r>
    </w:p>
    <w:p w14:paraId="5E8C10B1" w14:textId="77777777" w:rsidR="00370DA6" w:rsidRPr="00B238CA" w:rsidRDefault="00370DA6" w:rsidP="00370DA6">
      <w:pPr>
        <w:pStyle w:val="Bullet1-Black"/>
      </w:pPr>
      <w:r w:rsidRPr="00B238CA">
        <w:t>vehicle tes</w:t>
      </w:r>
      <w:r>
        <w:t>ting services provided by Licensed</w:t>
      </w:r>
      <w:r w:rsidRPr="00B238CA">
        <w:t xml:space="preserve"> </w:t>
      </w:r>
      <w:r>
        <w:t>Testers</w:t>
      </w:r>
    </w:p>
    <w:p w14:paraId="3E693BD4" w14:textId="77777777" w:rsidR="00370DA6" w:rsidRPr="00B238CA" w:rsidRDefault="00370DA6" w:rsidP="00370DA6">
      <w:pPr>
        <w:pStyle w:val="Bullet1-Black"/>
      </w:pPr>
      <w:r w:rsidRPr="00B238CA">
        <w:lastRenderedPageBreak/>
        <w:t>vehicle inspection and registration services provided by Dealers who are also known as Licensed Motor Car Traders (LMCTs)</w:t>
      </w:r>
      <w:r>
        <w:t>.</w:t>
      </w:r>
    </w:p>
    <w:p w14:paraId="66291293" w14:textId="77777777" w:rsidR="00370DA6" w:rsidRPr="007767E1" w:rsidRDefault="00370DA6" w:rsidP="00370DA6">
      <w:pPr>
        <w:pStyle w:val="Heading2"/>
        <w:spacing w:before="240" w:after="180"/>
      </w:pPr>
      <w:bookmarkStart w:id="702" w:name="_Toc4084218"/>
      <w:bookmarkStart w:id="703" w:name="_Toc10703504"/>
      <w:r w:rsidRPr="007767E1">
        <w:t>Drivers Regulations</w:t>
      </w:r>
      <w:bookmarkEnd w:id="702"/>
      <w:bookmarkEnd w:id="703"/>
      <w:r w:rsidRPr="007767E1">
        <w:t xml:space="preserve"> </w:t>
      </w:r>
    </w:p>
    <w:p w14:paraId="50BA7415" w14:textId="77777777" w:rsidR="00370DA6" w:rsidRPr="00B238CA" w:rsidRDefault="00370DA6" w:rsidP="00C14F56">
      <w:pPr>
        <w:rPr>
          <w:rFonts w:ascii="Segoe UI" w:hAnsi="Segoe UI" w:cs="Segoe UI"/>
          <w:szCs w:val="20"/>
        </w:rPr>
      </w:pPr>
      <w:r w:rsidRPr="00B238CA">
        <w:rPr>
          <w:rFonts w:ascii="Segoe UI" w:hAnsi="Segoe UI" w:cs="Segoe UI"/>
          <w:szCs w:val="20"/>
        </w:rPr>
        <w:t>The following sections provide an overview of the Services Groups</w:t>
      </w:r>
      <w:r>
        <w:rPr>
          <w:rFonts w:ascii="Segoe UI" w:hAnsi="Segoe UI" w:cs="Segoe UI"/>
          <w:szCs w:val="20"/>
        </w:rPr>
        <w:t xml:space="preserve"> and </w:t>
      </w:r>
      <w:r w:rsidRPr="00B238CA">
        <w:rPr>
          <w:rFonts w:ascii="Segoe UI" w:hAnsi="Segoe UI" w:cs="Segoe UI"/>
          <w:szCs w:val="20"/>
        </w:rPr>
        <w:t xml:space="preserve">Permissions Groups featured in the proposed </w:t>
      </w:r>
      <w:r w:rsidRPr="00BB0059">
        <w:rPr>
          <w:rFonts w:ascii="Segoe UI" w:hAnsi="Segoe UI" w:cs="Segoe UI"/>
          <w:szCs w:val="20"/>
        </w:rPr>
        <w:t>Road Safety (Drivers) Regulations 2019</w:t>
      </w:r>
      <w:r w:rsidRPr="00B238CA">
        <w:rPr>
          <w:rFonts w:ascii="Segoe UI" w:hAnsi="Segoe UI" w:cs="Segoe UI"/>
          <w:szCs w:val="20"/>
        </w:rPr>
        <w:t>. Each group is reviewed in this RIS.</w:t>
      </w:r>
      <w:r>
        <w:rPr>
          <w:rFonts w:ascii="Segoe UI" w:hAnsi="Segoe UI" w:cs="Segoe UI"/>
          <w:szCs w:val="20"/>
        </w:rPr>
        <w:t xml:space="preserve"> There are no Servicing Agreement Groups related to these regulations.</w:t>
      </w:r>
    </w:p>
    <w:p w14:paraId="1C042BF0" w14:textId="77777777" w:rsidR="00370DA6" w:rsidRPr="000C1206" w:rsidRDefault="00370DA6" w:rsidP="00370DA6">
      <w:pPr>
        <w:pStyle w:val="Heading3"/>
        <w:spacing w:before="240"/>
      </w:pPr>
      <w:bookmarkStart w:id="704" w:name="_Toc4084219"/>
      <w:bookmarkStart w:id="705" w:name="_Toc10703505"/>
      <w:r w:rsidRPr="000C1206">
        <w:t>Services Groups</w:t>
      </w:r>
      <w:bookmarkEnd w:id="704"/>
      <w:bookmarkEnd w:id="705"/>
    </w:p>
    <w:p w14:paraId="671655A6" w14:textId="5C2258EF" w:rsidR="00370DA6" w:rsidRDefault="00204712" w:rsidP="00DF3451">
      <w:pPr>
        <w:pStyle w:val="TextPara"/>
        <w:rPr>
          <w:rFonts w:cs="Segoe UI"/>
        </w:rPr>
      </w:pPr>
      <w:r>
        <w:rPr>
          <w:rFonts w:cs="Segoe UI"/>
        </w:rPr>
        <w:fldChar w:fldCharType="begin"/>
      </w:r>
      <w:r>
        <w:rPr>
          <w:rFonts w:cs="Segoe UI"/>
        </w:rPr>
        <w:instrText xml:space="preserve"> REF _Ref4404829 \h </w:instrText>
      </w:r>
      <w:r>
        <w:rPr>
          <w:rFonts w:cs="Segoe UI"/>
        </w:rPr>
      </w:r>
      <w:r>
        <w:rPr>
          <w:rFonts w:cs="Segoe UI"/>
        </w:rPr>
        <w:fldChar w:fldCharType="separate"/>
      </w:r>
      <w:r w:rsidR="00EB4B02">
        <w:t xml:space="preserve">Table </w:t>
      </w:r>
      <w:r w:rsidR="00EB4B02">
        <w:rPr>
          <w:noProof/>
        </w:rPr>
        <w:t>46</w:t>
      </w:r>
      <w:r>
        <w:rPr>
          <w:rFonts w:cs="Segoe UI"/>
        </w:rPr>
        <w:fldChar w:fldCharType="end"/>
      </w:r>
      <w:r>
        <w:rPr>
          <w:rFonts w:cs="Segoe UI"/>
        </w:rPr>
        <w:t xml:space="preserve"> </w:t>
      </w:r>
      <w:r w:rsidR="00370DA6">
        <w:rPr>
          <w:rFonts w:cs="Segoe UI"/>
        </w:rPr>
        <w:t>provides a list of S</w:t>
      </w:r>
      <w:r w:rsidR="00370DA6" w:rsidRPr="00117C96">
        <w:rPr>
          <w:rFonts w:cs="Segoe UI"/>
        </w:rPr>
        <w:t xml:space="preserve">ervice </w:t>
      </w:r>
      <w:r w:rsidR="00370DA6">
        <w:rPr>
          <w:rFonts w:cs="Segoe UI"/>
        </w:rPr>
        <w:t>G</w:t>
      </w:r>
      <w:r w:rsidR="00370DA6" w:rsidRPr="00117C96">
        <w:rPr>
          <w:rFonts w:cs="Segoe UI"/>
        </w:rPr>
        <w:t xml:space="preserve">roups </w:t>
      </w:r>
      <w:r w:rsidR="00370DA6">
        <w:rPr>
          <w:rFonts w:cs="Segoe UI"/>
        </w:rPr>
        <w:t xml:space="preserve">and the related services that </w:t>
      </w:r>
      <w:r w:rsidR="00370DA6" w:rsidRPr="00117C96">
        <w:rPr>
          <w:rFonts w:cs="Segoe UI"/>
        </w:rPr>
        <w:t xml:space="preserve">support the </w:t>
      </w:r>
      <w:r w:rsidR="00370DA6" w:rsidRPr="00583E1C">
        <w:rPr>
          <w:rFonts w:cs="Segoe UI"/>
          <w:i/>
        </w:rPr>
        <w:t>Safe Drivers</w:t>
      </w:r>
      <w:r w:rsidR="00370DA6" w:rsidRPr="00117C96">
        <w:rPr>
          <w:rFonts w:cs="Segoe UI"/>
        </w:rPr>
        <w:t xml:space="preserve"> functions</w:t>
      </w:r>
      <w:r w:rsidR="00370DA6">
        <w:rPr>
          <w:rFonts w:cs="Segoe UI"/>
        </w:rPr>
        <w:t xml:space="preserve"> shown</w:t>
      </w:r>
      <w:r w:rsidR="00370DA6" w:rsidRPr="00117C96">
        <w:rPr>
          <w:rFonts w:cs="Segoe UI"/>
        </w:rPr>
        <w:t xml:space="preserve"> </w:t>
      </w:r>
      <w:r w:rsidR="00370DA6">
        <w:rPr>
          <w:rFonts w:cs="Segoe UI"/>
        </w:rPr>
        <w:t>in the functional framework</w:t>
      </w:r>
      <w:r w:rsidR="00370DA6" w:rsidRPr="00117C96">
        <w:rPr>
          <w:rFonts w:cs="Segoe UI"/>
        </w:rPr>
        <w:t xml:space="preserve"> </w:t>
      </w:r>
      <w:r w:rsidR="00370DA6">
        <w:rPr>
          <w:rFonts w:cs="Segoe UI"/>
        </w:rPr>
        <w:t xml:space="preserve">in </w:t>
      </w:r>
      <w:r w:rsidR="00370DA6">
        <w:fldChar w:fldCharType="begin"/>
      </w:r>
      <w:r w:rsidR="00370DA6">
        <w:rPr>
          <w:rFonts w:cs="Segoe UI"/>
        </w:rPr>
        <w:instrText xml:space="preserve"> REF _Ref505071016 \h </w:instrText>
      </w:r>
      <w:r w:rsidR="00370DA6">
        <w:fldChar w:fldCharType="separate"/>
      </w:r>
      <w:r w:rsidR="00EB4B02" w:rsidRPr="00117C96">
        <w:t xml:space="preserve">Figure </w:t>
      </w:r>
      <w:r w:rsidR="00EB4B02">
        <w:rPr>
          <w:noProof/>
        </w:rPr>
        <w:t>2</w:t>
      </w:r>
      <w:r w:rsidR="00370DA6">
        <w:fldChar w:fldCharType="end"/>
      </w:r>
      <w:r w:rsidR="00370DA6">
        <w:t xml:space="preserve"> </w:t>
      </w:r>
      <w:r w:rsidR="00370DA6">
        <w:fldChar w:fldCharType="begin"/>
      </w:r>
      <w:r w:rsidR="00370DA6">
        <w:instrText xml:space="preserve"> PAGEREF _Ref505071030 \p \h </w:instrText>
      </w:r>
      <w:r w:rsidR="00370DA6">
        <w:fldChar w:fldCharType="separate"/>
      </w:r>
      <w:r w:rsidR="00EB4B02">
        <w:rPr>
          <w:noProof/>
        </w:rPr>
        <w:t>on page 31</w:t>
      </w:r>
      <w:r w:rsidR="00370DA6">
        <w:fldChar w:fldCharType="end"/>
      </w:r>
      <w:r w:rsidR="00370DA6">
        <w:t xml:space="preserve"> above</w:t>
      </w:r>
      <w:r w:rsidR="00370DA6" w:rsidRPr="00571941">
        <w:rPr>
          <w:rFonts w:cs="Segoe UI"/>
        </w:rPr>
        <w:t>.</w:t>
      </w:r>
    </w:p>
    <w:p w14:paraId="5EE0BBBC" w14:textId="494F243D" w:rsidR="00370DA6" w:rsidRDefault="00370DA6" w:rsidP="00AA0BBA">
      <w:pPr>
        <w:pStyle w:val="Caption"/>
      </w:pPr>
      <w:bookmarkStart w:id="706" w:name="_Ref4404829"/>
      <w:bookmarkStart w:id="707" w:name="_Toc4084328"/>
      <w:bookmarkStart w:id="708" w:name="_Toc10703739"/>
      <w:r>
        <w:t xml:space="preserve">Table </w:t>
      </w:r>
      <w:r>
        <w:rPr>
          <w:noProof/>
        </w:rPr>
        <w:fldChar w:fldCharType="begin"/>
      </w:r>
      <w:r>
        <w:rPr>
          <w:noProof/>
        </w:rPr>
        <w:instrText xml:space="preserve"> SEQ Table \* ARABIC </w:instrText>
      </w:r>
      <w:r>
        <w:rPr>
          <w:noProof/>
        </w:rPr>
        <w:fldChar w:fldCharType="separate"/>
      </w:r>
      <w:r w:rsidR="00EB4B02">
        <w:rPr>
          <w:noProof/>
        </w:rPr>
        <w:t>46</w:t>
      </w:r>
      <w:r>
        <w:rPr>
          <w:noProof/>
        </w:rPr>
        <w:fldChar w:fldCharType="end"/>
      </w:r>
      <w:bookmarkEnd w:id="706"/>
      <w:r>
        <w:t xml:space="preserve"> – Services </w:t>
      </w:r>
      <w:r w:rsidRPr="006D1709">
        <w:t>Groups</w:t>
      </w:r>
      <w:r>
        <w:t xml:space="preserve"> Summary</w:t>
      </w:r>
      <w:bookmarkEnd w:id="707"/>
      <w:bookmarkEnd w:id="708"/>
      <w:r>
        <w:t xml:space="preserve"> </w:t>
      </w:r>
    </w:p>
    <w:tbl>
      <w:tblPr>
        <w:tblStyle w:val="RIS-Table2"/>
        <w:tblW w:w="0" w:type="auto"/>
        <w:tblLayout w:type="fixed"/>
        <w:tblLook w:val="04A0" w:firstRow="1" w:lastRow="0" w:firstColumn="1" w:lastColumn="0" w:noHBand="0" w:noVBand="1"/>
      </w:tblPr>
      <w:tblGrid>
        <w:gridCol w:w="2552"/>
        <w:gridCol w:w="6946"/>
      </w:tblGrid>
      <w:tr w:rsidR="00370DA6" w:rsidRPr="00117C96" w14:paraId="5FF07386" w14:textId="77777777" w:rsidTr="00E2454D">
        <w:trPr>
          <w:cnfStyle w:val="100000000000" w:firstRow="1" w:lastRow="0" w:firstColumn="0" w:lastColumn="0" w:oddVBand="0" w:evenVBand="0" w:oddHBand="0" w:evenHBand="0" w:firstRowFirstColumn="0" w:firstRowLastColumn="0" w:lastRowFirstColumn="0" w:lastRowLastColumn="0"/>
        </w:trPr>
        <w:tc>
          <w:tcPr>
            <w:tcW w:w="2552" w:type="dxa"/>
          </w:tcPr>
          <w:p w14:paraId="6E8F13DB" w14:textId="77777777" w:rsidR="00370DA6" w:rsidRPr="00117C96" w:rsidRDefault="00370DA6" w:rsidP="00C1285E">
            <w:pPr>
              <w:pStyle w:val="TableHeaders"/>
              <w:spacing w:line="276" w:lineRule="auto"/>
            </w:pPr>
            <w:r w:rsidRPr="00117C96">
              <w:t>Service</w:t>
            </w:r>
            <w:r>
              <w:t>s</w:t>
            </w:r>
            <w:r w:rsidRPr="00117C96">
              <w:t xml:space="preserve"> Group</w:t>
            </w:r>
          </w:p>
        </w:tc>
        <w:tc>
          <w:tcPr>
            <w:tcW w:w="6946" w:type="dxa"/>
          </w:tcPr>
          <w:p w14:paraId="01F99C5E" w14:textId="77777777" w:rsidR="00370DA6" w:rsidRPr="00117C96" w:rsidRDefault="00370DA6" w:rsidP="00C1285E">
            <w:pPr>
              <w:pStyle w:val="TableHeaders"/>
              <w:spacing w:line="276" w:lineRule="auto"/>
            </w:pPr>
            <w:r>
              <w:t>Services</w:t>
            </w:r>
          </w:p>
        </w:tc>
      </w:tr>
      <w:tr w:rsidR="00370DA6" w:rsidRPr="006D7776" w14:paraId="3CE30C2A" w14:textId="77777777" w:rsidTr="00E2454D">
        <w:tc>
          <w:tcPr>
            <w:tcW w:w="2552" w:type="dxa"/>
          </w:tcPr>
          <w:p w14:paraId="268CD06C" w14:textId="77777777" w:rsidR="00370DA6" w:rsidRPr="00EA71F6" w:rsidRDefault="00370DA6" w:rsidP="00A37B27">
            <w:pPr>
              <w:pStyle w:val="TableParagraph"/>
              <w:spacing w:line="276" w:lineRule="auto"/>
              <w:rPr>
                <w:b/>
              </w:rPr>
            </w:pPr>
            <w:r>
              <w:rPr>
                <w:rFonts w:cs="Segoe UI"/>
                <w:b/>
              </w:rPr>
              <w:t xml:space="preserve">Licence </w:t>
            </w:r>
            <w:r w:rsidRPr="00C21559">
              <w:rPr>
                <w:rFonts w:cs="Segoe UI"/>
                <w:b/>
              </w:rPr>
              <w:t>and Learner Permit</w:t>
            </w:r>
            <w:r>
              <w:rPr>
                <w:rFonts w:cs="Segoe UI"/>
              </w:rPr>
              <w:t xml:space="preserve"> </w:t>
            </w:r>
            <w:r>
              <w:rPr>
                <w:rFonts w:cs="Segoe UI"/>
                <w:b/>
              </w:rPr>
              <w:t>A</w:t>
            </w:r>
            <w:r w:rsidRPr="00B238CA">
              <w:rPr>
                <w:rFonts w:cs="Segoe UI"/>
                <w:b/>
              </w:rPr>
              <w:t>dministration</w:t>
            </w:r>
          </w:p>
        </w:tc>
        <w:tc>
          <w:tcPr>
            <w:tcW w:w="6946" w:type="dxa"/>
          </w:tcPr>
          <w:p w14:paraId="03248991" w14:textId="77777777" w:rsidR="00370DA6" w:rsidRPr="001E5145" w:rsidRDefault="00370DA6" w:rsidP="00370DA6">
            <w:pPr>
              <w:pStyle w:val="TableList1"/>
              <w:ind w:left="360" w:hanging="360"/>
            </w:pPr>
            <w:r w:rsidRPr="001E5145">
              <w:t>Assessing and processing licence and learner permit exemptions from driver licence or learner permit conditions</w:t>
            </w:r>
          </w:p>
          <w:p w14:paraId="2BBE3A59" w14:textId="77777777" w:rsidR="00370DA6" w:rsidRPr="001E5145" w:rsidRDefault="00370DA6" w:rsidP="00370DA6">
            <w:pPr>
              <w:pStyle w:val="TableList1"/>
              <w:ind w:left="360" w:hanging="360"/>
            </w:pPr>
            <w:r w:rsidRPr="001E5145">
              <w:t>Assessing and processing licence and learner permit conditions, variations and endorsements</w:t>
            </w:r>
          </w:p>
          <w:p w14:paraId="3BD1246D" w14:textId="77777777" w:rsidR="00370DA6" w:rsidRPr="001E5145" w:rsidRDefault="00370DA6" w:rsidP="00370DA6">
            <w:pPr>
              <w:pStyle w:val="TableList1"/>
              <w:ind w:left="360" w:hanging="360"/>
            </w:pPr>
            <w:r w:rsidRPr="001E5145">
              <w:t>Conver</w:t>
            </w:r>
            <w:r>
              <w:t>ting</w:t>
            </w:r>
            <w:r w:rsidRPr="001E5145">
              <w:t xml:space="preserve"> an overseas or interstate licence to a Victorian licence where there is no requirement to undertake a drive test</w:t>
            </w:r>
          </w:p>
          <w:p w14:paraId="616F4E00" w14:textId="77777777" w:rsidR="00370DA6" w:rsidRPr="001E5145" w:rsidRDefault="00370DA6" w:rsidP="00370DA6">
            <w:pPr>
              <w:pStyle w:val="TableList1"/>
              <w:ind w:left="360" w:hanging="360"/>
            </w:pPr>
            <w:r w:rsidRPr="001E5145">
              <w:t xml:space="preserve">Updating </w:t>
            </w:r>
            <w:r>
              <w:t>personal details, e.g.</w:t>
            </w:r>
            <w:r w:rsidRPr="001E5145">
              <w:t xml:space="preserve"> name and address</w:t>
            </w:r>
          </w:p>
          <w:p w14:paraId="06103F21" w14:textId="77777777" w:rsidR="00370DA6" w:rsidRPr="001E5145" w:rsidRDefault="00370DA6" w:rsidP="00370DA6">
            <w:pPr>
              <w:pStyle w:val="TableList1"/>
              <w:ind w:left="360" w:hanging="360"/>
            </w:pPr>
            <w:r>
              <w:t xml:space="preserve">Managing </w:t>
            </w:r>
            <w:r w:rsidRPr="001E5145">
              <w:t>refund</w:t>
            </w:r>
            <w:r>
              <w:t>s</w:t>
            </w:r>
          </w:p>
          <w:p w14:paraId="38528265" w14:textId="77777777" w:rsidR="00370DA6" w:rsidRPr="001E5145" w:rsidRDefault="00370DA6" w:rsidP="00370DA6">
            <w:pPr>
              <w:pStyle w:val="TableList1"/>
              <w:ind w:left="360" w:hanging="360"/>
            </w:pPr>
            <w:r w:rsidRPr="001E5145">
              <w:t>Replac</w:t>
            </w:r>
            <w:r>
              <w:t>ing</w:t>
            </w:r>
            <w:r w:rsidRPr="001E5145">
              <w:t xml:space="preserve"> licence and learner permit cards</w:t>
            </w:r>
          </w:p>
          <w:p w14:paraId="50613961" w14:textId="77777777" w:rsidR="00370DA6" w:rsidRPr="001E5145" w:rsidRDefault="00370DA6" w:rsidP="00370DA6">
            <w:pPr>
              <w:pStyle w:val="TableList1"/>
              <w:ind w:left="360" w:hanging="360"/>
            </w:pPr>
            <w:r w:rsidRPr="001E5145">
              <w:t>Replac</w:t>
            </w:r>
            <w:r>
              <w:t>ing</w:t>
            </w:r>
            <w:r w:rsidRPr="001E5145">
              <w:t xml:space="preserve"> learner log book</w:t>
            </w:r>
          </w:p>
        </w:tc>
      </w:tr>
      <w:tr w:rsidR="00370DA6" w:rsidRPr="006D7776" w14:paraId="28A9EA0D" w14:textId="77777777" w:rsidTr="00E2454D">
        <w:trPr>
          <w:cnfStyle w:val="000000010000" w:firstRow="0" w:lastRow="0" w:firstColumn="0" w:lastColumn="0" w:oddVBand="0" w:evenVBand="0" w:oddHBand="0" w:evenHBand="1" w:firstRowFirstColumn="0" w:firstRowLastColumn="0" w:lastRowFirstColumn="0" w:lastRowLastColumn="0"/>
        </w:trPr>
        <w:tc>
          <w:tcPr>
            <w:tcW w:w="2552" w:type="dxa"/>
          </w:tcPr>
          <w:p w14:paraId="6D567D7F" w14:textId="77777777" w:rsidR="00370DA6" w:rsidRPr="00EA71F6" w:rsidRDefault="00370DA6" w:rsidP="00A37B27">
            <w:pPr>
              <w:pStyle w:val="TableParagraph"/>
              <w:spacing w:line="276" w:lineRule="auto"/>
              <w:rPr>
                <w:b/>
              </w:rPr>
            </w:pPr>
            <w:r>
              <w:rPr>
                <w:rFonts w:cs="Segoe UI"/>
                <w:b/>
              </w:rPr>
              <w:t>Medical fitness-to-drive R</w:t>
            </w:r>
            <w:r w:rsidRPr="00B238CA">
              <w:rPr>
                <w:rFonts w:cs="Segoe UI"/>
                <w:b/>
              </w:rPr>
              <w:t>eview</w:t>
            </w:r>
          </w:p>
        </w:tc>
        <w:tc>
          <w:tcPr>
            <w:tcW w:w="6946" w:type="dxa"/>
          </w:tcPr>
          <w:p w14:paraId="2A1973F7" w14:textId="77777777" w:rsidR="00370DA6" w:rsidRPr="001E5145" w:rsidRDefault="00370DA6" w:rsidP="00370DA6">
            <w:pPr>
              <w:pStyle w:val="TableList1"/>
              <w:ind w:left="360" w:hanging="360"/>
            </w:pPr>
            <w:r w:rsidRPr="001E5145">
              <w:t>Assess</w:t>
            </w:r>
            <w:r>
              <w:t>ing</w:t>
            </w:r>
            <w:r w:rsidRPr="001E5145">
              <w:t xml:space="preserve"> notifications and prioritise cases according to risk</w:t>
            </w:r>
          </w:p>
          <w:p w14:paraId="2D8283E7" w14:textId="77777777" w:rsidR="00370DA6" w:rsidRPr="001E5145" w:rsidRDefault="00370DA6" w:rsidP="00370DA6">
            <w:pPr>
              <w:pStyle w:val="TableList1"/>
              <w:ind w:left="360" w:hanging="360"/>
            </w:pPr>
            <w:r w:rsidRPr="001E5145">
              <w:t>Assess</w:t>
            </w:r>
            <w:r>
              <w:t>ing</w:t>
            </w:r>
            <w:r w:rsidRPr="001E5145">
              <w:t xml:space="preserve"> a licence holder’s fitness to drive</w:t>
            </w:r>
          </w:p>
          <w:p w14:paraId="030AFF1A" w14:textId="77777777" w:rsidR="00370DA6" w:rsidRPr="00671718" w:rsidRDefault="00370DA6" w:rsidP="00370DA6">
            <w:pPr>
              <w:pStyle w:val="TableList1"/>
              <w:ind w:left="360" w:hanging="360"/>
            </w:pPr>
            <w:r>
              <w:t xml:space="preserve">Scheduling and managing </w:t>
            </w:r>
            <w:r w:rsidRPr="001E5145">
              <w:t>periodic review</w:t>
            </w:r>
            <w:r>
              <w:t>s</w:t>
            </w:r>
          </w:p>
          <w:p w14:paraId="57E9352D" w14:textId="77777777" w:rsidR="00370DA6" w:rsidRPr="001E5145" w:rsidRDefault="00370DA6" w:rsidP="00370DA6">
            <w:pPr>
              <w:pStyle w:val="TableList1"/>
              <w:ind w:left="360" w:hanging="360"/>
            </w:pPr>
            <w:r>
              <w:t xml:space="preserve">Undertaking </w:t>
            </w:r>
            <w:r w:rsidRPr="001E5145">
              <w:t>on-road driving assessment</w:t>
            </w:r>
            <w:r>
              <w:t>s for some medical fitness-to-drive review customers</w:t>
            </w:r>
          </w:p>
        </w:tc>
      </w:tr>
      <w:tr w:rsidR="00370DA6" w:rsidRPr="006D7776" w14:paraId="3AAF5CF7" w14:textId="77777777" w:rsidTr="00E2454D">
        <w:tc>
          <w:tcPr>
            <w:tcW w:w="2552" w:type="dxa"/>
          </w:tcPr>
          <w:p w14:paraId="1984B204" w14:textId="77777777" w:rsidR="00370DA6" w:rsidRPr="00EA71F6" w:rsidRDefault="00370DA6" w:rsidP="00A37B27">
            <w:pPr>
              <w:pStyle w:val="TableParagraph"/>
              <w:spacing w:line="276" w:lineRule="auto"/>
              <w:rPr>
                <w:b/>
              </w:rPr>
            </w:pPr>
            <w:r w:rsidRPr="00B238CA">
              <w:rPr>
                <w:rFonts w:cs="Segoe UI"/>
                <w:b/>
              </w:rPr>
              <w:t>Licence</w:t>
            </w:r>
            <w:r>
              <w:rPr>
                <w:rFonts w:cs="Segoe UI"/>
                <w:b/>
              </w:rPr>
              <w:t xml:space="preserve"> and Learner Permit T</w:t>
            </w:r>
            <w:r w:rsidRPr="00B238CA">
              <w:rPr>
                <w:rFonts w:cs="Segoe UI"/>
                <w:b/>
              </w:rPr>
              <w:t>esting</w:t>
            </w:r>
          </w:p>
        </w:tc>
        <w:tc>
          <w:tcPr>
            <w:tcW w:w="6946" w:type="dxa"/>
          </w:tcPr>
          <w:p w14:paraId="12AE0D43" w14:textId="77777777" w:rsidR="00370DA6" w:rsidRPr="001E5145" w:rsidRDefault="00370DA6" w:rsidP="00370DA6">
            <w:pPr>
              <w:pStyle w:val="TableList1"/>
              <w:ind w:left="360" w:hanging="360"/>
            </w:pPr>
            <w:r w:rsidRPr="001E5145">
              <w:t>Conducting and assessing the Learner Permit Knowledge Test</w:t>
            </w:r>
          </w:p>
          <w:p w14:paraId="3A3F7398" w14:textId="77777777" w:rsidR="00370DA6" w:rsidRPr="001E5145" w:rsidRDefault="00370DA6" w:rsidP="00370DA6">
            <w:pPr>
              <w:pStyle w:val="TableList1"/>
              <w:ind w:left="360" w:hanging="360"/>
            </w:pPr>
            <w:r w:rsidRPr="001E5145">
              <w:t>Conducting and assessing the Heavy Vehicle Knowledge Test</w:t>
            </w:r>
          </w:p>
          <w:p w14:paraId="2F426729" w14:textId="77777777" w:rsidR="00370DA6" w:rsidRPr="001E5145" w:rsidRDefault="00370DA6" w:rsidP="00370DA6">
            <w:pPr>
              <w:pStyle w:val="TableList1"/>
              <w:ind w:left="360" w:hanging="360"/>
            </w:pPr>
            <w:r w:rsidRPr="001E5145">
              <w:t>Conducting and assessing the Hazard Perception Test</w:t>
            </w:r>
          </w:p>
          <w:p w14:paraId="217C5AAD" w14:textId="77777777" w:rsidR="00370DA6" w:rsidRPr="001E5145" w:rsidRDefault="00370DA6" w:rsidP="00370DA6">
            <w:pPr>
              <w:pStyle w:val="TableList1"/>
              <w:ind w:left="360" w:hanging="360"/>
            </w:pPr>
            <w:r w:rsidRPr="001E5145">
              <w:t>Conducting and assessing the Drive Test (excluding Motorcycle and Heavy Vehicle)</w:t>
            </w:r>
          </w:p>
        </w:tc>
      </w:tr>
      <w:tr w:rsidR="00370DA6" w:rsidRPr="00BF150C" w14:paraId="3BDAF999" w14:textId="77777777" w:rsidTr="00E2454D">
        <w:trPr>
          <w:cnfStyle w:val="000000010000" w:firstRow="0" w:lastRow="0" w:firstColumn="0" w:lastColumn="0" w:oddVBand="0" w:evenVBand="0" w:oddHBand="0" w:evenHBand="1" w:firstRowFirstColumn="0" w:firstRowLastColumn="0" w:lastRowFirstColumn="0" w:lastRowLastColumn="0"/>
        </w:trPr>
        <w:tc>
          <w:tcPr>
            <w:tcW w:w="2552" w:type="dxa"/>
          </w:tcPr>
          <w:p w14:paraId="748E3975" w14:textId="77777777" w:rsidR="00370DA6" w:rsidRPr="00EA71F6" w:rsidRDefault="00370DA6" w:rsidP="00A37B27">
            <w:pPr>
              <w:pStyle w:val="TableParagraph"/>
              <w:spacing w:line="276" w:lineRule="auto"/>
              <w:rPr>
                <w:b/>
              </w:rPr>
            </w:pPr>
            <w:r>
              <w:rPr>
                <w:rFonts w:cs="Segoe UI"/>
                <w:b/>
              </w:rPr>
              <w:t>Driver Behaviour Management – Sanctions</w:t>
            </w:r>
          </w:p>
        </w:tc>
        <w:tc>
          <w:tcPr>
            <w:tcW w:w="6946" w:type="dxa"/>
          </w:tcPr>
          <w:p w14:paraId="0F3F3385" w14:textId="77777777" w:rsidR="00370DA6" w:rsidRDefault="00370DA6" w:rsidP="00370DA6">
            <w:pPr>
              <w:pStyle w:val="TableList1"/>
              <w:ind w:left="360" w:hanging="360"/>
            </w:pPr>
            <w:r>
              <w:t>Recording offence(s) against the driver record</w:t>
            </w:r>
          </w:p>
          <w:p w14:paraId="06A82C18" w14:textId="77777777" w:rsidR="00370DA6" w:rsidRDefault="00370DA6" w:rsidP="00370DA6">
            <w:pPr>
              <w:pStyle w:val="TableList1"/>
              <w:ind w:left="360" w:hanging="360"/>
            </w:pPr>
            <w:r>
              <w:t>Recording learner permit/licence sanctions</w:t>
            </w:r>
            <w:r w:rsidRPr="00A37B27">
              <w:t xml:space="preserve"> </w:t>
            </w:r>
            <w:r>
              <w:t xml:space="preserve">applicable to the offence – </w:t>
            </w:r>
            <w:r w:rsidRPr="00A37B27">
              <w:t>demerit points</w:t>
            </w:r>
            <w:r>
              <w:t>,</w:t>
            </w:r>
            <w:r w:rsidRPr="00A37B27">
              <w:t xml:space="preserve"> </w:t>
            </w:r>
            <w:r>
              <w:t>suspension or cancellation</w:t>
            </w:r>
          </w:p>
          <w:p w14:paraId="7CB03FB9" w14:textId="77777777" w:rsidR="00370DA6" w:rsidRDefault="00370DA6" w:rsidP="00370DA6">
            <w:pPr>
              <w:pStyle w:val="TableList1"/>
              <w:ind w:left="360" w:hanging="360"/>
            </w:pPr>
            <w:r>
              <w:t>Applying</w:t>
            </w:r>
            <w:r w:rsidRPr="00B238CA">
              <w:t xml:space="preserve"> sanctions imposed </w:t>
            </w:r>
            <w:r>
              <w:t xml:space="preserve">by </w:t>
            </w:r>
            <w:r w:rsidRPr="00B238CA">
              <w:t>Fines Victoria which prevent renewal and re</w:t>
            </w:r>
            <w:r>
              <w:t>-</w:t>
            </w:r>
            <w:r w:rsidRPr="00B238CA">
              <w:t xml:space="preserve">issue of </w:t>
            </w:r>
            <w:r>
              <w:t>learner permit and driver licence</w:t>
            </w:r>
          </w:p>
          <w:p w14:paraId="1089A674" w14:textId="77777777" w:rsidR="00370DA6" w:rsidRDefault="00370DA6" w:rsidP="00370DA6">
            <w:pPr>
              <w:pStyle w:val="TableList1"/>
              <w:ind w:left="360" w:hanging="360"/>
            </w:pPr>
            <w:r>
              <w:t>Lifting suspension or cancellation sanctions upon serving the learner permit/licence ban and meeting the relevant requirements for lifting of sanction</w:t>
            </w:r>
          </w:p>
          <w:p w14:paraId="0BC36891" w14:textId="77777777" w:rsidR="00370DA6" w:rsidRPr="004E7370" w:rsidRDefault="00370DA6" w:rsidP="00370DA6">
            <w:pPr>
              <w:pStyle w:val="TableList1"/>
              <w:ind w:left="360" w:hanging="360"/>
            </w:pPr>
            <w:r w:rsidRPr="004E7370">
              <w:t>Demerit Point management</w:t>
            </w:r>
          </w:p>
          <w:p w14:paraId="628F2D88" w14:textId="77777777" w:rsidR="00370DA6" w:rsidRPr="00A37B27" w:rsidRDefault="00370DA6" w:rsidP="005F6F8B">
            <w:pPr>
              <w:pStyle w:val="TableList2"/>
            </w:pPr>
            <w:r w:rsidRPr="00A37B27">
              <w:t>Calculating points (dependant on licence holding) over the relevant period</w:t>
            </w:r>
          </w:p>
          <w:p w14:paraId="29D2B6B7" w14:textId="77777777" w:rsidR="00370DA6" w:rsidRDefault="00370DA6" w:rsidP="00AC190A">
            <w:pPr>
              <w:pStyle w:val="TableList2"/>
            </w:pPr>
            <w:r w:rsidRPr="00A37B27">
              <w:t xml:space="preserve">Issuing courtesy notices to </w:t>
            </w:r>
            <w:r>
              <w:t xml:space="preserve">warn learner permit and </w:t>
            </w:r>
            <w:r w:rsidRPr="00A37B27">
              <w:t>licence holders who have exceeded</w:t>
            </w:r>
            <w:r>
              <w:t xml:space="preserve"> more than half of their allowable demerit points</w:t>
            </w:r>
          </w:p>
          <w:p w14:paraId="13B84B12" w14:textId="77777777" w:rsidR="00370DA6" w:rsidRPr="00A37B27" w:rsidRDefault="00370DA6" w:rsidP="00265CBE">
            <w:pPr>
              <w:pStyle w:val="TableList2"/>
            </w:pPr>
            <w:r w:rsidRPr="00A37B27">
              <w:t xml:space="preserve">Issuing </w:t>
            </w:r>
            <w:r>
              <w:t>demerit points</w:t>
            </w:r>
            <w:r w:rsidRPr="00A37B27">
              <w:t xml:space="preserve"> notices to </w:t>
            </w:r>
            <w:r>
              <w:t xml:space="preserve">learner permit and </w:t>
            </w:r>
            <w:r w:rsidRPr="00A37B27">
              <w:t xml:space="preserve">licence holders who have </w:t>
            </w:r>
            <w:r w:rsidRPr="00E77501">
              <w:t xml:space="preserve">reached or exceeded their </w:t>
            </w:r>
            <w:r>
              <w:t>allowable demerit points</w:t>
            </w:r>
            <w:r w:rsidRPr="00A37B27" w:rsidDel="00A311C6">
              <w:t xml:space="preserve"> </w:t>
            </w:r>
          </w:p>
          <w:p w14:paraId="2024BB0C" w14:textId="77777777" w:rsidR="00370DA6" w:rsidRPr="00A37B27" w:rsidRDefault="00370DA6" w:rsidP="00265CBE">
            <w:pPr>
              <w:pStyle w:val="TableList2"/>
            </w:pPr>
            <w:r w:rsidRPr="00A37B27">
              <w:lastRenderedPageBreak/>
              <w:t>Issuing disqualification notices to overseas and unlicensed drivers who have exceeded threshold demerit point levels</w:t>
            </w:r>
          </w:p>
          <w:p w14:paraId="3C28761B" w14:textId="77777777" w:rsidR="00370DA6" w:rsidRPr="00A37B27" w:rsidRDefault="00370DA6" w:rsidP="00457BB1">
            <w:pPr>
              <w:pStyle w:val="TableList2"/>
            </w:pPr>
            <w:r w:rsidRPr="00A37B27">
              <w:t>Managing a resulting suspension or disqualification when an extended demerit point period that has been breached by the driver committing an offence during this period</w:t>
            </w:r>
          </w:p>
          <w:p w14:paraId="7747ACDE" w14:textId="77777777" w:rsidR="00370DA6" w:rsidRPr="00A37B27" w:rsidRDefault="00370DA6" w:rsidP="00457BB1">
            <w:pPr>
              <w:pStyle w:val="TableList2"/>
            </w:pPr>
            <w:r w:rsidRPr="00A37B27">
              <w:t>Managing the reversal of demerit points and, if applicable, suspensions, where the driver successfully appealed the offence</w:t>
            </w:r>
          </w:p>
          <w:p w14:paraId="13BFB04B" w14:textId="77777777" w:rsidR="00370DA6" w:rsidRPr="004F2DA2" w:rsidRDefault="00370DA6" w:rsidP="00370DA6">
            <w:pPr>
              <w:pStyle w:val="TableList2"/>
            </w:pPr>
            <w:r w:rsidRPr="00A37B27">
              <w:t>Providing demerit point status on enquiry</w:t>
            </w:r>
          </w:p>
        </w:tc>
      </w:tr>
      <w:tr w:rsidR="00370DA6" w:rsidRPr="007C7157" w14:paraId="3D6A2E7E" w14:textId="77777777" w:rsidTr="00E2454D">
        <w:tc>
          <w:tcPr>
            <w:tcW w:w="2552" w:type="dxa"/>
          </w:tcPr>
          <w:p w14:paraId="5AA63FF1" w14:textId="77777777" w:rsidR="00370DA6" w:rsidRPr="00B238CA" w:rsidRDefault="00370DA6" w:rsidP="00A37B27">
            <w:pPr>
              <w:pStyle w:val="TableParagraph"/>
              <w:spacing w:line="276" w:lineRule="auto"/>
              <w:rPr>
                <w:rFonts w:cs="Segoe UI"/>
                <w:b/>
              </w:rPr>
            </w:pPr>
            <w:r>
              <w:rPr>
                <w:rFonts w:cs="Segoe UI"/>
                <w:b/>
              </w:rPr>
              <w:lastRenderedPageBreak/>
              <w:t>Driver Behaviour Management – Alcohol Interlocks</w:t>
            </w:r>
          </w:p>
        </w:tc>
        <w:tc>
          <w:tcPr>
            <w:tcW w:w="6946" w:type="dxa"/>
          </w:tcPr>
          <w:p w14:paraId="36EFE6D4" w14:textId="77777777" w:rsidR="00370DA6" w:rsidRPr="00C1304B" w:rsidRDefault="00370DA6" w:rsidP="00370DA6">
            <w:pPr>
              <w:pStyle w:val="TableList1"/>
              <w:ind w:left="360" w:hanging="360"/>
            </w:pPr>
            <w:r>
              <w:t xml:space="preserve">Monitoring </w:t>
            </w:r>
            <w:r w:rsidRPr="000C5E3D">
              <w:t xml:space="preserve">the </w:t>
            </w:r>
            <w:r>
              <w:t>driver’s</w:t>
            </w:r>
            <w:r w:rsidRPr="000C5E3D">
              <w:t xml:space="preserve"> progress against the sanction imposed</w:t>
            </w:r>
          </w:p>
          <w:p w14:paraId="2C772A89" w14:textId="77777777" w:rsidR="00370DA6" w:rsidRPr="00C1304B" w:rsidRDefault="00370DA6" w:rsidP="00370DA6">
            <w:pPr>
              <w:pStyle w:val="TableList1"/>
              <w:ind w:left="360" w:hanging="360"/>
            </w:pPr>
            <w:r>
              <w:t xml:space="preserve">Managing the </w:t>
            </w:r>
            <w:r w:rsidRPr="00C1304B">
              <w:t>collection of the Government cost recovery fee</w:t>
            </w:r>
          </w:p>
          <w:p w14:paraId="72A7833D" w14:textId="77777777" w:rsidR="00370DA6" w:rsidRPr="00D74BC4" w:rsidRDefault="00370DA6" w:rsidP="00370DA6">
            <w:pPr>
              <w:pStyle w:val="TableList1"/>
              <w:ind w:left="360" w:hanging="360"/>
            </w:pPr>
            <w:r w:rsidRPr="00D74BC4">
              <w:t>Assess</w:t>
            </w:r>
            <w:r>
              <w:t>ing</w:t>
            </w:r>
            <w:r w:rsidRPr="00D74BC4">
              <w:t xml:space="preserve"> </w:t>
            </w:r>
            <w:r>
              <w:t xml:space="preserve">the </w:t>
            </w:r>
            <w:r w:rsidRPr="00D74BC4">
              <w:t>eligibility for alcohol interlock condition removal after the minimum period</w:t>
            </w:r>
            <w:r>
              <w:t xml:space="preserve"> and c</w:t>
            </w:r>
            <w:r w:rsidRPr="00D74BC4">
              <w:t xml:space="preserve">ommunicate </w:t>
            </w:r>
            <w:r>
              <w:t>the outcome of the determination to the customer</w:t>
            </w:r>
          </w:p>
          <w:p w14:paraId="1F62A137" w14:textId="77777777" w:rsidR="00370DA6" w:rsidRPr="00BC78D4" w:rsidRDefault="00370DA6" w:rsidP="00370DA6">
            <w:pPr>
              <w:pStyle w:val="TableList1"/>
              <w:ind w:left="360" w:hanging="360"/>
            </w:pPr>
            <w:r w:rsidRPr="00747532">
              <w:t>Updat</w:t>
            </w:r>
            <w:r w:rsidRPr="00E3698F">
              <w:t>ing</w:t>
            </w:r>
            <w:r w:rsidRPr="00BC78D4">
              <w:t xml:space="preserve"> DLS on successful assessment of interlock condition removal. Removing </w:t>
            </w:r>
            <w:r>
              <w:t>the interlock (</w:t>
            </w:r>
            <w:r w:rsidRPr="00747532">
              <w:t>I</w:t>
            </w:r>
            <w:r>
              <w:t>)</w:t>
            </w:r>
            <w:r w:rsidRPr="00747532">
              <w:t xml:space="preserve"> condition and issuing of the new licence card to the customer</w:t>
            </w:r>
          </w:p>
          <w:p w14:paraId="25CF7DBE" w14:textId="77777777" w:rsidR="00370DA6" w:rsidRDefault="00370DA6" w:rsidP="00370DA6">
            <w:pPr>
              <w:pStyle w:val="TableList1"/>
              <w:ind w:left="360" w:hanging="360"/>
            </w:pPr>
            <w:r>
              <w:t>Managing the Alcohol Interlock program which includes:</w:t>
            </w:r>
          </w:p>
          <w:p w14:paraId="2417B5CC" w14:textId="77777777" w:rsidR="00370DA6" w:rsidRPr="00D74BC4" w:rsidRDefault="00370DA6" w:rsidP="00370DA6">
            <w:pPr>
              <w:pStyle w:val="TableList2"/>
            </w:pPr>
            <w:r>
              <w:t xml:space="preserve">managing </w:t>
            </w:r>
            <w:r w:rsidRPr="00D74BC4">
              <w:t xml:space="preserve">the Alcohol Interlock Management System (AIMS) to monitor </w:t>
            </w:r>
            <w:r>
              <w:t xml:space="preserve">each </w:t>
            </w:r>
            <w:r w:rsidRPr="003412D7">
              <w:t>offender’s</w:t>
            </w:r>
            <w:r w:rsidRPr="00D74BC4">
              <w:t xml:space="preserve"> progress against the sanction imposed</w:t>
            </w:r>
          </w:p>
          <w:p w14:paraId="3CA6096F" w14:textId="77777777" w:rsidR="00370DA6" w:rsidRPr="00C1304B" w:rsidRDefault="00370DA6" w:rsidP="00370DA6">
            <w:pPr>
              <w:pStyle w:val="TableList2"/>
            </w:pPr>
            <w:r>
              <w:t xml:space="preserve">certification of Alcohol Interlock Suppliers (AI Suppliers) </w:t>
            </w:r>
          </w:p>
          <w:p w14:paraId="48C4B540" w14:textId="77777777" w:rsidR="00370DA6" w:rsidRPr="00C21559" w:rsidRDefault="00370DA6" w:rsidP="00370DA6">
            <w:pPr>
              <w:pStyle w:val="TableList1"/>
              <w:ind w:left="360" w:hanging="360"/>
            </w:pPr>
            <w:r w:rsidRPr="00747532">
              <w:t xml:space="preserve">compliance management </w:t>
            </w:r>
            <w:r w:rsidRPr="00E3698F">
              <w:t>of the AI</w:t>
            </w:r>
            <w:r>
              <w:t xml:space="preserve"> </w:t>
            </w:r>
            <w:r w:rsidRPr="00E3698F">
              <w:t>Su</w:t>
            </w:r>
            <w:r w:rsidRPr="00BC78D4">
              <w:t xml:space="preserve">ppliers including, device servicing, collection of </w:t>
            </w:r>
            <w:r w:rsidRPr="006149E0">
              <w:t>interlock</w:t>
            </w:r>
            <w:r w:rsidRPr="00BC78D4">
              <w:t xml:space="preserve"> usage data, and collection</w:t>
            </w:r>
            <w:r w:rsidRPr="00BC78D4" w:rsidDel="00BC78D4">
              <w:t xml:space="preserve"> </w:t>
            </w:r>
            <w:r w:rsidRPr="00BC78D4">
              <w:t xml:space="preserve">of the </w:t>
            </w:r>
            <w:r w:rsidRPr="00C21559">
              <w:t xml:space="preserve">Cost Recovery fee </w:t>
            </w:r>
            <w:r w:rsidRPr="00747532">
              <w:t>on behalf of the government</w:t>
            </w:r>
          </w:p>
        </w:tc>
      </w:tr>
      <w:tr w:rsidR="00370DA6" w:rsidRPr="007C7157" w14:paraId="04EAACCB" w14:textId="77777777" w:rsidTr="00E2454D">
        <w:trPr>
          <w:cnfStyle w:val="000000010000" w:firstRow="0" w:lastRow="0" w:firstColumn="0" w:lastColumn="0" w:oddVBand="0" w:evenVBand="0" w:oddHBand="0" w:evenHBand="1" w:firstRowFirstColumn="0" w:firstRowLastColumn="0" w:lastRowFirstColumn="0" w:lastRowLastColumn="0"/>
        </w:trPr>
        <w:tc>
          <w:tcPr>
            <w:tcW w:w="2552" w:type="dxa"/>
          </w:tcPr>
          <w:p w14:paraId="2D86743D" w14:textId="77777777" w:rsidR="00370DA6" w:rsidRPr="00EA71F6" w:rsidRDefault="00370DA6" w:rsidP="00A37B27">
            <w:pPr>
              <w:pStyle w:val="TableParagraph"/>
              <w:spacing w:line="276" w:lineRule="auto"/>
              <w:rPr>
                <w:b/>
              </w:rPr>
            </w:pPr>
            <w:r w:rsidRPr="00B238CA">
              <w:rPr>
                <w:rFonts w:cs="Segoe UI"/>
                <w:b/>
              </w:rPr>
              <w:t>Information</w:t>
            </w:r>
            <w:r>
              <w:rPr>
                <w:rFonts w:cs="Segoe UI"/>
                <w:b/>
              </w:rPr>
              <w:t xml:space="preserve"> Extracts and R</w:t>
            </w:r>
            <w:r w:rsidRPr="00B238CA">
              <w:rPr>
                <w:rFonts w:cs="Segoe UI"/>
                <w:b/>
              </w:rPr>
              <w:t>eports</w:t>
            </w:r>
          </w:p>
        </w:tc>
        <w:tc>
          <w:tcPr>
            <w:tcW w:w="6946" w:type="dxa"/>
          </w:tcPr>
          <w:p w14:paraId="1A26012F" w14:textId="77777777" w:rsidR="00370DA6" w:rsidRPr="00354BC6" w:rsidRDefault="00370DA6" w:rsidP="00370DA6">
            <w:pPr>
              <w:pStyle w:val="TableList1"/>
              <w:ind w:left="360" w:hanging="360"/>
            </w:pPr>
            <w:r w:rsidRPr="00C21559">
              <w:t>Process</w:t>
            </w:r>
            <w:r>
              <w:t>ing</w:t>
            </w:r>
            <w:r w:rsidRPr="00C21559">
              <w:t xml:space="preserve"> online, telephone and in-person request to generate digital or hard copy reports</w:t>
            </w:r>
          </w:p>
          <w:p w14:paraId="3F082451" w14:textId="77777777" w:rsidR="00370DA6" w:rsidRDefault="00370DA6" w:rsidP="00370DA6">
            <w:pPr>
              <w:pStyle w:val="TableList1"/>
              <w:ind w:left="360" w:hanging="360"/>
            </w:pPr>
            <w:r w:rsidRPr="00C21559">
              <w:t>Process</w:t>
            </w:r>
            <w:r>
              <w:t>ing</w:t>
            </w:r>
            <w:r w:rsidRPr="00C21559">
              <w:t xml:space="preserve"> complex reports, including collection of data and manual construction of reports</w:t>
            </w:r>
          </w:p>
          <w:p w14:paraId="366612C4" w14:textId="77777777" w:rsidR="00370DA6" w:rsidRPr="00354BC6" w:rsidRDefault="00370DA6" w:rsidP="00370DA6">
            <w:pPr>
              <w:pStyle w:val="TableList1"/>
              <w:ind w:left="360" w:hanging="360"/>
            </w:pPr>
            <w:r>
              <w:t>Processing Section 84 Certificates for court proceedings</w:t>
            </w:r>
            <w:r w:rsidRPr="00C21559" w:rsidDel="00A272E4">
              <w:t xml:space="preserve"> </w:t>
            </w:r>
          </w:p>
        </w:tc>
      </w:tr>
    </w:tbl>
    <w:p w14:paraId="39F39514" w14:textId="77777777" w:rsidR="00370DA6" w:rsidRDefault="00370DA6" w:rsidP="0095036A">
      <w:pPr>
        <w:pStyle w:val="TextPara"/>
        <w:spacing w:before="0" w:line="276" w:lineRule="auto"/>
        <w:rPr>
          <w:rFonts w:cs="Segoe UI"/>
          <w:b/>
          <w:szCs w:val="20"/>
        </w:rPr>
      </w:pPr>
    </w:p>
    <w:p w14:paraId="50AAF5FC" w14:textId="11C5257D" w:rsidR="00370DA6" w:rsidRPr="00C744F8" w:rsidRDefault="00370DA6" w:rsidP="0095036A">
      <w:pPr>
        <w:pStyle w:val="TextPara"/>
        <w:spacing w:before="0" w:line="276" w:lineRule="auto"/>
        <w:rPr>
          <w:rFonts w:cs="Segoe UI"/>
          <w:szCs w:val="20"/>
        </w:rPr>
      </w:pPr>
      <w:r>
        <w:rPr>
          <w:rFonts w:cs="Segoe UI"/>
          <w:b/>
          <w:szCs w:val="20"/>
        </w:rPr>
        <w:t xml:space="preserve">Chapter </w:t>
      </w:r>
      <w:r w:rsidR="004052C4">
        <w:rPr>
          <w:rFonts w:cs="Segoe UI"/>
          <w:b/>
          <w:szCs w:val="20"/>
        </w:rPr>
        <w:fldChar w:fldCharType="begin"/>
      </w:r>
      <w:r w:rsidR="004052C4">
        <w:rPr>
          <w:rFonts w:cs="Segoe UI"/>
          <w:b/>
          <w:szCs w:val="20"/>
        </w:rPr>
        <w:instrText xml:space="preserve"> REF _Ref4404955 \r \h </w:instrText>
      </w:r>
      <w:r w:rsidR="004052C4">
        <w:rPr>
          <w:rFonts w:cs="Segoe UI"/>
          <w:b/>
          <w:szCs w:val="20"/>
        </w:rPr>
      </w:r>
      <w:r w:rsidR="004052C4">
        <w:rPr>
          <w:rFonts w:cs="Segoe UI"/>
          <w:b/>
          <w:szCs w:val="20"/>
        </w:rPr>
        <w:fldChar w:fldCharType="separate"/>
      </w:r>
      <w:r w:rsidR="00EB4B02">
        <w:rPr>
          <w:rFonts w:cs="Segoe UI"/>
          <w:b/>
          <w:szCs w:val="20"/>
        </w:rPr>
        <w:t>15</w:t>
      </w:r>
      <w:r w:rsidR="004052C4">
        <w:rPr>
          <w:rFonts w:cs="Segoe UI"/>
          <w:b/>
          <w:szCs w:val="20"/>
        </w:rPr>
        <w:fldChar w:fldCharType="end"/>
      </w:r>
      <w:r w:rsidR="004052C4">
        <w:rPr>
          <w:rFonts w:cs="Segoe UI"/>
          <w:b/>
          <w:szCs w:val="20"/>
        </w:rPr>
        <w:t xml:space="preserve"> </w:t>
      </w:r>
      <w:r>
        <w:rPr>
          <w:rFonts w:cs="Segoe UI"/>
          <w:szCs w:val="20"/>
        </w:rPr>
        <w:t>provides a detailed assessment of each Services Group, fee options and the fees proposed for the next regulatory period.</w:t>
      </w:r>
    </w:p>
    <w:p w14:paraId="49AB9698" w14:textId="77777777" w:rsidR="00370DA6" w:rsidRDefault="00370DA6" w:rsidP="00370DA6">
      <w:pPr>
        <w:pStyle w:val="Heading3"/>
        <w:spacing w:before="240"/>
      </w:pPr>
      <w:bookmarkStart w:id="709" w:name="_Toc4084220"/>
      <w:bookmarkStart w:id="710" w:name="_Toc10703506"/>
      <w:r>
        <w:t>Permissions</w:t>
      </w:r>
      <w:r w:rsidRPr="00117C96">
        <w:t xml:space="preserve"> Groups</w:t>
      </w:r>
      <w:bookmarkEnd w:id="709"/>
      <w:bookmarkEnd w:id="710"/>
    </w:p>
    <w:p w14:paraId="56BD1B16" w14:textId="28A2BAE5" w:rsidR="00370DA6" w:rsidRDefault="004052C4" w:rsidP="00DF3451">
      <w:pPr>
        <w:pStyle w:val="TextPara"/>
        <w:rPr>
          <w:rFonts w:cs="Segoe UI"/>
        </w:rPr>
      </w:pPr>
      <w:r>
        <w:rPr>
          <w:rFonts w:cs="Segoe UI"/>
        </w:rPr>
        <w:fldChar w:fldCharType="begin"/>
      </w:r>
      <w:r>
        <w:rPr>
          <w:rFonts w:cs="Segoe UI"/>
        </w:rPr>
        <w:instrText xml:space="preserve"> REF _Ref4405087 \h </w:instrText>
      </w:r>
      <w:r>
        <w:rPr>
          <w:rFonts w:cs="Segoe UI"/>
        </w:rPr>
      </w:r>
      <w:r>
        <w:rPr>
          <w:rFonts w:cs="Segoe UI"/>
        </w:rPr>
        <w:fldChar w:fldCharType="separate"/>
      </w:r>
      <w:r w:rsidR="00EB4B02">
        <w:t xml:space="preserve">Table </w:t>
      </w:r>
      <w:r w:rsidR="00EB4B02">
        <w:rPr>
          <w:noProof/>
        </w:rPr>
        <w:t>47</w:t>
      </w:r>
      <w:r>
        <w:rPr>
          <w:rFonts w:cs="Segoe UI"/>
        </w:rPr>
        <w:fldChar w:fldCharType="end"/>
      </w:r>
      <w:r>
        <w:rPr>
          <w:rFonts w:cs="Segoe UI"/>
        </w:rPr>
        <w:t xml:space="preserve"> </w:t>
      </w:r>
      <w:r w:rsidR="00370DA6">
        <w:rPr>
          <w:rFonts w:cs="Segoe UI"/>
        </w:rPr>
        <w:t>provides a list of Permissions</w:t>
      </w:r>
      <w:r w:rsidR="00370DA6" w:rsidRPr="00117C96">
        <w:rPr>
          <w:rFonts w:cs="Segoe UI"/>
        </w:rPr>
        <w:t xml:space="preserve"> </w:t>
      </w:r>
      <w:r w:rsidR="00370DA6">
        <w:rPr>
          <w:rFonts w:cs="Segoe UI"/>
        </w:rPr>
        <w:t>G</w:t>
      </w:r>
      <w:r w:rsidR="00370DA6" w:rsidRPr="00117C96">
        <w:rPr>
          <w:rFonts w:cs="Segoe UI"/>
        </w:rPr>
        <w:t xml:space="preserve">roups </w:t>
      </w:r>
      <w:r w:rsidR="00370DA6">
        <w:rPr>
          <w:rFonts w:cs="Segoe UI"/>
        </w:rPr>
        <w:t xml:space="preserve">and the related permissions that </w:t>
      </w:r>
      <w:r w:rsidR="00370DA6" w:rsidRPr="00117C96">
        <w:rPr>
          <w:rFonts w:cs="Segoe UI"/>
        </w:rPr>
        <w:t xml:space="preserve">support the </w:t>
      </w:r>
      <w:r w:rsidR="00370DA6" w:rsidRPr="00583E1C">
        <w:rPr>
          <w:rFonts w:cs="Segoe UI"/>
          <w:i/>
        </w:rPr>
        <w:t>Safe Drivers</w:t>
      </w:r>
      <w:r w:rsidR="00370DA6">
        <w:rPr>
          <w:rFonts w:cs="Segoe UI"/>
        </w:rPr>
        <w:t xml:space="preserve"> functions shown in the functional framework</w:t>
      </w:r>
      <w:r w:rsidR="00370DA6" w:rsidRPr="00117C96">
        <w:rPr>
          <w:rFonts w:cs="Segoe UI"/>
        </w:rPr>
        <w:t xml:space="preserve"> </w:t>
      </w:r>
      <w:r w:rsidR="00370DA6">
        <w:rPr>
          <w:rFonts w:cs="Segoe UI"/>
        </w:rPr>
        <w:t xml:space="preserve">in </w:t>
      </w:r>
      <w:r w:rsidR="00370DA6">
        <w:fldChar w:fldCharType="begin"/>
      </w:r>
      <w:r w:rsidR="00370DA6">
        <w:rPr>
          <w:rFonts w:cs="Segoe UI"/>
        </w:rPr>
        <w:instrText xml:space="preserve"> REF _Ref505071016 \h </w:instrText>
      </w:r>
      <w:r w:rsidR="00370DA6">
        <w:fldChar w:fldCharType="separate"/>
      </w:r>
      <w:r w:rsidR="00EB4B02" w:rsidRPr="00117C96">
        <w:t xml:space="preserve">Figure </w:t>
      </w:r>
      <w:r w:rsidR="00EB4B02">
        <w:rPr>
          <w:noProof/>
        </w:rPr>
        <w:t>2</w:t>
      </w:r>
      <w:r w:rsidR="00370DA6">
        <w:fldChar w:fldCharType="end"/>
      </w:r>
      <w:r w:rsidR="00370DA6">
        <w:t xml:space="preserve"> </w:t>
      </w:r>
      <w:r w:rsidR="00370DA6">
        <w:fldChar w:fldCharType="begin"/>
      </w:r>
      <w:r w:rsidR="00370DA6">
        <w:instrText xml:space="preserve"> PAGEREF _Ref505071030 \p \h </w:instrText>
      </w:r>
      <w:r w:rsidR="00370DA6">
        <w:fldChar w:fldCharType="separate"/>
      </w:r>
      <w:r w:rsidR="00EB4B02">
        <w:rPr>
          <w:noProof/>
        </w:rPr>
        <w:t>on page 31</w:t>
      </w:r>
      <w:r w:rsidR="00370DA6">
        <w:fldChar w:fldCharType="end"/>
      </w:r>
      <w:r w:rsidR="00370DA6">
        <w:t xml:space="preserve"> above</w:t>
      </w:r>
      <w:r w:rsidR="00370DA6">
        <w:rPr>
          <w:rFonts w:cs="Segoe UI"/>
        </w:rPr>
        <w:t>.</w:t>
      </w:r>
    </w:p>
    <w:p w14:paraId="2FC4FAFA" w14:textId="69CFF247" w:rsidR="00370DA6" w:rsidRDefault="00370DA6" w:rsidP="00AA0BBA">
      <w:pPr>
        <w:pStyle w:val="Caption"/>
      </w:pPr>
      <w:bookmarkStart w:id="711" w:name="_Ref4405087"/>
      <w:bookmarkStart w:id="712" w:name="_Toc4084329"/>
      <w:bookmarkStart w:id="713" w:name="_Toc10703740"/>
      <w:r>
        <w:t xml:space="preserve">Table </w:t>
      </w:r>
      <w:r>
        <w:rPr>
          <w:noProof/>
        </w:rPr>
        <w:fldChar w:fldCharType="begin"/>
      </w:r>
      <w:r>
        <w:rPr>
          <w:noProof/>
        </w:rPr>
        <w:instrText xml:space="preserve"> SEQ Table \* ARABIC </w:instrText>
      </w:r>
      <w:r>
        <w:rPr>
          <w:noProof/>
        </w:rPr>
        <w:fldChar w:fldCharType="separate"/>
      </w:r>
      <w:r w:rsidR="00EB4B02">
        <w:rPr>
          <w:noProof/>
        </w:rPr>
        <w:t>47</w:t>
      </w:r>
      <w:r>
        <w:rPr>
          <w:noProof/>
        </w:rPr>
        <w:fldChar w:fldCharType="end"/>
      </w:r>
      <w:bookmarkEnd w:id="711"/>
      <w:r>
        <w:t xml:space="preserve"> – </w:t>
      </w:r>
      <w:r w:rsidRPr="00B23D8B">
        <w:t xml:space="preserve">Drivers </w:t>
      </w:r>
      <w:r>
        <w:t>Permissions</w:t>
      </w:r>
      <w:r w:rsidRPr="00B23D8B">
        <w:t xml:space="preserve"> Groups</w:t>
      </w:r>
      <w:bookmarkEnd w:id="712"/>
      <w:bookmarkEnd w:id="713"/>
      <w:r>
        <w:t xml:space="preserve"> </w:t>
      </w:r>
    </w:p>
    <w:tbl>
      <w:tblPr>
        <w:tblStyle w:val="RIS-Table2"/>
        <w:tblW w:w="0" w:type="auto"/>
        <w:tblLayout w:type="fixed"/>
        <w:tblLook w:val="04A0" w:firstRow="1" w:lastRow="0" w:firstColumn="1" w:lastColumn="0" w:noHBand="0" w:noVBand="1"/>
      </w:tblPr>
      <w:tblGrid>
        <w:gridCol w:w="2552"/>
        <w:gridCol w:w="6804"/>
      </w:tblGrid>
      <w:tr w:rsidR="00370DA6" w:rsidRPr="00117C96" w14:paraId="7A4D1C62" w14:textId="77777777" w:rsidTr="00370DA6">
        <w:trPr>
          <w:cnfStyle w:val="100000000000" w:firstRow="1" w:lastRow="0" w:firstColumn="0" w:lastColumn="0" w:oddVBand="0" w:evenVBand="0" w:oddHBand="0" w:evenHBand="0" w:firstRowFirstColumn="0" w:firstRowLastColumn="0" w:lastRowFirstColumn="0" w:lastRowLastColumn="0"/>
        </w:trPr>
        <w:tc>
          <w:tcPr>
            <w:tcW w:w="2552" w:type="dxa"/>
          </w:tcPr>
          <w:p w14:paraId="32DD1672" w14:textId="77777777" w:rsidR="00370DA6" w:rsidRPr="00117C96" w:rsidRDefault="00370DA6" w:rsidP="006B6D5C">
            <w:pPr>
              <w:pStyle w:val="TableHeaders"/>
            </w:pPr>
            <w:r>
              <w:t>Permissions</w:t>
            </w:r>
            <w:r w:rsidRPr="00117C96">
              <w:t xml:space="preserve"> Group</w:t>
            </w:r>
          </w:p>
        </w:tc>
        <w:tc>
          <w:tcPr>
            <w:tcW w:w="6804" w:type="dxa"/>
          </w:tcPr>
          <w:p w14:paraId="66B2F425" w14:textId="77777777" w:rsidR="00370DA6" w:rsidRPr="00117C96" w:rsidRDefault="00370DA6" w:rsidP="006B6D5C">
            <w:pPr>
              <w:pStyle w:val="TableHeaders"/>
            </w:pPr>
            <w:r>
              <w:t>Permissions</w:t>
            </w:r>
          </w:p>
        </w:tc>
      </w:tr>
      <w:tr w:rsidR="00370DA6" w:rsidRPr="00EF7B9B" w14:paraId="384D6DA9" w14:textId="77777777" w:rsidTr="00D53AEC">
        <w:tc>
          <w:tcPr>
            <w:tcW w:w="2552" w:type="dxa"/>
          </w:tcPr>
          <w:p w14:paraId="7B46DFD9" w14:textId="77777777" w:rsidR="00370DA6" w:rsidRPr="00B42142" w:rsidRDefault="00370DA6" w:rsidP="00491582">
            <w:pPr>
              <w:pStyle w:val="TableParagraph"/>
              <w:rPr>
                <w:b/>
              </w:rPr>
            </w:pPr>
            <w:r w:rsidRPr="00B238CA">
              <w:rPr>
                <w:rFonts w:cs="Segoe UI"/>
                <w:b/>
              </w:rPr>
              <w:t xml:space="preserve">Learner </w:t>
            </w:r>
            <w:r>
              <w:rPr>
                <w:rFonts w:cs="Segoe UI"/>
                <w:b/>
              </w:rPr>
              <w:t xml:space="preserve">Permit - </w:t>
            </w:r>
            <w:r w:rsidRPr="00B238CA">
              <w:rPr>
                <w:rFonts w:cs="Segoe UI"/>
                <w:b/>
              </w:rPr>
              <w:t>motor vehicle and motorcycle</w:t>
            </w:r>
          </w:p>
        </w:tc>
        <w:tc>
          <w:tcPr>
            <w:tcW w:w="6804" w:type="dxa"/>
          </w:tcPr>
          <w:p w14:paraId="69067899" w14:textId="77777777" w:rsidR="00370DA6" w:rsidRPr="008647FE" w:rsidRDefault="00370DA6" w:rsidP="00370DA6">
            <w:pPr>
              <w:pStyle w:val="TableList1"/>
              <w:ind w:left="360" w:hanging="360"/>
            </w:pPr>
            <w:r w:rsidRPr="00491582">
              <w:t xml:space="preserve">Permission that allows the </w:t>
            </w:r>
            <w:r>
              <w:t xml:space="preserve">permit </w:t>
            </w:r>
            <w:r w:rsidRPr="00491582">
              <w:t>holder to drive a car under supervision or ride a motorcycle</w:t>
            </w:r>
            <w:r>
              <w:t xml:space="preserve"> under restricted conditions.</w:t>
            </w:r>
          </w:p>
        </w:tc>
      </w:tr>
    </w:tbl>
    <w:p w14:paraId="0D74AB56" w14:textId="77777777" w:rsidR="00370DA6" w:rsidRDefault="00370DA6" w:rsidP="00370DA6">
      <w:pPr>
        <w:pStyle w:val="Heading2"/>
        <w:spacing w:before="240" w:after="180"/>
      </w:pPr>
      <w:bookmarkStart w:id="714" w:name="_Toc4577626"/>
      <w:bookmarkStart w:id="715" w:name="_Toc4577627"/>
      <w:bookmarkStart w:id="716" w:name="_Toc4577628"/>
      <w:bookmarkStart w:id="717" w:name="_Toc4577661"/>
      <w:bookmarkStart w:id="718" w:name="_Toc4577677"/>
      <w:bookmarkStart w:id="719" w:name="_Toc4084225"/>
      <w:bookmarkStart w:id="720" w:name="_Toc10703507"/>
      <w:bookmarkEnd w:id="714"/>
      <w:bookmarkEnd w:id="715"/>
      <w:bookmarkEnd w:id="716"/>
      <w:bookmarkEnd w:id="717"/>
      <w:bookmarkEnd w:id="718"/>
      <w:r>
        <w:t>Other Activities</w:t>
      </w:r>
      <w:bookmarkEnd w:id="719"/>
      <w:bookmarkEnd w:id="720"/>
    </w:p>
    <w:p w14:paraId="4FDDCBE5" w14:textId="232B8F99" w:rsidR="00370DA6" w:rsidRPr="00104584" w:rsidRDefault="00370DA6" w:rsidP="00DF3451">
      <w:pPr>
        <w:pStyle w:val="TextPara"/>
        <w:rPr>
          <w:rFonts w:cs="Segoe UI"/>
          <w:szCs w:val="20"/>
        </w:rPr>
      </w:pPr>
      <w:r>
        <w:rPr>
          <w:rFonts w:cs="Segoe UI"/>
          <w:szCs w:val="20"/>
        </w:rPr>
        <w:t xml:space="preserve">There is a range of other services that are provided by R&amp;L. In most cases a fee is charged however there are some services where there is no charge. These include the registration services provided under the Road Safety (Vehicles) Regulations 2009 and both registration and licensing activities undertaken by VicRoads with authority from the </w:t>
      </w:r>
      <w:r w:rsidRPr="00030A62">
        <w:rPr>
          <w:rFonts w:cs="Segoe UI"/>
          <w:i/>
          <w:szCs w:val="20"/>
        </w:rPr>
        <w:t>RSA</w:t>
      </w:r>
      <w:r>
        <w:rPr>
          <w:rFonts w:cs="Segoe UI"/>
          <w:szCs w:val="20"/>
        </w:rPr>
        <w:t xml:space="preserve">. </w:t>
      </w:r>
      <w:r w:rsidRPr="00030A62">
        <w:rPr>
          <w:rFonts w:cs="Segoe UI"/>
          <w:szCs w:val="20"/>
        </w:rPr>
        <w:t>The</w:t>
      </w:r>
      <w:r>
        <w:rPr>
          <w:rFonts w:cs="Segoe UI"/>
          <w:szCs w:val="20"/>
        </w:rPr>
        <w:t>se</w:t>
      </w:r>
      <w:r w:rsidRPr="00030A62">
        <w:rPr>
          <w:rFonts w:cs="Segoe UI"/>
          <w:szCs w:val="20"/>
        </w:rPr>
        <w:t xml:space="preserve"> activities are </w:t>
      </w:r>
      <w:r>
        <w:rPr>
          <w:rFonts w:cs="Segoe UI"/>
          <w:szCs w:val="20"/>
        </w:rPr>
        <w:t xml:space="preserve">NOT under review for the purposes of this RIS but are </w:t>
      </w:r>
      <w:r>
        <w:rPr>
          <w:rFonts w:cs="Segoe UI"/>
          <w:szCs w:val="20"/>
        </w:rPr>
        <w:lastRenderedPageBreak/>
        <w:t>summarised to provide a complete picture.</w:t>
      </w:r>
      <w:r w:rsidRPr="00104584">
        <w:rPr>
          <w:rFonts w:cs="Segoe UI"/>
          <w:szCs w:val="20"/>
        </w:rPr>
        <w:t xml:space="preserve"> </w:t>
      </w:r>
      <w:r>
        <w:rPr>
          <w:rFonts w:cs="Segoe UI"/>
          <w:szCs w:val="20"/>
        </w:rPr>
        <w:t xml:space="preserve">The cost of </w:t>
      </w:r>
      <w:r>
        <w:t xml:space="preserve">the services provided under </w:t>
      </w:r>
      <w:r>
        <w:rPr>
          <w:rFonts w:cs="Segoe UI"/>
          <w:szCs w:val="20"/>
        </w:rPr>
        <w:t xml:space="preserve">the Road Safety (Vehicles) Regulations 2009 </w:t>
      </w:r>
      <w:r>
        <w:t xml:space="preserve">is shown in </w:t>
      </w:r>
      <w:r w:rsidRPr="00CF0994">
        <w:t>Appendix</w:t>
      </w:r>
      <w:r w:rsidR="0066060E">
        <w:t xml:space="preserve"> </w:t>
      </w:r>
      <w:r w:rsidR="0066060E">
        <w:fldChar w:fldCharType="begin"/>
      </w:r>
      <w:r w:rsidR="0066060E">
        <w:instrText xml:space="preserve"> REF _Ref4083514 \r \h </w:instrText>
      </w:r>
      <w:r w:rsidR="0066060E">
        <w:fldChar w:fldCharType="separate"/>
      </w:r>
      <w:r w:rsidR="00EB4B02">
        <w:t>E</w:t>
      </w:r>
      <w:r w:rsidR="0066060E">
        <w:fldChar w:fldCharType="end"/>
      </w:r>
      <w:r w:rsidRPr="00CF0994">
        <w:t xml:space="preserve"> </w:t>
      </w:r>
      <w:r>
        <w:t xml:space="preserve">and the services under the </w:t>
      </w:r>
      <w:r w:rsidRPr="00480FCB">
        <w:rPr>
          <w:i/>
        </w:rPr>
        <w:t>RSA</w:t>
      </w:r>
      <w:r>
        <w:t xml:space="preserve"> are accounted for in the summary financial analysis in</w:t>
      </w:r>
      <w:r>
        <w:rPr>
          <w:rFonts w:cs="Segoe UI"/>
        </w:rPr>
        <w:t xml:space="preserve"> </w:t>
      </w:r>
      <w:r w:rsidRPr="00E22E24">
        <w:rPr>
          <w:rFonts w:cs="Segoe UI"/>
          <w:b/>
        </w:rPr>
        <w:t>Chapter</w:t>
      </w:r>
      <w:r w:rsidR="004052C4">
        <w:rPr>
          <w:rFonts w:cs="Segoe UI"/>
          <w:b/>
        </w:rPr>
        <w:t xml:space="preserve"> </w:t>
      </w:r>
      <w:r w:rsidR="004052C4">
        <w:rPr>
          <w:rFonts w:cs="Segoe UI"/>
          <w:b/>
        </w:rPr>
        <w:fldChar w:fldCharType="begin"/>
      </w:r>
      <w:r w:rsidR="004052C4">
        <w:rPr>
          <w:rFonts w:cs="Segoe UI"/>
          <w:b/>
        </w:rPr>
        <w:instrText xml:space="preserve"> REF _Ref4405143 \r \h </w:instrText>
      </w:r>
      <w:r w:rsidR="004052C4">
        <w:rPr>
          <w:rFonts w:cs="Segoe UI"/>
          <w:b/>
        </w:rPr>
      </w:r>
      <w:r w:rsidR="004052C4">
        <w:rPr>
          <w:rFonts w:cs="Segoe UI"/>
          <w:b/>
        </w:rPr>
        <w:fldChar w:fldCharType="separate"/>
      </w:r>
      <w:r w:rsidR="00EB4B02">
        <w:rPr>
          <w:rFonts w:cs="Segoe UI"/>
          <w:b/>
        </w:rPr>
        <w:t>17</w:t>
      </w:r>
      <w:r w:rsidR="004052C4">
        <w:rPr>
          <w:rFonts w:cs="Segoe UI"/>
          <w:b/>
        </w:rPr>
        <w:fldChar w:fldCharType="end"/>
      </w:r>
      <w:r w:rsidRPr="00610EC7">
        <w:rPr>
          <w:rFonts w:cs="Segoe UI"/>
        </w:rPr>
        <w:t>.</w:t>
      </w:r>
    </w:p>
    <w:p w14:paraId="0AE3FF3D" w14:textId="27A7223B" w:rsidR="00370DA6" w:rsidRDefault="004052C4" w:rsidP="00DF3451">
      <w:pPr>
        <w:pStyle w:val="TextPara"/>
      </w:pPr>
      <w:r>
        <w:rPr>
          <w:rFonts w:cs="Segoe UI"/>
          <w:szCs w:val="20"/>
        </w:rPr>
        <w:fldChar w:fldCharType="begin"/>
      </w:r>
      <w:r>
        <w:rPr>
          <w:rFonts w:cs="Segoe UI"/>
          <w:szCs w:val="20"/>
        </w:rPr>
        <w:instrText xml:space="preserve"> REF _Ref4405169 \h </w:instrText>
      </w:r>
      <w:r>
        <w:rPr>
          <w:rFonts w:cs="Segoe UI"/>
          <w:szCs w:val="20"/>
        </w:rPr>
      </w:r>
      <w:r>
        <w:rPr>
          <w:rFonts w:cs="Segoe UI"/>
          <w:szCs w:val="20"/>
        </w:rPr>
        <w:fldChar w:fldCharType="separate"/>
      </w:r>
      <w:r w:rsidR="00EB4B02">
        <w:t xml:space="preserve">Table </w:t>
      </w:r>
      <w:r w:rsidR="00EB4B02">
        <w:rPr>
          <w:noProof/>
        </w:rPr>
        <w:t>48</w:t>
      </w:r>
      <w:r>
        <w:rPr>
          <w:rFonts w:cs="Segoe UI"/>
          <w:szCs w:val="20"/>
        </w:rPr>
        <w:fldChar w:fldCharType="end"/>
      </w:r>
      <w:r>
        <w:rPr>
          <w:rFonts w:cs="Segoe UI"/>
          <w:szCs w:val="20"/>
        </w:rPr>
        <w:t xml:space="preserve"> </w:t>
      </w:r>
      <w:r w:rsidR="00370DA6">
        <w:rPr>
          <w:rFonts w:cs="Segoe UI"/>
          <w:szCs w:val="20"/>
        </w:rPr>
        <w:t xml:space="preserve">provides a list of service groups that are not prescribed in the Regulations but still support the </w:t>
      </w:r>
      <w:r w:rsidR="00370DA6">
        <w:rPr>
          <w:rFonts w:cs="Segoe UI"/>
          <w:i/>
          <w:szCs w:val="20"/>
        </w:rPr>
        <w:t>Safe Vehicles</w:t>
      </w:r>
      <w:r w:rsidR="00370DA6">
        <w:rPr>
          <w:rFonts w:cs="Segoe UI"/>
          <w:szCs w:val="20"/>
        </w:rPr>
        <w:t xml:space="preserve"> and </w:t>
      </w:r>
      <w:r w:rsidR="00370DA6">
        <w:rPr>
          <w:rFonts w:cs="Segoe UI"/>
          <w:i/>
          <w:szCs w:val="20"/>
        </w:rPr>
        <w:t>Safe Drivers</w:t>
      </w:r>
      <w:r w:rsidR="00370DA6">
        <w:rPr>
          <w:rFonts w:cs="Segoe UI"/>
          <w:szCs w:val="20"/>
        </w:rPr>
        <w:t xml:space="preserve"> functions shown in the functional framework in </w:t>
      </w:r>
      <w:r w:rsidR="00370DA6">
        <w:fldChar w:fldCharType="begin"/>
      </w:r>
      <w:r w:rsidR="00370DA6">
        <w:rPr>
          <w:rFonts w:cs="Segoe UI"/>
        </w:rPr>
        <w:instrText xml:space="preserve"> REF _Ref505071016 \h </w:instrText>
      </w:r>
      <w:r w:rsidR="00370DA6">
        <w:fldChar w:fldCharType="separate"/>
      </w:r>
      <w:r w:rsidR="00EB4B02" w:rsidRPr="00117C96">
        <w:t xml:space="preserve">Figure </w:t>
      </w:r>
      <w:r w:rsidR="00EB4B02">
        <w:rPr>
          <w:noProof/>
        </w:rPr>
        <w:t>2</w:t>
      </w:r>
      <w:r w:rsidR="00370DA6">
        <w:fldChar w:fldCharType="end"/>
      </w:r>
      <w:r w:rsidR="00370DA6">
        <w:t xml:space="preserve"> </w:t>
      </w:r>
      <w:r w:rsidR="00370DA6">
        <w:fldChar w:fldCharType="begin"/>
      </w:r>
      <w:r w:rsidR="00370DA6">
        <w:instrText xml:space="preserve"> PAGEREF _Ref505071030 \p \h </w:instrText>
      </w:r>
      <w:r w:rsidR="00370DA6">
        <w:fldChar w:fldCharType="separate"/>
      </w:r>
      <w:r w:rsidR="00EB4B02">
        <w:rPr>
          <w:noProof/>
        </w:rPr>
        <w:t>on page 31</w:t>
      </w:r>
      <w:r w:rsidR="00370DA6">
        <w:fldChar w:fldCharType="end"/>
      </w:r>
      <w:r w:rsidR="00370DA6">
        <w:t xml:space="preserve"> above</w:t>
      </w:r>
      <w:r w:rsidR="00370DA6">
        <w:rPr>
          <w:rFonts w:cs="Segoe UI"/>
          <w:szCs w:val="20"/>
        </w:rPr>
        <w:t>, except for processing support services provided to other agencies</w:t>
      </w:r>
      <w:r w:rsidR="00370DA6">
        <w:rPr>
          <w:rFonts w:cs="Segoe UI"/>
        </w:rPr>
        <w:t>.</w:t>
      </w:r>
      <w:r w:rsidR="00370DA6" w:rsidRPr="008A353A">
        <w:t xml:space="preserve"> </w:t>
      </w:r>
    </w:p>
    <w:p w14:paraId="67C381FA" w14:textId="0F389BFD" w:rsidR="00370DA6" w:rsidRDefault="00370DA6" w:rsidP="00AA0BBA">
      <w:pPr>
        <w:pStyle w:val="Caption"/>
      </w:pPr>
      <w:bookmarkStart w:id="721" w:name="_Ref4405169"/>
      <w:bookmarkStart w:id="722" w:name="_Toc4084330"/>
      <w:bookmarkStart w:id="723" w:name="_Toc10703741"/>
      <w:r>
        <w:t xml:space="preserve">Table </w:t>
      </w:r>
      <w:r w:rsidR="00500352">
        <w:rPr>
          <w:noProof/>
        </w:rPr>
        <w:fldChar w:fldCharType="begin"/>
      </w:r>
      <w:r w:rsidR="00500352">
        <w:rPr>
          <w:noProof/>
        </w:rPr>
        <w:instrText xml:space="preserve"> SEQ Table \* ARABIC </w:instrText>
      </w:r>
      <w:r w:rsidR="00500352">
        <w:rPr>
          <w:noProof/>
        </w:rPr>
        <w:fldChar w:fldCharType="separate"/>
      </w:r>
      <w:r w:rsidR="00EB4B02">
        <w:rPr>
          <w:noProof/>
        </w:rPr>
        <w:t>48</w:t>
      </w:r>
      <w:r w:rsidR="00500352">
        <w:rPr>
          <w:noProof/>
        </w:rPr>
        <w:fldChar w:fldCharType="end"/>
      </w:r>
      <w:bookmarkEnd w:id="721"/>
      <w:r>
        <w:t xml:space="preserve"> – Services Summary: Other Fee Activities (Fee</w:t>
      </w:r>
      <w:r w:rsidR="00715878">
        <w:t xml:space="preserve"> NOT</w:t>
      </w:r>
      <w:r>
        <w:t xml:space="preserve"> </w:t>
      </w:r>
      <w:r w:rsidR="009D63C2">
        <w:t>prescribed in the R</w:t>
      </w:r>
      <w:r w:rsidR="00715878">
        <w:t>e</w:t>
      </w:r>
      <w:r w:rsidR="009D63C2">
        <w:t>gul</w:t>
      </w:r>
      <w:r w:rsidR="00715878">
        <w:t>a</w:t>
      </w:r>
      <w:r w:rsidR="009D63C2">
        <w:t>tions</w:t>
      </w:r>
      <w:r>
        <w:t>)</w:t>
      </w:r>
      <w:bookmarkEnd w:id="722"/>
      <w:bookmarkEnd w:id="723"/>
    </w:p>
    <w:tbl>
      <w:tblPr>
        <w:tblStyle w:val="RIS-Table2"/>
        <w:tblW w:w="0" w:type="auto"/>
        <w:tblLayout w:type="fixed"/>
        <w:tblLook w:val="04A0" w:firstRow="1" w:lastRow="0" w:firstColumn="1" w:lastColumn="0" w:noHBand="0" w:noVBand="1"/>
      </w:tblPr>
      <w:tblGrid>
        <w:gridCol w:w="2552"/>
        <w:gridCol w:w="6804"/>
      </w:tblGrid>
      <w:tr w:rsidR="00370DA6" w:rsidRPr="00117C96" w14:paraId="105DACA8" w14:textId="77777777" w:rsidTr="00E2454D">
        <w:trPr>
          <w:cnfStyle w:val="100000000000" w:firstRow="1" w:lastRow="0" w:firstColumn="0" w:lastColumn="0" w:oddVBand="0" w:evenVBand="0" w:oddHBand="0" w:evenHBand="0" w:firstRowFirstColumn="0" w:firstRowLastColumn="0" w:lastRowFirstColumn="0" w:lastRowLastColumn="0"/>
        </w:trPr>
        <w:tc>
          <w:tcPr>
            <w:tcW w:w="2552" w:type="dxa"/>
          </w:tcPr>
          <w:p w14:paraId="525E4436" w14:textId="77777777" w:rsidR="00370DA6" w:rsidRPr="00117C96" w:rsidRDefault="00370DA6" w:rsidP="00BD383A">
            <w:pPr>
              <w:pStyle w:val="TableHeaders"/>
            </w:pPr>
            <w:r>
              <w:t>Services</w:t>
            </w:r>
          </w:p>
        </w:tc>
        <w:tc>
          <w:tcPr>
            <w:tcW w:w="6804" w:type="dxa"/>
          </w:tcPr>
          <w:p w14:paraId="056BB725" w14:textId="77777777" w:rsidR="00370DA6" w:rsidRPr="00117C96" w:rsidRDefault="00370DA6" w:rsidP="00BD383A">
            <w:pPr>
              <w:pStyle w:val="TableHeaders"/>
            </w:pPr>
            <w:r>
              <w:t xml:space="preserve">Service </w:t>
            </w:r>
            <w:r w:rsidRPr="00117C96">
              <w:t>Description</w:t>
            </w:r>
          </w:p>
        </w:tc>
      </w:tr>
      <w:tr w:rsidR="00370DA6" w:rsidRPr="00EF7B9B" w14:paraId="5851BC51" w14:textId="77777777" w:rsidTr="00E2454D">
        <w:tc>
          <w:tcPr>
            <w:tcW w:w="2552" w:type="dxa"/>
          </w:tcPr>
          <w:p w14:paraId="74B574EE" w14:textId="77777777" w:rsidR="00370DA6" w:rsidRPr="00EA71F6" w:rsidRDefault="00370DA6" w:rsidP="00A37B27">
            <w:pPr>
              <w:pStyle w:val="TableParagraph"/>
              <w:rPr>
                <w:b/>
              </w:rPr>
            </w:pPr>
            <w:r>
              <w:rPr>
                <w:b/>
              </w:rPr>
              <w:t>Processing s</w:t>
            </w:r>
            <w:r w:rsidRPr="00424CEB">
              <w:rPr>
                <w:b/>
              </w:rPr>
              <w:t xml:space="preserve">upport </w:t>
            </w:r>
          </w:p>
        </w:tc>
        <w:tc>
          <w:tcPr>
            <w:tcW w:w="6804" w:type="dxa"/>
          </w:tcPr>
          <w:p w14:paraId="7053CEBC" w14:textId="77777777" w:rsidR="00370DA6" w:rsidRPr="002F7C42" w:rsidRDefault="00370DA6" w:rsidP="00370DA6">
            <w:pPr>
              <w:pStyle w:val="TableList1"/>
              <w:ind w:left="360" w:hanging="360"/>
            </w:pPr>
            <w:r w:rsidRPr="002F7C42">
              <w:t>Provision of support to administer licensing on behalf of other agencies - marine licence, proof of age, firearms licence</w:t>
            </w:r>
          </w:p>
          <w:p w14:paraId="5A2F014D" w14:textId="77777777" w:rsidR="00370DA6" w:rsidRPr="002F7C42" w:rsidRDefault="00370DA6" w:rsidP="00370DA6">
            <w:pPr>
              <w:pStyle w:val="TableList1"/>
              <w:ind w:left="360" w:hanging="360"/>
            </w:pPr>
            <w:r w:rsidRPr="002F7C42">
              <w:t>Provision of support to administer the collection of fees and charges for related parties - TAC charge (third party insurance) collection, and Victorian government stamp duty collection</w:t>
            </w:r>
          </w:p>
        </w:tc>
      </w:tr>
      <w:tr w:rsidR="00370DA6" w:rsidRPr="00EF7B9B" w14:paraId="53F5B37F" w14:textId="77777777" w:rsidTr="00E2454D">
        <w:trPr>
          <w:cnfStyle w:val="000000010000" w:firstRow="0" w:lastRow="0" w:firstColumn="0" w:lastColumn="0" w:oddVBand="0" w:evenVBand="0" w:oddHBand="0" w:evenHBand="1" w:firstRowFirstColumn="0" w:firstRowLastColumn="0" w:lastRowFirstColumn="0" w:lastRowLastColumn="0"/>
        </w:trPr>
        <w:tc>
          <w:tcPr>
            <w:tcW w:w="2552" w:type="dxa"/>
          </w:tcPr>
          <w:p w14:paraId="52B244FE" w14:textId="77777777" w:rsidR="00370DA6" w:rsidRPr="00EA71F6" w:rsidRDefault="00370DA6" w:rsidP="00A37B27">
            <w:pPr>
              <w:pStyle w:val="TableParagraph"/>
              <w:rPr>
                <w:b/>
              </w:rPr>
            </w:pPr>
            <w:r w:rsidRPr="00424CEB">
              <w:rPr>
                <w:b/>
              </w:rPr>
              <w:t>Publications</w:t>
            </w:r>
          </w:p>
        </w:tc>
        <w:tc>
          <w:tcPr>
            <w:tcW w:w="6804" w:type="dxa"/>
          </w:tcPr>
          <w:p w14:paraId="1C0DAEC0" w14:textId="77777777" w:rsidR="00370DA6" w:rsidRPr="002F7C42" w:rsidRDefault="00370DA6" w:rsidP="00370DA6">
            <w:pPr>
              <w:pStyle w:val="TableList1"/>
              <w:ind w:left="360" w:hanging="360"/>
            </w:pPr>
            <w:r w:rsidRPr="002F7C42">
              <w:t>Designing and producing registration and licensing related booklets and materials used by the public</w:t>
            </w:r>
          </w:p>
        </w:tc>
      </w:tr>
      <w:tr w:rsidR="00370DA6" w:rsidRPr="00EF7B9B" w14:paraId="4BAAD34A" w14:textId="77777777" w:rsidTr="00E2454D">
        <w:tc>
          <w:tcPr>
            <w:tcW w:w="2552" w:type="dxa"/>
          </w:tcPr>
          <w:p w14:paraId="13F3EE60" w14:textId="77777777" w:rsidR="00370DA6" w:rsidRPr="00EA71F6" w:rsidRDefault="00370DA6" w:rsidP="00A37B27">
            <w:pPr>
              <w:pStyle w:val="TableParagraph"/>
              <w:rPr>
                <w:b/>
              </w:rPr>
            </w:pPr>
            <w:r w:rsidRPr="00666021">
              <w:rPr>
                <w:b/>
              </w:rPr>
              <w:t>Credit Card Merchant Fee Pass-through</w:t>
            </w:r>
          </w:p>
        </w:tc>
        <w:tc>
          <w:tcPr>
            <w:tcW w:w="6804" w:type="dxa"/>
          </w:tcPr>
          <w:p w14:paraId="100C872F" w14:textId="77777777" w:rsidR="00370DA6" w:rsidRPr="002F7C42" w:rsidRDefault="00370DA6" w:rsidP="00370DA6">
            <w:pPr>
              <w:pStyle w:val="TableList1"/>
              <w:ind w:left="360" w:hanging="360"/>
            </w:pPr>
            <w:r w:rsidRPr="002F7C42">
              <w:t>Provision of billing, payment and accounting function for merchant card fees (applicable on credit card payments) passed to the customer</w:t>
            </w:r>
          </w:p>
        </w:tc>
      </w:tr>
      <w:tr w:rsidR="00370DA6" w:rsidRPr="00EF7B9B" w14:paraId="25F10DCA" w14:textId="77777777" w:rsidTr="00E2454D">
        <w:trPr>
          <w:cnfStyle w:val="000000010000" w:firstRow="0" w:lastRow="0" w:firstColumn="0" w:lastColumn="0" w:oddVBand="0" w:evenVBand="0" w:oddHBand="0" w:evenHBand="1" w:firstRowFirstColumn="0" w:firstRowLastColumn="0" w:lastRowFirstColumn="0" w:lastRowLastColumn="0"/>
        </w:trPr>
        <w:tc>
          <w:tcPr>
            <w:tcW w:w="2552" w:type="dxa"/>
          </w:tcPr>
          <w:p w14:paraId="7378A714" w14:textId="77777777" w:rsidR="00370DA6" w:rsidRPr="00EA71F6" w:rsidRDefault="00370DA6" w:rsidP="00A37B27">
            <w:pPr>
              <w:pStyle w:val="TableParagraph"/>
              <w:rPr>
                <w:b/>
              </w:rPr>
            </w:pPr>
            <w:r>
              <w:rPr>
                <w:b/>
              </w:rPr>
              <w:t>Short-t</w:t>
            </w:r>
            <w:r w:rsidRPr="00424CEB">
              <w:rPr>
                <w:b/>
              </w:rPr>
              <w:t>erm Registration (STR)</w:t>
            </w:r>
          </w:p>
        </w:tc>
        <w:tc>
          <w:tcPr>
            <w:tcW w:w="6804" w:type="dxa"/>
          </w:tcPr>
          <w:p w14:paraId="76AEAB5D" w14:textId="77777777" w:rsidR="00370DA6" w:rsidRPr="002F7C42" w:rsidRDefault="00370DA6" w:rsidP="00370DA6">
            <w:pPr>
              <w:pStyle w:val="TableList1"/>
              <w:ind w:left="360" w:hanging="360"/>
            </w:pPr>
            <w:r w:rsidRPr="002F7C42">
              <w:t>Provision of short-term registration billing and payment capability, and query management. This service and the fee commenced on 1 Jan</w:t>
            </w:r>
            <w:r>
              <w:t>uary</w:t>
            </w:r>
            <w:r w:rsidRPr="002F7C42">
              <w:t xml:space="preserve"> 2018 with funds paid into the Consolidated fund</w:t>
            </w:r>
          </w:p>
        </w:tc>
      </w:tr>
      <w:tr w:rsidR="00370DA6" w:rsidRPr="00EF7B9B" w14:paraId="57A09530" w14:textId="77777777" w:rsidTr="00E2454D">
        <w:tc>
          <w:tcPr>
            <w:tcW w:w="2552" w:type="dxa"/>
          </w:tcPr>
          <w:p w14:paraId="2BAAD3BA" w14:textId="77777777" w:rsidR="00370DA6" w:rsidRPr="00137424" w:rsidRDefault="00370DA6" w:rsidP="00137424">
            <w:pPr>
              <w:pStyle w:val="TableParagraph"/>
              <w:spacing w:line="276" w:lineRule="auto"/>
              <w:rPr>
                <w:rFonts w:cs="Segoe UI"/>
                <w:b/>
              </w:rPr>
            </w:pPr>
            <w:r w:rsidRPr="00D26C3B">
              <w:rPr>
                <w:rFonts w:cs="Segoe UI"/>
                <w:b/>
              </w:rPr>
              <w:t>Information Extracts and Reports</w:t>
            </w:r>
          </w:p>
        </w:tc>
        <w:tc>
          <w:tcPr>
            <w:tcW w:w="6804" w:type="dxa"/>
          </w:tcPr>
          <w:p w14:paraId="53895C23" w14:textId="77777777" w:rsidR="00370DA6" w:rsidRPr="0093428B" w:rsidRDefault="00370DA6" w:rsidP="00370DA6">
            <w:pPr>
              <w:pStyle w:val="TableList1"/>
              <w:ind w:left="360" w:hanging="360"/>
            </w:pPr>
            <w:r w:rsidRPr="002F7C42">
              <w:t>Provision of online and hard copy information for third party organisations such as motor vehicle tolls and council lookup/searches</w:t>
            </w:r>
          </w:p>
        </w:tc>
      </w:tr>
    </w:tbl>
    <w:p w14:paraId="4688308C" w14:textId="5B3041D8" w:rsidR="00370DA6" w:rsidRDefault="00370DA6" w:rsidP="00370DA6">
      <w:pPr>
        <w:pStyle w:val="Caption"/>
      </w:pPr>
      <w:bookmarkStart w:id="724" w:name="_Toc4084331"/>
      <w:bookmarkStart w:id="725" w:name="_Toc10703742"/>
      <w:r>
        <w:t xml:space="preserve">Table </w:t>
      </w:r>
      <w:r>
        <w:rPr>
          <w:noProof/>
        </w:rPr>
        <w:fldChar w:fldCharType="begin"/>
      </w:r>
      <w:r>
        <w:rPr>
          <w:noProof/>
        </w:rPr>
        <w:instrText xml:space="preserve"> SEQ Table \* ARABIC </w:instrText>
      </w:r>
      <w:r>
        <w:rPr>
          <w:noProof/>
        </w:rPr>
        <w:fldChar w:fldCharType="separate"/>
      </w:r>
      <w:r w:rsidR="00EB4B02">
        <w:rPr>
          <w:noProof/>
        </w:rPr>
        <w:t>49</w:t>
      </w:r>
      <w:r>
        <w:rPr>
          <w:noProof/>
        </w:rPr>
        <w:fldChar w:fldCharType="end"/>
      </w:r>
      <w:r>
        <w:t xml:space="preserve"> – Services Summary: Other Fee Activities (Fee </w:t>
      </w:r>
      <w:r w:rsidR="000A6E84">
        <w:t>prescribed in the Regulations</w:t>
      </w:r>
      <w:r>
        <w:t>)</w:t>
      </w:r>
      <w:bookmarkEnd w:id="724"/>
      <w:bookmarkEnd w:id="725"/>
    </w:p>
    <w:p w14:paraId="71BB4A17" w14:textId="77777777" w:rsidR="00370DA6" w:rsidRPr="00B96474" w:rsidRDefault="00370DA6" w:rsidP="00370DA6">
      <w:r w:rsidRPr="004A11F6">
        <w:rPr>
          <w:rFonts w:ascii="Segoe UI" w:hAnsi="Segoe UI" w:cs="Segoe UI"/>
        </w:rPr>
        <w:t>These services relate to the collection of fees prescribed in the RSA.</w:t>
      </w:r>
    </w:p>
    <w:tbl>
      <w:tblPr>
        <w:tblStyle w:val="RIS-Table2"/>
        <w:tblW w:w="0" w:type="auto"/>
        <w:tblLayout w:type="fixed"/>
        <w:tblLook w:val="04A0" w:firstRow="1" w:lastRow="0" w:firstColumn="1" w:lastColumn="0" w:noHBand="0" w:noVBand="1"/>
      </w:tblPr>
      <w:tblGrid>
        <w:gridCol w:w="2552"/>
        <w:gridCol w:w="6804"/>
      </w:tblGrid>
      <w:tr w:rsidR="00370DA6" w:rsidRPr="00117C96" w14:paraId="4D86B970" w14:textId="77777777" w:rsidTr="00370DA6">
        <w:trPr>
          <w:cnfStyle w:val="100000000000" w:firstRow="1" w:lastRow="0" w:firstColumn="0" w:lastColumn="0" w:oddVBand="0" w:evenVBand="0" w:oddHBand="0" w:evenHBand="0" w:firstRowFirstColumn="0" w:firstRowLastColumn="0" w:lastRowFirstColumn="0" w:lastRowLastColumn="0"/>
        </w:trPr>
        <w:tc>
          <w:tcPr>
            <w:tcW w:w="2552" w:type="dxa"/>
          </w:tcPr>
          <w:p w14:paraId="39164F63" w14:textId="77777777" w:rsidR="00370DA6" w:rsidRPr="00117C96" w:rsidRDefault="00370DA6" w:rsidP="00370DA6">
            <w:pPr>
              <w:pStyle w:val="TableHeaders"/>
            </w:pPr>
            <w:r>
              <w:t>Services</w:t>
            </w:r>
          </w:p>
        </w:tc>
        <w:tc>
          <w:tcPr>
            <w:tcW w:w="6804" w:type="dxa"/>
          </w:tcPr>
          <w:p w14:paraId="27F06CB2" w14:textId="77777777" w:rsidR="00370DA6" w:rsidRPr="00117C96" w:rsidRDefault="00370DA6" w:rsidP="00370DA6">
            <w:pPr>
              <w:pStyle w:val="TableHeaders"/>
            </w:pPr>
            <w:r>
              <w:t xml:space="preserve">Service </w:t>
            </w:r>
            <w:r w:rsidRPr="00117C96">
              <w:t>Description</w:t>
            </w:r>
          </w:p>
        </w:tc>
      </w:tr>
      <w:tr w:rsidR="00370DA6" w:rsidRPr="00EF7B9B" w14:paraId="7D5E43E9" w14:textId="77777777" w:rsidTr="00370DA6">
        <w:tc>
          <w:tcPr>
            <w:tcW w:w="2552" w:type="dxa"/>
          </w:tcPr>
          <w:p w14:paraId="4484D02F" w14:textId="77777777" w:rsidR="00370DA6" w:rsidRPr="00EA71F6" w:rsidRDefault="00370DA6" w:rsidP="00370DA6">
            <w:pPr>
              <w:pStyle w:val="TableParagraph"/>
              <w:rPr>
                <w:b/>
              </w:rPr>
            </w:pPr>
            <w:r>
              <w:rPr>
                <w:b/>
              </w:rPr>
              <w:t>Licence Issue and Renewal Administration</w:t>
            </w:r>
            <w:r w:rsidRPr="00424CEB">
              <w:rPr>
                <w:b/>
              </w:rPr>
              <w:t xml:space="preserve"> </w:t>
            </w:r>
          </w:p>
        </w:tc>
        <w:tc>
          <w:tcPr>
            <w:tcW w:w="6804" w:type="dxa"/>
          </w:tcPr>
          <w:p w14:paraId="36337464" w14:textId="77777777" w:rsidR="00370DA6" w:rsidRPr="00712689" w:rsidRDefault="00370DA6" w:rsidP="00370DA6">
            <w:pPr>
              <w:pStyle w:val="TableList1"/>
              <w:ind w:left="360" w:hanging="360"/>
            </w:pPr>
            <w:r w:rsidRPr="00712689">
              <w:t>Conduct evidence of identity check to confirm identity of the customer and assess test results at the CSC</w:t>
            </w:r>
          </w:p>
          <w:p w14:paraId="6F04E795" w14:textId="77777777" w:rsidR="00370DA6" w:rsidRPr="00712689" w:rsidRDefault="00370DA6" w:rsidP="00370DA6">
            <w:pPr>
              <w:pStyle w:val="TableList2"/>
            </w:pPr>
            <w:r w:rsidRPr="00712689">
              <w:t>Customer is eligible for a Learner permit on successful completion of the Knowledge Test and an eye sight test</w:t>
            </w:r>
          </w:p>
          <w:p w14:paraId="2A35355E" w14:textId="77777777" w:rsidR="00370DA6" w:rsidRPr="00712689" w:rsidRDefault="00370DA6" w:rsidP="00370DA6">
            <w:pPr>
              <w:pStyle w:val="TableList2"/>
            </w:pPr>
            <w:r w:rsidRPr="00712689">
              <w:t>Customer is eligible for a Licence once the Hazard Perception Test and the Drive Test have been successfully completed</w:t>
            </w:r>
          </w:p>
          <w:p w14:paraId="564D22E6" w14:textId="77777777" w:rsidR="00370DA6" w:rsidRPr="00712689" w:rsidRDefault="00370DA6" w:rsidP="00370DA6">
            <w:pPr>
              <w:pStyle w:val="TableList1"/>
              <w:ind w:left="360" w:hanging="360"/>
            </w:pPr>
            <w:r w:rsidRPr="00712689">
              <w:t>Process payment</w:t>
            </w:r>
          </w:p>
          <w:p w14:paraId="6840C3E5" w14:textId="77777777" w:rsidR="00370DA6" w:rsidRPr="00712689" w:rsidRDefault="00370DA6" w:rsidP="00370DA6">
            <w:pPr>
              <w:pStyle w:val="TableList1"/>
              <w:ind w:left="360" w:hanging="360"/>
            </w:pPr>
            <w:r w:rsidRPr="00712689">
              <w:t>Take a photograph of the customer for the driver licence or learner permit</w:t>
            </w:r>
          </w:p>
          <w:p w14:paraId="17A80914" w14:textId="77777777" w:rsidR="00370DA6" w:rsidRPr="00712689" w:rsidRDefault="00370DA6" w:rsidP="00370DA6">
            <w:pPr>
              <w:pStyle w:val="TableList1"/>
              <w:ind w:left="360" w:hanging="360"/>
            </w:pPr>
            <w:r w:rsidRPr="00712689">
              <w:t>Update the customer’s licence or learner permit status in DLS and set the appropriate expiry date (typically 3 or 10 years)</w:t>
            </w:r>
          </w:p>
          <w:p w14:paraId="2470F26C" w14:textId="77777777" w:rsidR="00370DA6" w:rsidRPr="00712689" w:rsidRDefault="00370DA6" w:rsidP="00370DA6">
            <w:pPr>
              <w:pStyle w:val="TableList1"/>
              <w:ind w:left="360" w:hanging="360"/>
            </w:pPr>
            <w:r w:rsidRPr="00712689">
              <w:t>Issue a temporary licence or learner permit receipt to the customer to use until a licence or learner permit card is printed and posted to them within 10 days</w:t>
            </w:r>
          </w:p>
          <w:p w14:paraId="1C10EEE1" w14:textId="77777777" w:rsidR="00370DA6" w:rsidRDefault="00370DA6" w:rsidP="00370DA6">
            <w:pPr>
              <w:pStyle w:val="TableList1"/>
              <w:ind w:left="360" w:hanging="360"/>
            </w:pPr>
            <w:r w:rsidRPr="00712689">
              <w:t>Notify the customer by mail that payment is required by a designated date if the payment is dishonoured or the licence will become void</w:t>
            </w:r>
          </w:p>
          <w:p w14:paraId="50A8F8D1" w14:textId="77777777" w:rsidR="00370DA6" w:rsidRPr="002F7C42" w:rsidRDefault="00370DA6" w:rsidP="00370DA6">
            <w:pPr>
              <w:pStyle w:val="TableList1"/>
              <w:ind w:left="360" w:hanging="360"/>
            </w:pPr>
            <w:r>
              <w:t>Print and post licence or permit</w:t>
            </w:r>
          </w:p>
        </w:tc>
      </w:tr>
      <w:tr w:rsidR="00370DA6" w:rsidRPr="00EF7B9B" w14:paraId="47B9D732" w14:textId="77777777" w:rsidTr="00370DA6">
        <w:trPr>
          <w:cnfStyle w:val="000000010000" w:firstRow="0" w:lastRow="0" w:firstColumn="0" w:lastColumn="0" w:oddVBand="0" w:evenVBand="0" w:oddHBand="0" w:evenHBand="1" w:firstRowFirstColumn="0" w:firstRowLastColumn="0" w:lastRowFirstColumn="0" w:lastRowLastColumn="0"/>
        </w:trPr>
        <w:tc>
          <w:tcPr>
            <w:tcW w:w="2552" w:type="dxa"/>
          </w:tcPr>
          <w:p w14:paraId="2460479E" w14:textId="77777777" w:rsidR="00370DA6" w:rsidRPr="00EA71F6" w:rsidRDefault="00370DA6" w:rsidP="00370DA6">
            <w:pPr>
              <w:pStyle w:val="TableParagraph"/>
              <w:rPr>
                <w:b/>
              </w:rPr>
            </w:pPr>
            <w:r>
              <w:rPr>
                <w:b/>
              </w:rPr>
              <w:t>Vehicle Registration Renewal and Re-issue Administration</w:t>
            </w:r>
          </w:p>
        </w:tc>
        <w:tc>
          <w:tcPr>
            <w:tcW w:w="6804" w:type="dxa"/>
          </w:tcPr>
          <w:p w14:paraId="1CA8498C" w14:textId="77777777" w:rsidR="00370DA6" w:rsidRPr="004A11F6" w:rsidRDefault="00370DA6" w:rsidP="00370DA6">
            <w:pPr>
              <w:pStyle w:val="TableList1"/>
              <w:numPr>
                <w:ilvl w:val="0"/>
                <w:numId w:val="0"/>
              </w:numPr>
            </w:pPr>
            <w:r>
              <w:rPr>
                <w:b/>
              </w:rPr>
              <w:t>Registration Renewal:</w:t>
            </w:r>
          </w:p>
          <w:p w14:paraId="7F1A4ED5" w14:textId="77777777" w:rsidR="00370DA6" w:rsidRPr="00CD2C78" w:rsidRDefault="00370DA6" w:rsidP="00370DA6">
            <w:pPr>
              <w:pStyle w:val="TableList1"/>
              <w:ind w:left="360" w:hanging="360"/>
            </w:pPr>
            <w:r>
              <w:t>Issue</w:t>
            </w:r>
            <w:r w:rsidRPr="00CD2C78">
              <w:t xml:space="preserve"> a renewal notice to the customer six weeks before registration expires</w:t>
            </w:r>
            <w:r>
              <w:t>.</w:t>
            </w:r>
          </w:p>
          <w:p w14:paraId="2F4F2C74" w14:textId="77777777" w:rsidR="00370DA6" w:rsidRDefault="00370DA6" w:rsidP="00370DA6">
            <w:pPr>
              <w:pStyle w:val="TableList1"/>
              <w:ind w:left="360" w:hanging="360"/>
            </w:pPr>
            <w:r>
              <w:t>Process</w:t>
            </w:r>
            <w:r w:rsidRPr="00CD2C78">
              <w:t xml:space="preserve"> payment received by post, online, BPay, telephone, or in person at the counter (CSC’s, Australia Post locations or various agencies)</w:t>
            </w:r>
            <w:r>
              <w:t>.</w:t>
            </w:r>
          </w:p>
          <w:p w14:paraId="0B692759" w14:textId="77777777" w:rsidR="00370DA6" w:rsidRDefault="00370DA6" w:rsidP="00370DA6">
            <w:pPr>
              <w:pStyle w:val="TableList1"/>
              <w:ind w:left="360" w:hanging="360"/>
            </w:pPr>
            <w:r>
              <w:lastRenderedPageBreak/>
              <w:t xml:space="preserve">Update registration status using VRIS </w:t>
            </w:r>
            <w:r w:rsidRPr="00CD2C78">
              <w:t>to expire at a ne</w:t>
            </w:r>
            <w:r>
              <w:t>w date (typically in 12 months or, in the case of short-term registration, 3 or 6 months).</w:t>
            </w:r>
          </w:p>
          <w:p w14:paraId="5C174690" w14:textId="77777777" w:rsidR="00370DA6" w:rsidRDefault="00370DA6" w:rsidP="00370DA6">
            <w:pPr>
              <w:pStyle w:val="TableList1"/>
              <w:ind w:left="360" w:hanging="360"/>
            </w:pPr>
            <w:r>
              <w:t>Issue</w:t>
            </w:r>
            <w:r w:rsidRPr="00E467C1">
              <w:t xml:space="preserve"> </w:t>
            </w:r>
            <w:r>
              <w:t>a reminder notice</w:t>
            </w:r>
            <w:r w:rsidRPr="00E467C1">
              <w:t xml:space="preserve"> to the customer if payment </w:t>
            </w:r>
            <w:r>
              <w:t>is</w:t>
            </w:r>
            <w:r w:rsidRPr="00E467C1">
              <w:t xml:space="preserve"> not received by the due date</w:t>
            </w:r>
            <w:r>
              <w:t>.</w:t>
            </w:r>
          </w:p>
          <w:p w14:paraId="03FAFC3A" w14:textId="77777777" w:rsidR="00370DA6" w:rsidRDefault="00370DA6" w:rsidP="00370DA6">
            <w:pPr>
              <w:pStyle w:val="TableList1"/>
              <w:ind w:left="360" w:hanging="360"/>
            </w:pPr>
            <w:r>
              <w:t xml:space="preserve">Notify the customer by mail </w:t>
            </w:r>
            <w:r w:rsidRPr="00CD2C78">
              <w:t xml:space="preserve">that payment is required by a designated date if the payment is </w:t>
            </w:r>
            <w:r>
              <w:t>dishonoured or the vehicle will become unregistered from that date.</w:t>
            </w:r>
          </w:p>
          <w:p w14:paraId="4EAADE7D" w14:textId="77777777" w:rsidR="00370DA6" w:rsidRDefault="00370DA6" w:rsidP="00370DA6">
            <w:pPr>
              <w:pStyle w:val="TableList1"/>
              <w:numPr>
                <w:ilvl w:val="0"/>
                <w:numId w:val="0"/>
              </w:numPr>
              <w:ind w:left="208" w:hanging="208"/>
            </w:pPr>
            <w:r w:rsidRPr="0022507B">
              <w:rPr>
                <w:b/>
              </w:rPr>
              <w:t>Registration reissue following a lapse in registration</w:t>
            </w:r>
            <w:r>
              <w:rPr>
                <w:b/>
              </w:rPr>
              <w:t>:</w:t>
            </w:r>
          </w:p>
          <w:p w14:paraId="0C263BB4" w14:textId="77777777" w:rsidR="00370DA6" w:rsidRPr="00D152DA" w:rsidRDefault="00370DA6" w:rsidP="00370DA6">
            <w:pPr>
              <w:pStyle w:val="TableList1"/>
              <w:ind w:left="360" w:hanging="360"/>
            </w:pPr>
            <w:r w:rsidRPr="00D152DA">
              <w:t xml:space="preserve">Conduct evidence of identity check at CSCs to confirm identity of the </w:t>
            </w:r>
            <w:r>
              <w:t>customer. If new customer, obtain details and create the customer record in VRIS.</w:t>
            </w:r>
          </w:p>
          <w:p w14:paraId="31CD1726" w14:textId="77777777" w:rsidR="00370DA6" w:rsidRPr="00D152DA" w:rsidRDefault="00370DA6" w:rsidP="00370DA6">
            <w:pPr>
              <w:pStyle w:val="TableList1"/>
              <w:ind w:left="360" w:hanging="360"/>
            </w:pPr>
            <w:r w:rsidRPr="00D152DA">
              <w:t xml:space="preserve">Verify vehicle details on </w:t>
            </w:r>
            <w:r>
              <w:t>VRIS</w:t>
            </w:r>
            <w:r w:rsidRPr="00D152DA">
              <w:t xml:space="preserve"> and check RWC</w:t>
            </w:r>
            <w:r>
              <w:t>.</w:t>
            </w:r>
          </w:p>
          <w:p w14:paraId="23FDCD78" w14:textId="77777777" w:rsidR="00370DA6" w:rsidRPr="00D152DA" w:rsidRDefault="00370DA6" w:rsidP="00370DA6">
            <w:pPr>
              <w:pStyle w:val="TableList1"/>
              <w:ind w:left="360" w:hanging="360"/>
            </w:pPr>
            <w:r>
              <w:t>Process</w:t>
            </w:r>
            <w:r w:rsidRPr="00CD2C78">
              <w:t xml:space="preserve"> payment</w:t>
            </w:r>
            <w:r>
              <w:t>.</w:t>
            </w:r>
            <w:r w:rsidRPr="00CD2C78">
              <w:t xml:space="preserve"> </w:t>
            </w:r>
          </w:p>
          <w:p w14:paraId="5AC04511" w14:textId="77777777" w:rsidR="00370DA6" w:rsidRDefault="00370DA6" w:rsidP="00370DA6">
            <w:pPr>
              <w:pStyle w:val="TableList1"/>
              <w:ind w:left="360" w:hanging="360"/>
            </w:pPr>
            <w:r>
              <w:t xml:space="preserve">Update the vehicle registration status using VRIS </w:t>
            </w:r>
            <w:r w:rsidRPr="00D152DA">
              <w:t>to reflect payment status</w:t>
            </w:r>
            <w:r>
              <w:t>.</w:t>
            </w:r>
          </w:p>
          <w:p w14:paraId="1D267A2A" w14:textId="77777777" w:rsidR="00370DA6" w:rsidRDefault="00370DA6" w:rsidP="00370DA6">
            <w:pPr>
              <w:pStyle w:val="TableList1"/>
              <w:ind w:left="360" w:hanging="360"/>
            </w:pPr>
            <w:r>
              <w:t>Link the vehicle registration to the new operator if there has been a change of operator.</w:t>
            </w:r>
          </w:p>
          <w:p w14:paraId="682960B1" w14:textId="77777777" w:rsidR="00370DA6" w:rsidRPr="00D152DA" w:rsidRDefault="00370DA6" w:rsidP="00370DA6">
            <w:pPr>
              <w:pStyle w:val="TableList1"/>
              <w:ind w:left="360" w:hanging="360"/>
            </w:pPr>
            <w:r w:rsidRPr="00D152DA">
              <w:t>Issue Registration certificate</w:t>
            </w:r>
            <w:r>
              <w:t>.</w:t>
            </w:r>
          </w:p>
          <w:p w14:paraId="166F526D" w14:textId="77777777" w:rsidR="00370DA6" w:rsidRPr="002F7C42" w:rsidRDefault="00370DA6" w:rsidP="00370DA6">
            <w:pPr>
              <w:pStyle w:val="TableList1"/>
              <w:ind w:left="360" w:hanging="360"/>
            </w:pPr>
            <w:r>
              <w:t xml:space="preserve">Notify the customer by mail </w:t>
            </w:r>
            <w:r w:rsidRPr="00CD2C78">
              <w:t xml:space="preserve">that payment is required by a designated date if the payment is </w:t>
            </w:r>
            <w:r>
              <w:t>dishonoured or the vehicle will become unregistered from that date.</w:t>
            </w:r>
          </w:p>
        </w:tc>
      </w:tr>
    </w:tbl>
    <w:p w14:paraId="3F816A76" w14:textId="77777777" w:rsidR="00370DA6" w:rsidRDefault="00370DA6" w:rsidP="008F0B24">
      <w:pPr>
        <w:pStyle w:val="TextPara"/>
        <w:sectPr w:rsidR="00370DA6" w:rsidSect="00910C49">
          <w:headerReference w:type="even" r:id="rId65"/>
          <w:headerReference w:type="default" r:id="rId66"/>
          <w:headerReference w:type="first" r:id="rId67"/>
          <w:endnotePr>
            <w:numFmt w:val="decimal"/>
          </w:endnotePr>
          <w:pgSz w:w="11906" w:h="16838" w:code="9"/>
          <w:pgMar w:top="1418" w:right="1134" w:bottom="1418" w:left="1247" w:header="567" w:footer="397" w:gutter="0"/>
          <w:cols w:space="708"/>
          <w:docGrid w:linePitch="360"/>
        </w:sectPr>
      </w:pPr>
    </w:p>
    <w:p w14:paraId="62DE0DC7" w14:textId="77777777" w:rsidR="00370DA6" w:rsidRDefault="00370DA6" w:rsidP="00370DA6">
      <w:pPr>
        <w:pStyle w:val="Heading1"/>
        <w:pageBreakBefore/>
        <w:spacing w:before="240" w:after="240"/>
      </w:pPr>
      <w:bookmarkStart w:id="726" w:name="_Toc4084226"/>
      <w:bookmarkStart w:id="727" w:name="_Toc10703508"/>
      <w:r>
        <w:lastRenderedPageBreak/>
        <w:t>Cost Recovery Assessment Approach</w:t>
      </w:r>
      <w:bookmarkEnd w:id="726"/>
      <w:bookmarkEnd w:id="727"/>
    </w:p>
    <w:p w14:paraId="7BC36E1F" w14:textId="77777777" w:rsidR="00370DA6" w:rsidRPr="00B238CA" w:rsidRDefault="00370DA6" w:rsidP="001F41E7">
      <w:pPr>
        <w:spacing w:after="60"/>
        <w:rPr>
          <w:rFonts w:ascii="Segoe UI" w:hAnsi="Segoe UI" w:cs="Segoe UI"/>
        </w:rPr>
      </w:pPr>
      <w:r w:rsidRPr="00B238CA">
        <w:rPr>
          <w:rFonts w:ascii="Segoe UI" w:hAnsi="Segoe UI" w:cs="Segoe UI"/>
          <w:szCs w:val="20"/>
        </w:rPr>
        <w:t>The Department of Treasury and Finance (DTF) Costs Recovery guidelines, suggest that government entities should strive to recover the full costs of delivering services to promote the efficient consumption of the numerous services that they provide.</w:t>
      </w:r>
    </w:p>
    <w:p w14:paraId="13648B82" w14:textId="77777777" w:rsidR="00370DA6" w:rsidRDefault="00370DA6" w:rsidP="00370DA6">
      <w:pPr>
        <w:pStyle w:val="Heading2"/>
        <w:spacing w:before="240" w:after="180"/>
      </w:pPr>
      <w:bookmarkStart w:id="728" w:name="_Toc4084227"/>
      <w:bookmarkStart w:id="729" w:name="_Toc10703509"/>
      <w:r>
        <w:t>Services Groups</w:t>
      </w:r>
      <w:bookmarkEnd w:id="728"/>
      <w:bookmarkEnd w:id="729"/>
    </w:p>
    <w:p w14:paraId="1348B19A" w14:textId="77777777" w:rsidR="00370DA6" w:rsidRDefault="00370DA6" w:rsidP="00B250E7">
      <w:pPr>
        <w:pStyle w:val="TextPara"/>
      </w:pPr>
      <w:r>
        <w:t>Section</w:t>
      </w:r>
      <w:r w:rsidRPr="00B238CA">
        <w:t xml:space="preserve"> 97A of the </w:t>
      </w:r>
      <w:r w:rsidRPr="00364105">
        <w:rPr>
          <w:i/>
        </w:rPr>
        <w:t>RSA</w:t>
      </w:r>
      <w:r w:rsidRPr="00B238CA">
        <w:t xml:space="preserve"> enables VicRoads to charge administrative fees for services it provides relating to the licensing of drivers and the registration of vehicles.</w:t>
      </w:r>
      <w:r>
        <w:t xml:space="preserve"> </w:t>
      </w:r>
      <w:r w:rsidRPr="008012F2">
        <w:t xml:space="preserve">The </w:t>
      </w:r>
      <w:r>
        <w:rPr>
          <w:b/>
        </w:rPr>
        <w:t>S</w:t>
      </w:r>
      <w:r w:rsidRPr="008012F2">
        <w:rPr>
          <w:b/>
        </w:rPr>
        <w:t>ervices</w:t>
      </w:r>
      <w:r w:rsidRPr="008012F2">
        <w:t xml:space="preserve"> </w:t>
      </w:r>
      <w:r w:rsidRPr="00140012">
        <w:rPr>
          <w:b/>
        </w:rPr>
        <w:t>Groups</w:t>
      </w:r>
      <w:r>
        <w:t xml:space="preserve"> in</w:t>
      </w:r>
      <w:r w:rsidRPr="00B238CA">
        <w:t xml:space="preserve"> this section </w:t>
      </w:r>
      <w:r>
        <w:t>are:</w:t>
      </w:r>
      <w:r w:rsidRPr="008012F2">
        <w:t xml:space="preserve"> </w:t>
      </w:r>
      <w:r>
        <w:t>Licence and Learner Permit Administration; Licence and Permit Testing; Driver Behaviour Management (sanctions and alcohol interlocks); Medical Fitness-to-Drive Review; and Information Extracts and Reports.</w:t>
      </w:r>
    </w:p>
    <w:p w14:paraId="66D21D56" w14:textId="77777777" w:rsidR="00370DA6" w:rsidRPr="00B238CA" w:rsidRDefault="00370DA6" w:rsidP="00364105">
      <w:pPr>
        <w:spacing w:after="60"/>
        <w:rPr>
          <w:rFonts w:ascii="Segoe UI" w:hAnsi="Segoe UI" w:cs="Segoe UI"/>
          <w:szCs w:val="20"/>
        </w:rPr>
      </w:pPr>
      <w:r w:rsidRPr="00B238CA">
        <w:rPr>
          <w:rFonts w:ascii="Segoe UI" w:hAnsi="Segoe UI" w:cs="Segoe UI"/>
          <w:szCs w:val="20"/>
        </w:rPr>
        <w:t xml:space="preserve">The assessment approach to determine the fees for the proposed </w:t>
      </w:r>
      <w:r w:rsidRPr="00990C9B">
        <w:rPr>
          <w:rFonts w:ascii="Segoe UI" w:hAnsi="Segoe UI" w:cs="Segoe UI"/>
          <w:szCs w:val="20"/>
        </w:rPr>
        <w:t xml:space="preserve">Regulations </w:t>
      </w:r>
      <w:r w:rsidRPr="00B238CA">
        <w:rPr>
          <w:rFonts w:ascii="Segoe UI" w:hAnsi="Segoe UI" w:cs="Segoe UI"/>
          <w:szCs w:val="20"/>
        </w:rPr>
        <w:t>takes into consideration:</w:t>
      </w:r>
    </w:p>
    <w:p w14:paraId="25BC5585" w14:textId="77777777" w:rsidR="00370DA6" w:rsidRPr="00B238CA" w:rsidRDefault="00370DA6" w:rsidP="00370DA6">
      <w:pPr>
        <w:pStyle w:val="Bullet1-Black"/>
      </w:pPr>
      <w:r w:rsidRPr="00B238CA">
        <w:t>the full cost of providing the services inclusive of supporting costs (e.g. overheads)</w:t>
      </w:r>
    </w:p>
    <w:p w14:paraId="45298AA9" w14:textId="77777777" w:rsidR="00370DA6" w:rsidRPr="00B238CA" w:rsidRDefault="00370DA6" w:rsidP="00370DA6">
      <w:pPr>
        <w:pStyle w:val="Bullet1-Black"/>
      </w:pPr>
      <w:r w:rsidRPr="00B238CA">
        <w:t>the demand for those services</w:t>
      </w:r>
    </w:p>
    <w:p w14:paraId="65B949D6" w14:textId="77777777" w:rsidR="00370DA6" w:rsidRPr="00B238CA" w:rsidRDefault="00370DA6" w:rsidP="00370DA6">
      <w:pPr>
        <w:pStyle w:val="Bullet1-Black"/>
      </w:pPr>
      <w:r w:rsidRPr="00B238CA">
        <w:t>adhere</w:t>
      </w:r>
      <w:r>
        <w:t>nce</w:t>
      </w:r>
      <w:r w:rsidRPr="00B238CA">
        <w:t xml:space="preserve"> to the DTF cost recovery principles </w:t>
      </w:r>
      <w:r>
        <w:t xml:space="preserve">below and, where required, balancing their </w:t>
      </w:r>
      <w:r w:rsidRPr="00B238CA">
        <w:t>competing rationales:</w:t>
      </w:r>
    </w:p>
    <w:p w14:paraId="10528BC9" w14:textId="77777777" w:rsidR="00370DA6" w:rsidRPr="00B238CA" w:rsidRDefault="00370DA6" w:rsidP="00370DA6">
      <w:pPr>
        <w:pStyle w:val="Bullet2-Green"/>
        <w:ind w:hanging="360"/>
      </w:pPr>
      <w:r w:rsidRPr="00B238CA">
        <w:rPr>
          <w:b/>
        </w:rPr>
        <w:t>Operational Efficiency</w:t>
      </w:r>
      <w:r w:rsidRPr="00B238CA">
        <w:t xml:space="preserve"> – the cost effectiveness of service delivery</w:t>
      </w:r>
    </w:p>
    <w:p w14:paraId="49C946DB" w14:textId="77777777" w:rsidR="00370DA6" w:rsidRPr="00B238CA" w:rsidRDefault="00370DA6" w:rsidP="00370DA6">
      <w:pPr>
        <w:pStyle w:val="Bullet2-Green"/>
        <w:ind w:hanging="360"/>
      </w:pPr>
      <w:r w:rsidRPr="00B238CA">
        <w:rPr>
          <w:b/>
        </w:rPr>
        <w:t>Equity</w:t>
      </w:r>
      <w:r w:rsidRPr="00B238CA">
        <w:t xml:space="preserve"> – the degree to which those customers that benefit from the service pay the cost of that service and whether exemptions or concessions are applicable</w:t>
      </w:r>
      <w:r>
        <w:t xml:space="preserve"> to achieve equitable outcomes</w:t>
      </w:r>
    </w:p>
    <w:p w14:paraId="49B0192C" w14:textId="77777777" w:rsidR="00370DA6" w:rsidRPr="00B238CA" w:rsidRDefault="00370DA6" w:rsidP="00370DA6">
      <w:pPr>
        <w:pStyle w:val="Bullet2-Green"/>
        <w:ind w:hanging="360"/>
      </w:pPr>
      <w:r w:rsidRPr="00B238CA">
        <w:rPr>
          <w:b/>
        </w:rPr>
        <w:t>Simplicity</w:t>
      </w:r>
      <w:r w:rsidRPr="00B238CA">
        <w:t xml:space="preserve"> – the ease of applying the fee for VicRoads and the customer</w:t>
      </w:r>
      <w:r>
        <w:t>.</w:t>
      </w:r>
    </w:p>
    <w:p w14:paraId="03C2901E" w14:textId="77777777" w:rsidR="00370DA6" w:rsidRPr="00B238CA" w:rsidRDefault="00370DA6" w:rsidP="00370DA6">
      <w:pPr>
        <w:pStyle w:val="Bullet2-Green"/>
        <w:ind w:hanging="360"/>
      </w:pPr>
      <w:r w:rsidRPr="00B238CA">
        <w:rPr>
          <w:b/>
        </w:rPr>
        <w:t>Customer Behaviours</w:t>
      </w:r>
      <w:r w:rsidRPr="00B238CA">
        <w:t xml:space="preserve"> – the degree to which the service and pricing encourages behaviours that ensure responsible consumption, efficient service delivery and alignment with road safety objectives.</w:t>
      </w:r>
    </w:p>
    <w:p w14:paraId="5A1F8E49" w14:textId="77777777" w:rsidR="00370DA6" w:rsidRPr="001F41E7" w:rsidRDefault="00370DA6" w:rsidP="006F63B6">
      <w:pPr>
        <w:pStyle w:val="TextPara"/>
      </w:pPr>
      <w:r w:rsidRPr="001F41E7">
        <w:t>For each Services Group</w:t>
      </w:r>
      <w:r>
        <w:t>,</w:t>
      </w:r>
      <w:r w:rsidRPr="001F41E7">
        <w:t xml:space="preserve"> three </w:t>
      </w:r>
      <w:r>
        <w:t xml:space="preserve">broad </w:t>
      </w:r>
      <w:r w:rsidRPr="001F41E7">
        <w:t>options will be considered, taking into account how the cost recovery principles apply. The options are:</w:t>
      </w:r>
    </w:p>
    <w:p w14:paraId="07A279FD" w14:textId="77777777" w:rsidR="00370DA6" w:rsidRPr="00B238CA" w:rsidRDefault="00370DA6" w:rsidP="00370DA6">
      <w:pPr>
        <w:pStyle w:val="Bullet1-Black"/>
      </w:pPr>
      <w:r w:rsidRPr="00B238CA">
        <w:rPr>
          <w:b/>
        </w:rPr>
        <w:t>No cost recovery</w:t>
      </w:r>
      <w:r w:rsidRPr="00B238CA">
        <w:t xml:space="preserve"> – where no fees are charged for the service and hence the cost to deliver the service is funded through other government revenues (e.g. taxes)</w:t>
      </w:r>
    </w:p>
    <w:p w14:paraId="7F2E8EDC" w14:textId="77777777" w:rsidR="00370DA6" w:rsidRPr="00B238CA" w:rsidRDefault="00370DA6" w:rsidP="00370DA6">
      <w:pPr>
        <w:pStyle w:val="Bullet1-Black"/>
      </w:pPr>
      <w:r w:rsidRPr="00B238CA">
        <w:rPr>
          <w:b/>
        </w:rPr>
        <w:t>Partial cost recovery</w:t>
      </w:r>
      <w:r w:rsidRPr="00B238CA">
        <w:t xml:space="preserve"> – where fees are charged for the service at rates which consider </w:t>
      </w:r>
      <w:r w:rsidR="00564006">
        <w:t>factors such as relative public/private benefit, other government objectives,</w:t>
      </w:r>
      <w:r w:rsidRPr="00B238CA">
        <w:t xml:space="preserve"> affordability and social justice to determine the appropriate fee. As such, part of the cost to deliver the service is funded through government revenues</w:t>
      </w:r>
    </w:p>
    <w:p w14:paraId="382B97B7" w14:textId="77777777" w:rsidR="00370DA6" w:rsidRDefault="00370DA6" w:rsidP="00370DA6">
      <w:pPr>
        <w:pStyle w:val="Bullet1-Black"/>
      </w:pPr>
      <w:r w:rsidRPr="00B238CA">
        <w:rPr>
          <w:b/>
        </w:rPr>
        <w:t>Full cost recovery</w:t>
      </w:r>
      <w:r w:rsidRPr="00B238CA">
        <w:t xml:space="preserve"> – where fees are charged for the service at rates which recover the full cost of delivering the service. </w:t>
      </w:r>
    </w:p>
    <w:p w14:paraId="7B6822D1" w14:textId="77777777" w:rsidR="00370DA6" w:rsidRPr="001F41E7" w:rsidRDefault="00370DA6" w:rsidP="001F41E7">
      <w:pPr>
        <w:spacing w:after="60"/>
        <w:ind w:left="360"/>
        <w:contextualSpacing/>
        <w:rPr>
          <w:szCs w:val="20"/>
        </w:rPr>
      </w:pPr>
    </w:p>
    <w:p w14:paraId="650C95DF" w14:textId="77777777" w:rsidR="00370DA6" w:rsidRPr="00FA20AC" w:rsidRDefault="00370DA6" w:rsidP="00370DA6">
      <w:pPr>
        <w:pStyle w:val="Heading2"/>
        <w:spacing w:before="240" w:after="180"/>
      </w:pPr>
      <w:bookmarkStart w:id="730" w:name="_Toc4084228"/>
      <w:bookmarkStart w:id="731" w:name="_Toc10703510"/>
      <w:r>
        <w:t>Permissions Groups and Servicing Agreements Groups</w:t>
      </w:r>
      <w:bookmarkEnd w:id="730"/>
      <w:bookmarkEnd w:id="731"/>
    </w:p>
    <w:p w14:paraId="2EDE8639" w14:textId="40A82AF5" w:rsidR="00370DA6" w:rsidRDefault="00370DA6" w:rsidP="006F63B6">
      <w:pPr>
        <w:pStyle w:val="TextPara"/>
      </w:pPr>
      <w:r w:rsidRPr="006751EE">
        <w:t xml:space="preserve">Section 95(6) </w:t>
      </w:r>
      <w:r>
        <w:t xml:space="preserve">of the </w:t>
      </w:r>
      <w:r w:rsidRPr="008012F2">
        <w:rPr>
          <w:i/>
        </w:rPr>
        <w:t>RSA</w:t>
      </w:r>
      <w:r>
        <w:t xml:space="preserve"> </w:t>
      </w:r>
      <w:r w:rsidRPr="006751EE">
        <w:t xml:space="preserve">allows </w:t>
      </w:r>
      <w:r w:rsidRPr="006F63B6">
        <w:t>VicRoads</w:t>
      </w:r>
      <w:r w:rsidRPr="006751EE">
        <w:t xml:space="preserve"> to charge </w:t>
      </w:r>
      <w:r w:rsidRPr="008012F2">
        <w:t>a fee in relation to driver l</w:t>
      </w:r>
      <w:r>
        <w:t xml:space="preserve">icences and learner permits, and </w:t>
      </w:r>
      <w:r w:rsidRPr="008012F2">
        <w:t xml:space="preserve">the registration of motor vehicles or trailers that is </w:t>
      </w:r>
      <w:r>
        <w:t xml:space="preserve">not limited to the </w:t>
      </w:r>
      <w:r w:rsidRPr="008012F2">
        <w:t>cost</w:t>
      </w:r>
      <w:r>
        <w:t xml:space="preserve"> of the service.</w:t>
      </w:r>
      <w:r w:rsidRPr="008012F2">
        <w:t xml:space="preserve"> </w:t>
      </w:r>
      <w:r w:rsidRPr="006751EE">
        <w:t xml:space="preserve">Section 95(6) </w:t>
      </w:r>
      <w:r>
        <w:t xml:space="preserve">applies to the </w:t>
      </w:r>
      <w:r>
        <w:rPr>
          <w:b/>
        </w:rPr>
        <w:t>Permissions</w:t>
      </w:r>
      <w:r w:rsidRPr="008012F2">
        <w:t xml:space="preserve"> </w:t>
      </w:r>
      <w:r w:rsidRPr="000455A0">
        <w:rPr>
          <w:b/>
        </w:rPr>
        <w:t>Groups</w:t>
      </w:r>
      <w:r>
        <w:t xml:space="preserve"> (</w:t>
      </w:r>
      <w:r w:rsidRPr="001F41E7">
        <w:t>Driver licence – motor vehicle and motorcycle</w:t>
      </w:r>
      <w:r>
        <w:t xml:space="preserve">, and </w:t>
      </w:r>
      <w:r w:rsidRPr="001F41E7">
        <w:t>Learner permit - motor vehicle and motorcycle</w:t>
      </w:r>
      <w:r>
        <w:t xml:space="preserve">). There are no </w:t>
      </w:r>
      <w:r w:rsidRPr="00B238CA">
        <w:rPr>
          <w:b/>
        </w:rPr>
        <w:t>Servicing Agreements Groups</w:t>
      </w:r>
      <w:r>
        <w:rPr>
          <w:b/>
        </w:rPr>
        <w:t xml:space="preserve"> </w:t>
      </w:r>
      <w:r w:rsidRPr="001F41E7">
        <w:t>applicable</w:t>
      </w:r>
      <w:r>
        <w:t xml:space="preserve"> to the proposed Regulations</w:t>
      </w:r>
      <w:r w:rsidRPr="001F41E7">
        <w:t>.</w:t>
      </w:r>
      <w:r>
        <w:rPr>
          <w:b/>
        </w:rPr>
        <w:t xml:space="preserve"> </w:t>
      </w:r>
    </w:p>
    <w:p w14:paraId="29CFF600" w14:textId="5389C2E3" w:rsidR="00370DA6" w:rsidRPr="006F63B6" w:rsidRDefault="00370DA6" w:rsidP="006F63B6">
      <w:pPr>
        <w:pStyle w:val="TextPara"/>
      </w:pPr>
      <w:r w:rsidRPr="00B238CA">
        <w:t xml:space="preserve">The assessment approach to determine the fees for the proposed </w:t>
      </w:r>
      <w:r w:rsidRPr="00990C9B">
        <w:t xml:space="preserve">Regulations </w:t>
      </w:r>
      <w:r w:rsidRPr="00B238CA">
        <w:t>takes into consideration</w:t>
      </w:r>
      <w:r w:rsidR="00F77E91">
        <w:t xml:space="preserve"> three factors</w:t>
      </w:r>
      <w:r w:rsidRPr="00B238CA">
        <w:t>:</w:t>
      </w:r>
    </w:p>
    <w:p w14:paraId="42D169FF" w14:textId="77777777" w:rsidR="00881884" w:rsidRPr="00881884" w:rsidRDefault="00881884" w:rsidP="00881884">
      <w:pPr>
        <w:numPr>
          <w:ilvl w:val="0"/>
          <w:numId w:val="1"/>
        </w:numPr>
        <w:spacing w:before="80" w:after="40" w:line="280" w:lineRule="exact"/>
        <w:rPr>
          <w:rFonts w:ascii="Segoe UI" w:hAnsi="Segoe UI" w:cs="Segoe UI"/>
          <w:lang w:eastAsia="en-AU"/>
        </w:rPr>
      </w:pPr>
      <w:r w:rsidRPr="00881884">
        <w:rPr>
          <w:rFonts w:ascii="Segoe UI" w:hAnsi="Segoe UI" w:cs="Segoe UI"/>
          <w:lang w:eastAsia="en-AU"/>
        </w:rPr>
        <w:lastRenderedPageBreak/>
        <w:t>The value of the permissions or authorities that the recipient receives (e.g. the value of being able to access the public road network).</w:t>
      </w:r>
    </w:p>
    <w:p w14:paraId="7C2BD958" w14:textId="77777777" w:rsidR="00881884" w:rsidRDefault="00881884" w:rsidP="00D8322D">
      <w:pPr>
        <w:numPr>
          <w:ilvl w:val="0"/>
          <w:numId w:val="1"/>
        </w:numPr>
        <w:spacing w:before="80" w:after="40" w:line="280" w:lineRule="exact"/>
        <w:rPr>
          <w:rFonts w:ascii="Segoe UI" w:hAnsi="Segoe UI" w:cs="Segoe UI"/>
          <w:lang w:eastAsia="en-AU"/>
        </w:rPr>
      </w:pPr>
      <w:r w:rsidRPr="00881884">
        <w:rPr>
          <w:rFonts w:ascii="Segoe UI" w:hAnsi="Segoe UI" w:cs="Segoe UI"/>
          <w:lang w:eastAsia="en-AU"/>
        </w:rPr>
        <w:t>The demand for those permissions or authorities (i.e. how many people want to use the service or permissions at different prices).</w:t>
      </w:r>
    </w:p>
    <w:p w14:paraId="47925D43" w14:textId="71EBBFD9" w:rsidR="00370DA6" w:rsidRPr="00881884" w:rsidRDefault="00881884" w:rsidP="00D8322D">
      <w:pPr>
        <w:numPr>
          <w:ilvl w:val="0"/>
          <w:numId w:val="1"/>
        </w:numPr>
        <w:spacing w:before="80" w:after="40" w:line="280" w:lineRule="exact"/>
        <w:rPr>
          <w:rFonts w:ascii="Segoe UI" w:hAnsi="Segoe UI" w:cs="Segoe UI"/>
          <w:lang w:eastAsia="en-AU"/>
        </w:rPr>
        <w:sectPr w:rsidR="00370DA6" w:rsidRPr="00881884" w:rsidSect="00910C49">
          <w:headerReference w:type="even" r:id="rId68"/>
          <w:headerReference w:type="default" r:id="rId69"/>
          <w:headerReference w:type="first" r:id="rId70"/>
          <w:endnotePr>
            <w:numFmt w:val="decimal"/>
          </w:endnotePr>
          <w:pgSz w:w="11906" w:h="16838" w:code="9"/>
          <w:pgMar w:top="1418" w:right="1134" w:bottom="1418" w:left="1247" w:header="567" w:footer="397" w:gutter="0"/>
          <w:cols w:space="708"/>
          <w:docGrid w:linePitch="360"/>
        </w:sectPr>
      </w:pPr>
      <w:r w:rsidRPr="00881884">
        <w:t>That the public should share in the private value that is created through public service provision (i.e. the general public should not subsidise private benefits to some individuals).</w:t>
      </w:r>
    </w:p>
    <w:p w14:paraId="55109D11" w14:textId="77777777" w:rsidR="00370DA6" w:rsidRDefault="00370DA6" w:rsidP="00370DA6">
      <w:pPr>
        <w:pStyle w:val="Heading1"/>
        <w:pageBreakBefore/>
        <w:spacing w:before="240" w:after="240"/>
      </w:pPr>
      <w:bookmarkStart w:id="732" w:name="_Toc4084229"/>
      <w:bookmarkStart w:id="733" w:name="_Ref4404955"/>
      <w:bookmarkStart w:id="734" w:name="_Ref4415811"/>
      <w:bookmarkStart w:id="735" w:name="_Toc10703511"/>
      <w:r>
        <w:lastRenderedPageBreak/>
        <w:t xml:space="preserve">Services Groups </w:t>
      </w:r>
      <w:r w:rsidRPr="00117C96">
        <w:t>Cost Recovery Appraisal</w:t>
      </w:r>
      <w:bookmarkEnd w:id="732"/>
      <w:bookmarkEnd w:id="733"/>
      <w:bookmarkEnd w:id="734"/>
      <w:bookmarkEnd w:id="735"/>
    </w:p>
    <w:p w14:paraId="79668B2F" w14:textId="77777777" w:rsidR="00370DA6" w:rsidRPr="00B238CA" w:rsidRDefault="00370DA6" w:rsidP="00370DA6">
      <w:pPr>
        <w:pStyle w:val="Heading2"/>
        <w:spacing w:before="240" w:after="180"/>
      </w:pPr>
      <w:bookmarkStart w:id="736" w:name="_Toc4084230"/>
      <w:bookmarkStart w:id="737" w:name="_Toc10703512"/>
      <w:r>
        <w:t>Projected Cost Recovery</w:t>
      </w:r>
      <w:bookmarkEnd w:id="736"/>
      <w:bookmarkEnd w:id="737"/>
    </w:p>
    <w:p w14:paraId="6DF68D7F" w14:textId="326CB12E" w:rsidR="00370DA6" w:rsidRPr="002072D2" w:rsidRDefault="00370DA6" w:rsidP="00F01EEE">
      <w:pPr>
        <w:pStyle w:val="TextPara"/>
        <w:spacing w:before="0" w:line="276" w:lineRule="auto"/>
        <w:rPr>
          <w:rFonts w:cs="Segoe UI"/>
          <w:szCs w:val="20"/>
        </w:rPr>
      </w:pPr>
      <w:r w:rsidRPr="002072D2">
        <w:rPr>
          <w:rFonts w:cs="Segoe UI"/>
          <w:szCs w:val="20"/>
        </w:rPr>
        <w:t xml:space="preserve">The Registration and Licensing (R&amp;L) division of VicRoads endeavours to achieve an equitable distribution of the costs of services to the community in accordance with </w:t>
      </w:r>
      <w:r>
        <w:rPr>
          <w:rFonts w:cs="Segoe UI"/>
          <w:szCs w:val="20"/>
        </w:rPr>
        <w:t xml:space="preserve">the purpose statements in the </w:t>
      </w:r>
      <w:r w:rsidRPr="002072D2">
        <w:rPr>
          <w:rFonts w:cs="Segoe UI"/>
          <w:i/>
          <w:szCs w:val="20"/>
        </w:rPr>
        <w:t>RSA</w:t>
      </w:r>
      <w:r w:rsidRPr="002072D2">
        <w:rPr>
          <w:rFonts w:cs="Segoe UI"/>
          <w:szCs w:val="20"/>
        </w:rPr>
        <w:t xml:space="preserve"> s1(d) - refer </w:t>
      </w:r>
      <w:r>
        <w:rPr>
          <w:rFonts w:cs="Segoe UI"/>
          <w:szCs w:val="20"/>
        </w:rPr>
        <w:fldChar w:fldCharType="begin"/>
      </w:r>
      <w:r>
        <w:rPr>
          <w:rFonts w:cs="Segoe UI"/>
          <w:szCs w:val="20"/>
        </w:rPr>
        <w:instrText xml:space="preserve"> REF _Ref505071030 \h </w:instrText>
      </w:r>
      <w:r>
        <w:rPr>
          <w:rFonts w:cs="Segoe UI"/>
          <w:szCs w:val="20"/>
        </w:rPr>
      </w:r>
      <w:r>
        <w:rPr>
          <w:rFonts w:cs="Segoe UI"/>
          <w:szCs w:val="20"/>
        </w:rPr>
        <w:fldChar w:fldCharType="separate"/>
      </w:r>
      <w:r w:rsidR="00EB4B02" w:rsidRPr="00117C96">
        <w:t xml:space="preserve">Figure </w:t>
      </w:r>
      <w:r w:rsidR="00EB4B02">
        <w:rPr>
          <w:noProof/>
        </w:rPr>
        <w:t>2</w:t>
      </w:r>
      <w:r w:rsidR="00EB4B02" w:rsidRPr="00117C96">
        <w:t xml:space="preserve"> –</w:t>
      </w:r>
      <w:r w:rsidR="00EB4B02">
        <w:t xml:space="preserve"> VicRoads f</w:t>
      </w:r>
      <w:r w:rsidR="00EB4B02" w:rsidRPr="007C0728">
        <w:t>unctional</w:t>
      </w:r>
      <w:r w:rsidR="00EB4B02" w:rsidRPr="00117C96">
        <w:t xml:space="preserve"> framework</w:t>
      </w:r>
      <w:r>
        <w:rPr>
          <w:rFonts w:cs="Segoe UI"/>
          <w:szCs w:val="20"/>
        </w:rPr>
        <w:fldChar w:fldCharType="end"/>
      </w:r>
      <w:r>
        <w:rPr>
          <w:rFonts w:cs="Segoe UI"/>
          <w:szCs w:val="20"/>
        </w:rPr>
        <w:t xml:space="preserve"> </w:t>
      </w:r>
      <w:r>
        <w:fldChar w:fldCharType="begin"/>
      </w:r>
      <w:r>
        <w:instrText xml:space="preserve"> PAGEREF _Ref505071030 \p \h </w:instrText>
      </w:r>
      <w:r>
        <w:fldChar w:fldCharType="separate"/>
      </w:r>
      <w:r w:rsidR="00EB4B02">
        <w:rPr>
          <w:noProof/>
        </w:rPr>
        <w:t>on page 31</w:t>
      </w:r>
      <w:r>
        <w:fldChar w:fldCharType="end"/>
      </w:r>
      <w:r>
        <w:t xml:space="preserve"> above</w:t>
      </w:r>
      <w:r>
        <w:rPr>
          <w:rFonts w:cs="Segoe UI"/>
          <w:szCs w:val="20"/>
        </w:rPr>
        <w:t>.</w:t>
      </w:r>
    </w:p>
    <w:p w14:paraId="269F320E" w14:textId="2ACDC5DC" w:rsidR="00370DA6" w:rsidRDefault="000A0094" w:rsidP="003F32F6">
      <w:pPr>
        <w:pStyle w:val="TextPara"/>
        <w:spacing w:before="0" w:line="276" w:lineRule="auto"/>
      </w:pPr>
      <w:r>
        <w:rPr>
          <w:rFonts w:cs="Segoe UI"/>
          <w:szCs w:val="20"/>
        </w:rPr>
        <w:fldChar w:fldCharType="begin"/>
      </w:r>
      <w:r>
        <w:rPr>
          <w:rFonts w:cs="Segoe UI"/>
          <w:szCs w:val="20"/>
        </w:rPr>
        <w:instrText xml:space="preserve"> REF _Ref4405660 \h </w:instrText>
      </w:r>
      <w:r>
        <w:rPr>
          <w:rFonts w:cs="Segoe UI"/>
          <w:szCs w:val="20"/>
        </w:rPr>
      </w:r>
      <w:r>
        <w:rPr>
          <w:rFonts w:cs="Segoe UI"/>
          <w:szCs w:val="20"/>
        </w:rPr>
        <w:fldChar w:fldCharType="separate"/>
      </w:r>
      <w:r w:rsidR="00EB4B02">
        <w:t xml:space="preserve">Table </w:t>
      </w:r>
      <w:r w:rsidR="00EB4B02">
        <w:rPr>
          <w:noProof/>
        </w:rPr>
        <w:t>50</w:t>
      </w:r>
      <w:r>
        <w:rPr>
          <w:rFonts w:cs="Segoe UI"/>
          <w:szCs w:val="20"/>
        </w:rPr>
        <w:fldChar w:fldCharType="end"/>
      </w:r>
      <w:r>
        <w:rPr>
          <w:rFonts w:cs="Segoe UI"/>
          <w:szCs w:val="20"/>
        </w:rPr>
        <w:t xml:space="preserve"> </w:t>
      </w:r>
      <w:r w:rsidR="00370DA6" w:rsidRPr="00B238CA">
        <w:rPr>
          <w:rFonts w:cs="Segoe UI"/>
          <w:szCs w:val="20"/>
        </w:rPr>
        <w:t>shows a summarised cost recovery estimate based on the proposed fees.</w:t>
      </w:r>
    </w:p>
    <w:p w14:paraId="445012BC" w14:textId="5747D45B" w:rsidR="00370DA6" w:rsidRDefault="00370DA6" w:rsidP="00AA0BBA">
      <w:pPr>
        <w:pStyle w:val="Caption"/>
      </w:pPr>
      <w:bookmarkStart w:id="738" w:name="_Ref4405660"/>
      <w:bookmarkStart w:id="739" w:name="_Toc4084332"/>
      <w:bookmarkStart w:id="740" w:name="_Toc10703743"/>
      <w:r>
        <w:t xml:space="preserve">Table </w:t>
      </w:r>
      <w:r>
        <w:rPr>
          <w:noProof/>
        </w:rPr>
        <w:fldChar w:fldCharType="begin"/>
      </w:r>
      <w:r>
        <w:rPr>
          <w:noProof/>
        </w:rPr>
        <w:instrText xml:space="preserve"> SEQ Table \* ARABIC </w:instrText>
      </w:r>
      <w:r>
        <w:rPr>
          <w:noProof/>
        </w:rPr>
        <w:fldChar w:fldCharType="separate"/>
      </w:r>
      <w:r w:rsidR="00EB4B02">
        <w:rPr>
          <w:noProof/>
        </w:rPr>
        <w:t>50</w:t>
      </w:r>
      <w:r>
        <w:rPr>
          <w:noProof/>
        </w:rPr>
        <w:fldChar w:fldCharType="end"/>
      </w:r>
      <w:bookmarkEnd w:id="738"/>
      <w:r>
        <w:t xml:space="preserve"> – Services Groups Projected Annual</w:t>
      </w:r>
      <w:r w:rsidRPr="00B74FAF">
        <w:t xml:space="preserve"> Cost Recovery: </w:t>
      </w:r>
      <w:r w:rsidRPr="00C443EC">
        <w:t>FY19/20</w:t>
      </w:r>
      <w:r>
        <w:t xml:space="preserve"> to </w:t>
      </w:r>
      <w:r w:rsidRPr="00C443EC">
        <w:t>FY22/23</w:t>
      </w:r>
      <w:r w:rsidRPr="00D34ED7">
        <w:t xml:space="preserve"> </w:t>
      </w:r>
      <w:r>
        <w:t>Average</w:t>
      </w:r>
      <w:bookmarkEnd w:id="739"/>
      <w:bookmarkEnd w:id="740"/>
    </w:p>
    <w:tbl>
      <w:tblPr>
        <w:tblStyle w:val="RIS-Table2"/>
        <w:tblW w:w="9708" w:type="dxa"/>
        <w:tblLook w:val="04A0" w:firstRow="1" w:lastRow="0" w:firstColumn="1" w:lastColumn="0" w:noHBand="0" w:noVBand="1"/>
      </w:tblPr>
      <w:tblGrid>
        <w:gridCol w:w="5524"/>
        <w:gridCol w:w="1559"/>
        <w:gridCol w:w="1312"/>
        <w:gridCol w:w="1313"/>
      </w:tblGrid>
      <w:tr w:rsidR="00370DA6" w:rsidRPr="00123DE6" w14:paraId="50873D37" w14:textId="77777777" w:rsidTr="00CB5888">
        <w:trPr>
          <w:cnfStyle w:val="100000000000" w:firstRow="1" w:lastRow="0" w:firstColumn="0" w:lastColumn="0" w:oddVBand="0" w:evenVBand="0" w:oddHBand="0" w:evenHBand="0" w:firstRowFirstColumn="0" w:firstRowLastColumn="0" w:lastRowFirstColumn="0" w:lastRowLastColumn="0"/>
          <w:trHeight w:val="495"/>
        </w:trPr>
        <w:tc>
          <w:tcPr>
            <w:tcW w:w="5524" w:type="dxa"/>
            <w:hideMark/>
          </w:tcPr>
          <w:p w14:paraId="4EEB935B" w14:textId="77777777" w:rsidR="00370DA6" w:rsidRPr="00123DE6" w:rsidRDefault="00370DA6" w:rsidP="00D269F5">
            <w:pPr>
              <w:pStyle w:val="TableHeaders"/>
              <w:spacing w:line="276" w:lineRule="auto"/>
            </w:pPr>
            <w:r w:rsidRPr="00123DE6">
              <w:t>Drivers</w:t>
            </w:r>
            <w:r>
              <w:t xml:space="preserve"> Regulations</w:t>
            </w:r>
            <w:r w:rsidR="00D269F5">
              <w:br/>
            </w:r>
            <w:r>
              <w:t>Cost Recovery</w:t>
            </w:r>
          </w:p>
        </w:tc>
        <w:tc>
          <w:tcPr>
            <w:tcW w:w="1559" w:type="dxa"/>
            <w:hideMark/>
          </w:tcPr>
          <w:p w14:paraId="3E80FAD3" w14:textId="77777777" w:rsidR="00370DA6" w:rsidRPr="00123DE6" w:rsidRDefault="00370DA6" w:rsidP="00D269F5">
            <w:pPr>
              <w:pStyle w:val="TableHeaders"/>
              <w:spacing w:line="276" w:lineRule="auto"/>
            </w:pPr>
            <w:r w:rsidRPr="00123DE6">
              <w:t>Costs</w:t>
            </w:r>
            <w:r w:rsidR="00D269F5">
              <w:br/>
            </w:r>
            <w:r>
              <w:t>$m (PV)</w:t>
            </w:r>
          </w:p>
        </w:tc>
        <w:tc>
          <w:tcPr>
            <w:tcW w:w="1312" w:type="dxa"/>
            <w:hideMark/>
          </w:tcPr>
          <w:p w14:paraId="752358A6" w14:textId="77777777" w:rsidR="00370DA6" w:rsidRPr="00123DE6" w:rsidRDefault="00370DA6" w:rsidP="00D269F5">
            <w:pPr>
              <w:pStyle w:val="TableHeaders"/>
              <w:spacing w:line="276" w:lineRule="auto"/>
            </w:pPr>
            <w:r w:rsidRPr="00123DE6">
              <w:t>Revenue</w:t>
            </w:r>
            <w:r w:rsidR="00D269F5">
              <w:br/>
            </w:r>
            <w:r>
              <w:t>$m (PV)</w:t>
            </w:r>
          </w:p>
        </w:tc>
        <w:tc>
          <w:tcPr>
            <w:tcW w:w="1313" w:type="dxa"/>
            <w:noWrap/>
            <w:hideMark/>
          </w:tcPr>
          <w:p w14:paraId="680CDD00" w14:textId="77777777" w:rsidR="00370DA6" w:rsidRPr="00123DE6" w:rsidRDefault="00370DA6" w:rsidP="00D269F5">
            <w:pPr>
              <w:pStyle w:val="TableHeaders"/>
              <w:spacing w:line="276" w:lineRule="auto"/>
            </w:pPr>
            <w:r>
              <w:t>Recovery</w:t>
            </w:r>
            <w:r w:rsidR="00D269F5">
              <w:br/>
            </w:r>
            <w:r>
              <w:t>$m (PV)</w:t>
            </w:r>
          </w:p>
        </w:tc>
      </w:tr>
      <w:tr w:rsidR="00370DA6" w:rsidRPr="006979E1" w14:paraId="26E23C33" w14:textId="77777777" w:rsidTr="00CB5888">
        <w:trPr>
          <w:trHeight w:val="315"/>
        </w:trPr>
        <w:tc>
          <w:tcPr>
            <w:tcW w:w="9708" w:type="dxa"/>
            <w:gridSpan w:val="4"/>
            <w:noWrap/>
            <w:hideMark/>
          </w:tcPr>
          <w:p w14:paraId="6F443641" w14:textId="77777777" w:rsidR="00370DA6" w:rsidRPr="006979E1" w:rsidRDefault="00370DA6" w:rsidP="00C1285E">
            <w:pPr>
              <w:pStyle w:val="TableParagraph"/>
              <w:spacing w:line="276" w:lineRule="auto"/>
              <w:rPr>
                <w:rFonts w:eastAsia="Times New Roman" w:cs="Segoe UI"/>
                <w:b/>
                <w:i/>
                <w:color w:val="004D2E" w:themeColor="accent4" w:themeShade="BF"/>
                <w:szCs w:val="18"/>
              </w:rPr>
            </w:pPr>
            <w:r w:rsidRPr="006979E1">
              <w:rPr>
                <w:b/>
                <w:i/>
              </w:rPr>
              <w:t>Services</w:t>
            </w:r>
            <w:r>
              <w:rPr>
                <w:b/>
                <w:i/>
              </w:rPr>
              <w:t xml:space="preserve"> Groups</w:t>
            </w:r>
          </w:p>
        </w:tc>
      </w:tr>
      <w:tr w:rsidR="00CC520B" w:rsidRPr="005324D2" w14:paraId="3F74FE58" w14:textId="77777777" w:rsidTr="00CB5888">
        <w:trPr>
          <w:cnfStyle w:val="000000010000" w:firstRow="0" w:lastRow="0" w:firstColumn="0" w:lastColumn="0" w:oddVBand="0" w:evenVBand="0" w:oddHBand="0" w:evenHBand="1" w:firstRowFirstColumn="0" w:firstRowLastColumn="0" w:lastRowFirstColumn="0" w:lastRowLastColumn="0"/>
          <w:trHeight w:val="330"/>
        </w:trPr>
        <w:tc>
          <w:tcPr>
            <w:tcW w:w="5524" w:type="dxa"/>
            <w:noWrap/>
          </w:tcPr>
          <w:p w14:paraId="502C293F" w14:textId="77777777" w:rsidR="00CC520B" w:rsidRDefault="00CC520B" w:rsidP="00CC520B">
            <w:pPr>
              <w:pStyle w:val="TableParagraph"/>
              <w:spacing w:line="276" w:lineRule="auto"/>
              <w:ind w:left="171"/>
            </w:pPr>
            <w:r>
              <w:t>Licence and Learner Permit Administration</w:t>
            </w:r>
          </w:p>
        </w:tc>
        <w:tc>
          <w:tcPr>
            <w:tcW w:w="1559" w:type="dxa"/>
            <w:noWrap/>
          </w:tcPr>
          <w:p w14:paraId="493742FB" w14:textId="30B5732F" w:rsidR="00CC520B" w:rsidRPr="00714BFE" w:rsidRDefault="00CC520B" w:rsidP="00CC520B">
            <w:pPr>
              <w:pStyle w:val="TableParagraph"/>
              <w:spacing w:line="276" w:lineRule="auto"/>
              <w:ind w:right="179"/>
              <w:jc w:val="right"/>
            </w:pPr>
            <w:r w:rsidRPr="00B75105">
              <w:t xml:space="preserve"> 6.69 </w:t>
            </w:r>
          </w:p>
        </w:tc>
        <w:tc>
          <w:tcPr>
            <w:tcW w:w="1312" w:type="dxa"/>
            <w:noWrap/>
          </w:tcPr>
          <w:p w14:paraId="68118301" w14:textId="622DB4E4" w:rsidR="00CC520B" w:rsidRPr="00714BFE" w:rsidRDefault="00CC520B" w:rsidP="00CC520B">
            <w:pPr>
              <w:pStyle w:val="TableParagraph"/>
              <w:spacing w:line="276" w:lineRule="auto"/>
              <w:ind w:right="179"/>
              <w:jc w:val="right"/>
            </w:pPr>
            <w:r w:rsidRPr="00B75105">
              <w:t xml:space="preserve"> 6.73 </w:t>
            </w:r>
          </w:p>
        </w:tc>
        <w:tc>
          <w:tcPr>
            <w:tcW w:w="1313" w:type="dxa"/>
            <w:noWrap/>
          </w:tcPr>
          <w:p w14:paraId="02DBA5D1" w14:textId="516363CD" w:rsidR="00CC520B" w:rsidRPr="008A6D06" w:rsidRDefault="00CC520B" w:rsidP="00CC520B">
            <w:pPr>
              <w:pStyle w:val="TableParagraph"/>
              <w:spacing w:line="276" w:lineRule="auto"/>
              <w:ind w:right="179"/>
              <w:jc w:val="right"/>
            </w:pPr>
            <w:r>
              <w:t xml:space="preserve">+  0 .04 </w:t>
            </w:r>
          </w:p>
        </w:tc>
      </w:tr>
      <w:tr w:rsidR="00CC520B" w:rsidRPr="005324D2" w14:paraId="117598B2" w14:textId="77777777" w:rsidTr="00CB5888">
        <w:trPr>
          <w:trHeight w:val="330"/>
        </w:trPr>
        <w:tc>
          <w:tcPr>
            <w:tcW w:w="5524" w:type="dxa"/>
            <w:noWrap/>
            <w:hideMark/>
          </w:tcPr>
          <w:p w14:paraId="064E5163" w14:textId="77777777" w:rsidR="00CC520B" w:rsidRPr="008711E3" w:rsidRDefault="00CC520B" w:rsidP="00CC520B">
            <w:pPr>
              <w:pStyle w:val="TableParagraph"/>
              <w:spacing w:line="276" w:lineRule="auto"/>
              <w:ind w:left="171"/>
            </w:pPr>
            <w:r>
              <w:t>Licence and Learner Permit Testing</w:t>
            </w:r>
          </w:p>
        </w:tc>
        <w:tc>
          <w:tcPr>
            <w:tcW w:w="1559" w:type="dxa"/>
            <w:noWrap/>
            <w:hideMark/>
          </w:tcPr>
          <w:p w14:paraId="0594FE29" w14:textId="18A156E1" w:rsidR="00CC520B" w:rsidRPr="008A6D06" w:rsidRDefault="00CC520B" w:rsidP="00CC520B">
            <w:pPr>
              <w:pStyle w:val="TableParagraph"/>
              <w:spacing w:line="276" w:lineRule="auto"/>
              <w:ind w:right="179"/>
              <w:jc w:val="right"/>
            </w:pPr>
            <w:r w:rsidRPr="00B75105">
              <w:t xml:space="preserve"> 40.94 </w:t>
            </w:r>
          </w:p>
        </w:tc>
        <w:tc>
          <w:tcPr>
            <w:tcW w:w="1312" w:type="dxa"/>
            <w:noWrap/>
            <w:hideMark/>
          </w:tcPr>
          <w:p w14:paraId="3FE73167" w14:textId="7BE775AF" w:rsidR="00CC520B" w:rsidRPr="008A6D06" w:rsidRDefault="00CC520B" w:rsidP="00CC520B">
            <w:pPr>
              <w:pStyle w:val="TableParagraph"/>
              <w:spacing w:line="276" w:lineRule="auto"/>
              <w:ind w:right="179"/>
              <w:jc w:val="right"/>
            </w:pPr>
            <w:r w:rsidRPr="00B75105">
              <w:t xml:space="preserve"> 30.71 </w:t>
            </w:r>
          </w:p>
        </w:tc>
        <w:tc>
          <w:tcPr>
            <w:tcW w:w="1313" w:type="dxa"/>
            <w:noWrap/>
          </w:tcPr>
          <w:p w14:paraId="235F1356" w14:textId="75BF3500" w:rsidR="00CC520B" w:rsidRPr="001374B0" w:rsidRDefault="00CC520B" w:rsidP="00CC520B">
            <w:pPr>
              <w:pStyle w:val="TableParagraph"/>
              <w:spacing w:line="276" w:lineRule="auto"/>
              <w:ind w:right="179"/>
              <w:jc w:val="right"/>
              <w:rPr>
                <w:color w:val="FF0000"/>
              </w:rPr>
            </w:pPr>
            <w:r w:rsidRPr="001374B0">
              <w:rPr>
                <w:color w:val="FF0000"/>
              </w:rPr>
              <w:t xml:space="preserve">-    </w:t>
            </w:r>
            <w:r>
              <w:rPr>
                <w:color w:val="FF0000"/>
              </w:rPr>
              <w:t>10.22</w:t>
            </w:r>
            <w:r w:rsidRPr="001374B0">
              <w:rPr>
                <w:color w:val="FF0000"/>
              </w:rPr>
              <w:t xml:space="preserve"> </w:t>
            </w:r>
          </w:p>
        </w:tc>
      </w:tr>
      <w:tr w:rsidR="00CC520B" w:rsidRPr="005324D2" w14:paraId="4A528EAB" w14:textId="77777777" w:rsidTr="00CB5888">
        <w:trPr>
          <w:cnfStyle w:val="000000010000" w:firstRow="0" w:lastRow="0" w:firstColumn="0" w:lastColumn="0" w:oddVBand="0" w:evenVBand="0" w:oddHBand="0" w:evenHBand="1" w:firstRowFirstColumn="0" w:firstRowLastColumn="0" w:lastRowFirstColumn="0" w:lastRowLastColumn="0"/>
          <w:trHeight w:val="315"/>
        </w:trPr>
        <w:tc>
          <w:tcPr>
            <w:tcW w:w="5524" w:type="dxa"/>
            <w:noWrap/>
            <w:hideMark/>
          </w:tcPr>
          <w:p w14:paraId="676F9EF5" w14:textId="77777777" w:rsidR="00CC520B" w:rsidRPr="008711E3" w:rsidRDefault="00CC520B" w:rsidP="00CC520B">
            <w:pPr>
              <w:pStyle w:val="TableParagraph"/>
              <w:spacing w:line="276" w:lineRule="auto"/>
              <w:ind w:left="171"/>
            </w:pPr>
            <w:r w:rsidRPr="008711E3">
              <w:t xml:space="preserve">Medical </w:t>
            </w:r>
            <w:r>
              <w:t xml:space="preserve">Fitness-to-Drive </w:t>
            </w:r>
            <w:r w:rsidRPr="008711E3">
              <w:t>Review</w:t>
            </w:r>
          </w:p>
        </w:tc>
        <w:tc>
          <w:tcPr>
            <w:tcW w:w="1559" w:type="dxa"/>
            <w:noWrap/>
            <w:hideMark/>
          </w:tcPr>
          <w:p w14:paraId="403202FB" w14:textId="3F1C0BAB" w:rsidR="00CC520B" w:rsidRPr="008A6D06" w:rsidRDefault="00CC520B" w:rsidP="00CC520B">
            <w:pPr>
              <w:pStyle w:val="TableParagraph"/>
              <w:spacing w:line="276" w:lineRule="auto"/>
              <w:ind w:right="179"/>
              <w:jc w:val="right"/>
            </w:pPr>
            <w:r w:rsidRPr="00B75105">
              <w:t xml:space="preserve"> 6.83 </w:t>
            </w:r>
          </w:p>
        </w:tc>
        <w:tc>
          <w:tcPr>
            <w:tcW w:w="1312" w:type="dxa"/>
            <w:noWrap/>
            <w:hideMark/>
          </w:tcPr>
          <w:p w14:paraId="59A93930" w14:textId="2187E699" w:rsidR="00CC520B" w:rsidRPr="008A6D06" w:rsidRDefault="00CC520B" w:rsidP="00CC520B">
            <w:pPr>
              <w:pStyle w:val="TableParagraph"/>
              <w:spacing w:line="276" w:lineRule="auto"/>
              <w:ind w:right="179"/>
              <w:jc w:val="right"/>
            </w:pPr>
            <w:r w:rsidRPr="00B75105">
              <w:t xml:space="preserve"> -   </w:t>
            </w:r>
          </w:p>
        </w:tc>
        <w:tc>
          <w:tcPr>
            <w:tcW w:w="1313" w:type="dxa"/>
            <w:noWrap/>
          </w:tcPr>
          <w:p w14:paraId="4C03D6C1" w14:textId="165D7F05" w:rsidR="00CC520B" w:rsidRPr="001374B0" w:rsidRDefault="00CC520B" w:rsidP="00CC520B">
            <w:pPr>
              <w:pStyle w:val="TableParagraph"/>
              <w:spacing w:line="276" w:lineRule="auto"/>
              <w:ind w:right="179"/>
              <w:jc w:val="right"/>
              <w:rPr>
                <w:color w:val="FF0000"/>
              </w:rPr>
            </w:pPr>
            <w:r w:rsidRPr="001374B0">
              <w:rPr>
                <w:color w:val="FF0000"/>
              </w:rPr>
              <w:t xml:space="preserve">-    </w:t>
            </w:r>
            <w:r>
              <w:rPr>
                <w:color w:val="FF0000"/>
              </w:rPr>
              <w:t>6.83</w:t>
            </w:r>
          </w:p>
        </w:tc>
      </w:tr>
      <w:tr w:rsidR="00CC520B" w:rsidRPr="005324D2" w14:paraId="59A18D63" w14:textId="77777777" w:rsidTr="00CB5888">
        <w:trPr>
          <w:trHeight w:val="315"/>
        </w:trPr>
        <w:tc>
          <w:tcPr>
            <w:tcW w:w="5524" w:type="dxa"/>
            <w:noWrap/>
            <w:hideMark/>
          </w:tcPr>
          <w:p w14:paraId="5C3806D1" w14:textId="77777777" w:rsidR="00CC520B" w:rsidRDefault="00CC520B" w:rsidP="00CC520B">
            <w:pPr>
              <w:pStyle w:val="TableParagraph"/>
              <w:spacing w:line="276" w:lineRule="auto"/>
              <w:ind w:left="171"/>
            </w:pPr>
            <w:r>
              <w:t>Driver Behaviour Management – Sanctions</w:t>
            </w:r>
          </w:p>
        </w:tc>
        <w:tc>
          <w:tcPr>
            <w:tcW w:w="1559" w:type="dxa"/>
            <w:noWrap/>
            <w:hideMark/>
          </w:tcPr>
          <w:p w14:paraId="6C6A71D0" w14:textId="048D56EF" w:rsidR="00CC520B" w:rsidRPr="008A6D06" w:rsidRDefault="00CC520B" w:rsidP="00CC520B">
            <w:pPr>
              <w:pStyle w:val="TableParagraph"/>
              <w:spacing w:line="276" w:lineRule="auto"/>
              <w:ind w:right="179"/>
              <w:jc w:val="right"/>
            </w:pPr>
            <w:r w:rsidRPr="00B75105">
              <w:t xml:space="preserve"> 10.36 </w:t>
            </w:r>
          </w:p>
        </w:tc>
        <w:tc>
          <w:tcPr>
            <w:tcW w:w="1312" w:type="dxa"/>
            <w:noWrap/>
            <w:hideMark/>
          </w:tcPr>
          <w:p w14:paraId="4A9D3C5C" w14:textId="44F4D393" w:rsidR="00CC520B" w:rsidRPr="008A6D06" w:rsidRDefault="00CC520B" w:rsidP="00CC520B">
            <w:pPr>
              <w:pStyle w:val="TableParagraph"/>
              <w:spacing w:line="276" w:lineRule="auto"/>
              <w:ind w:right="179"/>
              <w:jc w:val="right"/>
            </w:pPr>
            <w:r w:rsidRPr="00B75105">
              <w:t xml:space="preserve"> -   </w:t>
            </w:r>
          </w:p>
        </w:tc>
        <w:tc>
          <w:tcPr>
            <w:tcW w:w="1313" w:type="dxa"/>
            <w:noWrap/>
          </w:tcPr>
          <w:p w14:paraId="0D2182BF" w14:textId="6CA87696" w:rsidR="00CC520B" w:rsidRPr="001374B0" w:rsidRDefault="00CC520B" w:rsidP="00CC520B">
            <w:pPr>
              <w:pStyle w:val="TableParagraph"/>
              <w:spacing w:line="276" w:lineRule="auto"/>
              <w:ind w:right="179"/>
              <w:jc w:val="right"/>
              <w:rPr>
                <w:color w:val="FF0000"/>
              </w:rPr>
            </w:pPr>
            <w:r w:rsidRPr="001374B0">
              <w:rPr>
                <w:color w:val="FF0000"/>
              </w:rPr>
              <w:t xml:space="preserve">-   </w:t>
            </w:r>
            <w:r>
              <w:rPr>
                <w:color w:val="FF0000"/>
              </w:rPr>
              <w:t>10.36</w:t>
            </w:r>
            <w:r w:rsidRPr="001374B0">
              <w:rPr>
                <w:color w:val="FF0000"/>
              </w:rPr>
              <w:t xml:space="preserve"> </w:t>
            </w:r>
          </w:p>
        </w:tc>
      </w:tr>
      <w:tr w:rsidR="00CC520B" w:rsidRPr="005324D2" w14:paraId="515F7DF2" w14:textId="77777777" w:rsidTr="00CB5888">
        <w:trPr>
          <w:cnfStyle w:val="000000010000" w:firstRow="0" w:lastRow="0" w:firstColumn="0" w:lastColumn="0" w:oddVBand="0" w:evenVBand="0" w:oddHBand="0" w:evenHBand="1" w:firstRowFirstColumn="0" w:firstRowLastColumn="0" w:lastRowFirstColumn="0" w:lastRowLastColumn="0"/>
          <w:trHeight w:val="315"/>
        </w:trPr>
        <w:tc>
          <w:tcPr>
            <w:tcW w:w="5524" w:type="dxa"/>
            <w:noWrap/>
          </w:tcPr>
          <w:p w14:paraId="25B9EB0E" w14:textId="77777777" w:rsidR="00CC520B" w:rsidRDefault="00CC520B" w:rsidP="00CC520B">
            <w:pPr>
              <w:pStyle w:val="TableParagraph"/>
              <w:spacing w:line="276" w:lineRule="auto"/>
              <w:ind w:left="171"/>
            </w:pPr>
            <w:r>
              <w:t>Driver Behaviour Management – Alcohol Interlocks</w:t>
            </w:r>
          </w:p>
        </w:tc>
        <w:tc>
          <w:tcPr>
            <w:tcW w:w="1559" w:type="dxa"/>
            <w:noWrap/>
          </w:tcPr>
          <w:p w14:paraId="687B34A0" w14:textId="76B53258" w:rsidR="00CC520B" w:rsidRPr="005634E5" w:rsidRDefault="00CC520B" w:rsidP="00CC520B">
            <w:pPr>
              <w:pStyle w:val="TableParagraph"/>
              <w:spacing w:line="276" w:lineRule="auto"/>
              <w:ind w:right="179"/>
              <w:jc w:val="right"/>
            </w:pPr>
            <w:r w:rsidRPr="00B75105">
              <w:t xml:space="preserve"> 2.50 </w:t>
            </w:r>
          </w:p>
        </w:tc>
        <w:tc>
          <w:tcPr>
            <w:tcW w:w="1312" w:type="dxa"/>
            <w:noWrap/>
          </w:tcPr>
          <w:p w14:paraId="599ED556" w14:textId="1FD690DF" w:rsidR="00CC520B" w:rsidRPr="00714BFE" w:rsidRDefault="00CC520B" w:rsidP="00CC520B">
            <w:pPr>
              <w:pStyle w:val="TableParagraph"/>
              <w:spacing w:line="276" w:lineRule="auto"/>
              <w:ind w:right="179"/>
              <w:jc w:val="right"/>
            </w:pPr>
            <w:r w:rsidRPr="00B75105">
              <w:t xml:space="preserve"> 3.24 </w:t>
            </w:r>
          </w:p>
        </w:tc>
        <w:tc>
          <w:tcPr>
            <w:tcW w:w="1313" w:type="dxa"/>
            <w:noWrap/>
          </w:tcPr>
          <w:p w14:paraId="3D6B1DB5" w14:textId="04649579" w:rsidR="00CC520B" w:rsidRDefault="00CC520B" w:rsidP="00CC520B">
            <w:pPr>
              <w:pStyle w:val="TableParagraph"/>
              <w:spacing w:line="276" w:lineRule="auto"/>
              <w:ind w:right="179"/>
              <w:jc w:val="right"/>
            </w:pPr>
            <w:r>
              <w:t>+   0.74</w:t>
            </w:r>
          </w:p>
        </w:tc>
      </w:tr>
      <w:tr w:rsidR="00CC520B" w:rsidRPr="005324D2" w14:paraId="29410745" w14:textId="77777777" w:rsidTr="00CB5888">
        <w:trPr>
          <w:trHeight w:val="315"/>
        </w:trPr>
        <w:tc>
          <w:tcPr>
            <w:tcW w:w="5524" w:type="dxa"/>
            <w:noWrap/>
            <w:hideMark/>
          </w:tcPr>
          <w:p w14:paraId="576F9AE8" w14:textId="77777777" w:rsidR="00CC520B" w:rsidRPr="008711E3" w:rsidRDefault="00CC520B" w:rsidP="00CC520B">
            <w:pPr>
              <w:pStyle w:val="TableParagraph"/>
              <w:spacing w:line="276" w:lineRule="auto"/>
              <w:ind w:left="171"/>
            </w:pPr>
            <w:r>
              <w:t>Information Extracts and Reports</w:t>
            </w:r>
          </w:p>
        </w:tc>
        <w:tc>
          <w:tcPr>
            <w:tcW w:w="1559" w:type="dxa"/>
            <w:noWrap/>
            <w:hideMark/>
          </w:tcPr>
          <w:p w14:paraId="6F96A8FE" w14:textId="2BF31962" w:rsidR="00CC520B" w:rsidRPr="008A6D06" w:rsidRDefault="00CC520B" w:rsidP="00CC520B">
            <w:pPr>
              <w:pStyle w:val="TableParagraph"/>
              <w:spacing w:line="276" w:lineRule="auto"/>
              <w:ind w:right="179"/>
              <w:jc w:val="right"/>
            </w:pPr>
            <w:r w:rsidRPr="00B75105">
              <w:t xml:space="preserve"> 2.53 </w:t>
            </w:r>
          </w:p>
        </w:tc>
        <w:tc>
          <w:tcPr>
            <w:tcW w:w="1312" w:type="dxa"/>
            <w:noWrap/>
            <w:hideMark/>
          </w:tcPr>
          <w:p w14:paraId="01DE1C00" w14:textId="2C638B40" w:rsidR="00CC520B" w:rsidRPr="008A6D06" w:rsidRDefault="00CC520B" w:rsidP="00CC520B">
            <w:pPr>
              <w:pStyle w:val="TableParagraph"/>
              <w:spacing w:line="276" w:lineRule="auto"/>
              <w:ind w:right="179"/>
              <w:jc w:val="right"/>
            </w:pPr>
            <w:r w:rsidRPr="00B75105">
              <w:t xml:space="preserve"> 2.65 </w:t>
            </w:r>
          </w:p>
        </w:tc>
        <w:tc>
          <w:tcPr>
            <w:tcW w:w="1313" w:type="dxa"/>
            <w:noWrap/>
          </w:tcPr>
          <w:p w14:paraId="40E4EC10" w14:textId="2B0ABB66" w:rsidR="00CC520B" w:rsidRPr="008A6D06" w:rsidRDefault="00CC520B" w:rsidP="00CC520B">
            <w:pPr>
              <w:pStyle w:val="TableParagraph"/>
              <w:spacing w:line="276" w:lineRule="auto"/>
              <w:ind w:right="179"/>
              <w:jc w:val="right"/>
            </w:pPr>
            <w:r>
              <w:t>+   0.12</w:t>
            </w:r>
            <w:r w:rsidRPr="00A5459A">
              <w:t xml:space="preserve"> </w:t>
            </w:r>
          </w:p>
        </w:tc>
      </w:tr>
      <w:tr w:rsidR="00CC520B" w:rsidRPr="00B92BA2" w14:paraId="02A269C8" w14:textId="77777777" w:rsidTr="00CB5888">
        <w:trPr>
          <w:cnfStyle w:val="000000010000" w:firstRow="0" w:lastRow="0" w:firstColumn="0" w:lastColumn="0" w:oddVBand="0" w:evenVBand="0" w:oddHBand="0" w:evenHBand="1" w:firstRowFirstColumn="0" w:firstRowLastColumn="0" w:lastRowFirstColumn="0" w:lastRowLastColumn="0"/>
          <w:trHeight w:val="330"/>
        </w:trPr>
        <w:tc>
          <w:tcPr>
            <w:tcW w:w="5524" w:type="dxa"/>
            <w:shd w:val="clear" w:color="auto" w:fill="DDE8F4" w:themeFill="text2" w:themeFillTint="1A"/>
            <w:noWrap/>
            <w:hideMark/>
          </w:tcPr>
          <w:p w14:paraId="3EC0AA4C" w14:textId="77777777" w:rsidR="00CC520B" w:rsidRPr="003E2558" w:rsidRDefault="00CC520B" w:rsidP="00CC520B">
            <w:pPr>
              <w:pStyle w:val="TableParagraph"/>
              <w:spacing w:line="276" w:lineRule="auto"/>
              <w:jc w:val="right"/>
              <w:rPr>
                <w:b/>
              </w:rPr>
            </w:pPr>
            <w:r w:rsidRPr="003E2558">
              <w:rPr>
                <w:b/>
              </w:rPr>
              <w:t>Total Services</w:t>
            </w:r>
          </w:p>
        </w:tc>
        <w:tc>
          <w:tcPr>
            <w:tcW w:w="1559" w:type="dxa"/>
            <w:shd w:val="clear" w:color="auto" w:fill="DDE8F4" w:themeFill="text2" w:themeFillTint="1A"/>
            <w:noWrap/>
            <w:hideMark/>
          </w:tcPr>
          <w:p w14:paraId="00520359" w14:textId="5251A4B6" w:rsidR="00CC520B" w:rsidRPr="00CC520B" w:rsidRDefault="00CC520B" w:rsidP="00CC520B">
            <w:pPr>
              <w:pStyle w:val="TableParagraph"/>
              <w:spacing w:line="276" w:lineRule="auto"/>
              <w:ind w:right="179"/>
              <w:jc w:val="right"/>
              <w:rPr>
                <w:b/>
              </w:rPr>
            </w:pPr>
            <w:r w:rsidRPr="00CC520B">
              <w:rPr>
                <w:b/>
              </w:rPr>
              <w:t xml:space="preserve"> 69.86 </w:t>
            </w:r>
          </w:p>
        </w:tc>
        <w:tc>
          <w:tcPr>
            <w:tcW w:w="1312" w:type="dxa"/>
            <w:shd w:val="clear" w:color="auto" w:fill="DDE8F4" w:themeFill="text2" w:themeFillTint="1A"/>
            <w:noWrap/>
            <w:hideMark/>
          </w:tcPr>
          <w:p w14:paraId="655729B9" w14:textId="30A990E6" w:rsidR="00CC520B" w:rsidRPr="00CC520B" w:rsidRDefault="00CC520B" w:rsidP="00CC520B">
            <w:pPr>
              <w:pStyle w:val="TableParagraph"/>
              <w:spacing w:line="276" w:lineRule="auto"/>
              <w:ind w:right="179"/>
              <w:jc w:val="right"/>
              <w:rPr>
                <w:b/>
              </w:rPr>
            </w:pPr>
            <w:r w:rsidRPr="00CC520B">
              <w:rPr>
                <w:b/>
              </w:rPr>
              <w:t xml:space="preserve"> 43.34 </w:t>
            </w:r>
          </w:p>
        </w:tc>
        <w:tc>
          <w:tcPr>
            <w:tcW w:w="1313" w:type="dxa"/>
            <w:shd w:val="clear" w:color="auto" w:fill="DDE8F4" w:themeFill="text2" w:themeFillTint="1A"/>
            <w:noWrap/>
          </w:tcPr>
          <w:p w14:paraId="5BE8877B" w14:textId="18C25F6D" w:rsidR="00CC520B" w:rsidRPr="001374B0" w:rsidRDefault="00CC520B" w:rsidP="00CC520B">
            <w:pPr>
              <w:pStyle w:val="TableParagraph"/>
              <w:spacing w:line="276" w:lineRule="auto"/>
              <w:ind w:right="171"/>
              <w:jc w:val="right"/>
              <w:rPr>
                <w:b/>
                <w:color w:val="FF0000"/>
              </w:rPr>
            </w:pPr>
            <w:r w:rsidRPr="001374B0">
              <w:rPr>
                <w:b/>
                <w:color w:val="FF0000"/>
              </w:rPr>
              <w:t xml:space="preserve">-  </w:t>
            </w:r>
            <w:r>
              <w:rPr>
                <w:b/>
                <w:color w:val="FF0000"/>
              </w:rPr>
              <w:t>26.52</w:t>
            </w:r>
          </w:p>
        </w:tc>
      </w:tr>
      <w:tr w:rsidR="00370DA6" w:rsidRPr="00B92BA2" w14:paraId="0B224BB6" w14:textId="77777777" w:rsidTr="00CB5888">
        <w:trPr>
          <w:trHeight w:val="330"/>
        </w:trPr>
        <w:tc>
          <w:tcPr>
            <w:tcW w:w="5524" w:type="dxa"/>
            <w:shd w:val="clear" w:color="auto" w:fill="DDE8F4" w:themeFill="text2" w:themeFillTint="1A"/>
            <w:noWrap/>
          </w:tcPr>
          <w:p w14:paraId="2BC0C6F1" w14:textId="77777777" w:rsidR="00370DA6" w:rsidRPr="003E2558" w:rsidRDefault="00370DA6" w:rsidP="00C1285E">
            <w:pPr>
              <w:pStyle w:val="TableParagraph"/>
              <w:spacing w:line="276" w:lineRule="auto"/>
              <w:jc w:val="right"/>
              <w:rPr>
                <w:b/>
              </w:rPr>
            </w:pPr>
          </w:p>
        </w:tc>
        <w:tc>
          <w:tcPr>
            <w:tcW w:w="1559" w:type="dxa"/>
            <w:shd w:val="clear" w:color="auto" w:fill="DDE8F4" w:themeFill="text2" w:themeFillTint="1A"/>
            <w:noWrap/>
          </w:tcPr>
          <w:p w14:paraId="1D9CE89E" w14:textId="77777777" w:rsidR="00370DA6" w:rsidRPr="001374B0" w:rsidRDefault="00370DA6" w:rsidP="00C1285E">
            <w:pPr>
              <w:pStyle w:val="TableParagraph"/>
              <w:spacing w:line="276" w:lineRule="auto"/>
              <w:ind w:right="179"/>
              <w:jc w:val="right"/>
              <w:rPr>
                <w:i/>
              </w:rPr>
            </w:pPr>
            <w:r w:rsidRPr="001374B0">
              <w:rPr>
                <w:i/>
              </w:rPr>
              <w:t>Cost Recovery</w:t>
            </w:r>
          </w:p>
        </w:tc>
        <w:tc>
          <w:tcPr>
            <w:tcW w:w="1312" w:type="dxa"/>
            <w:shd w:val="clear" w:color="auto" w:fill="DDE8F4" w:themeFill="text2" w:themeFillTint="1A"/>
            <w:noWrap/>
          </w:tcPr>
          <w:p w14:paraId="2794B072" w14:textId="42DD900F" w:rsidR="00370DA6" w:rsidRPr="008976C1" w:rsidRDefault="00370DA6" w:rsidP="00C1285E">
            <w:pPr>
              <w:pStyle w:val="TableParagraph"/>
              <w:spacing w:line="276" w:lineRule="auto"/>
              <w:ind w:right="179"/>
              <w:jc w:val="right"/>
              <w:rPr>
                <w:i/>
              </w:rPr>
            </w:pPr>
            <w:r>
              <w:rPr>
                <w:i/>
              </w:rPr>
              <w:t>62.</w:t>
            </w:r>
            <w:r w:rsidR="00CC520B">
              <w:rPr>
                <w:i/>
              </w:rPr>
              <w:t>0</w:t>
            </w:r>
            <w:r w:rsidRPr="008976C1">
              <w:rPr>
                <w:i/>
              </w:rPr>
              <w:t>%</w:t>
            </w:r>
          </w:p>
        </w:tc>
        <w:tc>
          <w:tcPr>
            <w:tcW w:w="1313" w:type="dxa"/>
            <w:shd w:val="clear" w:color="auto" w:fill="DDE8F4" w:themeFill="text2" w:themeFillTint="1A"/>
            <w:noWrap/>
          </w:tcPr>
          <w:p w14:paraId="0E41BDFD" w14:textId="008114EA" w:rsidR="00370DA6" w:rsidRPr="008976C1" w:rsidRDefault="00370DA6" w:rsidP="00C1285E">
            <w:pPr>
              <w:pStyle w:val="TableParagraph"/>
              <w:spacing w:line="276" w:lineRule="auto"/>
              <w:ind w:right="171"/>
              <w:jc w:val="right"/>
              <w:rPr>
                <w:i/>
                <w:color w:val="FF0000"/>
              </w:rPr>
            </w:pPr>
            <w:r>
              <w:rPr>
                <w:i/>
                <w:color w:val="FF0000"/>
              </w:rPr>
              <w:t>3</w:t>
            </w:r>
            <w:r w:rsidR="00CC520B">
              <w:rPr>
                <w:i/>
                <w:color w:val="FF0000"/>
              </w:rPr>
              <w:t>8.0</w:t>
            </w:r>
            <w:r w:rsidRPr="008976C1">
              <w:rPr>
                <w:i/>
                <w:color w:val="FF0000"/>
              </w:rPr>
              <w:t>%</w:t>
            </w:r>
          </w:p>
        </w:tc>
      </w:tr>
    </w:tbl>
    <w:p w14:paraId="3DBF2C74" w14:textId="22A6DB43" w:rsidR="00370DA6" w:rsidRPr="00572476" w:rsidRDefault="00370DA6" w:rsidP="00D269F5">
      <w:pPr>
        <w:pStyle w:val="TextPara"/>
        <w:rPr>
          <w:rFonts w:cs="Segoe UI"/>
          <w:szCs w:val="20"/>
        </w:rPr>
      </w:pPr>
      <w:r w:rsidRPr="00B238CA">
        <w:rPr>
          <w:rFonts w:cs="Segoe UI"/>
          <w:szCs w:val="20"/>
        </w:rPr>
        <w:t xml:space="preserve">The total proposed fees are projected to </w:t>
      </w:r>
      <w:r w:rsidRPr="008422B1">
        <w:rPr>
          <w:rFonts w:cs="Segoe UI"/>
          <w:szCs w:val="20"/>
        </w:rPr>
        <w:t xml:space="preserve">recover </w:t>
      </w:r>
      <w:r>
        <w:rPr>
          <w:rFonts w:cs="Segoe UI"/>
          <w:szCs w:val="20"/>
        </w:rPr>
        <w:t>62.</w:t>
      </w:r>
      <w:r w:rsidR="00CC520B">
        <w:rPr>
          <w:rFonts w:cs="Segoe UI"/>
          <w:szCs w:val="20"/>
        </w:rPr>
        <w:t>0</w:t>
      </w:r>
      <w:r w:rsidRPr="008422B1">
        <w:rPr>
          <w:rFonts w:cs="Segoe UI"/>
          <w:szCs w:val="20"/>
        </w:rPr>
        <w:t>% of</w:t>
      </w:r>
      <w:r w:rsidRPr="00B238CA">
        <w:rPr>
          <w:rFonts w:cs="Segoe UI"/>
          <w:szCs w:val="20"/>
        </w:rPr>
        <w:t xml:space="preserve"> the costs to deliver </w:t>
      </w:r>
      <w:r>
        <w:rPr>
          <w:rFonts w:cs="Segoe UI"/>
          <w:szCs w:val="20"/>
        </w:rPr>
        <w:t xml:space="preserve">the Services Group activities. </w:t>
      </w:r>
      <w:r w:rsidRPr="001374B0">
        <w:t xml:space="preserve">This outcome does not meet the objective of full cost recovery for the services delivered as revenue is </w:t>
      </w:r>
      <w:r w:rsidRPr="008422B1">
        <w:t>$</w:t>
      </w:r>
      <w:r>
        <w:t>2</w:t>
      </w:r>
      <w:r w:rsidR="00DD0311">
        <w:t>4.88</w:t>
      </w:r>
      <w:r w:rsidRPr="008422B1">
        <w:t xml:space="preserve">m less than the cost incurred. </w:t>
      </w:r>
    </w:p>
    <w:p w14:paraId="6A1945D7" w14:textId="38C0B4B4" w:rsidR="00370DA6" w:rsidRDefault="00370DA6" w:rsidP="00370DA6">
      <w:pPr>
        <w:pStyle w:val="TextPara"/>
        <w:spacing w:before="0" w:line="276" w:lineRule="auto"/>
      </w:pPr>
      <w:r w:rsidRPr="00B238CA">
        <w:rPr>
          <w:rFonts w:cs="Segoe UI"/>
          <w:szCs w:val="20"/>
        </w:rPr>
        <w:t xml:space="preserve">The </w:t>
      </w:r>
      <w:r w:rsidRPr="008422B1">
        <w:rPr>
          <w:rFonts w:cs="Segoe UI"/>
          <w:szCs w:val="20"/>
        </w:rPr>
        <w:t>shortfall of $</w:t>
      </w:r>
      <w:r>
        <w:rPr>
          <w:rFonts w:cs="Segoe UI"/>
          <w:szCs w:val="20"/>
        </w:rPr>
        <w:t>2</w:t>
      </w:r>
      <w:r w:rsidR="00CC520B">
        <w:rPr>
          <w:rFonts w:cs="Segoe UI"/>
          <w:szCs w:val="20"/>
        </w:rPr>
        <w:t>6.52</w:t>
      </w:r>
      <w:r w:rsidRPr="008422B1">
        <w:rPr>
          <w:rFonts w:cs="Segoe UI"/>
          <w:szCs w:val="20"/>
        </w:rPr>
        <w:t xml:space="preserve">m </w:t>
      </w:r>
      <w:r>
        <w:rPr>
          <w:rFonts w:cs="Segoe UI"/>
          <w:szCs w:val="20"/>
        </w:rPr>
        <w:t>results from</w:t>
      </w:r>
      <w:r>
        <w:rPr>
          <w:rFonts w:cs="Segoe UI"/>
        </w:rPr>
        <w:t xml:space="preserve"> providing some services free of charge (i.e. demerit point management, sanctions management [excluding alcohol interlock], and medical fitness-to-drive review services) and a sizeable under-recovery of costs for the provision of </w:t>
      </w:r>
      <w:r>
        <w:t>licence and learner permit t</w:t>
      </w:r>
      <w:r w:rsidRPr="008711E3">
        <w:t>esting</w:t>
      </w:r>
      <w:r>
        <w:t xml:space="preserve"> services.</w:t>
      </w:r>
    </w:p>
    <w:p w14:paraId="669931EE" w14:textId="77777777" w:rsidR="00370DA6" w:rsidRPr="00566FEF" w:rsidRDefault="00370DA6" w:rsidP="00566FEF">
      <w:pPr>
        <w:pStyle w:val="TextPara"/>
      </w:pPr>
      <w:r w:rsidRPr="008422B1">
        <w:t>The user pays principle is applied to all the services for which a fee is</w:t>
      </w:r>
      <w:r w:rsidRPr="00566FEF">
        <w:t xml:space="preserve"> charged to promote efficient consumption.</w:t>
      </w:r>
      <w:r>
        <w:t xml:space="preserve"> </w:t>
      </w:r>
      <w:r w:rsidRPr="00566FEF">
        <w:t>Where a fee is not charged (or charged at less than full recovery), the costs incurred by VicRoads are, in effect, spread across the entire Victorian tax paying population as government appropriations are required to fund the shortfall in order to continue the provision of services.</w:t>
      </w:r>
    </w:p>
    <w:p w14:paraId="1E1D55B9" w14:textId="77777777" w:rsidR="00370DA6" w:rsidRPr="00566FEF" w:rsidRDefault="00370DA6" w:rsidP="00566FEF">
      <w:pPr>
        <w:pStyle w:val="TextPara"/>
      </w:pPr>
      <w:r w:rsidRPr="00566FEF">
        <w:t>The rationale for each pricing decision is provided in the following sections, where an assessment of each Services Group is undertaken against the cost recovery principles previously discussed.</w:t>
      </w:r>
    </w:p>
    <w:p w14:paraId="666E6103" w14:textId="77777777" w:rsidR="00370DA6" w:rsidRPr="00566FEF" w:rsidRDefault="00370DA6" w:rsidP="00566FEF">
      <w:pPr>
        <w:pStyle w:val="TextPara"/>
      </w:pPr>
      <w:r w:rsidRPr="00566FEF">
        <w:t xml:space="preserve">The currency and integrity of information is essential for effective delivery of licensing services including licence and learner permit testing, issue, renewal, exemptions, and variations. </w:t>
      </w:r>
    </w:p>
    <w:p w14:paraId="338CA2E2" w14:textId="77777777" w:rsidR="00370DA6" w:rsidRDefault="00370DA6" w:rsidP="00566FEF">
      <w:pPr>
        <w:pStyle w:val="TextPara"/>
      </w:pPr>
      <w:r w:rsidRPr="00566FEF">
        <w:t>The</w:t>
      </w:r>
      <w:r>
        <w:t>re is a range of</w:t>
      </w:r>
      <w:r w:rsidRPr="00566FEF">
        <w:t xml:space="preserve"> administrative tasks (e.g. personal details maintenance</w:t>
      </w:r>
      <w:r>
        <w:t xml:space="preserve"> and query management</w:t>
      </w:r>
      <w:r w:rsidRPr="00B238CA">
        <w:t xml:space="preserve">) </w:t>
      </w:r>
      <w:r>
        <w:t xml:space="preserve">that </w:t>
      </w:r>
      <w:r w:rsidRPr="00B238CA">
        <w:t>add value to all other services</w:t>
      </w:r>
      <w:r>
        <w:t xml:space="preserve">. They </w:t>
      </w:r>
      <w:r w:rsidRPr="00B238CA">
        <w:t xml:space="preserve">support the customers’ understanding of their obligations and entitlements, and </w:t>
      </w:r>
      <w:r>
        <w:t xml:space="preserve">the </w:t>
      </w:r>
      <w:r w:rsidRPr="00B238CA">
        <w:t>maint</w:t>
      </w:r>
      <w:r>
        <w:t xml:space="preserve">enance of </w:t>
      </w:r>
      <w:r w:rsidRPr="00B238CA">
        <w:t>the customers</w:t>
      </w:r>
      <w:r>
        <w:t>’</w:t>
      </w:r>
      <w:r w:rsidRPr="00B238CA">
        <w:t xml:space="preserve"> records to ensure their </w:t>
      </w:r>
      <w:r>
        <w:t>licensing</w:t>
      </w:r>
      <w:r w:rsidRPr="00B238CA">
        <w:t xml:space="preserve"> needs are </w:t>
      </w:r>
      <w:r>
        <w:t>met</w:t>
      </w:r>
      <w:r w:rsidRPr="00B238CA">
        <w:t xml:space="preserve">. The costs of </w:t>
      </w:r>
      <w:r w:rsidRPr="00B238CA">
        <w:lastRenderedPageBreak/>
        <w:t>providing these support activities are apportioned across all the services delivered and are, therefore, represented in the costs calculated for each service provided to the customer.</w:t>
      </w:r>
    </w:p>
    <w:p w14:paraId="35517611" w14:textId="00E078CC" w:rsidR="00370DA6" w:rsidRDefault="004052C4" w:rsidP="00E93EC0">
      <w:pPr>
        <w:pStyle w:val="TextPara"/>
        <w:spacing w:before="0" w:line="276" w:lineRule="auto"/>
        <w:rPr>
          <w:rFonts w:cs="Segoe UI"/>
          <w:szCs w:val="20"/>
        </w:rPr>
      </w:pPr>
      <w:r>
        <w:rPr>
          <w:rFonts w:cs="Segoe UI"/>
          <w:szCs w:val="20"/>
        </w:rPr>
        <w:fldChar w:fldCharType="begin"/>
      </w:r>
      <w:r>
        <w:rPr>
          <w:rFonts w:cs="Segoe UI"/>
          <w:szCs w:val="20"/>
        </w:rPr>
        <w:instrText xml:space="preserve"> REF _Ref4405222 \h </w:instrText>
      </w:r>
      <w:r>
        <w:rPr>
          <w:rFonts w:cs="Segoe UI"/>
          <w:szCs w:val="20"/>
        </w:rPr>
      </w:r>
      <w:r>
        <w:rPr>
          <w:rFonts w:cs="Segoe UI"/>
          <w:szCs w:val="20"/>
        </w:rPr>
        <w:fldChar w:fldCharType="separate"/>
      </w:r>
      <w:r w:rsidR="00EB4B02">
        <w:t xml:space="preserve">Table </w:t>
      </w:r>
      <w:r w:rsidR="00EB4B02">
        <w:rPr>
          <w:noProof/>
        </w:rPr>
        <w:t>51</w:t>
      </w:r>
      <w:r>
        <w:rPr>
          <w:rFonts w:cs="Segoe UI"/>
          <w:szCs w:val="20"/>
        </w:rPr>
        <w:fldChar w:fldCharType="end"/>
      </w:r>
      <w:r>
        <w:rPr>
          <w:rFonts w:cs="Segoe UI"/>
          <w:szCs w:val="20"/>
        </w:rPr>
        <w:t xml:space="preserve"> </w:t>
      </w:r>
      <w:r w:rsidR="00370DA6" w:rsidRPr="00B238CA">
        <w:rPr>
          <w:rFonts w:cs="Segoe UI"/>
          <w:szCs w:val="20"/>
        </w:rPr>
        <w:t xml:space="preserve">provides a description of the </w:t>
      </w:r>
      <w:r w:rsidR="00370DA6">
        <w:rPr>
          <w:rFonts w:cs="Segoe UI"/>
          <w:szCs w:val="20"/>
        </w:rPr>
        <w:t>activities</w:t>
      </w:r>
      <w:r w:rsidR="00370DA6" w:rsidRPr="00B238CA">
        <w:rPr>
          <w:rFonts w:cs="Segoe UI"/>
          <w:szCs w:val="20"/>
        </w:rPr>
        <w:t xml:space="preserve"> </w:t>
      </w:r>
      <w:r w:rsidR="00370DA6">
        <w:rPr>
          <w:rFonts w:cs="Segoe UI"/>
          <w:szCs w:val="20"/>
        </w:rPr>
        <w:t>that support the services provided to customers.</w:t>
      </w:r>
    </w:p>
    <w:p w14:paraId="112B4C56" w14:textId="1AD3FBA4" w:rsidR="00370DA6" w:rsidRDefault="00370DA6" w:rsidP="00AA0BBA">
      <w:pPr>
        <w:pStyle w:val="Caption"/>
      </w:pPr>
      <w:bookmarkStart w:id="741" w:name="_Ref4405222"/>
      <w:bookmarkStart w:id="742" w:name="_Toc4084333"/>
      <w:bookmarkStart w:id="743" w:name="_Toc10703744"/>
      <w:r>
        <w:t xml:space="preserve">Table </w:t>
      </w:r>
      <w:r>
        <w:rPr>
          <w:noProof/>
        </w:rPr>
        <w:fldChar w:fldCharType="begin"/>
      </w:r>
      <w:r>
        <w:rPr>
          <w:noProof/>
        </w:rPr>
        <w:instrText xml:space="preserve"> SEQ Table \* ARABIC </w:instrText>
      </w:r>
      <w:r>
        <w:rPr>
          <w:noProof/>
        </w:rPr>
        <w:fldChar w:fldCharType="separate"/>
      </w:r>
      <w:r w:rsidR="00EB4B02">
        <w:rPr>
          <w:noProof/>
        </w:rPr>
        <w:t>51</w:t>
      </w:r>
      <w:r>
        <w:rPr>
          <w:noProof/>
        </w:rPr>
        <w:fldChar w:fldCharType="end"/>
      </w:r>
      <w:bookmarkEnd w:id="741"/>
      <w:r>
        <w:t xml:space="preserve"> – </w:t>
      </w:r>
      <w:r w:rsidRPr="003C4CEF">
        <w:t xml:space="preserve">Services </w:t>
      </w:r>
      <w:r>
        <w:t>Group: Common Administrative Activities</w:t>
      </w:r>
      <w:bookmarkEnd w:id="742"/>
      <w:bookmarkEnd w:id="743"/>
    </w:p>
    <w:tbl>
      <w:tblPr>
        <w:tblStyle w:val="RIS-Table2"/>
        <w:tblW w:w="9639" w:type="dxa"/>
        <w:tblLayout w:type="fixed"/>
        <w:tblLook w:val="04A0" w:firstRow="1" w:lastRow="0" w:firstColumn="1" w:lastColumn="0" w:noHBand="0" w:noVBand="1"/>
      </w:tblPr>
      <w:tblGrid>
        <w:gridCol w:w="2297"/>
        <w:gridCol w:w="7342"/>
      </w:tblGrid>
      <w:tr w:rsidR="00370DA6" w:rsidRPr="00B238CA" w14:paraId="268B7630" w14:textId="77777777" w:rsidTr="00832945">
        <w:trPr>
          <w:cnfStyle w:val="100000000000" w:firstRow="1" w:lastRow="0" w:firstColumn="0" w:lastColumn="0" w:oddVBand="0" w:evenVBand="0" w:oddHBand="0" w:evenHBand="0" w:firstRowFirstColumn="0" w:firstRowLastColumn="0" w:lastRowFirstColumn="0" w:lastRowLastColumn="0"/>
        </w:trPr>
        <w:tc>
          <w:tcPr>
            <w:tcW w:w="2297" w:type="dxa"/>
          </w:tcPr>
          <w:p w14:paraId="451C30C5" w14:textId="77777777" w:rsidR="00370DA6" w:rsidRPr="00B238CA" w:rsidRDefault="00370DA6" w:rsidP="00AB5081">
            <w:pPr>
              <w:pStyle w:val="TableHeaders"/>
              <w:spacing w:line="276" w:lineRule="auto"/>
              <w:rPr>
                <w:rFonts w:cs="Segoe UI"/>
              </w:rPr>
            </w:pPr>
            <w:r w:rsidRPr="00B238CA">
              <w:rPr>
                <w:rFonts w:cs="Segoe UI"/>
              </w:rPr>
              <w:t>Service</w:t>
            </w:r>
          </w:p>
        </w:tc>
        <w:tc>
          <w:tcPr>
            <w:tcW w:w="7342" w:type="dxa"/>
          </w:tcPr>
          <w:p w14:paraId="6587D1E0" w14:textId="77777777" w:rsidR="00370DA6" w:rsidRPr="00B238CA" w:rsidRDefault="00370DA6" w:rsidP="00AB5081">
            <w:pPr>
              <w:pStyle w:val="TableHeaders"/>
              <w:spacing w:line="276" w:lineRule="auto"/>
              <w:rPr>
                <w:rFonts w:cs="Segoe UI"/>
              </w:rPr>
            </w:pPr>
            <w:r w:rsidRPr="00B238CA">
              <w:rPr>
                <w:rFonts w:cs="Segoe UI"/>
              </w:rPr>
              <w:t>Activities</w:t>
            </w:r>
          </w:p>
        </w:tc>
      </w:tr>
      <w:tr w:rsidR="00370DA6" w:rsidRPr="00B238CA" w14:paraId="4E45F833" w14:textId="77777777" w:rsidTr="00832945">
        <w:tc>
          <w:tcPr>
            <w:tcW w:w="2297" w:type="dxa"/>
          </w:tcPr>
          <w:p w14:paraId="4F41D3EC" w14:textId="77777777" w:rsidR="00370DA6" w:rsidRPr="00B238CA" w:rsidRDefault="00370DA6" w:rsidP="00AB5081">
            <w:pPr>
              <w:pStyle w:val="TableParagraph"/>
              <w:spacing w:line="276" w:lineRule="auto"/>
              <w:rPr>
                <w:rFonts w:cs="Segoe UI"/>
                <w:b/>
              </w:rPr>
            </w:pPr>
            <w:r w:rsidRPr="00B238CA">
              <w:rPr>
                <w:rFonts w:cs="Segoe UI"/>
                <w:b/>
              </w:rPr>
              <w:t xml:space="preserve">Change of personal details </w:t>
            </w:r>
          </w:p>
        </w:tc>
        <w:tc>
          <w:tcPr>
            <w:tcW w:w="7342" w:type="dxa"/>
          </w:tcPr>
          <w:p w14:paraId="2B6BDF53" w14:textId="77777777" w:rsidR="00370DA6" w:rsidRDefault="00370DA6" w:rsidP="00370DA6">
            <w:pPr>
              <w:pStyle w:val="TableList1"/>
              <w:ind w:left="360" w:hanging="360"/>
            </w:pPr>
            <w:r w:rsidRPr="00B238CA">
              <w:t>Updat</w:t>
            </w:r>
            <w:r>
              <w:t>e</w:t>
            </w:r>
            <w:r w:rsidRPr="00B238CA">
              <w:t xml:space="preserve"> customer details on advice from the customer, including name, gender, address, phone number, email address of the customer</w:t>
            </w:r>
          </w:p>
          <w:p w14:paraId="64633DC7" w14:textId="77777777" w:rsidR="00370DA6" w:rsidRPr="00B238CA" w:rsidRDefault="00370DA6" w:rsidP="00370DA6">
            <w:pPr>
              <w:pStyle w:val="TableList1"/>
              <w:ind w:left="360" w:hanging="360"/>
            </w:pPr>
            <w:r>
              <w:t>Update</w:t>
            </w:r>
            <w:r w:rsidRPr="00B238CA">
              <w:t xml:space="preserve"> </w:t>
            </w:r>
            <w:r>
              <w:t>name and gender at CSCs. All other details can be updated at CSCs, through the Call Centre</w:t>
            </w:r>
            <w:r w:rsidRPr="00B238CA">
              <w:t xml:space="preserve"> and the VicRoads portal</w:t>
            </w:r>
          </w:p>
        </w:tc>
      </w:tr>
      <w:tr w:rsidR="00370DA6" w:rsidRPr="00B238CA" w14:paraId="23649605" w14:textId="77777777" w:rsidTr="00832945">
        <w:trPr>
          <w:cnfStyle w:val="000000010000" w:firstRow="0" w:lastRow="0" w:firstColumn="0" w:lastColumn="0" w:oddVBand="0" w:evenVBand="0" w:oddHBand="0" w:evenHBand="1" w:firstRowFirstColumn="0" w:firstRowLastColumn="0" w:lastRowFirstColumn="0" w:lastRowLastColumn="0"/>
        </w:trPr>
        <w:tc>
          <w:tcPr>
            <w:tcW w:w="2297" w:type="dxa"/>
          </w:tcPr>
          <w:p w14:paraId="6D4F8E7F" w14:textId="77777777" w:rsidR="00370DA6" w:rsidRPr="00B238CA" w:rsidRDefault="00370DA6" w:rsidP="00AB5081">
            <w:pPr>
              <w:pStyle w:val="TableParagraph"/>
              <w:spacing w:line="276" w:lineRule="auto"/>
              <w:rPr>
                <w:rFonts w:cs="Segoe UI"/>
                <w:b/>
              </w:rPr>
            </w:pPr>
            <w:r w:rsidRPr="00B238CA">
              <w:rPr>
                <w:rFonts w:cs="Segoe UI"/>
                <w:b/>
              </w:rPr>
              <w:t>Query management</w:t>
            </w:r>
          </w:p>
        </w:tc>
        <w:tc>
          <w:tcPr>
            <w:tcW w:w="7342" w:type="dxa"/>
          </w:tcPr>
          <w:p w14:paraId="201A9367" w14:textId="77777777" w:rsidR="00370DA6" w:rsidRPr="00B238CA" w:rsidRDefault="00370DA6" w:rsidP="00370DA6">
            <w:pPr>
              <w:pStyle w:val="TableList1"/>
              <w:ind w:left="360" w:hanging="360"/>
            </w:pPr>
            <w:r w:rsidRPr="00B238CA">
              <w:t xml:space="preserve">Respond to queries on all matters relating to </w:t>
            </w:r>
            <w:r>
              <w:t>licensing</w:t>
            </w:r>
          </w:p>
          <w:p w14:paraId="3695943C" w14:textId="77777777" w:rsidR="00370DA6" w:rsidRPr="00B238CA" w:rsidRDefault="00370DA6" w:rsidP="00370DA6">
            <w:pPr>
              <w:pStyle w:val="TableList1"/>
              <w:ind w:left="360" w:hanging="360"/>
            </w:pPr>
            <w:r w:rsidRPr="00B238CA">
              <w:t xml:space="preserve">Perform an evidence of identity check (where the query relates to a person’s </w:t>
            </w:r>
            <w:r>
              <w:t>licence or learner permit</w:t>
            </w:r>
            <w:r w:rsidRPr="00B238CA">
              <w:t>), as part of the process to ensure that personal information is shared only with the person to whom the information relates or a person authorised to act on their behalf</w:t>
            </w:r>
          </w:p>
        </w:tc>
      </w:tr>
    </w:tbl>
    <w:p w14:paraId="64DBF796" w14:textId="77777777" w:rsidR="00370DA6" w:rsidRPr="00117C96" w:rsidRDefault="00370DA6" w:rsidP="00370DA6">
      <w:pPr>
        <w:pStyle w:val="Heading2"/>
        <w:spacing w:before="240" w:after="180"/>
      </w:pPr>
      <w:bookmarkStart w:id="744" w:name="_Toc4084231"/>
      <w:bookmarkStart w:id="745" w:name="_Toc10703513"/>
      <w:r>
        <w:t xml:space="preserve">Licence </w:t>
      </w:r>
      <w:r w:rsidRPr="00AC534D">
        <w:t>and Learner Permit</w:t>
      </w:r>
      <w:r>
        <w:t xml:space="preserve"> Administration</w:t>
      </w:r>
      <w:bookmarkEnd w:id="744"/>
      <w:bookmarkEnd w:id="745"/>
    </w:p>
    <w:p w14:paraId="65B6110D" w14:textId="4CAA7801" w:rsidR="00370DA6" w:rsidRDefault="00370DA6" w:rsidP="00840C1C">
      <w:pPr>
        <w:pStyle w:val="TextPara"/>
      </w:pPr>
      <w:r w:rsidRPr="00B238CA">
        <w:t xml:space="preserve">The </w:t>
      </w:r>
      <w:r w:rsidR="00202707">
        <w:t xml:space="preserve">forecast average </w:t>
      </w:r>
      <w:r w:rsidRPr="00B238CA">
        <w:t xml:space="preserve">annual cost of providing the administrative services supporting </w:t>
      </w:r>
      <w:r>
        <w:t xml:space="preserve">licence and learner permit </w:t>
      </w:r>
      <w:r w:rsidRPr="008422B1">
        <w:t>administration (excluding issue and renewal) is $6.</w:t>
      </w:r>
      <w:r w:rsidR="00CC520B">
        <w:t>69</w:t>
      </w:r>
      <w:r w:rsidR="00DD0311" w:rsidRPr="008422B1">
        <w:t>m</w:t>
      </w:r>
      <w:r w:rsidR="00202707">
        <w:t xml:space="preserve"> </w:t>
      </w:r>
      <w:r w:rsidR="00CC520B">
        <w:t>(</w:t>
      </w:r>
      <w:r w:rsidR="00202707">
        <w:t>PV)</w:t>
      </w:r>
      <w:r w:rsidRPr="008422B1">
        <w:t>. This Services Group supports the management of</w:t>
      </w:r>
      <w:r>
        <w:t xml:space="preserve"> approximately </w:t>
      </w:r>
      <w:r w:rsidRPr="008F7D9E">
        <w:t>2</w:t>
      </w:r>
      <w:r>
        <w:t>,</w:t>
      </w:r>
      <w:r w:rsidRPr="008F7D9E">
        <w:t>5</w:t>
      </w:r>
      <w:r>
        <w:t>00</w:t>
      </w:r>
      <w:r w:rsidRPr="008F7D9E">
        <w:t xml:space="preserve"> applications</w:t>
      </w:r>
      <w:r>
        <w:t xml:space="preserve"> for </w:t>
      </w:r>
      <w:r w:rsidRPr="008F7D9E">
        <w:t xml:space="preserve">exemption </w:t>
      </w:r>
      <w:r>
        <w:t>from requirements and restrictions</w:t>
      </w:r>
      <w:r w:rsidRPr="008F7D9E">
        <w:t xml:space="preserve">, </w:t>
      </w:r>
      <w:r>
        <w:t>27,000</w:t>
      </w:r>
      <w:r w:rsidRPr="008F7D9E">
        <w:t xml:space="preserve"> licence variations, </w:t>
      </w:r>
      <w:r>
        <w:t xml:space="preserve">and </w:t>
      </w:r>
      <w:r w:rsidRPr="008F7D9E">
        <w:t>the issue of 118,</w:t>
      </w:r>
      <w:r>
        <w:t>000</w:t>
      </w:r>
      <w:r w:rsidRPr="008F7D9E">
        <w:t xml:space="preserve"> replacement licences </w:t>
      </w:r>
      <w:r>
        <w:t>as well as</w:t>
      </w:r>
      <w:r w:rsidRPr="008F7D9E">
        <w:t xml:space="preserve"> 18</w:t>
      </w:r>
      <w:r>
        <w:t>,000</w:t>
      </w:r>
      <w:r w:rsidRPr="008F7D9E">
        <w:t xml:space="preserve"> replacement learner permits.</w:t>
      </w:r>
      <w:r>
        <w:t xml:space="preserve"> There are approximately </w:t>
      </w:r>
      <w:r w:rsidRPr="00104456">
        <w:t xml:space="preserve">21,000 overseas drivers and 68,000 </w:t>
      </w:r>
      <w:r>
        <w:t xml:space="preserve">interstate </w:t>
      </w:r>
      <w:r w:rsidRPr="00104456">
        <w:t xml:space="preserve">drivers </w:t>
      </w:r>
      <w:r>
        <w:t>who require licence conversion on an annual basis.</w:t>
      </w:r>
    </w:p>
    <w:p w14:paraId="14B91E94" w14:textId="77777777" w:rsidR="00370DA6" w:rsidRPr="00B238CA" w:rsidRDefault="00370DA6" w:rsidP="00840C1C">
      <w:pPr>
        <w:pStyle w:val="TextPara"/>
      </w:pPr>
      <w:r w:rsidRPr="00B238CA">
        <w:t xml:space="preserve">An overview of this </w:t>
      </w:r>
      <w:r>
        <w:t>Services Group’s</w:t>
      </w:r>
      <w:r w:rsidRPr="00B238CA">
        <w:t xml:space="preserve"> </w:t>
      </w:r>
      <w:r w:rsidRPr="00840C1C">
        <w:t>activities</w:t>
      </w:r>
      <w:r>
        <w:t>, costs and fee income</w:t>
      </w:r>
      <w:r w:rsidRPr="00B238CA">
        <w:t xml:space="preserve"> together with an assessment of options for cost recovery (against the DTF cost recovery principles) and the proposed fee outcome is outlined in the remainder of this section.</w:t>
      </w:r>
    </w:p>
    <w:p w14:paraId="1CD6DB1A" w14:textId="77777777" w:rsidR="00370DA6" w:rsidRDefault="00370DA6" w:rsidP="00370DA6">
      <w:pPr>
        <w:pStyle w:val="Heading3"/>
        <w:spacing w:before="240"/>
      </w:pPr>
      <w:bookmarkStart w:id="746" w:name="_Toc4084232"/>
      <w:bookmarkStart w:id="747" w:name="_Toc10703514"/>
      <w:r w:rsidRPr="00117C96">
        <w:t xml:space="preserve">Service </w:t>
      </w:r>
      <w:r w:rsidRPr="00F232C4">
        <w:t>Overview</w:t>
      </w:r>
      <w:bookmarkEnd w:id="746"/>
      <w:bookmarkEnd w:id="747"/>
    </w:p>
    <w:p w14:paraId="79A024EC" w14:textId="4627F018" w:rsidR="00370DA6" w:rsidRPr="00342389" w:rsidRDefault="004052C4" w:rsidP="00840C1C">
      <w:pPr>
        <w:pStyle w:val="TextPara"/>
      </w:pPr>
      <w:r>
        <w:fldChar w:fldCharType="begin"/>
      </w:r>
      <w:r>
        <w:instrText xml:space="preserve"> REF _Ref4405257 \h </w:instrText>
      </w:r>
      <w:r>
        <w:fldChar w:fldCharType="separate"/>
      </w:r>
      <w:r w:rsidR="00EB4B02">
        <w:t xml:space="preserve">Table </w:t>
      </w:r>
      <w:r w:rsidR="00EB4B02">
        <w:rPr>
          <w:noProof/>
        </w:rPr>
        <w:t>52</w:t>
      </w:r>
      <w:r>
        <w:fldChar w:fldCharType="end"/>
      </w:r>
      <w:r>
        <w:t xml:space="preserve"> </w:t>
      </w:r>
      <w:r w:rsidR="00370DA6">
        <w:t>provides a description of the activities associated with the licence administration services.</w:t>
      </w:r>
    </w:p>
    <w:p w14:paraId="0FB55F95" w14:textId="7C036265" w:rsidR="00370DA6" w:rsidRDefault="00370DA6" w:rsidP="00AA0BBA">
      <w:pPr>
        <w:pStyle w:val="Caption"/>
      </w:pPr>
      <w:bookmarkStart w:id="748" w:name="_Ref4405257"/>
      <w:bookmarkStart w:id="749" w:name="_Toc4084334"/>
      <w:bookmarkStart w:id="750" w:name="_Toc10703745"/>
      <w:r>
        <w:t xml:space="preserve">Table </w:t>
      </w:r>
      <w:r>
        <w:rPr>
          <w:noProof/>
        </w:rPr>
        <w:fldChar w:fldCharType="begin"/>
      </w:r>
      <w:r>
        <w:rPr>
          <w:noProof/>
        </w:rPr>
        <w:instrText xml:space="preserve"> SEQ Table \* ARABIC </w:instrText>
      </w:r>
      <w:r>
        <w:rPr>
          <w:noProof/>
        </w:rPr>
        <w:fldChar w:fldCharType="separate"/>
      </w:r>
      <w:r w:rsidR="00EB4B02">
        <w:rPr>
          <w:noProof/>
        </w:rPr>
        <w:t>52</w:t>
      </w:r>
      <w:r>
        <w:rPr>
          <w:noProof/>
        </w:rPr>
        <w:fldChar w:fldCharType="end"/>
      </w:r>
      <w:bookmarkEnd w:id="748"/>
      <w:r>
        <w:t xml:space="preserve"> – </w:t>
      </w:r>
      <w:r w:rsidRPr="003C4CEF">
        <w:t xml:space="preserve">Services </w:t>
      </w:r>
      <w:r>
        <w:t xml:space="preserve">Group Activities: </w:t>
      </w:r>
      <w:r w:rsidRPr="00AB5081">
        <w:t xml:space="preserve">Licence </w:t>
      </w:r>
      <w:r>
        <w:t xml:space="preserve">and Learner Permit </w:t>
      </w:r>
      <w:r w:rsidRPr="00AE0D4A">
        <w:t>Administration – General</w:t>
      </w:r>
      <w:bookmarkEnd w:id="749"/>
      <w:bookmarkEnd w:id="750"/>
    </w:p>
    <w:tbl>
      <w:tblPr>
        <w:tblStyle w:val="RIS-Table2"/>
        <w:tblW w:w="9634" w:type="dxa"/>
        <w:tblLayout w:type="fixed"/>
        <w:tblLook w:val="04A0" w:firstRow="1" w:lastRow="0" w:firstColumn="1" w:lastColumn="0" w:noHBand="0" w:noVBand="1"/>
      </w:tblPr>
      <w:tblGrid>
        <w:gridCol w:w="2263"/>
        <w:gridCol w:w="7371"/>
      </w:tblGrid>
      <w:tr w:rsidR="00370DA6" w:rsidRPr="00117C96" w14:paraId="43100764" w14:textId="77777777" w:rsidTr="00F043FE">
        <w:trPr>
          <w:cnfStyle w:val="100000000000" w:firstRow="1" w:lastRow="0" w:firstColumn="0" w:lastColumn="0" w:oddVBand="0" w:evenVBand="0" w:oddHBand="0" w:evenHBand="0" w:firstRowFirstColumn="0" w:firstRowLastColumn="0" w:lastRowFirstColumn="0" w:lastRowLastColumn="0"/>
        </w:trPr>
        <w:tc>
          <w:tcPr>
            <w:tcW w:w="2263" w:type="dxa"/>
          </w:tcPr>
          <w:p w14:paraId="3C2095B2" w14:textId="77777777" w:rsidR="00370DA6" w:rsidRPr="00117C96" w:rsidRDefault="00370DA6" w:rsidP="003E4B06">
            <w:pPr>
              <w:pStyle w:val="TableHeaders"/>
            </w:pPr>
            <w:r w:rsidRPr="00B238CA">
              <w:rPr>
                <w:rFonts w:cs="Segoe UI"/>
              </w:rPr>
              <w:t xml:space="preserve">Services </w:t>
            </w:r>
          </w:p>
        </w:tc>
        <w:tc>
          <w:tcPr>
            <w:tcW w:w="7371" w:type="dxa"/>
          </w:tcPr>
          <w:p w14:paraId="491B9AD7" w14:textId="77777777" w:rsidR="00370DA6" w:rsidRPr="00117C96" w:rsidRDefault="00370DA6" w:rsidP="003E4B06">
            <w:pPr>
              <w:pStyle w:val="TableHeaders"/>
            </w:pPr>
            <w:r w:rsidRPr="00B238CA">
              <w:rPr>
                <w:rFonts w:cs="Segoe UI"/>
                <w:szCs w:val="18"/>
              </w:rPr>
              <w:t>Activities</w:t>
            </w:r>
          </w:p>
        </w:tc>
      </w:tr>
      <w:tr w:rsidR="00370DA6" w:rsidRPr="00055C2A" w14:paraId="45DC073F" w14:textId="77777777" w:rsidTr="00F043FE">
        <w:tc>
          <w:tcPr>
            <w:tcW w:w="2263" w:type="dxa"/>
          </w:tcPr>
          <w:p w14:paraId="58F866A3" w14:textId="77777777" w:rsidR="00370DA6" w:rsidRPr="0005593C" w:rsidRDefault="00370DA6" w:rsidP="00063151">
            <w:pPr>
              <w:pStyle w:val="TableParagraph"/>
              <w:rPr>
                <w:b/>
              </w:rPr>
            </w:pPr>
            <w:r w:rsidRPr="00AC534D">
              <w:rPr>
                <w:b/>
              </w:rPr>
              <w:t>Licence and learner permit conditions</w:t>
            </w:r>
          </w:p>
        </w:tc>
        <w:tc>
          <w:tcPr>
            <w:tcW w:w="7371" w:type="dxa"/>
          </w:tcPr>
          <w:p w14:paraId="4C8656DA" w14:textId="77777777" w:rsidR="00370DA6" w:rsidRPr="00B238CA" w:rsidRDefault="00370DA6" w:rsidP="00370DA6">
            <w:pPr>
              <w:pStyle w:val="TableList1"/>
              <w:ind w:left="360" w:hanging="360"/>
            </w:pPr>
            <w:r w:rsidRPr="00B238CA">
              <w:t xml:space="preserve">Conduct evidence of identity check to confirm identity of the </w:t>
            </w:r>
            <w:r>
              <w:t>customer</w:t>
            </w:r>
          </w:p>
          <w:p w14:paraId="58BEC8A7" w14:textId="77777777" w:rsidR="00370DA6" w:rsidRDefault="00370DA6" w:rsidP="00370DA6">
            <w:pPr>
              <w:pStyle w:val="TableList1"/>
              <w:ind w:left="360" w:hanging="360"/>
            </w:pPr>
            <w:r w:rsidRPr="00AB5081">
              <w:t xml:space="preserve">Assess </w:t>
            </w:r>
            <w:r>
              <w:t>the documentation provided (drive test outcome, application, court notice, medical fitness-to-drive review determination, etc.) to determine the condition(s) to apply. Possible conditions are:</w:t>
            </w:r>
          </w:p>
          <w:p w14:paraId="2A24983E" w14:textId="77777777" w:rsidR="00370DA6" w:rsidRPr="00E5140D" w:rsidRDefault="00370DA6" w:rsidP="000A0322">
            <w:pPr>
              <w:pStyle w:val="TableParagraph"/>
              <w:ind w:left="208"/>
            </w:pPr>
            <w:r w:rsidRPr="00E5140D">
              <w:t xml:space="preserve">A </w:t>
            </w:r>
            <w:r>
              <w:t>–</w:t>
            </w:r>
            <w:r w:rsidRPr="00E5140D">
              <w:t xml:space="preserve"> automatic transmission</w:t>
            </w:r>
          </w:p>
          <w:p w14:paraId="58F159BD" w14:textId="77777777" w:rsidR="00370DA6" w:rsidRPr="00E5140D" w:rsidRDefault="00370DA6" w:rsidP="000A0322">
            <w:pPr>
              <w:pStyle w:val="TableParagraph"/>
              <w:ind w:left="208"/>
            </w:pPr>
            <w:r w:rsidRPr="00E5140D">
              <w:t xml:space="preserve">B </w:t>
            </w:r>
            <w:r>
              <w:t>–</w:t>
            </w:r>
            <w:r w:rsidRPr="00E5140D">
              <w:t xml:space="preserve"> synchromesh transmission - heavy vehicle only</w:t>
            </w:r>
          </w:p>
          <w:p w14:paraId="3E0C91FC" w14:textId="77777777" w:rsidR="00370DA6" w:rsidRPr="00E5140D" w:rsidRDefault="00370DA6" w:rsidP="000A0322">
            <w:pPr>
              <w:pStyle w:val="TableParagraph"/>
              <w:ind w:left="208"/>
            </w:pPr>
            <w:r w:rsidRPr="00E5140D">
              <w:t xml:space="preserve">E </w:t>
            </w:r>
            <w:r>
              <w:t>–</w:t>
            </w:r>
            <w:r w:rsidRPr="00E5140D">
              <w:t xml:space="preserve"> LAMS restriction, no pillion passenger and zero BAC</w:t>
            </w:r>
          </w:p>
          <w:p w14:paraId="034940B9" w14:textId="77777777" w:rsidR="00370DA6" w:rsidRPr="00E5140D" w:rsidRDefault="00370DA6" w:rsidP="000A0322">
            <w:pPr>
              <w:pStyle w:val="TableParagraph"/>
              <w:ind w:left="208"/>
            </w:pPr>
            <w:r w:rsidRPr="00E5140D">
              <w:t xml:space="preserve">I </w:t>
            </w:r>
            <w:r>
              <w:t>–</w:t>
            </w:r>
            <w:r w:rsidRPr="00E5140D">
              <w:t xml:space="preserve"> </w:t>
            </w:r>
            <w:r>
              <w:t>i</w:t>
            </w:r>
            <w:r w:rsidRPr="00E5140D">
              <w:t>gnition interlock device</w:t>
            </w:r>
          </w:p>
          <w:p w14:paraId="2C44BA52" w14:textId="77777777" w:rsidR="00370DA6" w:rsidRPr="00E5140D" w:rsidRDefault="00370DA6" w:rsidP="000A0322">
            <w:pPr>
              <w:pStyle w:val="TableParagraph"/>
              <w:ind w:left="208"/>
            </w:pPr>
            <w:r w:rsidRPr="00E5140D">
              <w:t xml:space="preserve">N </w:t>
            </w:r>
            <w:r>
              <w:t>–</w:t>
            </w:r>
            <w:r w:rsidRPr="00E5140D">
              <w:t xml:space="preserve"> automatic transmission (motorcycle)</w:t>
            </w:r>
          </w:p>
          <w:p w14:paraId="63ACAFB6" w14:textId="77777777" w:rsidR="00370DA6" w:rsidRPr="00E5140D" w:rsidRDefault="00370DA6" w:rsidP="000A0322">
            <w:pPr>
              <w:pStyle w:val="TableParagraph"/>
              <w:ind w:left="208"/>
            </w:pPr>
            <w:r w:rsidRPr="00E5140D">
              <w:t xml:space="preserve">P </w:t>
            </w:r>
            <w:r>
              <w:t>–</w:t>
            </w:r>
            <w:r w:rsidRPr="00E5140D">
              <w:t xml:space="preserve"> passenger restriction</w:t>
            </w:r>
          </w:p>
          <w:p w14:paraId="72DDB461" w14:textId="77777777" w:rsidR="00370DA6" w:rsidRPr="00E5140D" w:rsidRDefault="00370DA6" w:rsidP="000A0322">
            <w:pPr>
              <w:pStyle w:val="TableParagraph"/>
              <w:ind w:left="208"/>
            </w:pPr>
            <w:r w:rsidRPr="00E5140D">
              <w:t xml:space="preserve">S </w:t>
            </w:r>
            <w:r>
              <w:t>–</w:t>
            </w:r>
            <w:r w:rsidRPr="00E5140D">
              <w:t xml:space="preserve"> glasses or corrective lenses</w:t>
            </w:r>
          </w:p>
          <w:p w14:paraId="3E5DD038" w14:textId="77777777" w:rsidR="00370DA6" w:rsidRPr="00E5140D" w:rsidRDefault="00370DA6" w:rsidP="000A0322">
            <w:pPr>
              <w:pStyle w:val="TableParagraph"/>
              <w:ind w:left="208"/>
            </w:pPr>
            <w:r w:rsidRPr="00E5140D">
              <w:t xml:space="preserve">V </w:t>
            </w:r>
            <w:r>
              <w:t>–</w:t>
            </w:r>
            <w:r w:rsidRPr="00E5140D">
              <w:t xml:space="preserve"> driver aids or vehicle modifications</w:t>
            </w:r>
          </w:p>
          <w:p w14:paraId="3009CC3C" w14:textId="77777777" w:rsidR="00370DA6" w:rsidRPr="00E5140D" w:rsidRDefault="00370DA6" w:rsidP="000A0322">
            <w:pPr>
              <w:pStyle w:val="TableParagraph"/>
              <w:ind w:left="208"/>
            </w:pPr>
            <w:r w:rsidRPr="00E5140D">
              <w:t xml:space="preserve">X </w:t>
            </w:r>
            <w:r>
              <w:t>–</w:t>
            </w:r>
            <w:r w:rsidRPr="00E5140D">
              <w:t xml:space="preserve"> any condition or restriction VicRoads has advised you of in writing</w:t>
            </w:r>
          </w:p>
          <w:p w14:paraId="02ECF61D" w14:textId="77777777" w:rsidR="00370DA6" w:rsidRPr="00AB5081" w:rsidRDefault="00370DA6" w:rsidP="000A0322">
            <w:pPr>
              <w:pStyle w:val="TableParagraph"/>
              <w:ind w:left="208"/>
            </w:pPr>
            <w:r w:rsidRPr="00E5140D">
              <w:t xml:space="preserve">Z </w:t>
            </w:r>
            <w:r>
              <w:t>–</w:t>
            </w:r>
            <w:r w:rsidRPr="00E5140D">
              <w:t xml:space="preserve"> zero blood </w:t>
            </w:r>
            <w:r>
              <w:t xml:space="preserve">or breath </w:t>
            </w:r>
            <w:r w:rsidRPr="00E5140D">
              <w:t>alcohol limit</w:t>
            </w:r>
            <w:r>
              <w:t xml:space="preserve"> </w:t>
            </w:r>
          </w:p>
          <w:p w14:paraId="57AA619E" w14:textId="77777777" w:rsidR="00370DA6" w:rsidRPr="000D2B9B" w:rsidRDefault="00370DA6" w:rsidP="00370DA6">
            <w:pPr>
              <w:pStyle w:val="TableList1"/>
              <w:ind w:left="360" w:hanging="360"/>
            </w:pPr>
            <w:r w:rsidRPr="00E3698F">
              <w:lastRenderedPageBreak/>
              <w:t xml:space="preserve">Update the customer record in </w:t>
            </w:r>
            <w:r w:rsidRPr="00354BC6">
              <w:t xml:space="preserve">DLS </w:t>
            </w:r>
            <w:r w:rsidRPr="00C21559">
              <w:t>with the applicable condition</w:t>
            </w:r>
            <w:r w:rsidRPr="000D2B9B">
              <w:t>(s)</w:t>
            </w:r>
          </w:p>
          <w:p w14:paraId="3E6FD540" w14:textId="77777777" w:rsidR="00370DA6" w:rsidRDefault="00370DA6" w:rsidP="00370DA6">
            <w:pPr>
              <w:pStyle w:val="TableList1"/>
              <w:ind w:left="360" w:hanging="360"/>
            </w:pPr>
            <w:r w:rsidRPr="004418BE">
              <w:t>Issue a temporary licence or learner permit receipt to the customer to use until a licence or learner permit card is printed and posted to them within 10 days</w:t>
            </w:r>
          </w:p>
          <w:p w14:paraId="6354C37A" w14:textId="77777777" w:rsidR="00370DA6" w:rsidRDefault="00370DA6" w:rsidP="00370DA6">
            <w:pPr>
              <w:pStyle w:val="TableList1"/>
              <w:ind w:left="360" w:hanging="360"/>
            </w:pPr>
            <w:r>
              <w:t>Print and post licence/permit card</w:t>
            </w:r>
          </w:p>
        </w:tc>
      </w:tr>
      <w:tr w:rsidR="00370DA6" w:rsidRPr="00055C2A" w14:paraId="3BE24251" w14:textId="77777777" w:rsidTr="00F043FE">
        <w:trPr>
          <w:cnfStyle w:val="000000010000" w:firstRow="0" w:lastRow="0" w:firstColumn="0" w:lastColumn="0" w:oddVBand="0" w:evenVBand="0" w:oddHBand="0" w:evenHBand="1" w:firstRowFirstColumn="0" w:firstRowLastColumn="0" w:lastRowFirstColumn="0" w:lastRowLastColumn="0"/>
        </w:trPr>
        <w:tc>
          <w:tcPr>
            <w:tcW w:w="2263" w:type="dxa"/>
          </w:tcPr>
          <w:p w14:paraId="250ED341" w14:textId="77777777" w:rsidR="00370DA6" w:rsidRPr="0005593C" w:rsidRDefault="00370DA6" w:rsidP="005F6F8B">
            <w:pPr>
              <w:pStyle w:val="TableList1"/>
              <w:numPr>
                <w:ilvl w:val="0"/>
                <w:numId w:val="0"/>
              </w:numPr>
              <w:rPr>
                <w:b/>
              </w:rPr>
            </w:pPr>
            <w:r w:rsidRPr="0005593C">
              <w:rPr>
                <w:b/>
              </w:rPr>
              <w:lastRenderedPageBreak/>
              <w:t xml:space="preserve">Licence variations (add motorcycle or add car) </w:t>
            </w:r>
          </w:p>
        </w:tc>
        <w:tc>
          <w:tcPr>
            <w:tcW w:w="7371" w:type="dxa"/>
          </w:tcPr>
          <w:p w14:paraId="44CB3683" w14:textId="77777777" w:rsidR="00370DA6" w:rsidRPr="00354BC6" w:rsidRDefault="00370DA6" w:rsidP="00370DA6">
            <w:pPr>
              <w:pStyle w:val="TableList1"/>
              <w:ind w:left="360" w:hanging="360"/>
            </w:pPr>
            <w:r w:rsidRPr="00E3698F">
              <w:t>Conduct evidence of identity check to confirm identity of the customer</w:t>
            </w:r>
          </w:p>
          <w:p w14:paraId="42F70785" w14:textId="77777777" w:rsidR="00370DA6" w:rsidRPr="004418BE" w:rsidRDefault="00370DA6" w:rsidP="00370DA6">
            <w:pPr>
              <w:pStyle w:val="TableList1"/>
              <w:ind w:left="360" w:hanging="360"/>
            </w:pPr>
            <w:r w:rsidRPr="00C21559">
              <w:t xml:space="preserve">Check successful completion of motorcycle or motor vehicle drive test </w:t>
            </w:r>
            <w:r w:rsidRPr="000D2B9B">
              <w:t xml:space="preserve">and </w:t>
            </w:r>
            <w:r w:rsidRPr="004418BE">
              <w:t>process payment</w:t>
            </w:r>
          </w:p>
          <w:p w14:paraId="19E8618B" w14:textId="77777777" w:rsidR="00370DA6" w:rsidRPr="004418BE" w:rsidRDefault="00370DA6" w:rsidP="00370DA6">
            <w:pPr>
              <w:pStyle w:val="TableList1"/>
              <w:ind w:left="360" w:hanging="360"/>
            </w:pPr>
            <w:r w:rsidRPr="004418BE">
              <w:t>Update the customer record in DLS with the additional licence holding</w:t>
            </w:r>
          </w:p>
          <w:p w14:paraId="02F2DE60" w14:textId="77777777" w:rsidR="00370DA6" w:rsidRDefault="00370DA6" w:rsidP="00370DA6">
            <w:pPr>
              <w:pStyle w:val="TableList1"/>
              <w:ind w:left="360" w:hanging="360"/>
            </w:pPr>
            <w:r w:rsidRPr="004418BE">
              <w:t>Issue a temporary licence receipt to the customer for the additional licence holding to use until a licence card is printed and posted to them within 10 days</w:t>
            </w:r>
          </w:p>
          <w:p w14:paraId="3A49CA4A" w14:textId="77777777" w:rsidR="00370DA6" w:rsidRPr="00354BC6" w:rsidRDefault="00370DA6" w:rsidP="00370DA6">
            <w:pPr>
              <w:pStyle w:val="TableList1"/>
              <w:ind w:left="360" w:hanging="360"/>
            </w:pPr>
            <w:r>
              <w:t>Print and post licence card</w:t>
            </w:r>
          </w:p>
        </w:tc>
      </w:tr>
      <w:tr w:rsidR="00370DA6" w:rsidRPr="00055C2A" w14:paraId="2710B9CF" w14:textId="77777777" w:rsidTr="00F043FE">
        <w:tc>
          <w:tcPr>
            <w:tcW w:w="2263" w:type="dxa"/>
          </w:tcPr>
          <w:p w14:paraId="7216E834" w14:textId="77777777" w:rsidR="00370DA6" w:rsidRPr="0005593C" w:rsidRDefault="00370DA6" w:rsidP="005F6F8B">
            <w:pPr>
              <w:pStyle w:val="TableList1"/>
              <w:numPr>
                <w:ilvl w:val="0"/>
                <w:numId w:val="0"/>
              </w:numPr>
              <w:rPr>
                <w:b/>
              </w:rPr>
            </w:pPr>
            <w:r w:rsidRPr="0005593C">
              <w:rPr>
                <w:b/>
              </w:rPr>
              <w:t>Exemptions from driver licence or learner permit requirements</w:t>
            </w:r>
          </w:p>
        </w:tc>
        <w:tc>
          <w:tcPr>
            <w:tcW w:w="7371" w:type="dxa"/>
          </w:tcPr>
          <w:p w14:paraId="73D6F75E" w14:textId="77777777" w:rsidR="00370DA6" w:rsidRPr="00354BC6" w:rsidRDefault="00370DA6" w:rsidP="00370DA6">
            <w:pPr>
              <w:pStyle w:val="TableList1"/>
              <w:ind w:left="360" w:hanging="360"/>
            </w:pPr>
            <w:r w:rsidRPr="00E3698F">
              <w:t>Conduct evidence of identity check to confirm identity of the customer</w:t>
            </w:r>
          </w:p>
          <w:p w14:paraId="18DCC152" w14:textId="77777777" w:rsidR="00370DA6" w:rsidRDefault="00370DA6" w:rsidP="00370DA6">
            <w:pPr>
              <w:pStyle w:val="TableList1"/>
              <w:ind w:left="360" w:hanging="360"/>
            </w:pPr>
            <w:r>
              <w:t xml:space="preserve">Process </w:t>
            </w:r>
            <w:r w:rsidRPr="00E66396">
              <w:t>payment</w:t>
            </w:r>
            <w:r>
              <w:t xml:space="preserve"> on receipt of exemption application</w:t>
            </w:r>
          </w:p>
          <w:p w14:paraId="67F1171E" w14:textId="77777777" w:rsidR="00370DA6" w:rsidRPr="004418BE" w:rsidRDefault="00370DA6" w:rsidP="00370DA6">
            <w:pPr>
              <w:pStyle w:val="TableList1"/>
              <w:ind w:left="360" w:hanging="360"/>
            </w:pPr>
            <w:r w:rsidRPr="00E3698F">
              <w:t>Assess application against criteria for eligibility</w:t>
            </w:r>
            <w:r w:rsidRPr="00C856FB">
              <w:t xml:space="preserve"> and notify customer of outcome.</w:t>
            </w:r>
            <w:r>
              <w:t xml:space="preserve"> For successful applicants, u</w:t>
            </w:r>
            <w:r w:rsidRPr="00F6077B">
              <w:t>pdate the customer record in DLS to reflect the approved exemption</w:t>
            </w:r>
            <w:r>
              <w:t>.</w:t>
            </w:r>
            <w:r w:rsidRPr="00E3698F">
              <w:t xml:space="preserve"> Successful applican</w:t>
            </w:r>
            <w:r w:rsidRPr="00EE3E8F">
              <w:t>ts must carry the exemption notification</w:t>
            </w:r>
            <w:r>
              <w:t xml:space="preserve"> with their licence</w:t>
            </w:r>
          </w:p>
        </w:tc>
      </w:tr>
      <w:tr w:rsidR="00370DA6" w:rsidRPr="00055C2A" w14:paraId="3C4B6926" w14:textId="77777777" w:rsidTr="00F043FE">
        <w:trPr>
          <w:cnfStyle w:val="000000010000" w:firstRow="0" w:lastRow="0" w:firstColumn="0" w:lastColumn="0" w:oddVBand="0" w:evenVBand="0" w:oddHBand="0" w:evenHBand="1" w:firstRowFirstColumn="0" w:firstRowLastColumn="0" w:lastRowFirstColumn="0" w:lastRowLastColumn="0"/>
        </w:trPr>
        <w:tc>
          <w:tcPr>
            <w:tcW w:w="2263" w:type="dxa"/>
          </w:tcPr>
          <w:p w14:paraId="47B500DB" w14:textId="77777777" w:rsidR="00370DA6" w:rsidRPr="0005593C" w:rsidRDefault="00370DA6" w:rsidP="00063151">
            <w:pPr>
              <w:pStyle w:val="TableParagraph"/>
              <w:rPr>
                <w:b/>
              </w:rPr>
            </w:pPr>
            <w:r w:rsidRPr="0005593C">
              <w:rPr>
                <w:b/>
              </w:rPr>
              <w:t xml:space="preserve">Licence conversion of an overseas or interstate licence </w:t>
            </w:r>
            <w:r w:rsidRPr="0005593C">
              <w:rPr>
                <w:b/>
              </w:rPr>
              <w:br/>
              <w:t>(no requirement to undertake a drive test)</w:t>
            </w:r>
          </w:p>
          <w:p w14:paraId="05EEB66A" w14:textId="77777777" w:rsidR="00370DA6" w:rsidRPr="0005593C" w:rsidRDefault="00370DA6" w:rsidP="005F6F8B">
            <w:pPr>
              <w:pStyle w:val="TableList1"/>
              <w:numPr>
                <w:ilvl w:val="0"/>
                <w:numId w:val="0"/>
              </w:numPr>
              <w:rPr>
                <w:b/>
              </w:rPr>
            </w:pPr>
          </w:p>
        </w:tc>
        <w:tc>
          <w:tcPr>
            <w:tcW w:w="7371" w:type="dxa"/>
          </w:tcPr>
          <w:p w14:paraId="31D8C6B8" w14:textId="77777777" w:rsidR="00370DA6" w:rsidRPr="00E3192B" w:rsidRDefault="00370DA6" w:rsidP="00370DA6">
            <w:pPr>
              <w:pStyle w:val="TableList1"/>
              <w:ind w:left="360" w:hanging="360"/>
            </w:pPr>
            <w:r w:rsidRPr="00E3192B">
              <w:t>Conduct evidence of identity check (in person at a CSC, or by telephone with the Call Centre) to confirm identity of the customer</w:t>
            </w:r>
          </w:p>
          <w:p w14:paraId="644C3BE3" w14:textId="77777777" w:rsidR="00370DA6" w:rsidRPr="00E3192B" w:rsidRDefault="00370DA6" w:rsidP="00370DA6">
            <w:pPr>
              <w:pStyle w:val="TableList1"/>
              <w:ind w:left="360" w:hanging="360"/>
            </w:pPr>
            <w:r w:rsidRPr="00E3192B">
              <w:t>Create the customer record in DLS</w:t>
            </w:r>
          </w:p>
          <w:p w14:paraId="5BA25266" w14:textId="77777777" w:rsidR="00370DA6" w:rsidRPr="00E3192B" w:rsidRDefault="00370DA6" w:rsidP="00370DA6">
            <w:pPr>
              <w:pStyle w:val="TableList1"/>
              <w:ind w:left="360" w:hanging="360"/>
            </w:pPr>
            <w:r w:rsidRPr="00E3192B">
              <w:t>Schedule appointment to perform the inspection, and advise on process, rules and documentation requirements for assessment, and process payment for the conversion appointment</w:t>
            </w:r>
          </w:p>
          <w:p w14:paraId="7D3FF236" w14:textId="77777777" w:rsidR="00370DA6" w:rsidRPr="00E3192B" w:rsidRDefault="00370DA6" w:rsidP="00370DA6">
            <w:pPr>
              <w:pStyle w:val="TableList1"/>
              <w:ind w:left="360" w:hanging="360"/>
            </w:pPr>
            <w:r w:rsidRPr="00354BC6">
              <w:t>Conduct evidence of identity check at appointment to confirm identity of the customer</w:t>
            </w:r>
          </w:p>
          <w:p w14:paraId="193BF5AF" w14:textId="77777777" w:rsidR="00370DA6" w:rsidRPr="00E3192B" w:rsidRDefault="00370DA6" w:rsidP="00370DA6">
            <w:pPr>
              <w:pStyle w:val="TableList1"/>
              <w:ind w:left="360" w:hanging="360"/>
            </w:pPr>
            <w:r w:rsidRPr="00354BC6">
              <w:t>I</w:t>
            </w:r>
            <w:r w:rsidRPr="00E3192B">
              <w:t>nspect documentation for authenticity, licence validity, driving experience and any endorsements necessary to meet Victorian licence requirements</w:t>
            </w:r>
          </w:p>
          <w:p w14:paraId="2C4CFBFD" w14:textId="3E74035B" w:rsidR="00370DA6" w:rsidRPr="004418BE" w:rsidRDefault="00370DA6" w:rsidP="00285F85">
            <w:pPr>
              <w:pStyle w:val="TableList2"/>
            </w:pPr>
            <w:r w:rsidRPr="00354BC6">
              <w:t xml:space="preserve">Interstate </w:t>
            </w:r>
            <w:r w:rsidRPr="00C21559">
              <w:t xml:space="preserve">drivers who convert to a Victorian licence will be issued with a licence </w:t>
            </w:r>
            <w:r w:rsidRPr="000D2B9B">
              <w:t xml:space="preserve">with the same expiry date of </w:t>
            </w:r>
            <w:r w:rsidRPr="004418BE">
              <w:t>their original licence</w:t>
            </w:r>
          </w:p>
          <w:p w14:paraId="206BE258" w14:textId="77777777" w:rsidR="00370DA6" w:rsidRPr="004418BE" w:rsidRDefault="00370DA6" w:rsidP="007A0FCA">
            <w:pPr>
              <w:pStyle w:val="TableList2"/>
            </w:pPr>
            <w:r w:rsidRPr="004418BE">
              <w:t>Overseas drivers who convert to a Victorian licence will be issued with a standard term licence with an expiry date that depends on the length of time they have paid (i.e. 3-year or 10-year licence)</w:t>
            </w:r>
          </w:p>
          <w:p w14:paraId="65D6FDBE" w14:textId="77777777" w:rsidR="00370DA6" w:rsidRPr="004418BE" w:rsidRDefault="00370DA6" w:rsidP="00370DA6">
            <w:pPr>
              <w:pStyle w:val="TableList1"/>
              <w:ind w:left="360" w:hanging="360"/>
            </w:pPr>
            <w:r w:rsidRPr="004418BE">
              <w:t>Process payment for new Victorian licence</w:t>
            </w:r>
          </w:p>
          <w:p w14:paraId="03D14F93" w14:textId="77777777" w:rsidR="00370DA6" w:rsidRPr="004418BE" w:rsidRDefault="00370DA6" w:rsidP="00370DA6">
            <w:pPr>
              <w:pStyle w:val="TableList1"/>
              <w:ind w:left="360" w:hanging="360"/>
            </w:pPr>
            <w:r w:rsidRPr="004418BE">
              <w:t>Take a photograph of the customer for the driver licence</w:t>
            </w:r>
          </w:p>
          <w:p w14:paraId="0FE65CF3" w14:textId="77777777" w:rsidR="00370DA6" w:rsidRPr="004418BE" w:rsidRDefault="00370DA6" w:rsidP="00370DA6">
            <w:pPr>
              <w:pStyle w:val="TableList1"/>
              <w:ind w:left="360" w:hanging="360"/>
            </w:pPr>
            <w:r w:rsidRPr="004418BE">
              <w:t>Update the customer’s licence status in DLS and set the appropriate expiry date</w:t>
            </w:r>
          </w:p>
          <w:p w14:paraId="13887FA4" w14:textId="77777777" w:rsidR="00370DA6" w:rsidRPr="00354BC6" w:rsidRDefault="00370DA6" w:rsidP="00370DA6">
            <w:pPr>
              <w:pStyle w:val="TableList1"/>
              <w:ind w:left="360" w:hanging="360"/>
            </w:pPr>
            <w:r w:rsidRPr="004418BE">
              <w:t>Issue a temporary licence receipt to the customer to use until a licence or learner permit card is printed and posted to them within 10 days</w:t>
            </w:r>
          </w:p>
          <w:p w14:paraId="7695743E" w14:textId="77777777" w:rsidR="00370DA6" w:rsidRDefault="00370DA6" w:rsidP="00370DA6">
            <w:pPr>
              <w:pStyle w:val="TableList1"/>
              <w:ind w:left="360" w:hanging="360"/>
            </w:pPr>
            <w:r w:rsidRPr="004418BE">
              <w:t>Notify the customer by mail that payment is required by a designated date if the payment is dishonoured or the licence will become void</w:t>
            </w:r>
          </w:p>
          <w:p w14:paraId="5E995B2B" w14:textId="77777777" w:rsidR="00370DA6" w:rsidRPr="00354BC6" w:rsidRDefault="00370DA6" w:rsidP="00370DA6">
            <w:pPr>
              <w:pStyle w:val="TableList1"/>
              <w:ind w:left="360" w:hanging="360"/>
            </w:pPr>
            <w:r>
              <w:t>Print and post licence card</w:t>
            </w:r>
          </w:p>
        </w:tc>
      </w:tr>
      <w:tr w:rsidR="00370DA6" w:rsidRPr="00055C2A" w14:paraId="02CAAEC9" w14:textId="77777777" w:rsidTr="00F043FE">
        <w:tc>
          <w:tcPr>
            <w:tcW w:w="2263" w:type="dxa"/>
          </w:tcPr>
          <w:p w14:paraId="340D9931" w14:textId="77777777" w:rsidR="00370DA6" w:rsidRPr="0005593C" w:rsidRDefault="00370DA6" w:rsidP="005F6F8B">
            <w:pPr>
              <w:pStyle w:val="TableList1"/>
              <w:numPr>
                <w:ilvl w:val="0"/>
                <w:numId w:val="0"/>
              </w:numPr>
              <w:rPr>
                <w:b/>
              </w:rPr>
            </w:pPr>
            <w:r w:rsidRPr="0005593C">
              <w:rPr>
                <w:b/>
              </w:rPr>
              <w:t xml:space="preserve">Replacement of licence </w:t>
            </w:r>
            <w:r w:rsidRPr="00AC534D">
              <w:rPr>
                <w:b/>
              </w:rPr>
              <w:t>and learner permit cards</w:t>
            </w:r>
          </w:p>
          <w:p w14:paraId="08BAC419" w14:textId="77777777" w:rsidR="00370DA6" w:rsidRPr="0005593C" w:rsidRDefault="00370DA6" w:rsidP="00063151">
            <w:pPr>
              <w:pStyle w:val="TableParagraph"/>
              <w:rPr>
                <w:b/>
              </w:rPr>
            </w:pPr>
          </w:p>
        </w:tc>
        <w:tc>
          <w:tcPr>
            <w:tcW w:w="7371" w:type="dxa"/>
          </w:tcPr>
          <w:p w14:paraId="000197A7" w14:textId="77777777" w:rsidR="00370DA6" w:rsidRDefault="00370DA6" w:rsidP="00370DA6">
            <w:pPr>
              <w:pStyle w:val="TableList1"/>
              <w:ind w:left="360" w:hanging="360"/>
            </w:pPr>
            <w:r w:rsidRPr="00B238CA">
              <w:t xml:space="preserve">Conduct evidence of identity check to confirm identity of the </w:t>
            </w:r>
            <w:r>
              <w:t>customer and process payment</w:t>
            </w:r>
          </w:p>
          <w:p w14:paraId="5823875B" w14:textId="77777777" w:rsidR="00370DA6" w:rsidRDefault="00370DA6" w:rsidP="00370DA6">
            <w:pPr>
              <w:pStyle w:val="TableList1"/>
              <w:ind w:left="360" w:hanging="360"/>
            </w:pPr>
            <w:r>
              <w:t>Take a photograph of the customer for the licence or learner permit if the current image in DLS is more than 5 years old</w:t>
            </w:r>
          </w:p>
          <w:p w14:paraId="660C95E9" w14:textId="77777777" w:rsidR="00370DA6" w:rsidRPr="00354BC6" w:rsidRDefault="00370DA6" w:rsidP="00370DA6">
            <w:pPr>
              <w:pStyle w:val="TableList1"/>
              <w:ind w:left="360" w:hanging="360"/>
            </w:pPr>
            <w:r w:rsidRPr="004418BE">
              <w:rPr>
                <w:szCs w:val="22"/>
              </w:rPr>
              <w:t xml:space="preserve">Update the customer’s </w:t>
            </w:r>
            <w:r>
              <w:t>record</w:t>
            </w:r>
            <w:r w:rsidRPr="004418BE">
              <w:rPr>
                <w:szCs w:val="22"/>
              </w:rPr>
              <w:t xml:space="preserve"> in DLS </w:t>
            </w:r>
            <w:r>
              <w:t>to reflect issue of replacement licence or learner permit card</w:t>
            </w:r>
          </w:p>
          <w:p w14:paraId="0BDFE9E8" w14:textId="77777777" w:rsidR="00370DA6" w:rsidRDefault="00370DA6" w:rsidP="00370DA6">
            <w:pPr>
              <w:pStyle w:val="TableList1"/>
              <w:ind w:left="360" w:hanging="360"/>
            </w:pPr>
            <w:r w:rsidRPr="004418BE">
              <w:t>Issue a temporary licence or learner permit receipt to the customer to use until a licence or learner permit card is printed and posted to them within 10 days</w:t>
            </w:r>
          </w:p>
          <w:p w14:paraId="281D3017" w14:textId="77777777" w:rsidR="00370DA6" w:rsidRPr="00354BC6" w:rsidRDefault="00370DA6" w:rsidP="00370DA6">
            <w:pPr>
              <w:pStyle w:val="TableList1"/>
              <w:ind w:left="360" w:hanging="360"/>
            </w:pPr>
            <w:r>
              <w:t>Print and post licence/permit card</w:t>
            </w:r>
          </w:p>
        </w:tc>
      </w:tr>
      <w:tr w:rsidR="00370DA6" w:rsidRPr="00055C2A" w14:paraId="6E03FB48" w14:textId="77777777" w:rsidTr="00F043FE">
        <w:trPr>
          <w:cnfStyle w:val="000000010000" w:firstRow="0" w:lastRow="0" w:firstColumn="0" w:lastColumn="0" w:oddVBand="0" w:evenVBand="0" w:oddHBand="0" w:evenHBand="1" w:firstRowFirstColumn="0" w:firstRowLastColumn="0" w:lastRowFirstColumn="0" w:lastRowLastColumn="0"/>
        </w:trPr>
        <w:tc>
          <w:tcPr>
            <w:tcW w:w="2263" w:type="dxa"/>
          </w:tcPr>
          <w:p w14:paraId="34A012FC" w14:textId="77777777" w:rsidR="00370DA6" w:rsidRPr="0099297C" w:rsidRDefault="00370DA6" w:rsidP="00063151">
            <w:pPr>
              <w:pStyle w:val="TableParagraph"/>
              <w:rPr>
                <w:b/>
              </w:rPr>
            </w:pPr>
            <w:r w:rsidRPr="0099297C">
              <w:rPr>
                <w:b/>
              </w:rPr>
              <w:lastRenderedPageBreak/>
              <w:t>Replacement of Learner Log Book</w:t>
            </w:r>
          </w:p>
        </w:tc>
        <w:tc>
          <w:tcPr>
            <w:tcW w:w="7371" w:type="dxa"/>
          </w:tcPr>
          <w:p w14:paraId="7C052FB4" w14:textId="77777777" w:rsidR="00370DA6" w:rsidRPr="00AB5081" w:rsidRDefault="00370DA6" w:rsidP="00370DA6">
            <w:pPr>
              <w:pStyle w:val="TableList1"/>
              <w:ind w:left="360" w:hanging="360"/>
            </w:pPr>
            <w:r>
              <w:t xml:space="preserve">Process payment and provide customer with </w:t>
            </w:r>
            <w:r w:rsidRPr="004418BE">
              <w:t>Learner Log Book</w:t>
            </w:r>
          </w:p>
        </w:tc>
      </w:tr>
      <w:tr w:rsidR="00370DA6" w:rsidRPr="00055C2A" w14:paraId="5169578B" w14:textId="77777777" w:rsidTr="00F043FE">
        <w:tc>
          <w:tcPr>
            <w:tcW w:w="2263" w:type="dxa"/>
          </w:tcPr>
          <w:p w14:paraId="29CBF2C4" w14:textId="77777777" w:rsidR="00370DA6" w:rsidRPr="0099297C" w:rsidRDefault="00370DA6" w:rsidP="00063151">
            <w:pPr>
              <w:pStyle w:val="TableParagraph"/>
              <w:rPr>
                <w:b/>
              </w:rPr>
            </w:pPr>
            <w:r w:rsidRPr="0099297C">
              <w:rPr>
                <w:rFonts w:cs="Segoe UI"/>
                <w:b/>
              </w:rPr>
              <w:t xml:space="preserve">Refund and adjustments of licence </w:t>
            </w:r>
            <w:r w:rsidRPr="0099297C">
              <w:rPr>
                <w:b/>
              </w:rPr>
              <w:t xml:space="preserve">and learner permit </w:t>
            </w:r>
            <w:r w:rsidRPr="0099297C">
              <w:rPr>
                <w:rFonts w:cs="Segoe UI"/>
                <w:b/>
              </w:rPr>
              <w:t>fees</w:t>
            </w:r>
          </w:p>
        </w:tc>
        <w:tc>
          <w:tcPr>
            <w:tcW w:w="7371" w:type="dxa"/>
          </w:tcPr>
          <w:p w14:paraId="102D1B8D" w14:textId="77777777" w:rsidR="00370DA6" w:rsidRPr="00B238CA" w:rsidRDefault="00370DA6" w:rsidP="00370DA6">
            <w:pPr>
              <w:pStyle w:val="TableList1"/>
              <w:ind w:left="360" w:hanging="360"/>
            </w:pPr>
            <w:r w:rsidRPr="00B238CA">
              <w:t xml:space="preserve">Conduct evidence of identity check to confirm identity of the </w:t>
            </w:r>
            <w:r>
              <w:t>customer</w:t>
            </w:r>
          </w:p>
          <w:p w14:paraId="2D86BB9A" w14:textId="77777777" w:rsidR="00370DA6" w:rsidRPr="00B238CA" w:rsidRDefault="00370DA6" w:rsidP="00370DA6">
            <w:pPr>
              <w:pStyle w:val="TableList1"/>
              <w:ind w:left="360" w:hanging="360"/>
            </w:pPr>
            <w:r w:rsidRPr="00B238CA">
              <w:t>Assess application against refund criteria</w:t>
            </w:r>
            <w:r>
              <w:t xml:space="preserve"> – </w:t>
            </w:r>
            <w:r w:rsidRPr="00B238CA">
              <w:t>there are various situations for when a request for refund is submitted</w:t>
            </w:r>
            <w:r>
              <w:t xml:space="preserve">, </w:t>
            </w:r>
            <w:r w:rsidRPr="00B238CA">
              <w:t>includ</w:t>
            </w:r>
            <w:r>
              <w:t>ing</w:t>
            </w:r>
            <w:r w:rsidRPr="00B238CA">
              <w:t xml:space="preserve"> </w:t>
            </w:r>
            <w:r>
              <w:t xml:space="preserve">licence surrender, </w:t>
            </w:r>
            <w:r w:rsidRPr="00B238CA">
              <w:t xml:space="preserve">management of deceased estate, </w:t>
            </w:r>
            <w:r>
              <w:t xml:space="preserve">and </w:t>
            </w:r>
            <w:r w:rsidRPr="00B238CA">
              <w:t>duplicate payment</w:t>
            </w:r>
          </w:p>
          <w:p w14:paraId="24D7D272" w14:textId="77777777" w:rsidR="00370DA6" w:rsidRPr="00263797" w:rsidRDefault="00370DA6" w:rsidP="00370DA6">
            <w:pPr>
              <w:pStyle w:val="TableList1"/>
              <w:ind w:left="360" w:hanging="360"/>
            </w:pPr>
            <w:r w:rsidRPr="00263797">
              <w:t>Calculate refund amount if the application meets the criteria</w:t>
            </w:r>
          </w:p>
          <w:p w14:paraId="06B12E8B" w14:textId="77777777" w:rsidR="00370DA6" w:rsidRPr="00263797" w:rsidRDefault="00370DA6" w:rsidP="00370DA6">
            <w:pPr>
              <w:pStyle w:val="TableList1"/>
              <w:ind w:left="360" w:hanging="360"/>
            </w:pPr>
            <w:r w:rsidRPr="00263797">
              <w:t>Process refund payment</w:t>
            </w:r>
          </w:p>
          <w:p w14:paraId="565336C7" w14:textId="77777777" w:rsidR="00370DA6" w:rsidRPr="00104456" w:rsidRDefault="00370DA6" w:rsidP="00370DA6">
            <w:pPr>
              <w:pStyle w:val="TableList1"/>
              <w:ind w:left="360" w:hanging="360"/>
            </w:pPr>
            <w:r w:rsidRPr="00354BC6">
              <w:t xml:space="preserve">Update </w:t>
            </w:r>
            <w:r w:rsidRPr="00C21559">
              <w:t xml:space="preserve">DLS with the change of licence status to </w:t>
            </w:r>
            <w:r w:rsidRPr="000D2B9B">
              <w:t>‘surrendered’</w:t>
            </w:r>
            <w:r w:rsidRPr="004418BE">
              <w:t xml:space="preserve"> if the refund is related to the surrender of a licence</w:t>
            </w:r>
          </w:p>
        </w:tc>
      </w:tr>
    </w:tbl>
    <w:p w14:paraId="515054E0" w14:textId="77777777" w:rsidR="00370DA6" w:rsidRDefault="00370DA6" w:rsidP="00CC7485">
      <w:pPr>
        <w:pStyle w:val="TextPara"/>
        <w:spacing w:before="0" w:line="276" w:lineRule="auto"/>
        <w:rPr>
          <w:rFonts w:cs="Segoe UI"/>
          <w:b/>
          <w:szCs w:val="20"/>
        </w:rPr>
      </w:pPr>
    </w:p>
    <w:p w14:paraId="11D4E600" w14:textId="7683B8F7" w:rsidR="00370DA6" w:rsidRDefault="004052C4" w:rsidP="00CC7485">
      <w:pPr>
        <w:pStyle w:val="TextPara"/>
        <w:spacing w:before="0" w:line="276" w:lineRule="auto"/>
        <w:rPr>
          <w:rFonts w:cs="Segoe UI"/>
          <w:szCs w:val="20"/>
        </w:rPr>
      </w:pPr>
      <w:r>
        <w:rPr>
          <w:rFonts w:cs="Segoe UI"/>
          <w:szCs w:val="20"/>
        </w:rPr>
        <w:fldChar w:fldCharType="begin"/>
      </w:r>
      <w:r>
        <w:rPr>
          <w:rFonts w:cs="Segoe UI"/>
          <w:szCs w:val="20"/>
        </w:rPr>
        <w:instrText xml:space="preserve"> REF _Ref4405271 \h </w:instrText>
      </w:r>
      <w:r>
        <w:rPr>
          <w:rFonts w:cs="Segoe UI"/>
          <w:szCs w:val="20"/>
        </w:rPr>
      </w:r>
      <w:r>
        <w:rPr>
          <w:rFonts w:cs="Segoe UI"/>
          <w:szCs w:val="20"/>
        </w:rPr>
        <w:fldChar w:fldCharType="separate"/>
      </w:r>
      <w:r w:rsidR="00EB4B02" w:rsidRPr="006422C4">
        <w:t xml:space="preserve">Table </w:t>
      </w:r>
      <w:r w:rsidR="00EB4B02">
        <w:rPr>
          <w:noProof/>
        </w:rPr>
        <w:t>53</w:t>
      </w:r>
      <w:r>
        <w:rPr>
          <w:rFonts w:cs="Segoe UI"/>
          <w:szCs w:val="20"/>
        </w:rPr>
        <w:fldChar w:fldCharType="end"/>
      </w:r>
      <w:r>
        <w:rPr>
          <w:rFonts w:cs="Segoe UI"/>
          <w:szCs w:val="20"/>
        </w:rPr>
        <w:t xml:space="preserve"> </w:t>
      </w:r>
      <w:r w:rsidR="00370DA6">
        <w:rPr>
          <w:rFonts w:cs="Segoe UI"/>
          <w:szCs w:val="20"/>
        </w:rPr>
        <w:t>provides a summary of the estimated costs for the provision of the services over the forecast period.</w:t>
      </w:r>
      <w:r w:rsidR="00370DA6" w:rsidRPr="005F7BAB">
        <w:rPr>
          <w:rFonts w:cs="Segoe UI"/>
          <w:szCs w:val="20"/>
        </w:rPr>
        <w:t xml:space="preserve"> </w:t>
      </w:r>
    </w:p>
    <w:p w14:paraId="2F885290" w14:textId="1EFE8EA0" w:rsidR="00370DA6" w:rsidRDefault="00370DA6" w:rsidP="00AA0BBA">
      <w:pPr>
        <w:pStyle w:val="Caption"/>
      </w:pPr>
      <w:bookmarkStart w:id="751" w:name="_Ref4405271"/>
      <w:bookmarkStart w:id="752" w:name="_Toc4084335"/>
      <w:bookmarkStart w:id="753" w:name="_Toc10703746"/>
      <w:r w:rsidRPr="006422C4">
        <w:t xml:space="preserve">Table </w:t>
      </w:r>
      <w:r>
        <w:rPr>
          <w:noProof/>
        </w:rPr>
        <w:fldChar w:fldCharType="begin"/>
      </w:r>
      <w:r>
        <w:rPr>
          <w:noProof/>
        </w:rPr>
        <w:instrText xml:space="preserve"> SEQ Table \* ARABIC </w:instrText>
      </w:r>
      <w:r>
        <w:rPr>
          <w:noProof/>
        </w:rPr>
        <w:fldChar w:fldCharType="separate"/>
      </w:r>
      <w:r w:rsidR="00EB4B02">
        <w:rPr>
          <w:noProof/>
        </w:rPr>
        <w:t>53</w:t>
      </w:r>
      <w:r>
        <w:rPr>
          <w:noProof/>
        </w:rPr>
        <w:fldChar w:fldCharType="end"/>
      </w:r>
      <w:bookmarkEnd w:id="751"/>
      <w:r w:rsidRPr="006422C4">
        <w:t xml:space="preserve"> – Services Group Cost</w:t>
      </w:r>
      <w:r>
        <w:t xml:space="preserve">: </w:t>
      </w:r>
      <w:r w:rsidRPr="00AB5081">
        <w:t xml:space="preserve">Licence </w:t>
      </w:r>
      <w:r>
        <w:t xml:space="preserve">and Learner Permit </w:t>
      </w:r>
      <w:r w:rsidRPr="00AE0D4A">
        <w:t>Administration – General</w:t>
      </w:r>
      <w:bookmarkEnd w:id="752"/>
      <w:bookmarkEnd w:id="753"/>
    </w:p>
    <w:tbl>
      <w:tblPr>
        <w:tblStyle w:val="RIS-Table2"/>
        <w:tblW w:w="9634" w:type="dxa"/>
        <w:tblLook w:val="04A0" w:firstRow="1" w:lastRow="0" w:firstColumn="1" w:lastColumn="0" w:noHBand="0" w:noVBand="1"/>
      </w:tblPr>
      <w:tblGrid>
        <w:gridCol w:w="4390"/>
        <w:gridCol w:w="1134"/>
        <w:gridCol w:w="992"/>
        <w:gridCol w:w="1134"/>
        <w:gridCol w:w="992"/>
        <w:gridCol w:w="992"/>
      </w:tblGrid>
      <w:tr w:rsidR="00370DA6" w:rsidRPr="00AF72BF" w14:paraId="56834136" w14:textId="77777777" w:rsidTr="00F043FE">
        <w:trPr>
          <w:cnfStyle w:val="100000000000" w:firstRow="1" w:lastRow="0" w:firstColumn="0" w:lastColumn="0" w:oddVBand="0" w:evenVBand="0" w:oddHBand="0" w:evenHBand="0" w:firstRowFirstColumn="0" w:firstRowLastColumn="0" w:lastRowFirstColumn="0" w:lastRowLastColumn="0"/>
        </w:trPr>
        <w:tc>
          <w:tcPr>
            <w:tcW w:w="4390" w:type="dxa"/>
            <w:vMerge w:val="restart"/>
          </w:tcPr>
          <w:p w14:paraId="1BD41982" w14:textId="77777777" w:rsidR="00370DA6" w:rsidRPr="00AF72BF" w:rsidRDefault="00370DA6" w:rsidP="00B47F2F">
            <w:pPr>
              <w:pStyle w:val="TableHeaders"/>
              <w:spacing w:line="276" w:lineRule="auto"/>
              <w:rPr>
                <w:rFonts w:cs="Segoe UI"/>
              </w:rPr>
            </w:pPr>
            <w:r>
              <w:rPr>
                <w:rFonts w:cs="Segoe UI"/>
              </w:rPr>
              <w:t>Service Group</w:t>
            </w:r>
          </w:p>
        </w:tc>
        <w:tc>
          <w:tcPr>
            <w:tcW w:w="5244" w:type="dxa"/>
            <w:gridSpan w:val="5"/>
          </w:tcPr>
          <w:p w14:paraId="32E356BC" w14:textId="77777777" w:rsidR="00370DA6" w:rsidRPr="00AF72BF" w:rsidRDefault="00370DA6" w:rsidP="00B47F2F">
            <w:pPr>
              <w:pStyle w:val="TableHeaders"/>
              <w:spacing w:line="276" w:lineRule="auto"/>
              <w:rPr>
                <w:rFonts w:cs="Segoe UI"/>
              </w:rPr>
            </w:pPr>
            <w:r w:rsidRPr="00AF72BF">
              <w:rPr>
                <w:rFonts w:cs="Segoe UI"/>
              </w:rPr>
              <w:t>Costs $k (PV)</w:t>
            </w:r>
          </w:p>
        </w:tc>
      </w:tr>
      <w:tr w:rsidR="00370DA6" w:rsidRPr="00AF72BF" w14:paraId="31DB1926" w14:textId="77777777" w:rsidTr="00F043FE">
        <w:tc>
          <w:tcPr>
            <w:tcW w:w="4390" w:type="dxa"/>
            <w:vMerge/>
          </w:tcPr>
          <w:p w14:paraId="0469A96F" w14:textId="77777777" w:rsidR="00370DA6" w:rsidRPr="00AF72BF" w:rsidRDefault="00370DA6" w:rsidP="00B47F2F">
            <w:pPr>
              <w:pStyle w:val="TableParagraph"/>
              <w:spacing w:line="276" w:lineRule="auto"/>
              <w:rPr>
                <w:rFonts w:cs="Segoe UI"/>
              </w:rPr>
            </w:pPr>
          </w:p>
        </w:tc>
        <w:tc>
          <w:tcPr>
            <w:tcW w:w="1134" w:type="dxa"/>
            <w:shd w:val="clear" w:color="auto" w:fill="0A1F3F"/>
          </w:tcPr>
          <w:p w14:paraId="6495C19E" w14:textId="77777777" w:rsidR="00370DA6" w:rsidRPr="00AF72BF" w:rsidRDefault="00370DA6" w:rsidP="00B47F2F">
            <w:pPr>
              <w:pStyle w:val="TableHeaders"/>
              <w:spacing w:line="276" w:lineRule="auto"/>
              <w:rPr>
                <w:rFonts w:cs="Segoe UI"/>
                <w:b/>
              </w:rPr>
            </w:pPr>
            <w:r w:rsidRPr="00AF72BF">
              <w:rPr>
                <w:rFonts w:cs="Segoe UI"/>
                <w:b/>
              </w:rPr>
              <w:t>FY19/20</w:t>
            </w:r>
          </w:p>
        </w:tc>
        <w:tc>
          <w:tcPr>
            <w:tcW w:w="992" w:type="dxa"/>
            <w:shd w:val="clear" w:color="auto" w:fill="0A1F3F"/>
          </w:tcPr>
          <w:p w14:paraId="6031B060" w14:textId="77777777" w:rsidR="00370DA6" w:rsidRPr="00AF72BF" w:rsidRDefault="00370DA6" w:rsidP="00B47F2F">
            <w:pPr>
              <w:pStyle w:val="TableHeaders"/>
              <w:spacing w:line="276" w:lineRule="auto"/>
              <w:rPr>
                <w:rFonts w:cs="Segoe UI"/>
                <w:b/>
              </w:rPr>
            </w:pPr>
            <w:r w:rsidRPr="00AF72BF">
              <w:rPr>
                <w:rFonts w:cs="Segoe UI"/>
                <w:b/>
              </w:rPr>
              <w:t>FY20/21</w:t>
            </w:r>
          </w:p>
        </w:tc>
        <w:tc>
          <w:tcPr>
            <w:tcW w:w="1134" w:type="dxa"/>
            <w:shd w:val="clear" w:color="auto" w:fill="0A1F3F"/>
          </w:tcPr>
          <w:p w14:paraId="6D4834E1" w14:textId="77777777" w:rsidR="00370DA6" w:rsidRPr="00AF72BF" w:rsidRDefault="00370DA6" w:rsidP="00B47F2F">
            <w:pPr>
              <w:pStyle w:val="TableHeaders"/>
              <w:spacing w:line="276" w:lineRule="auto"/>
              <w:rPr>
                <w:rFonts w:cs="Segoe UI"/>
                <w:b/>
              </w:rPr>
            </w:pPr>
            <w:r w:rsidRPr="00AF72BF">
              <w:rPr>
                <w:rFonts w:cs="Segoe UI"/>
                <w:b/>
              </w:rPr>
              <w:t>FY21/22</w:t>
            </w:r>
          </w:p>
        </w:tc>
        <w:tc>
          <w:tcPr>
            <w:tcW w:w="992" w:type="dxa"/>
            <w:shd w:val="clear" w:color="auto" w:fill="0A1F3F"/>
          </w:tcPr>
          <w:p w14:paraId="06218C0F" w14:textId="77777777" w:rsidR="00370DA6" w:rsidRPr="00AF72BF" w:rsidRDefault="00370DA6" w:rsidP="00B47F2F">
            <w:pPr>
              <w:pStyle w:val="TableHeaders"/>
              <w:spacing w:line="276" w:lineRule="auto"/>
              <w:rPr>
                <w:rFonts w:cs="Segoe UI"/>
                <w:b/>
              </w:rPr>
            </w:pPr>
            <w:r w:rsidRPr="00AF72BF">
              <w:rPr>
                <w:rFonts w:cs="Segoe UI"/>
                <w:b/>
              </w:rPr>
              <w:t>FY22/23</w:t>
            </w:r>
          </w:p>
        </w:tc>
        <w:tc>
          <w:tcPr>
            <w:tcW w:w="992" w:type="dxa"/>
            <w:shd w:val="clear" w:color="auto" w:fill="0A1F3F"/>
          </w:tcPr>
          <w:p w14:paraId="5006D9B7" w14:textId="77777777" w:rsidR="00370DA6" w:rsidRPr="00AF72BF" w:rsidRDefault="00370DA6" w:rsidP="00B47F2F">
            <w:pPr>
              <w:pStyle w:val="TableHeaders"/>
              <w:spacing w:line="276" w:lineRule="auto"/>
              <w:rPr>
                <w:rFonts w:cs="Segoe UI"/>
                <w:b/>
              </w:rPr>
            </w:pPr>
            <w:r w:rsidRPr="00AF72BF">
              <w:rPr>
                <w:rFonts w:cs="Segoe UI"/>
                <w:b/>
              </w:rPr>
              <w:t>Average</w:t>
            </w:r>
          </w:p>
        </w:tc>
      </w:tr>
      <w:tr w:rsidR="00CC520B" w:rsidRPr="00AF72BF" w14:paraId="3520D604" w14:textId="77777777" w:rsidTr="00F043FE">
        <w:trPr>
          <w:cnfStyle w:val="000000010000" w:firstRow="0" w:lastRow="0" w:firstColumn="0" w:lastColumn="0" w:oddVBand="0" w:evenVBand="0" w:oddHBand="0" w:evenHBand="1" w:firstRowFirstColumn="0" w:firstRowLastColumn="0" w:lastRowFirstColumn="0" w:lastRowLastColumn="0"/>
        </w:trPr>
        <w:tc>
          <w:tcPr>
            <w:tcW w:w="4390" w:type="dxa"/>
          </w:tcPr>
          <w:p w14:paraId="3D608E36" w14:textId="77777777" w:rsidR="00CC520B" w:rsidRPr="00AF72BF" w:rsidRDefault="00CC520B" w:rsidP="00CC520B">
            <w:pPr>
              <w:pStyle w:val="TableParagraph"/>
              <w:spacing w:line="276" w:lineRule="auto"/>
              <w:rPr>
                <w:rFonts w:cs="Segoe UI"/>
              </w:rPr>
            </w:pPr>
            <w:r>
              <w:rPr>
                <w:rFonts w:cs="Segoe UI"/>
              </w:rPr>
              <w:t>Licence and Learner Permit Administration</w:t>
            </w:r>
            <w:r w:rsidRPr="00CC7485">
              <w:rPr>
                <w:rFonts w:cs="Segoe UI"/>
              </w:rPr>
              <w:t xml:space="preserve"> – General</w:t>
            </w:r>
          </w:p>
        </w:tc>
        <w:tc>
          <w:tcPr>
            <w:tcW w:w="1134" w:type="dxa"/>
          </w:tcPr>
          <w:p w14:paraId="3C3C8B6E" w14:textId="204646C4" w:rsidR="00CC520B" w:rsidRPr="00AF72BF" w:rsidRDefault="00CC520B" w:rsidP="00CC520B">
            <w:pPr>
              <w:pStyle w:val="TableParagraph"/>
              <w:spacing w:line="276" w:lineRule="auto"/>
              <w:ind w:right="170"/>
              <w:jc w:val="right"/>
              <w:rPr>
                <w:rFonts w:cs="Segoe UI"/>
              </w:rPr>
            </w:pPr>
            <w:r w:rsidRPr="00A80501">
              <w:t xml:space="preserve"> 6,048 </w:t>
            </w:r>
          </w:p>
        </w:tc>
        <w:tc>
          <w:tcPr>
            <w:tcW w:w="992" w:type="dxa"/>
          </w:tcPr>
          <w:p w14:paraId="79BDBE51" w14:textId="2ED8F823" w:rsidR="00CC520B" w:rsidRPr="00AF72BF" w:rsidRDefault="00CC520B" w:rsidP="00CC520B">
            <w:pPr>
              <w:pStyle w:val="TableParagraph"/>
              <w:spacing w:line="276" w:lineRule="auto"/>
              <w:ind w:right="170"/>
              <w:jc w:val="right"/>
              <w:rPr>
                <w:rFonts w:cs="Segoe UI"/>
              </w:rPr>
            </w:pPr>
            <w:r w:rsidRPr="00A80501">
              <w:t xml:space="preserve"> 6,478 </w:t>
            </w:r>
          </w:p>
        </w:tc>
        <w:tc>
          <w:tcPr>
            <w:tcW w:w="1134" w:type="dxa"/>
          </w:tcPr>
          <w:p w14:paraId="7F3B34F0" w14:textId="1EAF1528" w:rsidR="00CC520B" w:rsidRPr="00AF72BF" w:rsidRDefault="00CC520B" w:rsidP="00CC520B">
            <w:pPr>
              <w:pStyle w:val="TableParagraph"/>
              <w:spacing w:line="276" w:lineRule="auto"/>
              <w:ind w:right="170"/>
              <w:jc w:val="right"/>
              <w:rPr>
                <w:rFonts w:cs="Segoe UI"/>
              </w:rPr>
            </w:pPr>
            <w:r w:rsidRPr="00A80501">
              <w:t xml:space="preserve"> 6,909 </w:t>
            </w:r>
          </w:p>
        </w:tc>
        <w:tc>
          <w:tcPr>
            <w:tcW w:w="992" w:type="dxa"/>
          </w:tcPr>
          <w:p w14:paraId="1D6AE3C9" w14:textId="413E4BB8" w:rsidR="00CC520B" w:rsidRPr="00AF72BF" w:rsidRDefault="00CC520B" w:rsidP="00CC520B">
            <w:pPr>
              <w:pStyle w:val="TableParagraph"/>
              <w:spacing w:line="276" w:lineRule="auto"/>
              <w:ind w:right="170"/>
              <w:jc w:val="right"/>
              <w:rPr>
                <w:rFonts w:cs="Segoe UI"/>
              </w:rPr>
            </w:pPr>
            <w:r w:rsidRPr="00A80501">
              <w:t xml:space="preserve"> 7,342 </w:t>
            </w:r>
          </w:p>
        </w:tc>
        <w:tc>
          <w:tcPr>
            <w:tcW w:w="992" w:type="dxa"/>
          </w:tcPr>
          <w:p w14:paraId="28B14E98" w14:textId="25992513" w:rsidR="00CC520B" w:rsidRPr="00CC520B" w:rsidRDefault="00CC520B" w:rsidP="00CC520B">
            <w:pPr>
              <w:pStyle w:val="TableParagraph"/>
              <w:spacing w:line="276" w:lineRule="auto"/>
              <w:ind w:right="170"/>
              <w:jc w:val="right"/>
              <w:rPr>
                <w:rFonts w:cs="Segoe UI"/>
                <w:b/>
              </w:rPr>
            </w:pPr>
            <w:r w:rsidRPr="00CC520B">
              <w:rPr>
                <w:b/>
              </w:rPr>
              <w:t xml:space="preserve"> 6,695 </w:t>
            </w:r>
          </w:p>
        </w:tc>
      </w:tr>
    </w:tbl>
    <w:p w14:paraId="47BF2527" w14:textId="77777777" w:rsidR="00370DA6" w:rsidRDefault="00370DA6" w:rsidP="0038737D"/>
    <w:p w14:paraId="0B0130DF" w14:textId="038FA92D" w:rsidR="00370DA6" w:rsidRPr="00342389" w:rsidRDefault="00F8499B" w:rsidP="00DF3451">
      <w:pPr>
        <w:pStyle w:val="TextPara"/>
      </w:pPr>
      <w:r>
        <w:rPr>
          <w:rFonts w:cs="Segoe UI"/>
          <w:szCs w:val="20"/>
        </w:rPr>
        <w:fldChar w:fldCharType="begin"/>
      </w:r>
      <w:r>
        <w:rPr>
          <w:rFonts w:cs="Segoe UI"/>
          <w:szCs w:val="20"/>
        </w:rPr>
        <w:instrText xml:space="preserve"> REF _Ref4405468 \h </w:instrText>
      </w:r>
      <w:r>
        <w:rPr>
          <w:rFonts w:cs="Segoe UI"/>
          <w:szCs w:val="20"/>
        </w:rPr>
      </w:r>
      <w:r>
        <w:rPr>
          <w:rFonts w:cs="Segoe UI"/>
          <w:szCs w:val="20"/>
        </w:rPr>
        <w:fldChar w:fldCharType="separate"/>
      </w:r>
      <w:r w:rsidR="00EB4B02">
        <w:t xml:space="preserve">Table </w:t>
      </w:r>
      <w:r w:rsidR="00EB4B02">
        <w:rPr>
          <w:noProof/>
        </w:rPr>
        <w:t>54</w:t>
      </w:r>
      <w:r>
        <w:rPr>
          <w:rFonts w:cs="Segoe UI"/>
          <w:szCs w:val="20"/>
        </w:rPr>
        <w:fldChar w:fldCharType="end"/>
      </w:r>
      <w:r w:rsidR="00370DA6">
        <w:rPr>
          <w:rFonts w:cs="Segoe UI"/>
          <w:szCs w:val="20"/>
        </w:rPr>
        <w:t xml:space="preserve"> </w:t>
      </w:r>
      <w:r w:rsidR="00370DA6" w:rsidRPr="005F7BAB">
        <w:rPr>
          <w:rFonts w:cs="Segoe UI"/>
          <w:szCs w:val="20"/>
        </w:rPr>
        <w:t xml:space="preserve">lists the individual fees </w:t>
      </w:r>
      <w:r w:rsidR="00370DA6">
        <w:rPr>
          <w:rFonts w:cs="Segoe UI"/>
          <w:szCs w:val="20"/>
        </w:rPr>
        <w:t xml:space="preserve">for this service group if the current fee rates were to continue. It shows the average annual </w:t>
      </w:r>
      <w:r w:rsidR="00370DA6" w:rsidRPr="005F7BAB">
        <w:rPr>
          <w:rFonts w:cs="Segoe UI"/>
          <w:szCs w:val="20"/>
        </w:rPr>
        <w:t xml:space="preserve">fee recoveries for the forecast period </w:t>
      </w:r>
      <w:r w:rsidR="00370DA6">
        <w:rPr>
          <w:rFonts w:cs="Segoe UI"/>
          <w:szCs w:val="20"/>
        </w:rPr>
        <w:t xml:space="preserve">(FY19/20 to FY22/23) </w:t>
      </w:r>
      <w:r w:rsidR="006F5BDD">
        <w:rPr>
          <w:rFonts w:cs="Segoe UI"/>
          <w:szCs w:val="20"/>
        </w:rPr>
        <w:t xml:space="preserve">based on the published FY19/20 fee rate </w:t>
      </w:r>
      <w:r w:rsidR="006D7CDA">
        <w:rPr>
          <w:rFonts w:cs="Segoe UI"/>
          <w:szCs w:val="20"/>
        </w:rPr>
        <w:t>of $14.</w:t>
      </w:r>
      <w:r w:rsidR="008618D8">
        <w:rPr>
          <w:rFonts w:cs="Segoe UI"/>
          <w:szCs w:val="20"/>
        </w:rPr>
        <w:t>81</w:t>
      </w:r>
      <w:r w:rsidR="006F5BDD">
        <w:rPr>
          <w:rFonts w:cs="Segoe UI"/>
          <w:szCs w:val="20"/>
        </w:rPr>
        <w:t xml:space="preserve"> which is modelled as the PV rate for the period.</w:t>
      </w:r>
    </w:p>
    <w:p w14:paraId="47BC9D79" w14:textId="35B5E3A2" w:rsidR="00370DA6" w:rsidRDefault="00370DA6" w:rsidP="00AA0BBA">
      <w:pPr>
        <w:pStyle w:val="Caption"/>
      </w:pPr>
      <w:bookmarkStart w:id="754" w:name="_Ref4405468"/>
      <w:bookmarkStart w:id="755" w:name="_Toc4084336"/>
      <w:bookmarkStart w:id="756" w:name="_Toc10703747"/>
      <w:r>
        <w:t xml:space="preserve">Table </w:t>
      </w:r>
      <w:r>
        <w:rPr>
          <w:noProof/>
        </w:rPr>
        <w:fldChar w:fldCharType="begin"/>
      </w:r>
      <w:r>
        <w:rPr>
          <w:noProof/>
        </w:rPr>
        <w:instrText xml:space="preserve"> SEQ Table \* ARABIC </w:instrText>
      </w:r>
      <w:r>
        <w:rPr>
          <w:noProof/>
        </w:rPr>
        <w:fldChar w:fldCharType="separate"/>
      </w:r>
      <w:r w:rsidR="00EB4B02">
        <w:rPr>
          <w:noProof/>
        </w:rPr>
        <w:t>54</w:t>
      </w:r>
      <w:r>
        <w:rPr>
          <w:noProof/>
        </w:rPr>
        <w:fldChar w:fldCharType="end"/>
      </w:r>
      <w:bookmarkEnd w:id="754"/>
      <w:r>
        <w:t xml:space="preserve"> – Fee Income: </w:t>
      </w:r>
      <w:r w:rsidRPr="00AB5081">
        <w:t xml:space="preserve">Licence </w:t>
      </w:r>
      <w:r>
        <w:t xml:space="preserve">and Learner Permit </w:t>
      </w:r>
      <w:r w:rsidRPr="00AE0D4A">
        <w:t>Administration – General</w:t>
      </w:r>
      <w:bookmarkEnd w:id="755"/>
      <w:bookmarkEnd w:id="756"/>
    </w:p>
    <w:tbl>
      <w:tblPr>
        <w:tblStyle w:val="RIS-Table2"/>
        <w:tblW w:w="9634" w:type="dxa"/>
        <w:tblLayout w:type="fixed"/>
        <w:tblLook w:val="04A0" w:firstRow="1" w:lastRow="0" w:firstColumn="1" w:lastColumn="0" w:noHBand="0" w:noVBand="1"/>
      </w:tblPr>
      <w:tblGrid>
        <w:gridCol w:w="1304"/>
        <w:gridCol w:w="3371"/>
        <w:gridCol w:w="1132"/>
        <w:gridCol w:w="992"/>
        <w:gridCol w:w="1423"/>
        <w:gridCol w:w="1412"/>
      </w:tblGrid>
      <w:tr w:rsidR="00370DA6" w:rsidRPr="00117C96" w14:paraId="6569F017" w14:textId="77777777" w:rsidTr="006A0AD8">
        <w:trPr>
          <w:cnfStyle w:val="100000000000" w:firstRow="1" w:lastRow="0" w:firstColumn="0" w:lastColumn="0" w:oddVBand="0" w:evenVBand="0" w:oddHBand="0" w:evenHBand="0" w:firstRowFirstColumn="0" w:firstRowLastColumn="0" w:lastRowFirstColumn="0" w:lastRowLastColumn="0"/>
        </w:trPr>
        <w:tc>
          <w:tcPr>
            <w:tcW w:w="1304" w:type="dxa"/>
          </w:tcPr>
          <w:p w14:paraId="29F20938" w14:textId="77777777" w:rsidR="00370DA6" w:rsidRPr="00117C96" w:rsidRDefault="00370DA6" w:rsidP="006B6D5C">
            <w:pPr>
              <w:pStyle w:val="TableHeaders"/>
            </w:pPr>
            <w:r>
              <w:t xml:space="preserve">Schedule 6 </w:t>
            </w:r>
          </w:p>
        </w:tc>
        <w:tc>
          <w:tcPr>
            <w:tcW w:w="4503" w:type="dxa"/>
            <w:gridSpan w:val="2"/>
            <w:vMerge w:val="restart"/>
          </w:tcPr>
          <w:p w14:paraId="45587027" w14:textId="77777777" w:rsidR="00370DA6" w:rsidRPr="00117C96" w:rsidRDefault="00370DA6" w:rsidP="006B6D5C">
            <w:pPr>
              <w:pStyle w:val="TableHeaders"/>
            </w:pPr>
            <w:r w:rsidRPr="00C64741">
              <w:t>Description</w:t>
            </w:r>
            <w:r>
              <w:t xml:space="preserve"> and Regulation Reference</w:t>
            </w:r>
          </w:p>
        </w:tc>
        <w:tc>
          <w:tcPr>
            <w:tcW w:w="992" w:type="dxa"/>
          </w:tcPr>
          <w:p w14:paraId="6CD35498" w14:textId="77777777" w:rsidR="00370DA6" w:rsidRPr="00117C96" w:rsidRDefault="00370DA6" w:rsidP="006B6D5C">
            <w:pPr>
              <w:pStyle w:val="TableHeaders"/>
            </w:pPr>
            <w:r w:rsidRPr="002613BA">
              <w:t xml:space="preserve"> </w:t>
            </w:r>
            <w:r>
              <w:t>Txns pa</w:t>
            </w:r>
          </w:p>
        </w:tc>
        <w:tc>
          <w:tcPr>
            <w:tcW w:w="2835" w:type="dxa"/>
            <w:gridSpan w:val="2"/>
          </w:tcPr>
          <w:p w14:paraId="02612F8D" w14:textId="77777777" w:rsidR="00370DA6" w:rsidRPr="00117C96" w:rsidRDefault="00370DA6" w:rsidP="006B6D5C">
            <w:pPr>
              <w:pStyle w:val="TableHeaders"/>
            </w:pPr>
            <w:r>
              <w:t>Recovery (PV)</w:t>
            </w:r>
          </w:p>
        </w:tc>
      </w:tr>
      <w:tr w:rsidR="00370DA6" w:rsidRPr="00832945" w14:paraId="6F61704E" w14:textId="77777777" w:rsidTr="006A0AD8">
        <w:tc>
          <w:tcPr>
            <w:tcW w:w="1304" w:type="dxa"/>
            <w:shd w:val="clear" w:color="auto" w:fill="0A1F3F"/>
          </w:tcPr>
          <w:p w14:paraId="2C2C8138" w14:textId="77777777" w:rsidR="00370DA6" w:rsidRPr="00832945" w:rsidRDefault="00370DA6" w:rsidP="00832945">
            <w:pPr>
              <w:pStyle w:val="TableParagraph"/>
              <w:jc w:val="center"/>
              <w:rPr>
                <w:b/>
              </w:rPr>
            </w:pPr>
            <w:r w:rsidRPr="00832945">
              <w:rPr>
                <w:b/>
              </w:rPr>
              <w:t>Item No.</w:t>
            </w:r>
          </w:p>
        </w:tc>
        <w:tc>
          <w:tcPr>
            <w:tcW w:w="4503" w:type="dxa"/>
            <w:gridSpan w:val="2"/>
            <w:vMerge/>
            <w:shd w:val="clear" w:color="auto" w:fill="0A1F3F"/>
          </w:tcPr>
          <w:p w14:paraId="42660A2D" w14:textId="77777777" w:rsidR="00370DA6" w:rsidRPr="00832945" w:rsidRDefault="00370DA6" w:rsidP="00832945">
            <w:pPr>
              <w:pStyle w:val="TableParagraph"/>
              <w:jc w:val="center"/>
              <w:rPr>
                <w:b/>
              </w:rPr>
            </w:pPr>
          </w:p>
        </w:tc>
        <w:tc>
          <w:tcPr>
            <w:tcW w:w="992" w:type="dxa"/>
            <w:shd w:val="clear" w:color="auto" w:fill="0A1F3F"/>
          </w:tcPr>
          <w:p w14:paraId="5FA1291A" w14:textId="77777777" w:rsidR="00370DA6" w:rsidRPr="00832945" w:rsidRDefault="00370DA6" w:rsidP="00832945">
            <w:pPr>
              <w:pStyle w:val="TableParagraph"/>
              <w:ind w:right="32"/>
              <w:jc w:val="center"/>
              <w:rPr>
                <w:b/>
              </w:rPr>
            </w:pPr>
            <w:r w:rsidRPr="00832945">
              <w:rPr>
                <w:b/>
              </w:rPr>
              <w:t>Avg ‘000</w:t>
            </w:r>
          </w:p>
        </w:tc>
        <w:tc>
          <w:tcPr>
            <w:tcW w:w="1423" w:type="dxa"/>
            <w:shd w:val="clear" w:color="auto" w:fill="0A1F3F"/>
          </w:tcPr>
          <w:p w14:paraId="44B2B298" w14:textId="77C23854" w:rsidR="00370DA6" w:rsidRPr="00832945" w:rsidRDefault="00370DA6" w:rsidP="00832945">
            <w:pPr>
              <w:pStyle w:val="TableParagraph"/>
              <w:ind w:right="-17"/>
              <w:jc w:val="center"/>
              <w:rPr>
                <w:b/>
              </w:rPr>
            </w:pPr>
            <w:r w:rsidRPr="00832945">
              <w:rPr>
                <w:b/>
              </w:rPr>
              <w:t xml:space="preserve">Fee </w:t>
            </w:r>
          </w:p>
        </w:tc>
        <w:tc>
          <w:tcPr>
            <w:tcW w:w="1412" w:type="dxa"/>
            <w:shd w:val="clear" w:color="auto" w:fill="0A1F3F"/>
          </w:tcPr>
          <w:p w14:paraId="167A5D7E" w14:textId="77777777" w:rsidR="00370DA6" w:rsidRPr="00832945" w:rsidRDefault="00370DA6" w:rsidP="00832945">
            <w:pPr>
              <w:pStyle w:val="TableParagraph"/>
              <w:ind w:right="-17"/>
              <w:jc w:val="center"/>
              <w:rPr>
                <w:b/>
              </w:rPr>
            </w:pPr>
            <w:r w:rsidRPr="00832945">
              <w:rPr>
                <w:b/>
              </w:rPr>
              <w:t>Revenue ($k)</w:t>
            </w:r>
          </w:p>
        </w:tc>
      </w:tr>
      <w:tr w:rsidR="00DD0311" w:rsidRPr="004C05D9" w14:paraId="1098FFFB" w14:textId="77777777" w:rsidTr="00DD0311">
        <w:trPr>
          <w:cnfStyle w:val="000000010000" w:firstRow="0" w:lastRow="0" w:firstColumn="0" w:lastColumn="0" w:oddVBand="0" w:evenVBand="0" w:oddHBand="0" w:evenHBand="1" w:firstRowFirstColumn="0" w:firstRowLastColumn="0" w:lastRowFirstColumn="0" w:lastRowLastColumn="0"/>
        </w:trPr>
        <w:tc>
          <w:tcPr>
            <w:tcW w:w="1304" w:type="dxa"/>
          </w:tcPr>
          <w:p w14:paraId="081E4FC2" w14:textId="77777777" w:rsidR="00DD0311" w:rsidRPr="00117C96" w:rsidRDefault="00DD0311" w:rsidP="00DD0311">
            <w:pPr>
              <w:pStyle w:val="TableParagraph"/>
              <w:jc w:val="center"/>
            </w:pPr>
            <w:r>
              <w:t>7</w:t>
            </w:r>
          </w:p>
        </w:tc>
        <w:tc>
          <w:tcPr>
            <w:tcW w:w="3371" w:type="dxa"/>
          </w:tcPr>
          <w:p w14:paraId="0DE67CDA" w14:textId="77777777" w:rsidR="00DD0311" w:rsidRPr="00C64741" w:rsidRDefault="00DD0311" w:rsidP="00DD0311">
            <w:pPr>
              <w:pStyle w:val="TableParagraph"/>
            </w:pPr>
            <w:r w:rsidRPr="00DC1198">
              <w:t>Fee to make an appointment for the verification of a non</w:t>
            </w:r>
            <w:r w:rsidRPr="00DC1198">
              <w:rPr>
                <w:rFonts w:ascii="Cambria Math" w:hAnsi="Cambria Math" w:cs="Cambria Math"/>
              </w:rPr>
              <w:t>‑</w:t>
            </w:r>
            <w:r w:rsidRPr="00DC1198">
              <w:t>Victorian licence or permit for the purpose of an application for the grant of a Victorian driver licence or learner permit</w:t>
            </w:r>
          </w:p>
        </w:tc>
        <w:tc>
          <w:tcPr>
            <w:tcW w:w="1132" w:type="dxa"/>
          </w:tcPr>
          <w:p w14:paraId="5E507396" w14:textId="77777777" w:rsidR="00DD0311" w:rsidRPr="00117C96" w:rsidRDefault="00DD0311" w:rsidP="00DD0311">
            <w:pPr>
              <w:pStyle w:val="TableParagraph"/>
              <w:jc w:val="center"/>
            </w:pPr>
            <w:r w:rsidRPr="00DC1198">
              <w:t>33A(5)</w:t>
            </w:r>
          </w:p>
        </w:tc>
        <w:tc>
          <w:tcPr>
            <w:tcW w:w="992" w:type="dxa"/>
          </w:tcPr>
          <w:p w14:paraId="4F6F2AC4" w14:textId="77777777" w:rsidR="00DD0311" w:rsidRPr="00117C96" w:rsidRDefault="00DD0311" w:rsidP="00DD0311">
            <w:pPr>
              <w:pStyle w:val="TableParagraph"/>
              <w:ind w:right="32"/>
              <w:jc w:val="right"/>
            </w:pPr>
            <w:r w:rsidRPr="00DC1198">
              <w:t xml:space="preserve"> 24.6 </w:t>
            </w:r>
          </w:p>
        </w:tc>
        <w:tc>
          <w:tcPr>
            <w:tcW w:w="1423" w:type="dxa"/>
          </w:tcPr>
          <w:p w14:paraId="76C882E8" w14:textId="77777777" w:rsidR="00DD0311" w:rsidRDefault="00DD0311" w:rsidP="00DD0311">
            <w:pPr>
              <w:pStyle w:val="TableParagraph"/>
              <w:ind w:right="-17"/>
              <w:jc w:val="right"/>
            </w:pPr>
            <w:r w:rsidRPr="00DC1198">
              <w:t>1.28 fee units</w:t>
            </w:r>
          </w:p>
          <w:p w14:paraId="0552F918" w14:textId="20B4E09C" w:rsidR="00DD0311" w:rsidRPr="00117C96" w:rsidRDefault="00C75B77" w:rsidP="00DD0311">
            <w:pPr>
              <w:pStyle w:val="TableParagraph"/>
              <w:ind w:right="-17"/>
              <w:jc w:val="right"/>
            </w:pPr>
            <w:r>
              <w:t xml:space="preserve">(i.e. </w:t>
            </w:r>
            <w:r w:rsidR="00DD0311">
              <w:t>$1</w:t>
            </w:r>
            <w:r w:rsidR="006F5BDD">
              <w:t>9.00</w:t>
            </w:r>
            <w:r w:rsidR="00DD0311">
              <w:t>)</w:t>
            </w:r>
          </w:p>
        </w:tc>
        <w:tc>
          <w:tcPr>
            <w:tcW w:w="1412" w:type="dxa"/>
          </w:tcPr>
          <w:p w14:paraId="5B2AB61B" w14:textId="29355293" w:rsidR="00DD0311" w:rsidRPr="004C05D9" w:rsidRDefault="00DD0311" w:rsidP="00DD0311">
            <w:pPr>
              <w:pStyle w:val="TableParagraph"/>
              <w:ind w:right="169"/>
              <w:jc w:val="right"/>
            </w:pPr>
            <w:r w:rsidRPr="00C57843">
              <w:t xml:space="preserve"> 4</w:t>
            </w:r>
            <w:r w:rsidR="006F5BDD">
              <w:t>66</w:t>
            </w:r>
            <w:r w:rsidRPr="00C57843">
              <w:t xml:space="preserve"> </w:t>
            </w:r>
          </w:p>
        </w:tc>
      </w:tr>
      <w:tr w:rsidR="00DD0311" w:rsidRPr="004C05D9" w14:paraId="2E4823BB" w14:textId="77777777" w:rsidTr="00DD0311">
        <w:tc>
          <w:tcPr>
            <w:tcW w:w="1304" w:type="dxa"/>
          </w:tcPr>
          <w:p w14:paraId="58A0EF50" w14:textId="77777777" w:rsidR="00DD0311" w:rsidRPr="00117C96" w:rsidRDefault="00DD0311" w:rsidP="00DD0311">
            <w:pPr>
              <w:pStyle w:val="TableParagraph"/>
              <w:jc w:val="center"/>
            </w:pPr>
            <w:r>
              <w:t>8</w:t>
            </w:r>
          </w:p>
        </w:tc>
        <w:tc>
          <w:tcPr>
            <w:tcW w:w="3371" w:type="dxa"/>
          </w:tcPr>
          <w:p w14:paraId="3109B392" w14:textId="77777777" w:rsidR="00DD0311" w:rsidRPr="00C64741" w:rsidRDefault="00DD0311" w:rsidP="00DD0311">
            <w:pPr>
              <w:pStyle w:val="TableParagraph"/>
            </w:pPr>
            <w:r w:rsidRPr="00DC1198">
              <w:t>Fee to make an appointment for the verification of a non</w:t>
            </w:r>
            <w:r w:rsidRPr="00DC1198">
              <w:rPr>
                <w:rFonts w:ascii="Cambria Math" w:hAnsi="Cambria Math" w:cs="Cambria Math"/>
              </w:rPr>
              <w:t>‑</w:t>
            </w:r>
            <w:r w:rsidRPr="00DC1198">
              <w:t xml:space="preserve">Victorian licence or permit for the purpose of an application for variation of a Victorian driver licence </w:t>
            </w:r>
          </w:p>
        </w:tc>
        <w:tc>
          <w:tcPr>
            <w:tcW w:w="1132" w:type="dxa"/>
          </w:tcPr>
          <w:p w14:paraId="5C3AA3E8" w14:textId="77777777" w:rsidR="00DD0311" w:rsidRPr="00117C96" w:rsidRDefault="00DD0311" w:rsidP="00DD0311">
            <w:pPr>
              <w:pStyle w:val="TableParagraph"/>
              <w:jc w:val="center"/>
            </w:pPr>
            <w:r w:rsidRPr="00DC1198">
              <w:t>33A(5)</w:t>
            </w:r>
          </w:p>
        </w:tc>
        <w:tc>
          <w:tcPr>
            <w:tcW w:w="992" w:type="dxa"/>
          </w:tcPr>
          <w:p w14:paraId="50AEDA24" w14:textId="77777777" w:rsidR="00DD0311" w:rsidRPr="00117C96" w:rsidRDefault="00DD0311" w:rsidP="00DD0311">
            <w:pPr>
              <w:pStyle w:val="TableParagraph"/>
              <w:ind w:right="32"/>
              <w:jc w:val="right"/>
            </w:pPr>
            <w:r w:rsidRPr="00DC1198">
              <w:t xml:space="preserve"> 3.4 </w:t>
            </w:r>
          </w:p>
        </w:tc>
        <w:tc>
          <w:tcPr>
            <w:tcW w:w="1423" w:type="dxa"/>
          </w:tcPr>
          <w:p w14:paraId="5EF36F44" w14:textId="77777777" w:rsidR="00DD0311" w:rsidRDefault="00DD0311" w:rsidP="00DD0311">
            <w:pPr>
              <w:pStyle w:val="TableParagraph"/>
              <w:ind w:right="-17"/>
              <w:jc w:val="right"/>
            </w:pPr>
            <w:r w:rsidRPr="00DC1198">
              <w:t>1.28 fee units</w:t>
            </w:r>
          </w:p>
          <w:p w14:paraId="3C007BE3" w14:textId="6EFDAA74" w:rsidR="00DD0311" w:rsidRPr="00117C96" w:rsidRDefault="00C75B77" w:rsidP="00DD0311">
            <w:pPr>
              <w:pStyle w:val="TableParagraph"/>
              <w:ind w:right="-17"/>
              <w:jc w:val="right"/>
            </w:pPr>
            <w:r>
              <w:t xml:space="preserve">(i.e. </w:t>
            </w:r>
            <w:r w:rsidR="00DD0311">
              <w:t>$</w:t>
            </w:r>
            <w:r>
              <w:t>1</w:t>
            </w:r>
            <w:r w:rsidR="006F5BDD">
              <w:t>9.0</w:t>
            </w:r>
            <w:r>
              <w:t>0)</w:t>
            </w:r>
            <w:r w:rsidR="00DD0311">
              <w:br/>
            </w:r>
          </w:p>
        </w:tc>
        <w:tc>
          <w:tcPr>
            <w:tcW w:w="1412" w:type="dxa"/>
          </w:tcPr>
          <w:p w14:paraId="799D9ACA" w14:textId="1DB4AF7E" w:rsidR="00DD0311" w:rsidRPr="004C05D9" w:rsidRDefault="00DD0311" w:rsidP="00DD0311">
            <w:pPr>
              <w:pStyle w:val="TableParagraph"/>
              <w:ind w:right="169"/>
              <w:jc w:val="right"/>
            </w:pPr>
            <w:r w:rsidRPr="00C57843">
              <w:t xml:space="preserve"> 6</w:t>
            </w:r>
            <w:r w:rsidR="006F5BDD">
              <w:t>4</w:t>
            </w:r>
            <w:r w:rsidRPr="00C57843">
              <w:t xml:space="preserve"> </w:t>
            </w:r>
          </w:p>
        </w:tc>
      </w:tr>
      <w:tr w:rsidR="00DD0311" w:rsidRPr="004C05D9" w14:paraId="02F66646" w14:textId="77777777" w:rsidTr="00DD0311">
        <w:trPr>
          <w:cnfStyle w:val="000000010000" w:firstRow="0" w:lastRow="0" w:firstColumn="0" w:lastColumn="0" w:oddVBand="0" w:evenVBand="0" w:oddHBand="0" w:evenHBand="1" w:firstRowFirstColumn="0" w:firstRowLastColumn="0" w:lastRowFirstColumn="0" w:lastRowLastColumn="0"/>
        </w:trPr>
        <w:tc>
          <w:tcPr>
            <w:tcW w:w="1304" w:type="dxa"/>
          </w:tcPr>
          <w:p w14:paraId="208F8996" w14:textId="77777777" w:rsidR="00DD0311" w:rsidRPr="00117C96" w:rsidRDefault="00DD0311" w:rsidP="00DD0311">
            <w:pPr>
              <w:pStyle w:val="TableParagraph"/>
              <w:jc w:val="center"/>
            </w:pPr>
            <w:r>
              <w:t>11</w:t>
            </w:r>
          </w:p>
        </w:tc>
        <w:tc>
          <w:tcPr>
            <w:tcW w:w="3371" w:type="dxa"/>
          </w:tcPr>
          <w:p w14:paraId="3D9E125D" w14:textId="77777777" w:rsidR="00DD0311" w:rsidRPr="00C64741" w:rsidRDefault="00DD0311" w:rsidP="00DD0311">
            <w:pPr>
              <w:pStyle w:val="TableParagraph"/>
            </w:pPr>
            <w:r w:rsidRPr="00DC1198">
              <w:t>Variation of a driver licence or learner permit, if the variation includes the insertion of an additional category of motor vehicle in the licence or permit or less restrictive licence or permit conditions</w:t>
            </w:r>
          </w:p>
        </w:tc>
        <w:tc>
          <w:tcPr>
            <w:tcW w:w="1132" w:type="dxa"/>
          </w:tcPr>
          <w:p w14:paraId="74334F93" w14:textId="77777777" w:rsidR="00DD0311" w:rsidRPr="007D26A7" w:rsidRDefault="00DD0311" w:rsidP="00DD0311">
            <w:pPr>
              <w:pStyle w:val="TableParagraph"/>
              <w:jc w:val="center"/>
            </w:pPr>
            <w:r w:rsidRPr="007D26A7">
              <w:t>62(2)</w:t>
            </w:r>
          </w:p>
        </w:tc>
        <w:tc>
          <w:tcPr>
            <w:tcW w:w="992" w:type="dxa"/>
          </w:tcPr>
          <w:p w14:paraId="6F80B9C7" w14:textId="77777777" w:rsidR="00DD0311" w:rsidRPr="007D26A7" w:rsidRDefault="00DD0311" w:rsidP="00DD0311">
            <w:pPr>
              <w:pStyle w:val="TableParagraph"/>
              <w:ind w:right="32"/>
              <w:jc w:val="right"/>
            </w:pPr>
            <w:r w:rsidRPr="007D26A7">
              <w:t xml:space="preserve"> </w:t>
            </w:r>
            <w:r w:rsidRPr="007B209E">
              <w:t>65.4</w:t>
            </w:r>
            <w:r w:rsidRPr="007D26A7">
              <w:t xml:space="preserve"> </w:t>
            </w:r>
          </w:p>
        </w:tc>
        <w:tc>
          <w:tcPr>
            <w:tcW w:w="1423" w:type="dxa"/>
          </w:tcPr>
          <w:p w14:paraId="3863FF67" w14:textId="2F775BF0" w:rsidR="00DD0311" w:rsidRPr="007D26A7" w:rsidRDefault="00DD0311" w:rsidP="00DD0311">
            <w:pPr>
              <w:pStyle w:val="TableParagraph"/>
              <w:ind w:right="-17"/>
              <w:jc w:val="right"/>
            </w:pPr>
            <w:r w:rsidRPr="007D26A7">
              <w:t>2.13 fee units</w:t>
            </w:r>
            <w:r w:rsidRPr="007D26A7">
              <w:br/>
            </w:r>
            <w:r w:rsidR="00C75B77">
              <w:t xml:space="preserve">(i.e. </w:t>
            </w:r>
            <w:r w:rsidRPr="007D26A7">
              <w:t>$</w:t>
            </w:r>
            <w:r w:rsidR="00C75B77">
              <w:t>3</w:t>
            </w:r>
            <w:r w:rsidR="006F5BDD">
              <w:t>1.50</w:t>
            </w:r>
            <w:r w:rsidR="00C75B77">
              <w:t>)</w:t>
            </w:r>
          </w:p>
        </w:tc>
        <w:tc>
          <w:tcPr>
            <w:tcW w:w="1412" w:type="dxa"/>
          </w:tcPr>
          <w:p w14:paraId="6F49F2D9" w14:textId="3C02E774" w:rsidR="00DD0311" w:rsidRPr="007D26A7" w:rsidRDefault="00DD0311" w:rsidP="00DD0311">
            <w:pPr>
              <w:pStyle w:val="TableParagraph"/>
              <w:ind w:right="169"/>
              <w:jc w:val="right"/>
            </w:pPr>
            <w:r w:rsidRPr="00C57843">
              <w:t xml:space="preserve"> </w:t>
            </w:r>
            <w:r w:rsidR="006F5BDD">
              <w:t>2,064</w:t>
            </w:r>
            <w:r w:rsidRPr="00C57843">
              <w:t xml:space="preserve"> </w:t>
            </w:r>
          </w:p>
        </w:tc>
      </w:tr>
      <w:tr w:rsidR="00DD0311" w:rsidRPr="004C05D9" w14:paraId="0CB094A6" w14:textId="77777777" w:rsidTr="00DD0311">
        <w:tc>
          <w:tcPr>
            <w:tcW w:w="1304" w:type="dxa"/>
          </w:tcPr>
          <w:p w14:paraId="41BE2D39" w14:textId="77777777" w:rsidR="00DD0311" w:rsidRPr="002B66E8" w:rsidRDefault="00DD0311" w:rsidP="00DD0311">
            <w:pPr>
              <w:pStyle w:val="TableParagraph"/>
              <w:jc w:val="center"/>
              <w:rPr>
                <w:highlight w:val="yellow"/>
              </w:rPr>
            </w:pPr>
            <w:r w:rsidRPr="0050060F">
              <w:t>12</w:t>
            </w:r>
          </w:p>
        </w:tc>
        <w:tc>
          <w:tcPr>
            <w:tcW w:w="3371" w:type="dxa"/>
          </w:tcPr>
          <w:p w14:paraId="37D9BA7A" w14:textId="77777777" w:rsidR="00DD0311" w:rsidRPr="002B66E8" w:rsidRDefault="00DD0311" w:rsidP="00DD0311">
            <w:pPr>
              <w:pStyle w:val="TableParagraph"/>
              <w:rPr>
                <w:highlight w:val="yellow"/>
              </w:rPr>
            </w:pPr>
            <w:r w:rsidRPr="00DC1198">
              <w:t>Issue of a replacement licence document</w:t>
            </w:r>
          </w:p>
        </w:tc>
        <w:tc>
          <w:tcPr>
            <w:tcW w:w="1132" w:type="dxa"/>
          </w:tcPr>
          <w:p w14:paraId="36D3B1D6" w14:textId="77777777" w:rsidR="00DD0311" w:rsidRPr="00117C96" w:rsidRDefault="00DD0311" w:rsidP="00DD0311">
            <w:pPr>
              <w:pStyle w:val="TableParagraph"/>
              <w:jc w:val="center"/>
            </w:pPr>
            <w:r w:rsidRPr="00DC1198">
              <w:t>64(4), 65(1)</w:t>
            </w:r>
          </w:p>
        </w:tc>
        <w:tc>
          <w:tcPr>
            <w:tcW w:w="992" w:type="dxa"/>
          </w:tcPr>
          <w:p w14:paraId="725A3E93" w14:textId="77777777" w:rsidR="00DD0311" w:rsidRPr="00117C96" w:rsidRDefault="00DD0311" w:rsidP="00DD0311">
            <w:pPr>
              <w:pStyle w:val="TableParagraph"/>
              <w:ind w:right="32"/>
              <w:jc w:val="right"/>
            </w:pPr>
            <w:r w:rsidRPr="00DC1198">
              <w:t xml:space="preserve"> 129.0 </w:t>
            </w:r>
          </w:p>
        </w:tc>
        <w:tc>
          <w:tcPr>
            <w:tcW w:w="1423" w:type="dxa"/>
          </w:tcPr>
          <w:p w14:paraId="0B1F7375" w14:textId="77777777" w:rsidR="00DD0311" w:rsidRDefault="00DD0311" w:rsidP="00DD0311">
            <w:pPr>
              <w:pStyle w:val="TableParagraph"/>
              <w:ind w:right="-17"/>
              <w:jc w:val="right"/>
            </w:pPr>
            <w:r w:rsidRPr="00DC1198">
              <w:t>1.66 fee units</w:t>
            </w:r>
          </w:p>
          <w:p w14:paraId="509D1244" w14:textId="15F9CF7B" w:rsidR="00DD0311" w:rsidRPr="00117C96" w:rsidRDefault="00C75B77" w:rsidP="00DD0311">
            <w:pPr>
              <w:pStyle w:val="TableParagraph"/>
              <w:ind w:right="-17"/>
              <w:jc w:val="right"/>
            </w:pPr>
            <w:r>
              <w:t xml:space="preserve">(i.e. </w:t>
            </w:r>
            <w:r w:rsidR="00DD0311">
              <w:t>$</w:t>
            </w:r>
            <w:r>
              <w:t>2</w:t>
            </w:r>
            <w:r w:rsidR="006F5BDD">
              <w:t>4</w:t>
            </w:r>
            <w:r>
              <w:t>.60)</w:t>
            </w:r>
            <w:r w:rsidR="00DD0311">
              <w:br/>
            </w:r>
          </w:p>
        </w:tc>
        <w:tc>
          <w:tcPr>
            <w:tcW w:w="1412" w:type="dxa"/>
          </w:tcPr>
          <w:p w14:paraId="34D28E79" w14:textId="4E244106" w:rsidR="00DD0311" w:rsidRPr="004C05D9" w:rsidRDefault="00DD0311" w:rsidP="00DD0311">
            <w:pPr>
              <w:pStyle w:val="TableParagraph"/>
              <w:ind w:right="169"/>
              <w:jc w:val="right"/>
            </w:pPr>
            <w:r w:rsidRPr="00C57843">
              <w:t xml:space="preserve"> 3,</w:t>
            </w:r>
            <w:r w:rsidR="006F5BDD">
              <w:t>170</w:t>
            </w:r>
            <w:r w:rsidRPr="00C57843">
              <w:t xml:space="preserve"> </w:t>
            </w:r>
          </w:p>
        </w:tc>
      </w:tr>
      <w:tr w:rsidR="00DD0311" w:rsidRPr="004C05D9" w14:paraId="1E5E9997" w14:textId="77777777" w:rsidTr="00DD0311">
        <w:trPr>
          <w:cnfStyle w:val="000000010000" w:firstRow="0" w:lastRow="0" w:firstColumn="0" w:lastColumn="0" w:oddVBand="0" w:evenVBand="0" w:oddHBand="0" w:evenHBand="1" w:firstRowFirstColumn="0" w:firstRowLastColumn="0" w:lastRowFirstColumn="0" w:lastRowLastColumn="0"/>
        </w:trPr>
        <w:tc>
          <w:tcPr>
            <w:tcW w:w="1304" w:type="dxa"/>
          </w:tcPr>
          <w:p w14:paraId="6D434BDD" w14:textId="77777777" w:rsidR="00DD0311" w:rsidRPr="00117C96" w:rsidRDefault="00DD0311" w:rsidP="00DD0311">
            <w:pPr>
              <w:pStyle w:val="TableParagraph"/>
              <w:jc w:val="center"/>
            </w:pPr>
            <w:r>
              <w:lastRenderedPageBreak/>
              <w:t>13</w:t>
            </w:r>
          </w:p>
        </w:tc>
        <w:tc>
          <w:tcPr>
            <w:tcW w:w="3371" w:type="dxa"/>
          </w:tcPr>
          <w:p w14:paraId="49C259E4" w14:textId="77777777" w:rsidR="00DD0311" w:rsidRPr="00C64741" w:rsidRDefault="00DD0311" w:rsidP="00DD0311">
            <w:pPr>
              <w:pStyle w:val="TableParagraph"/>
            </w:pPr>
            <w:r w:rsidRPr="00DC1198">
              <w:t>Issue of replacement learner permit document</w:t>
            </w:r>
          </w:p>
        </w:tc>
        <w:tc>
          <w:tcPr>
            <w:tcW w:w="1132" w:type="dxa"/>
          </w:tcPr>
          <w:p w14:paraId="3FFF5C5D" w14:textId="77777777" w:rsidR="00DD0311" w:rsidRPr="00117C96" w:rsidRDefault="00DD0311" w:rsidP="00DD0311">
            <w:pPr>
              <w:pStyle w:val="TableParagraph"/>
              <w:jc w:val="center"/>
            </w:pPr>
            <w:r w:rsidRPr="00DC1198">
              <w:t>64(4), 65(1)</w:t>
            </w:r>
          </w:p>
        </w:tc>
        <w:tc>
          <w:tcPr>
            <w:tcW w:w="992" w:type="dxa"/>
          </w:tcPr>
          <w:p w14:paraId="42874223" w14:textId="77777777" w:rsidR="00DD0311" w:rsidRPr="00117C96" w:rsidRDefault="00DD0311" w:rsidP="00DD0311">
            <w:pPr>
              <w:pStyle w:val="TableParagraph"/>
              <w:ind w:right="32"/>
              <w:jc w:val="right"/>
            </w:pPr>
            <w:r w:rsidRPr="00DC1198">
              <w:t xml:space="preserve"> 23.4 </w:t>
            </w:r>
          </w:p>
        </w:tc>
        <w:tc>
          <w:tcPr>
            <w:tcW w:w="1423" w:type="dxa"/>
          </w:tcPr>
          <w:p w14:paraId="5A011733" w14:textId="1BC8EBAB" w:rsidR="00DD0311" w:rsidRPr="00117C96" w:rsidRDefault="00DD0311" w:rsidP="00DD0311">
            <w:pPr>
              <w:pStyle w:val="TableParagraph"/>
              <w:ind w:right="-17"/>
              <w:jc w:val="right"/>
            </w:pPr>
            <w:r w:rsidRPr="00DC1198">
              <w:t>1.66 fee units</w:t>
            </w:r>
            <w:r>
              <w:br/>
            </w:r>
            <w:r w:rsidR="00C75B77">
              <w:t xml:space="preserve">(i.e. </w:t>
            </w:r>
            <w:r>
              <w:t>$2</w:t>
            </w:r>
            <w:r w:rsidR="006F5BDD">
              <w:t>4</w:t>
            </w:r>
            <w:r w:rsidR="00C75B77">
              <w:t>.60)</w:t>
            </w:r>
          </w:p>
        </w:tc>
        <w:tc>
          <w:tcPr>
            <w:tcW w:w="1412" w:type="dxa"/>
          </w:tcPr>
          <w:p w14:paraId="76E3DB3D" w14:textId="09278501" w:rsidR="00DD0311" w:rsidRPr="004C05D9" w:rsidRDefault="00DD0311" w:rsidP="00DD0311">
            <w:pPr>
              <w:pStyle w:val="TableParagraph"/>
              <w:ind w:right="169"/>
              <w:jc w:val="right"/>
            </w:pPr>
            <w:r w:rsidRPr="00C57843">
              <w:t xml:space="preserve"> 5</w:t>
            </w:r>
            <w:r w:rsidR="006F5BDD">
              <w:t>76</w:t>
            </w:r>
            <w:r w:rsidRPr="00C57843">
              <w:t xml:space="preserve"> </w:t>
            </w:r>
          </w:p>
        </w:tc>
      </w:tr>
      <w:tr w:rsidR="00DD0311" w:rsidRPr="004C05D9" w14:paraId="4295D983" w14:textId="77777777" w:rsidTr="00DD0311">
        <w:tc>
          <w:tcPr>
            <w:tcW w:w="1304" w:type="dxa"/>
          </w:tcPr>
          <w:p w14:paraId="2E36F505" w14:textId="77777777" w:rsidR="00DD0311" w:rsidRPr="00117C96" w:rsidRDefault="00DD0311" w:rsidP="00DD0311">
            <w:pPr>
              <w:pStyle w:val="TableParagraph"/>
              <w:jc w:val="center"/>
            </w:pPr>
            <w:r>
              <w:t>14</w:t>
            </w:r>
          </w:p>
        </w:tc>
        <w:tc>
          <w:tcPr>
            <w:tcW w:w="3371" w:type="dxa"/>
          </w:tcPr>
          <w:p w14:paraId="0D629F61" w14:textId="77777777" w:rsidR="00DD0311" w:rsidRPr="00C64741" w:rsidRDefault="00DD0311" w:rsidP="00DD0311">
            <w:pPr>
              <w:pStyle w:val="TableParagraph"/>
            </w:pPr>
            <w:r w:rsidRPr="00DC1198">
              <w:t>Fee to make an application to exempt the holder of a probationary driver licence from the prohibition against driving a probationary prohibited vehicle</w:t>
            </w:r>
          </w:p>
        </w:tc>
        <w:tc>
          <w:tcPr>
            <w:tcW w:w="1132" w:type="dxa"/>
          </w:tcPr>
          <w:p w14:paraId="1B89088F" w14:textId="77777777" w:rsidR="00DD0311" w:rsidRPr="00117C96" w:rsidRDefault="00DD0311" w:rsidP="00DD0311">
            <w:pPr>
              <w:pStyle w:val="TableParagraph"/>
              <w:jc w:val="center"/>
            </w:pPr>
            <w:r w:rsidRPr="00DC1198">
              <w:t>57(4B)</w:t>
            </w:r>
          </w:p>
        </w:tc>
        <w:tc>
          <w:tcPr>
            <w:tcW w:w="992" w:type="dxa"/>
          </w:tcPr>
          <w:p w14:paraId="731A11E4" w14:textId="77777777" w:rsidR="00DD0311" w:rsidRPr="00117C96" w:rsidRDefault="00DD0311" w:rsidP="00DD0311">
            <w:pPr>
              <w:pStyle w:val="TableParagraph"/>
              <w:ind w:right="32"/>
              <w:jc w:val="right"/>
            </w:pPr>
            <w:r w:rsidRPr="00DC1198">
              <w:t xml:space="preserve"> 0.7 </w:t>
            </w:r>
          </w:p>
        </w:tc>
        <w:tc>
          <w:tcPr>
            <w:tcW w:w="1423" w:type="dxa"/>
          </w:tcPr>
          <w:p w14:paraId="4A2D3DA8" w14:textId="04460C41" w:rsidR="00DD0311" w:rsidRPr="00117C96" w:rsidRDefault="00DD0311" w:rsidP="00DD0311">
            <w:pPr>
              <w:pStyle w:val="TableParagraph"/>
              <w:ind w:right="-17"/>
              <w:jc w:val="right"/>
            </w:pPr>
            <w:r w:rsidRPr="00DC1198">
              <w:t>4.16 fee units</w:t>
            </w:r>
            <w:r>
              <w:br/>
            </w:r>
            <w:r w:rsidR="00C75B77">
              <w:t xml:space="preserve">(i.e. </w:t>
            </w:r>
            <w:r>
              <w:t>$</w:t>
            </w:r>
            <w:r w:rsidR="006F5BDD">
              <w:t>61.6</w:t>
            </w:r>
            <w:r>
              <w:t>0</w:t>
            </w:r>
            <w:r w:rsidR="00C75B77">
              <w:t>)</w:t>
            </w:r>
          </w:p>
        </w:tc>
        <w:tc>
          <w:tcPr>
            <w:tcW w:w="1412" w:type="dxa"/>
          </w:tcPr>
          <w:p w14:paraId="44A32A2D" w14:textId="37BC1C2C" w:rsidR="00DD0311" w:rsidRPr="004C05D9" w:rsidRDefault="00DD0311" w:rsidP="00DD0311">
            <w:pPr>
              <w:pStyle w:val="TableParagraph"/>
              <w:ind w:right="169"/>
              <w:jc w:val="right"/>
            </w:pPr>
            <w:r w:rsidRPr="00C57843">
              <w:t xml:space="preserve"> </w:t>
            </w:r>
            <w:r w:rsidR="006F5BDD">
              <w:t>41</w:t>
            </w:r>
            <w:r w:rsidRPr="00C57843">
              <w:t xml:space="preserve"> </w:t>
            </w:r>
          </w:p>
        </w:tc>
      </w:tr>
      <w:tr w:rsidR="00DD0311" w:rsidRPr="004C05D9" w14:paraId="0DCD686F" w14:textId="77777777" w:rsidTr="00DD0311">
        <w:trPr>
          <w:cnfStyle w:val="000000010000" w:firstRow="0" w:lastRow="0" w:firstColumn="0" w:lastColumn="0" w:oddVBand="0" w:evenVBand="0" w:oddHBand="0" w:evenHBand="1" w:firstRowFirstColumn="0" w:firstRowLastColumn="0" w:lastRowFirstColumn="0" w:lastRowLastColumn="0"/>
        </w:trPr>
        <w:tc>
          <w:tcPr>
            <w:tcW w:w="1304" w:type="dxa"/>
          </w:tcPr>
          <w:p w14:paraId="09C65647" w14:textId="77777777" w:rsidR="00DD0311" w:rsidRPr="00117C96" w:rsidRDefault="00DD0311" w:rsidP="00DD0311">
            <w:pPr>
              <w:pStyle w:val="TableParagraph"/>
              <w:jc w:val="center"/>
            </w:pPr>
            <w:r>
              <w:t>15</w:t>
            </w:r>
          </w:p>
        </w:tc>
        <w:tc>
          <w:tcPr>
            <w:tcW w:w="3371" w:type="dxa"/>
          </w:tcPr>
          <w:p w14:paraId="18E8938C" w14:textId="77777777" w:rsidR="00DD0311" w:rsidRPr="00C64741" w:rsidRDefault="00DD0311" w:rsidP="00DD0311">
            <w:pPr>
              <w:pStyle w:val="TableParagraph"/>
            </w:pPr>
            <w:r w:rsidRPr="00DC1198">
              <w:t>Issue of a replacement learner log book</w:t>
            </w:r>
          </w:p>
        </w:tc>
        <w:tc>
          <w:tcPr>
            <w:tcW w:w="1132" w:type="dxa"/>
          </w:tcPr>
          <w:p w14:paraId="2D712CB7" w14:textId="77777777" w:rsidR="00DD0311" w:rsidRPr="00117C96" w:rsidRDefault="00DD0311" w:rsidP="00DD0311">
            <w:pPr>
              <w:pStyle w:val="TableParagraph"/>
              <w:jc w:val="center"/>
            </w:pPr>
            <w:r w:rsidRPr="00DC1198">
              <w:t>110</w:t>
            </w:r>
          </w:p>
        </w:tc>
        <w:tc>
          <w:tcPr>
            <w:tcW w:w="992" w:type="dxa"/>
          </w:tcPr>
          <w:p w14:paraId="69CD2D90" w14:textId="77777777" w:rsidR="00DD0311" w:rsidRPr="00117C96" w:rsidRDefault="00DD0311" w:rsidP="00DD0311">
            <w:pPr>
              <w:pStyle w:val="TableParagraph"/>
              <w:ind w:right="32"/>
              <w:jc w:val="right"/>
            </w:pPr>
            <w:r w:rsidRPr="00DC1198">
              <w:t xml:space="preserve"> 10.7 </w:t>
            </w:r>
          </w:p>
        </w:tc>
        <w:tc>
          <w:tcPr>
            <w:tcW w:w="1423" w:type="dxa"/>
          </w:tcPr>
          <w:p w14:paraId="7F59D948" w14:textId="77777777" w:rsidR="00DD0311" w:rsidRDefault="00DD0311" w:rsidP="00DD0311">
            <w:pPr>
              <w:pStyle w:val="TableParagraph"/>
              <w:ind w:right="-17"/>
              <w:jc w:val="right"/>
            </w:pPr>
            <w:r w:rsidRPr="00DC1198">
              <w:t>1.4</w:t>
            </w:r>
            <w:r>
              <w:t>0</w:t>
            </w:r>
            <w:r w:rsidRPr="00DC1198">
              <w:t xml:space="preserve"> fee units</w:t>
            </w:r>
          </w:p>
          <w:p w14:paraId="34F1958B" w14:textId="349D76E5" w:rsidR="00DD0311" w:rsidRPr="00117C96" w:rsidRDefault="00C75B77" w:rsidP="00DD0311">
            <w:pPr>
              <w:pStyle w:val="TableParagraph"/>
              <w:ind w:right="-17"/>
              <w:jc w:val="right"/>
            </w:pPr>
            <w:r>
              <w:t xml:space="preserve">(i.e. </w:t>
            </w:r>
            <w:r w:rsidR="00DD0311">
              <w:t>$</w:t>
            </w:r>
            <w:r w:rsidR="006F5BDD">
              <w:t>20.70</w:t>
            </w:r>
            <w:r>
              <w:t>)</w:t>
            </w:r>
          </w:p>
        </w:tc>
        <w:tc>
          <w:tcPr>
            <w:tcW w:w="1412" w:type="dxa"/>
          </w:tcPr>
          <w:p w14:paraId="3302CF09" w14:textId="415DC363" w:rsidR="00DD0311" w:rsidRPr="004C05D9" w:rsidRDefault="00DD0311" w:rsidP="00DD0311">
            <w:pPr>
              <w:pStyle w:val="TableParagraph"/>
              <w:ind w:right="169"/>
              <w:jc w:val="right"/>
            </w:pPr>
            <w:r w:rsidRPr="00C57843">
              <w:t xml:space="preserve"> 2</w:t>
            </w:r>
            <w:r w:rsidR="006F5BDD">
              <w:t>21</w:t>
            </w:r>
            <w:r w:rsidRPr="00C57843">
              <w:t xml:space="preserve"> </w:t>
            </w:r>
          </w:p>
        </w:tc>
      </w:tr>
      <w:tr w:rsidR="00DD0311" w:rsidRPr="004C05D9" w14:paraId="5BBEF619" w14:textId="77777777" w:rsidTr="00DD0311">
        <w:tc>
          <w:tcPr>
            <w:tcW w:w="1304" w:type="dxa"/>
          </w:tcPr>
          <w:p w14:paraId="1C2C2DD6" w14:textId="77777777" w:rsidR="00DD0311" w:rsidRPr="00580E1E" w:rsidRDefault="00DD0311" w:rsidP="00DD0311">
            <w:pPr>
              <w:pStyle w:val="TableParagraph"/>
              <w:jc w:val="center"/>
            </w:pPr>
            <w:r>
              <w:t>18</w:t>
            </w:r>
          </w:p>
        </w:tc>
        <w:tc>
          <w:tcPr>
            <w:tcW w:w="3371" w:type="dxa"/>
          </w:tcPr>
          <w:p w14:paraId="65E73777" w14:textId="77777777" w:rsidR="00DD0311" w:rsidRPr="00580E1E" w:rsidRDefault="00DD0311" w:rsidP="00DD0311">
            <w:pPr>
              <w:pStyle w:val="TableParagraph"/>
            </w:pPr>
            <w:r w:rsidRPr="00DC1198">
              <w:t>Processing a refund relating to cancellation of a driver licence</w:t>
            </w:r>
          </w:p>
        </w:tc>
        <w:tc>
          <w:tcPr>
            <w:tcW w:w="1132" w:type="dxa"/>
          </w:tcPr>
          <w:p w14:paraId="7247D06E" w14:textId="77777777" w:rsidR="00DD0311" w:rsidRPr="00580E1E" w:rsidRDefault="00DD0311" w:rsidP="00DD0311">
            <w:pPr>
              <w:pStyle w:val="TableParagraph"/>
              <w:jc w:val="center"/>
            </w:pPr>
            <w:r w:rsidRPr="00DC1198">
              <w:t>113(3)</w:t>
            </w:r>
          </w:p>
        </w:tc>
        <w:tc>
          <w:tcPr>
            <w:tcW w:w="992" w:type="dxa"/>
          </w:tcPr>
          <w:p w14:paraId="481403FF" w14:textId="77777777" w:rsidR="00DD0311" w:rsidRPr="00FB263F" w:rsidRDefault="00DD0311" w:rsidP="00DD0311">
            <w:pPr>
              <w:pStyle w:val="TableParagraph"/>
              <w:ind w:right="32"/>
              <w:jc w:val="right"/>
            </w:pPr>
            <w:r w:rsidRPr="00DC1198">
              <w:t xml:space="preserve"> 6.8 </w:t>
            </w:r>
          </w:p>
        </w:tc>
        <w:tc>
          <w:tcPr>
            <w:tcW w:w="1423" w:type="dxa"/>
          </w:tcPr>
          <w:p w14:paraId="42EA272D" w14:textId="53723DF4" w:rsidR="00DD0311" w:rsidRPr="00580E1E" w:rsidRDefault="00DD0311" w:rsidP="00DD0311">
            <w:pPr>
              <w:pStyle w:val="TableParagraph"/>
              <w:ind w:right="-17"/>
              <w:jc w:val="right"/>
            </w:pPr>
            <w:r w:rsidRPr="00DC1198">
              <w:t>1.28 fee units</w:t>
            </w:r>
            <w:r>
              <w:br/>
            </w:r>
            <w:r w:rsidR="00C75B77">
              <w:t xml:space="preserve">(i.e. </w:t>
            </w:r>
            <w:r>
              <w:t>$</w:t>
            </w:r>
            <w:r w:rsidR="00C75B77">
              <w:t>1</w:t>
            </w:r>
            <w:r w:rsidR="006F5BDD">
              <w:t>9.0</w:t>
            </w:r>
            <w:r w:rsidR="00C75B77">
              <w:t>0)</w:t>
            </w:r>
          </w:p>
        </w:tc>
        <w:tc>
          <w:tcPr>
            <w:tcW w:w="1412" w:type="dxa"/>
          </w:tcPr>
          <w:p w14:paraId="2BEDC583" w14:textId="4E140272" w:rsidR="00DD0311" w:rsidRPr="004C05D9" w:rsidRDefault="00DD0311" w:rsidP="00DD0311">
            <w:pPr>
              <w:pStyle w:val="TableParagraph"/>
              <w:ind w:right="169"/>
              <w:jc w:val="right"/>
            </w:pPr>
            <w:r w:rsidRPr="00C57843">
              <w:t xml:space="preserve"> 12</w:t>
            </w:r>
            <w:r w:rsidR="006F5BDD">
              <w:t>8</w:t>
            </w:r>
            <w:r w:rsidRPr="00C57843">
              <w:t xml:space="preserve"> </w:t>
            </w:r>
          </w:p>
        </w:tc>
      </w:tr>
      <w:tr w:rsidR="00370DA6" w:rsidRPr="00DC1198" w14:paraId="72730D52" w14:textId="77777777" w:rsidTr="00DD0311">
        <w:trPr>
          <w:cnfStyle w:val="000000010000" w:firstRow="0" w:lastRow="0" w:firstColumn="0" w:lastColumn="0" w:oddVBand="0" w:evenVBand="0" w:oddHBand="0" w:evenHBand="1" w:firstRowFirstColumn="0" w:firstRowLastColumn="0" w:lastRowFirstColumn="0" w:lastRowLastColumn="0"/>
        </w:trPr>
        <w:tc>
          <w:tcPr>
            <w:tcW w:w="8222" w:type="dxa"/>
            <w:gridSpan w:val="5"/>
            <w:shd w:val="clear" w:color="auto" w:fill="DDE8F4" w:themeFill="text2" w:themeFillTint="1A"/>
          </w:tcPr>
          <w:p w14:paraId="47F4102C" w14:textId="77777777" w:rsidR="00370DA6" w:rsidRPr="00DC1198" w:rsidRDefault="00370DA6" w:rsidP="006B6D5C">
            <w:pPr>
              <w:pStyle w:val="TableParagraph"/>
              <w:ind w:right="-17"/>
              <w:jc w:val="right"/>
            </w:pPr>
            <w:r>
              <w:rPr>
                <w:b/>
              </w:rPr>
              <w:t>Total Fee Recovery</w:t>
            </w:r>
          </w:p>
        </w:tc>
        <w:tc>
          <w:tcPr>
            <w:tcW w:w="1412" w:type="dxa"/>
            <w:shd w:val="clear" w:color="auto" w:fill="DDE8F4" w:themeFill="text2" w:themeFillTint="1A"/>
          </w:tcPr>
          <w:p w14:paraId="791D41D2" w14:textId="5C655CAD" w:rsidR="00370DA6" w:rsidRPr="00DC1198" w:rsidRDefault="00370DA6" w:rsidP="00B87DF5">
            <w:pPr>
              <w:pStyle w:val="TableParagraph"/>
              <w:ind w:right="169"/>
              <w:jc w:val="right"/>
            </w:pPr>
            <w:r>
              <w:rPr>
                <w:b/>
              </w:rPr>
              <w:t>6,</w:t>
            </w:r>
            <w:r w:rsidR="006F5BDD">
              <w:rPr>
                <w:b/>
              </w:rPr>
              <w:t>731</w:t>
            </w:r>
          </w:p>
        </w:tc>
      </w:tr>
    </w:tbl>
    <w:p w14:paraId="42D302B1" w14:textId="77777777" w:rsidR="00370DA6" w:rsidRDefault="00370DA6" w:rsidP="00370DA6">
      <w:pPr>
        <w:pStyle w:val="Heading3"/>
        <w:spacing w:before="240"/>
      </w:pPr>
      <w:bookmarkStart w:id="757" w:name="_Toc4084233"/>
      <w:bookmarkStart w:id="758" w:name="_Toc10703515"/>
      <w:r>
        <w:t>Cost Recovery Assessment</w:t>
      </w:r>
      <w:bookmarkEnd w:id="757"/>
      <w:bookmarkEnd w:id="758"/>
    </w:p>
    <w:p w14:paraId="341B1C8A" w14:textId="623FB3B9" w:rsidR="00370DA6" w:rsidRDefault="00370DA6" w:rsidP="00370DA6">
      <w:pPr>
        <w:pStyle w:val="TextPara"/>
      </w:pPr>
      <w:r w:rsidRPr="008422B1">
        <w:t>Applying DTF</w:t>
      </w:r>
      <w:r>
        <w:t>s</w:t>
      </w:r>
      <w:r w:rsidRPr="008422B1">
        <w:t xml:space="preserve"> </w:t>
      </w:r>
      <w:r>
        <w:t xml:space="preserve">full </w:t>
      </w:r>
      <w:r w:rsidRPr="008422B1">
        <w:t>cost recovery</w:t>
      </w:r>
      <w:r>
        <w:t xml:space="preserve"> objective</w:t>
      </w:r>
      <w:r w:rsidRPr="008422B1">
        <w:t>, the total cost to deliver these services ($</w:t>
      </w:r>
      <w:r>
        <w:t>6.</w:t>
      </w:r>
      <w:r w:rsidR="00B50F22">
        <w:t>69</w:t>
      </w:r>
      <w:r w:rsidR="00DD0311">
        <w:t>m</w:t>
      </w:r>
      <w:r>
        <w:t>)</w:t>
      </w:r>
      <w:r w:rsidRPr="008422B1">
        <w:t xml:space="preserve"> should be</w:t>
      </w:r>
      <w:r w:rsidRPr="00B238CA">
        <w:t xml:space="preserve"> borne by those who </w:t>
      </w:r>
      <w:r>
        <w:t xml:space="preserve">consume these services due to their discretionary nature. To achieve full cost recovery, </w:t>
      </w:r>
      <w:r w:rsidRPr="00D033E4">
        <w:t>the current fees</w:t>
      </w:r>
      <w:r w:rsidRPr="001044A7">
        <w:t xml:space="preserve"> </w:t>
      </w:r>
      <w:r w:rsidRPr="00D033E4">
        <w:t xml:space="preserve">would </w:t>
      </w:r>
      <w:r>
        <w:t>need to be decreased by</w:t>
      </w:r>
      <w:r w:rsidRPr="00D033E4">
        <w:t xml:space="preserve"> </w:t>
      </w:r>
      <w:r w:rsidR="00B50F22">
        <w:t>0.5</w:t>
      </w:r>
      <w:r>
        <w:t>%</w:t>
      </w:r>
      <w:r w:rsidRPr="00D033E4">
        <w:t xml:space="preserve"> </w:t>
      </w:r>
      <w:r w:rsidRPr="009C5FEA">
        <w:t xml:space="preserve">and </w:t>
      </w:r>
      <w:r>
        <w:t>set at:</w:t>
      </w:r>
    </w:p>
    <w:p w14:paraId="0F22A49D" w14:textId="5B9C6840" w:rsidR="00370DA6" w:rsidRDefault="00370DA6" w:rsidP="00370DA6">
      <w:pPr>
        <w:pStyle w:val="Bullet1-Black"/>
      </w:pPr>
      <w:r>
        <w:t>Appointments</w:t>
      </w:r>
      <w:r>
        <w:tab/>
        <w:t xml:space="preserve"> </w:t>
      </w:r>
      <w:r>
        <w:tab/>
      </w:r>
      <w:r>
        <w:tab/>
      </w:r>
      <w:r>
        <w:tab/>
      </w:r>
      <w:r>
        <w:tab/>
      </w:r>
      <w:r>
        <w:tab/>
      </w:r>
      <w:r w:rsidRPr="008422B1">
        <w:t xml:space="preserve">$ </w:t>
      </w:r>
      <w:r>
        <w:t>18.</w:t>
      </w:r>
      <w:r w:rsidR="00B50F22">
        <w:t>9</w:t>
      </w:r>
      <w:r>
        <w:t xml:space="preserve">0 </w:t>
      </w:r>
      <w:r w:rsidR="00C3718A">
        <w:t xml:space="preserve"> </w:t>
      </w:r>
      <w:r>
        <w:t>(</w:t>
      </w:r>
      <w:r w:rsidR="00C3718A">
        <w:t>$1</w:t>
      </w:r>
      <w:r w:rsidR="00B50F22">
        <w:t>9</w:t>
      </w:r>
      <w:r w:rsidR="00C3718A">
        <w:t>.</w:t>
      </w:r>
      <w:r w:rsidR="00B50F22">
        <w:t>0</w:t>
      </w:r>
      <w:r w:rsidR="00C3718A">
        <w:t>0 fee</w:t>
      </w:r>
      <w:r>
        <w:t xml:space="preserve"> </w:t>
      </w:r>
      <w:r w:rsidR="00C3718A">
        <w:t>in FY1</w:t>
      </w:r>
      <w:r w:rsidR="00B50F22">
        <w:t>9</w:t>
      </w:r>
      <w:r w:rsidR="00C3718A">
        <w:t>/</w:t>
      </w:r>
      <w:r w:rsidR="00B50F22">
        <w:t>20</w:t>
      </w:r>
      <w:r>
        <w:t>)</w:t>
      </w:r>
    </w:p>
    <w:p w14:paraId="3F11E3A4" w14:textId="218F80A7" w:rsidR="00370DA6" w:rsidRDefault="00370DA6" w:rsidP="00370DA6">
      <w:pPr>
        <w:pStyle w:val="Bullet1-Black"/>
      </w:pPr>
      <w:r w:rsidRPr="00DC1198">
        <w:t>Variation of a driver licence or learner permit</w:t>
      </w:r>
      <w:r w:rsidRPr="008422B1">
        <w:tab/>
      </w:r>
      <w:r>
        <w:tab/>
      </w:r>
      <w:r w:rsidRPr="008422B1">
        <w:t xml:space="preserve">$ </w:t>
      </w:r>
      <w:r>
        <w:t>3</w:t>
      </w:r>
      <w:r w:rsidR="0082751C">
        <w:t>1.30</w:t>
      </w:r>
      <w:r w:rsidR="00C3718A">
        <w:t xml:space="preserve">  (</w:t>
      </w:r>
      <w:r>
        <w:t>$3</w:t>
      </w:r>
      <w:r w:rsidR="0082751C">
        <w:t>1.50</w:t>
      </w:r>
      <w:r w:rsidR="00295AE2">
        <w:t xml:space="preserve"> </w:t>
      </w:r>
      <w:r w:rsidR="00C3718A">
        <w:t xml:space="preserve">in </w:t>
      </w:r>
      <w:r w:rsidR="0082751C">
        <w:t>FY19/20)</w:t>
      </w:r>
    </w:p>
    <w:p w14:paraId="2C56E4CB" w14:textId="20E2586D" w:rsidR="00370DA6" w:rsidRDefault="00370DA6" w:rsidP="00370DA6">
      <w:pPr>
        <w:pStyle w:val="Bullet1-Black"/>
      </w:pPr>
      <w:r w:rsidRPr="00DC1198">
        <w:t>Issue of a replacement licence</w:t>
      </w:r>
      <w:r>
        <w:t>/permit</w:t>
      </w:r>
      <w:r w:rsidRPr="00DC1198">
        <w:t xml:space="preserve"> document</w:t>
      </w:r>
      <w:r w:rsidRPr="008422B1">
        <w:tab/>
      </w:r>
      <w:r>
        <w:tab/>
      </w:r>
      <w:r w:rsidRPr="00E15321">
        <w:t>$</w:t>
      </w:r>
      <w:r w:rsidRPr="008422B1">
        <w:t xml:space="preserve"> </w:t>
      </w:r>
      <w:r>
        <w:t>2</w:t>
      </w:r>
      <w:r w:rsidR="0082751C">
        <w:t>4</w:t>
      </w:r>
      <w:r>
        <w:t>.</w:t>
      </w:r>
      <w:r w:rsidR="0082751C">
        <w:t>5</w:t>
      </w:r>
      <w:r>
        <w:t>0  ($24.</w:t>
      </w:r>
      <w:r w:rsidR="0082751C">
        <w:t>6</w:t>
      </w:r>
      <w:r>
        <w:t>0</w:t>
      </w:r>
      <w:r w:rsidR="00C3718A">
        <w:t xml:space="preserve"> in </w:t>
      </w:r>
      <w:r w:rsidR="0082751C">
        <w:t>FY19/20)</w:t>
      </w:r>
    </w:p>
    <w:p w14:paraId="1C940DE6" w14:textId="288EB4AE" w:rsidR="00370DA6" w:rsidRDefault="00370DA6" w:rsidP="00370DA6">
      <w:pPr>
        <w:pStyle w:val="Bullet1-Black"/>
      </w:pPr>
      <w:r>
        <w:t>A</w:t>
      </w:r>
      <w:r w:rsidRPr="00DC1198">
        <w:t>pplication to exempt against driving a prohibited vehicle</w:t>
      </w:r>
      <w:r>
        <w:tab/>
        <w:t xml:space="preserve">$ </w:t>
      </w:r>
      <w:r w:rsidR="0082751C">
        <w:t>61.30</w:t>
      </w:r>
      <w:r>
        <w:t xml:space="preserve">  ($6</w:t>
      </w:r>
      <w:r w:rsidR="0082751C">
        <w:t>1.60</w:t>
      </w:r>
      <w:r w:rsidR="00C3718A">
        <w:t xml:space="preserve"> in </w:t>
      </w:r>
      <w:r w:rsidR="0082751C">
        <w:t>FY19/20)</w:t>
      </w:r>
    </w:p>
    <w:p w14:paraId="76E5F556" w14:textId="46DD9034" w:rsidR="00370DA6" w:rsidRDefault="00370DA6" w:rsidP="00370DA6">
      <w:pPr>
        <w:pStyle w:val="Bullet1-Black"/>
      </w:pPr>
      <w:r>
        <w:t>Issue replacement learner log book</w:t>
      </w:r>
      <w:r>
        <w:tab/>
      </w:r>
      <w:r>
        <w:tab/>
      </w:r>
      <w:r>
        <w:tab/>
      </w:r>
      <w:r>
        <w:tab/>
        <w:t xml:space="preserve">$ </w:t>
      </w:r>
      <w:r w:rsidR="0082751C">
        <w:t>20.60</w:t>
      </w:r>
      <w:r w:rsidR="00C3718A">
        <w:t xml:space="preserve">  (</w:t>
      </w:r>
      <w:r>
        <w:t>$20.</w:t>
      </w:r>
      <w:r w:rsidR="0082751C">
        <w:t>7</w:t>
      </w:r>
      <w:r>
        <w:t>0</w:t>
      </w:r>
      <w:r w:rsidR="00C3718A">
        <w:t xml:space="preserve"> in </w:t>
      </w:r>
      <w:r w:rsidR="0082751C">
        <w:t>FY19/20)</w:t>
      </w:r>
    </w:p>
    <w:p w14:paraId="6F01DAB4" w14:textId="30CB3DD5" w:rsidR="00370DA6" w:rsidRPr="008422B1" w:rsidRDefault="00370DA6" w:rsidP="00370DA6">
      <w:pPr>
        <w:pStyle w:val="Bullet1-Black"/>
      </w:pPr>
      <w:r w:rsidRPr="00DC1198">
        <w:t>Processing a refund relating to a driver licence</w:t>
      </w:r>
      <w:r>
        <w:tab/>
      </w:r>
      <w:r>
        <w:tab/>
        <w:t>$ 18.</w:t>
      </w:r>
      <w:r w:rsidR="0082751C">
        <w:t>9</w:t>
      </w:r>
      <w:r>
        <w:t>0</w:t>
      </w:r>
      <w:r w:rsidR="00C3718A">
        <w:t xml:space="preserve">  (</w:t>
      </w:r>
      <w:r w:rsidR="0082751C">
        <w:t xml:space="preserve">$19.00 </w:t>
      </w:r>
      <w:r w:rsidR="00C3718A">
        <w:t xml:space="preserve">in </w:t>
      </w:r>
      <w:r w:rsidR="0082751C">
        <w:t>FY19/20)</w:t>
      </w:r>
    </w:p>
    <w:p w14:paraId="35300BF9" w14:textId="77777777" w:rsidR="00370DA6" w:rsidRDefault="00370DA6" w:rsidP="00370DA6">
      <w:pPr>
        <w:pStyle w:val="TextPara"/>
      </w:pPr>
      <w:r>
        <w:t>Assessing the full fee against the other criteria the following was determined:</w:t>
      </w:r>
    </w:p>
    <w:p w14:paraId="0F482E8B" w14:textId="77777777" w:rsidR="00370DA6" w:rsidRPr="00B238CA" w:rsidRDefault="00370DA6" w:rsidP="00370DA6">
      <w:pPr>
        <w:pStyle w:val="NoSpacing"/>
      </w:pPr>
      <w:r w:rsidRPr="00B238CA">
        <w:t>Operational Efficiency</w:t>
      </w:r>
    </w:p>
    <w:p w14:paraId="5F2E513A" w14:textId="14C97DF4" w:rsidR="00370DA6" w:rsidRDefault="00370DA6" w:rsidP="00840C1C">
      <w:pPr>
        <w:pStyle w:val="TextPara"/>
      </w:pPr>
      <w:r>
        <w:t>VicRoads considers that these services are delivered efficiently with t</w:t>
      </w:r>
      <w:r w:rsidRPr="00B238CA">
        <w:t xml:space="preserve">ransactions involving </w:t>
      </w:r>
      <w:r>
        <w:t xml:space="preserve">the </w:t>
      </w:r>
      <w:r w:rsidRPr="00B238CA">
        <w:t>verification of documentation requir</w:t>
      </w:r>
      <w:r>
        <w:t>ing</w:t>
      </w:r>
      <w:r w:rsidRPr="00B238CA">
        <w:t xml:space="preserve"> the customer to come prepared with the relevant information</w:t>
      </w:r>
      <w:r>
        <w:t xml:space="preserve"> </w:t>
      </w:r>
      <w:r w:rsidRPr="00C82F55">
        <w:t xml:space="preserve">(e.g. when applying to convert an overseas or interstate licence to a Victorian </w:t>
      </w:r>
      <w:r w:rsidR="00DD0311" w:rsidRPr="00C82F55">
        <w:t>licence</w:t>
      </w:r>
      <w:r w:rsidR="00DD0311" w:rsidRPr="004418BE">
        <w:t xml:space="preserve"> or</w:t>
      </w:r>
      <w:r w:rsidRPr="004418BE">
        <w:t xml:space="preserve"> adding a licence category from a non-Victorian licence to a Victorian licence</w:t>
      </w:r>
      <w:r w:rsidRPr="00C82F55">
        <w:t>).</w:t>
      </w:r>
      <w:r>
        <w:t xml:space="preserve"> </w:t>
      </w:r>
      <w:r w:rsidRPr="00B238CA">
        <w:t xml:space="preserve">These transactions require a block of </w:t>
      </w:r>
      <w:r>
        <w:t xml:space="preserve">staff </w:t>
      </w:r>
      <w:r w:rsidRPr="00B238CA">
        <w:t xml:space="preserve">time to review the documentation for completeness and authenticity of the relevant supporting evidence and to ensure that the information presented meets the </w:t>
      </w:r>
      <w:r>
        <w:t>requirements</w:t>
      </w:r>
      <w:r w:rsidRPr="00B238CA">
        <w:t xml:space="preserve"> for the service. For efficient delivery of service and use of the customer’s time, the making of appointments is used as a mechanism to alert the customer to the documentation requirements and ensure efficient planning of VicRoads resources to process the transaction. </w:t>
      </w:r>
    </w:p>
    <w:p w14:paraId="0EEF09E5" w14:textId="77777777" w:rsidR="00370DA6" w:rsidRPr="00B238CA" w:rsidRDefault="00370DA6" w:rsidP="00840C1C">
      <w:pPr>
        <w:pStyle w:val="TextPara"/>
      </w:pPr>
      <w:r>
        <w:t>VicRoads considers t</w:t>
      </w:r>
      <w:r w:rsidRPr="00B238CA">
        <w:t>his approach has been effective as it:</w:t>
      </w:r>
    </w:p>
    <w:p w14:paraId="035B5848" w14:textId="77777777" w:rsidR="00370DA6" w:rsidRPr="00B238CA" w:rsidRDefault="00370DA6" w:rsidP="00370DA6">
      <w:pPr>
        <w:pStyle w:val="Bullet1-Black"/>
      </w:pPr>
      <w:r w:rsidRPr="00B238CA">
        <w:t>provides the customers with an overview of the service to be delivered by appointment and information about the documentation they are required to produce based on the particular circumstances of their case</w:t>
      </w:r>
    </w:p>
    <w:p w14:paraId="62567D93" w14:textId="77777777" w:rsidR="00370DA6" w:rsidRPr="00B238CA" w:rsidRDefault="00370DA6" w:rsidP="00370DA6">
      <w:pPr>
        <w:pStyle w:val="Bullet1-Black"/>
      </w:pPr>
      <w:r w:rsidRPr="00B238CA">
        <w:t>provides documentary confirmation to the customer of appointment date, time and the documentation required to bring with them to successfully complete the transaction</w:t>
      </w:r>
    </w:p>
    <w:p w14:paraId="2B1C4BD1" w14:textId="77777777" w:rsidR="00370DA6" w:rsidRPr="00B238CA" w:rsidRDefault="00370DA6" w:rsidP="00370DA6">
      <w:pPr>
        <w:pStyle w:val="Bullet1-Black"/>
      </w:pPr>
      <w:r w:rsidRPr="00B238CA">
        <w:lastRenderedPageBreak/>
        <w:t>enables the scheduling of VicRoads resources and delivery of efficient services by ensuring staff availability and eliminating utilisation gaps</w:t>
      </w:r>
    </w:p>
    <w:p w14:paraId="77955B7A" w14:textId="77777777" w:rsidR="00370DA6" w:rsidRPr="00B238CA" w:rsidRDefault="00370DA6" w:rsidP="00370DA6">
      <w:pPr>
        <w:pStyle w:val="Bullet1-Black"/>
      </w:pPr>
      <w:r w:rsidRPr="00B238CA">
        <w:t>minimises burden on the customer through reduced:</w:t>
      </w:r>
    </w:p>
    <w:p w14:paraId="37E34D42" w14:textId="77777777" w:rsidR="00370DA6" w:rsidRPr="00B238CA" w:rsidRDefault="00370DA6" w:rsidP="00370DA6">
      <w:pPr>
        <w:pStyle w:val="Bullet2-Green"/>
        <w:ind w:hanging="360"/>
      </w:pPr>
      <w:r w:rsidRPr="00B238CA">
        <w:t>wait times as they are not required to queue up for the service</w:t>
      </w:r>
    </w:p>
    <w:p w14:paraId="2617B339" w14:textId="77777777" w:rsidR="00370DA6" w:rsidRDefault="00370DA6" w:rsidP="00370DA6">
      <w:pPr>
        <w:pStyle w:val="Bullet2-Green"/>
        <w:ind w:hanging="360"/>
      </w:pPr>
      <w:r w:rsidRPr="00B238CA">
        <w:t>transaction processing times at the CSC.</w:t>
      </w:r>
    </w:p>
    <w:p w14:paraId="72BA563D" w14:textId="0A72FB03" w:rsidR="005E53F2" w:rsidRDefault="005E53F2" w:rsidP="005E53F2">
      <w:pPr>
        <w:pStyle w:val="TextPara"/>
      </w:pPr>
      <w:r>
        <w:t>VicRoads information systems do not however differentiate between appointment types and how that appointment is transacted. As a result, VicRoads imposes one fee rate, and in order to generate a cost estimate, the appointment costs are averaged across all appointments. The averaged appointment costs are added to the service being delivered to produce a total cost.</w:t>
      </w:r>
    </w:p>
    <w:p w14:paraId="764347CD" w14:textId="6A834CBF" w:rsidR="00370DA6" w:rsidRDefault="00370DA6" w:rsidP="00840C1C">
      <w:pPr>
        <w:pStyle w:val="TextPara"/>
      </w:pPr>
      <w:r>
        <w:t xml:space="preserve">Transactions that require minimal preparation by the customer and generalist CSC skills do not require an appointment. </w:t>
      </w:r>
      <w:r w:rsidRPr="004418BE">
        <w:t xml:space="preserve">Customers </w:t>
      </w:r>
      <w:r w:rsidRPr="00DB4C40">
        <w:t xml:space="preserve">can </w:t>
      </w:r>
      <w:r>
        <w:t xml:space="preserve">simply </w:t>
      </w:r>
      <w:r w:rsidRPr="00DB4C40">
        <w:t>attend a CSC to have a licence or permit replaced, to seek a refund</w:t>
      </w:r>
      <w:r w:rsidRPr="004418BE">
        <w:t>,</w:t>
      </w:r>
      <w:r w:rsidRPr="00DB4C40">
        <w:t xml:space="preserve"> or to </w:t>
      </w:r>
      <w:r>
        <w:t>obtain</w:t>
      </w:r>
      <w:r w:rsidRPr="00DB4C40">
        <w:t xml:space="preserve"> a replacement log book. </w:t>
      </w:r>
      <w:r w:rsidRPr="004418BE">
        <w:t>Similarly, customers seeking an exemption from a driver licence or learner permit requirement may submit an application t</w:t>
      </w:r>
      <w:r w:rsidR="00870B65">
        <w:t>o</w:t>
      </w:r>
      <w:r w:rsidRPr="004418BE">
        <w:t xml:space="preserve">gether with </w:t>
      </w:r>
      <w:r>
        <w:t xml:space="preserve">the related fee </w:t>
      </w:r>
      <w:r w:rsidRPr="004418BE">
        <w:t xml:space="preserve">payment without making an appointment. The application is </w:t>
      </w:r>
      <w:r>
        <w:t>forwarded internally to</w:t>
      </w:r>
      <w:r w:rsidRPr="004418BE">
        <w:t xml:space="preserve"> </w:t>
      </w:r>
      <w:r>
        <w:t>the relevant</w:t>
      </w:r>
      <w:r w:rsidRPr="004418BE">
        <w:t xml:space="preserve"> specialist business unit </w:t>
      </w:r>
      <w:r>
        <w:t xml:space="preserve">for </w:t>
      </w:r>
      <w:r w:rsidRPr="004418BE">
        <w:t>assess</w:t>
      </w:r>
      <w:r>
        <w:t>ment</w:t>
      </w:r>
      <w:r w:rsidRPr="004418BE">
        <w:t xml:space="preserve"> and the outcome of the application is advised </w:t>
      </w:r>
      <w:r>
        <w:t xml:space="preserve">to the applicant </w:t>
      </w:r>
      <w:r w:rsidRPr="004418BE">
        <w:t>by post within 15 days.</w:t>
      </w:r>
    </w:p>
    <w:p w14:paraId="0E268939" w14:textId="58D6993F" w:rsidR="00370DA6" w:rsidRDefault="00C10D7C" w:rsidP="00840C1C">
      <w:pPr>
        <w:pStyle w:val="TextPara"/>
      </w:pPr>
      <w:r>
        <w:t>DoT</w:t>
      </w:r>
      <w:r w:rsidR="00B957C6">
        <w:t xml:space="preserve"> considers that c</w:t>
      </w:r>
      <w:r w:rsidR="00370DA6">
        <w:t xml:space="preserve">harging a fee at full cost recovery rate would not adversely impact how this service is delivered. </w:t>
      </w:r>
    </w:p>
    <w:p w14:paraId="776B0C05" w14:textId="77777777" w:rsidR="00370DA6" w:rsidRDefault="00370DA6" w:rsidP="00370DA6">
      <w:pPr>
        <w:pStyle w:val="NoSpacing"/>
      </w:pPr>
      <w:r w:rsidRPr="00B238CA">
        <w:t xml:space="preserve">Simplicity </w:t>
      </w:r>
    </w:p>
    <w:p w14:paraId="60B9247C" w14:textId="77777777" w:rsidR="00370DA6" w:rsidRPr="00B238CA" w:rsidRDefault="00370DA6" w:rsidP="00370DA6">
      <w:pPr>
        <w:pStyle w:val="TextPara"/>
      </w:pPr>
      <w:r>
        <w:t xml:space="preserve">Charging a fee at full cost recovery would be more complex than not charging any fee but less </w:t>
      </w:r>
      <w:r w:rsidR="00B957C6">
        <w:t xml:space="preserve">complex </w:t>
      </w:r>
      <w:r>
        <w:t xml:space="preserve">than charging a partial </w:t>
      </w:r>
      <w:r w:rsidR="00B957C6">
        <w:t xml:space="preserve">cost recovery </w:t>
      </w:r>
      <w:r>
        <w:t xml:space="preserve">fee if there is some discretion as to the application of a fee (e.g. concession entitlement). </w:t>
      </w:r>
      <w:r w:rsidRPr="00B238CA">
        <w:t xml:space="preserve">All systems and policies are in place to support the collection of </w:t>
      </w:r>
      <w:r>
        <w:t xml:space="preserve">a flat fee for </w:t>
      </w:r>
      <w:r w:rsidRPr="00B238CA">
        <w:t xml:space="preserve">these </w:t>
      </w:r>
      <w:r>
        <w:t>services</w:t>
      </w:r>
      <w:r w:rsidRPr="00B238CA">
        <w:t xml:space="preserve">. The </w:t>
      </w:r>
      <w:r>
        <w:t xml:space="preserve">current </w:t>
      </w:r>
      <w:r w:rsidRPr="00B238CA">
        <w:t xml:space="preserve">fees are published </w:t>
      </w:r>
      <w:r>
        <w:t>and understood by the community.</w:t>
      </w:r>
    </w:p>
    <w:p w14:paraId="39B98EE0" w14:textId="77777777" w:rsidR="00370DA6" w:rsidRDefault="00370DA6" w:rsidP="00370DA6">
      <w:pPr>
        <w:pStyle w:val="NoSpacing"/>
      </w:pPr>
      <w:r w:rsidRPr="00B238CA">
        <w:t>Customer Behaviours</w:t>
      </w:r>
    </w:p>
    <w:p w14:paraId="1EAAFB72" w14:textId="77777777" w:rsidR="00370DA6" w:rsidRDefault="00370DA6" w:rsidP="00370DA6">
      <w:pPr>
        <w:pStyle w:val="TextPara"/>
      </w:pPr>
      <w:r>
        <w:t>Charging a fee at full cost recovery optimises the way this service is delivered. A fee ensures the customer values the service and is unlikely to be frivolous in the demand for the service. Whilst these services are discretionary, there is no indication that customers are choosing not to consume the services due to the imposition of a fee. Applying a fee does not encourage behaviours that would compromise road safety.</w:t>
      </w:r>
    </w:p>
    <w:p w14:paraId="207D169D" w14:textId="77777777" w:rsidR="00370DA6" w:rsidRDefault="00370DA6" w:rsidP="00370DA6">
      <w:pPr>
        <w:pStyle w:val="NoSpacing"/>
      </w:pPr>
      <w:r w:rsidRPr="003E2451">
        <w:t>Equity</w:t>
      </w:r>
    </w:p>
    <w:p w14:paraId="79D94279" w14:textId="77777777" w:rsidR="00370DA6" w:rsidRDefault="00370DA6" w:rsidP="00370DA6">
      <w:pPr>
        <w:pStyle w:val="TextPara"/>
      </w:pPr>
      <w:r>
        <w:t xml:space="preserve">Charging a fee at full cost recovery promotes an equitable outcome as it ensures that the cost of the service is fully </w:t>
      </w:r>
      <w:r w:rsidRPr="00B238CA">
        <w:t xml:space="preserve">borne by those who </w:t>
      </w:r>
      <w:r>
        <w:t>consume it. Victorian taxpayers and other road users are not required to bear any part of the costs of these services, which would not be the case, if these fees were to be charged at a partial rate or zero rate.</w:t>
      </w:r>
      <w:r w:rsidRPr="00BC43EC">
        <w:t xml:space="preserve"> </w:t>
      </w:r>
      <w:r>
        <w:t xml:space="preserve">Applying a unit pricing structure to the services would be appropriate </w:t>
      </w:r>
      <w:r w:rsidRPr="008422B1">
        <w:t>as individual customers typically have infrequent need for these services</w:t>
      </w:r>
      <w:r w:rsidR="00564006">
        <w:t>, and there are unlikely to be affordability issues for these fees</w:t>
      </w:r>
      <w:r>
        <w:t>.</w:t>
      </w:r>
    </w:p>
    <w:p w14:paraId="1ED81A10" w14:textId="77777777" w:rsidR="00370DA6" w:rsidRDefault="00370DA6" w:rsidP="00370DA6">
      <w:pPr>
        <w:pStyle w:val="Heading3"/>
        <w:spacing w:before="240"/>
      </w:pPr>
      <w:bookmarkStart w:id="759" w:name="_Toc4084234"/>
      <w:bookmarkStart w:id="760" w:name="_Toc10703516"/>
      <w:r w:rsidRPr="00650FB2">
        <w:t>Proposal</w:t>
      </w:r>
      <w:bookmarkEnd w:id="759"/>
      <w:bookmarkEnd w:id="760"/>
    </w:p>
    <w:p w14:paraId="636CA643" w14:textId="5905A3DC" w:rsidR="00370DA6" w:rsidRDefault="00370DA6" w:rsidP="00370DA6">
      <w:pPr>
        <w:pStyle w:val="Bullet2-Green"/>
        <w:numPr>
          <w:ilvl w:val="0"/>
          <w:numId w:val="0"/>
        </w:numPr>
      </w:pPr>
      <w:r>
        <w:t xml:space="preserve">Whilst the above analysis suggests that full cost recovery should be applied to these services, which would in theory require a very small reduction of </w:t>
      </w:r>
      <w:r w:rsidR="000E0615">
        <w:t>0.5</w:t>
      </w:r>
      <w:r>
        <w:t>% across all fees (totalling $0.0</w:t>
      </w:r>
      <w:r w:rsidR="000E0615">
        <w:t>4</w:t>
      </w:r>
      <w:r>
        <w:t>m</w:t>
      </w:r>
      <w:r w:rsidRPr="00FA0A81">
        <w:t xml:space="preserve"> </w:t>
      </w:r>
      <w:r>
        <w:t>currently over-recovered)</w:t>
      </w:r>
      <w:r w:rsidR="005E2C0D">
        <w:t>.  T</w:t>
      </w:r>
      <w:r>
        <w:t>he government intends to retain the current fee levels</w:t>
      </w:r>
      <w:r w:rsidR="00F553EB">
        <w:t xml:space="preserve"> for stability and predictability</w:t>
      </w:r>
      <w:r w:rsidR="005E2C0D">
        <w:t xml:space="preserve">. </w:t>
      </w:r>
      <w:r>
        <w:t>Accordingly, DoT proposes that no change be made to the fees currently charged for these services in the proposed Regulations.</w:t>
      </w:r>
    </w:p>
    <w:p w14:paraId="5A3338FF" w14:textId="77777777" w:rsidR="00370DA6" w:rsidRDefault="00370DA6" w:rsidP="00370DA6">
      <w:pPr>
        <w:pStyle w:val="Heading2"/>
        <w:spacing w:before="240" w:after="180"/>
      </w:pPr>
      <w:bookmarkStart w:id="761" w:name="_Toc4084235"/>
      <w:bookmarkStart w:id="762" w:name="_Toc10703517"/>
      <w:r w:rsidRPr="00117C96">
        <w:lastRenderedPageBreak/>
        <w:t xml:space="preserve">Medical </w:t>
      </w:r>
      <w:r>
        <w:t xml:space="preserve">fitness-to-drive </w:t>
      </w:r>
      <w:r w:rsidRPr="00117C96">
        <w:t>review</w:t>
      </w:r>
      <w:bookmarkEnd w:id="761"/>
      <w:bookmarkEnd w:id="762"/>
    </w:p>
    <w:p w14:paraId="7A1E749C" w14:textId="1F58B9E9" w:rsidR="00370DA6" w:rsidRDefault="00370DA6" w:rsidP="008422B1">
      <w:pPr>
        <w:pStyle w:val="TextPara"/>
        <w:rPr>
          <w:szCs w:val="20"/>
        </w:rPr>
      </w:pPr>
      <w:r w:rsidRPr="008422B1">
        <w:rPr>
          <w:szCs w:val="20"/>
        </w:rPr>
        <w:t xml:space="preserve">The </w:t>
      </w:r>
      <w:r w:rsidR="00202707">
        <w:rPr>
          <w:szCs w:val="20"/>
        </w:rPr>
        <w:t xml:space="preserve">forecast average </w:t>
      </w:r>
      <w:r w:rsidRPr="008422B1">
        <w:rPr>
          <w:szCs w:val="20"/>
        </w:rPr>
        <w:t xml:space="preserve">annual cost of providing the administrative services supporting medical </w:t>
      </w:r>
      <w:r>
        <w:rPr>
          <w:szCs w:val="20"/>
        </w:rPr>
        <w:t xml:space="preserve">fitness-to-drive </w:t>
      </w:r>
      <w:r w:rsidRPr="008422B1">
        <w:rPr>
          <w:szCs w:val="20"/>
        </w:rPr>
        <w:t>review is $6.</w:t>
      </w:r>
      <w:r w:rsidR="000E0615">
        <w:rPr>
          <w:szCs w:val="20"/>
        </w:rPr>
        <w:t>83</w:t>
      </w:r>
      <w:r w:rsidRPr="008422B1">
        <w:rPr>
          <w:szCs w:val="20"/>
        </w:rPr>
        <w:t>m</w:t>
      </w:r>
      <w:r w:rsidR="00202707">
        <w:rPr>
          <w:szCs w:val="20"/>
        </w:rPr>
        <w:t xml:space="preserve"> (PV)</w:t>
      </w:r>
      <w:r w:rsidRPr="008422B1">
        <w:rPr>
          <w:szCs w:val="20"/>
        </w:rPr>
        <w:t>. This Services</w:t>
      </w:r>
      <w:r w:rsidRPr="00B238CA">
        <w:rPr>
          <w:szCs w:val="20"/>
        </w:rPr>
        <w:t xml:space="preserve"> Group supports </w:t>
      </w:r>
      <w:r>
        <w:t xml:space="preserve">approximately </w:t>
      </w:r>
      <w:r w:rsidRPr="003E4B06">
        <w:t xml:space="preserve">84,000 </w:t>
      </w:r>
      <w:r>
        <w:t>annual assessments</w:t>
      </w:r>
      <w:r w:rsidRPr="003E4B06">
        <w:t xml:space="preserve"> and this number is likely to grow with an increase in the number of Victorian drivers </w:t>
      </w:r>
      <w:r>
        <w:t>(</w:t>
      </w:r>
      <w:r w:rsidRPr="008422B1">
        <w:t>due</w:t>
      </w:r>
      <w:r>
        <w:t xml:space="preserve"> to p</w:t>
      </w:r>
      <w:r w:rsidRPr="003E4B06">
        <w:t>opulation growth</w:t>
      </w:r>
      <w:r>
        <w:t>)</w:t>
      </w:r>
      <w:r w:rsidRPr="003E4B06">
        <w:t>, community health issues such as diabetes, and an ageing population.</w:t>
      </w:r>
    </w:p>
    <w:p w14:paraId="7D6C8D0A" w14:textId="77777777" w:rsidR="00370DA6" w:rsidRPr="00B238CA" w:rsidRDefault="00370DA6" w:rsidP="008422B1">
      <w:pPr>
        <w:pStyle w:val="TextPara"/>
      </w:pPr>
      <w:r w:rsidRPr="00B238CA">
        <w:t xml:space="preserve">An overview of this </w:t>
      </w:r>
      <w:r>
        <w:t>Services Group’s</w:t>
      </w:r>
      <w:r w:rsidRPr="00B238CA">
        <w:t xml:space="preserve"> </w:t>
      </w:r>
      <w:r>
        <w:t>activities, costs and fee income</w:t>
      </w:r>
      <w:r w:rsidRPr="00B238CA">
        <w:t xml:space="preserve"> together with an assessment of options for cost recovery (against the DTF cost recovery principles) and the proposed fee outcome is outlined in the remainder of this section.</w:t>
      </w:r>
    </w:p>
    <w:p w14:paraId="486BA8F3" w14:textId="77777777" w:rsidR="00370DA6" w:rsidRDefault="00370DA6" w:rsidP="00370DA6">
      <w:pPr>
        <w:pStyle w:val="Heading3"/>
        <w:spacing w:before="240"/>
      </w:pPr>
      <w:bookmarkStart w:id="763" w:name="_Ref3986028"/>
      <w:bookmarkStart w:id="764" w:name="_Toc4084236"/>
      <w:bookmarkStart w:id="765" w:name="_Toc10703518"/>
      <w:r w:rsidRPr="00117C96">
        <w:t xml:space="preserve">Service </w:t>
      </w:r>
      <w:r w:rsidRPr="00F232C4">
        <w:t>Overview</w:t>
      </w:r>
      <w:bookmarkEnd w:id="763"/>
      <w:bookmarkEnd w:id="764"/>
      <w:bookmarkEnd w:id="765"/>
    </w:p>
    <w:p w14:paraId="653D56E7" w14:textId="4CB0F964" w:rsidR="00370DA6" w:rsidRPr="00342389" w:rsidRDefault="000A0094" w:rsidP="00DF3451">
      <w:pPr>
        <w:pStyle w:val="TextPara"/>
      </w:pPr>
      <w:r>
        <w:fldChar w:fldCharType="begin"/>
      </w:r>
      <w:r>
        <w:instrText xml:space="preserve"> REF _Ref4405618 \h </w:instrText>
      </w:r>
      <w:r>
        <w:fldChar w:fldCharType="separate"/>
      </w:r>
      <w:r w:rsidR="00EB4B02">
        <w:t xml:space="preserve">Table </w:t>
      </w:r>
      <w:r w:rsidR="00EB4B02">
        <w:rPr>
          <w:noProof/>
        </w:rPr>
        <w:t>55</w:t>
      </w:r>
      <w:r>
        <w:fldChar w:fldCharType="end"/>
      </w:r>
      <w:r>
        <w:t xml:space="preserve"> </w:t>
      </w:r>
      <w:r w:rsidR="00370DA6">
        <w:t>provides a description of the activities associated with the medical fitness-to-drive review services.</w:t>
      </w:r>
    </w:p>
    <w:p w14:paraId="7D3BD9F2" w14:textId="60C62AF0" w:rsidR="00370DA6" w:rsidRPr="008C7D8E" w:rsidRDefault="00370DA6" w:rsidP="00AA0BBA">
      <w:pPr>
        <w:pStyle w:val="Caption"/>
      </w:pPr>
      <w:bookmarkStart w:id="766" w:name="_Ref4405618"/>
      <w:bookmarkStart w:id="767" w:name="_Toc4084337"/>
      <w:bookmarkStart w:id="768" w:name="_Toc10703748"/>
      <w:r>
        <w:t xml:space="preserve">Table </w:t>
      </w:r>
      <w:r>
        <w:rPr>
          <w:noProof/>
        </w:rPr>
        <w:fldChar w:fldCharType="begin"/>
      </w:r>
      <w:r>
        <w:rPr>
          <w:noProof/>
        </w:rPr>
        <w:instrText xml:space="preserve"> SEQ Table \* ARABIC </w:instrText>
      </w:r>
      <w:r>
        <w:rPr>
          <w:noProof/>
        </w:rPr>
        <w:fldChar w:fldCharType="separate"/>
      </w:r>
      <w:r w:rsidR="00EB4B02">
        <w:rPr>
          <w:noProof/>
        </w:rPr>
        <w:t>55</w:t>
      </w:r>
      <w:r>
        <w:rPr>
          <w:noProof/>
        </w:rPr>
        <w:fldChar w:fldCharType="end"/>
      </w:r>
      <w:bookmarkEnd w:id="766"/>
      <w:r>
        <w:t xml:space="preserve"> – </w:t>
      </w:r>
      <w:r w:rsidRPr="003C4CEF">
        <w:t>Services Group</w:t>
      </w:r>
      <w:r>
        <w:t xml:space="preserve"> Activities: </w:t>
      </w:r>
      <w:r w:rsidRPr="005B2158">
        <w:t xml:space="preserve">Medical </w:t>
      </w:r>
      <w:r>
        <w:t xml:space="preserve">fitness-to-drive </w:t>
      </w:r>
      <w:r w:rsidRPr="005B2158">
        <w:t>Review</w:t>
      </w:r>
      <w:bookmarkEnd w:id="767"/>
      <w:bookmarkEnd w:id="768"/>
    </w:p>
    <w:tbl>
      <w:tblPr>
        <w:tblStyle w:val="RIS-Table2"/>
        <w:tblW w:w="9498" w:type="dxa"/>
        <w:tblLayout w:type="fixed"/>
        <w:tblLook w:val="04A0" w:firstRow="1" w:lastRow="0" w:firstColumn="1" w:lastColumn="0" w:noHBand="0" w:noVBand="1"/>
      </w:tblPr>
      <w:tblGrid>
        <w:gridCol w:w="2268"/>
        <w:gridCol w:w="7230"/>
      </w:tblGrid>
      <w:tr w:rsidR="00370DA6" w:rsidRPr="00117C96" w14:paraId="0E3B8A46" w14:textId="77777777" w:rsidTr="00832945">
        <w:trPr>
          <w:cnfStyle w:val="100000000000" w:firstRow="1" w:lastRow="0" w:firstColumn="0" w:lastColumn="0" w:oddVBand="0" w:evenVBand="0" w:oddHBand="0" w:evenHBand="0" w:firstRowFirstColumn="0" w:firstRowLastColumn="0" w:lastRowFirstColumn="0" w:lastRowLastColumn="0"/>
        </w:trPr>
        <w:tc>
          <w:tcPr>
            <w:tcW w:w="2268" w:type="dxa"/>
          </w:tcPr>
          <w:p w14:paraId="7C2506AE" w14:textId="77777777" w:rsidR="00370DA6" w:rsidRPr="00117C96" w:rsidRDefault="00370DA6" w:rsidP="003E4B06">
            <w:pPr>
              <w:pStyle w:val="TableHeaders"/>
            </w:pPr>
            <w:r w:rsidRPr="00B238CA">
              <w:rPr>
                <w:rFonts w:cs="Segoe UI"/>
              </w:rPr>
              <w:t xml:space="preserve">Services </w:t>
            </w:r>
          </w:p>
        </w:tc>
        <w:tc>
          <w:tcPr>
            <w:tcW w:w="7230" w:type="dxa"/>
          </w:tcPr>
          <w:p w14:paraId="337E4576" w14:textId="77777777" w:rsidR="00370DA6" w:rsidRPr="00117C96" w:rsidRDefault="00370DA6" w:rsidP="003E4B06">
            <w:pPr>
              <w:pStyle w:val="TableHeaders"/>
            </w:pPr>
            <w:r w:rsidRPr="00B238CA">
              <w:rPr>
                <w:rFonts w:cs="Segoe UI"/>
                <w:szCs w:val="18"/>
              </w:rPr>
              <w:t>Activities</w:t>
            </w:r>
          </w:p>
        </w:tc>
      </w:tr>
      <w:tr w:rsidR="00370DA6" w:rsidRPr="004C43BB" w14:paraId="260930EB" w14:textId="77777777" w:rsidTr="00832945">
        <w:tc>
          <w:tcPr>
            <w:tcW w:w="2268" w:type="dxa"/>
          </w:tcPr>
          <w:p w14:paraId="1D346112" w14:textId="77777777" w:rsidR="00370DA6" w:rsidRPr="00BD39F6" w:rsidRDefault="00370DA6" w:rsidP="005F6F8B">
            <w:pPr>
              <w:pStyle w:val="TableList1"/>
              <w:numPr>
                <w:ilvl w:val="0"/>
                <w:numId w:val="0"/>
              </w:numPr>
              <w:rPr>
                <w:b/>
              </w:rPr>
            </w:pPr>
            <w:r w:rsidRPr="00BD39F6">
              <w:rPr>
                <w:b/>
              </w:rPr>
              <w:t xml:space="preserve">Medical fitness-to-drive review </w:t>
            </w:r>
          </w:p>
        </w:tc>
        <w:tc>
          <w:tcPr>
            <w:tcW w:w="7230" w:type="dxa"/>
          </w:tcPr>
          <w:p w14:paraId="7D7CA782" w14:textId="77777777" w:rsidR="00370DA6" w:rsidRDefault="00370DA6" w:rsidP="00370DA6">
            <w:pPr>
              <w:pStyle w:val="TableList1"/>
              <w:ind w:left="360" w:hanging="360"/>
            </w:pPr>
            <w:r>
              <w:t>Receive n</w:t>
            </w:r>
            <w:r w:rsidRPr="003E4B06">
              <w:t xml:space="preserve">otification </w:t>
            </w:r>
            <w:r>
              <w:t xml:space="preserve">with concerns about a customer’s fitness to drive </w:t>
            </w:r>
            <w:r w:rsidRPr="003E4B06">
              <w:t>from various sources</w:t>
            </w:r>
            <w:r>
              <w:t xml:space="preserve"> </w:t>
            </w:r>
            <w:r w:rsidRPr="003E4B06">
              <w:t xml:space="preserve">– self reports, police, medical practitioners and the </w:t>
            </w:r>
            <w:r>
              <w:t xml:space="preserve">general </w:t>
            </w:r>
            <w:r w:rsidRPr="003E4B06">
              <w:t>public</w:t>
            </w:r>
          </w:p>
          <w:p w14:paraId="32331A5E" w14:textId="77777777" w:rsidR="00370DA6" w:rsidRPr="008E6ECE" w:rsidRDefault="00370DA6" w:rsidP="00265CBE">
            <w:pPr>
              <w:pStyle w:val="TableList2"/>
            </w:pPr>
            <w:r w:rsidRPr="008E6ECE">
              <w:t>Triage notifications for risk and establish c</w:t>
            </w:r>
            <w:r>
              <w:t>ase in the Medical Review Case M</w:t>
            </w:r>
            <w:r w:rsidRPr="008E6ECE">
              <w:t>ana</w:t>
            </w:r>
            <w:r>
              <w:t>gement S</w:t>
            </w:r>
            <w:r w:rsidRPr="008E6ECE">
              <w:t>ystem. Medical</w:t>
            </w:r>
            <w:r>
              <w:t xml:space="preserve"> fitness-to-drive</w:t>
            </w:r>
            <w:r w:rsidRPr="008E6ECE">
              <w:t xml:space="preserve"> review services are managed by a specialist business unit</w:t>
            </w:r>
          </w:p>
          <w:p w14:paraId="6D87509A" w14:textId="77777777" w:rsidR="00370DA6" w:rsidRDefault="00370DA6" w:rsidP="00265CBE">
            <w:pPr>
              <w:pStyle w:val="TableList2"/>
            </w:pPr>
            <w:r w:rsidRPr="00B238CA">
              <w:t xml:space="preserve">Update the </w:t>
            </w:r>
            <w:r>
              <w:t>customer’s record in DLS</w:t>
            </w:r>
            <w:r w:rsidRPr="00B238CA">
              <w:t xml:space="preserve"> </w:t>
            </w:r>
            <w:r>
              <w:t>flagging that the customer is subject to medical fitness-to-drive review</w:t>
            </w:r>
          </w:p>
          <w:p w14:paraId="7B2C1695" w14:textId="77777777" w:rsidR="00370DA6" w:rsidRDefault="00370DA6" w:rsidP="00370DA6">
            <w:pPr>
              <w:pStyle w:val="TableList1"/>
              <w:ind w:left="360" w:hanging="360"/>
            </w:pPr>
            <w:r>
              <w:t xml:space="preserve">Apply the Austroads </w:t>
            </w:r>
            <w:r w:rsidRPr="004418BE">
              <w:rPr>
                <w:i/>
              </w:rPr>
              <w:t>Assessing Fitness to Drive</w:t>
            </w:r>
            <w:r>
              <w:t xml:space="preserve"> standards to determine the required medical information to assess the customer’s fitness to drive</w:t>
            </w:r>
          </w:p>
          <w:p w14:paraId="656B4F08" w14:textId="77777777" w:rsidR="00370DA6" w:rsidRDefault="00370DA6" w:rsidP="00370DA6">
            <w:pPr>
              <w:pStyle w:val="TableList1"/>
              <w:ind w:left="360" w:hanging="360"/>
            </w:pPr>
            <w:r>
              <w:t>Request the customer to obtain the required medical report(s) from the GP and/or specialist</w:t>
            </w:r>
            <w:r w:rsidRPr="003E4B06">
              <w:t xml:space="preserve"> by the date specified or risk suspension of their licence</w:t>
            </w:r>
          </w:p>
          <w:p w14:paraId="60C3DE50" w14:textId="77777777" w:rsidR="00370DA6" w:rsidRDefault="00370DA6" w:rsidP="00370DA6">
            <w:pPr>
              <w:pStyle w:val="TableList1"/>
              <w:ind w:left="360" w:hanging="360"/>
            </w:pPr>
            <w:r>
              <w:t xml:space="preserve">Apply </w:t>
            </w:r>
            <w:r w:rsidRPr="003E4B06">
              <w:t xml:space="preserve">licence suspension </w:t>
            </w:r>
            <w:r>
              <w:t>in DLS, i</w:t>
            </w:r>
            <w:r w:rsidRPr="003E4B06">
              <w:t xml:space="preserve">f the </w:t>
            </w:r>
            <w:r>
              <w:t>customer</w:t>
            </w:r>
            <w:r w:rsidRPr="003E4B06">
              <w:t xml:space="preserve"> does</w:t>
            </w:r>
            <w:r>
              <w:t xml:space="preserve"> </w:t>
            </w:r>
            <w:r w:rsidRPr="003E4B06">
              <w:t>n</w:t>
            </w:r>
            <w:r>
              <w:t>o</w:t>
            </w:r>
            <w:r w:rsidRPr="003E4B06">
              <w:t xml:space="preserve">t comply </w:t>
            </w:r>
            <w:r>
              <w:t xml:space="preserve">with </w:t>
            </w:r>
            <w:r w:rsidRPr="003E4B06">
              <w:t>the request to supply the</w:t>
            </w:r>
            <w:r>
              <w:t xml:space="preserve"> medical report by the due date</w:t>
            </w:r>
          </w:p>
          <w:p w14:paraId="55349F4B" w14:textId="77777777" w:rsidR="00370DA6" w:rsidRDefault="00370DA6" w:rsidP="00370DA6">
            <w:pPr>
              <w:pStyle w:val="TableList1"/>
              <w:ind w:left="360" w:hanging="360"/>
            </w:pPr>
            <w:r>
              <w:t xml:space="preserve">Assess the customer’s medical condition against </w:t>
            </w:r>
            <w:r w:rsidRPr="003E4B06">
              <w:t xml:space="preserve">the Austroads </w:t>
            </w:r>
            <w:r w:rsidRPr="00E22E24">
              <w:rPr>
                <w:i/>
              </w:rPr>
              <w:t>Assessing Fitness to Drive</w:t>
            </w:r>
            <w:r>
              <w:t xml:space="preserve"> standards to determine if the customer is fit to drive</w:t>
            </w:r>
          </w:p>
          <w:p w14:paraId="5ECFE03A" w14:textId="77777777" w:rsidR="00370DA6" w:rsidRDefault="00370DA6" w:rsidP="00113ACE">
            <w:pPr>
              <w:pStyle w:val="TableList2"/>
            </w:pPr>
            <w:r>
              <w:t>Further</w:t>
            </w:r>
            <w:r w:rsidRPr="003E4B06">
              <w:t xml:space="preserve"> information or other medical reports may be required if</w:t>
            </w:r>
            <w:r>
              <w:t xml:space="preserve"> additional clarification is needed</w:t>
            </w:r>
          </w:p>
          <w:p w14:paraId="67DA050F" w14:textId="77777777" w:rsidR="00370DA6" w:rsidRDefault="00370DA6">
            <w:pPr>
              <w:pStyle w:val="TableList2"/>
            </w:pPr>
            <w:r>
              <w:t>An on-road test may be required, at the customer’s expense with an occupational therapy customer assessor (in the case of significant diagnosed medical conditions and/or physical disability) or for free with a VicRoads staff member if a Medical Review Driving Test is required</w:t>
            </w:r>
          </w:p>
          <w:p w14:paraId="3200F12F" w14:textId="77777777" w:rsidR="00370DA6" w:rsidRDefault="00370DA6" w:rsidP="00370DA6">
            <w:pPr>
              <w:pStyle w:val="TableList1"/>
              <w:ind w:left="360" w:hanging="360"/>
            </w:pPr>
            <w:r>
              <w:t>Update customer’s record in DLS to apply the outcome of the assessment – add licence conditions for driving, apply or lift licence suspension, removal of the medical review flag for those customers who have conditions which are resolved and/or stable which are well managed and therefore no longer need to remain in the Medical fitness-to-drive Review program</w:t>
            </w:r>
          </w:p>
          <w:p w14:paraId="69315EA8" w14:textId="77777777" w:rsidR="00370DA6" w:rsidRPr="003E4B06" w:rsidRDefault="00370DA6" w:rsidP="00370DA6">
            <w:pPr>
              <w:pStyle w:val="TableList1"/>
              <w:ind w:left="360" w:hanging="360"/>
            </w:pPr>
            <w:r>
              <w:t>Conduct periodic reviews on customers who have been assessed as requiring regular monitoring due to their health condition. These customers are requested to provide medical reports for assessment on a regular basis.</w:t>
            </w:r>
          </w:p>
        </w:tc>
      </w:tr>
    </w:tbl>
    <w:p w14:paraId="49A671B3" w14:textId="5F37D39C" w:rsidR="00370DA6" w:rsidRPr="00342389" w:rsidRDefault="000A0094" w:rsidP="005D6943">
      <w:pPr>
        <w:pStyle w:val="TextPara"/>
      </w:pPr>
      <w:r>
        <w:fldChar w:fldCharType="begin"/>
      </w:r>
      <w:r>
        <w:instrText xml:space="preserve"> REF _Ref4405634 \h </w:instrText>
      </w:r>
      <w:r>
        <w:fldChar w:fldCharType="separate"/>
      </w:r>
      <w:r w:rsidR="00EB4B02">
        <w:t xml:space="preserve">Table </w:t>
      </w:r>
      <w:r w:rsidR="00EB4B02">
        <w:rPr>
          <w:noProof/>
        </w:rPr>
        <w:t>56</w:t>
      </w:r>
      <w:r>
        <w:fldChar w:fldCharType="end"/>
      </w:r>
      <w:r w:rsidR="00370DA6">
        <w:t xml:space="preserve"> provides a summary of the estimated </w:t>
      </w:r>
      <w:r w:rsidR="00370DA6" w:rsidRPr="005D6943">
        <w:t>costs</w:t>
      </w:r>
      <w:r w:rsidR="00370DA6">
        <w:t xml:space="preserve"> for the provision of the services over the forecast period. </w:t>
      </w:r>
    </w:p>
    <w:p w14:paraId="1164C110" w14:textId="22EAE3C6" w:rsidR="00370DA6" w:rsidRDefault="00370DA6" w:rsidP="00AA0BBA">
      <w:pPr>
        <w:pStyle w:val="Caption"/>
      </w:pPr>
      <w:bookmarkStart w:id="769" w:name="_Ref4405634"/>
      <w:bookmarkStart w:id="770" w:name="_Toc4084338"/>
      <w:bookmarkStart w:id="771" w:name="_Toc10703749"/>
      <w:r>
        <w:lastRenderedPageBreak/>
        <w:t xml:space="preserve">Table </w:t>
      </w:r>
      <w:r>
        <w:rPr>
          <w:noProof/>
        </w:rPr>
        <w:fldChar w:fldCharType="begin"/>
      </w:r>
      <w:r>
        <w:rPr>
          <w:noProof/>
        </w:rPr>
        <w:instrText xml:space="preserve"> SEQ Table \* ARABIC </w:instrText>
      </w:r>
      <w:r>
        <w:rPr>
          <w:noProof/>
        </w:rPr>
        <w:fldChar w:fldCharType="separate"/>
      </w:r>
      <w:r w:rsidR="00EB4B02">
        <w:rPr>
          <w:noProof/>
        </w:rPr>
        <w:t>56</w:t>
      </w:r>
      <w:r>
        <w:rPr>
          <w:noProof/>
        </w:rPr>
        <w:fldChar w:fldCharType="end"/>
      </w:r>
      <w:bookmarkEnd w:id="769"/>
      <w:r>
        <w:t xml:space="preserve"> – Service Group Cost: </w:t>
      </w:r>
      <w:r w:rsidRPr="005B2158">
        <w:t xml:space="preserve">Medical </w:t>
      </w:r>
      <w:r>
        <w:t xml:space="preserve">fitness-to-drive </w:t>
      </w:r>
      <w:r w:rsidRPr="005B2158">
        <w:t>Review</w:t>
      </w:r>
      <w:bookmarkEnd w:id="770"/>
      <w:bookmarkEnd w:id="771"/>
    </w:p>
    <w:tbl>
      <w:tblPr>
        <w:tblStyle w:val="RIS-Table2"/>
        <w:tblW w:w="9497" w:type="dxa"/>
        <w:tblLook w:val="04A0" w:firstRow="1" w:lastRow="0" w:firstColumn="1" w:lastColumn="0" w:noHBand="0" w:noVBand="1"/>
      </w:tblPr>
      <w:tblGrid>
        <w:gridCol w:w="3686"/>
        <w:gridCol w:w="1134"/>
        <w:gridCol w:w="1134"/>
        <w:gridCol w:w="1134"/>
        <w:gridCol w:w="1134"/>
        <w:gridCol w:w="1275"/>
      </w:tblGrid>
      <w:tr w:rsidR="00370DA6" w:rsidRPr="00117C96" w14:paraId="34F26067" w14:textId="77777777" w:rsidTr="00832945">
        <w:trPr>
          <w:cnfStyle w:val="100000000000" w:firstRow="1" w:lastRow="0" w:firstColumn="0" w:lastColumn="0" w:oddVBand="0" w:evenVBand="0" w:oddHBand="0" w:evenHBand="0" w:firstRowFirstColumn="0" w:firstRowLastColumn="0" w:lastRowFirstColumn="0" w:lastRowLastColumn="0"/>
        </w:trPr>
        <w:tc>
          <w:tcPr>
            <w:tcW w:w="3686" w:type="dxa"/>
            <w:vMerge w:val="restart"/>
          </w:tcPr>
          <w:p w14:paraId="614F3EE7" w14:textId="77777777" w:rsidR="00370DA6" w:rsidRPr="00117C96" w:rsidRDefault="00370DA6" w:rsidP="004D6594">
            <w:pPr>
              <w:pStyle w:val="TableHeaders"/>
            </w:pPr>
            <w:r>
              <w:rPr>
                <w:rFonts w:cs="Segoe UI"/>
              </w:rPr>
              <w:t>Service Group</w:t>
            </w:r>
          </w:p>
        </w:tc>
        <w:tc>
          <w:tcPr>
            <w:tcW w:w="5811" w:type="dxa"/>
            <w:gridSpan w:val="5"/>
          </w:tcPr>
          <w:p w14:paraId="382D17AF" w14:textId="77777777" w:rsidR="00370DA6" w:rsidRPr="009E2537" w:rsidRDefault="00370DA6" w:rsidP="004D6594">
            <w:pPr>
              <w:pStyle w:val="TableHeaders"/>
            </w:pPr>
            <w:r w:rsidRPr="009E2537">
              <w:t>Costs $k (PV)</w:t>
            </w:r>
          </w:p>
        </w:tc>
      </w:tr>
      <w:tr w:rsidR="00370DA6" w:rsidRPr="00117C96" w14:paraId="5C75816D" w14:textId="77777777" w:rsidTr="00832945">
        <w:tc>
          <w:tcPr>
            <w:tcW w:w="3686" w:type="dxa"/>
            <w:vMerge/>
          </w:tcPr>
          <w:p w14:paraId="5169225D" w14:textId="77777777" w:rsidR="00370DA6" w:rsidRDefault="00370DA6" w:rsidP="004D6594">
            <w:pPr>
              <w:pStyle w:val="TableParagraph"/>
            </w:pPr>
          </w:p>
        </w:tc>
        <w:tc>
          <w:tcPr>
            <w:tcW w:w="1134" w:type="dxa"/>
            <w:shd w:val="clear" w:color="auto" w:fill="0A1F3F"/>
          </w:tcPr>
          <w:p w14:paraId="4958268C" w14:textId="77777777" w:rsidR="00370DA6" w:rsidRPr="009E2537" w:rsidRDefault="00370DA6" w:rsidP="004D6594">
            <w:pPr>
              <w:pStyle w:val="TableHeaders"/>
              <w:rPr>
                <w:b/>
              </w:rPr>
            </w:pPr>
            <w:r w:rsidRPr="009E2537">
              <w:rPr>
                <w:b/>
              </w:rPr>
              <w:t>FY19/20</w:t>
            </w:r>
          </w:p>
        </w:tc>
        <w:tc>
          <w:tcPr>
            <w:tcW w:w="1134" w:type="dxa"/>
            <w:shd w:val="clear" w:color="auto" w:fill="0A1F3F"/>
          </w:tcPr>
          <w:p w14:paraId="55CB9DC1" w14:textId="77777777" w:rsidR="00370DA6" w:rsidRPr="009E2537" w:rsidRDefault="00370DA6" w:rsidP="004D6594">
            <w:pPr>
              <w:pStyle w:val="TableHeaders"/>
              <w:rPr>
                <w:b/>
              </w:rPr>
            </w:pPr>
            <w:r w:rsidRPr="009E2537">
              <w:rPr>
                <w:b/>
              </w:rPr>
              <w:t>FY20/21</w:t>
            </w:r>
          </w:p>
        </w:tc>
        <w:tc>
          <w:tcPr>
            <w:tcW w:w="1134" w:type="dxa"/>
            <w:shd w:val="clear" w:color="auto" w:fill="0A1F3F"/>
          </w:tcPr>
          <w:p w14:paraId="7F6FC73B" w14:textId="77777777" w:rsidR="00370DA6" w:rsidRPr="009E2537" w:rsidRDefault="00370DA6" w:rsidP="004D6594">
            <w:pPr>
              <w:pStyle w:val="TableHeaders"/>
              <w:rPr>
                <w:b/>
              </w:rPr>
            </w:pPr>
            <w:r w:rsidRPr="009E2537">
              <w:rPr>
                <w:b/>
              </w:rPr>
              <w:t>FY21/22</w:t>
            </w:r>
          </w:p>
        </w:tc>
        <w:tc>
          <w:tcPr>
            <w:tcW w:w="1134" w:type="dxa"/>
            <w:shd w:val="clear" w:color="auto" w:fill="0A1F3F"/>
          </w:tcPr>
          <w:p w14:paraId="7E3B25A1" w14:textId="77777777" w:rsidR="00370DA6" w:rsidRPr="009E2537" w:rsidRDefault="00370DA6" w:rsidP="004D6594">
            <w:pPr>
              <w:pStyle w:val="TableHeaders"/>
              <w:rPr>
                <w:b/>
              </w:rPr>
            </w:pPr>
            <w:r w:rsidRPr="009E2537">
              <w:rPr>
                <w:b/>
              </w:rPr>
              <w:t>FY22/23</w:t>
            </w:r>
          </w:p>
        </w:tc>
        <w:tc>
          <w:tcPr>
            <w:tcW w:w="1275" w:type="dxa"/>
            <w:shd w:val="clear" w:color="auto" w:fill="0A1F3F"/>
          </w:tcPr>
          <w:p w14:paraId="3E1F93CA" w14:textId="77777777" w:rsidR="00370DA6" w:rsidRPr="009E2537" w:rsidRDefault="00370DA6" w:rsidP="004D6594">
            <w:pPr>
              <w:pStyle w:val="TableHeaders"/>
              <w:rPr>
                <w:b/>
              </w:rPr>
            </w:pPr>
            <w:r w:rsidRPr="009E2537">
              <w:rPr>
                <w:b/>
              </w:rPr>
              <w:t>Average</w:t>
            </w:r>
          </w:p>
        </w:tc>
      </w:tr>
      <w:tr w:rsidR="000E0615" w:rsidRPr="00117C96" w14:paraId="1BDDD5C4" w14:textId="77777777" w:rsidTr="00832945">
        <w:trPr>
          <w:cnfStyle w:val="000000010000" w:firstRow="0" w:lastRow="0" w:firstColumn="0" w:lastColumn="0" w:oddVBand="0" w:evenVBand="0" w:oddHBand="0" w:evenHBand="1" w:firstRowFirstColumn="0" w:firstRowLastColumn="0" w:lastRowFirstColumn="0" w:lastRowLastColumn="0"/>
        </w:trPr>
        <w:tc>
          <w:tcPr>
            <w:tcW w:w="3686" w:type="dxa"/>
          </w:tcPr>
          <w:p w14:paraId="22F312A8" w14:textId="77777777" w:rsidR="000E0615" w:rsidRDefault="000E0615" w:rsidP="000E0615">
            <w:pPr>
              <w:pStyle w:val="TableParagraph"/>
            </w:pPr>
            <w:r>
              <w:t>Medical fitness-to-drive Review</w:t>
            </w:r>
          </w:p>
        </w:tc>
        <w:tc>
          <w:tcPr>
            <w:tcW w:w="1134" w:type="dxa"/>
          </w:tcPr>
          <w:p w14:paraId="621F8BA0" w14:textId="7F29EDD0" w:rsidR="000E0615" w:rsidRPr="00B22B58" w:rsidRDefault="000E0615" w:rsidP="000E0615">
            <w:pPr>
              <w:pStyle w:val="TableParagraph"/>
              <w:ind w:right="170"/>
              <w:jc w:val="right"/>
            </w:pPr>
            <w:r w:rsidRPr="005B48C6">
              <w:t xml:space="preserve"> 6,680 </w:t>
            </w:r>
          </w:p>
        </w:tc>
        <w:tc>
          <w:tcPr>
            <w:tcW w:w="1134" w:type="dxa"/>
          </w:tcPr>
          <w:p w14:paraId="6F3C55BC" w14:textId="244B89AE" w:rsidR="000E0615" w:rsidRPr="00B22B58" w:rsidRDefault="000E0615" w:rsidP="000E0615">
            <w:pPr>
              <w:pStyle w:val="TableParagraph"/>
              <w:ind w:right="170"/>
              <w:jc w:val="right"/>
            </w:pPr>
            <w:r w:rsidRPr="005B48C6">
              <w:t xml:space="preserve"> 6,781 </w:t>
            </w:r>
          </w:p>
        </w:tc>
        <w:tc>
          <w:tcPr>
            <w:tcW w:w="1134" w:type="dxa"/>
          </w:tcPr>
          <w:p w14:paraId="78B1FA9D" w14:textId="37FA23BC" w:rsidR="000E0615" w:rsidRPr="00B22B58" w:rsidRDefault="000E0615" w:rsidP="000E0615">
            <w:pPr>
              <w:pStyle w:val="TableParagraph"/>
              <w:ind w:right="170"/>
              <w:jc w:val="right"/>
            </w:pPr>
            <w:r w:rsidRPr="005B48C6">
              <w:t xml:space="preserve"> 6,884 </w:t>
            </w:r>
          </w:p>
        </w:tc>
        <w:tc>
          <w:tcPr>
            <w:tcW w:w="1134" w:type="dxa"/>
          </w:tcPr>
          <w:p w14:paraId="5EE859D6" w14:textId="4A7337DC" w:rsidR="000E0615" w:rsidRPr="00B22B58" w:rsidRDefault="000E0615" w:rsidP="000E0615">
            <w:pPr>
              <w:pStyle w:val="TableParagraph"/>
              <w:ind w:right="170"/>
              <w:jc w:val="right"/>
            </w:pPr>
            <w:r w:rsidRPr="005B48C6">
              <w:t xml:space="preserve"> 6,990 </w:t>
            </w:r>
          </w:p>
        </w:tc>
        <w:tc>
          <w:tcPr>
            <w:tcW w:w="1275" w:type="dxa"/>
          </w:tcPr>
          <w:p w14:paraId="12CB49E0" w14:textId="582D80BF" w:rsidR="000E0615" w:rsidRPr="000E0615" w:rsidRDefault="000E0615" w:rsidP="000E0615">
            <w:pPr>
              <w:pStyle w:val="TableParagraph"/>
              <w:ind w:right="170"/>
              <w:jc w:val="right"/>
              <w:rPr>
                <w:b/>
              </w:rPr>
            </w:pPr>
            <w:r w:rsidRPr="000E0615">
              <w:rPr>
                <w:b/>
              </w:rPr>
              <w:t xml:space="preserve"> 6,834 </w:t>
            </w:r>
          </w:p>
        </w:tc>
      </w:tr>
    </w:tbl>
    <w:p w14:paraId="285E8D4E" w14:textId="77777777" w:rsidR="00370DA6" w:rsidRPr="00B238CA" w:rsidRDefault="00370DA6" w:rsidP="003511C7">
      <w:pPr>
        <w:pStyle w:val="TextPara"/>
        <w:spacing w:before="240"/>
      </w:pPr>
      <w:r w:rsidRPr="00B238CA">
        <w:t xml:space="preserve">Currently </w:t>
      </w:r>
      <w:r>
        <w:t>t</w:t>
      </w:r>
      <w:r w:rsidRPr="00B238CA">
        <w:t xml:space="preserve">here is no fee charged for </w:t>
      </w:r>
      <w:r w:rsidRPr="008422B1">
        <w:t>these</w:t>
      </w:r>
      <w:r w:rsidRPr="00B238CA">
        <w:t xml:space="preserve"> services. As such, this service requires funding from the Victorian Government unless there are opportunities to offset the shortfall</w:t>
      </w:r>
      <w:r>
        <w:t xml:space="preserve"> in cost recovery</w:t>
      </w:r>
      <w:r w:rsidRPr="00B238CA">
        <w:t>.</w:t>
      </w:r>
    </w:p>
    <w:p w14:paraId="4E5FBFA7" w14:textId="77777777" w:rsidR="00370DA6" w:rsidRDefault="00370DA6" w:rsidP="00370DA6">
      <w:pPr>
        <w:pStyle w:val="Heading3"/>
        <w:spacing w:before="240"/>
      </w:pPr>
      <w:bookmarkStart w:id="772" w:name="_Toc4084237"/>
      <w:bookmarkStart w:id="773" w:name="_Toc10703519"/>
      <w:r>
        <w:t>Cost Recovery Assessment</w:t>
      </w:r>
      <w:bookmarkEnd w:id="772"/>
      <w:bookmarkEnd w:id="773"/>
    </w:p>
    <w:p w14:paraId="4A484D19" w14:textId="69261E16" w:rsidR="00370DA6" w:rsidRDefault="00370DA6">
      <w:pPr>
        <w:pStyle w:val="TextPara"/>
      </w:pPr>
      <w:r w:rsidRPr="008422B1">
        <w:t>Applying DTF</w:t>
      </w:r>
      <w:r>
        <w:t>s</w:t>
      </w:r>
      <w:r w:rsidRPr="008422B1">
        <w:t xml:space="preserve"> </w:t>
      </w:r>
      <w:r>
        <w:t xml:space="preserve">full </w:t>
      </w:r>
      <w:r w:rsidRPr="008422B1">
        <w:t>cost recovery</w:t>
      </w:r>
      <w:r>
        <w:t xml:space="preserve"> objective</w:t>
      </w:r>
      <w:r w:rsidRPr="008422B1">
        <w:t xml:space="preserve">, </w:t>
      </w:r>
      <w:r>
        <w:t>consumers of these services should bear the</w:t>
      </w:r>
      <w:r w:rsidRPr="008422B1">
        <w:t xml:space="preserve"> total cost to deliver these services</w:t>
      </w:r>
      <w:r>
        <w:t>. This would result in the imposition of a fee which equates to $</w:t>
      </w:r>
      <w:r w:rsidR="000E0615">
        <w:t>81.35</w:t>
      </w:r>
      <w:r>
        <w:t xml:space="preserve"> per case managed.</w:t>
      </w:r>
      <w:r w:rsidRPr="00CC446E">
        <w:t xml:space="preserve"> </w:t>
      </w:r>
    </w:p>
    <w:p w14:paraId="52C29358" w14:textId="77777777" w:rsidR="00370DA6" w:rsidRDefault="00370DA6" w:rsidP="00370DA6">
      <w:pPr>
        <w:pStyle w:val="TextPara"/>
        <w:keepNext/>
      </w:pPr>
      <w:r>
        <w:t>The assessment criteria were applied to the charging of these fees as follows:</w:t>
      </w:r>
    </w:p>
    <w:p w14:paraId="0D9B79F4" w14:textId="77777777" w:rsidR="00370DA6" w:rsidRDefault="00370DA6" w:rsidP="00370DA6">
      <w:pPr>
        <w:pStyle w:val="NoSpacing"/>
      </w:pPr>
      <w:r w:rsidRPr="00B238CA">
        <w:t>Operational Efficiency</w:t>
      </w:r>
    </w:p>
    <w:p w14:paraId="20A23718" w14:textId="1F684666" w:rsidR="00370DA6" w:rsidRDefault="00370DA6" w:rsidP="00370DA6">
      <w:pPr>
        <w:pStyle w:val="TextPara"/>
      </w:pPr>
      <w:r>
        <w:t xml:space="preserve">DoT considers that this service is delivered efficiently. This service is delivered through a case management system with a high level of automation including the online capture of notifications direct from medical practitioners, scheduling of periodic reviews, and the sending of notifications and reminders to customers about medical report requirements. The system routes high risk notifications to specialist staff for priority review and intervention to ensure that risks to road safety are addressed without delay. </w:t>
      </w:r>
    </w:p>
    <w:p w14:paraId="4B536061" w14:textId="77777777" w:rsidR="00370DA6" w:rsidRDefault="00370DA6" w:rsidP="00370DA6">
      <w:pPr>
        <w:pStyle w:val="NoSpacing"/>
      </w:pPr>
      <w:r w:rsidRPr="00B238CA">
        <w:t xml:space="preserve">Simplicity </w:t>
      </w:r>
    </w:p>
    <w:p w14:paraId="58A553B6" w14:textId="0F71A180" w:rsidR="00370DA6" w:rsidRPr="00B238CA" w:rsidRDefault="00370DA6" w:rsidP="00370DA6">
      <w:pPr>
        <w:pStyle w:val="TextPara"/>
      </w:pPr>
      <w:r>
        <w:t xml:space="preserve">Charging a fee would be impractical and problematic due to the nature of medical review notifications. Notifications come from several sources including anonymous persons, the police, health professionals and family members. It </w:t>
      </w:r>
      <w:r w:rsidR="00E3466E">
        <w:t>c</w:t>
      </w:r>
      <w:r>
        <w:t xml:space="preserve">ould be difficult </w:t>
      </w:r>
      <w:r w:rsidR="00E3466E">
        <w:t xml:space="preserve">to obtain fees in some cases </w:t>
      </w:r>
      <w:r w:rsidR="00715878">
        <w:t xml:space="preserve">and </w:t>
      </w:r>
      <w:r w:rsidR="00E3466E">
        <w:t>to determine</w:t>
      </w:r>
      <w:r w:rsidR="00071716">
        <w:t xml:space="preserve"> </w:t>
      </w:r>
      <w:r>
        <w:t>what happens when no payment is received, complicating the processing of serious cases and</w:t>
      </w:r>
      <w:r w:rsidR="00071716">
        <w:t xml:space="preserve"> potentially</w:t>
      </w:r>
      <w:r>
        <w:t xml:space="preserve"> posing a risk to road safety. </w:t>
      </w:r>
    </w:p>
    <w:p w14:paraId="59894B3A" w14:textId="77777777" w:rsidR="00370DA6" w:rsidRDefault="00370DA6" w:rsidP="00370DA6">
      <w:pPr>
        <w:pStyle w:val="NoSpacing"/>
      </w:pPr>
      <w:r w:rsidRPr="00B238CA">
        <w:t>Customer Behaviours</w:t>
      </w:r>
    </w:p>
    <w:p w14:paraId="0317CF4F" w14:textId="77777777" w:rsidR="00370DA6" w:rsidRDefault="00370DA6" w:rsidP="008422B1">
      <w:pPr>
        <w:pStyle w:val="TextPara"/>
      </w:pPr>
      <w:r>
        <w:t xml:space="preserve">Charging a fee </w:t>
      </w:r>
      <w:r w:rsidRPr="008422B1">
        <w:t>is</w:t>
      </w:r>
      <w:r w:rsidRPr="006363B0">
        <w:t xml:space="preserve"> likely to dissuade customers from self-reporting or </w:t>
      </w:r>
      <w:r>
        <w:t>anonymous persons, health professionals and family members</w:t>
      </w:r>
      <w:r w:rsidRPr="006363B0">
        <w:t xml:space="preserve"> to notify of a need to undertake a </w:t>
      </w:r>
      <w:r>
        <w:t xml:space="preserve">medical </w:t>
      </w:r>
      <w:r w:rsidRPr="006363B0">
        <w:t>review. As this service results in better road safety outcome</w:t>
      </w:r>
      <w:r>
        <w:t>s</w:t>
      </w:r>
      <w:r w:rsidRPr="006363B0">
        <w:t xml:space="preserve"> by managing or suspending drivers at risk, the whole community benefits.</w:t>
      </w:r>
    </w:p>
    <w:p w14:paraId="4378B801" w14:textId="77777777" w:rsidR="00370DA6" w:rsidRDefault="00370DA6" w:rsidP="00370DA6">
      <w:pPr>
        <w:pStyle w:val="NoSpacing"/>
      </w:pPr>
      <w:r w:rsidRPr="003E2451">
        <w:t>Equity</w:t>
      </w:r>
    </w:p>
    <w:p w14:paraId="0937E1F3" w14:textId="77777777" w:rsidR="00370DA6" w:rsidRDefault="00370DA6" w:rsidP="00370DA6">
      <w:pPr>
        <w:pStyle w:val="TextPara"/>
      </w:pPr>
      <w:r>
        <w:t xml:space="preserve">Charging a fee to the driver involved or persons (anonymous persons, the Police, health professionals and family members) who notify VicRoads would not be equitable as the beneficiary of this service is the broader community through enhanced driver safety. The service ensures that drivers and motorcycle riders, whose medical condition poses a road safety risk, have their conditions assessed and regularly monitored. Some of these drivers and riders may be required to discontinue driving temporarily (until their medical condition is properly assessed) or permanently. </w:t>
      </w:r>
    </w:p>
    <w:p w14:paraId="3FE3DAC1" w14:textId="77777777" w:rsidR="00370DA6" w:rsidRPr="0057005A" w:rsidRDefault="00370DA6" w:rsidP="00370DA6">
      <w:pPr>
        <w:pStyle w:val="Heading3"/>
        <w:spacing w:before="240"/>
      </w:pPr>
      <w:bookmarkStart w:id="774" w:name="_Toc4084238"/>
      <w:bookmarkStart w:id="775" w:name="_Toc10703520"/>
      <w:r w:rsidRPr="0057005A">
        <w:t>Proposal</w:t>
      </w:r>
      <w:bookmarkEnd w:id="774"/>
      <w:bookmarkEnd w:id="775"/>
    </w:p>
    <w:p w14:paraId="234BEFCA" w14:textId="77777777" w:rsidR="00FA591F" w:rsidRDefault="00370DA6" w:rsidP="00FA591F">
      <w:pPr>
        <w:pStyle w:val="TextPara"/>
      </w:pPr>
      <w:r>
        <w:t>The above analysis suggests that full or partial cost recovery should not be applied to th</w:t>
      </w:r>
      <w:r w:rsidR="003A7036">
        <w:t>i</w:t>
      </w:r>
      <w:r>
        <w:t>s service</w:t>
      </w:r>
      <w:r w:rsidR="003A7036">
        <w:t xml:space="preserve"> </w:t>
      </w:r>
      <w:r w:rsidR="00FA591F">
        <w:t xml:space="preserve">as it would be a disincentive for the notification </w:t>
      </w:r>
      <w:r w:rsidR="00C95E5A">
        <w:t xml:space="preserve">by the driver and other parties </w:t>
      </w:r>
      <w:r w:rsidR="00FA591F">
        <w:t>and, as a result, undermine the road safety objective of the fitness to drive assessment.</w:t>
      </w:r>
    </w:p>
    <w:p w14:paraId="333ACB69" w14:textId="77777777" w:rsidR="00370DA6" w:rsidRDefault="00C95E5A" w:rsidP="00370DA6">
      <w:pPr>
        <w:pStyle w:val="TextPara"/>
        <w:rPr>
          <w:rFonts w:cs="Segoe UI"/>
          <w:szCs w:val="20"/>
        </w:rPr>
      </w:pPr>
      <w:r>
        <w:t xml:space="preserve">The </w:t>
      </w:r>
      <w:r w:rsidR="00370DA6">
        <w:t>government intends to continue to absorb the cost of medical reviews and not impose any fees for this service</w:t>
      </w:r>
      <w:r w:rsidRPr="00C95E5A">
        <w:t xml:space="preserve"> </w:t>
      </w:r>
      <w:r>
        <w:t xml:space="preserve">in order to encourage the reporting to VicRoads of medical conditions that may impair drivers’ </w:t>
      </w:r>
      <w:r>
        <w:lastRenderedPageBreak/>
        <w:t>fitness to drive</w:t>
      </w:r>
      <w:r w:rsidR="00370DA6">
        <w:t xml:space="preserve">. Accordingly, DoT proposes </w:t>
      </w:r>
      <w:r w:rsidR="00370DA6" w:rsidRPr="003E2451">
        <w:t xml:space="preserve">that </w:t>
      </w:r>
      <w:r w:rsidR="00370DA6" w:rsidRPr="00615BF4">
        <w:rPr>
          <w:rFonts w:cs="Segoe UI"/>
          <w:szCs w:val="20"/>
        </w:rPr>
        <w:t>no fees be charged for th</w:t>
      </w:r>
      <w:r w:rsidR="00370DA6">
        <w:rPr>
          <w:rFonts w:cs="Segoe UI"/>
          <w:szCs w:val="20"/>
        </w:rPr>
        <w:t>is</w:t>
      </w:r>
      <w:r w:rsidR="00370DA6" w:rsidRPr="00615BF4">
        <w:rPr>
          <w:rFonts w:cs="Segoe UI"/>
          <w:szCs w:val="20"/>
        </w:rPr>
        <w:t xml:space="preserve"> service in the proposed Regulations.</w:t>
      </w:r>
    </w:p>
    <w:p w14:paraId="46FD8D44" w14:textId="77777777" w:rsidR="00370DA6" w:rsidRDefault="00370DA6" w:rsidP="00370DA6">
      <w:pPr>
        <w:pStyle w:val="Heading2"/>
        <w:spacing w:before="240" w:after="180"/>
      </w:pPr>
      <w:bookmarkStart w:id="776" w:name="_Toc4577702"/>
      <w:bookmarkStart w:id="777" w:name="_Toc4084239"/>
      <w:bookmarkStart w:id="778" w:name="_Ref4428563"/>
      <w:bookmarkStart w:id="779" w:name="_Ref4428577"/>
      <w:bookmarkStart w:id="780" w:name="_Toc10703521"/>
      <w:bookmarkEnd w:id="776"/>
      <w:r w:rsidRPr="00117C96">
        <w:t>L</w:t>
      </w:r>
      <w:r w:rsidR="00A60801">
        <w:t>earner Permit a</w:t>
      </w:r>
      <w:r>
        <w:t xml:space="preserve">nd </w:t>
      </w:r>
      <w:r w:rsidR="00A60801">
        <w:t>Licence</w:t>
      </w:r>
      <w:r w:rsidRPr="00117C96">
        <w:t xml:space="preserve"> Testing</w:t>
      </w:r>
      <w:bookmarkEnd w:id="777"/>
      <w:bookmarkEnd w:id="778"/>
      <w:bookmarkEnd w:id="779"/>
      <w:bookmarkEnd w:id="780"/>
    </w:p>
    <w:p w14:paraId="082135C2" w14:textId="1BB2BCB5" w:rsidR="00370DA6" w:rsidRPr="005605DF" w:rsidRDefault="00370DA6" w:rsidP="009C2836">
      <w:pPr>
        <w:pStyle w:val="TextPara"/>
        <w:spacing w:before="0" w:line="276" w:lineRule="auto"/>
        <w:rPr>
          <w:rFonts w:cs="Segoe UI"/>
        </w:rPr>
      </w:pPr>
      <w:r w:rsidRPr="00EB33DD">
        <w:rPr>
          <w:rFonts w:cs="Segoe UI"/>
          <w:szCs w:val="20"/>
        </w:rPr>
        <w:t xml:space="preserve">The </w:t>
      </w:r>
      <w:r w:rsidR="00202707">
        <w:rPr>
          <w:rFonts w:cs="Segoe UI"/>
          <w:szCs w:val="20"/>
        </w:rPr>
        <w:t xml:space="preserve">forecast average </w:t>
      </w:r>
      <w:r>
        <w:rPr>
          <w:rFonts w:cs="Segoe UI"/>
          <w:szCs w:val="20"/>
        </w:rPr>
        <w:t xml:space="preserve">annual cost of providing the services supporting licence and learner permit </w:t>
      </w:r>
      <w:r w:rsidRPr="00295C58">
        <w:rPr>
          <w:rFonts w:cs="Segoe UI"/>
          <w:szCs w:val="20"/>
        </w:rPr>
        <w:t>testing is $</w:t>
      </w:r>
      <w:r w:rsidR="000E0615">
        <w:rPr>
          <w:rFonts w:cs="Segoe UI"/>
          <w:szCs w:val="20"/>
        </w:rPr>
        <w:t>40.94</w:t>
      </w:r>
      <w:r w:rsidRPr="00295C58">
        <w:rPr>
          <w:rFonts w:cs="Segoe UI"/>
          <w:szCs w:val="20"/>
        </w:rPr>
        <w:t>m</w:t>
      </w:r>
      <w:r w:rsidR="00202707">
        <w:rPr>
          <w:rFonts w:cs="Segoe UI"/>
          <w:szCs w:val="20"/>
        </w:rPr>
        <w:t xml:space="preserve"> (PV)</w:t>
      </w:r>
      <w:r w:rsidRPr="00295C58">
        <w:rPr>
          <w:rFonts w:cs="Segoe UI"/>
          <w:szCs w:val="20"/>
        </w:rPr>
        <w:t>. This</w:t>
      </w:r>
      <w:r>
        <w:rPr>
          <w:rFonts w:cs="Segoe UI"/>
          <w:szCs w:val="20"/>
        </w:rPr>
        <w:t xml:space="preserve"> Services Group supports </w:t>
      </w:r>
      <w:r w:rsidRPr="005605DF">
        <w:rPr>
          <w:rFonts w:cs="Segoe UI"/>
        </w:rPr>
        <w:t>approximately 144,000 drive tests and 261,000 computer</w:t>
      </w:r>
      <w:r w:rsidR="009775F1">
        <w:rPr>
          <w:rFonts w:cs="Segoe UI"/>
        </w:rPr>
        <w:t>-b</w:t>
      </w:r>
      <w:r w:rsidRPr="005605DF">
        <w:rPr>
          <w:rFonts w:cs="Segoe UI"/>
        </w:rPr>
        <w:t xml:space="preserve">ased tests. </w:t>
      </w:r>
    </w:p>
    <w:p w14:paraId="7D1814F6" w14:textId="77777777" w:rsidR="00370DA6" w:rsidRPr="00B238CA" w:rsidRDefault="00370DA6" w:rsidP="009C2836">
      <w:pPr>
        <w:pStyle w:val="TextPara"/>
        <w:spacing w:before="0" w:line="276" w:lineRule="auto"/>
        <w:rPr>
          <w:rFonts w:cs="Segoe UI"/>
          <w:szCs w:val="20"/>
        </w:rPr>
      </w:pPr>
      <w:r w:rsidRPr="00B238CA">
        <w:rPr>
          <w:rFonts w:cs="Segoe UI"/>
          <w:szCs w:val="20"/>
        </w:rPr>
        <w:t xml:space="preserve">An overview of this </w:t>
      </w:r>
      <w:r>
        <w:rPr>
          <w:rFonts w:cs="Segoe UI"/>
          <w:szCs w:val="20"/>
        </w:rPr>
        <w:t>Services Group’s</w:t>
      </w:r>
      <w:r w:rsidRPr="00B238CA">
        <w:rPr>
          <w:rFonts w:cs="Segoe UI"/>
          <w:szCs w:val="20"/>
        </w:rPr>
        <w:t xml:space="preserve"> </w:t>
      </w:r>
      <w:r>
        <w:rPr>
          <w:rFonts w:cs="Segoe UI"/>
          <w:szCs w:val="20"/>
        </w:rPr>
        <w:t>activities, costs and fee income</w:t>
      </w:r>
      <w:r w:rsidRPr="00B238CA">
        <w:rPr>
          <w:rFonts w:cs="Segoe UI"/>
          <w:szCs w:val="20"/>
        </w:rPr>
        <w:t xml:space="preserve"> together with an assessment of options for cost recovery (against the DTF cost recovery principles) and the proposed fee outcome is outlined in the remainder of this section.</w:t>
      </w:r>
    </w:p>
    <w:p w14:paraId="1FE91821" w14:textId="77777777" w:rsidR="00370DA6" w:rsidRPr="00D10B59" w:rsidRDefault="00370DA6" w:rsidP="00370DA6">
      <w:pPr>
        <w:pStyle w:val="Heading3"/>
        <w:spacing w:before="240"/>
      </w:pPr>
      <w:bookmarkStart w:id="781" w:name="_Toc4084240"/>
      <w:bookmarkStart w:id="782" w:name="_Toc10703522"/>
      <w:r w:rsidRPr="00D10B59">
        <w:t>Service Overview</w:t>
      </w:r>
      <w:bookmarkEnd w:id="781"/>
      <w:bookmarkEnd w:id="782"/>
    </w:p>
    <w:p w14:paraId="4C4F8015" w14:textId="562E125E" w:rsidR="00370DA6" w:rsidRPr="00342389" w:rsidRDefault="00CA0DB4" w:rsidP="00DF3451">
      <w:pPr>
        <w:pStyle w:val="TextPara"/>
      </w:pPr>
      <w:r>
        <w:fldChar w:fldCharType="begin"/>
      </w:r>
      <w:r>
        <w:instrText xml:space="preserve"> REF _Ref4414630 \h </w:instrText>
      </w:r>
      <w:r>
        <w:fldChar w:fldCharType="separate"/>
      </w:r>
      <w:r w:rsidR="00EB4B02">
        <w:t xml:space="preserve">Table </w:t>
      </w:r>
      <w:r w:rsidR="00EB4B02">
        <w:rPr>
          <w:noProof/>
        </w:rPr>
        <w:t>57</w:t>
      </w:r>
      <w:r>
        <w:fldChar w:fldCharType="end"/>
      </w:r>
      <w:r>
        <w:t xml:space="preserve"> </w:t>
      </w:r>
      <w:r w:rsidR="00370DA6">
        <w:t xml:space="preserve">provides a description of the activities associated with the </w:t>
      </w:r>
      <w:r w:rsidR="00DD5CB7">
        <w:t>learner p</w:t>
      </w:r>
      <w:r w:rsidR="00DD5CB7" w:rsidRPr="003D0B5A">
        <w:t xml:space="preserve">ermit </w:t>
      </w:r>
      <w:r w:rsidR="00370DA6">
        <w:t xml:space="preserve">and </w:t>
      </w:r>
      <w:r w:rsidR="00DD5CB7">
        <w:t>driver l</w:t>
      </w:r>
      <w:r w:rsidR="00DD5CB7" w:rsidRPr="003D0B5A">
        <w:t>icence</w:t>
      </w:r>
      <w:r w:rsidR="00DD5CB7">
        <w:t xml:space="preserve"> </w:t>
      </w:r>
      <w:r w:rsidR="00370DA6">
        <w:t>a</w:t>
      </w:r>
      <w:r w:rsidR="00370DA6" w:rsidRPr="003D0B5A">
        <w:t xml:space="preserve">ppointments </w:t>
      </w:r>
      <w:r w:rsidR="00370DA6">
        <w:t>and t</w:t>
      </w:r>
      <w:r w:rsidR="00370DA6" w:rsidRPr="003D0B5A">
        <w:t xml:space="preserve">esting </w:t>
      </w:r>
      <w:r w:rsidR="00370DA6">
        <w:t>services.</w:t>
      </w:r>
    </w:p>
    <w:p w14:paraId="20F17428" w14:textId="3824CBB6" w:rsidR="00370DA6" w:rsidRDefault="00370DA6" w:rsidP="00AA0BBA">
      <w:pPr>
        <w:pStyle w:val="Caption"/>
      </w:pPr>
      <w:bookmarkStart w:id="783" w:name="_Ref4414630"/>
      <w:bookmarkStart w:id="784" w:name="_Toc4084339"/>
      <w:bookmarkStart w:id="785" w:name="_Toc10703750"/>
      <w:r>
        <w:t xml:space="preserve">Table </w:t>
      </w:r>
      <w:r>
        <w:rPr>
          <w:noProof/>
        </w:rPr>
        <w:fldChar w:fldCharType="begin"/>
      </w:r>
      <w:r>
        <w:rPr>
          <w:noProof/>
        </w:rPr>
        <w:instrText xml:space="preserve"> SEQ Table \* ARABIC </w:instrText>
      </w:r>
      <w:r>
        <w:rPr>
          <w:noProof/>
        </w:rPr>
        <w:fldChar w:fldCharType="separate"/>
      </w:r>
      <w:r w:rsidR="00EB4B02">
        <w:rPr>
          <w:noProof/>
        </w:rPr>
        <w:t>57</w:t>
      </w:r>
      <w:r>
        <w:rPr>
          <w:noProof/>
        </w:rPr>
        <w:fldChar w:fldCharType="end"/>
      </w:r>
      <w:bookmarkEnd w:id="783"/>
      <w:r>
        <w:t xml:space="preserve"> – </w:t>
      </w:r>
      <w:r w:rsidRPr="003C4CEF">
        <w:t xml:space="preserve">Services </w:t>
      </w:r>
      <w:r>
        <w:t xml:space="preserve">Activities: </w:t>
      </w:r>
      <w:r w:rsidR="00DD5CB7">
        <w:t xml:space="preserve">Learner Permit </w:t>
      </w:r>
      <w:r>
        <w:t xml:space="preserve">and </w:t>
      </w:r>
      <w:r w:rsidR="00DD5CB7" w:rsidRPr="005B2158">
        <w:t>Licence</w:t>
      </w:r>
      <w:r w:rsidR="00DD5CB7">
        <w:t xml:space="preserve"> </w:t>
      </w:r>
      <w:r w:rsidRPr="005B2158">
        <w:t>Testing</w:t>
      </w:r>
      <w:bookmarkEnd w:id="784"/>
      <w:bookmarkEnd w:id="785"/>
    </w:p>
    <w:tbl>
      <w:tblPr>
        <w:tblStyle w:val="RIS-Table2"/>
        <w:tblW w:w="9498" w:type="dxa"/>
        <w:tblLayout w:type="fixed"/>
        <w:tblLook w:val="04A0" w:firstRow="1" w:lastRow="0" w:firstColumn="1" w:lastColumn="0" w:noHBand="0" w:noVBand="1"/>
      </w:tblPr>
      <w:tblGrid>
        <w:gridCol w:w="2268"/>
        <w:gridCol w:w="7230"/>
      </w:tblGrid>
      <w:tr w:rsidR="00370DA6" w:rsidRPr="00117C96" w14:paraId="645F2A53" w14:textId="77777777" w:rsidTr="00832945">
        <w:trPr>
          <w:cnfStyle w:val="100000000000" w:firstRow="1" w:lastRow="0" w:firstColumn="0" w:lastColumn="0" w:oddVBand="0" w:evenVBand="0" w:oddHBand="0" w:evenHBand="0" w:firstRowFirstColumn="0" w:firstRowLastColumn="0" w:lastRowFirstColumn="0" w:lastRowLastColumn="0"/>
        </w:trPr>
        <w:tc>
          <w:tcPr>
            <w:tcW w:w="2268" w:type="dxa"/>
          </w:tcPr>
          <w:p w14:paraId="6A01E3CB" w14:textId="77777777" w:rsidR="00370DA6" w:rsidRPr="00117C96" w:rsidRDefault="00370DA6" w:rsidP="003E4B06">
            <w:pPr>
              <w:pStyle w:val="TableHeaders"/>
            </w:pPr>
            <w:r w:rsidRPr="00B238CA">
              <w:rPr>
                <w:rFonts w:cs="Segoe UI"/>
              </w:rPr>
              <w:t xml:space="preserve">Services </w:t>
            </w:r>
          </w:p>
        </w:tc>
        <w:tc>
          <w:tcPr>
            <w:tcW w:w="7230" w:type="dxa"/>
          </w:tcPr>
          <w:p w14:paraId="658CC49A" w14:textId="77777777" w:rsidR="00370DA6" w:rsidRPr="00117C96" w:rsidRDefault="00370DA6" w:rsidP="003E4B06">
            <w:pPr>
              <w:pStyle w:val="TableHeaders"/>
            </w:pPr>
            <w:r w:rsidRPr="00B238CA">
              <w:rPr>
                <w:rFonts w:cs="Segoe UI"/>
                <w:szCs w:val="18"/>
              </w:rPr>
              <w:t>Activities</w:t>
            </w:r>
          </w:p>
        </w:tc>
      </w:tr>
      <w:tr w:rsidR="00370DA6" w:rsidRPr="004C43BB" w14:paraId="7B533075" w14:textId="77777777" w:rsidTr="00832945">
        <w:tc>
          <w:tcPr>
            <w:tcW w:w="2268" w:type="dxa"/>
          </w:tcPr>
          <w:p w14:paraId="31E79EF3" w14:textId="77777777" w:rsidR="00370DA6" w:rsidRPr="002514FB" w:rsidRDefault="00DD5CB7" w:rsidP="006B6D5C">
            <w:pPr>
              <w:pStyle w:val="TableParagraph"/>
              <w:rPr>
                <w:b/>
              </w:rPr>
            </w:pPr>
            <w:r w:rsidRPr="002514FB">
              <w:rPr>
                <w:rFonts w:cs="Segoe UI"/>
                <w:b/>
                <w:szCs w:val="18"/>
              </w:rPr>
              <w:t xml:space="preserve">Learner Permit </w:t>
            </w:r>
            <w:r w:rsidR="00370DA6" w:rsidRPr="002514FB">
              <w:rPr>
                <w:rFonts w:cs="Segoe UI"/>
                <w:b/>
                <w:szCs w:val="18"/>
              </w:rPr>
              <w:t xml:space="preserve">and </w:t>
            </w:r>
            <w:r w:rsidRPr="002514FB">
              <w:rPr>
                <w:rFonts w:cs="Segoe UI"/>
                <w:b/>
                <w:szCs w:val="18"/>
              </w:rPr>
              <w:t xml:space="preserve">Licence </w:t>
            </w:r>
            <w:r w:rsidR="00370DA6" w:rsidRPr="002514FB">
              <w:rPr>
                <w:rFonts w:cs="Segoe UI"/>
                <w:b/>
                <w:szCs w:val="18"/>
              </w:rPr>
              <w:t xml:space="preserve">testing </w:t>
            </w:r>
          </w:p>
        </w:tc>
        <w:tc>
          <w:tcPr>
            <w:tcW w:w="7230" w:type="dxa"/>
          </w:tcPr>
          <w:p w14:paraId="1DC9A03A" w14:textId="77777777" w:rsidR="00370DA6" w:rsidRPr="003E3029" w:rsidRDefault="00370DA6" w:rsidP="00370DA6">
            <w:pPr>
              <w:pStyle w:val="TableList1"/>
              <w:ind w:left="360" w:hanging="360"/>
            </w:pPr>
            <w:r w:rsidRPr="00FE1F23">
              <w:t xml:space="preserve">Conduct evidence of identity check (in person at a CSC, or by telephone with the Call </w:t>
            </w:r>
            <w:r w:rsidRPr="003E3029">
              <w:t>Centre) to confirm identity of the customer. If new customer, create the customer record in DLS</w:t>
            </w:r>
          </w:p>
          <w:p w14:paraId="5B14A3A4" w14:textId="77777777" w:rsidR="00370DA6" w:rsidRPr="003E3029" w:rsidRDefault="00370DA6" w:rsidP="00370DA6">
            <w:pPr>
              <w:pStyle w:val="TableList1"/>
              <w:ind w:left="360" w:hanging="360"/>
            </w:pPr>
            <w:r w:rsidRPr="003E3029">
              <w:t>Advise on process, rules and schedule appointment for the customer to undertake the test, and process payment for the appointment and test</w:t>
            </w:r>
          </w:p>
          <w:p w14:paraId="41D6AADC" w14:textId="77777777" w:rsidR="00370DA6" w:rsidRDefault="00370DA6" w:rsidP="00370DA6">
            <w:pPr>
              <w:pStyle w:val="TableList1"/>
              <w:ind w:left="360" w:hanging="360"/>
            </w:pPr>
            <w:r w:rsidRPr="003E3029">
              <w:t>At appointment, conduct evidence of identity check to confirm identity of the customer and co</w:t>
            </w:r>
            <w:r>
              <w:t>nfirm test required:</w:t>
            </w:r>
          </w:p>
          <w:p w14:paraId="6365A36B" w14:textId="77777777" w:rsidR="00370DA6" w:rsidRDefault="00370DA6" w:rsidP="00265CBE">
            <w:pPr>
              <w:pStyle w:val="TableList2"/>
            </w:pPr>
            <w:r>
              <w:t>Test the learner permit applicant on road rules using the computerised Knowledge Test</w:t>
            </w:r>
          </w:p>
          <w:p w14:paraId="4D3B367B" w14:textId="77777777" w:rsidR="00370DA6" w:rsidRDefault="00370DA6" w:rsidP="00457BB1">
            <w:pPr>
              <w:pStyle w:val="TableList2"/>
            </w:pPr>
            <w:r>
              <w:t>Test the probationary licence applicant on their ability to perceive hazards using the computerised Hazard Perception Test</w:t>
            </w:r>
          </w:p>
          <w:p w14:paraId="73A5FB20" w14:textId="77777777" w:rsidR="00370DA6" w:rsidRDefault="00370DA6" w:rsidP="00457BB1">
            <w:pPr>
              <w:pStyle w:val="TableList2"/>
            </w:pPr>
            <w:r>
              <w:t>Test the probationary licence applicant on their ability to drive safely on the road using the Drive Test</w:t>
            </w:r>
          </w:p>
          <w:p w14:paraId="419FF0CA" w14:textId="77777777" w:rsidR="00370DA6" w:rsidRPr="00DC119C" w:rsidRDefault="00370DA6" w:rsidP="00285F85">
            <w:pPr>
              <w:pStyle w:val="TableList2"/>
            </w:pPr>
            <w:r>
              <w:t>Engage i</w:t>
            </w:r>
            <w:r w:rsidRPr="00DC119C">
              <w:t xml:space="preserve">nterpreters </w:t>
            </w:r>
            <w:r>
              <w:t>to assist applicants as required</w:t>
            </w:r>
          </w:p>
          <w:p w14:paraId="2FE53A18" w14:textId="77777777" w:rsidR="00370DA6" w:rsidRPr="00EB4019" w:rsidRDefault="00370DA6" w:rsidP="007A0FCA">
            <w:pPr>
              <w:pStyle w:val="TableList2"/>
            </w:pPr>
            <w:r w:rsidRPr="00DC119C">
              <w:t>Motorcycle and heavy vehicles testing is conducted by service providers with assessment data forwarded to VicRoads for entitlement recording and licence issue. Occasionally, when an applicant does not pass a heavy vehicle knowledge test at an approved provider, they are required to attend a VicRoads CSC to sit and successfully pass the test. A motorcycle licence applicant who does not hold a Victorian car licence is required to attend a VicRoads CSC to sit and successfully pass the Hazard Perception Test</w:t>
            </w:r>
          </w:p>
          <w:p w14:paraId="07F273DA" w14:textId="77777777" w:rsidR="00370DA6" w:rsidRPr="00FE1F23" w:rsidRDefault="00370DA6" w:rsidP="00370DA6">
            <w:pPr>
              <w:pStyle w:val="TableList1"/>
              <w:ind w:left="360" w:hanging="360"/>
            </w:pPr>
            <w:r>
              <w:t>Advise applicant of test outcome and next steps</w:t>
            </w:r>
          </w:p>
        </w:tc>
      </w:tr>
    </w:tbl>
    <w:p w14:paraId="4176F689" w14:textId="77777777" w:rsidR="00370DA6" w:rsidRDefault="00370DA6" w:rsidP="00DF3451"/>
    <w:p w14:paraId="0BDCAD54" w14:textId="1AAE372E" w:rsidR="00370DA6" w:rsidRPr="006422C4" w:rsidRDefault="00CA0DB4" w:rsidP="006422C4">
      <w:pPr>
        <w:pStyle w:val="TextPara"/>
        <w:spacing w:before="0" w:line="276" w:lineRule="auto"/>
        <w:rPr>
          <w:rFonts w:cs="Segoe UI"/>
          <w:szCs w:val="20"/>
        </w:rPr>
      </w:pPr>
      <w:r>
        <w:rPr>
          <w:rFonts w:cs="Segoe UI"/>
          <w:szCs w:val="20"/>
        </w:rPr>
        <w:fldChar w:fldCharType="begin"/>
      </w:r>
      <w:r>
        <w:rPr>
          <w:rFonts w:cs="Segoe UI"/>
          <w:szCs w:val="20"/>
        </w:rPr>
        <w:instrText xml:space="preserve"> REF _Ref4414649 \h </w:instrText>
      </w:r>
      <w:r>
        <w:rPr>
          <w:rFonts w:cs="Segoe UI"/>
          <w:szCs w:val="20"/>
        </w:rPr>
      </w:r>
      <w:r>
        <w:rPr>
          <w:rFonts w:cs="Segoe UI"/>
          <w:szCs w:val="20"/>
        </w:rPr>
        <w:fldChar w:fldCharType="separate"/>
      </w:r>
      <w:r w:rsidR="00EB4B02">
        <w:t xml:space="preserve">Table </w:t>
      </w:r>
      <w:r w:rsidR="00EB4B02">
        <w:rPr>
          <w:noProof/>
        </w:rPr>
        <w:t>58</w:t>
      </w:r>
      <w:r>
        <w:rPr>
          <w:rFonts w:cs="Segoe UI"/>
          <w:szCs w:val="20"/>
        </w:rPr>
        <w:fldChar w:fldCharType="end"/>
      </w:r>
      <w:r>
        <w:rPr>
          <w:rFonts w:cs="Segoe UI"/>
          <w:szCs w:val="20"/>
        </w:rPr>
        <w:t xml:space="preserve"> </w:t>
      </w:r>
      <w:r w:rsidR="00370DA6">
        <w:rPr>
          <w:rFonts w:cs="Segoe UI"/>
          <w:szCs w:val="20"/>
        </w:rPr>
        <w:t>provides a summary of the estimated costs for the provision of the services over the forecast period.</w:t>
      </w:r>
    </w:p>
    <w:p w14:paraId="2BF234E7" w14:textId="2FBA3552" w:rsidR="00370DA6" w:rsidRDefault="00370DA6" w:rsidP="00AA0BBA">
      <w:pPr>
        <w:pStyle w:val="Caption"/>
      </w:pPr>
      <w:bookmarkStart w:id="786" w:name="_Ref4414649"/>
      <w:bookmarkStart w:id="787" w:name="_Toc4084340"/>
      <w:bookmarkStart w:id="788" w:name="_Toc10703751"/>
      <w:r>
        <w:lastRenderedPageBreak/>
        <w:t xml:space="preserve">Table </w:t>
      </w:r>
      <w:r>
        <w:rPr>
          <w:noProof/>
        </w:rPr>
        <w:fldChar w:fldCharType="begin"/>
      </w:r>
      <w:r>
        <w:rPr>
          <w:noProof/>
        </w:rPr>
        <w:instrText xml:space="preserve"> SEQ Table \* ARABIC </w:instrText>
      </w:r>
      <w:r>
        <w:rPr>
          <w:noProof/>
        </w:rPr>
        <w:fldChar w:fldCharType="separate"/>
      </w:r>
      <w:r w:rsidR="00EB4B02">
        <w:rPr>
          <w:noProof/>
        </w:rPr>
        <w:t>58</w:t>
      </w:r>
      <w:r>
        <w:rPr>
          <w:noProof/>
        </w:rPr>
        <w:fldChar w:fldCharType="end"/>
      </w:r>
      <w:bookmarkEnd w:id="786"/>
      <w:r>
        <w:t xml:space="preserve"> –</w:t>
      </w:r>
      <w:r w:rsidRPr="003C4CEF">
        <w:t xml:space="preserve"> </w:t>
      </w:r>
      <w:bookmarkStart w:id="789" w:name="_Hlk9440116"/>
      <w:r>
        <w:t xml:space="preserve">Services Cost: </w:t>
      </w:r>
      <w:r w:rsidR="00DD5CB7">
        <w:t xml:space="preserve">Learner Permit </w:t>
      </w:r>
      <w:r>
        <w:t xml:space="preserve">and </w:t>
      </w:r>
      <w:r w:rsidR="00DD5CB7" w:rsidRPr="005B2158">
        <w:t>Licence</w:t>
      </w:r>
      <w:r w:rsidR="00DD5CB7">
        <w:t xml:space="preserve"> </w:t>
      </w:r>
      <w:r w:rsidRPr="005B2158">
        <w:t>Testing</w:t>
      </w:r>
      <w:bookmarkEnd w:id="787"/>
      <w:bookmarkEnd w:id="788"/>
      <w:r>
        <w:t xml:space="preserve"> </w:t>
      </w:r>
      <w:bookmarkEnd w:id="789"/>
    </w:p>
    <w:tbl>
      <w:tblPr>
        <w:tblStyle w:val="RIS-Table2"/>
        <w:tblW w:w="9498" w:type="dxa"/>
        <w:tblLook w:val="04A0" w:firstRow="1" w:lastRow="0" w:firstColumn="1" w:lastColumn="0" w:noHBand="0" w:noVBand="1"/>
      </w:tblPr>
      <w:tblGrid>
        <w:gridCol w:w="3828"/>
        <w:gridCol w:w="1134"/>
        <w:gridCol w:w="1134"/>
        <w:gridCol w:w="1134"/>
        <w:gridCol w:w="1134"/>
        <w:gridCol w:w="1134"/>
      </w:tblGrid>
      <w:tr w:rsidR="00370DA6" w:rsidRPr="00117C96" w14:paraId="30D73B06" w14:textId="77777777" w:rsidTr="00BD39F6">
        <w:trPr>
          <w:cnfStyle w:val="100000000000" w:firstRow="1" w:lastRow="0" w:firstColumn="0" w:lastColumn="0" w:oddVBand="0" w:evenVBand="0" w:oddHBand="0" w:evenHBand="0" w:firstRowFirstColumn="0" w:firstRowLastColumn="0" w:lastRowFirstColumn="0" w:lastRowLastColumn="0"/>
        </w:trPr>
        <w:tc>
          <w:tcPr>
            <w:tcW w:w="3828" w:type="dxa"/>
            <w:vMerge w:val="restart"/>
          </w:tcPr>
          <w:p w14:paraId="05E43D0A" w14:textId="77777777" w:rsidR="00370DA6" w:rsidRPr="00117C96" w:rsidRDefault="00370DA6" w:rsidP="00B47F2F">
            <w:pPr>
              <w:pStyle w:val="TableHeaders"/>
            </w:pPr>
            <w:r>
              <w:rPr>
                <w:rFonts w:cs="Segoe UI"/>
              </w:rPr>
              <w:t>Service Group</w:t>
            </w:r>
          </w:p>
        </w:tc>
        <w:tc>
          <w:tcPr>
            <w:tcW w:w="5670" w:type="dxa"/>
            <w:gridSpan w:val="5"/>
          </w:tcPr>
          <w:p w14:paraId="2006682D" w14:textId="77777777" w:rsidR="00370DA6" w:rsidRPr="009E2537" w:rsidRDefault="00370DA6" w:rsidP="00B47F2F">
            <w:pPr>
              <w:pStyle w:val="TableHeaders"/>
            </w:pPr>
            <w:r w:rsidRPr="009E2537">
              <w:t>Costs $k (PV)</w:t>
            </w:r>
          </w:p>
        </w:tc>
      </w:tr>
      <w:tr w:rsidR="00370DA6" w:rsidRPr="00117C96" w14:paraId="2BF0973A" w14:textId="77777777" w:rsidTr="00832945">
        <w:tc>
          <w:tcPr>
            <w:tcW w:w="3828" w:type="dxa"/>
            <w:vMerge/>
          </w:tcPr>
          <w:p w14:paraId="4C002341" w14:textId="77777777" w:rsidR="00370DA6" w:rsidRDefault="00370DA6" w:rsidP="00B47F2F">
            <w:pPr>
              <w:pStyle w:val="TableParagraph"/>
            </w:pPr>
          </w:p>
        </w:tc>
        <w:tc>
          <w:tcPr>
            <w:tcW w:w="1134" w:type="dxa"/>
            <w:shd w:val="clear" w:color="auto" w:fill="0A1F3F"/>
          </w:tcPr>
          <w:p w14:paraId="3C5558CB" w14:textId="77777777" w:rsidR="00370DA6" w:rsidRPr="009E2537" w:rsidRDefault="00370DA6" w:rsidP="00B47F2F">
            <w:pPr>
              <w:pStyle w:val="TableHeaders"/>
              <w:rPr>
                <w:b/>
              </w:rPr>
            </w:pPr>
            <w:r w:rsidRPr="009E2537">
              <w:rPr>
                <w:b/>
              </w:rPr>
              <w:t>FY19/20</w:t>
            </w:r>
          </w:p>
        </w:tc>
        <w:tc>
          <w:tcPr>
            <w:tcW w:w="1134" w:type="dxa"/>
            <w:shd w:val="clear" w:color="auto" w:fill="0A1F3F"/>
          </w:tcPr>
          <w:p w14:paraId="313C37F7" w14:textId="77777777" w:rsidR="00370DA6" w:rsidRPr="009E2537" w:rsidRDefault="00370DA6" w:rsidP="00B47F2F">
            <w:pPr>
              <w:pStyle w:val="TableHeaders"/>
              <w:rPr>
                <w:b/>
              </w:rPr>
            </w:pPr>
            <w:r w:rsidRPr="009E2537">
              <w:rPr>
                <w:b/>
              </w:rPr>
              <w:t>FY20/21</w:t>
            </w:r>
          </w:p>
        </w:tc>
        <w:tc>
          <w:tcPr>
            <w:tcW w:w="1134" w:type="dxa"/>
            <w:shd w:val="clear" w:color="auto" w:fill="0A1F3F"/>
          </w:tcPr>
          <w:p w14:paraId="6E3BDEDC" w14:textId="77777777" w:rsidR="00370DA6" w:rsidRPr="009E2537" w:rsidRDefault="00370DA6" w:rsidP="00B47F2F">
            <w:pPr>
              <w:pStyle w:val="TableHeaders"/>
              <w:rPr>
                <w:b/>
              </w:rPr>
            </w:pPr>
            <w:r w:rsidRPr="009E2537">
              <w:rPr>
                <w:b/>
              </w:rPr>
              <w:t>FY21/22</w:t>
            </w:r>
          </w:p>
        </w:tc>
        <w:tc>
          <w:tcPr>
            <w:tcW w:w="1134" w:type="dxa"/>
            <w:shd w:val="clear" w:color="auto" w:fill="0A1F3F"/>
          </w:tcPr>
          <w:p w14:paraId="09E19FDA" w14:textId="77777777" w:rsidR="00370DA6" w:rsidRPr="009E2537" w:rsidRDefault="00370DA6" w:rsidP="00B47F2F">
            <w:pPr>
              <w:pStyle w:val="TableHeaders"/>
              <w:rPr>
                <w:b/>
              </w:rPr>
            </w:pPr>
            <w:r w:rsidRPr="009E2537">
              <w:rPr>
                <w:b/>
              </w:rPr>
              <w:t>FY22/23</w:t>
            </w:r>
          </w:p>
        </w:tc>
        <w:tc>
          <w:tcPr>
            <w:tcW w:w="1134" w:type="dxa"/>
            <w:shd w:val="clear" w:color="auto" w:fill="0A1F3F"/>
          </w:tcPr>
          <w:p w14:paraId="2FBE2079" w14:textId="77777777" w:rsidR="00370DA6" w:rsidRPr="009E2537" w:rsidRDefault="00370DA6" w:rsidP="00B47F2F">
            <w:pPr>
              <w:pStyle w:val="TableHeaders"/>
              <w:rPr>
                <w:b/>
              </w:rPr>
            </w:pPr>
            <w:r w:rsidRPr="009E2537">
              <w:rPr>
                <w:b/>
              </w:rPr>
              <w:t>Average</w:t>
            </w:r>
          </w:p>
        </w:tc>
      </w:tr>
      <w:tr w:rsidR="000E0615" w:rsidRPr="00117C96" w14:paraId="67510508" w14:textId="77777777" w:rsidTr="00BD39F6">
        <w:trPr>
          <w:cnfStyle w:val="000000010000" w:firstRow="0" w:lastRow="0" w:firstColumn="0" w:lastColumn="0" w:oddVBand="0" w:evenVBand="0" w:oddHBand="0" w:evenHBand="1" w:firstRowFirstColumn="0" w:firstRowLastColumn="0" w:lastRowFirstColumn="0" w:lastRowLastColumn="0"/>
        </w:trPr>
        <w:tc>
          <w:tcPr>
            <w:tcW w:w="3828" w:type="dxa"/>
          </w:tcPr>
          <w:p w14:paraId="47E65AAC" w14:textId="77777777" w:rsidR="000E0615" w:rsidRDefault="000E0615" w:rsidP="000E0615">
            <w:pPr>
              <w:pStyle w:val="TableParagraph"/>
            </w:pPr>
            <w:r>
              <w:t>Learner Permit and Licence Testing</w:t>
            </w:r>
          </w:p>
        </w:tc>
        <w:tc>
          <w:tcPr>
            <w:tcW w:w="1134" w:type="dxa"/>
          </w:tcPr>
          <w:p w14:paraId="6B3140B7" w14:textId="0434BC3A" w:rsidR="000E0615" w:rsidRPr="00B22B58" w:rsidRDefault="000E0615" w:rsidP="000E0615">
            <w:pPr>
              <w:pStyle w:val="TableParagraph"/>
              <w:ind w:right="170"/>
              <w:jc w:val="right"/>
            </w:pPr>
            <w:r w:rsidRPr="009D12B1">
              <w:t xml:space="preserve"> 39,804 </w:t>
            </w:r>
          </w:p>
        </w:tc>
        <w:tc>
          <w:tcPr>
            <w:tcW w:w="1134" w:type="dxa"/>
          </w:tcPr>
          <w:p w14:paraId="5B8C8A37" w14:textId="1C8018BA" w:rsidR="000E0615" w:rsidRPr="00B22B58" w:rsidRDefault="000E0615" w:rsidP="000E0615">
            <w:pPr>
              <w:pStyle w:val="TableParagraph"/>
              <w:ind w:right="170"/>
              <w:jc w:val="right"/>
            </w:pPr>
            <w:r w:rsidRPr="009D12B1">
              <w:t xml:space="preserve"> 40,545 </w:t>
            </w:r>
          </w:p>
        </w:tc>
        <w:tc>
          <w:tcPr>
            <w:tcW w:w="1134" w:type="dxa"/>
          </w:tcPr>
          <w:p w14:paraId="399F42D0" w14:textId="5B3EC221" w:rsidR="000E0615" w:rsidRPr="00B22B58" w:rsidRDefault="000E0615" w:rsidP="000E0615">
            <w:pPr>
              <w:pStyle w:val="TableParagraph"/>
              <w:ind w:right="170"/>
              <w:jc w:val="right"/>
            </w:pPr>
            <w:r w:rsidRPr="009D12B1">
              <w:t xml:space="preserve"> 41,310 </w:t>
            </w:r>
          </w:p>
        </w:tc>
        <w:tc>
          <w:tcPr>
            <w:tcW w:w="1134" w:type="dxa"/>
          </w:tcPr>
          <w:p w14:paraId="2DD2EF71" w14:textId="4FFFFCC0" w:rsidR="000E0615" w:rsidRPr="00B22B58" w:rsidRDefault="000E0615" w:rsidP="000E0615">
            <w:pPr>
              <w:pStyle w:val="TableParagraph"/>
              <w:ind w:right="170"/>
              <w:jc w:val="right"/>
            </w:pPr>
            <w:r w:rsidRPr="009D12B1">
              <w:t xml:space="preserve"> 42,099 </w:t>
            </w:r>
          </w:p>
        </w:tc>
        <w:tc>
          <w:tcPr>
            <w:tcW w:w="1134" w:type="dxa"/>
          </w:tcPr>
          <w:p w14:paraId="10389FA4" w14:textId="79C23C0E" w:rsidR="000E0615" w:rsidRPr="000E0615" w:rsidRDefault="000E0615" w:rsidP="000E0615">
            <w:pPr>
              <w:pStyle w:val="TableParagraph"/>
              <w:ind w:right="170"/>
              <w:jc w:val="right"/>
              <w:rPr>
                <w:b/>
              </w:rPr>
            </w:pPr>
            <w:r w:rsidRPr="000E0615">
              <w:rPr>
                <w:b/>
              </w:rPr>
              <w:t xml:space="preserve"> 40,940 </w:t>
            </w:r>
          </w:p>
        </w:tc>
      </w:tr>
    </w:tbl>
    <w:p w14:paraId="2A3AF56D" w14:textId="3694DCBF" w:rsidR="00370DA6" w:rsidRPr="001D6FA6" w:rsidRDefault="00CA0DB4" w:rsidP="008422B1">
      <w:pPr>
        <w:pStyle w:val="TextPara"/>
      </w:pPr>
      <w:r>
        <w:fldChar w:fldCharType="begin"/>
      </w:r>
      <w:r>
        <w:instrText xml:space="preserve"> REF _Ref4414664 \h </w:instrText>
      </w:r>
      <w:r>
        <w:fldChar w:fldCharType="separate"/>
      </w:r>
      <w:r w:rsidR="00EB4B02">
        <w:t xml:space="preserve">Table </w:t>
      </w:r>
      <w:r w:rsidR="00EB4B02">
        <w:rPr>
          <w:noProof/>
        </w:rPr>
        <w:t>59</w:t>
      </w:r>
      <w:r>
        <w:fldChar w:fldCharType="end"/>
      </w:r>
      <w:r w:rsidR="00370DA6">
        <w:t xml:space="preserve"> </w:t>
      </w:r>
      <w:r w:rsidR="00370DA6" w:rsidRPr="005F7BAB">
        <w:t xml:space="preserve">lists the individual fees </w:t>
      </w:r>
      <w:r w:rsidR="00370DA6">
        <w:t xml:space="preserve">for this service group if the current fee rates were to continue. It shows the average annual </w:t>
      </w:r>
      <w:r w:rsidR="00370DA6" w:rsidRPr="005F7BAB">
        <w:t xml:space="preserve">fee recoveries for the forecast period </w:t>
      </w:r>
      <w:r w:rsidR="00370DA6">
        <w:t xml:space="preserve">(FY19/20 to FY22/23) </w:t>
      </w:r>
      <w:r w:rsidR="000E0615">
        <w:rPr>
          <w:rFonts w:cs="Segoe UI"/>
          <w:szCs w:val="20"/>
        </w:rPr>
        <w:t>based on the published FY19/20 fee rate of $14.81 which is modelled as the PV rate for the period.</w:t>
      </w:r>
    </w:p>
    <w:p w14:paraId="32E61131" w14:textId="0D9879AA" w:rsidR="00370DA6" w:rsidRDefault="00370DA6" w:rsidP="00AA0BBA">
      <w:pPr>
        <w:pStyle w:val="Caption"/>
      </w:pPr>
      <w:bookmarkStart w:id="790" w:name="_Ref4414664"/>
      <w:bookmarkStart w:id="791" w:name="_Toc4084341"/>
      <w:bookmarkStart w:id="792" w:name="_Toc10703752"/>
      <w:r>
        <w:t xml:space="preserve">Table </w:t>
      </w:r>
      <w:r>
        <w:rPr>
          <w:noProof/>
        </w:rPr>
        <w:fldChar w:fldCharType="begin"/>
      </w:r>
      <w:r>
        <w:rPr>
          <w:noProof/>
        </w:rPr>
        <w:instrText xml:space="preserve"> SEQ Table \* ARABIC </w:instrText>
      </w:r>
      <w:r>
        <w:rPr>
          <w:noProof/>
        </w:rPr>
        <w:fldChar w:fldCharType="separate"/>
      </w:r>
      <w:r w:rsidR="00EB4B02">
        <w:rPr>
          <w:noProof/>
        </w:rPr>
        <w:t>59</w:t>
      </w:r>
      <w:r>
        <w:rPr>
          <w:noProof/>
        </w:rPr>
        <w:fldChar w:fldCharType="end"/>
      </w:r>
      <w:bookmarkEnd w:id="790"/>
      <w:r>
        <w:t xml:space="preserve"> – Fee Income: </w:t>
      </w:r>
      <w:r w:rsidR="00DD5CB7">
        <w:t xml:space="preserve">Learner Permit </w:t>
      </w:r>
      <w:r>
        <w:t xml:space="preserve">and </w:t>
      </w:r>
      <w:r w:rsidR="00DD5CB7" w:rsidRPr="005B2158">
        <w:t>Licence</w:t>
      </w:r>
      <w:r w:rsidR="00DD5CB7">
        <w:t xml:space="preserve"> </w:t>
      </w:r>
      <w:r w:rsidRPr="005B2158">
        <w:t>Testing</w:t>
      </w:r>
      <w:bookmarkEnd w:id="791"/>
      <w:bookmarkEnd w:id="792"/>
    </w:p>
    <w:tbl>
      <w:tblPr>
        <w:tblStyle w:val="RIS-Table2"/>
        <w:tblW w:w="9634" w:type="dxa"/>
        <w:tblLayout w:type="fixed"/>
        <w:tblLook w:val="04A0" w:firstRow="1" w:lastRow="0" w:firstColumn="1" w:lastColumn="0" w:noHBand="0" w:noVBand="1"/>
      </w:tblPr>
      <w:tblGrid>
        <w:gridCol w:w="1271"/>
        <w:gridCol w:w="4394"/>
        <w:gridCol w:w="851"/>
        <w:gridCol w:w="850"/>
        <w:gridCol w:w="1276"/>
        <w:gridCol w:w="992"/>
      </w:tblGrid>
      <w:tr w:rsidR="00370DA6" w:rsidRPr="00117C96" w14:paraId="7598F0A6" w14:textId="77777777" w:rsidTr="0044732D">
        <w:trPr>
          <w:cnfStyle w:val="100000000000" w:firstRow="1" w:lastRow="0" w:firstColumn="0" w:lastColumn="0" w:oddVBand="0" w:evenVBand="0" w:oddHBand="0" w:evenHBand="0" w:firstRowFirstColumn="0" w:firstRowLastColumn="0" w:lastRowFirstColumn="0" w:lastRowLastColumn="0"/>
        </w:trPr>
        <w:tc>
          <w:tcPr>
            <w:tcW w:w="1271" w:type="dxa"/>
          </w:tcPr>
          <w:p w14:paraId="3F2E604A" w14:textId="77777777" w:rsidR="00370DA6" w:rsidRPr="00117C96" w:rsidRDefault="00370DA6" w:rsidP="006B6D5C">
            <w:pPr>
              <w:pStyle w:val="TableHeaders"/>
            </w:pPr>
            <w:r>
              <w:t xml:space="preserve">Schedule 6 </w:t>
            </w:r>
          </w:p>
        </w:tc>
        <w:tc>
          <w:tcPr>
            <w:tcW w:w="5245" w:type="dxa"/>
            <w:gridSpan w:val="2"/>
            <w:vMerge w:val="restart"/>
          </w:tcPr>
          <w:p w14:paraId="7130C867" w14:textId="77777777" w:rsidR="00370DA6" w:rsidRPr="00117C96" w:rsidRDefault="00370DA6" w:rsidP="006B6D5C">
            <w:pPr>
              <w:pStyle w:val="TableHeaders"/>
            </w:pPr>
            <w:r w:rsidRPr="00C64741">
              <w:t>Description</w:t>
            </w:r>
            <w:r>
              <w:t xml:space="preserve"> and Regulation Reference</w:t>
            </w:r>
          </w:p>
        </w:tc>
        <w:tc>
          <w:tcPr>
            <w:tcW w:w="850" w:type="dxa"/>
          </w:tcPr>
          <w:p w14:paraId="7785093B" w14:textId="77777777" w:rsidR="00370DA6" w:rsidRPr="00117C96" w:rsidRDefault="00370DA6" w:rsidP="006B6D5C">
            <w:pPr>
              <w:pStyle w:val="TableHeaders"/>
            </w:pPr>
            <w:r w:rsidRPr="002613BA">
              <w:t xml:space="preserve"> </w:t>
            </w:r>
            <w:r>
              <w:t>Txns pa</w:t>
            </w:r>
          </w:p>
        </w:tc>
        <w:tc>
          <w:tcPr>
            <w:tcW w:w="2268" w:type="dxa"/>
            <w:gridSpan w:val="2"/>
          </w:tcPr>
          <w:p w14:paraId="45C01957" w14:textId="77777777" w:rsidR="00370DA6" w:rsidRPr="00117C96" w:rsidRDefault="006279F4" w:rsidP="006B6D5C">
            <w:pPr>
              <w:pStyle w:val="TableHeaders"/>
            </w:pPr>
            <w:r>
              <w:t>Recovery (PV)</w:t>
            </w:r>
          </w:p>
        </w:tc>
      </w:tr>
      <w:tr w:rsidR="00370DA6" w:rsidRPr="00BD39F6" w14:paraId="69B069EC" w14:textId="77777777" w:rsidTr="002E6A28">
        <w:tc>
          <w:tcPr>
            <w:tcW w:w="1271" w:type="dxa"/>
            <w:shd w:val="clear" w:color="auto" w:fill="0A1F3F"/>
          </w:tcPr>
          <w:p w14:paraId="07550C8A" w14:textId="77777777" w:rsidR="00370DA6" w:rsidRPr="00BD39F6" w:rsidRDefault="00370DA6" w:rsidP="006B6D5C">
            <w:pPr>
              <w:pStyle w:val="TableParagraph"/>
              <w:jc w:val="center"/>
              <w:rPr>
                <w:b/>
                <w:color w:val="FFFFFF" w:themeColor="background1"/>
              </w:rPr>
            </w:pPr>
            <w:r w:rsidRPr="00BD39F6">
              <w:rPr>
                <w:b/>
                <w:color w:val="FFFFFF" w:themeColor="background1"/>
              </w:rPr>
              <w:t>Item No.</w:t>
            </w:r>
          </w:p>
        </w:tc>
        <w:tc>
          <w:tcPr>
            <w:tcW w:w="5245" w:type="dxa"/>
            <w:gridSpan w:val="2"/>
            <w:vMerge/>
            <w:shd w:val="clear" w:color="auto" w:fill="0A1F3F"/>
          </w:tcPr>
          <w:p w14:paraId="64CEC3E7" w14:textId="77777777" w:rsidR="00370DA6" w:rsidRPr="00BD39F6" w:rsidRDefault="00370DA6" w:rsidP="006B6D5C">
            <w:pPr>
              <w:pStyle w:val="TableParagraph"/>
              <w:jc w:val="center"/>
              <w:rPr>
                <w:b/>
                <w:color w:val="FFFFFF" w:themeColor="background1"/>
              </w:rPr>
            </w:pPr>
          </w:p>
        </w:tc>
        <w:tc>
          <w:tcPr>
            <w:tcW w:w="850" w:type="dxa"/>
            <w:shd w:val="clear" w:color="auto" w:fill="0A1F3F"/>
          </w:tcPr>
          <w:p w14:paraId="6B3E507A" w14:textId="77777777" w:rsidR="00370DA6" w:rsidRPr="00BD39F6" w:rsidRDefault="00370DA6" w:rsidP="006B6D5C">
            <w:pPr>
              <w:pStyle w:val="TableParagraph"/>
              <w:ind w:right="32"/>
              <w:jc w:val="center"/>
              <w:rPr>
                <w:b/>
                <w:color w:val="FFFFFF" w:themeColor="background1"/>
              </w:rPr>
            </w:pPr>
            <w:r w:rsidRPr="00BD39F6">
              <w:rPr>
                <w:b/>
                <w:color w:val="FFFFFF" w:themeColor="background1"/>
              </w:rPr>
              <w:t>Avg ‘000</w:t>
            </w:r>
          </w:p>
        </w:tc>
        <w:tc>
          <w:tcPr>
            <w:tcW w:w="1276" w:type="dxa"/>
            <w:shd w:val="clear" w:color="auto" w:fill="0A1F3F"/>
          </w:tcPr>
          <w:p w14:paraId="50A2572C" w14:textId="0FC5379E" w:rsidR="00370DA6" w:rsidRPr="00BD39F6" w:rsidRDefault="00370DA6" w:rsidP="006B6D5C">
            <w:pPr>
              <w:pStyle w:val="TableParagraph"/>
              <w:ind w:right="-17"/>
              <w:jc w:val="center"/>
              <w:rPr>
                <w:b/>
                <w:color w:val="FFFFFF" w:themeColor="background1"/>
              </w:rPr>
            </w:pPr>
            <w:r w:rsidRPr="00BD39F6">
              <w:rPr>
                <w:b/>
                <w:color w:val="FFFFFF" w:themeColor="background1"/>
              </w:rPr>
              <w:t xml:space="preserve">Fee </w:t>
            </w:r>
          </w:p>
        </w:tc>
        <w:tc>
          <w:tcPr>
            <w:tcW w:w="992" w:type="dxa"/>
            <w:shd w:val="clear" w:color="auto" w:fill="0A1F3F"/>
          </w:tcPr>
          <w:p w14:paraId="7EF720C0" w14:textId="77777777" w:rsidR="00370DA6" w:rsidRPr="00BD39F6" w:rsidRDefault="00370DA6" w:rsidP="006B6D5C">
            <w:pPr>
              <w:pStyle w:val="TableParagraph"/>
              <w:ind w:right="-17"/>
              <w:jc w:val="center"/>
              <w:rPr>
                <w:b/>
                <w:color w:val="FFFFFF" w:themeColor="background1"/>
              </w:rPr>
            </w:pPr>
            <w:r w:rsidRPr="00BD39F6">
              <w:rPr>
                <w:b/>
                <w:color w:val="FFFFFF" w:themeColor="background1"/>
              </w:rPr>
              <w:t>Revenue ($k)</w:t>
            </w:r>
          </w:p>
        </w:tc>
      </w:tr>
      <w:tr w:rsidR="002E6A28" w:rsidRPr="004C05D9" w14:paraId="0D1DA380" w14:textId="77777777" w:rsidTr="002E6A28">
        <w:trPr>
          <w:cnfStyle w:val="000000010000" w:firstRow="0" w:lastRow="0" w:firstColumn="0" w:lastColumn="0" w:oddVBand="0" w:evenVBand="0" w:oddHBand="0" w:evenHBand="1" w:firstRowFirstColumn="0" w:firstRowLastColumn="0" w:lastRowFirstColumn="0" w:lastRowLastColumn="0"/>
        </w:trPr>
        <w:tc>
          <w:tcPr>
            <w:tcW w:w="1271" w:type="dxa"/>
            <w:shd w:val="clear" w:color="auto" w:fill="auto"/>
          </w:tcPr>
          <w:p w14:paraId="2FDC6C76" w14:textId="77777777" w:rsidR="002E6A28" w:rsidRPr="00117C96" w:rsidRDefault="002E6A28" w:rsidP="002E6A28">
            <w:pPr>
              <w:pStyle w:val="TableParagraph"/>
              <w:jc w:val="center"/>
            </w:pPr>
            <w:r w:rsidRPr="00117C96">
              <w:t>1</w:t>
            </w:r>
          </w:p>
        </w:tc>
        <w:tc>
          <w:tcPr>
            <w:tcW w:w="4394" w:type="dxa"/>
            <w:shd w:val="clear" w:color="auto" w:fill="auto"/>
          </w:tcPr>
          <w:p w14:paraId="3639A9A8" w14:textId="77777777" w:rsidR="002E6A28" w:rsidRPr="00C64741" w:rsidRDefault="002E6A28" w:rsidP="002E6A28">
            <w:pPr>
              <w:pStyle w:val="TableParagraph"/>
            </w:pPr>
            <w:r w:rsidRPr="00117C96">
              <w:t>Fee to make an appointment in relation to testing or assessment for a learner permit or driver licence</w:t>
            </w:r>
          </w:p>
        </w:tc>
        <w:tc>
          <w:tcPr>
            <w:tcW w:w="851" w:type="dxa"/>
            <w:shd w:val="clear" w:color="auto" w:fill="auto"/>
          </w:tcPr>
          <w:p w14:paraId="5D2E741C" w14:textId="77777777" w:rsidR="002E6A28" w:rsidRPr="00117C96" w:rsidRDefault="002E6A28" w:rsidP="002E6A28">
            <w:pPr>
              <w:pStyle w:val="TableParagraph"/>
              <w:jc w:val="center"/>
            </w:pPr>
            <w:r>
              <w:t>24</w:t>
            </w:r>
            <w:r w:rsidRPr="00117C96">
              <w:t>(2)</w:t>
            </w:r>
          </w:p>
        </w:tc>
        <w:tc>
          <w:tcPr>
            <w:tcW w:w="850" w:type="dxa"/>
            <w:shd w:val="clear" w:color="auto" w:fill="auto"/>
          </w:tcPr>
          <w:p w14:paraId="5A294D75" w14:textId="77777777" w:rsidR="002E6A28" w:rsidRPr="00117C96" w:rsidRDefault="002E6A28" w:rsidP="002E6A28">
            <w:pPr>
              <w:pStyle w:val="TableParagraph"/>
              <w:ind w:right="32"/>
              <w:jc w:val="right"/>
            </w:pPr>
            <w:r w:rsidRPr="00E937D8">
              <w:t xml:space="preserve"> 636.9 </w:t>
            </w:r>
          </w:p>
        </w:tc>
        <w:tc>
          <w:tcPr>
            <w:tcW w:w="1276" w:type="dxa"/>
            <w:shd w:val="clear" w:color="auto" w:fill="auto"/>
          </w:tcPr>
          <w:p w14:paraId="7D8D61EF" w14:textId="054F206B" w:rsidR="002E6A28" w:rsidRPr="00117C96" w:rsidRDefault="002E6A28" w:rsidP="002E6A28">
            <w:pPr>
              <w:pStyle w:val="TableParagraph"/>
              <w:ind w:right="-17"/>
              <w:jc w:val="right"/>
            </w:pPr>
            <w:r w:rsidRPr="00117C96">
              <w:t>1.28 fee units</w:t>
            </w:r>
            <w:r>
              <w:br/>
              <w:t>(i.e. $19.00)</w:t>
            </w:r>
          </w:p>
        </w:tc>
        <w:tc>
          <w:tcPr>
            <w:tcW w:w="992" w:type="dxa"/>
            <w:shd w:val="clear" w:color="auto" w:fill="auto"/>
          </w:tcPr>
          <w:p w14:paraId="33F30543" w14:textId="41E9A7B3" w:rsidR="002E6A28" w:rsidRPr="004C05D9" w:rsidRDefault="002E6A28" w:rsidP="002E6A28">
            <w:pPr>
              <w:pStyle w:val="TableParagraph"/>
              <w:ind w:right="95"/>
              <w:jc w:val="right"/>
            </w:pPr>
            <w:r w:rsidRPr="00547CBD">
              <w:t xml:space="preserve"> 12,073 </w:t>
            </w:r>
          </w:p>
        </w:tc>
      </w:tr>
      <w:tr w:rsidR="002E6A28" w:rsidRPr="004C05D9" w14:paraId="5AD5D253" w14:textId="77777777" w:rsidTr="002E6A28">
        <w:tc>
          <w:tcPr>
            <w:tcW w:w="1271" w:type="dxa"/>
            <w:shd w:val="clear" w:color="auto" w:fill="auto"/>
          </w:tcPr>
          <w:p w14:paraId="451615E7" w14:textId="77777777" w:rsidR="002E6A28" w:rsidRPr="00117C96" w:rsidRDefault="002E6A28" w:rsidP="002E6A28">
            <w:pPr>
              <w:pStyle w:val="TableParagraph"/>
              <w:jc w:val="center"/>
            </w:pPr>
            <w:r w:rsidRPr="00117C96">
              <w:t>2</w:t>
            </w:r>
          </w:p>
        </w:tc>
        <w:tc>
          <w:tcPr>
            <w:tcW w:w="4394" w:type="dxa"/>
            <w:shd w:val="clear" w:color="auto" w:fill="auto"/>
          </w:tcPr>
          <w:p w14:paraId="7B5325CB" w14:textId="77777777" w:rsidR="002E6A28" w:rsidRPr="00C64741" w:rsidRDefault="002E6A28" w:rsidP="002E6A28">
            <w:pPr>
              <w:pStyle w:val="TableParagraph"/>
            </w:pPr>
            <w:r w:rsidRPr="00117C96">
              <w:t xml:space="preserve">Written or computer-based test conducted by </w:t>
            </w:r>
            <w:r>
              <w:t>VicRoads</w:t>
            </w:r>
            <w:r w:rsidRPr="00117C96">
              <w:t xml:space="preserve"> for a learner permit</w:t>
            </w:r>
          </w:p>
        </w:tc>
        <w:tc>
          <w:tcPr>
            <w:tcW w:w="851" w:type="dxa"/>
            <w:shd w:val="clear" w:color="auto" w:fill="auto"/>
          </w:tcPr>
          <w:p w14:paraId="3FDDC5A5" w14:textId="77777777" w:rsidR="002E6A28" w:rsidRPr="00117C96" w:rsidRDefault="002E6A28" w:rsidP="002E6A28">
            <w:pPr>
              <w:pStyle w:val="TableParagraph"/>
              <w:jc w:val="center"/>
            </w:pPr>
            <w:r>
              <w:t>24</w:t>
            </w:r>
            <w:r w:rsidRPr="00117C96">
              <w:t>(2)</w:t>
            </w:r>
          </w:p>
        </w:tc>
        <w:tc>
          <w:tcPr>
            <w:tcW w:w="850" w:type="dxa"/>
            <w:shd w:val="clear" w:color="auto" w:fill="auto"/>
          </w:tcPr>
          <w:p w14:paraId="39F4302C" w14:textId="77777777" w:rsidR="002E6A28" w:rsidRPr="00117C96" w:rsidRDefault="002E6A28" w:rsidP="002E6A28">
            <w:pPr>
              <w:pStyle w:val="TableParagraph"/>
              <w:ind w:right="32"/>
              <w:jc w:val="right"/>
            </w:pPr>
            <w:r w:rsidRPr="00E937D8">
              <w:t xml:space="preserve"> 194.3 </w:t>
            </w:r>
          </w:p>
        </w:tc>
        <w:tc>
          <w:tcPr>
            <w:tcW w:w="1276" w:type="dxa"/>
            <w:shd w:val="clear" w:color="auto" w:fill="auto"/>
          </w:tcPr>
          <w:p w14:paraId="67E8CAAB" w14:textId="059416F1" w:rsidR="002E6A28" w:rsidRPr="00117C96" w:rsidRDefault="002E6A28" w:rsidP="002E6A28">
            <w:pPr>
              <w:pStyle w:val="TableParagraph"/>
              <w:ind w:right="-17"/>
              <w:jc w:val="right"/>
            </w:pPr>
            <w:r w:rsidRPr="00117C96">
              <w:t>1.66 fee units</w:t>
            </w:r>
            <w:r>
              <w:br/>
              <w:t>(i.e. $24.60)</w:t>
            </w:r>
          </w:p>
        </w:tc>
        <w:tc>
          <w:tcPr>
            <w:tcW w:w="992" w:type="dxa"/>
            <w:shd w:val="clear" w:color="auto" w:fill="auto"/>
          </w:tcPr>
          <w:p w14:paraId="68B3F549" w14:textId="382ED6AE" w:rsidR="002E6A28" w:rsidRPr="004C05D9" w:rsidRDefault="002E6A28" w:rsidP="002E6A28">
            <w:pPr>
              <w:pStyle w:val="TableParagraph"/>
              <w:ind w:right="95"/>
              <w:jc w:val="right"/>
            </w:pPr>
            <w:r w:rsidRPr="00547CBD">
              <w:t xml:space="preserve"> 4,776 </w:t>
            </w:r>
          </w:p>
        </w:tc>
      </w:tr>
      <w:tr w:rsidR="00370DA6" w:rsidRPr="004C05D9" w14:paraId="6BE13F36" w14:textId="77777777" w:rsidTr="002E6A28">
        <w:trPr>
          <w:cnfStyle w:val="000000010000" w:firstRow="0" w:lastRow="0" w:firstColumn="0" w:lastColumn="0" w:oddVBand="0" w:evenVBand="0" w:oddHBand="0" w:evenHBand="1" w:firstRowFirstColumn="0" w:firstRowLastColumn="0" w:lastRowFirstColumn="0" w:lastRowLastColumn="0"/>
        </w:trPr>
        <w:tc>
          <w:tcPr>
            <w:tcW w:w="1271" w:type="dxa"/>
            <w:shd w:val="clear" w:color="auto" w:fill="auto"/>
          </w:tcPr>
          <w:p w14:paraId="57F2AE11" w14:textId="77777777" w:rsidR="00370DA6" w:rsidRPr="00117C96" w:rsidRDefault="00370DA6" w:rsidP="006B6D5C">
            <w:pPr>
              <w:pStyle w:val="TableParagraph"/>
              <w:jc w:val="center"/>
            </w:pPr>
            <w:r w:rsidRPr="00EB461A">
              <w:t>3</w:t>
            </w:r>
          </w:p>
        </w:tc>
        <w:tc>
          <w:tcPr>
            <w:tcW w:w="4394" w:type="dxa"/>
            <w:shd w:val="clear" w:color="auto" w:fill="auto"/>
          </w:tcPr>
          <w:p w14:paraId="140C9BF1" w14:textId="77777777" w:rsidR="00370DA6" w:rsidRPr="00EB461A" w:rsidRDefault="00370DA6" w:rsidP="006B6D5C">
            <w:pPr>
              <w:pStyle w:val="TableParagraph"/>
              <w:spacing w:before="0" w:after="0"/>
            </w:pPr>
            <w:r w:rsidRPr="00EB461A">
              <w:t xml:space="preserve">Written or computer-based test conducted by </w:t>
            </w:r>
            <w:r>
              <w:t>VicRoads</w:t>
            </w:r>
            <w:r w:rsidRPr="00EB461A">
              <w:t xml:space="preserve"> for a driver licence o</w:t>
            </w:r>
            <w:r>
              <w:t>r driver licence variation for:</w:t>
            </w:r>
          </w:p>
          <w:p w14:paraId="42C73741" w14:textId="77777777" w:rsidR="00370DA6" w:rsidRDefault="00370DA6" w:rsidP="00370DA6">
            <w:pPr>
              <w:pStyle w:val="TableParagraph"/>
              <w:numPr>
                <w:ilvl w:val="0"/>
                <w:numId w:val="10"/>
              </w:numPr>
              <w:spacing w:before="0" w:after="0"/>
            </w:pPr>
            <w:r w:rsidRPr="00EB461A">
              <w:t>a heavy vehicle;</w:t>
            </w:r>
            <w:r w:rsidR="001A4F9C">
              <w:br/>
            </w:r>
          </w:p>
          <w:p w14:paraId="6F9F961F" w14:textId="77777777" w:rsidR="00370DA6" w:rsidRPr="00C64741" w:rsidRDefault="00370DA6" w:rsidP="00370DA6">
            <w:pPr>
              <w:pStyle w:val="TableParagraph"/>
              <w:numPr>
                <w:ilvl w:val="0"/>
                <w:numId w:val="10"/>
              </w:numPr>
              <w:spacing w:before="0" w:after="0"/>
            </w:pPr>
            <w:r w:rsidRPr="00EB461A">
              <w:t>other motor vehicles</w:t>
            </w:r>
          </w:p>
        </w:tc>
        <w:tc>
          <w:tcPr>
            <w:tcW w:w="851" w:type="dxa"/>
            <w:shd w:val="clear" w:color="auto" w:fill="auto"/>
          </w:tcPr>
          <w:p w14:paraId="584F1779" w14:textId="77777777" w:rsidR="00370DA6" w:rsidRPr="00117C96" w:rsidRDefault="00370DA6" w:rsidP="006B6D5C">
            <w:pPr>
              <w:pStyle w:val="TableParagraph"/>
              <w:spacing w:before="0" w:after="0"/>
              <w:jc w:val="center"/>
            </w:pPr>
            <w:r>
              <w:t>24</w:t>
            </w:r>
            <w:r w:rsidRPr="00EB461A">
              <w:t>(2)</w:t>
            </w:r>
          </w:p>
        </w:tc>
        <w:tc>
          <w:tcPr>
            <w:tcW w:w="850" w:type="dxa"/>
            <w:shd w:val="clear" w:color="auto" w:fill="auto"/>
          </w:tcPr>
          <w:p w14:paraId="6D4472AB" w14:textId="77777777" w:rsidR="00370DA6" w:rsidRPr="00EB461A" w:rsidRDefault="00370DA6" w:rsidP="006B6D5C">
            <w:pPr>
              <w:pStyle w:val="TableParagraph"/>
              <w:spacing w:before="0" w:after="0"/>
              <w:ind w:right="-17"/>
              <w:jc w:val="right"/>
            </w:pPr>
          </w:p>
          <w:p w14:paraId="75EFF1AB" w14:textId="77777777" w:rsidR="00370DA6" w:rsidRPr="00EB461A" w:rsidRDefault="00370DA6" w:rsidP="006B6D5C">
            <w:pPr>
              <w:pStyle w:val="TableParagraph"/>
              <w:spacing w:before="0" w:after="0"/>
              <w:ind w:right="-17"/>
              <w:jc w:val="right"/>
            </w:pPr>
          </w:p>
          <w:p w14:paraId="11172E87" w14:textId="77777777" w:rsidR="00370DA6" w:rsidRPr="00EB461A" w:rsidRDefault="00370DA6" w:rsidP="006B6D5C">
            <w:pPr>
              <w:pStyle w:val="TableParagraph"/>
              <w:spacing w:before="0" w:after="0"/>
              <w:ind w:right="-17"/>
              <w:jc w:val="right"/>
            </w:pPr>
          </w:p>
          <w:p w14:paraId="416098D5" w14:textId="77777777" w:rsidR="00370DA6" w:rsidRPr="00EB461A" w:rsidRDefault="00370DA6" w:rsidP="006B6D5C">
            <w:pPr>
              <w:pStyle w:val="TableParagraph"/>
              <w:spacing w:before="0" w:after="0"/>
              <w:ind w:right="34"/>
              <w:jc w:val="right"/>
            </w:pPr>
            <w:r w:rsidRPr="00EB461A">
              <w:t>0</w:t>
            </w:r>
            <w:r>
              <w:t>.0</w:t>
            </w:r>
            <w:r w:rsidR="001A4F9C">
              <w:br/>
            </w:r>
          </w:p>
          <w:p w14:paraId="31D3E82A" w14:textId="77777777" w:rsidR="00370DA6" w:rsidRPr="00117C96" w:rsidRDefault="00370DA6" w:rsidP="006B6D5C">
            <w:pPr>
              <w:pStyle w:val="TableParagraph"/>
              <w:spacing w:before="0" w:after="0"/>
              <w:ind w:right="32"/>
              <w:jc w:val="right"/>
            </w:pPr>
            <w:r>
              <w:t>172.6</w:t>
            </w:r>
          </w:p>
        </w:tc>
        <w:tc>
          <w:tcPr>
            <w:tcW w:w="1276" w:type="dxa"/>
            <w:shd w:val="clear" w:color="auto" w:fill="auto"/>
          </w:tcPr>
          <w:p w14:paraId="297E635C" w14:textId="77777777" w:rsidR="00370DA6" w:rsidRPr="00EB461A" w:rsidRDefault="00370DA6" w:rsidP="006B6D5C">
            <w:pPr>
              <w:pStyle w:val="TableParagraph"/>
              <w:spacing w:before="0" w:after="0"/>
              <w:jc w:val="right"/>
            </w:pPr>
          </w:p>
          <w:p w14:paraId="70B67A90" w14:textId="77777777" w:rsidR="00370DA6" w:rsidRPr="00EB461A" w:rsidRDefault="00370DA6" w:rsidP="006B6D5C">
            <w:pPr>
              <w:pStyle w:val="TableParagraph"/>
              <w:spacing w:before="0" w:after="0"/>
              <w:jc w:val="right"/>
            </w:pPr>
          </w:p>
          <w:p w14:paraId="2388E4B8" w14:textId="77777777" w:rsidR="00370DA6" w:rsidRPr="00EB461A" w:rsidRDefault="00370DA6" w:rsidP="006B6D5C">
            <w:pPr>
              <w:pStyle w:val="TableParagraph"/>
              <w:spacing w:before="0" w:after="0"/>
              <w:jc w:val="right"/>
            </w:pPr>
          </w:p>
          <w:p w14:paraId="55BB2ACD" w14:textId="3C0FF1E8" w:rsidR="00370DA6" w:rsidRPr="00EB461A" w:rsidRDefault="00370DA6" w:rsidP="006B6D5C">
            <w:pPr>
              <w:pStyle w:val="TableParagraph"/>
              <w:spacing w:before="0" w:after="0"/>
              <w:jc w:val="right"/>
            </w:pPr>
            <w:r w:rsidRPr="00EB461A">
              <w:t>1.</w:t>
            </w:r>
            <w:r>
              <w:t>3</w:t>
            </w:r>
            <w:r w:rsidRPr="00EB461A">
              <w:t>7 fee units</w:t>
            </w:r>
            <w:r w:rsidR="001A4F9C">
              <w:br/>
            </w:r>
            <w:r w:rsidR="00036720">
              <w:t xml:space="preserve">(i.e. </w:t>
            </w:r>
            <w:r w:rsidR="00AD0BD3">
              <w:t>$</w:t>
            </w:r>
            <w:r w:rsidR="002E6A28">
              <w:t>20.30</w:t>
            </w:r>
            <w:r w:rsidR="00036720">
              <w:t>)</w:t>
            </w:r>
          </w:p>
          <w:p w14:paraId="0865F103" w14:textId="7C16C41C" w:rsidR="00370DA6" w:rsidRPr="00117C96" w:rsidRDefault="00370DA6" w:rsidP="006B6D5C">
            <w:pPr>
              <w:pStyle w:val="TableParagraph"/>
              <w:spacing w:before="0" w:after="0"/>
              <w:ind w:right="-17"/>
              <w:jc w:val="right"/>
            </w:pPr>
            <w:r w:rsidRPr="00EB461A">
              <w:t>1.27 fee units</w:t>
            </w:r>
            <w:r w:rsidR="001A4F9C">
              <w:br/>
            </w:r>
            <w:r w:rsidR="00036720">
              <w:t xml:space="preserve">(i.e. </w:t>
            </w:r>
            <w:r w:rsidR="00AD0BD3">
              <w:t>$</w:t>
            </w:r>
            <w:r w:rsidR="00036720">
              <w:t>18.</w:t>
            </w:r>
            <w:r w:rsidR="002E6A28">
              <w:t>8</w:t>
            </w:r>
            <w:r w:rsidR="00036720">
              <w:t>0)</w:t>
            </w:r>
          </w:p>
        </w:tc>
        <w:tc>
          <w:tcPr>
            <w:tcW w:w="992" w:type="dxa"/>
            <w:shd w:val="clear" w:color="auto" w:fill="auto"/>
          </w:tcPr>
          <w:p w14:paraId="49DBC134" w14:textId="77777777" w:rsidR="00370DA6" w:rsidRPr="00B11828" w:rsidRDefault="00370DA6" w:rsidP="00370DA6">
            <w:pPr>
              <w:pStyle w:val="TableParagraph"/>
              <w:spacing w:before="0" w:after="0"/>
              <w:ind w:right="95"/>
              <w:jc w:val="right"/>
            </w:pPr>
          </w:p>
          <w:p w14:paraId="0E8FBBD0" w14:textId="77777777" w:rsidR="00370DA6" w:rsidRPr="00B11828" w:rsidRDefault="00370DA6" w:rsidP="00370DA6">
            <w:pPr>
              <w:pStyle w:val="TableParagraph"/>
              <w:spacing w:before="0" w:after="0"/>
              <w:ind w:right="95"/>
              <w:jc w:val="right"/>
            </w:pPr>
          </w:p>
          <w:p w14:paraId="3B24DED3" w14:textId="77777777" w:rsidR="00370DA6" w:rsidRPr="00B11828" w:rsidRDefault="00370DA6" w:rsidP="00370DA6">
            <w:pPr>
              <w:pStyle w:val="TableParagraph"/>
              <w:spacing w:before="0" w:after="0"/>
              <w:ind w:right="95"/>
              <w:jc w:val="right"/>
            </w:pPr>
          </w:p>
          <w:p w14:paraId="10850A57" w14:textId="77777777" w:rsidR="00370DA6" w:rsidRPr="00B11828" w:rsidRDefault="00370DA6" w:rsidP="00370DA6">
            <w:pPr>
              <w:pStyle w:val="TableParagraph"/>
              <w:spacing w:before="0" w:after="0"/>
              <w:jc w:val="right"/>
            </w:pPr>
            <w:r>
              <w:t>0</w:t>
            </w:r>
            <w:bookmarkStart w:id="793" w:name="_Ref4415029"/>
            <w:r>
              <w:rPr>
                <w:rStyle w:val="EndnoteReference"/>
              </w:rPr>
              <w:endnoteReference w:id="417"/>
            </w:r>
            <w:bookmarkEnd w:id="793"/>
            <w:r w:rsidR="001A4F9C">
              <w:br/>
            </w:r>
          </w:p>
          <w:p w14:paraId="5AEA5C3C" w14:textId="36C4D35C" w:rsidR="00370DA6" w:rsidRPr="004C05D9" w:rsidRDefault="00036720" w:rsidP="00370DA6">
            <w:pPr>
              <w:pStyle w:val="TableParagraph"/>
              <w:spacing w:before="0" w:after="0"/>
              <w:ind w:right="95"/>
              <w:jc w:val="right"/>
            </w:pPr>
            <w:r>
              <w:t>3,</w:t>
            </w:r>
            <w:r w:rsidR="002E6A28">
              <w:t>253</w:t>
            </w:r>
          </w:p>
        </w:tc>
      </w:tr>
      <w:tr w:rsidR="00370DA6" w:rsidRPr="004C05D9" w14:paraId="1F936F39" w14:textId="77777777" w:rsidTr="002E6A28">
        <w:tc>
          <w:tcPr>
            <w:tcW w:w="1271" w:type="dxa"/>
            <w:shd w:val="clear" w:color="auto" w:fill="auto"/>
          </w:tcPr>
          <w:p w14:paraId="3B42FD84" w14:textId="77777777" w:rsidR="00370DA6" w:rsidRPr="00117C96" w:rsidRDefault="00370DA6" w:rsidP="006B6D5C">
            <w:pPr>
              <w:pStyle w:val="TableParagraph"/>
              <w:jc w:val="center"/>
            </w:pPr>
            <w:r w:rsidRPr="00117C96">
              <w:t>4</w:t>
            </w:r>
          </w:p>
        </w:tc>
        <w:tc>
          <w:tcPr>
            <w:tcW w:w="4394" w:type="dxa"/>
            <w:shd w:val="clear" w:color="auto" w:fill="auto"/>
          </w:tcPr>
          <w:p w14:paraId="14049762" w14:textId="77777777" w:rsidR="00370DA6" w:rsidRPr="00C64741" w:rsidRDefault="00370DA6" w:rsidP="006B6D5C">
            <w:pPr>
              <w:pStyle w:val="TableParagraph"/>
            </w:pPr>
            <w:r w:rsidRPr="00117C96">
              <w:t xml:space="preserve">Practical test conducted by </w:t>
            </w:r>
            <w:r>
              <w:t>VicRoads</w:t>
            </w:r>
            <w:r w:rsidRPr="00117C96">
              <w:t xml:space="preserve"> for a driver licence or driver licence variation for any motor vehicle other than a heavy vehicle</w:t>
            </w:r>
          </w:p>
        </w:tc>
        <w:tc>
          <w:tcPr>
            <w:tcW w:w="851" w:type="dxa"/>
            <w:shd w:val="clear" w:color="auto" w:fill="auto"/>
          </w:tcPr>
          <w:p w14:paraId="0F3049B2" w14:textId="77777777" w:rsidR="00370DA6" w:rsidRPr="00117C96" w:rsidRDefault="00370DA6" w:rsidP="006B6D5C">
            <w:pPr>
              <w:pStyle w:val="TableParagraph"/>
              <w:jc w:val="center"/>
            </w:pPr>
            <w:r>
              <w:t>24</w:t>
            </w:r>
            <w:r w:rsidRPr="00117C96">
              <w:t>(2)</w:t>
            </w:r>
          </w:p>
        </w:tc>
        <w:tc>
          <w:tcPr>
            <w:tcW w:w="850" w:type="dxa"/>
            <w:shd w:val="clear" w:color="auto" w:fill="auto"/>
          </w:tcPr>
          <w:p w14:paraId="4A87E2E4" w14:textId="77777777" w:rsidR="00370DA6" w:rsidRPr="00117C96" w:rsidRDefault="00370DA6" w:rsidP="006B6D5C">
            <w:pPr>
              <w:pStyle w:val="TableParagraph"/>
              <w:ind w:right="32"/>
              <w:jc w:val="right"/>
            </w:pPr>
            <w:r>
              <w:t>208.4</w:t>
            </w:r>
          </w:p>
        </w:tc>
        <w:tc>
          <w:tcPr>
            <w:tcW w:w="1276" w:type="dxa"/>
            <w:shd w:val="clear" w:color="auto" w:fill="auto"/>
          </w:tcPr>
          <w:p w14:paraId="5A182BA1" w14:textId="067A7411" w:rsidR="00370DA6" w:rsidRPr="00117C96" w:rsidRDefault="00370DA6" w:rsidP="006B6D5C">
            <w:pPr>
              <w:pStyle w:val="TableParagraph"/>
              <w:ind w:right="-17"/>
              <w:jc w:val="right"/>
            </w:pPr>
            <w:r w:rsidRPr="00117C96">
              <w:t>3.08 fee units</w:t>
            </w:r>
            <w:r w:rsidR="001A4F9C">
              <w:br/>
            </w:r>
            <w:r w:rsidR="00036720">
              <w:t xml:space="preserve">(i.e. </w:t>
            </w:r>
            <w:r w:rsidR="00AD0BD3">
              <w:t>$4</w:t>
            </w:r>
            <w:r w:rsidR="002E6A28">
              <w:t>5.60</w:t>
            </w:r>
            <w:r w:rsidR="00036720">
              <w:t>)</w:t>
            </w:r>
          </w:p>
        </w:tc>
        <w:tc>
          <w:tcPr>
            <w:tcW w:w="992" w:type="dxa"/>
            <w:shd w:val="clear" w:color="auto" w:fill="auto"/>
          </w:tcPr>
          <w:p w14:paraId="6C4EA16B" w14:textId="79AB2752" w:rsidR="00370DA6" w:rsidRPr="004C05D9" w:rsidRDefault="00036720" w:rsidP="00370DA6">
            <w:pPr>
              <w:pStyle w:val="TableParagraph"/>
              <w:ind w:right="95"/>
              <w:jc w:val="right"/>
            </w:pPr>
            <w:r>
              <w:t>9,</w:t>
            </w:r>
            <w:r w:rsidR="002E6A28">
              <w:t>527</w:t>
            </w:r>
          </w:p>
        </w:tc>
      </w:tr>
      <w:tr w:rsidR="00370DA6" w:rsidRPr="004C05D9" w14:paraId="21AB1356" w14:textId="77777777" w:rsidTr="002E6A28">
        <w:trPr>
          <w:cnfStyle w:val="000000010000" w:firstRow="0" w:lastRow="0" w:firstColumn="0" w:lastColumn="0" w:oddVBand="0" w:evenVBand="0" w:oddHBand="0" w:evenHBand="1" w:firstRowFirstColumn="0" w:firstRowLastColumn="0" w:lastRowFirstColumn="0" w:lastRowLastColumn="0"/>
        </w:trPr>
        <w:tc>
          <w:tcPr>
            <w:tcW w:w="1271" w:type="dxa"/>
            <w:shd w:val="clear" w:color="auto" w:fill="auto"/>
          </w:tcPr>
          <w:p w14:paraId="761EA02A" w14:textId="77777777" w:rsidR="00370DA6" w:rsidRPr="00117C96" w:rsidRDefault="00370DA6" w:rsidP="006B6D5C">
            <w:pPr>
              <w:pStyle w:val="TableParagraph"/>
              <w:jc w:val="center"/>
            </w:pPr>
            <w:r w:rsidRPr="00117C96">
              <w:t>5</w:t>
            </w:r>
          </w:p>
        </w:tc>
        <w:tc>
          <w:tcPr>
            <w:tcW w:w="4394" w:type="dxa"/>
            <w:shd w:val="clear" w:color="auto" w:fill="auto"/>
          </w:tcPr>
          <w:p w14:paraId="0FF36FE2" w14:textId="77777777" w:rsidR="00370DA6" w:rsidRPr="00C64741" w:rsidRDefault="00370DA6" w:rsidP="006B6D5C">
            <w:pPr>
              <w:pStyle w:val="TableParagraph"/>
            </w:pPr>
            <w:r w:rsidRPr="00117C96">
              <w:t xml:space="preserve">Practical test conducted by </w:t>
            </w:r>
            <w:r>
              <w:t>VicRoads</w:t>
            </w:r>
            <w:r w:rsidRPr="00117C96">
              <w:t xml:space="preserve"> for a driver licence or driver licence variation for any heavy vehicle</w:t>
            </w:r>
          </w:p>
        </w:tc>
        <w:tc>
          <w:tcPr>
            <w:tcW w:w="851" w:type="dxa"/>
            <w:shd w:val="clear" w:color="auto" w:fill="auto"/>
          </w:tcPr>
          <w:p w14:paraId="0917F810" w14:textId="77777777" w:rsidR="00370DA6" w:rsidRPr="00117C96" w:rsidRDefault="00370DA6" w:rsidP="006B6D5C">
            <w:pPr>
              <w:pStyle w:val="TableParagraph"/>
              <w:jc w:val="center"/>
            </w:pPr>
            <w:r>
              <w:t>24</w:t>
            </w:r>
            <w:r w:rsidRPr="00117C96">
              <w:t>(2)</w:t>
            </w:r>
          </w:p>
        </w:tc>
        <w:tc>
          <w:tcPr>
            <w:tcW w:w="850" w:type="dxa"/>
            <w:shd w:val="clear" w:color="auto" w:fill="auto"/>
          </w:tcPr>
          <w:p w14:paraId="779431CF" w14:textId="77777777" w:rsidR="00370DA6" w:rsidRPr="00117C96" w:rsidRDefault="00370DA6" w:rsidP="006B6D5C">
            <w:pPr>
              <w:pStyle w:val="TableParagraph"/>
              <w:ind w:right="32"/>
              <w:jc w:val="right"/>
            </w:pPr>
            <w:r w:rsidRPr="00117C96">
              <w:t>0</w:t>
            </w:r>
            <w:r>
              <w:t>.0</w:t>
            </w:r>
          </w:p>
        </w:tc>
        <w:tc>
          <w:tcPr>
            <w:tcW w:w="1276" w:type="dxa"/>
            <w:shd w:val="clear" w:color="auto" w:fill="auto"/>
          </w:tcPr>
          <w:p w14:paraId="0B47D4A7" w14:textId="0D39C632" w:rsidR="00370DA6" w:rsidRPr="00117C96" w:rsidRDefault="00370DA6" w:rsidP="006B6D5C">
            <w:pPr>
              <w:pStyle w:val="TableParagraph"/>
              <w:ind w:right="-17"/>
              <w:jc w:val="right"/>
            </w:pPr>
            <w:r w:rsidRPr="00117C96">
              <w:t>3.</w:t>
            </w:r>
            <w:r>
              <w:t>36</w:t>
            </w:r>
            <w:r w:rsidRPr="00117C96">
              <w:t xml:space="preserve"> fee units</w:t>
            </w:r>
            <w:r w:rsidR="006466DA">
              <w:br/>
            </w:r>
            <w:r w:rsidR="00036720">
              <w:t xml:space="preserve">(i.e. </w:t>
            </w:r>
            <w:r w:rsidR="00AD0BD3">
              <w:t>$</w:t>
            </w:r>
            <w:r w:rsidR="00036720">
              <w:t>4</w:t>
            </w:r>
            <w:r w:rsidR="002E6A28">
              <w:t>9</w:t>
            </w:r>
            <w:r w:rsidR="00036720">
              <w:t>.80)</w:t>
            </w:r>
          </w:p>
        </w:tc>
        <w:tc>
          <w:tcPr>
            <w:tcW w:w="992" w:type="dxa"/>
            <w:shd w:val="clear" w:color="auto" w:fill="auto"/>
          </w:tcPr>
          <w:p w14:paraId="5DB5C749" w14:textId="0261422D" w:rsidR="00370DA6" w:rsidRPr="004C05D9" w:rsidRDefault="00370DA6" w:rsidP="00370DA6">
            <w:pPr>
              <w:pStyle w:val="TableParagraph"/>
              <w:spacing w:before="0" w:after="0"/>
              <w:jc w:val="right"/>
            </w:pPr>
            <w:r>
              <w:t>0</w:t>
            </w:r>
            <w:r w:rsidR="006C49F1">
              <w:fldChar w:fldCharType="begin"/>
            </w:r>
            <w:r w:rsidR="006C49F1">
              <w:instrText xml:space="preserve"> NOTEREF _Ref4415029 \f \h </w:instrText>
            </w:r>
            <w:r w:rsidR="006C49F1">
              <w:fldChar w:fldCharType="separate"/>
            </w:r>
            <w:r w:rsidR="00EB4B02" w:rsidRPr="00EB4B02">
              <w:rPr>
                <w:rStyle w:val="EndnoteReference"/>
              </w:rPr>
              <w:t>416</w:t>
            </w:r>
            <w:r w:rsidR="006C49F1">
              <w:fldChar w:fldCharType="end"/>
            </w:r>
          </w:p>
        </w:tc>
      </w:tr>
      <w:tr w:rsidR="00370DA6" w:rsidRPr="004C05D9" w14:paraId="67E91507" w14:textId="77777777" w:rsidTr="002E6A28">
        <w:tc>
          <w:tcPr>
            <w:tcW w:w="1271" w:type="dxa"/>
          </w:tcPr>
          <w:p w14:paraId="3B119F96" w14:textId="77777777" w:rsidR="00370DA6" w:rsidRPr="00117C96" w:rsidRDefault="00370DA6" w:rsidP="006B6D5C">
            <w:pPr>
              <w:pStyle w:val="TableParagraph"/>
              <w:jc w:val="center"/>
            </w:pPr>
            <w:r w:rsidRPr="00117C96">
              <w:t>6</w:t>
            </w:r>
          </w:p>
        </w:tc>
        <w:tc>
          <w:tcPr>
            <w:tcW w:w="4394" w:type="dxa"/>
          </w:tcPr>
          <w:p w14:paraId="2E241310" w14:textId="77777777" w:rsidR="00370DA6" w:rsidRPr="00C64741" w:rsidRDefault="00370DA6" w:rsidP="006B6D5C">
            <w:pPr>
              <w:pStyle w:val="TableParagraph"/>
            </w:pPr>
            <w:r w:rsidRPr="00117C96">
              <w:t>Fee to transfer an appointment in relation to testing or assessment for a learner permit or driver licence</w:t>
            </w:r>
          </w:p>
        </w:tc>
        <w:tc>
          <w:tcPr>
            <w:tcW w:w="851" w:type="dxa"/>
          </w:tcPr>
          <w:p w14:paraId="38FC10EC" w14:textId="77777777" w:rsidR="00370DA6" w:rsidRPr="00117C96" w:rsidRDefault="00370DA6" w:rsidP="006B6D5C">
            <w:pPr>
              <w:pStyle w:val="TableParagraph"/>
              <w:jc w:val="center"/>
            </w:pPr>
            <w:r>
              <w:t>24</w:t>
            </w:r>
            <w:r w:rsidRPr="00117C96">
              <w:t>(2)</w:t>
            </w:r>
            <w:r>
              <w:t>, 27(5)</w:t>
            </w:r>
          </w:p>
        </w:tc>
        <w:tc>
          <w:tcPr>
            <w:tcW w:w="850" w:type="dxa"/>
          </w:tcPr>
          <w:p w14:paraId="39220BD8" w14:textId="77777777" w:rsidR="00370DA6" w:rsidRPr="00117C96" w:rsidRDefault="00370DA6" w:rsidP="006B6D5C">
            <w:pPr>
              <w:pStyle w:val="TableParagraph"/>
              <w:ind w:right="32"/>
              <w:jc w:val="right"/>
            </w:pPr>
            <w:r>
              <w:t>57.3</w:t>
            </w:r>
          </w:p>
        </w:tc>
        <w:tc>
          <w:tcPr>
            <w:tcW w:w="1276" w:type="dxa"/>
          </w:tcPr>
          <w:p w14:paraId="6A2D3CB3" w14:textId="111285FD" w:rsidR="00370DA6" w:rsidRPr="00117C96" w:rsidRDefault="00370DA6" w:rsidP="006B6D5C">
            <w:pPr>
              <w:pStyle w:val="TableParagraph"/>
              <w:ind w:right="-17"/>
              <w:jc w:val="right"/>
            </w:pPr>
            <w:r w:rsidRPr="00117C96">
              <w:t>1.28 fee units</w:t>
            </w:r>
            <w:r w:rsidR="006466DA">
              <w:br/>
            </w:r>
            <w:r w:rsidR="00036720">
              <w:t xml:space="preserve">(i.e. </w:t>
            </w:r>
            <w:r w:rsidR="00AD0BD3">
              <w:t>$</w:t>
            </w:r>
            <w:r w:rsidR="002E6A28">
              <w:t>19.00</w:t>
            </w:r>
            <w:r w:rsidR="00036720">
              <w:t>)</w:t>
            </w:r>
          </w:p>
        </w:tc>
        <w:tc>
          <w:tcPr>
            <w:tcW w:w="992" w:type="dxa"/>
          </w:tcPr>
          <w:p w14:paraId="647E9A0F" w14:textId="3FC8E248" w:rsidR="00370DA6" w:rsidRPr="004C05D9" w:rsidRDefault="00036720" w:rsidP="00370DA6">
            <w:pPr>
              <w:pStyle w:val="TableParagraph"/>
              <w:ind w:right="95"/>
              <w:jc w:val="right"/>
            </w:pPr>
            <w:r>
              <w:t>1,0</w:t>
            </w:r>
            <w:r w:rsidR="002E6A28">
              <w:t>85</w:t>
            </w:r>
          </w:p>
        </w:tc>
      </w:tr>
      <w:tr w:rsidR="00370DA6" w:rsidRPr="004C05D9" w14:paraId="614AFE7A" w14:textId="77777777" w:rsidTr="002E6A28">
        <w:trPr>
          <w:cnfStyle w:val="000000010000" w:firstRow="0" w:lastRow="0" w:firstColumn="0" w:lastColumn="0" w:oddVBand="0" w:evenVBand="0" w:oddHBand="0" w:evenHBand="1" w:firstRowFirstColumn="0" w:firstRowLastColumn="0" w:lastRowFirstColumn="0" w:lastRowLastColumn="0"/>
        </w:trPr>
        <w:tc>
          <w:tcPr>
            <w:tcW w:w="8642" w:type="dxa"/>
            <w:gridSpan w:val="5"/>
            <w:shd w:val="clear" w:color="auto" w:fill="DDE8F4" w:themeFill="text2" w:themeFillTint="1A"/>
          </w:tcPr>
          <w:p w14:paraId="73D896BD" w14:textId="77777777" w:rsidR="00370DA6" w:rsidRPr="00117C96" w:rsidRDefault="00370DA6" w:rsidP="006B6D5C">
            <w:pPr>
              <w:pStyle w:val="TableParagraph"/>
              <w:ind w:right="-17"/>
              <w:jc w:val="right"/>
            </w:pPr>
            <w:r w:rsidRPr="00CD2D6C">
              <w:rPr>
                <w:b/>
              </w:rPr>
              <w:t>Total Fee Income</w:t>
            </w:r>
          </w:p>
        </w:tc>
        <w:tc>
          <w:tcPr>
            <w:tcW w:w="992" w:type="dxa"/>
            <w:shd w:val="clear" w:color="auto" w:fill="DDE8F4" w:themeFill="text2" w:themeFillTint="1A"/>
          </w:tcPr>
          <w:p w14:paraId="571BD1C3" w14:textId="151A6FF9" w:rsidR="00370DA6" w:rsidRPr="004C05D9" w:rsidRDefault="002E6A28" w:rsidP="00370DA6">
            <w:pPr>
              <w:pStyle w:val="TableParagraph"/>
              <w:ind w:right="95"/>
              <w:jc w:val="right"/>
            </w:pPr>
            <w:r>
              <w:rPr>
                <w:b/>
              </w:rPr>
              <w:t>30</w:t>
            </w:r>
            <w:r w:rsidR="00036720">
              <w:rPr>
                <w:b/>
              </w:rPr>
              <w:t>,</w:t>
            </w:r>
            <w:r>
              <w:rPr>
                <w:b/>
              </w:rPr>
              <w:t>715</w:t>
            </w:r>
          </w:p>
        </w:tc>
      </w:tr>
    </w:tbl>
    <w:p w14:paraId="5CE6243D" w14:textId="77777777" w:rsidR="00072960" w:rsidRDefault="00072960" w:rsidP="00DF3451"/>
    <w:p w14:paraId="1C716ED2" w14:textId="77777777" w:rsidR="009775F1" w:rsidRPr="009775F1" w:rsidRDefault="009775F1" w:rsidP="009775F1">
      <w:pPr>
        <w:keepNext/>
        <w:keepLines/>
        <w:numPr>
          <w:ilvl w:val="2"/>
          <w:numId w:val="14"/>
        </w:numPr>
        <w:spacing w:before="240" w:line="240" w:lineRule="auto"/>
        <w:outlineLvl w:val="2"/>
        <w:rPr>
          <w:rFonts w:ascii="Segoe UI" w:eastAsiaTheme="majorEastAsia" w:hAnsi="Segoe UI" w:cs="Segoe UI"/>
          <w:b/>
          <w:bCs/>
          <w:color w:val="404040" w:themeColor="text1" w:themeTint="BF"/>
          <w:sz w:val="22"/>
          <w:szCs w:val="26"/>
          <w:lang w:eastAsia="en-AU"/>
        </w:rPr>
      </w:pPr>
      <w:bookmarkStart w:id="794" w:name="_Toc4084241"/>
      <w:bookmarkStart w:id="795" w:name="_Toc4590271"/>
      <w:r w:rsidRPr="009775F1">
        <w:rPr>
          <w:rFonts w:ascii="Segoe UI" w:eastAsiaTheme="majorEastAsia" w:hAnsi="Segoe UI" w:cs="Segoe UI"/>
          <w:b/>
          <w:bCs/>
          <w:color w:val="404040" w:themeColor="text1" w:themeTint="BF"/>
          <w:sz w:val="22"/>
          <w:szCs w:val="26"/>
          <w:lang w:eastAsia="en-AU"/>
        </w:rPr>
        <w:t>Cost Recovery Assessment</w:t>
      </w:r>
      <w:bookmarkEnd w:id="794"/>
      <w:bookmarkEnd w:id="795"/>
    </w:p>
    <w:p w14:paraId="6E2097D9" w14:textId="6859FEDE" w:rsidR="00370DA6" w:rsidRDefault="00370DA6" w:rsidP="00370DA6">
      <w:pPr>
        <w:pStyle w:val="TextPara"/>
        <w:spacing w:after="0"/>
      </w:pPr>
      <w:r w:rsidRPr="008422B1">
        <w:t>Applying DTF</w:t>
      </w:r>
      <w:r>
        <w:t>’s</w:t>
      </w:r>
      <w:r w:rsidRPr="008422B1">
        <w:t xml:space="preserve"> </w:t>
      </w:r>
      <w:r>
        <w:t xml:space="preserve">full </w:t>
      </w:r>
      <w:r w:rsidRPr="008422B1">
        <w:t>cost recovery</w:t>
      </w:r>
      <w:r>
        <w:t xml:space="preserve"> objective</w:t>
      </w:r>
      <w:r w:rsidRPr="008422B1">
        <w:t xml:space="preserve">, the total cost to deliver these services </w:t>
      </w:r>
      <w:r>
        <w:t>(</w:t>
      </w:r>
      <w:r w:rsidRPr="00295C58">
        <w:t>$</w:t>
      </w:r>
      <w:r w:rsidR="002E6A28">
        <w:t>40.94</w:t>
      </w:r>
      <w:r w:rsidRPr="00295C58">
        <w:t>m</w:t>
      </w:r>
      <w:r w:rsidRPr="008422B1">
        <w:t>) should be</w:t>
      </w:r>
      <w:r w:rsidRPr="00B238CA">
        <w:t xml:space="preserve"> borne by those who </w:t>
      </w:r>
      <w:r>
        <w:t>consume the service</w:t>
      </w:r>
      <w:r w:rsidRPr="00B238CA">
        <w:t xml:space="preserve">. </w:t>
      </w:r>
      <w:r>
        <w:t>To achieve full cost recovery</w:t>
      </w:r>
      <w:r w:rsidR="00253416">
        <w:t xml:space="preserve"> however</w:t>
      </w:r>
      <w:r>
        <w:t xml:space="preserve">, </w:t>
      </w:r>
      <w:r w:rsidRPr="00D033E4">
        <w:t>the current fees</w:t>
      </w:r>
      <w:r w:rsidRPr="001044A7">
        <w:t xml:space="preserve"> </w:t>
      </w:r>
      <w:r w:rsidRPr="00D033E4">
        <w:t xml:space="preserve">would </w:t>
      </w:r>
      <w:r>
        <w:t>need to be increased by</w:t>
      </w:r>
      <w:r w:rsidRPr="00D033E4">
        <w:t xml:space="preserve"> </w:t>
      </w:r>
      <w:r w:rsidRPr="009C5FEA">
        <w:t>3</w:t>
      </w:r>
      <w:r w:rsidR="002E6A28">
        <w:t>3.3</w:t>
      </w:r>
      <w:r w:rsidRPr="00D033E4">
        <w:t>%</w:t>
      </w:r>
      <w:r w:rsidR="009775F1">
        <w:t xml:space="preserve"> across the fee group</w:t>
      </w:r>
      <w:r w:rsidR="00072960">
        <w:t>.</w:t>
      </w:r>
      <w:r w:rsidRPr="00D033E4">
        <w:t xml:space="preserve"> </w:t>
      </w:r>
      <w:r w:rsidR="00D27694">
        <w:t>The breakdown</w:t>
      </w:r>
      <w:r w:rsidR="009775F1">
        <w:t xml:space="preserve"> applying the fixed rate by fee</w:t>
      </w:r>
      <w:r w:rsidR="00D27694">
        <w:t xml:space="preserve"> is as follows:</w:t>
      </w:r>
    </w:p>
    <w:p w14:paraId="4EB5613F" w14:textId="5A251E26" w:rsidR="00AD5EE6" w:rsidRPr="008422B1" w:rsidRDefault="00AD5EE6" w:rsidP="00AD5EE6">
      <w:pPr>
        <w:pStyle w:val="Bullet1-Black"/>
        <w:tabs>
          <w:tab w:val="left" w:pos="2835"/>
        </w:tabs>
      </w:pPr>
      <w:r w:rsidRPr="008422B1">
        <w:t>Knowledge Test</w:t>
      </w:r>
      <w:r w:rsidRPr="008422B1">
        <w:tab/>
      </w:r>
      <w:r w:rsidRPr="00E15321">
        <w:t>$</w:t>
      </w:r>
      <w:r w:rsidRPr="008422B1">
        <w:t xml:space="preserve"> 5</w:t>
      </w:r>
      <w:r w:rsidR="002E6A28">
        <w:t>8</w:t>
      </w:r>
      <w:r>
        <w:t>.10 (currently $4</w:t>
      </w:r>
      <w:r w:rsidR="002E6A28">
        <w:t>3.60</w:t>
      </w:r>
      <w:r>
        <w:t xml:space="preserve"> inclusive of appointment fee)</w:t>
      </w:r>
    </w:p>
    <w:p w14:paraId="1F608628" w14:textId="7961BAC9" w:rsidR="00AD5EE6" w:rsidRPr="008422B1" w:rsidRDefault="00AD5EE6" w:rsidP="00AD5EE6">
      <w:pPr>
        <w:pStyle w:val="Bullet1-Black"/>
        <w:tabs>
          <w:tab w:val="left" w:pos="2835"/>
        </w:tabs>
      </w:pPr>
      <w:r w:rsidRPr="008422B1">
        <w:t>Hazard Perception Test</w:t>
      </w:r>
      <w:r w:rsidRPr="008422B1">
        <w:tab/>
        <w:t xml:space="preserve">$ </w:t>
      </w:r>
      <w:r w:rsidR="002E6A28">
        <w:t>50.40</w:t>
      </w:r>
      <w:r>
        <w:t xml:space="preserve"> (currently $36</w:t>
      </w:r>
      <w:r w:rsidR="002E6A28">
        <w:t>.</w:t>
      </w:r>
      <w:r w:rsidR="00E9555F">
        <w:t>9</w:t>
      </w:r>
      <w:r w:rsidR="002E6A28">
        <w:t>0</w:t>
      </w:r>
      <w:r>
        <w:t xml:space="preserve"> inclusive of appointment fee)</w:t>
      </w:r>
    </w:p>
    <w:p w14:paraId="3E0130AE" w14:textId="5AEC1615" w:rsidR="00AD5EE6" w:rsidRDefault="00AD5EE6" w:rsidP="00DE56FD">
      <w:pPr>
        <w:pStyle w:val="Bullet1-Black"/>
        <w:tabs>
          <w:tab w:val="left" w:pos="2835"/>
        </w:tabs>
        <w:spacing w:after="0"/>
      </w:pPr>
      <w:r w:rsidRPr="008422B1">
        <w:t>Drive Test</w:t>
      </w:r>
      <w:r w:rsidRPr="008422B1">
        <w:tab/>
        <w:t>$ 8</w:t>
      </w:r>
      <w:r w:rsidR="002E6A28">
        <w:t>6.10</w:t>
      </w:r>
      <w:r>
        <w:t xml:space="preserve"> (currently $6</w:t>
      </w:r>
      <w:r w:rsidR="002E6A28">
        <w:t>4.60</w:t>
      </w:r>
      <w:r>
        <w:t xml:space="preserve"> inclusive of appointment fee)</w:t>
      </w:r>
    </w:p>
    <w:p w14:paraId="5D88F435" w14:textId="4BEE38A5" w:rsidR="009775F1" w:rsidRDefault="00C908C1" w:rsidP="009775F1">
      <w:pPr>
        <w:pStyle w:val="TextPara"/>
      </w:pPr>
      <w:r w:rsidRPr="008422B1">
        <w:t xml:space="preserve">This would equate to </w:t>
      </w:r>
      <w:r w:rsidRPr="00E15321">
        <w:t>$</w:t>
      </w:r>
      <w:r w:rsidRPr="008422B1">
        <w:t>1</w:t>
      </w:r>
      <w:r w:rsidR="002E6A28">
        <w:t>94.60</w:t>
      </w:r>
      <w:r w:rsidRPr="008422B1">
        <w:t xml:space="preserve"> for each person to obtain their licence</w:t>
      </w:r>
      <w:r>
        <w:t>,</w:t>
      </w:r>
      <w:r w:rsidR="00D27694">
        <w:t xml:space="preserve"> </w:t>
      </w:r>
      <w:r w:rsidRPr="008422B1">
        <w:t xml:space="preserve"> if they were to pass each </w:t>
      </w:r>
      <w:r>
        <w:t xml:space="preserve">test </w:t>
      </w:r>
      <w:r w:rsidRPr="008422B1">
        <w:t xml:space="preserve">at first attempt. It is not unusual for some candidates to require more than one attempt at passing one or more of the tests. For example, the </w:t>
      </w:r>
      <w:r>
        <w:t xml:space="preserve">average </w:t>
      </w:r>
      <w:r w:rsidRPr="008422B1">
        <w:t xml:space="preserve">pass rate for </w:t>
      </w:r>
      <w:r>
        <w:t xml:space="preserve">the </w:t>
      </w:r>
      <w:r w:rsidRPr="008422B1">
        <w:t xml:space="preserve">Drive Test is 80%. Customers needing to </w:t>
      </w:r>
      <w:r>
        <w:t>re</w:t>
      </w:r>
      <w:r w:rsidRPr="008422B1">
        <w:t xml:space="preserve">take </w:t>
      </w:r>
      <w:r>
        <w:t xml:space="preserve">any of </w:t>
      </w:r>
      <w:r>
        <w:lastRenderedPageBreak/>
        <w:t xml:space="preserve">these </w:t>
      </w:r>
      <w:r w:rsidRPr="008422B1">
        <w:t xml:space="preserve">tests </w:t>
      </w:r>
      <w:r>
        <w:t xml:space="preserve">which </w:t>
      </w:r>
      <w:r w:rsidRPr="008422B1">
        <w:t xml:space="preserve">will incur added expense to obtain their licence, </w:t>
      </w:r>
      <w:r>
        <w:t>increasing their costs to</w:t>
      </w:r>
      <w:r w:rsidRPr="008422B1">
        <w:t xml:space="preserve"> approximately </w:t>
      </w:r>
      <w:r w:rsidRPr="00E15321">
        <w:t>$</w:t>
      </w:r>
      <w:r w:rsidRPr="008422B1">
        <w:t>2</w:t>
      </w:r>
      <w:r>
        <w:t>5</w:t>
      </w:r>
      <w:r w:rsidR="002E6A28">
        <w:t>9.5</w:t>
      </w:r>
      <w:r w:rsidRPr="008422B1">
        <w:t>0</w:t>
      </w:r>
      <w:r>
        <w:t xml:space="preserve"> for just a single test fail</w:t>
      </w:r>
      <w:r w:rsidR="00D27694">
        <w:t>, based on the $1</w:t>
      </w:r>
      <w:r w:rsidR="002E6A28">
        <w:t>94.60</w:t>
      </w:r>
      <w:r w:rsidR="00D27694">
        <w:t xml:space="preserve"> cost and the average cost of the</w:t>
      </w:r>
      <w:r w:rsidR="00CD16D8">
        <w:t xml:space="preserve"> </w:t>
      </w:r>
      <w:r w:rsidR="009775F1">
        <w:t xml:space="preserve">FY19/20 fees. </w:t>
      </w:r>
    </w:p>
    <w:p w14:paraId="67FD5DEA" w14:textId="1B41790C" w:rsidR="000037C8" w:rsidRDefault="009775F1" w:rsidP="009775F1">
      <w:pPr>
        <w:pStyle w:val="TextPara"/>
      </w:pPr>
      <w:r>
        <w:fldChar w:fldCharType="begin"/>
      </w:r>
      <w:r>
        <w:instrText xml:space="preserve"> REF _Ref4518747 \h </w:instrText>
      </w:r>
      <w:r>
        <w:fldChar w:fldCharType="separate"/>
      </w:r>
      <w:r w:rsidR="00EB4B02" w:rsidRPr="009775F1">
        <w:rPr>
          <w:rFonts w:cs="Segoe UI"/>
          <w:b/>
          <w:bCs/>
          <w:color w:val="0A1F3F"/>
          <w:sz w:val="18"/>
          <w:szCs w:val="18"/>
        </w:rPr>
        <w:t xml:space="preserve">Figure </w:t>
      </w:r>
      <w:r w:rsidR="00EB4B02">
        <w:rPr>
          <w:rFonts w:cs="Segoe UI"/>
          <w:b/>
          <w:bCs/>
          <w:noProof/>
          <w:color w:val="0A1F3F"/>
          <w:sz w:val="18"/>
          <w:szCs w:val="18"/>
        </w:rPr>
        <w:t>16</w:t>
      </w:r>
      <w:r>
        <w:fldChar w:fldCharType="end"/>
      </w:r>
      <w:r>
        <w:t xml:space="preserve"> illustrates the key process components of the learner permit and licence testing services and the corresponding transaction average duration and delivery features. Note that although transaction time figures were sufficiently robust to estimate fee group costs, they were not consistent enough to support estimating costs for individual transaction types and therefore setting of individual fees</w:t>
      </w:r>
      <w:r w:rsidR="0069070D">
        <w:t xml:space="preserve">. </w:t>
      </w:r>
      <w:r w:rsidR="0069070D">
        <w:rPr>
          <w:rStyle w:val="EndnoteReference"/>
        </w:rPr>
        <w:endnoteReference w:id="418"/>
      </w:r>
      <w:r w:rsidR="00621C8F">
        <w:t xml:space="preserve"> </w:t>
      </w:r>
      <w:r w:rsidR="007D3771">
        <w:t xml:space="preserve"> </w:t>
      </w:r>
    </w:p>
    <w:p w14:paraId="6DCA98B4" w14:textId="2687E896" w:rsidR="00D70E3B" w:rsidRDefault="009775F1" w:rsidP="009775F1">
      <w:pPr>
        <w:pStyle w:val="TextPara"/>
        <w:spacing w:after="0"/>
        <w:rPr>
          <w:rFonts w:cs="Segoe UI"/>
          <w:b/>
          <w:bCs/>
          <w:color w:val="0A1F3F"/>
          <w:sz w:val="18"/>
          <w:szCs w:val="18"/>
        </w:rPr>
      </w:pPr>
      <w:bookmarkStart w:id="796" w:name="_Ref4518747"/>
      <w:bookmarkStart w:id="797" w:name="_Toc10703661"/>
      <w:r w:rsidRPr="009775F1">
        <w:rPr>
          <w:rFonts w:cs="Segoe UI"/>
          <w:b/>
          <w:bCs/>
          <w:color w:val="0A1F3F"/>
          <w:sz w:val="18"/>
          <w:szCs w:val="18"/>
        </w:rPr>
        <w:t xml:space="preserve">Figure </w:t>
      </w:r>
      <w:r w:rsidRPr="009775F1">
        <w:rPr>
          <w:rFonts w:cs="Segoe UI"/>
          <w:b/>
          <w:bCs/>
          <w:color w:val="0A1F3F"/>
          <w:sz w:val="18"/>
          <w:szCs w:val="18"/>
        </w:rPr>
        <w:fldChar w:fldCharType="begin"/>
      </w:r>
      <w:r w:rsidRPr="009775F1">
        <w:rPr>
          <w:rFonts w:cs="Segoe UI"/>
          <w:b/>
          <w:bCs/>
          <w:color w:val="0A1F3F"/>
          <w:sz w:val="18"/>
          <w:szCs w:val="18"/>
        </w:rPr>
        <w:instrText xml:space="preserve"> SEQ Figure \* ARABIC </w:instrText>
      </w:r>
      <w:r w:rsidRPr="009775F1">
        <w:rPr>
          <w:rFonts w:cs="Segoe UI"/>
          <w:b/>
          <w:bCs/>
          <w:color w:val="0A1F3F"/>
          <w:sz w:val="18"/>
          <w:szCs w:val="18"/>
        </w:rPr>
        <w:fldChar w:fldCharType="separate"/>
      </w:r>
      <w:r w:rsidR="00EB4B02">
        <w:rPr>
          <w:rFonts w:cs="Segoe UI"/>
          <w:b/>
          <w:bCs/>
          <w:noProof/>
          <w:color w:val="0A1F3F"/>
          <w:sz w:val="18"/>
          <w:szCs w:val="18"/>
        </w:rPr>
        <w:t>16</w:t>
      </w:r>
      <w:r w:rsidRPr="009775F1">
        <w:rPr>
          <w:rFonts w:cs="Segoe UI"/>
          <w:b/>
          <w:bCs/>
          <w:color w:val="0A1F3F"/>
          <w:sz w:val="18"/>
          <w:szCs w:val="18"/>
        </w:rPr>
        <w:fldChar w:fldCharType="end"/>
      </w:r>
      <w:bookmarkEnd w:id="796"/>
      <w:r w:rsidRPr="009775F1">
        <w:rPr>
          <w:rFonts w:cs="Segoe UI"/>
          <w:b/>
          <w:bCs/>
          <w:color w:val="0A1F3F"/>
          <w:sz w:val="18"/>
          <w:szCs w:val="18"/>
        </w:rPr>
        <w:t xml:space="preserve"> – Cost Recovery: Learner Permit and Licence Testing</w:t>
      </w:r>
      <w:bookmarkEnd w:id="797"/>
    </w:p>
    <w:p w14:paraId="232C8709" w14:textId="4A616FB2" w:rsidR="00D70E3B" w:rsidRPr="009775F1" w:rsidRDefault="00D70E3B" w:rsidP="009775F1">
      <w:pPr>
        <w:pStyle w:val="TextPara"/>
        <w:spacing w:after="0"/>
        <w:rPr>
          <w:rFonts w:cs="Segoe UI"/>
          <w:b/>
          <w:bCs/>
          <w:color w:val="0A1F3F"/>
          <w:sz w:val="18"/>
          <w:szCs w:val="18"/>
        </w:rPr>
      </w:pPr>
    </w:p>
    <w:p w14:paraId="6BA8BF79" w14:textId="3DCD2126" w:rsidR="000037C8" w:rsidRDefault="00D70E3B" w:rsidP="003E14A3">
      <w:pPr>
        <w:pStyle w:val="TextPara"/>
        <w:spacing w:after="0" w:line="240" w:lineRule="auto"/>
      </w:pPr>
      <w:r>
        <w:rPr>
          <w:noProof/>
          <w:lang w:val="en-GB" w:eastAsia="en-GB"/>
        </w:rPr>
        <w:drawing>
          <wp:inline distT="0" distB="0" distL="0" distR="0" wp14:anchorId="017D79F6" wp14:editId="45BC8CF6">
            <wp:extent cx="5495925" cy="63150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95925" cy="6315075"/>
                    </a:xfrm>
                    <a:prstGeom prst="rect">
                      <a:avLst/>
                    </a:prstGeom>
                    <a:noFill/>
                    <a:ln>
                      <a:noFill/>
                    </a:ln>
                  </pic:spPr>
                </pic:pic>
              </a:graphicData>
            </a:graphic>
          </wp:inline>
        </w:drawing>
      </w:r>
    </w:p>
    <w:p w14:paraId="3603980F" w14:textId="77777777" w:rsidR="00370DA6" w:rsidRDefault="00370DA6" w:rsidP="00C908C1">
      <w:pPr>
        <w:pStyle w:val="TextPara"/>
        <w:keepNext/>
      </w:pPr>
      <w:r>
        <w:lastRenderedPageBreak/>
        <w:t>Assessing full cost recovery for these services against the other criteria the following was determined:</w:t>
      </w:r>
    </w:p>
    <w:p w14:paraId="42ED48F9" w14:textId="77777777" w:rsidR="00370DA6" w:rsidRDefault="00370DA6" w:rsidP="00370DA6">
      <w:pPr>
        <w:pStyle w:val="NoSpacing"/>
      </w:pPr>
      <w:r w:rsidRPr="00B238CA">
        <w:t>Operational Efficiency</w:t>
      </w:r>
    </w:p>
    <w:p w14:paraId="241543E9" w14:textId="734EAC69" w:rsidR="00370DA6" w:rsidRPr="00B238CA" w:rsidRDefault="00370DA6" w:rsidP="008422B1">
      <w:pPr>
        <w:pStyle w:val="TextPara"/>
      </w:pPr>
      <w:r>
        <w:t>DoT considers that these services are delivered efficiently with t</w:t>
      </w:r>
      <w:r w:rsidRPr="00B238CA">
        <w:t>ransactions involving verification of documentation requir</w:t>
      </w:r>
      <w:r>
        <w:t>ing</w:t>
      </w:r>
      <w:r w:rsidRPr="00B238CA">
        <w:t xml:space="preserve"> the customer to come prepared with the relevant information. These transactions require a block of </w:t>
      </w:r>
      <w:r>
        <w:t xml:space="preserve">staff </w:t>
      </w:r>
      <w:r w:rsidRPr="00B238CA">
        <w:t xml:space="preserve">time to review the documentation for completeness and authenticity of the relevant supporting evidence and to ensure that the information presented meets the </w:t>
      </w:r>
      <w:r>
        <w:t>requirements</w:t>
      </w:r>
      <w:r w:rsidRPr="00B238CA">
        <w:t xml:space="preserve"> for the service. For efficient delivery of service and use of the customer’s time, the making of appointments is used as a mechanism to alert the customer to the documentation requirements and ensure efficient planning of VicRoads resources to process the transaction. This approach has been effective as it:</w:t>
      </w:r>
    </w:p>
    <w:p w14:paraId="5EDB181C" w14:textId="77777777" w:rsidR="00370DA6" w:rsidRPr="00B238CA" w:rsidRDefault="00370DA6" w:rsidP="00370DA6">
      <w:pPr>
        <w:pStyle w:val="Bullet1-Black"/>
      </w:pPr>
      <w:r w:rsidRPr="00B238CA">
        <w:t>provides the customers with an overview of the service to be delivered by appointment and information about the documentation they are required to produce based on the particular circumstances of their case</w:t>
      </w:r>
    </w:p>
    <w:p w14:paraId="1638DB8B" w14:textId="77777777" w:rsidR="00370DA6" w:rsidRPr="00B238CA" w:rsidRDefault="00370DA6" w:rsidP="00370DA6">
      <w:pPr>
        <w:pStyle w:val="Bullet1-Black"/>
      </w:pPr>
      <w:r w:rsidRPr="00B238CA">
        <w:t>provides documentary confirmation to the customer of appointment date, time and the documentation required to bring with them to successfully complete the transaction</w:t>
      </w:r>
    </w:p>
    <w:p w14:paraId="1E4B1028" w14:textId="77777777" w:rsidR="00370DA6" w:rsidRPr="00B238CA" w:rsidRDefault="00370DA6" w:rsidP="00370DA6">
      <w:pPr>
        <w:pStyle w:val="Bullet1-Black"/>
      </w:pPr>
      <w:r w:rsidRPr="00B238CA">
        <w:t>enables the scheduling of VicRoads resources and delivery of efficient services by ensuring staff availability and eliminating utilisation gaps</w:t>
      </w:r>
    </w:p>
    <w:p w14:paraId="40B78BE6" w14:textId="77777777" w:rsidR="00370DA6" w:rsidRPr="00B238CA" w:rsidRDefault="00370DA6" w:rsidP="00370DA6">
      <w:pPr>
        <w:pStyle w:val="Bullet1-Black"/>
      </w:pPr>
      <w:r w:rsidRPr="00B238CA">
        <w:t>minimises burden on the customer through reduced:</w:t>
      </w:r>
    </w:p>
    <w:p w14:paraId="5C7EC753" w14:textId="77777777" w:rsidR="00370DA6" w:rsidRPr="00B238CA" w:rsidRDefault="00370DA6" w:rsidP="00370DA6">
      <w:pPr>
        <w:pStyle w:val="Bullet2-Green"/>
        <w:ind w:hanging="360"/>
      </w:pPr>
      <w:r w:rsidRPr="00B238CA">
        <w:t>wait times as they are not required to queue up for the service</w:t>
      </w:r>
    </w:p>
    <w:p w14:paraId="06B1B404" w14:textId="77777777" w:rsidR="00370DA6" w:rsidRPr="00B238CA" w:rsidRDefault="00370DA6" w:rsidP="00370DA6">
      <w:pPr>
        <w:pStyle w:val="Bullet2-Green"/>
        <w:ind w:hanging="360"/>
      </w:pPr>
      <w:r w:rsidRPr="00B238CA">
        <w:t>transaction processing times at the CSC.</w:t>
      </w:r>
    </w:p>
    <w:p w14:paraId="10E40FB2" w14:textId="4EBE8D3F" w:rsidR="005C3D23" w:rsidRDefault="00253416" w:rsidP="008103DD">
      <w:pPr>
        <w:pStyle w:val="TextPara"/>
      </w:pPr>
      <w:r>
        <w:t xml:space="preserve">As set out </w:t>
      </w:r>
      <w:r w:rsidR="00B702B1">
        <w:t xml:space="preserve">above, </w:t>
      </w:r>
      <w:r w:rsidR="005C3D23">
        <w:t>VicRoads information systems do not  differentiate between the type of appointment and how that appointment is transacted. As such, the appointment revenues and costs are averaged across all appointments. The averaged appointment costs are added to the service being delivered to produce a total cost.</w:t>
      </w:r>
    </w:p>
    <w:p w14:paraId="6A53B067" w14:textId="4E987DA4" w:rsidR="00370DA6" w:rsidRPr="00DB4C8E" w:rsidRDefault="00370DA6" w:rsidP="00370DA6">
      <w:pPr>
        <w:pStyle w:val="TextPara"/>
      </w:pPr>
      <w:r w:rsidRPr="006F1FEC">
        <w:t xml:space="preserve">Charging </w:t>
      </w:r>
      <w:r>
        <w:t xml:space="preserve">a </w:t>
      </w:r>
      <w:r w:rsidRPr="006F1FEC">
        <w:t xml:space="preserve">fee at full cost recovery </w:t>
      </w:r>
      <w:r>
        <w:t>will not</w:t>
      </w:r>
      <w:r w:rsidRPr="006F1FEC">
        <w:t xml:space="preserve"> impact how this service is delivered</w:t>
      </w:r>
      <w:r>
        <w:t xml:space="preserve"> as the test will not change and the use of appointments will remain the same as it is the most efficient way to allocate resources and ensure that the customer’s time is used effectively</w:t>
      </w:r>
      <w:r w:rsidRPr="006F1FEC">
        <w:t xml:space="preserve">. </w:t>
      </w:r>
    </w:p>
    <w:p w14:paraId="27A34D0A" w14:textId="77777777" w:rsidR="00370DA6" w:rsidRDefault="00370DA6" w:rsidP="00370DA6">
      <w:pPr>
        <w:pStyle w:val="TextPara"/>
      </w:pPr>
      <w:r>
        <w:t>If these fees were to be charged at a zero rate it may result in some of the services (e.g. licence testing) becoming undervalued and resulting in frivolous use to avoid professional driving lessons, which would negatively impact costs and staffing allocation and resulting in longer wait time for appointments.</w:t>
      </w:r>
    </w:p>
    <w:p w14:paraId="3ECF4882" w14:textId="77777777" w:rsidR="00370DA6" w:rsidRDefault="00370DA6" w:rsidP="00370DA6">
      <w:pPr>
        <w:pStyle w:val="NoSpacing"/>
      </w:pPr>
      <w:r w:rsidRPr="00B238CA">
        <w:t xml:space="preserve">Simplicity </w:t>
      </w:r>
    </w:p>
    <w:p w14:paraId="311D6ED5" w14:textId="77777777" w:rsidR="00370DA6" w:rsidRDefault="00370DA6" w:rsidP="00370DA6">
      <w:pPr>
        <w:pStyle w:val="TextPara"/>
      </w:pPr>
      <w:r>
        <w:t xml:space="preserve">Charging a flat fee at full or partial cost recovery would be more complex than not charging any fee. However, this would be less complex than charging a partial fee if there is some discretion as to the application of a fee (e.g. concession entitlement). </w:t>
      </w:r>
    </w:p>
    <w:p w14:paraId="51319F6B" w14:textId="14FFB95F" w:rsidR="00370DA6" w:rsidRPr="00B238CA" w:rsidRDefault="00370DA6" w:rsidP="00370DA6">
      <w:pPr>
        <w:pStyle w:val="TextPara"/>
      </w:pPr>
      <w:r>
        <w:t xml:space="preserve">Any formal mechanism to introduce </w:t>
      </w:r>
      <w:r w:rsidRPr="00DB4C8E">
        <w:t xml:space="preserve">partial cost recovery </w:t>
      </w:r>
      <w:r>
        <w:t xml:space="preserve">based on affordability through </w:t>
      </w:r>
      <w:r w:rsidRPr="00DB4C8E">
        <w:t>means test</w:t>
      </w:r>
      <w:r>
        <w:t>ing</w:t>
      </w:r>
      <w:r w:rsidRPr="00DB4C8E">
        <w:t xml:space="preserve"> customers</w:t>
      </w:r>
      <w:r>
        <w:t xml:space="preserve"> would be problematic</w:t>
      </w:r>
      <w:r w:rsidRPr="00DB4C8E">
        <w:t xml:space="preserve">. </w:t>
      </w:r>
      <w:r>
        <w:t xml:space="preserve">The introduction of concessions </w:t>
      </w:r>
      <w:r w:rsidRPr="00DB4C8E">
        <w:t>on the basis of student, apprentice or entry level employment status</w:t>
      </w:r>
      <w:r>
        <w:t xml:space="preserve"> </w:t>
      </w:r>
      <w:r w:rsidRPr="00DB4C8E">
        <w:t xml:space="preserve">would be expensive to administer </w:t>
      </w:r>
      <w:r>
        <w:t xml:space="preserve">as they would require complex rules (e.g. what level of income qualifies as entry-level employment, would part-time students qualify) </w:t>
      </w:r>
      <w:r w:rsidRPr="00DB4C8E">
        <w:t>and compromise the objective of delivering services at an efficient cost.</w:t>
      </w:r>
      <w:r w:rsidR="00152ED8">
        <w:t xml:space="preserve"> </w:t>
      </w:r>
      <w:r w:rsidR="00B702B1">
        <w:t xml:space="preserve"> </w:t>
      </w:r>
      <w:r w:rsidR="00B702B1" w:rsidRPr="00B702B1">
        <w:t>Whilst there is an established Concession Card system to support those with financial hardship, this system is focussed on mature adults rather than young drivers, who have unique challenges as they are typically students or new to the workforce, and are not covered by the scheme.</w:t>
      </w:r>
    </w:p>
    <w:p w14:paraId="77BDB4FE" w14:textId="77777777" w:rsidR="00370DA6" w:rsidRDefault="00370DA6" w:rsidP="00370DA6">
      <w:pPr>
        <w:pStyle w:val="NoSpacing"/>
      </w:pPr>
      <w:r w:rsidRPr="00B238CA">
        <w:lastRenderedPageBreak/>
        <w:t>Customer Behaviours</w:t>
      </w:r>
    </w:p>
    <w:p w14:paraId="43D56E68" w14:textId="77777777" w:rsidR="00370DA6" w:rsidRDefault="00370DA6" w:rsidP="00370DA6">
      <w:pPr>
        <w:pStyle w:val="TextPara"/>
      </w:pPr>
      <w:r w:rsidRPr="00F93104">
        <w:t xml:space="preserve">Charging </w:t>
      </w:r>
      <w:r>
        <w:t xml:space="preserve">a </w:t>
      </w:r>
      <w:r w:rsidRPr="00F93104">
        <w:t xml:space="preserve">fee at full cost recovery may </w:t>
      </w:r>
      <w:r w:rsidRPr="00B24509">
        <w:t>challenge customers</w:t>
      </w:r>
      <w:r>
        <w:t>’</w:t>
      </w:r>
      <w:r w:rsidRPr="00B24509">
        <w:t xml:space="preserve"> willingness to undertake the licensing process and risk driving unlicensed</w:t>
      </w:r>
      <w:r w:rsidR="00F756E7">
        <w:t>. The total cost of the licensing process to young Victorians is significant due to their low income levels</w:t>
      </w:r>
      <w:r w:rsidR="00F756E7" w:rsidRPr="00B24509">
        <w:t>.</w:t>
      </w:r>
      <w:r w:rsidRPr="00B24509">
        <w:t xml:space="preserve"> </w:t>
      </w:r>
      <w:r w:rsidRPr="00F93104">
        <w:t xml:space="preserve">If </w:t>
      </w:r>
      <w:r w:rsidR="00F756E7">
        <w:t xml:space="preserve">these services were to be offered at no charge, </w:t>
      </w:r>
      <w:r w:rsidRPr="00F93104">
        <w:t xml:space="preserve">it may result </w:t>
      </w:r>
      <w:r>
        <w:t xml:space="preserve">in </w:t>
      </w:r>
      <w:r w:rsidRPr="00F93104">
        <w:t>some of the services becoming undervalued and resulting in frivolous use of the service</w:t>
      </w:r>
      <w:r w:rsidR="00370F7F">
        <w:t xml:space="preserve"> </w:t>
      </w:r>
      <w:r w:rsidR="00370F7F" w:rsidRPr="00F93104">
        <w:t>(e.g.</w:t>
      </w:r>
      <w:r w:rsidR="00370F7F">
        <w:t xml:space="preserve"> using the drive test in lieu of professional driving lessons to practice and hone driving skills</w:t>
      </w:r>
      <w:r w:rsidR="00370F7F" w:rsidRPr="00F93104">
        <w:t>)</w:t>
      </w:r>
      <w:r w:rsidRPr="00F93104">
        <w:t xml:space="preserve">. </w:t>
      </w:r>
      <w:r>
        <w:t xml:space="preserve">It is desirable to charge a fee to </w:t>
      </w:r>
      <w:r w:rsidRPr="00F93104">
        <w:t xml:space="preserve">ensure </w:t>
      </w:r>
      <w:r w:rsidRPr="00B24509">
        <w:t xml:space="preserve">that </w:t>
      </w:r>
      <w:r w:rsidRPr="00F93104">
        <w:t xml:space="preserve">the customer values the service </w:t>
      </w:r>
      <w:r>
        <w:t>and uses it as intended</w:t>
      </w:r>
      <w:r w:rsidRPr="00F93104">
        <w:t>.</w:t>
      </w:r>
    </w:p>
    <w:p w14:paraId="6DF9689D" w14:textId="77777777" w:rsidR="00370DA6" w:rsidRDefault="00370DA6" w:rsidP="00370DA6">
      <w:pPr>
        <w:pStyle w:val="TextPara"/>
      </w:pPr>
      <w:r>
        <w:t>However, the fee for these services must be struck at a rate that makes them accessible to this cohort of customers, to ensure that they do not risk driving unlicensed, which compromises road safety.</w:t>
      </w:r>
    </w:p>
    <w:p w14:paraId="142F5143" w14:textId="77777777" w:rsidR="00370DA6" w:rsidRDefault="00370DA6" w:rsidP="00370DA6">
      <w:pPr>
        <w:pStyle w:val="NoSpacing"/>
      </w:pPr>
      <w:r w:rsidRPr="003E2451">
        <w:t>Equity</w:t>
      </w:r>
    </w:p>
    <w:p w14:paraId="764D457D" w14:textId="77777777" w:rsidR="00370DA6" w:rsidRDefault="00370DA6" w:rsidP="00370DA6">
      <w:pPr>
        <w:pStyle w:val="TextPara"/>
      </w:pPr>
      <w:r w:rsidRPr="00674799">
        <w:t>The customers benefit</w:t>
      </w:r>
      <w:r>
        <w:t>ing</w:t>
      </w:r>
      <w:r w:rsidRPr="00674799">
        <w:t xml:space="preserve"> from these services are typically young Victorians who are </w:t>
      </w:r>
      <w:r>
        <w:t>studying at</w:t>
      </w:r>
      <w:r w:rsidRPr="00674799">
        <w:t xml:space="preserve"> university</w:t>
      </w:r>
      <w:r>
        <w:t xml:space="preserve"> or </w:t>
      </w:r>
      <w:r w:rsidRPr="00674799">
        <w:t>TAFE, undertaking apprenticeships, or participating in the workforce at entry level. Whilst they are the primary beneficiaries of this service, the Victorian public derive</w:t>
      </w:r>
      <w:r>
        <w:t>s</w:t>
      </w:r>
      <w:r w:rsidRPr="00674799">
        <w:t xml:space="preserve"> a benefit from their participation in the workforce and will derive a future benefit from their education. Without a driver licence their participation may be hampered</w:t>
      </w:r>
      <w:r>
        <w:t xml:space="preserve"> or they could be driving unlicensed</w:t>
      </w:r>
      <w:r w:rsidRPr="00674799">
        <w:t>.</w:t>
      </w:r>
    </w:p>
    <w:p w14:paraId="0D6FB790" w14:textId="77777777" w:rsidR="00370DA6" w:rsidRDefault="00370DA6" w:rsidP="00370DA6">
      <w:pPr>
        <w:pStyle w:val="TextPara"/>
      </w:pPr>
      <w:r>
        <w:t>It would be equitable if the fees are partially subsidised as it would enable this essential service to be accessible to all novice drivers, ensuring that they are capable of driving, resulting in better road safety for the whole community and full participation in education and employment.</w:t>
      </w:r>
      <w:r w:rsidR="00E54615">
        <w:t xml:space="preserve"> Such subsidy is </w:t>
      </w:r>
      <w:r w:rsidR="00221CDA">
        <w:t>more</w:t>
      </w:r>
      <w:r w:rsidR="00E54615">
        <w:t xml:space="preserve"> important </w:t>
      </w:r>
      <w:r w:rsidR="00221CDA">
        <w:t xml:space="preserve">in </w:t>
      </w:r>
      <w:r w:rsidR="00E54615">
        <w:t>t</w:t>
      </w:r>
      <w:r w:rsidR="00221CDA">
        <w:t>he</w:t>
      </w:r>
      <w:r w:rsidR="00E54615">
        <w:t xml:space="preserve"> </w:t>
      </w:r>
      <w:r w:rsidR="00221CDA">
        <w:t xml:space="preserve">case of </w:t>
      </w:r>
      <w:r w:rsidR="00E54615">
        <w:t>lower socio-economic groups</w:t>
      </w:r>
      <w:r w:rsidR="00221CDA">
        <w:t xml:space="preserve"> to ensure vertical equity in accessing these services and particularly where they require re-testing after failing a test</w:t>
      </w:r>
      <w:r w:rsidR="007B6DC5" w:rsidRPr="007B6DC5">
        <w:t xml:space="preserve"> </w:t>
      </w:r>
      <w:r w:rsidR="007B6DC5">
        <w:t>on one or more occasions</w:t>
      </w:r>
      <w:r w:rsidR="00221CDA">
        <w:t>.</w:t>
      </w:r>
      <w:r w:rsidR="00EA4B8D">
        <w:t xml:space="preserve"> Another subsidising option is to only offer reduced fees to those who have to re-take tests</w:t>
      </w:r>
      <w:r w:rsidR="00EA4B8D" w:rsidRPr="00EA4B8D">
        <w:t xml:space="preserve"> </w:t>
      </w:r>
      <w:r w:rsidR="00EA4B8D">
        <w:t>multiple times.</w:t>
      </w:r>
      <w:r w:rsidR="007D71C5">
        <w:t xml:space="preserve"> However, this would not be equitable and create a disincentive to those who prepare well for the test and pass at first attempt.</w:t>
      </w:r>
    </w:p>
    <w:p w14:paraId="11E1B933" w14:textId="77777777" w:rsidR="00370DA6" w:rsidRDefault="00370DA6" w:rsidP="00370DA6">
      <w:pPr>
        <w:pStyle w:val="Heading3"/>
        <w:spacing w:before="240"/>
      </w:pPr>
      <w:bookmarkStart w:id="798" w:name="_Toc4084242"/>
      <w:bookmarkStart w:id="799" w:name="_Toc10703523"/>
      <w:r w:rsidRPr="00202453">
        <w:t>Proposal</w:t>
      </w:r>
      <w:bookmarkEnd w:id="798"/>
      <w:bookmarkEnd w:id="799"/>
    </w:p>
    <w:p w14:paraId="1E5A92A5" w14:textId="77777777" w:rsidR="00F010EF" w:rsidRDefault="00F010EF" w:rsidP="00F010EF">
      <w:pPr>
        <w:pStyle w:val="TextPara"/>
      </w:pPr>
      <w:r>
        <w:t xml:space="preserve">The above analysis suggests that full cost recovery should not be applied to these services. Young Victorians form the main cohort using these services. They typically have low incomes as they are entering the workforce, undertaking tertiary education and some are living independently as young adults. </w:t>
      </w:r>
    </w:p>
    <w:p w14:paraId="13B87420" w14:textId="44BEFD78" w:rsidR="00F010EF" w:rsidRDefault="00F010EF" w:rsidP="00F010EF">
      <w:pPr>
        <w:pStyle w:val="TextPara"/>
      </w:pPr>
      <w:r>
        <w:t xml:space="preserve">Partial recovery is, however, warranted given that the cost of these services is </w:t>
      </w:r>
      <w:r w:rsidR="00BC6405">
        <w:t>significant,</w:t>
      </w:r>
      <w:r>
        <w:t xml:space="preserve"> and they need to be valued by customers. Although the test fees are a small portion of the overall cost of obtaining a licence, </w:t>
      </w:r>
      <w:r w:rsidR="0062756C">
        <w:t xml:space="preserve">DoT considers </w:t>
      </w:r>
      <w:r>
        <w:t xml:space="preserve">it is deemed important to provide this subsidy for equity reasons, especially </w:t>
      </w:r>
      <w:r w:rsidR="0062756C">
        <w:t xml:space="preserve">for </w:t>
      </w:r>
      <w:r>
        <w:t xml:space="preserve">those in lower socio-economic groups. </w:t>
      </w:r>
    </w:p>
    <w:p w14:paraId="15F7D0F4" w14:textId="77777777" w:rsidR="001C0D8C" w:rsidRDefault="00F010EF" w:rsidP="00F010EF">
      <w:pPr>
        <w:pStyle w:val="TextPara"/>
      </w:pPr>
      <w:r>
        <w:t>The Department considers that partial recovery of these fees represents the best compromise between ensuring the service is not undervalued or overused and ensuring equitable access to Victoria’s roads for young and novice drivers.</w:t>
      </w:r>
    </w:p>
    <w:p w14:paraId="3D8F1BB2" w14:textId="2193E429" w:rsidR="00F010EF" w:rsidRDefault="00F010EF" w:rsidP="00F010EF">
      <w:pPr>
        <w:pStyle w:val="TextPara"/>
      </w:pPr>
      <w:r>
        <w:t xml:space="preserve">The Department is interested in </w:t>
      </w:r>
      <w:r w:rsidR="001C0D8C">
        <w:t xml:space="preserve">community feedback about </w:t>
      </w:r>
      <w:r>
        <w:t xml:space="preserve">whether the proposed fee structure </w:t>
      </w:r>
      <w:r w:rsidR="001C0D8C">
        <w:t xml:space="preserve">(which recovers about 70 per cent of costs) </w:t>
      </w:r>
      <w:r>
        <w:t xml:space="preserve">strikes the right balance between ensuring the service is not undervalued or overused and ensuring equitable access to Victoria’s roads for young and novice drivers. </w:t>
      </w:r>
    </w:p>
    <w:p w14:paraId="36265FC5" w14:textId="5FB795D2" w:rsidR="00F010EF" w:rsidRDefault="00F010EF" w:rsidP="00F010EF">
      <w:pPr>
        <w:pStyle w:val="TextPara"/>
      </w:pPr>
      <w:r>
        <w:t xml:space="preserve">Consequently, the government intends to retain the current fee levels and continue with charging a flat fee at partial cost recovery. This will require the government to subsidise the provision of these services by $8.99m. This proposal will enable young Victorians to participate in the education and workforce without mobility hindrance and Victorians to have access to the benefits of their full participation. This would also ensure a better road safety outcome as novice drivers’ driving capability can be assured. </w:t>
      </w:r>
    </w:p>
    <w:p w14:paraId="20FB91A0" w14:textId="30E82CE9" w:rsidR="005C3D23" w:rsidRDefault="005C3D23" w:rsidP="00F010EF">
      <w:pPr>
        <w:pStyle w:val="TextPara"/>
      </w:pPr>
    </w:p>
    <w:p w14:paraId="79B7FA25" w14:textId="3FCDE281" w:rsidR="00370DA6" w:rsidRDefault="00370DA6" w:rsidP="00370DA6">
      <w:pPr>
        <w:pStyle w:val="Heading2"/>
        <w:spacing w:before="240" w:after="180"/>
      </w:pPr>
      <w:bookmarkStart w:id="800" w:name="_Toc4084243"/>
      <w:bookmarkStart w:id="801" w:name="_Toc10703524"/>
      <w:r>
        <w:lastRenderedPageBreak/>
        <w:t>Driver Behaviour</w:t>
      </w:r>
      <w:r w:rsidRPr="00117C96">
        <w:t xml:space="preserve"> Management</w:t>
      </w:r>
      <w:r>
        <w:t xml:space="preserve"> – Sanctions</w:t>
      </w:r>
      <w:bookmarkEnd w:id="800"/>
      <w:bookmarkEnd w:id="801"/>
      <w:r>
        <w:t xml:space="preserve"> </w:t>
      </w:r>
    </w:p>
    <w:p w14:paraId="22045195" w14:textId="7986C7B8" w:rsidR="00370DA6" w:rsidRPr="005605DF" w:rsidRDefault="00370DA6" w:rsidP="008422B1">
      <w:pPr>
        <w:pStyle w:val="TextPara"/>
      </w:pPr>
      <w:r w:rsidRPr="00EB33DD">
        <w:t xml:space="preserve">The </w:t>
      </w:r>
      <w:r w:rsidR="00202707">
        <w:t xml:space="preserve">forecast average </w:t>
      </w:r>
      <w:r>
        <w:t>annual cost of providing the administrative services supporting driver behaviour management (sanctions) is</w:t>
      </w:r>
      <w:r w:rsidRPr="00EB33DD">
        <w:t xml:space="preserve"> </w:t>
      </w:r>
      <w:r w:rsidRPr="008422B1">
        <w:t>$</w:t>
      </w:r>
      <w:r w:rsidR="00B8438C">
        <w:t>10.36</w:t>
      </w:r>
      <w:r>
        <w:t>m</w:t>
      </w:r>
      <w:r w:rsidR="00202707">
        <w:t xml:space="preserve"> (PV)</w:t>
      </w:r>
      <w:r w:rsidRPr="008422B1">
        <w:t xml:space="preserve">. </w:t>
      </w:r>
      <w:r>
        <w:t xml:space="preserve">Every year </w:t>
      </w:r>
      <w:r w:rsidRPr="008422B1">
        <w:t xml:space="preserve">this Services Group process </w:t>
      </w:r>
      <w:r>
        <w:t>about</w:t>
      </w:r>
      <w:r w:rsidRPr="008422B1">
        <w:t xml:space="preserve"> 1,488,000 demerit point notices and 104,000</w:t>
      </w:r>
      <w:r w:rsidRPr="00BA3A0F">
        <w:t xml:space="preserve"> </w:t>
      </w:r>
      <w:r>
        <w:t xml:space="preserve">licence </w:t>
      </w:r>
      <w:r w:rsidRPr="00BA3A0F">
        <w:t xml:space="preserve">suspensions and </w:t>
      </w:r>
      <w:r>
        <w:t xml:space="preserve">cancellations. </w:t>
      </w:r>
    </w:p>
    <w:p w14:paraId="1ABA8996" w14:textId="77777777" w:rsidR="00370DA6" w:rsidRPr="00B238CA" w:rsidRDefault="00370DA6" w:rsidP="008422B1">
      <w:pPr>
        <w:pStyle w:val="TextPara"/>
      </w:pPr>
      <w:r w:rsidRPr="00B238CA">
        <w:t xml:space="preserve">An overview of this </w:t>
      </w:r>
      <w:r>
        <w:t>Services Group’s</w:t>
      </w:r>
      <w:r w:rsidRPr="00B238CA">
        <w:t xml:space="preserve"> </w:t>
      </w:r>
      <w:r w:rsidRPr="008422B1">
        <w:t>activities</w:t>
      </w:r>
      <w:r>
        <w:t>, costs and fee income</w:t>
      </w:r>
      <w:r w:rsidRPr="00B238CA">
        <w:t xml:space="preserve"> together with an assessment of options for cost recovery (against the DTF cost recovery principles) and the proposed fee outcome is outlined in the remainder of this section.</w:t>
      </w:r>
    </w:p>
    <w:p w14:paraId="013D0BC6" w14:textId="77777777" w:rsidR="00370DA6" w:rsidRDefault="00370DA6" w:rsidP="00370DA6">
      <w:pPr>
        <w:pStyle w:val="Heading3"/>
        <w:spacing w:before="240"/>
      </w:pPr>
      <w:bookmarkStart w:id="802" w:name="_Toc4084244"/>
      <w:bookmarkStart w:id="803" w:name="_Toc10703525"/>
      <w:r w:rsidRPr="00117C96">
        <w:t>Service Overview</w:t>
      </w:r>
      <w:bookmarkEnd w:id="802"/>
      <w:bookmarkEnd w:id="803"/>
    </w:p>
    <w:p w14:paraId="1DF95AF6" w14:textId="6CB2EC76" w:rsidR="00370DA6" w:rsidRPr="003D0B5A" w:rsidRDefault="000F4627" w:rsidP="00DF3451">
      <w:pPr>
        <w:pStyle w:val="TextPara"/>
      </w:pPr>
      <w:r>
        <w:fldChar w:fldCharType="begin"/>
      </w:r>
      <w:r>
        <w:instrText xml:space="preserve"> REF _Ref4415141 \h </w:instrText>
      </w:r>
      <w:r>
        <w:fldChar w:fldCharType="separate"/>
      </w:r>
      <w:r w:rsidR="00EB4B02">
        <w:t xml:space="preserve">Table </w:t>
      </w:r>
      <w:r w:rsidR="00EB4B02">
        <w:rPr>
          <w:noProof/>
        </w:rPr>
        <w:t>60</w:t>
      </w:r>
      <w:r>
        <w:fldChar w:fldCharType="end"/>
      </w:r>
      <w:r>
        <w:t xml:space="preserve"> </w:t>
      </w:r>
      <w:r w:rsidR="00370DA6">
        <w:t>provides a description of the activities associated with the driver behaviour management</w:t>
      </w:r>
      <w:r w:rsidR="00370DA6" w:rsidRPr="003D0B5A">
        <w:t xml:space="preserve"> </w:t>
      </w:r>
      <w:r w:rsidR="00370DA6">
        <w:t>services.</w:t>
      </w:r>
    </w:p>
    <w:p w14:paraId="02235368" w14:textId="1AB4E872" w:rsidR="00370DA6" w:rsidRDefault="00370DA6" w:rsidP="00AA0BBA">
      <w:pPr>
        <w:pStyle w:val="Caption"/>
      </w:pPr>
      <w:bookmarkStart w:id="804" w:name="_Ref4415141"/>
      <w:bookmarkStart w:id="805" w:name="_Toc4084343"/>
      <w:bookmarkStart w:id="806" w:name="_Toc9609368"/>
      <w:bookmarkStart w:id="807" w:name="_Toc10703753"/>
      <w:r>
        <w:t xml:space="preserve">Table </w:t>
      </w:r>
      <w:r>
        <w:rPr>
          <w:noProof/>
        </w:rPr>
        <w:fldChar w:fldCharType="begin"/>
      </w:r>
      <w:r>
        <w:rPr>
          <w:noProof/>
        </w:rPr>
        <w:instrText xml:space="preserve"> SEQ Table \* ARABIC </w:instrText>
      </w:r>
      <w:r>
        <w:rPr>
          <w:noProof/>
        </w:rPr>
        <w:fldChar w:fldCharType="separate"/>
      </w:r>
      <w:r w:rsidR="00EB4B02">
        <w:rPr>
          <w:noProof/>
        </w:rPr>
        <w:t>60</w:t>
      </w:r>
      <w:r>
        <w:rPr>
          <w:noProof/>
        </w:rPr>
        <w:fldChar w:fldCharType="end"/>
      </w:r>
      <w:bookmarkEnd w:id="804"/>
      <w:r w:rsidR="00727CCC">
        <w:rPr>
          <w:noProof/>
        </w:rPr>
        <w:t xml:space="preserve"> </w:t>
      </w:r>
      <w:r>
        <w:t xml:space="preserve">– </w:t>
      </w:r>
      <w:r w:rsidRPr="003C4CEF">
        <w:t xml:space="preserve">Services </w:t>
      </w:r>
      <w:r>
        <w:t>Group Activities: Driver Behaviour Management – Sanctions</w:t>
      </w:r>
      <w:bookmarkEnd w:id="805"/>
      <w:bookmarkEnd w:id="806"/>
      <w:bookmarkEnd w:id="807"/>
    </w:p>
    <w:tbl>
      <w:tblPr>
        <w:tblStyle w:val="RIS-Table2"/>
        <w:tblW w:w="9498" w:type="dxa"/>
        <w:tblLayout w:type="fixed"/>
        <w:tblLook w:val="04A0" w:firstRow="1" w:lastRow="0" w:firstColumn="1" w:lastColumn="0" w:noHBand="0" w:noVBand="1"/>
      </w:tblPr>
      <w:tblGrid>
        <w:gridCol w:w="2268"/>
        <w:gridCol w:w="7230"/>
      </w:tblGrid>
      <w:tr w:rsidR="00370DA6" w:rsidRPr="00117C96" w14:paraId="1D381BDA" w14:textId="77777777" w:rsidTr="00F74583">
        <w:trPr>
          <w:cnfStyle w:val="100000000000" w:firstRow="1" w:lastRow="0" w:firstColumn="0" w:lastColumn="0" w:oddVBand="0" w:evenVBand="0" w:oddHBand="0" w:evenHBand="0" w:firstRowFirstColumn="0" w:firstRowLastColumn="0" w:lastRowFirstColumn="0" w:lastRowLastColumn="0"/>
        </w:trPr>
        <w:tc>
          <w:tcPr>
            <w:tcW w:w="2268" w:type="dxa"/>
          </w:tcPr>
          <w:p w14:paraId="20437910" w14:textId="77777777" w:rsidR="00370DA6" w:rsidRPr="00117C96" w:rsidRDefault="00370DA6" w:rsidP="003E4B06">
            <w:pPr>
              <w:pStyle w:val="TableHeaders"/>
            </w:pPr>
            <w:r w:rsidRPr="00B238CA">
              <w:rPr>
                <w:rFonts w:cs="Segoe UI"/>
              </w:rPr>
              <w:t xml:space="preserve">Services </w:t>
            </w:r>
          </w:p>
        </w:tc>
        <w:tc>
          <w:tcPr>
            <w:tcW w:w="7230" w:type="dxa"/>
          </w:tcPr>
          <w:p w14:paraId="57882674" w14:textId="77777777" w:rsidR="00370DA6" w:rsidRPr="00117C96" w:rsidRDefault="00370DA6" w:rsidP="003E4B06">
            <w:pPr>
              <w:pStyle w:val="TableHeaders"/>
            </w:pPr>
            <w:r w:rsidRPr="00B238CA">
              <w:rPr>
                <w:rFonts w:cs="Segoe UI"/>
                <w:szCs w:val="18"/>
              </w:rPr>
              <w:t>Activities</w:t>
            </w:r>
          </w:p>
        </w:tc>
      </w:tr>
      <w:tr w:rsidR="00370DA6" w:rsidRPr="004C43BB" w14:paraId="590056FE" w14:textId="77777777" w:rsidTr="00F74583">
        <w:tc>
          <w:tcPr>
            <w:tcW w:w="2268" w:type="dxa"/>
          </w:tcPr>
          <w:p w14:paraId="0C9144FA" w14:textId="77777777" w:rsidR="00370DA6" w:rsidRPr="00694325" w:rsidRDefault="00370DA6" w:rsidP="002F650C">
            <w:pPr>
              <w:pStyle w:val="TableParagraph"/>
              <w:rPr>
                <w:b/>
              </w:rPr>
            </w:pPr>
            <w:r w:rsidRPr="00B9659F">
              <w:rPr>
                <w:b/>
              </w:rPr>
              <w:t>Driver Behaviour Management – Sanctions</w:t>
            </w:r>
          </w:p>
        </w:tc>
        <w:tc>
          <w:tcPr>
            <w:tcW w:w="7230" w:type="dxa"/>
          </w:tcPr>
          <w:p w14:paraId="3C0FE8F0" w14:textId="77777777" w:rsidR="00370DA6" w:rsidRDefault="00370DA6" w:rsidP="00370DA6">
            <w:pPr>
              <w:pStyle w:val="TableList1"/>
              <w:ind w:left="360" w:hanging="360"/>
            </w:pPr>
            <w:r>
              <w:t>Receive and process offence and licence ban advice from the following organisations:</w:t>
            </w:r>
          </w:p>
          <w:p w14:paraId="496808EB" w14:textId="77777777" w:rsidR="00370DA6" w:rsidRDefault="00370DA6" w:rsidP="00AC190A">
            <w:pPr>
              <w:pStyle w:val="TableList2"/>
            </w:pPr>
            <w:r>
              <w:t xml:space="preserve">Infringement Management and Enforcement Services (IMES) – offence </w:t>
            </w:r>
          </w:p>
          <w:p w14:paraId="372AEF05" w14:textId="77777777" w:rsidR="00370DA6" w:rsidRDefault="00370DA6" w:rsidP="00265CBE">
            <w:pPr>
              <w:pStyle w:val="TableList2"/>
            </w:pPr>
            <w:r>
              <w:t>Magistrates’ Court – offence, suspensions, cancellations, and disqualifications from driving</w:t>
            </w:r>
          </w:p>
          <w:p w14:paraId="05206FE2" w14:textId="77777777" w:rsidR="00370DA6" w:rsidRDefault="00370DA6" w:rsidP="00265CBE">
            <w:pPr>
              <w:pStyle w:val="TableList2"/>
            </w:pPr>
            <w:r>
              <w:t>Victoria Police - suspensions</w:t>
            </w:r>
          </w:p>
          <w:p w14:paraId="4870D524" w14:textId="77777777" w:rsidR="00370DA6" w:rsidRDefault="00370DA6" w:rsidP="00457BB1">
            <w:pPr>
              <w:pStyle w:val="TableList2"/>
            </w:pPr>
            <w:r>
              <w:t>Interstate jurisdictions – offences and disqualifications from driving</w:t>
            </w:r>
          </w:p>
          <w:p w14:paraId="2BADAE15" w14:textId="77777777" w:rsidR="00370DA6" w:rsidRPr="00F27DCA" w:rsidRDefault="00370DA6" w:rsidP="00457BB1">
            <w:pPr>
              <w:pStyle w:val="TableList2"/>
            </w:pPr>
            <w:r>
              <w:t xml:space="preserve">Fines Victoria – licence suspension or </w:t>
            </w:r>
            <w:r w:rsidRPr="00B238CA">
              <w:t>prevent</w:t>
            </w:r>
            <w:r>
              <w:t>ion of</w:t>
            </w:r>
            <w:r w:rsidRPr="00B238CA">
              <w:t xml:space="preserve"> </w:t>
            </w:r>
            <w:r>
              <w:t>licence</w:t>
            </w:r>
            <w:r w:rsidRPr="00B238CA">
              <w:t xml:space="preserve"> </w:t>
            </w:r>
            <w:r>
              <w:t xml:space="preserve">and learner permit </w:t>
            </w:r>
            <w:r w:rsidRPr="00B238CA">
              <w:t xml:space="preserve">renewal </w:t>
            </w:r>
            <w:r>
              <w:t xml:space="preserve">and reissue </w:t>
            </w:r>
            <w:r w:rsidRPr="00B238CA">
              <w:t>u</w:t>
            </w:r>
            <w:r>
              <w:t>ntil outstanding fines are paid</w:t>
            </w:r>
          </w:p>
          <w:p w14:paraId="40FC139A" w14:textId="77777777" w:rsidR="00370DA6" w:rsidRDefault="00370DA6" w:rsidP="00370DA6">
            <w:pPr>
              <w:pStyle w:val="TableList1"/>
              <w:ind w:left="360" w:hanging="360"/>
            </w:pPr>
            <w:r>
              <w:t>Apply and record demerit points for relevant offences</w:t>
            </w:r>
          </w:p>
          <w:p w14:paraId="2188C8B9" w14:textId="77777777" w:rsidR="00370DA6" w:rsidRDefault="00370DA6" w:rsidP="00370DA6">
            <w:pPr>
              <w:pStyle w:val="TableList1"/>
              <w:ind w:left="360" w:hanging="360"/>
            </w:pPr>
            <w:r>
              <w:t>Find a matching driver record in DLS for the sanction(s), and IF there is no matching customer record, create a record</w:t>
            </w:r>
          </w:p>
          <w:p w14:paraId="17892984" w14:textId="77777777" w:rsidR="00370DA6" w:rsidRPr="00DF09F8" w:rsidRDefault="00370DA6" w:rsidP="00370DA6">
            <w:pPr>
              <w:pStyle w:val="TableList1"/>
              <w:ind w:left="360" w:hanging="360"/>
            </w:pPr>
            <w:r w:rsidRPr="00DF09F8">
              <w:t>Apply the sanction(s) to the driver’s record</w:t>
            </w:r>
            <w:r>
              <w:t xml:space="preserve"> in DLS</w:t>
            </w:r>
          </w:p>
          <w:p w14:paraId="040A6B4C" w14:textId="77777777" w:rsidR="00370DA6" w:rsidRDefault="00370DA6" w:rsidP="00370DA6">
            <w:pPr>
              <w:pStyle w:val="TableList1"/>
              <w:ind w:left="360" w:hanging="360"/>
            </w:pPr>
            <w:r w:rsidRPr="00E77501">
              <w:t xml:space="preserve">Calculate the effect of the sanction on the driver’s </w:t>
            </w:r>
            <w:r>
              <w:t>licence status</w:t>
            </w:r>
            <w:r w:rsidRPr="00E77501">
              <w:t xml:space="preserve"> </w:t>
            </w:r>
            <w:r>
              <w:t xml:space="preserve">and, if applicable, </w:t>
            </w:r>
            <w:r w:rsidRPr="00E77501">
              <w:t xml:space="preserve">demerit point </w:t>
            </w:r>
            <w:r>
              <w:t>count</w:t>
            </w:r>
          </w:p>
          <w:p w14:paraId="1EC2FAE2" w14:textId="77777777" w:rsidR="00370DA6" w:rsidRDefault="00370DA6" w:rsidP="00370DA6">
            <w:pPr>
              <w:pStyle w:val="TableList1"/>
              <w:ind w:left="360" w:hanging="360"/>
            </w:pPr>
            <w:r>
              <w:t xml:space="preserve">Notify the driver of the effect of the sanction if demerit point </w:t>
            </w:r>
            <w:r w:rsidRPr="00E77501">
              <w:t xml:space="preserve">thresholds have been </w:t>
            </w:r>
            <w:r>
              <w:t>reached or exceeded</w:t>
            </w:r>
          </w:p>
          <w:p w14:paraId="391F7363" w14:textId="77777777" w:rsidR="00370DA6" w:rsidRPr="00E77501" w:rsidRDefault="00370DA6">
            <w:pPr>
              <w:pStyle w:val="TableList2"/>
            </w:pPr>
            <w:r>
              <w:t>Send a c</w:t>
            </w:r>
            <w:r w:rsidRPr="00E77501">
              <w:t>ourtesy notice to:</w:t>
            </w:r>
          </w:p>
          <w:p w14:paraId="069A7B27" w14:textId="77777777" w:rsidR="00370DA6" w:rsidRPr="003E3029" w:rsidRDefault="00370DA6">
            <w:pPr>
              <w:pStyle w:val="TableList3"/>
            </w:pPr>
            <w:r w:rsidRPr="003E3029">
              <w:t>full licence holders who have exceeded more than half their allowable demerit points to warn them to adhere to road rules</w:t>
            </w:r>
          </w:p>
          <w:p w14:paraId="6F734701" w14:textId="77777777" w:rsidR="00370DA6" w:rsidRPr="00D62246" w:rsidRDefault="00370DA6">
            <w:pPr>
              <w:pStyle w:val="TableList3"/>
            </w:pPr>
            <w:r w:rsidRPr="00D62246">
              <w:t>learner or probationary drivers for every demerit point they incur</w:t>
            </w:r>
          </w:p>
          <w:p w14:paraId="3477E847" w14:textId="77777777" w:rsidR="00370DA6" w:rsidRDefault="00370DA6" w:rsidP="005F6F8B">
            <w:pPr>
              <w:pStyle w:val="TableList2"/>
            </w:pPr>
            <w:r>
              <w:t xml:space="preserve">Send a demerit point notice to Victorian </w:t>
            </w:r>
            <w:r w:rsidRPr="00E77501">
              <w:t>drivers who have reached or exceeded their demerit point threshold to offer them a</w:t>
            </w:r>
            <w:r>
              <w:t xml:space="preserve">n extended demerit point period (EDPP) or be suspended if they do not elect </w:t>
            </w:r>
            <w:r w:rsidRPr="00E77501">
              <w:t xml:space="preserve">the </w:t>
            </w:r>
            <w:r>
              <w:t>EDPP</w:t>
            </w:r>
          </w:p>
          <w:p w14:paraId="7716A975" w14:textId="77777777" w:rsidR="00370DA6" w:rsidRPr="004C2EA2" w:rsidRDefault="00370DA6" w:rsidP="00AC190A">
            <w:pPr>
              <w:pStyle w:val="TableList2"/>
            </w:pPr>
            <w:r w:rsidRPr="004C2EA2">
              <w:t>Send a disqualification notice to overseas and unlicensed drivers who have reached or exceeded their demerit point threshold</w:t>
            </w:r>
          </w:p>
          <w:p w14:paraId="3B6FDA27" w14:textId="77777777" w:rsidR="00370DA6" w:rsidRDefault="00370DA6" w:rsidP="00265CBE">
            <w:pPr>
              <w:pStyle w:val="TableList2"/>
            </w:pPr>
            <w:r w:rsidRPr="004C2EA2">
              <w:t xml:space="preserve">Send a </w:t>
            </w:r>
            <w:r>
              <w:t xml:space="preserve">suspension </w:t>
            </w:r>
            <w:r w:rsidRPr="004C2EA2">
              <w:t>notice to drivers who committed an offence that breached their EDPP to advise them that their licence is suspended</w:t>
            </w:r>
          </w:p>
          <w:p w14:paraId="4D10CC54" w14:textId="77777777" w:rsidR="00370DA6" w:rsidRPr="00851D4E" w:rsidRDefault="00370DA6" w:rsidP="00370DA6">
            <w:pPr>
              <w:pStyle w:val="TableList1"/>
              <w:ind w:left="360" w:hanging="360"/>
            </w:pPr>
            <w:r w:rsidRPr="00851D4E">
              <w:t>Lift sanctions at the direction of Fines Victoria</w:t>
            </w:r>
            <w:r>
              <w:t xml:space="preserve"> or</w:t>
            </w:r>
            <w:r w:rsidRPr="00851D4E">
              <w:t xml:space="preserve"> the Magistrates’ Court, when the penalty has been served</w:t>
            </w:r>
            <w:r>
              <w:t xml:space="preserve">, or when the Safe Driving Program or </w:t>
            </w:r>
            <w:r w:rsidRPr="00F27DCA">
              <w:t>Behaviour Change Program</w:t>
            </w:r>
            <w:r>
              <w:t xml:space="preserve"> has been completed</w:t>
            </w:r>
          </w:p>
          <w:p w14:paraId="187B9B45" w14:textId="77777777" w:rsidR="00370DA6" w:rsidRPr="00751AEE" w:rsidRDefault="00370DA6" w:rsidP="00370DA6">
            <w:pPr>
              <w:pStyle w:val="TableList1"/>
              <w:ind w:left="360" w:hanging="360"/>
            </w:pPr>
            <w:r w:rsidRPr="00851D4E">
              <w:t xml:space="preserve">Provide the customer with access to demerit point status (online, </w:t>
            </w:r>
            <w:r>
              <w:t xml:space="preserve">in person </w:t>
            </w:r>
            <w:r w:rsidRPr="00851D4E">
              <w:t xml:space="preserve">at </w:t>
            </w:r>
            <w:r>
              <w:t>a</w:t>
            </w:r>
            <w:r w:rsidRPr="00851D4E">
              <w:t xml:space="preserve"> CSC or over the telephone)</w:t>
            </w:r>
          </w:p>
        </w:tc>
      </w:tr>
    </w:tbl>
    <w:p w14:paraId="7D163F90" w14:textId="6A6E9632" w:rsidR="00370DA6" w:rsidRPr="00342389" w:rsidRDefault="005E4544" w:rsidP="003E3834">
      <w:pPr>
        <w:pStyle w:val="TextPara"/>
        <w:spacing w:before="240"/>
      </w:pPr>
      <w:r>
        <w:lastRenderedPageBreak/>
        <w:fldChar w:fldCharType="begin"/>
      </w:r>
      <w:r>
        <w:instrText xml:space="preserve"> REF _Ref10702834 \h </w:instrText>
      </w:r>
      <w:r>
        <w:fldChar w:fldCharType="separate"/>
      </w:r>
      <w:r w:rsidR="00EB4B02">
        <w:t xml:space="preserve">Table </w:t>
      </w:r>
      <w:r w:rsidR="00EB4B02">
        <w:rPr>
          <w:noProof/>
        </w:rPr>
        <w:t>61</w:t>
      </w:r>
      <w:r>
        <w:fldChar w:fldCharType="end"/>
      </w:r>
      <w:r w:rsidR="000F4627">
        <w:t xml:space="preserve"> </w:t>
      </w:r>
      <w:r w:rsidR="00370DA6">
        <w:t>provides a summary of the estimated costs for the provision of the services over the forecast period.</w:t>
      </w:r>
    </w:p>
    <w:p w14:paraId="10109415" w14:textId="62BDAB1D" w:rsidR="00BD5831" w:rsidRDefault="00BD5831" w:rsidP="00BD5831">
      <w:pPr>
        <w:pStyle w:val="Caption"/>
      </w:pPr>
      <w:bookmarkStart w:id="808" w:name="_Ref10702834"/>
      <w:bookmarkStart w:id="809" w:name="_Toc10703754"/>
      <w:r>
        <w:t xml:space="preserve">Table </w:t>
      </w:r>
      <w:r w:rsidR="00186419">
        <w:rPr>
          <w:noProof/>
        </w:rPr>
        <w:fldChar w:fldCharType="begin"/>
      </w:r>
      <w:r w:rsidR="00186419">
        <w:rPr>
          <w:noProof/>
        </w:rPr>
        <w:instrText xml:space="preserve"> SEQ Table \* ARABIC </w:instrText>
      </w:r>
      <w:r w:rsidR="00186419">
        <w:rPr>
          <w:noProof/>
        </w:rPr>
        <w:fldChar w:fldCharType="separate"/>
      </w:r>
      <w:r w:rsidR="00EB4B02">
        <w:rPr>
          <w:noProof/>
        </w:rPr>
        <w:t>61</w:t>
      </w:r>
      <w:r w:rsidR="00186419">
        <w:rPr>
          <w:noProof/>
        </w:rPr>
        <w:fldChar w:fldCharType="end"/>
      </w:r>
      <w:bookmarkEnd w:id="808"/>
      <w:r>
        <w:t xml:space="preserve"> – </w:t>
      </w:r>
      <w:r w:rsidRPr="00202EBB">
        <w:t>Services Group Cost: Driver Behaviour Management – Sanctions</w:t>
      </w:r>
      <w:bookmarkEnd w:id="809"/>
    </w:p>
    <w:tbl>
      <w:tblPr>
        <w:tblStyle w:val="RIS-Table2"/>
        <w:tblW w:w="9498" w:type="dxa"/>
        <w:tblLook w:val="04A0" w:firstRow="1" w:lastRow="0" w:firstColumn="1" w:lastColumn="0" w:noHBand="0" w:noVBand="1"/>
      </w:tblPr>
      <w:tblGrid>
        <w:gridCol w:w="3655"/>
        <w:gridCol w:w="1119"/>
        <w:gridCol w:w="1119"/>
        <w:gridCol w:w="1119"/>
        <w:gridCol w:w="1119"/>
        <w:gridCol w:w="1367"/>
      </w:tblGrid>
      <w:tr w:rsidR="00370DA6" w:rsidRPr="00AF72BF" w14:paraId="7C9C75C2" w14:textId="77777777" w:rsidTr="00370DA6">
        <w:trPr>
          <w:cnfStyle w:val="100000000000" w:firstRow="1" w:lastRow="0" w:firstColumn="0" w:lastColumn="0" w:oddVBand="0" w:evenVBand="0" w:oddHBand="0" w:evenHBand="0" w:firstRowFirstColumn="0" w:firstRowLastColumn="0" w:lastRowFirstColumn="0" w:lastRowLastColumn="0"/>
        </w:trPr>
        <w:tc>
          <w:tcPr>
            <w:tcW w:w="3655" w:type="dxa"/>
            <w:vMerge w:val="restart"/>
          </w:tcPr>
          <w:p w14:paraId="3A91EC7F" w14:textId="77777777" w:rsidR="00370DA6" w:rsidRPr="00AF72BF" w:rsidRDefault="00370DA6" w:rsidP="00B47F2F">
            <w:pPr>
              <w:pStyle w:val="TableHeaders"/>
              <w:spacing w:line="276" w:lineRule="auto"/>
              <w:rPr>
                <w:rFonts w:cs="Segoe UI"/>
              </w:rPr>
            </w:pPr>
            <w:r>
              <w:rPr>
                <w:rFonts w:cs="Segoe UI"/>
              </w:rPr>
              <w:t>Service Group</w:t>
            </w:r>
          </w:p>
        </w:tc>
        <w:tc>
          <w:tcPr>
            <w:tcW w:w="5843" w:type="dxa"/>
            <w:gridSpan w:val="5"/>
          </w:tcPr>
          <w:p w14:paraId="0B2A9B82" w14:textId="77777777" w:rsidR="00370DA6" w:rsidRPr="00AF72BF" w:rsidRDefault="00370DA6" w:rsidP="00B47F2F">
            <w:pPr>
              <w:pStyle w:val="TableHeaders"/>
              <w:spacing w:line="276" w:lineRule="auto"/>
              <w:rPr>
                <w:rFonts w:cs="Segoe UI"/>
              </w:rPr>
            </w:pPr>
            <w:r w:rsidRPr="00AF72BF">
              <w:rPr>
                <w:rFonts w:cs="Segoe UI"/>
              </w:rPr>
              <w:t>Costs $k (PV)</w:t>
            </w:r>
          </w:p>
        </w:tc>
      </w:tr>
      <w:tr w:rsidR="00370DA6" w:rsidRPr="00AF72BF" w14:paraId="77136F52" w14:textId="77777777" w:rsidTr="00370DA6">
        <w:tc>
          <w:tcPr>
            <w:tcW w:w="3655" w:type="dxa"/>
            <w:vMerge/>
          </w:tcPr>
          <w:p w14:paraId="195E81C6" w14:textId="77777777" w:rsidR="00370DA6" w:rsidRPr="00AF72BF" w:rsidRDefault="00370DA6" w:rsidP="00B47F2F">
            <w:pPr>
              <w:pStyle w:val="TableParagraph"/>
              <w:spacing w:line="276" w:lineRule="auto"/>
              <w:rPr>
                <w:rFonts w:cs="Segoe UI"/>
              </w:rPr>
            </w:pPr>
          </w:p>
        </w:tc>
        <w:tc>
          <w:tcPr>
            <w:tcW w:w="1119" w:type="dxa"/>
            <w:shd w:val="clear" w:color="auto" w:fill="0A1F3F"/>
          </w:tcPr>
          <w:p w14:paraId="59A54ACA" w14:textId="77777777" w:rsidR="00370DA6" w:rsidRPr="00AF72BF" w:rsidRDefault="00370DA6" w:rsidP="00B47F2F">
            <w:pPr>
              <w:pStyle w:val="TableHeaders"/>
              <w:spacing w:line="276" w:lineRule="auto"/>
              <w:rPr>
                <w:rFonts w:cs="Segoe UI"/>
                <w:b/>
              </w:rPr>
            </w:pPr>
            <w:r w:rsidRPr="00AF72BF">
              <w:rPr>
                <w:rFonts w:cs="Segoe UI"/>
                <w:b/>
              </w:rPr>
              <w:t>FY19/20</w:t>
            </w:r>
          </w:p>
        </w:tc>
        <w:tc>
          <w:tcPr>
            <w:tcW w:w="1119" w:type="dxa"/>
            <w:shd w:val="clear" w:color="auto" w:fill="0A1F3F"/>
          </w:tcPr>
          <w:p w14:paraId="35331AA0" w14:textId="77777777" w:rsidR="00370DA6" w:rsidRPr="00AF72BF" w:rsidRDefault="00370DA6" w:rsidP="00B47F2F">
            <w:pPr>
              <w:pStyle w:val="TableHeaders"/>
              <w:spacing w:line="276" w:lineRule="auto"/>
              <w:rPr>
                <w:rFonts w:cs="Segoe UI"/>
                <w:b/>
              </w:rPr>
            </w:pPr>
            <w:r w:rsidRPr="00AF72BF">
              <w:rPr>
                <w:rFonts w:cs="Segoe UI"/>
                <w:b/>
              </w:rPr>
              <w:t>FY20/21</w:t>
            </w:r>
          </w:p>
        </w:tc>
        <w:tc>
          <w:tcPr>
            <w:tcW w:w="1119" w:type="dxa"/>
            <w:shd w:val="clear" w:color="auto" w:fill="0A1F3F"/>
          </w:tcPr>
          <w:p w14:paraId="04912D8B" w14:textId="77777777" w:rsidR="00370DA6" w:rsidRPr="00AF72BF" w:rsidRDefault="00370DA6" w:rsidP="00B47F2F">
            <w:pPr>
              <w:pStyle w:val="TableHeaders"/>
              <w:spacing w:line="276" w:lineRule="auto"/>
              <w:rPr>
                <w:rFonts w:cs="Segoe UI"/>
                <w:b/>
              </w:rPr>
            </w:pPr>
            <w:r w:rsidRPr="00AF72BF">
              <w:rPr>
                <w:rFonts w:cs="Segoe UI"/>
                <w:b/>
              </w:rPr>
              <w:t>FY21/22</w:t>
            </w:r>
          </w:p>
        </w:tc>
        <w:tc>
          <w:tcPr>
            <w:tcW w:w="1119" w:type="dxa"/>
            <w:shd w:val="clear" w:color="auto" w:fill="0A1F3F"/>
          </w:tcPr>
          <w:p w14:paraId="508CD090" w14:textId="77777777" w:rsidR="00370DA6" w:rsidRPr="00AF72BF" w:rsidRDefault="00370DA6" w:rsidP="00B47F2F">
            <w:pPr>
              <w:pStyle w:val="TableHeaders"/>
              <w:spacing w:line="276" w:lineRule="auto"/>
              <w:rPr>
                <w:rFonts w:cs="Segoe UI"/>
                <w:b/>
              </w:rPr>
            </w:pPr>
            <w:r w:rsidRPr="00AF72BF">
              <w:rPr>
                <w:rFonts w:cs="Segoe UI"/>
                <w:b/>
              </w:rPr>
              <w:t>FY22/23</w:t>
            </w:r>
          </w:p>
        </w:tc>
        <w:tc>
          <w:tcPr>
            <w:tcW w:w="1367" w:type="dxa"/>
            <w:shd w:val="clear" w:color="auto" w:fill="0A1F3F"/>
          </w:tcPr>
          <w:p w14:paraId="4529FE74" w14:textId="77777777" w:rsidR="00370DA6" w:rsidRPr="00AF72BF" w:rsidRDefault="00370DA6" w:rsidP="00B47F2F">
            <w:pPr>
              <w:pStyle w:val="TableHeaders"/>
              <w:spacing w:line="276" w:lineRule="auto"/>
              <w:rPr>
                <w:rFonts w:cs="Segoe UI"/>
                <w:b/>
              </w:rPr>
            </w:pPr>
            <w:r w:rsidRPr="00AF72BF">
              <w:rPr>
                <w:rFonts w:cs="Segoe UI"/>
                <w:b/>
              </w:rPr>
              <w:t>Average</w:t>
            </w:r>
          </w:p>
        </w:tc>
      </w:tr>
      <w:tr w:rsidR="004C63C4" w:rsidRPr="00AF72BF" w14:paraId="1A531CCB" w14:textId="77777777" w:rsidTr="00370DA6">
        <w:trPr>
          <w:cnfStyle w:val="000000010000" w:firstRow="0" w:lastRow="0" w:firstColumn="0" w:lastColumn="0" w:oddVBand="0" w:evenVBand="0" w:oddHBand="0" w:evenHBand="1" w:firstRowFirstColumn="0" w:firstRowLastColumn="0" w:lastRowFirstColumn="0" w:lastRowLastColumn="0"/>
        </w:trPr>
        <w:tc>
          <w:tcPr>
            <w:tcW w:w="3655" w:type="dxa"/>
          </w:tcPr>
          <w:p w14:paraId="3FA28C0F" w14:textId="77777777" w:rsidR="004C63C4" w:rsidRDefault="004C63C4" w:rsidP="004C63C4">
            <w:pPr>
              <w:pStyle w:val="TableParagraph"/>
              <w:spacing w:line="276" w:lineRule="auto"/>
              <w:rPr>
                <w:rFonts w:cs="Segoe UI"/>
              </w:rPr>
            </w:pPr>
            <w:r w:rsidRPr="00B9659F">
              <w:rPr>
                <w:rFonts w:cs="Segoe UI"/>
              </w:rPr>
              <w:t>Driver Behaviour Management – Sanctions</w:t>
            </w:r>
          </w:p>
        </w:tc>
        <w:tc>
          <w:tcPr>
            <w:tcW w:w="1119" w:type="dxa"/>
          </w:tcPr>
          <w:p w14:paraId="59E3EB3F" w14:textId="1140DDF3" w:rsidR="004C63C4" w:rsidRPr="00987818" w:rsidRDefault="004C63C4" w:rsidP="004C63C4">
            <w:pPr>
              <w:pStyle w:val="TableParagraph"/>
              <w:spacing w:line="276" w:lineRule="auto"/>
              <w:ind w:right="170"/>
              <w:jc w:val="right"/>
            </w:pPr>
            <w:r w:rsidRPr="00F41197">
              <w:t xml:space="preserve"> 10,647 </w:t>
            </w:r>
          </w:p>
        </w:tc>
        <w:tc>
          <w:tcPr>
            <w:tcW w:w="1119" w:type="dxa"/>
          </w:tcPr>
          <w:p w14:paraId="17C4BAE3" w14:textId="1973FFA2" w:rsidR="004C63C4" w:rsidRPr="00987818" w:rsidRDefault="004C63C4" w:rsidP="004C63C4">
            <w:pPr>
              <w:pStyle w:val="TableParagraph"/>
              <w:spacing w:line="276" w:lineRule="auto"/>
              <w:ind w:right="170"/>
              <w:jc w:val="right"/>
            </w:pPr>
            <w:r w:rsidRPr="00F41197">
              <w:t xml:space="preserve"> 10,455 </w:t>
            </w:r>
          </w:p>
        </w:tc>
        <w:tc>
          <w:tcPr>
            <w:tcW w:w="1119" w:type="dxa"/>
          </w:tcPr>
          <w:p w14:paraId="714258A0" w14:textId="545983EE" w:rsidR="004C63C4" w:rsidRPr="00987818" w:rsidRDefault="004C63C4" w:rsidP="004C63C4">
            <w:pPr>
              <w:pStyle w:val="TableParagraph"/>
              <w:spacing w:line="276" w:lineRule="auto"/>
              <w:ind w:right="170"/>
              <w:jc w:val="right"/>
            </w:pPr>
            <w:r w:rsidRPr="00F41197">
              <w:t xml:space="preserve"> 10,267 </w:t>
            </w:r>
          </w:p>
        </w:tc>
        <w:tc>
          <w:tcPr>
            <w:tcW w:w="1119" w:type="dxa"/>
          </w:tcPr>
          <w:p w14:paraId="194EDAE1" w14:textId="3E86E124" w:rsidR="004C63C4" w:rsidRPr="00987818" w:rsidRDefault="004C63C4" w:rsidP="004C63C4">
            <w:pPr>
              <w:pStyle w:val="TableParagraph"/>
              <w:spacing w:line="276" w:lineRule="auto"/>
              <w:ind w:right="170"/>
              <w:jc w:val="right"/>
            </w:pPr>
            <w:r w:rsidRPr="00F41197">
              <w:t xml:space="preserve"> 10,082 </w:t>
            </w:r>
          </w:p>
        </w:tc>
        <w:tc>
          <w:tcPr>
            <w:tcW w:w="1367" w:type="dxa"/>
          </w:tcPr>
          <w:p w14:paraId="012F9AD2" w14:textId="303F0119" w:rsidR="004C63C4" w:rsidRPr="004C63C4" w:rsidRDefault="004C63C4" w:rsidP="004C63C4">
            <w:pPr>
              <w:pStyle w:val="TableParagraph"/>
              <w:spacing w:line="276" w:lineRule="auto"/>
              <w:ind w:right="170"/>
              <w:jc w:val="right"/>
              <w:rPr>
                <w:b/>
              </w:rPr>
            </w:pPr>
            <w:r w:rsidRPr="004C63C4">
              <w:rPr>
                <w:b/>
              </w:rPr>
              <w:t xml:space="preserve"> 10,363 </w:t>
            </w:r>
          </w:p>
        </w:tc>
      </w:tr>
    </w:tbl>
    <w:p w14:paraId="01845B90" w14:textId="5B136457" w:rsidR="00370DA6" w:rsidRPr="00B238CA" w:rsidRDefault="00370DA6" w:rsidP="00370DA6">
      <w:pPr>
        <w:pStyle w:val="TextPara"/>
        <w:spacing w:before="240"/>
      </w:pPr>
      <w:r w:rsidRPr="00B238CA">
        <w:t xml:space="preserve">Currently </w:t>
      </w:r>
      <w:r>
        <w:t>t</w:t>
      </w:r>
      <w:r w:rsidRPr="00B238CA">
        <w:t xml:space="preserve">here is no fee charged for </w:t>
      </w:r>
      <w:r w:rsidRPr="008422B1">
        <w:t>these</w:t>
      </w:r>
      <w:r w:rsidRPr="00B238CA">
        <w:t xml:space="preserve"> services. As such, this service requires funding from the Victorian Government</w:t>
      </w:r>
      <w:r w:rsidR="00B16AD6">
        <w:t>.</w:t>
      </w:r>
    </w:p>
    <w:p w14:paraId="4DB94AB0" w14:textId="77777777" w:rsidR="00370DA6" w:rsidRDefault="00370DA6" w:rsidP="00370DA6">
      <w:pPr>
        <w:pStyle w:val="Heading3"/>
        <w:spacing w:before="240"/>
      </w:pPr>
      <w:bookmarkStart w:id="810" w:name="_Toc4084245"/>
      <w:bookmarkStart w:id="811" w:name="_Toc10703526"/>
      <w:r>
        <w:t>Cost Recovery Assessment</w:t>
      </w:r>
      <w:bookmarkEnd w:id="810"/>
      <w:bookmarkEnd w:id="811"/>
    </w:p>
    <w:p w14:paraId="587319F1" w14:textId="78F492F4" w:rsidR="00370DA6" w:rsidRDefault="00370DA6" w:rsidP="00370DA6">
      <w:pPr>
        <w:pStyle w:val="TextPara"/>
      </w:pPr>
      <w:r w:rsidRPr="008422B1">
        <w:t>Applying DTF</w:t>
      </w:r>
      <w:r>
        <w:t>’s</w:t>
      </w:r>
      <w:r w:rsidRPr="008422B1">
        <w:t xml:space="preserve"> </w:t>
      </w:r>
      <w:r>
        <w:t xml:space="preserve">full </w:t>
      </w:r>
      <w:r w:rsidRPr="008422B1">
        <w:t>cost recovery</w:t>
      </w:r>
      <w:r>
        <w:t xml:space="preserve"> objective</w:t>
      </w:r>
      <w:r w:rsidRPr="008422B1">
        <w:t>, the total cost</w:t>
      </w:r>
      <w:r>
        <w:t xml:space="preserve"> to deliver this service </w:t>
      </w:r>
      <w:r w:rsidRPr="008422B1">
        <w:t>($</w:t>
      </w:r>
      <w:r w:rsidR="004C63C4">
        <w:t>10.</w:t>
      </w:r>
      <w:r w:rsidR="00B8438C">
        <w:t>36</w:t>
      </w:r>
      <w:r w:rsidRPr="008422B1">
        <w:t>m</w:t>
      </w:r>
      <w:r>
        <w:t>)</w:t>
      </w:r>
      <w:r w:rsidRPr="008422B1">
        <w:t xml:space="preserve"> should be</w:t>
      </w:r>
      <w:r w:rsidRPr="00B238CA">
        <w:t xml:space="preserve"> borne by those who </w:t>
      </w:r>
      <w:r>
        <w:t>consume the service</w:t>
      </w:r>
      <w:r w:rsidRPr="00B238CA">
        <w:t xml:space="preserve">. </w:t>
      </w:r>
      <w:r>
        <w:t xml:space="preserve">This is especially the case as this cost is incurred through discretionary poor driver behaviour. </w:t>
      </w:r>
      <w:r w:rsidRPr="008422B1">
        <w:t>Taking this approach, the fee would equate to $6.</w:t>
      </w:r>
      <w:r w:rsidR="00B8438C">
        <w:t>91</w:t>
      </w:r>
      <w:r w:rsidRPr="008422B1">
        <w:t xml:space="preserve"> for each traffic infringement notice as approximately</w:t>
      </w:r>
      <w:r>
        <w:t xml:space="preserve"> 1.5 million notices are issued each year. As an example, a frequently committed offence such as </w:t>
      </w:r>
      <w:r w:rsidRPr="00106562">
        <w:t>Offence Code 1926</w:t>
      </w:r>
      <w:r>
        <w:t xml:space="preserve"> -</w:t>
      </w:r>
      <w:r w:rsidRPr="00106562">
        <w:t xml:space="preserve"> </w:t>
      </w:r>
      <w:r w:rsidRPr="00922B83">
        <w:rPr>
          <w:i/>
        </w:rPr>
        <w:t xml:space="preserve">Exceed speed limit in a vehicle other </w:t>
      </w:r>
      <w:r w:rsidRPr="008422B1">
        <w:rPr>
          <w:i/>
        </w:rPr>
        <w:t xml:space="preserve">than a heavy vehicle by less than 10km/h </w:t>
      </w:r>
      <w:r w:rsidRPr="008422B1">
        <w:t>incurs a fine of $</w:t>
      </w:r>
      <w:r w:rsidR="00B8438C">
        <w:t>203 in FY19/20</w:t>
      </w:r>
      <w:r w:rsidRPr="008422B1">
        <w:t xml:space="preserve">. </w:t>
      </w:r>
    </w:p>
    <w:p w14:paraId="52B711A2" w14:textId="77777777" w:rsidR="00370DA6" w:rsidRPr="00B238CA" w:rsidRDefault="00370DA6" w:rsidP="00370DA6">
      <w:pPr>
        <w:pStyle w:val="TextPara"/>
      </w:pPr>
      <w:r>
        <w:t>Assessing full cost recovery for these services against the other criteria the following was determined:</w:t>
      </w:r>
    </w:p>
    <w:p w14:paraId="542C60F2" w14:textId="77777777" w:rsidR="00370DA6" w:rsidRDefault="00370DA6" w:rsidP="00370DA6">
      <w:pPr>
        <w:pStyle w:val="NoSpacing"/>
      </w:pPr>
      <w:r w:rsidRPr="00B238CA">
        <w:t>Operational Efficiency</w:t>
      </w:r>
    </w:p>
    <w:p w14:paraId="45900FBC" w14:textId="7ED970D1" w:rsidR="00370DA6" w:rsidRDefault="00370DA6" w:rsidP="00370DA6">
      <w:pPr>
        <w:pStyle w:val="TextPara"/>
      </w:pPr>
      <w:r>
        <w:t>DoT considers that this service is delivered efficiently as this service is largely automated. Civic Compliance Victoria and the Courts send</w:t>
      </w:r>
      <w:r w:rsidDel="00DC284F">
        <w:t xml:space="preserve"> </w:t>
      </w:r>
      <w:r>
        <w:t xml:space="preserve">VicRoads data files containing traffic infringement notices and court hearing outcomes for traffic offences. These are uploaded into VicRoads systems for processing. For applicable offences, demerit points and licence bans (suspensions or cancellations) are applied. The system calculates the accrual of demerit points and determines whether a demerit point notice and/or suspension or cancellation notice should be issued. Where the system is unable to find a driver record in DLS that matches the offender in the court data, this is manually rectified by a team of licence sanction specialists in VicRoads. </w:t>
      </w:r>
    </w:p>
    <w:p w14:paraId="42B887BF" w14:textId="77777777" w:rsidR="00370DA6" w:rsidRDefault="00370DA6" w:rsidP="00370DA6">
      <w:pPr>
        <w:pStyle w:val="TextPara"/>
      </w:pPr>
      <w:r>
        <w:t xml:space="preserve">Charging a fee at full or partial cost recovery will not impact how this service is delivered as these processes and systems will only change in the future when VicRoads core systems are replaced. </w:t>
      </w:r>
    </w:p>
    <w:p w14:paraId="3C3C8C2B" w14:textId="77777777" w:rsidR="00370DA6" w:rsidRDefault="00370DA6" w:rsidP="00370DA6">
      <w:pPr>
        <w:pStyle w:val="NoSpacing"/>
      </w:pPr>
      <w:r w:rsidRPr="00B238CA">
        <w:t xml:space="preserve">Simplicity </w:t>
      </w:r>
    </w:p>
    <w:p w14:paraId="79DA2908" w14:textId="728611B8" w:rsidR="00370DA6" w:rsidRDefault="00370DA6" w:rsidP="00370DA6">
      <w:pPr>
        <w:pStyle w:val="TextPara"/>
      </w:pPr>
      <w:r>
        <w:t xml:space="preserve">Charging a flat fee at full or partial cost recovery would be more complex than not charging any fee. However, this would be less complex than charging a concession based partial fee. If a fee were to be charged, it would be collected through payment of the fine in the infringement notice. While this would leverage an established process, as the fee would be collected in a single payment with the fine, it would add complexity and cost as it would require interdepartmental reconciliation with IMES, who collect the fines. From a financial return perspective, the cost of collection and reconciliation would not be excessive in comparison to the fee income generated. </w:t>
      </w:r>
      <w:r w:rsidR="0084315B">
        <w:t xml:space="preserve">However, it </w:t>
      </w:r>
      <w:r>
        <w:t>is still a cost</w:t>
      </w:r>
      <w:r w:rsidR="0084315B">
        <w:t xml:space="preserve"> and a process that would need to be established and managed on an ongoing basis</w:t>
      </w:r>
      <w:r>
        <w:t xml:space="preserve">. </w:t>
      </w:r>
    </w:p>
    <w:p w14:paraId="416508D3" w14:textId="77777777" w:rsidR="00370DA6" w:rsidRDefault="00370DA6" w:rsidP="00370DA6">
      <w:pPr>
        <w:pStyle w:val="NoSpacing"/>
      </w:pPr>
      <w:r w:rsidRPr="00B238CA">
        <w:t>Customer Behaviours</w:t>
      </w:r>
    </w:p>
    <w:p w14:paraId="5C10564D" w14:textId="064C2590" w:rsidR="00370DA6" w:rsidRDefault="00370DA6" w:rsidP="00370DA6">
      <w:pPr>
        <w:pStyle w:val="TextPara"/>
      </w:pPr>
      <w:r>
        <w:t xml:space="preserve">Irrespective of whether any fee is charged or not, it would not have any bearing on customer behaviour as the fee would not stop drivers from offending nor paying the fine as the fee is a small portion of the overall bill (about 3% or </w:t>
      </w:r>
      <w:r w:rsidR="00202707">
        <w:t xml:space="preserve">even </w:t>
      </w:r>
      <w:r>
        <w:t>less</w:t>
      </w:r>
      <w:r w:rsidR="00202707">
        <w:t xml:space="preserve"> for higher cost fines</w:t>
      </w:r>
      <w:r>
        <w:t>). Applying a fee would not encourage behaviours that would compromise road safety.</w:t>
      </w:r>
    </w:p>
    <w:p w14:paraId="79CBA508" w14:textId="77777777" w:rsidR="00370DA6" w:rsidRDefault="00370DA6" w:rsidP="00370DA6">
      <w:pPr>
        <w:pStyle w:val="NoSpacing"/>
      </w:pPr>
      <w:r w:rsidRPr="003E2451">
        <w:lastRenderedPageBreak/>
        <w:t>Equity</w:t>
      </w:r>
    </w:p>
    <w:p w14:paraId="148714AD" w14:textId="77777777" w:rsidR="00370DA6" w:rsidRDefault="00370DA6" w:rsidP="00370DA6">
      <w:pPr>
        <w:pStyle w:val="TextPara"/>
      </w:pPr>
      <w:r>
        <w:t xml:space="preserve">Charging a fee at full cost recovery promotes an equitable outcome as it ensures that the cost of the service is fully </w:t>
      </w:r>
      <w:r w:rsidRPr="00B238CA">
        <w:t xml:space="preserve">borne by those who </w:t>
      </w:r>
      <w:r>
        <w:t>consume the service (or create the need for the service). This is especially the case as this service is required as a consequence of offending driver behaviour.</w:t>
      </w:r>
    </w:p>
    <w:p w14:paraId="1D30F290" w14:textId="77777777" w:rsidR="00370DA6" w:rsidRPr="001A3B18" w:rsidRDefault="00370DA6" w:rsidP="00370DA6">
      <w:pPr>
        <w:pStyle w:val="Heading3"/>
        <w:spacing w:before="240"/>
      </w:pPr>
      <w:bookmarkStart w:id="812" w:name="_Toc4084246"/>
      <w:bookmarkStart w:id="813" w:name="_Toc10703527"/>
      <w:r w:rsidRPr="001A3B18">
        <w:t>Proposal</w:t>
      </w:r>
      <w:bookmarkEnd w:id="812"/>
      <w:bookmarkEnd w:id="813"/>
    </w:p>
    <w:p w14:paraId="79D63D40" w14:textId="435955FC" w:rsidR="00370DA6" w:rsidRDefault="00370DA6" w:rsidP="00370DA6">
      <w:pPr>
        <w:pStyle w:val="Bullet2-Green"/>
        <w:numPr>
          <w:ilvl w:val="0"/>
          <w:numId w:val="0"/>
        </w:numPr>
      </w:pPr>
      <w:r>
        <w:t xml:space="preserve">The above analysis suggests that full cost recovery should be applied to these services as </w:t>
      </w:r>
      <w:r w:rsidR="000E3B18">
        <w:t xml:space="preserve">they are incurred as a result of poor driving behaviour and imposing a fee would </w:t>
      </w:r>
      <w:r>
        <w:t>no</w:t>
      </w:r>
      <w:r w:rsidR="000E3B18">
        <w:t>t</w:t>
      </w:r>
      <w:r>
        <w:t xml:space="preserve"> compromise road safety or equity. To achieve full cost recovery would require a fee of $6.</w:t>
      </w:r>
      <w:r w:rsidR="00B8438C">
        <w:t>91</w:t>
      </w:r>
      <w:r>
        <w:t xml:space="preserve"> for each of the 1.5</w:t>
      </w:r>
      <w:r w:rsidR="000E3B18">
        <w:t xml:space="preserve"> </w:t>
      </w:r>
      <w:r>
        <w:t>million infringement notices totalling $</w:t>
      </w:r>
      <w:r w:rsidR="00B8438C">
        <w:t>10.36</w:t>
      </w:r>
      <w:r>
        <w:t>m.</w:t>
      </w:r>
    </w:p>
    <w:p w14:paraId="2AF8B045" w14:textId="0E205F51" w:rsidR="00370DA6" w:rsidRDefault="00370DA6" w:rsidP="00370DA6">
      <w:pPr>
        <w:pStyle w:val="TextPara"/>
      </w:pPr>
      <w:r>
        <w:t xml:space="preserve">Despite the analysis the government intends to continue to absorb the cost of sanctions management and not to impose any </w:t>
      </w:r>
      <w:r w:rsidR="000E3B18">
        <w:t xml:space="preserve">administration </w:t>
      </w:r>
      <w:r>
        <w:t xml:space="preserve">fees for this service to </w:t>
      </w:r>
      <w:r w:rsidR="000E3B18">
        <w:t xml:space="preserve">keep it </w:t>
      </w:r>
      <w:r>
        <w:t>consistent with the existing government policy of not charging fees to process sanctions and taxes</w:t>
      </w:r>
      <w:r w:rsidR="00B454C3">
        <w:t>, when paid on time.</w:t>
      </w:r>
    </w:p>
    <w:p w14:paraId="218F0FD3" w14:textId="77777777" w:rsidR="00370DA6" w:rsidRDefault="00370DA6" w:rsidP="00370DA6">
      <w:pPr>
        <w:pStyle w:val="TextPara"/>
        <w:rPr>
          <w:rFonts w:cs="Segoe UI"/>
          <w:szCs w:val="20"/>
        </w:rPr>
      </w:pPr>
      <w:r>
        <w:t xml:space="preserve">Accordingly, DoT proposes </w:t>
      </w:r>
      <w:r w:rsidRPr="003E2451">
        <w:t xml:space="preserve">that </w:t>
      </w:r>
      <w:r w:rsidRPr="00615BF4">
        <w:rPr>
          <w:rFonts w:cs="Segoe UI"/>
          <w:szCs w:val="20"/>
        </w:rPr>
        <w:t>no fees be charged for th</w:t>
      </w:r>
      <w:r>
        <w:rPr>
          <w:rFonts w:cs="Segoe UI"/>
          <w:szCs w:val="20"/>
        </w:rPr>
        <w:t>is</w:t>
      </w:r>
      <w:r w:rsidRPr="00615BF4">
        <w:rPr>
          <w:rFonts w:cs="Segoe UI"/>
          <w:szCs w:val="20"/>
        </w:rPr>
        <w:t xml:space="preserve"> service in the proposed Regulations.</w:t>
      </w:r>
    </w:p>
    <w:p w14:paraId="085ED371" w14:textId="77777777" w:rsidR="00370DA6" w:rsidRDefault="00370DA6" w:rsidP="00370DA6">
      <w:pPr>
        <w:pStyle w:val="Heading2"/>
        <w:spacing w:before="240" w:after="180"/>
      </w:pPr>
      <w:bookmarkStart w:id="814" w:name="_Toc4084247"/>
      <w:bookmarkStart w:id="815" w:name="_Toc10703528"/>
      <w:r>
        <w:t>Driver Behaviour</w:t>
      </w:r>
      <w:r w:rsidRPr="00117C96">
        <w:t xml:space="preserve"> Management</w:t>
      </w:r>
      <w:r>
        <w:t xml:space="preserve"> – Alcohol Interlocks</w:t>
      </w:r>
      <w:bookmarkEnd w:id="814"/>
      <w:bookmarkEnd w:id="815"/>
    </w:p>
    <w:p w14:paraId="38E25BF6" w14:textId="1AAB93FF" w:rsidR="00370DA6" w:rsidRPr="005605DF" w:rsidRDefault="00370DA6" w:rsidP="00370DA6">
      <w:pPr>
        <w:pStyle w:val="TextPara"/>
      </w:pPr>
      <w:r w:rsidRPr="00EB33DD">
        <w:t xml:space="preserve">The </w:t>
      </w:r>
      <w:r w:rsidR="00202707">
        <w:t xml:space="preserve">forecast average </w:t>
      </w:r>
      <w:r>
        <w:t>annual cost of providing the administrative services supporting driver behaviour management is</w:t>
      </w:r>
      <w:r w:rsidRPr="00EB33DD">
        <w:t xml:space="preserve"> </w:t>
      </w:r>
      <w:r w:rsidRPr="008422B1">
        <w:t>$</w:t>
      </w:r>
      <w:r>
        <w:t>2.</w:t>
      </w:r>
      <w:r w:rsidR="00B8438C">
        <w:t>50</w:t>
      </w:r>
      <w:r w:rsidR="00D70E3B">
        <w:t>m</w:t>
      </w:r>
      <w:r w:rsidR="00202707">
        <w:t xml:space="preserve"> (PV)</w:t>
      </w:r>
      <w:r w:rsidRPr="008422B1">
        <w:t xml:space="preserve">. </w:t>
      </w:r>
      <w:r>
        <w:t xml:space="preserve">Every year </w:t>
      </w:r>
      <w:r w:rsidRPr="008422B1">
        <w:t xml:space="preserve">this Services Group </w:t>
      </w:r>
      <w:r>
        <w:t>supports approximately 10,000</w:t>
      </w:r>
      <w:r w:rsidRPr="00BA3A0F">
        <w:t xml:space="preserve"> drivers </w:t>
      </w:r>
      <w:r>
        <w:t xml:space="preserve">who are required to have </w:t>
      </w:r>
      <w:r w:rsidRPr="00BA3A0F">
        <w:t>alcohol interlock</w:t>
      </w:r>
      <w:r>
        <w:t>s</w:t>
      </w:r>
      <w:r w:rsidRPr="00BA3A0F">
        <w:t xml:space="preserve"> </w:t>
      </w:r>
      <w:r>
        <w:t xml:space="preserve">fitted to their vehicle. Their monthly </w:t>
      </w:r>
      <w:r w:rsidRPr="00BA3A0F">
        <w:t>drive data</w:t>
      </w:r>
      <w:r>
        <w:t xml:space="preserve"> is assessed by VicRoads to determine their ability to successfully separate their drinking from their driving.</w:t>
      </w:r>
    </w:p>
    <w:p w14:paraId="5EEEB1E6" w14:textId="77777777" w:rsidR="00370DA6" w:rsidRPr="00B238CA" w:rsidRDefault="00370DA6" w:rsidP="00370DA6">
      <w:pPr>
        <w:pStyle w:val="TextPara"/>
      </w:pPr>
      <w:r w:rsidRPr="00B238CA">
        <w:t xml:space="preserve">An overview of this </w:t>
      </w:r>
      <w:r>
        <w:t>Services Group’s</w:t>
      </w:r>
      <w:r w:rsidRPr="00B238CA">
        <w:t xml:space="preserve"> </w:t>
      </w:r>
      <w:r w:rsidRPr="008422B1">
        <w:t>activities</w:t>
      </w:r>
      <w:r>
        <w:t>, costs and fee income</w:t>
      </w:r>
      <w:r w:rsidRPr="00B238CA">
        <w:t xml:space="preserve"> together with an assessment of options for cost recovery (against the DTF cost recovery principles) and the proposed fee outcome is outlined in the remainder of this section.</w:t>
      </w:r>
    </w:p>
    <w:p w14:paraId="062BB3FA" w14:textId="77777777" w:rsidR="00370DA6" w:rsidRDefault="00370DA6" w:rsidP="00370DA6">
      <w:pPr>
        <w:pStyle w:val="Heading3"/>
        <w:spacing w:before="240"/>
      </w:pPr>
      <w:bookmarkStart w:id="816" w:name="_Toc4084248"/>
      <w:bookmarkStart w:id="817" w:name="_Toc10703529"/>
      <w:r w:rsidRPr="00117C96">
        <w:t>Service Overview</w:t>
      </w:r>
      <w:bookmarkEnd w:id="816"/>
      <w:bookmarkEnd w:id="817"/>
    </w:p>
    <w:p w14:paraId="55A4351E" w14:textId="40280EE2" w:rsidR="00370DA6" w:rsidRPr="003D0B5A" w:rsidRDefault="000F4627" w:rsidP="00370DA6">
      <w:pPr>
        <w:pStyle w:val="TextPara"/>
      </w:pPr>
      <w:r>
        <w:fldChar w:fldCharType="begin"/>
      </w:r>
      <w:r>
        <w:instrText xml:space="preserve"> REF _Ref4415175 \h </w:instrText>
      </w:r>
      <w:r>
        <w:fldChar w:fldCharType="separate"/>
      </w:r>
      <w:r w:rsidR="00EB4B02">
        <w:t xml:space="preserve">Table </w:t>
      </w:r>
      <w:r w:rsidR="00EB4B02">
        <w:rPr>
          <w:noProof/>
        </w:rPr>
        <w:t>62</w:t>
      </w:r>
      <w:r>
        <w:fldChar w:fldCharType="end"/>
      </w:r>
      <w:r>
        <w:t xml:space="preserve"> </w:t>
      </w:r>
      <w:r w:rsidR="00370DA6">
        <w:t>provides a description of the activities associated with the driver behaviour management</w:t>
      </w:r>
      <w:r w:rsidR="00370DA6" w:rsidRPr="003D0B5A">
        <w:t xml:space="preserve"> </w:t>
      </w:r>
      <w:r w:rsidR="00370DA6">
        <w:t>services.</w:t>
      </w:r>
    </w:p>
    <w:p w14:paraId="17969BB0" w14:textId="1E7B23DE" w:rsidR="00370DA6" w:rsidRDefault="00370DA6" w:rsidP="00370DA6">
      <w:pPr>
        <w:pStyle w:val="Caption"/>
      </w:pPr>
      <w:bookmarkStart w:id="818" w:name="_Ref4415175"/>
      <w:bookmarkStart w:id="819" w:name="_Toc4084345"/>
      <w:bookmarkStart w:id="820" w:name="_Toc10703755"/>
      <w:r>
        <w:t xml:space="preserve">Table </w:t>
      </w:r>
      <w:r>
        <w:rPr>
          <w:noProof/>
        </w:rPr>
        <w:fldChar w:fldCharType="begin"/>
      </w:r>
      <w:r>
        <w:rPr>
          <w:noProof/>
        </w:rPr>
        <w:instrText xml:space="preserve"> SEQ Table \* ARABIC </w:instrText>
      </w:r>
      <w:r>
        <w:rPr>
          <w:noProof/>
        </w:rPr>
        <w:fldChar w:fldCharType="separate"/>
      </w:r>
      <w:r w:rsidR="00EB4B02">
        <w:rPr>
          <w:noProof/>
        </w:rPr>
        <w:t>62</w:t>
      </w:r>
      <w:r>
        <w:rPr>
          <w:noProof/>
        </w:rPr>
        <w:fldChar w:fldCharType="end"/>
      </w:r>
      <w:bookmarkEnd w:id="818"/>
      <w:r>
        <w:t xml:space="preserve"> – </w:t>
      </w:r>
      <w:r w:rsidRPr="003C4CEF">
        <w:t xml:space="preserve">Services </w:t>
      </w:r>
      <w:r>
        <w:t>Group Activities: Driver Behaviour Management - Alcohol Interlocks</w:t>
      </w:r>
      <w:bookmarkEnd w:id="819"/>
      <w:bookmarkEnd w:id="820"/>
    </w:p>
    <w:tbl>
      <w:tblPr>
        <w:tblStyle w:val="RIS-Table2"/>
        <w:tblW w:w="9498" w:type="dxa"/>
        <w:tblLayout w:type="fixed"/>
        <w:tblLook w:val="04A0" w:firstRow="1" w:lastRow="0" w:firstColumn="1" w:lastColumn="0" w:noHBand="0" w:noVBand="1"/>
      </w:tblPr>
      <w:tblGrid>
        <w:gridCol w:w="2268"/>
        <w:gridCol w:w="7230"/>
      </w:tblGrid>
      <w:tr w:rsidR="00370DA6" w:rsidRPr="00117C96" w14:paraId="5CC10990" w14:textId="77777777" w:rsidTr="00370DA6">
        <w:trPr>
          <w:cnfStyle w:val="100000000000" w:firstRow="1" w:lastRow="0" w:firstColumn="0" w:lastColumn="0" w:oddVBand="0" w:evenVBand="0" w:oddHBand="0" w:evenHBand="0" w:firstRowFirstColumn="0" w:firstRowLastColumn="0" w:lastRowFirstColumn="0" w:lastRowLastColumn="0"/>
        </w:trPr>
        <w:tc>
          <w:tcPr>
            <w:tcW w:w="2268" w:type="dxa"/>
          </w:tcPr>
          <w:p w14:paraId="07DF75F9" w14:textId="77777777" w:rsidR="00370DA6" w:rsidRPr="00117C96" w:rsidRDefault="00370DA6" w:rsidP="00370DA6">
            <w:pPr>
              <w:pStyle w:val="TableHeaders"/>
            </w:pPr>
            <w:r w:rsidRPr="00B238CA">
              <w:rPr>
                <w:rFonts w:cs="Segoe UI"/>
              </w:rPr>
              <w:t xml:space="preserve">Services </w:t>
            </w:r>
          </w:p>
        </w:tc>
        <w:tc>
          <w:tcPr>
            <w:tcW w:w="7230" w:type="dxa"/>
          </w:tcPr>
          <w:p w14:paraId="22BD8C6D" w14:textId="77777777" w:rsidR="00370DA6" w:rsidRPr="00117C96" w:rsidRDefault="00370DA6" w:rsidP="00370DA6">
            <w:pPr>
              <w:pStyle w:val="TableHeaders"/>
            </w:pPr>
            <w:r w:rsidRPr="00B238CA">
              <w:rPr>
                <w:rFonts w:cs="Segoe UI"/>
                <w:szCs w:val="18"/>
              </w:rPr>
              <w:t>Activities</w:t>
            </w:r>
          </w:p>
        </w:tc>
      </w:tr>
      <w:tr w:rsidR="00370DA6" w:rsidRPr="004C43BB" w14:paraId="7397CB6E" w14:textId="77777777" w:rsidTr="00370DA6">
        <w:tc>
          <w:tcPr>
            <w:tcW w:w="2268" w:type="dxa"/>
          </w:tcPr>
          <w:p w14:paraId="7498BC97" w14:textId="77777777" w:rsidR="00370DA6" w:rsidRPr="00F74583" w:rsidRDefault="00370DA6" w:rsidP="00370DA6">
            <w:pPr>
              <w:pStyle w:val="TableList1"/>
              <w:numPr>
                <w:ilvl w:val="0"/>
                <w:numId w:val="0"/>
              </w:numPr>
              <w:rPr>
                <w:b/>
              </w:rPr>
            </w:pPr>
            <w:r w:rsidRPr="00F74583">
              <w:rPr>
                <w:b/>
              </w:rPr>
              <w:t>Alcohol Interlock management</w:t>
            </w:r>
          </w:p>
        </w:tc>
        <w:tc>
          <w:tcPr>
            <w:tcW w:w="7230" w:type="dxa"/>
          </w:tcPr>
          <w:p w14:paraId="2287E08C" w14:textId="77777777" w:rsidR="00370DA6" w:rsidRPr="004A36A9" w:rsidRDefault="00370DA6" w:rsidP="00370DA6">
            <w:pPr>
              <w:pStyle w:val="TableList1"/>
              <w:ind w:left="360" w:hanging="360"/>
            </w:pPr>
            <w:r w:rsidRPr="004A36A9">
              <w:t>Manage Alcohol Interlock customers using the Alcohol Interlock Management System (AIMS)</w:t>
            </w:r>
          </w:p>
          <w:p w14:paraId="51BE1FB8" w14:textId="77777777" w:rsidR="00370DA6" w:rsidRPr="004A36A9" w:rsidRDefault="00370DA6" w:rsidP="00370DA6">
            <w:pPr>
              <w:pStyle w:val="TableList1"/>
              <w:ind w:left="360" w:hanging="360"/>
            </w:pPr>
            <w:r w:rsidRPr="004A36A9">
              <w:t>Create new customer record with the relevant interlock condition duration in AIMS when an Interlock condition is imposed on the customer</w:t>
            </w:r>
          </w:p>
          <w:p w14:paraId="05D3ACEA" w14:textId="77777777" w:rsidR="00370DA6" w:rsidRPr="004A36A9" w:rsidRDefault="00370DA6" w:rsidP="00370DA6">
            <w:pPr>
              <w:pStyle w:val="TableList1"/>
              <w:ind w:left="360" w:hanging="360"/>
            </w:pPr>
            <w:r w:rsidRPr="004A36A9">
              <w:t>Collate and assess the monthly drive data from each customer and monitor performance and compliance with the interlock condition</w:t>
            </w:r>
          </w:p>
          <w:p w14:paraId="249D4308" w14:textId="77777777" w:rsidR="00370DA6" w:rsidRPr="004A36A9" w:rsidRDefault="00370DA6" w:rsidP="00370DA6">
            <w:pPr>
              <w:pStyle w:val="TableList1"/>
              <w:ind w:left="360" w:hanging="360"/>
            </w:pPr>
            <w:r w:rsidRPr="004A36A9">
              <w:t>Manage disputes raised by customers relating to non-compliant drive behaviours</w:t>
            </w:r>
          </w:p>
          <w:p w14:paraId="40216252" w14:textId="77777777" w:rsidR="00370DA6" w:rsidRDefault="00370DA6" w:rsidP="00370DA6">
            <w:pPr>
              <w:pStyle w:val="TableList1"/>
              <w:ind w:left="360" w:hanging="360"/>
            </w:pPr>
            <w:r w:rsidRPr="004A36A9">
              <w:t>For low range BAC drink</w:t>
            </w:r>
            <w:r>
              <w:t>-</w:t>
            </w:r>
            <w:r w:rsidRPr="004A36A9">
              <w:t>driving offenders</w:t>
            </w:r>
            <w:r>
              <w:t>,</w:t>
            </w:r>
            <w:r w:rsidRPr="004A36A9">
              <w:t xml:space="preserve"> process customer applications to have their </w:t>
            </w:r>
            <w:r>
              <w:t>‘</w:t>
            </w:r>
            <w:r w:rsidRPr="004A36A9">
              <w:t>I</w:t>
            </w:r>
            <w:r>
              <w:t>’</w:t>
            </w:r>
            <w:r w:rsidRPr="004A36A9">
              <w:t xml:space="preserve"> condition removed after serving the minimum</w:t>
            </w:r>
            <w:r>
              <w:t xml:space="preserve"> interlock period</w:t>
            </w:r>
          </w:p>
          <w:p w14:paraId="5BC5CA84" w14:textId="77777777" w:rsidR="00370DA6" w:rsidRDefault="00370DA6" w:rsidP="00370DA6">
            <w:pPr>
              <w:pStyle w:val="TableList2"/>
            </w:pPr>
            <w:r>
              <w:t>Assess</w:t>
            </w:r>
            <w:r w:rsidRPr="00D62246">
              <w:t xml:space="preserve"> eligibility for alcohol interlock condition removal </w:t>
            </w:r>
            <w:r>
              <w:t>by determining whether the customer has successfully separated their drinking from driving</w:t>
            </w:r>
          </w:p>
          <w:p w14:paraId="4DF704EA" w14:textId="77777777" w:rsidR="00370DA6" w:rsidRDefault="00370DA6" w:rsidP="00370DA6">
            <w:pPr>
              <w:pStyle w:val="TableList2"/>
            </w:pPr>
            <w:r>
              <w:t>C</w:t>
            </w:r>
            <w:r w:rsidRPr="00D62246">
              <w:t>ommunicat</w:t>
            </w:r>
            <w:r>
              <w:t>e assessment outcome to the customer</w:t>
            </w:r>
          </w:p>
          <w:p w14:paraId="1884727B" w14:textId="77777777" w:rsidR="00370DA6" w:rsidRPr="00D62246" w:rsidRDefault="00370DA6" w:rsidP="00370DA6">
            <w:pPr>
              <w:pStyle w:val="TableList2"/>
            </w:pPr>
            <w:r>
              <w:t>If the application is successful, remove the ‘I’ condition from the drivers record in DLS and issue a new licence card without an ‘I’ condition</w:t>
            </w:r>
          </w:p>
          <w:p w14:paraId="2C289A9F" w14:textId="77777777" w:rsidR="00370DA6" w:rsidRDefault="00370DA6" w:rsidP="00370DA6">
            <w:pPr>
              <w:pStyle w:val="TableList2"/>
            </w:pPr>
            <w:r>
              <w:t>If the application is NOT successful, the customer remains on the program</w:t>
            </w:r>
          </w:p>
          <w:p w14:paraId="2CC0999C" w14:textId="77777777" w:rsidR="00370DA6" w:rsidRPr="00CE29EA" w:rsidRDefault="00370DA6" w:rsidP="00370DA6">
            <w:pPr>
              <w:pStyle w:val="TableList1"/>
              <w:ind w:left="360" w:hanging="360"/>
            </w:pPr>
            <w:r>
              <w:t xml:space="preserve">For high range BAC (and repeat) drink-driving offenders, process customer request to generate their interlock usage report after serving the minimum interlock period </w:t>
            </w:r>
            <w:r>
              <w:lastRenderedPageBreak/>
              <w:t>and send it to their assessor. This report is used for the purpose of the customer’s Interlock Condition Removal Order court hearing</w:t>
            </w:r>
          </w:p>
          <w:p w14:paraId="73D1B2F6" w14:textId="77777777" w:rsidR="00370DA6" w:rsidRPr="004A36A9" w:rsidRDefault="00370DA6" w:rsidP="00370DA6">
            <w:pPr>
              <w:pStyle w:val="TableList1"/>
              <w:ind w:left="360" w:hanging="360"/>
            </w:pPr>
            <w:r w:rsidRPr="004A36A9">
              <w:t>Manage alcohol interlock suppliers</w:t>
            </w:r>
            <w:r>
              <w:t xml:space="preserve"> (</w:t>
            </w:r>
            <w:r w:rsidRPr="00700B40">
              <w:rPr>
                <w:b/>
              </w:rPr>
              <w:t>AIS</w:t>
            </w:r>
            <w:r>
              <w:t>)</w:t>
            </w:r>
          </w:p>
          <w:p w14:paraId="4ECB7789" w14:textId="59B69CCA" w:rsidR="00370DA6" w:rsidRDefault="00370DA6" w:rsidP="00370DA6">
            <w:pPr>
              <w:pStyle w:val="TableList2"/>
            </w:pPr>
            <w:r w:rsidRPr="004A36A9">
              <w:t>An entity (individual or organisa</w:t>
            </w:r>
            <w:r>
              <w:t xml:space="preserve">tion) wishing to be </w:t>
            </w:r>
            <w:r w:rsidR="008143FB">
              <w:t>an</w:t>
            </w:r>
            <w:r>
              <w:t xml:space="preserve"> AIS</w:t>
            </w:r>
            <w:r w:rsidRPr="004A36A9">
              <w:t xml:space="preserve"> is required to submit an application to VicRoads. The entity is assessed to determine their suitability against </w:t>
            </w:r>
            <w:r>
              <w:t xml:space="preserve">the </w:t>
            </w:r>
            <w:r w:rsidRPr="004A36A9">
              <w:t>predetermined criteria</w:t>
            </w:r>
          </w:p>
          <w:p w14:paraId="6EB59976" w14:textId="4ACC844D" w:rsidR="00370DA6" w:rsidRPr="004A36A9" w:rsidRDefault="00370DA6" w:rsidP="00370DA6">
            <w:pPr>
              <w:pStyle w:val="TableList2"/>
            </w:pPr>
            <w:r w:rsidRPr="004A36A9">
              <w:t xml:space="preserve">Grant authority to </w:t>
            </w:r>
            <w:r>
              <w:t>an AIS to :</w:t>
            </w:r>
          </w:p>
          <w:p w14:paraId="47CD23C6" w14:textId="77777777" w:rsidR="00370DA6" w:rsidRDefault="00370DA6" w:rsidP="00370DA6">
            <w:pPr>
              <w:pStyle w:val="TableList3"/>
            </w:pPr>
            <w:r>
              <w:t xml:space="preserve">provide, </w:t>
            </w:r>
            <w:r w:rsidRPr="00D62246">
              <w:t>install, mainta</w:t>
            </w:r>
            <w:r>
              <w:t>in and remove interlock devices</w:t>
            </w:r>
          </w:p>
          <w:p w14:paraId="23E24FF4" w14:textId="22FC6B38" w:rsidR="00370DA6" w:rsidRPr="00D62246" w:rsidRDefault="00370DA6" w:rsidP="00370DA6">
            <w:pPr>
              <w:pStyle w:val="TableList3"/>
            </w:pPr>
            <w:r>
              <w:t>charge fees for the installation, lease, maintenance and removal of interlock devices. This fee is charged to the customer by the AIS for the provision of its services. (Note: This fee is separate from government Cost Recovery fee).</w:t>
            </w:r>
          </w:p>
          <w:p w14:paraId="3C220222" w14:textId="452BF51C" w:rsidR="00370DA6" w:rsidRPr="00D62246" w:rsidRDefault="00370DA6" w:rsidP="00370DA6">
            <w:pPr>
              <w:pStyle w:val="TableList3"/>
            </w:pPr>
            <w:r w:rsidRPr="00D62246">
              <w:t xml:space="preserve">collect the government </w:t>
            </w:r>
            <w:r>
              <w:t xml:space="preserve">Cost Recovery fee on behalf of VicRoads. This fee is charged to the customer for the administration of the alcohol interlock program. </w:t>
            </w:r>
          </w:p>
          <w:p w14:paraId="7FB8988E" w14:textId="77777777" w:rsidR="00370DA6" w:rsidRPr="00D62246" w:rsidRDefault="00370DA6" w:rsidP="00370DA6">
            <w:pPr>
              <w:pStyle w:val="TableList3"/>
            </w:pPr>
            <w:r w:rsidRPr="00D62246">
              <w:t xml:space="preserve">download </w:t>
            </w:r>
            <w:r>
              <w:t>usage</w:t>
            </w:r>
            <w:r w:rsidRPr="00D62246">
              <w:t xml:space="preserve"> data </w:t>
            </w:r>
            <w:r>
              <w:t xml:space="preserve">from the interlock device at the </w:t>
            </w:r>
            <w:r w:rsidRPr="00D62246">
              <w:t xml:space="preserve">monthly service </w:t>
            </w:r>
            <w:r>
              <w:t>and transfer the</w:t>
            </w:r>
            <w:r w:rsidRPr="00D62246">
              <w:t xml:space="preserve"> data to VicRoads</w:t>
            </w:r>
          </w:p>
          <w:p w14:paraId="67C1875B" w14:textId="77777777" w:rsidR="00370DA6" w:rsidRPr="00D62246" w:rsidRDefault="00370DA6" w:rsidP="00370DA6">
            <w:pPr>
              <w:pStyle w:val="TableList3"/>
            </w:pPr>
            <w:r w:rsidRPr="00D62246">
              <w:t>remit the gove</w:t>
            </w:r>
            <w:r>
              <w:t>rnment Cost Recovery fee collected from customers to VicRoads on a monthly basis</w:t>
            </w:r>
          </w:p>
          <w:p w14:paraId="06728CFF" w14:textId="77777777" w:rsidR="00370DA6" w:rsidRPr="00D62246" w:rsidRDefault="00370DA6" w:rsidP="00370DA6">
            <w:pPr>
              <w:pStyle w:val="TableList2"/>
            </w:pPr>
            <w:r>
              <w:t>Monitor</w:t>
            </w:r>
            <w:r w:rsidRPr="004A36A9">
              <w:t xml:space="preserve"> compliance </w:t>
            </w:r>
            <w:r>
              <w:t>of each AIS with the terms of authority granted to them by VicRoads</w:t>
            </w:r>
          </w:p>
        </w:tc>
      </w:tr>
    </w:tbl>
    <w:p w14:paraId="21642F07" w14:textId="6E4C855D" w:rsidR="00370DA6" w:rsidRPr="00342389" w:rsidRDefault="009C3740" w:rsidP="00370DA6">
      <w:pPr>
        <w:pStyle w:val="TextPara"/>
        <w:spacing w:before="240"/>
      </w:pPr>
      <w:r>
        <w:lastRenderedPageBreak/>
        <w:fldChar w:fldCharType="begin"/>
      </w:r>
      <w:r>
        <w:instrText xml:space="preserve"> REF _Ref4415205 \h </w:instrText>
      </w:r>
      <w:r>
        <w:fldChar w:fldCharType="separate"/>
      </w:r>
      <w:r w:rsidR="00EB4B02">
        <w:t xml:space="preserve">Table </w:t>
      </w:r>
      <w:r w:rsidR="00EB4B02">
        <w:rPr>
          <w:noProof/>
        </w:rPr>
        <w:t>63</w:t>
      </w:r>
      <w:r>
        <w:fldChar w:fldCharType="end"/>
      </w:r>
      <w:r>
        <w:t xml:space="preserve"> </w:t>
      </w:r>
      <w:r w:rsidR="00370DA6">
        <w:t>provides a summary of the estimated costs for the provision of the services over the forecast period.</w:t>
      </w:r>
    </w:p>
    <w:p w14:paraId="1B6CE0F5" w14:textId="517F65B2" w:rsidR="00370DA6" w:rsidRDefault="00370DA6" w:rsidP="00370DA6">
      <w:pPr>
        <w:pStyle w:val="Caption"/>
      </w:pPr>
      <w:bookmarkStart w:id="821" w:name="_Ref4415205"/>
      <w:bookmarkStart w:id="822" w:name="_Toc4084346"/>
      <w:bookmarkStart w:id="823" w:name="_Toc10703756"/>
      <w:r>
        <w:t xml:space="preserve">Table </w:t>
      </w:r>
      <w:r>
        <w:rPr>
          <w:noProof/>
        </w:rPr>
        <w:fldChar w:fldCharType="begin"/>
      </w:r>
      <w:r>
        <w:rPr>
          <w:noProof/>
        </w:rPr>
        <w:instrText xml:space="preserve"> SEQ Table \* ARABIC </w:instrText>
      </w:r>
      <w:r>
        <w:rPr>
          <w:noProof/>
        </w:rPr>
        <w:fldChar w:fldCharType="separate"/>
      </w:r>
      <w:r w:rsidR="00EB4B02">
        <w:rPr>
          <w:noProof/>
        </w:rPr>
        <w:t>63</w:t>
      </w:r>
      <w:r>
        <w:rPr>
          <w:noProof/>
        </w:rPr>
        <w:fldChar w:fldCharType="end"/>
      </w:r>
      <w:bookmarkEnd w:id="821"/>
      <w:r>
        <w:t xml:space="preserve"> –</w:t>
      </w:r>
      <w:r w:rsidRPr="003C4CEF">
        <w:t xml:space="preserve"> </w:t>
      </w:r>
      <w:r>
        <w:t>Services Group Cost: Driver Behaviour Management – Alcohol Interlocks</w:t>
      </w:r>
      <w:bookmarkEnd w:id="822"/>
      <w:bookmarkEnd w:id="823"/>
    </w:p>
    <w:tbl>
      <w:tblPr>
        <w:tblStyle w:val="RIS-Table2"/>
        <w:tblW w:w="9498" w:type="dxa"/>
        <w:tblLook w:val="04A0" w:firstRow="1" w:lastRow="0" w:firstColumn="1" w:lastColumn="0" w:noHBand="0" w:noVBand="1"/>
      </w:tblPr>
      <w:tblGrid>
        <w:gridCol w:w="3828"/>
        <w:gridCol w:w="1134"/>
        <w:gridCol w:w="1134"/>
        <w:gridCol w:w="1134"/>
        <w:gridCol w:w="1134"/>
        <w:gridCol w:w="1134"/>
      </w:tblGrid>
      <w:tr w:rsidR="00370DA6" w:rsidRPr="00AF72BF" w14:paraId="72BA8869" w14:textId="77777777" w:rsidTr="00370DA6">
        <w:trPr>
          <w:cnfStyle w:val="100000000000" w:firstRow="1" w:lastRow="0" w:firstColumn="0" w:lastColumn="0" w:oddVBand="0" w:evenVBand="0" w:oddHBand="0" w:evenHBand="0" w:firstRowFirstColumn="0" w:firstRowLastColumn="0" w:lastRowFirstColumn="0" w:lastRowLastColumn="0"/>
        </w:trPr>
        <w:tc>
          <w:tcPr>
            <w:tcW w:w="3828" w:type="dxa"/>
            <w:vMerge w:val="restart"/>
          </w:tcPr>
          <w:p w14:paraId="3AFEE06F" w14:textId="77777777" w:rsidR="00370DA6" w:rsidRPr="00AF72BF" w:rsidRDefault="00370DA6" w:rsidP="00370DA6">
            <w:pPr>
              <w:pStyle w:val="TableHeaders"/>
              <w:spacing w:line="276" w:lineRule="auto"/>
              <w:rPr>
                <w:rFonts w:cs="Segoe UI"/>
              </w:rPr>
            </w:pPr>
            <w:r>
              <w:rPr>
                <w:rFonts w:cs="Segoe UI"/>
              </w:rPr>
              <w:t>Service Group</w:t>
            </w:r>
          </w:p>
        </w:tc>
        <w:tc>
          <w:tcPr>
            <w:tcW w:w="5670" w:type="dxa"/>
            <w:gridSpan w:val="5"/>
          </w:tcPr>
          <w:p w14:paraId="5EF4DC76" w14:textId="77777777" w:rsidR="00370DA6" w:rsidRPr="00AF72BF" w:rsidRDefault="00370DA6" w:rsidP="00370DA6">
            <w:pPr>
              <w:pStyle w:val="TableHeaders"/>
              <w:spacing w:line="276" w:lineRule="auto"/>
              <w:rPr>
                <w:rFonts w:cs="Segoe UI"/>
              </w:rPr>
            </w:pPr>
            <w:r w:rsidRPr="00AF72BF">
              <w:rPr>
                <w:rFonts w:cs="Segoe UI"/>
              </w:rPr>
              <w:t>Costs $k (PV)</w:t>
            </w:r>
          </w:p>
        </w:tc>
      </w:tr>
      <w:tr w:rsidR="00370DA6" w:rsidRPr="00AF72BF" w14:paraId="142DAC83" w14:textId="77777777" w:rsidTr="00370DA6">
        <w:tc>
          <w:tcPr>
            <w:tcW w:w="3828" w:type="dxa"/>
            <w:vMerge/>
          </w:tcPr>
          <w:p w14:paraId="79101369" w14:textId="77777777" w:rsidR="00370DA6" w:rsidRPr="00AF72BF" w:rsidRDefault="00370DA6" w:rsidP="00370DA6">
            <w:pPr>
              <w:pStyle w:val="TableParagraph"/>
              <w:spacing w:line="276" w:lineRule="auto"/>
              <w:rPr>
                <w:rFonts w:cs="Segoe UI"/>
              </w:rPr>
            </w:pPr>
          </w:p>
        </w:tc>
        <w:tc>
          <w:tcPr>
            <w:tcW w:w="1134" w:type="dxa"/>
            <w:shd w:val="clear" w:color="auto" w:fill="0A1F3F"/>
          </w:tcPr>
          <w:p w14:paraId="78C5994E" w14:textId="77777777" w:rsidR="00370DA6" w:rsidRPr="00AF72BF" w:rsidRDefault="00370DA6" w:rsidP="00370DA6">
            <w:pPr>
              <w:pStyle w:val="TableHeaders"/>
              <w:spacing w:line="276" w:lineRule="auto"/>
              <w:rPr>
                <w:rFonts w:cs="Segoe UI"/>
                <w:b/>
              </w:rPr>
            </w:pPr>
            <w:r w:rsidRPr="00AF72BF">
              <w:rPr>
                <w:rFonts w:cs="Segoe UI"/>
                <w:b/>
              </w:rPr>
              <w:t>FY19/20</w:t>
            </w:r>
          </w:p>
        </w:tc>
        <w:tc>
          <w:tcPr>
            <w:tcW w:w="1134" w:type="dxa"/>
            <w:shd w:val="clear" w:color="auto" w:fill="0A1F3F"/>
          </w:tcPr>
          <w:p w14:paraId="4F973068" w14:textId="77777777" w:rsidR="00370DA6" w:rsidRPr="00AF72BF" w:rsidRDefault="00370DA6" w:rsidP="00370DA6">
            <w:pPr>
              <w:pStyle w:val="TableHeaders"/>
              <w:spacing w:line="276" w:lineRule="auto"/>
              <w:rPr>
                <w:rFonts w:cs="Segoe UI"/>
                <w:b/>
              </w:rPr>
            </w:pPr>
            <w:r w:rsidRPr="00AF72BF">
              <w:rPr>
                <w:rFonts w:cs="Segoe UI"/>
                <w:b/>
              </w:rPr>
              <w:t>FY20/21</w:t>
            </w:r>
          </w:p>
        </w:tc>
        <w:tc>
          <w:tcPr>
            <w:tcW w:w="1134" w:type="dxa"/>
            <w:shd w:val="clear" w:color="auto" w:fill="0A1F3F"/>
          </w:tcPr>
          <w:p w14:paraId="7628F559" w14:textId="77777777" w:rsidR="00370DA6" w:rsidRPr="00AF72BF" w:rsidRDefault="00370DA6" w:rsidP="00370DA6">
            <w:pPr>
              <w:pStyle w:val="TableHeaders"/>
              <w:spacing w:line="276" w:lineRule="auto"/>
              <w:rPr>
                <w:rFonts w:cs="Segoe UI"/>
                <w:b/>
              </w:rPr>
            </w:pPr>
            <w:r w:rsidRPr="00AF72BF">
              <w:rPr>
                <w:rFonts w:cs="Segoe UI"/>
                <w:b/>
              </w:rPr>
              <w:t>FY21/22</w:t>
            </w:r>
          </w:p>
        </w:tc>
        <w:tc>
          <w:tcPr>
            <w:tcW w:w="1134" w:type="dxa"/>
            <w:shd w:val="clear" w:color="auto" w:fill="0A1F3F"/>
          </w:tcPr>
          <w:p w14:paraId="1C5942EE" w14:textId="77777777" w:rsidR="00370DA6" w:rsidRPr="00AF72BF" w:rsidRDefault="00370DA6" w:rsidP="00370DA6">
            <w:pPr>
              <w:pStyle w:val="TableHeaders"/>
              <w:spacing w:line="276" w:lineRule="auto"/>
              <w:rPr>
                <w:rFonts w:cs="Segoe UI"/>
                <w:b/>
              </w:rPr>
            </w:pPr>
            <w:r w:rsidRPr="00AF72BF">
              <w:rPr>
                <w:rFonts w:cs="Segoe UI"/>
                <w:b/>
              </w:rPr>
              <w:t>FY22/23</w:t>
            </w:r>
          </w:p>
        </w:tc>
        <w:tc>
          <w:tcPr>
            <w:tcW w:w="1134" w:type="dxa"/>
            <w:shd w:val="clear" w:color="auto" w:fill="0A1F3F"/>
          </w:tcPr>
          <w:p w14:paraId="27697802" w14:textId="77777777" w:rsidR="00370DA6" w:rsidRPr="00AF72BF" w:rsidRDefault="00370DA6" w:rsidP="00370DA6">
            <w:pPr>
              <w:pStyle w:val="TableHeaders"/>
              <w:spacing w:line="276" w:lineRule="auto"/>
              <w:rPr>
                <w:rFonts w:cs="Segoe UI"/>
                <w:b/>
              </w:rPr>
            </w:pPr>
            <w:r w:rsidRPr="00AF72BF">
              <w:rPr>
                <w:rFonts w:cs="Segoe UI"/>
                <w:b/>
              </w:rPr>
              <w:t>Average</w:t>
            </w:r>
          </w:p>
        </w:tc>
      </w:tr>
      <w:tr w:rsidR="00B8438C" w:rsidRPr="00AF72BF" w14:paraId="7740A3B3" w14:textId="77777777" w:rsidTr="00370DA6">
        <w:trPr>
          <w:cnfStyle w:val="000000010000" w:firstRow="0" w:lastRow="0" w:firstColumn="0" w:lastColumn="0" w:oddVBand="0" w:evenVBand="0" w:oddHBand="0" w:evenHBand="1" w:firstRowFirstColumn="0" w:firstRowLastColumn="0" w:lastRowFirstColumn="0" w:lastRowLastColumn="0"/>
        </w:trPr>
        <w:tc>
          <w:tcPr>
            <w:tcW w:w="3828" w:type="dxa"/>
          </w:tcPr>
          <w:p w14:paraId="373FD184" w14:textId="77777777" w:rsidR="00B8438C" w:rsidRPr="00AF72BF" w:rsidRDefault="00B8438C" w:rsidP="00B8438C">
            <w:pPr>
              <w:pStyle w:val="TableParagraph"/>
              <w:spacing w:line="276" w:lineRule="auto"/>
              <w:rPr>
                <w:rFonts w:cs="Segoe UI"/>
              </w:rPr>
            </w:pPr>
            <w:r>
              <w:rPr>
                <w:rFonts w:cs="Segoe UI"/>
              </w:rPr>
              <w:t>Alcohol Interlock management</w:t>
            </w:r>
          </w:p>
        </w:tc>
        <w:tc>
          <w:tcPr>
            <w:tcW w:w="1134" w:type="dxa"/>
          </w:tcPr>
          <w:p w14:paraId="26558A13" w14:textId="6D3532A7" w:rsidR="00B8438C" w:rsidRPr="00AF72BF" w:rsidRDefault="00B8438C" w:rsidP="00B8438C">
            <w:pPr>
              <w:pStyle w:val="TableParagraph"/>
              <w:spacing w:line="276" w:lineRule="auto"/>
              <w:ind w:right="170"/>
              <w:jc w:val="right"/>
              <w:rPr>
                <w:rFonts w:cs="Segoe UI"/>
              </w:rPr>
            </w:pPr>
            <w:r w:rsidRPr="000A588F">
              <w:t xml:space="preserve"> 2,429 </w:t>
            </w:r>
          </w:p>
        </w:tc>
        <w:tc>
          <w:tcPr>
            <w:tcW w:w="1134" w:type="dxa"/>
          </w:tcPr>
          <w:p w14:paraId="3A9EBB91" w14:textId="6FE12922" w:rsidR="00B8438C" w:rsidRPr="00AF72BF" w:rsidRDefault="00B8438C" w:rsidP="00B8438C">
            <w:pPr>
              <w:pStyle w:val="TableParagraph"/>
              <w:spacing w:line="276" w:lineRule="auto"/>
              <w:ind w:right="170"/>
              <w:jc w:val="right"/>
              <w:rPr>
                <w:rFonts w:cs="Segoe UI"/>
              </w:rPr>
            </w:pPr>
            <w:r w:rsidRPr="000A588F">
              <w:t xml:space="preserve"> 2,476 </w:t>
            </w:r>
          </w:p>
        </w:tc>
        <w:tc>
          <w:tcPr>
            <w:tcW w:w="1134" w:type="dxa"/>
          </w:tcPr>
          <w:p w14:paraId="768E7A25" w14:textId="4B4197AC" w:rsidR="00B8438C" w:rsidRPr="00AF72BF" w:rsidRDefault="00B8438C" w:rsidP="00B8438C">
            <w:pPr>
              <w:pStyle w:val="TableParagraph"/>
              <w:spacing w:line="276" w:lineRule="auto"/>
              <w:ind w:right="170"/>
              <w:jc w:val="right"/>
              <w:rPr>
                <w:rFonts w:cs="Segoe UI"/>
              </w:rPr>
            </w:pPr>
            <w:r w:rsidRPr="000A588F">
              <w:t xml:space="preserve"> 2,525 </w:t>
            </w:r>
          </w:p>
        </w:tc>
        <w:tc>
          <w:tcPr>
            <w:tcW w:w="1134" w:type="dxa"/>
          </w:tcPr>
          <w:p w14:paraId="52F0E0CA" w14:textId="625CF3FC" w:rsidR="00B8438C" w:rsidRPr="00AF72BF" w:rsidRDefault="00B8438C" w:rsidP="00B8438C">
            <w:pPr>
              <w:pStyle w:val="TableParagraph"/>
              <w:spacing w:line="276" w:lineRule="auto"/>
              <w:ind w:right="170"/>
              <w:jc w:val="right"/>
              <w:rPr>
                <w:rFonts w:cs="Segoe UI"/>
              </w:rPr>
            </w:pPr>
            <w:r w:rsidRPr="000A588F">
              <w:t xml:space="preserve"> 2,574 </w:t>
            </w:r>
          </w:p>
        </w:tc>
        <w:tc>
          <w:tcPr>
            <w:tcW w:w="1134" w:type="dxa"/>
          </w:tcPr>
          <w:p w14:paraId="7DEC8F41" w14:textId="275F5971" w:rsidR="00B8438C" w:rsidRPr="00B8438C" w:rsidRDefault="00B8438C" w:rsidP="00B8438C">
            <w:pPr>
              <w:pStyle w:val="TableParagraph"/>
              <w:spacing w:line="276" w:lineRule="auto"/>
              <w:ind w:right="170"/>
              <w:jc w:val="right"/>
              <w:rPr>
                <w:rFonts w:cs="Segoe UI"/>
                <w:b/>
              </w:rPr>
            </w:pPr>
            <w:r w:rsidRPr="00B8438C">
              <w:rPr>
                <w:b/>
              </w:rPr>
              <w:t xml:space="preserve"> 2,501 </w:t>
            </w:r>
          </w:p>
        </w:tc>
      </w:tr>
    </w:tbl>
    <w:p w14:paraId="05D50A3C" w14:textId="29A80A0B" w:rsidR="00370DA6" w:rsidRDefault="009C3740" w:rsidP="00370DA6">
      <w:pPr>
        <w:pStyle w:val="TextPara"/>
      </w:pPr>
      <w:r>
        <w:fldChar w:fldCharType="begin"/>
      </w:r>
      <w:r>
        <w:instrText xml:space="preserve"> REF _Ref4415219 \h </w:instrText>
      </w:r>
      <w:r>
        <w:fldChar w:fldCharType="separate"/>
      </w:r>
      <w:r w:rsidR="00EB4B02">
        <w:t xml:space="preserve">Table </w:t>
      </w:r>
      <w:r w:rsidR="00EB4B02">
        <w:rPr>
          <w:noProof/>
        </w:rPr>
        <w:t>64</w:t>
      </w:r>
      <w:r>
        <w:fldChar w:fldCharType="end"/>
      </w:r>
      <w:r>
        <w:t xml:space="preserve"> </w:t>
      </w:r>
      <w:r w:rsidR="00370DA6" w:rsidRPr="005F7BAB">
        <w:t xml:space="preserve">lists the individual fees </w:t>
      </w:r>
      <w:r w:rsidR="00370DA6">
        <w:t xml:space="preserve">for this service group if the current fee rates were to continue. It shows the average annual </w:t>
      </w:r>
      <w:r w:rsidR="00370DA6" w:rsidRPr="005F7BAB">
        <w:t xml:space="preserve">fee recoveries for the forecast period </w:t>
      </w:r>
      <w:r w:rsidR="00370DA6">
        <w:t xml:space="preserve">(FY19/20 to FY22/23) </w:t>
      </w:r>
      <w:r w:rsidR="000E0615">
        <w:rPr>
          <w:rFonts w:cs="Segoe UI"/>
          <w:szCs w:val="20"/>
        </w:rPr>
        <w:t>based on the published FY19/20 fee rate of $14.81 which is modelled as the PV rate for the period.</w:t>
      </w:r>
    </w:p>
    <w:p w14:paraId="58F64B2E" w14:textId="579ABC44" w:rsidR="00370DA6" w:rsidRDefault="00370DA6" w:rsidP="00370DA6">
      <w:pPr>
        <w:pStyle w:val="Caption"/>
      </w:pPr>
      <w:bookmarkStart w:id="824" w:name="_Ref4415219"/>
      <w:bookmarkStart w:id="825" w:name="_Toc4084347"/>
      <w:bookmarkStart w:id="826" w:name="_Toc10703757"/>
      <w:r>
        <w:t xml:space="preserve">Table </w:t>
      </w:r>
      <w:r>
        <w:rPr>
          <w:noProof/>
        </w:rPr>
        <w:fldChar w:fldCharType="begin"/>
      </w:r>
      <w:r>
        <w:rPr>
          <w:noProof/>
        </w:rPr>
        <w:instrText xml:space="preserve"> SEQ Table \* ARABIC </w:instrText>
      </w:r>
      <w:r>
        <w:rPr>
          <w:noProof/>
        </w:rPr>
        <w:fldChar w:fldCharType="separate"/>
      </w:r>
      <w:r w:rsidR="00EB4B02">
        <w:rPr>
          <w:noProof/>
        </w:rPr>
        <w:t>64</w:t>
      </w:r>
      <w:r>
        <w:rPr>
          <w:noProof/>
        </w:rPr>
        <w:fldChar w:fldCharType="end"/>
      </w:r>
      <w:bookmarkEnd w:id="824"/>
      <w:r>
        <w:t xml:space="preserve"> –</w:t>
      </w:r>
      <w:r w:rsidRPr="003C4CEF">
        <w:t xml:space="preserve"> </w:t>
      </w:r>
      <w:r>
        <w:t>Fee Income: Driver Behaviour Management – Alcohol Interlocks</w:t>
      </w:r>
      <w:bookmarkEnd w:id="825"/>
      <w:bookmarkEnd w:id="826"/>
    </w:p>
    <w:tbl>
      <w:tblPr>
        <w:tblStyle w:val="RIS-Table2"/>
        <w:tblW w:w="9493" w:type="dxa"/>
        <w:tblLayout w:type="fixed"/>
        <w:tblLook w:val="04A0" w:firstRow="1" w:lastRow="0" w:firstColumn="1" w:lastColumn="0" w:noHBand="0" w:noVBand="1"/>
      </w:tblPr>
      <w:tblGrid>
        <w:gridCol w:w="1413"/>
        <w:gridCol w:w="3544"/>
        <w:gridCol w:w="850"/>
        <w:gridCol w:w="992"/>
        <w:gridCol w:w="1418"/>
        <w:gridCol w:w="1276"/>
      </w:tblGrid>
      <w:tr w:rsidR="00370DA6" w:rsidRPr="00117C96" w14:paraId="6144A4CD" w14:textId="77777777" w:rsidTr="00D70E3B">
        <w:trPr>
          <w:cnfStyle w:val="100000000000" w:firstRow="1" w:lastRow="0" w:firstColumn="0" w:lastColumn="0" w:oddVBand="0" w:evenVBand="0" w:oddHBand="0" w:evenHBand="0" w:firstRowFirstColumn="0" w:firstRowLastColumn="0" w:lastRowFirstColumn="0" w:lastRowLastColumn="0"/>
        </w:trPr>
        <w:tc>
          <w:tcPr>
            <w:tcW w:w="1413" w:type="dxa"/>
          </w:tcPr>
          <w:p w14:paraId="7BAF0411" w14:textId="77777777" w:rsidR="00370DA6" w:rsidRPr="00117C96" w:rsidRDefault="00370DA6" w:rsidP="00370DA6">
            <w:pPr>
              <w:pStyle w:val="TableHeaders"/>
            </w:pPr>
            <w:r>
              <w:t xml:space="preserve">Schedule 6 </w:t>
            </w:r>
          </w:p>
        </w:tc>
        <w:tc>
          <w:tcPr>
            <w:tcW w:w="4394" w:type="dxa"/>
            <w:gridSpan w:val="2"/>
            <w:vMerge w:val="restart"/>
          </w:tcPr>
          <w:p w14:paraId="043BF0A6" w14:textId="77777777" w:rsidR="00370DA6" w:rsidRPr="00117C96" w:rsidRDefault="00370DA6" w:rsidP="00370DA6">
            <w:pPr>
              <w:pStyle w:val="TableHeaders"/>
            </w:pPr>
            <w:r w:rsidRPr="00C64741">
              <w:t>Description</w:t>
            </w:r>
            <w:r>
              <w:t xml:space="preserve"> and Regulation Reference</w:t>
            </w:r>
          </w:p>
        </w:tc>
        <w:tc>
          <w:tcPr>
            <w:tcW w:w="992" w:type="dxa"/>
          </w:tcPr>
          <w:p w14:paraId="0A8BB626" w14:textId="77777777" w:rsidR="00370DA6" w:rsidRPr="00117C96" w:rsidRDefault="00370DA6" w:rsidP="00370DA6">
            <w:pPr>
              <w:pStyle w:val="TableHeaders"/>
            </w:pPr>
            <w:r w:rsidRPr="002613BA">
              <w:t xml:space="preserve"> </w:t>
            </w:r>
            <w:r>
              <w:t>Txns pa</w:t>
            </w:r>
          </w:p>
        </w:tc>
        <w:tc>
          <w:tcPr>
            <w:tcW w:w="2694" w:type="dxa"/>
            <w:gridSpan w:val="2"/>
          </w:tcPr>
          <w:p w14:paraId="2CD778DE" w14:textId="77777777" w:rsidR="00370DA6" w:rsidRPr="00117C96" w:rsidRDefault="006279F4" w:rsidP="00370DA6">
            <w:pPr>
              <w:pStyle w:val="TableHeaders"/>
            </w:pPr>
            <w:r>
              <w:t>Recovery (PV)</w:t>
            </w:r>
          </w:p>
        </w:tc>
      </w:tr>
      <w:tr w:rsidR="00370DA6" w:rsidRPr="00F74583" w14:paraId="739E45FF" w14:textId="77777777" w:rsidTr="00D70E3B">
        <w:tc>
          <w:tcPr>
            <w:tcW w:w="1413" w:type="dxa"/>
            <w:shd w:val="clear" w:color="auto" w:fill="0A1F3F"/>
          </w:tcPr>
          <w:p w14:paraId="2173499B" w14:textId="77777777" w:rsidR="00370DA6" w:rsidRPr="00F74583" w:rsidRDefault="00370DA6" w:rsidP="00370DA6">
            <w:pPr>
              <w:pStyle w:val="TableParagraph"/>
              <w:jc w:val="center"/>
              <w:rPr>
                <w:b/>
                <w:color w:val="FFFFFF" w:themeColor="background1"/>
              </w:rPr>
            </w:pPr>
            <w:r w:rsidRPr="00F74583">
              <w:rPr>
                <w:b/>
                <w:color w:val="FFFFFF" w:themeColor="background1"/>
              </w:rPr>
              <w:t>Item No.</w:t>
            </w:r>
          </w:p>
        </w:tc>
        <w:tc>
          <w:tcPr>
            <w:tcW w:w="4394" w:type="dxa"/>
            <w:gridSpan w:val="2"/>
            <w:vMerge/>
            <w:shd w:val="clear" w:color="auto" w:fill="0A1F3F"/>
          </w:tcPr>
          <w:p w14:paraId="5EDB7FD2" w14:textId="77777777" w:rsidR="00370DA6" w:rsidRPr="00F74583" w:rsidRDefault="00370DA6" w:rsidP="00370DA6">
            <w:pPr>
              <w:pStyle w:val="TableParagraph"/>
              <w:jc w:val="center"/>
              <w:rPr>
                <w:b/>
                <w:color w:val="FFFFFF" w:themeColor="background1"/>
              </w:rPr>
            </w:pPr>
          </w:p>
        </w:tc>
        <w:tc>
          <w:tcPr>
            <w:tcW w:w="992" w:type="dxa"/>
            <w:shd w:val="clear" w:color="auto" w:fill="0A1F3F"/>
          </w:tcPr>
          <w:p w14:paraId="25C38431" w14:textId="77777777" w:rsidR="00370DA6" w:rsidRPr="00F74583" w:rsidRDefault="00370DA6" w:rsidP="00370DA6">
            <w:pPr>
              <w:pStyle w:val="TableParagraph"/>
              <w:ind w:right="32"/>
              <w:jc w:val="center"/>
              <w:rPr>
                <w:b/>
                <w:color w:val="FFFFFF" w:themeColor="background1"/>
              </w:rPr>
            </w:pPr>
            <w:r w:rsidRPr="00F74583">
              <w:rPr>
                <w:b/>
                <w:color w:val="FFFFFF" w:themeColor="background1"/>
              </w:rPr>
              <w:t>Avg ‘000</w:t>
            </w:r>
          </w:p>
        </w:tc>
        <w:tc>
          <w:tcPr>
            <w:tcW w:w="1418" w:type="dxa"/>
            <w:shd w:val="clear" w:color="auto" w:fill="0A1F3F"/>
          </w:tcPr>
          <w:p w14:paraId="58B30AAA" w14:textId="55446ECD" w:rsidR="00370DA6" w:rsidRPr="00F74583" w:rsidRDefault="00370DA6" w:rsidP="00370DA6">
            <w:pPr>
              <w:pStyle w:val="TableParagraph"/>
              <w:ind w:right="-17"/>
              <w:jc w:val="center"/>
              <w:rPr>
                <w:b/>
                <w:color w:val="FFFFFF" w:themeColor="background1"/>
              </w:rPr>
            </w:pPr>
            <w:r w:rsidRPr="00F74583">
              <w:rPr>
                <w:b/>
                <w:color w:val="FFFFFF" w:themeColor="background1"/>
              </w:rPr>
              <w:t xml:space="preserve">Fee </w:t>
            </w:r>
          </w:p>
        </w:tc>
        <w:tc>
          <w:tcPr>
            <w:tcW w:w="1276" w:type="dxa"/>
            <w:shd w:val="clear" w:color="auto" w:fill="0A1F3F"/>
          </w:tcPr>
          <w:p w14:paraId="67AD04CE" w14:textId="77777777" w:rsidR="00370DA6" w:rsidRPr="00F74583" w:rsidRDefault="00370DA6" w:rsidP="00370DA6">
            <w:pPr>
              <w:pStyle w:val="TableParagraph"/>
              <w:ind w:right="-17"/>
              <w:jc w:val="center"/>
              <w:rPr>
                <w:b/>
                <w:color w:val="FFFFFF" w:themeColor="background1"/>
              </w:rPr>
            </w:pPr>
            <w:r w:rsidRPr="00F74583">
              <w:rPr>
                <w:b/>
                <w:color w:val="FFFFFF" w:themeColor="background1"/>
              </w:rPr>
              <w:t>Revenue ($k)</w:t>
            </w:r>
          </w:p>
        </w:tc>
      </w:tr>
      <w:tr w:rsidR="00370DA6" w:rsidRPr="004C05D9" w14:paraId="434F8D18" w14:textId="77777777" w:rsidTr="00D70E3B">
        <w:trPr>
          <w:cnfStyle w:val="000000010000" w:firstRow="0" w:lastRow="0" w:firstColumn="0" w:lastColumn="0" w:oddVBand="0" w:evenVBand="0" w:oddHBand="0" w:evenHBand="1" w:firstRowFirstColumn="0" w:firstRowLastColumn="0" w:lastRowFirstColumn="0" w:lastRowLastColumn="0"/>
        </w:trPr>
        <w:tc>
          <w:tcPr>
            <w:tcW w:w="1413" w:type="dxa"/>
          </w:tcPr>
          <w:p w14:paraId="19F04ECF" w14:textId="77777777" w:rsidR="00370DA6" w:rsidRPr="00117C96" w:rsidRDefault="00370DA6" w:rsidP="00370DA6">
            <w:pPr>
              <w:pStyle w:val="TableParagraph"/>
              <w:jc w:val="center"/>
            </w:pPr>
            <w:r>
              <w:t>16</w:t>
            </w:r>
          </w:p>
        </w:tc>
        <w:tc>
          <w:tcPr>
            <w:tcW w:w="3544" w:type="dxa"/>
          </w:tcPr>
          <w:p w14:paraId="330C28C0" w14:textId="77777777" w:rsidR="00370DA6" w:rsidRPr="00C64741" w:rsidRDefault="00370DA6" w:rsidP="00370DA6">
            <w:pPr>
              <w:pStyle w:val="TableParagraph"/>
            </w:pPr>
            <w:r>
              <w:t>Cost Recovery</w:t>
            </w:r>
            <w:r w:rsidRPr="00117C96">
              <w:t xml:space="preserve"> fee (full fee) -</w:t>
            </w:r>
            <w:r>
              <w:t xml:space="preserve"> </w:t>
            </w:r>
            <w:r w:rsidRPr="00117C96">
              <w:t>Alcohol Interlocks)</w:t>
            </w:r>
          </w:p>
        </w:tc>
        <w:tc>
          <w:tcPr>
            <w:tcW w:w="850" w:type="dxa"/>
          </w:tcPr>
          <w:p w14:paraId="74842783" w14:textId="77777777" w:rsidR="00370DA6" w:rsidRPr="00117C96" w:rsidRDefault="00370DA6" w:rsidP="00370DA6">
            <w:pPr>
              <w:pStyle w:val="TableParagraph"/>
              <w:jc w:val="center"/>
            </w:pPr>
            <w:r w:rsidRPr="00117C96">
              <w:t>1</w:t>
            </w:r>
            <w:r>
              <w:t>06</w:t>
            </w:r>
            <w:r w:rsidRPr="00117C96">
              <w:t>(1)</w:t>
            </w:r>
          </w:p>
        </w:tc>
        <w:tc>
          <w:tcPr>
            <w:tcW w:w="992" w:type="dxa"/>
          </w:tcPr>
          <w:p w14:paraId="0CECBDA9" w14:textId="3D5B8889" w:rsidR="00370DA6" w:rsidRPr="00117C96" w:rsidRDefault="006279F4" w:rsidP="00370DA6">
            <w:pPr>
              <w:pStyle w:val="TableParagraph"/>
              <w:ind w:right="32"/>
              <w:jc w:val="right"/>
            </w:pPr>
            <w:r>
              <w:t>71</w:t>
            </w:r>
            <w:r w:rsidR="00370DA6" w:rsidRPr="00117C96">
              <w:t>.</w:t>
            </w:r>
            <w:r w:rsidR="00341298">
              <w:t>1</w:t>
            </w:r>
          </w:p>
        </w:tc>
        <w:tc>
          <w:tcPr>
            <w:tcW w:w="1418" w:type="dxa"/>
          </w:tcPr>
          <w:p w14:paraId="7134B39D" w14:textId="77777777" w:rsidR="00370DA6" w:rsidRDefault="00370DA6" w:rsidP="00370DA6">
            <w:pPr>
              <w:pStyle w:val="TableParagraph"/>
              <w:ind w:right="-17"/>
              <w:jc w:val="right"/>
            </w:pPr>
            <w:r w:rsidRPr="00117C96">
              <w:t>2.50 fee units</w:t>
            </w:r>
          </w:p>
          <w:p w14:paraId="0DDB8938" w14:textId="7B91D658" w:rsidR="007D26A7" w:rsidRPr="00117C96" w:rsidRDefault="00035B89" w:rsidP="00370DA6">
            <w:pPr>
              <w:pStyle w:val="TableParagraph"/>
              <w:ind w:right="-17"/>
              <w:jc w:val="right"/>
            </w:pPr>
            <w:r>
              <w:t xml:space="preserve">(i.e. </w:t>
            </w:r>
            <w:r w:rsidR="007D26A7">
              <w:t>$3</w:t>
            </w:r>
            <w:r w:rsidR="00B8438C">
              <w:t>7.00</w:t>
            </w:r>
            <w:r>
              <w:t>)</w:t>
            </w:r>
          </w:p>
        </w:tc>
        <w:tc>
          <w:tcPr>
            <w:tcW w:w="1276" w:type="dxa"/>
          </w:tcPr>
          <w:p w14:paraId="3A2BF47F" w14:textId="2F4A55C6" w:rsidR="00370DA6" w:rsidRPr="004C05D9" w:rsidRDefault="00370DA6" w:rsidP="00370DA6">
            <w:pPr>
              <w:pStyle w:val="TableParagraph"/>
              <w:ind w:right="-17"/>
              <w:jc w:val="right"/>
            </w:pPr>
            <w:r w:rsidRPr="0043137B">
              <w:t>2,</w:t>
            </w:r>
            <w:r w:rsidR="00B8438C">
              <w:t>634</w:t>
            </w:r>
          </w:p>
        </w:tc>
      </w:tr>
      <w:tr w:rsidR="00370DA6" w:rsidRPr="004C05D9" w14:paraId="407C3D72" w14:textId="77777777" w:rsidTr="00D70E3B">
        <w:tc>
          <w:tcPr>
            <w:tcW w:w="1413" w:type="dxa"/>
          </w:tcPr>
          <w:p w14:paraId="5DE4AD34" w14:textId="77777777" w:rsidR="00370DA6" w:rsidRPr="00117C96" w:rsidRDefault="00370DA6" w:rsidP="00370DA6">
            <w:pPr>
              <w:pStyle w:val="TableParagraph"/>
              <w:jc w:val="center"/>
            </w:pPr>
            <w:r>
              <w:t>17</w:t>
            </w:r>
          </w:p>
        </w:tc>
        <w:tc>
          <w:tcPr>
            <w:tcW w:w="3544" w:type="dxa"/>
          </w:tcPr>
          <w:p w14:paraId="28D59BC7" w14:textId="77777777" w:rsidR="00370DA6" w:rsidRPr="00C64741" w:rsidRDefault="00370DA6" w:rsidP="00370DA6">
            <w:pPr>
              <w:pStyle w:val="TableParagraph"/>
            </w:pPr>
            <w:r>
              <w:t>Cost Recovery</w:t>
            </w:r>
            <w:r w:rsidRPr="00117C96">
              <w:t xml:space="preserve"> fee (</w:t>
            </w:r>
            <w:r>
              <w:t>concession</w:t>
            </w:r>
            <w:r w:rsidRPr="00117C96">
              <w:t xml:space="preserve"> fee) - Alcohol Interlocks </w:t>
            </w:r>
          </w:p>
        </w:tc>
        <w:tc>
          <w:tcPr>
            <w:tcW w:w="850" w:type="dxa"/>
          </w:tcPr>
          <w:p w14:paraId="25C5ECBF" w14:textId="77777777" w:rsidR="00370DA6" w:rsidRPr="00117C96" w:rsidRDefault="00370DA6" w:rsidP="00370DA6">
            <w:pPr>
              <w:pStyle w:val="TableParagraph"/>
              <w:jc w:val="center"/>
            </w:pPr>
            <w:r w:rsidRPr="00117C96">
              <w:t>1</w:t>
            </w:r>
            <w:r>
              <w:t>06</w:t>
            </w:r>
            <w:r w:rsidRPr="00117C96">
              <w:t>(1)</w:t>
            </w:r>
          </w:p>
        </w:tc>
        <w:tc>
          <w:tcPr>
            <w:tcW w:w="992" w:type="dxa"/>
          </w:tcPr>
          <w:p w14:paraId="351831DB" w14:textId="77777777" w:rsidR="00370DA6" w:rsidRPr="00117C96" w:rsidRDefault="00370DA6" w:rsidP="00370DA6">
            <w:pPr>
              <w:pStyle w:val="TableParagraph"/>
              <w:ind w:right="32"/>
              <w:jc w:val="right"/>
            </w:pPr>
            <w:r w:rsidRPr="00117C96">
              <w:t>32.</w:t>
            </w:r>
            <w:r w:rsidR="006279F4">
              <w:t>9</w:t>
            </w:r>
          </w:p>
        </w:tc>
        <w:tc>
          <w:tcPr>
            <w:tcW w:w="1418" w:type="dxa"/>
          </w:tcPr>
          <w:p w14:paraId="7C3D698F" w14:textId="77777777" w:rsidR="00370DA6" w:rsidRDefault="00370DA6" w:rsidP="00370DA6">
            <w:pPr>
              <w:pStyle w:val="TableParagraph"/>
              <w:ind w:right="-17"/>
              <w:jc w:val="right"/>
            </w:pPr>
            <w:r w:rsidRPr="00117C96">
              <w:t>1.25 fee units</w:t>
            </w:r>
          </w:p>
          <w:p w14:paraId="5B078C55" w14:textId="51C94E1E" w:rsidR="007D26A7" w:rsidRPr="00117C96" w:rsidRDefault="00035B89" w:rsidP="004E1E35">
            <w:pPr>
              <w:pStyle w:val="TableParagraph"/>
              <w:ind w:right="-17"/>
              <w:jc w:val="right"/>
            </w:pPr>
            <w:r>
              <w:t xml:space="preserve">(i.e. </w:t>
            </w:r>
            <w:r w:rsidR="007D26A7">
              <w:t>$</w:t>
            </w:r>
            <w:r w:rsidR="00B8438C">
              <w:t>18.50</w:t>
            </w:r>
            <w:r>
              <w:t>)</w:t>
            </w:r>
          </w:p>
        </w:tc>
        <w:tc>
          <w:tcPr>
            <w:tcW w:w="1276" w:type="dxa"/>
          </w:tcPr>
          <w:p w14:paraId="4B9F7C9C" w14:textId="0B529886" w:rsidR="00370DA6" w:rsidRPr="004C05D9" w:rsidRDefault="00B8438C" w:rsidP="00370DA6">
            <w:pPr>
              <w:pStyle w:val="TableParagraph"/>
              <w:ind w:right="-17"/>
              <w:jc w:val="right"/>
            </w:pPr>
            <w:r>
              <w:t>610</w:t>
            </w:r>
          </w:p>
        </w:tc>
      </w:tr>
      <w:tr w:rsidR="00370DA6" w:rsidRPr="004C05D9" w14:paraId="62980B9F" w14:textId="77777777" w:rsidTr="00D70E3B">
        <w:trPr>
          <w:cnfStyle w:val="000000010000" w:firstRow="0" w:lastRow="0" w:firstColumn="0" w:lastColumn="0" w:oddVBand="0" w:evenVBand="0" w:oddHBand="0" w:evenHBand="1" w:firstRowFirstColumn="0" w:firstRowLastColumn="0" w:lastRowFirstColumn="0" w:lastRowLastColumn="0"/>
        </w:trPr>
        <w:tc>
          <w:tcPr>
            <w:tcW w:w="8217" w:type="dxa"/>
            <w:gridSpan w:val="5"/>
            <w:shd w:val="clear" w:color="auto" w:fill="DDE8F4" w:themeFill="text2" w:themeFillTint="1A"/>
          </w:tcPr>
          <w:p w14:paraId="794E10E8" w14:textId="77777777" w:rsidR="00370DA6" w:rsidRPr="00117C96" w:rsidRDefault="00370DA6" w:rsidP="00370DA6">
            <w:pPr>
              <w:pStyle w:val="TableParagraph"/>
              <w:ind w:right="-17"/>
              <w:jc w:val="right"/>
            </w:pPr>
            <w:r w:rsidRPr="00CD2D6C">
              <w:rPr>
                <w:b/>
              </w:rPr>
              <w:t>Total Fee Income</w:t>
            </w:r>
          </w:p>
        </w:tc>
        <w:tc>
          <w:tcPr>
            <w:tcW w:w="1276" w:type="dxa"/>
            <w:shd w:val="clear" w:color="auto" w:fill="DDE8F4" w:themeFill="text2" w:themeFillTint="1A"/>
          </w:tcPr>
          <w:p w14:paraId="42EB93F6" w14:textId="1C85B022" w:rsidR="00370DA6" w:rsidRPr="004C05D9" w:rsidRDefault="00616DE3" w:rsidP="00370DA6">
            <w:pPr>
              <w:pStyle w:val="TableParagraph"/>
              <w:ind w:right="-17"/>
              <w:jc w:val="right"/>
            </w:pPr>
            <w:r>
              <w:rPr>
                <w:b/>
              </w:rPr>
              <w:t>3</w:t>
            </w:r>
            <w:r w:rsidR="00370DA6">
              <w:rPr>
                <w:b/>
              </w:rPr>
              <w:t>,</w:t>
            </w:r>
            <w:r w:rsidR="00B8438C">
              <w:rPr>
                <w:b/>
              </w:rPr>
              <w:t>244</w:t>
            </w:r>
          </w:p>
        </w:tc>
      </w:tr>
    </w:tbl>
    <w:p w14:paraId="7E02C8FF" w14:textId="77777777" w:rsidR="00370DA6" w:rsidRDefault="00370DA6" w:rsidP="00370DA6">
      <w:pPr>
        <w:pStyle w:val="Heading3"/>
        <w:spacing w:before="240"/>
      </w:pPr>
      <w:bookmarkStart w:id="827" w:name="_Toc4084249"/>
      <w:bookmarkStart w:id="828" w:name="_Toc10703530"/>
      <w:r>
        <w:t>Cost Recovery Assessment</w:t>
      </w:r>
      <w:bookmarkEnd w:id="827"/>
      <w:bookmarkEnd w:id="828"/>
    </w:p>
    <w:p w14:paraId="4BE5D09A" w14:textId="62A50770" w:rsidR="00370DA6" w:rsidRDefault="00370DA6" w:rsidP="00370DA6">
      <w:pPr>
        <w:pStyle w:val="TextPara"/>
      </w:pPr>
      <w:r w:rsidRPr="008422B1">
        <w:t>Applying DTF</w:t>
      </w:r>
      <w:r>
        <w:t>’s</w:t>
      </w:r>
      <w:r w:rsidRPr="008422B1">
        <w:t xml:space="preserve"> </w:t>
      </w:r>
      <w:r>
        <w:t xml:space="preserve">full </w:t>
      </w:r>
      <w:r w:rsidRPr="008422B1">
        <w:t>cost recovery</w:t>
      </w:r>
      <w:r>
        <w:t xml:space="preserve"> objective</w:t>
      </w:r>
      <w:r w:rsidRPr="008422B1">
        <w:t>, the total cost</w:t>
      </w:r>
      <w:r>
        <w:t xml:space="preserve"> to deliver this service </w:t>
      </w:r>
      <w:r w:rsidRPr="008422B1">
        <w:t>($</w:t>
      </w:r>
      <w:r w:rsidR="00341298">
        <w:t>3.</w:t>
      </w:r>
      <w:r w:rsidR="00B8438C">
        <w:t>40</w:t>
      </w:r>
      <w:r>
        <w:t>m</w:t>
      </w:r>
      <w:r w:rsidRPr="008422B1">
        <w:t>) should be</w:t>
      </w:r>
      <w:r w:rsidRPr="00202F3D">
        <w:t xml:space="preserve"> borne by those who </w:t>
      </w:r>
      <w:r>
        <w:t>consume the service</w:t>
      </w:r>
      <w:r w:rsidRPr="00202F3D">
        <w:t xml:space="preserve">. The discretionary nature of these services supports the case for fees to be </w:t>
      </w:r>
      <w:r w:rsidRPr="00202F3D">
        <w:lastRenderedPageBreak/>
        <w:t xml:space="preserve">charged </w:t>
      </w:r>
      <w:r>
        <w:t>on a user pays basis</w:t>
      </w:r>
      <w:r w:rsidRPr="00202F3D">
        <w:t>.</w:t>
      </w:r>
      <w:r w:rsidRPr="00912AD5">
        <w:t xml:space="preserve"> </w:t>
      </w:r>
      <w:r>
        <w:t>This is especially the case as this cost is incurred through discretionary poor driver behaviour.</w:t>
      </w:r>
    </w:p>
    <w:p w14:paraId="4A80886D" w14:textId="77777777" w:rsidR="00370DA6" w:rsidRDefault="00370DA6" w:rsidP="00370DA6">
      <w:pPr>
        <w:pStyle w:val="TextPara"/>
      </w:pPr>
      <w:r>
        <w:t>The total annual cost consists of:</w:t>
      </w:r>
    </w:p>
    <w:p w14:paraId="3FFE8754" w14:textId="70FCE931" w:rsidR="00370DA6" w:rsidRDefault="00370DA6" w:rsidP="00EB4B02">
      <w:pPr>
        <w:pStyle w:val="TextPara"/>
        <w:numPr>
          <w:ilvl w:val="0"/>
          <w:numId w:val="24"/>
        </w:numPr>
      </w:pPr>
      <w:r>
        <w:t>$2.</w:t>
      </w:r>
      <w:r w:rsidR="00B8438C">
        <w:t>50</w:t>
      </w:r>
      <w:r>
        <w:t>m for operational cost; and</w:t>
      </w:r>
    </w:p>
    <w:p w14:paraId="229A712B" w14:textId="1F04C48E" w:rsidR="00370DA6" w:rsidRDefault="00370DA6" w:rsidP="00EB4B02">
      <w:pPr>
        <w:pStyle w:val="TextPara"/>
        <w:numPr>
          <w:ilvl w:val="0"/>
          <w:numId w:val="24"/>
        </w:numPr>
      </w:pPr>
      <w:r>
        <w:t>$0.90m for the recovery of the initial $4.50m establishment costs over the 5-</w:t>
      </w:r>
      <w:r w:rsidRPr="00202F3D">
        <w:t xml:space="preserve">year </w:t>
      </w:r>
      <w:r>
        <w:t xml:space="preserve">period </w:t>
      </w:r>
      <w:r w:rsidRPr="008422B1">
        <w:t>(01/02/2015 to 31/01/2020) and about $</w:t>
      </w:r>
      <w:r>
        <w:t>0</w:t>
      </w:r>
      <w:r w:rsidRPr="008422B1">
        <w:t>.</w:t>
      </w:r>
      <w:r>
        <w:t>90</w:t>
      </w:r>
      <w:r w:rsidRPr="008422B1">
        <w:t>m establishment costs for the expansion of the</w:t>
      </w:r>
      <w:r>
        <w:t xml:space="preserve"> program in 2018 to include lower range (.05 to .069) Blood or Breath Alcohol Concentration (BAC) offences, extending the period of recovery to 31/01/2021 at which time the fee will be reduced </w:t>
      </w:r>
      <w:r w:rsidR="007B77A1">
        <w:t>to</w:t>
      </w:r>
      <w:r>
        <w:t xml:space="preserve"> </w:t>
      </w:r>
      <w:r w:rsidR="002A1B40">
        <w:t>the level required to cover the</w:t>
      </w:r>
      <w:r>
        <w:t xml:space="preserve"> operating costs only</w:t>
      </w:r>
      <w:r w:rsidR="002A1B40">
        <w:t xml:space="preserve"> (i.e</w:t>
      </w:r>
      <w:r w:rsidR="00341298">
        <w:t>.</w:t>
      </w:r>
      <w:r w:rsidR="002A1B40">
        <w:t xml:space="preserve"> $2.</w:t>
      </w:r>
      <w:r w:rsidR="00B8438C">
        <w:t>50</w:t>
      </w:r>
      <w:r w:rsidR="002A1B40">
        <w:t>m)</w:t>
      </w:r>
      <w:r>
        <w:t xml:space="preserve">. </w:t>
      </w:r>
    </w:p>
    <w:p w14:paraId="19F43552" w14:textId="21BB9534" w:rsidR="00370DA6" w:rsidRDefault="00370DA6" w:rsidP="00370DA6">
      <w:pPr>
        <w:pStyle w:val="TextPara"/>
      </w:pPr>
      <w:r>
        <w:t>For these costs to be recovered uniformly across all customers, it would amount to $</w:t>
      </w:r>
      <w:r w:rsidR="00341298">
        <w:t>3</w:t>
      </w:r>
      <w:r w:rsidR="00B8438C">
        <w:t>2.70</w:t>
      </w:r>
      <w:r>
        <w:t xml:space="preserve"> per month based on </w:t>
      </w:r>
      <w:r w:rsidR="00341298">
        <w:t xml:space="preserve">an average </w:t>
      </w:r>
      <w:r w:rsidR="00BA49D6">
        <w:t xml:space="preserve">of </w:t>
      </w:r>
      <w:r w:rsidR="00341298">
        <w:t xml:space="preserve">104,000 annual instalments (as </w:t>
      </w:r>
      <w:r>
        <w:t>customers hav</w:t>
      </w:r>
      <w:r w:rsidR="00341298">
        <w:t>e</w:t>
      </w:r>
      <w:r>
        <w:t xml:space="preserve"> a minimum of 6 month</w:t>
      </w:r>
      <w:r w:rsidR="00341298">
        <w:t>s on the program)</w:t>
      </w:r>
      <w:r>
        <w:t>. These costs are in addition to the fees paid to alcohol interlock suppliers to install, rent, service and remove the device. For a customer who is able to successfully complete their program in the minimum 6-month period, these additional fees would be in the order of $1,000. A customer on the program for 12 months would incur about $1,800 in AIS fees.</w:t>
      </w:r>
    </w:p>
    <w:p w14:paraId="48AE5531" w14:textId="645BF445" w:rsidR="00370DA6" w:rsidRDefault="00370DA6" w:rsidP="00370DA6">
      <w:pPr>
        <w:pStyle w:val="TextPara"/>
        <w:spacing w:after="0"/>
      </w:pPr>
      <w:r w:rsidRPr="00B238CA">
        <w:t xml:space="preserve">To align fee income </w:t>
      </w:r>
      <w:r>
        <w:t>($</w:t>
      </w:r>
      <w:r w:rsidR="00341298">
        <w:t>3.</w:t>
      </w:r>
      <w:r w:rsidR="00B8438C">
        <w:t>24</w:t>
      </w:r>
      <w:r>
        <w:t xml:space="preserve">m) </w:t>
      </w:r>
      <w:r w:rsidRPr="00B238CA">
        <w:t xml:space="preserve">with </w:t>
      </w:r>
      <w:r>
        <w:t>the total costs ($3.</w:t>
      </w:r>
      <w:r w:rsidR="00B8438C">
        <w:t>40</w:t>
      </w:r>
      <w:r>
        <w:t>m)</w:t>
      </w:r>
      <w:r w:rsidRPr="00B238CA">
        <w:t xml:space="preserve">, and achieve </w:t>
      </w:r>
      <w:r w:rsidRPr="009F0BE5">
        <w:t>full</w:t>
      </w:r>
      <w:r w:rsidRPr="00B238CA">
        <w:t xml:space="preserve"> cost recovery for this Services </w:t>
      </w:r>
      <w:r w:rsidRPr="008422B1">
        <w:t xml:space="preserve">Group, </w:t>
      </w:r>
      <w:r w:rsidRPr="008422B1">
        <w:rPr>
          <w:szCs w:val="20"/>
        </w:rPr>
        <w:t xml:space="preserve">a </w:t>
      </w:r>
      <w:r w:rsidR="00B8438C">
        <w:t>4.4</w:t>
      </w:r>
      <w:r w:rsidRPr="008422B1">
        <w:t>% increase across all fees amounting to $0.</w:t>
      </w:r>
      <w:r w:rsidR="00341298">
        <w:t>1</w:t>
      </w:r>
      <w:r w:rsidR="00072BF7">
        <w:t>6</w:t>
      </w:r>
      <w:r w:rsidRPr="008422B1">
        <w:t>m would be required.</w:t>
      </w:r>
      <w:r>
        <w:t xml:space="preserve"> </w:t>
      </w:r>
      <w:r w:rsidRPr="00D033E4">
        <w:t>The current fees</w:t>
      </w:r>
      <w:r w:rsidRPr="001044A7">
        <w:t xml:space="preserve"> </w:t>
      </w:r>
      <w:r w:rsidRPr="00D033E4">
        <w:t xml:space="preserve">would </w:t>
      </w:r>
      <w:r>
        <w:t>need to be set at:</w:t>
      </w:r>
    </w:p>
    <w:p w14:paraId="630720CD" w14:textId="02DD4222" w:rsidR="00370DA6" w:rsidRPr="00611567" w:rsidRDefault="00370DA6" w:rsidP="00370DA6">
      <w:pPr>
        <w:pStyle w:val="Bullet1-Black"/>
        <w:tabs>
          <w:tab w:val="left" w:pos="3544"/>
        </w:tabs>
      </w:pPr>
      <w:r w:rsidRPr="00611567">
        <w:t>Alcohol Interlocks – full fee</w:t>
      </w:r>
      <w:r w:rsidRPr="00611567">
        <w:tab/>
        <w:t>$38.</w:t>
      </w:r>
      <w:r w:rsidR="00B8438C">
        <w:t>6</w:t>
      </w:r>
      <w:r w:rsidR="00927E53">
        <w:t>0</w:t>
      </w:r>
      <w:r>
        <w:t xml:space="preserve"> per month</w:t>
      </w:r>
      <w:r w:rsidR="006279F4">
        <w:t xml:space="preserve"> ($</w:t>
      </w:r>
      <w:r w:rsidR="00B8438C">
        <w:t>37.00</w:t>
      </w:r>
      <w:r w:rsidR="006279F4">
        <w:t xml:space="preserve"> fee in FY</w:t>
      </w:r>
      <w:r w:rsidR="00B8438C">
        <w:t>19/20</w:t>
      </w:r>
      <w:r w:rsidR="006279F4">
        <w:t>)</w:t>
      </w:r>
    </w:p>
    <w:p w14:paraId="238236CF" w14:textId="669A1F71" w:rsidR="00370DA6" w:rsidRPr="00611567" w:rsidRDefault="00370DA6" w:rsidP="00370DA6">
      <w:pPr>
        <w:pStyle w:val="Bullet1-Black"/>
        <w:tabs>
          <w:tab w:val="left" w:pos="3544"/>
        </w:tabs>
      </w:pPr>
      <w:r w:rsidRPr="00611567">
        <w:t>Alcohol Interlocks – concession</w:t>
      </w:r>
      <w:r w:rsidRPr="00611567">
        <w:tab/>
        <w:t>$19.</w:t>
      </w:r>
      <w:r w:rsidR="00B8438C">
        <w:t>3</w:t>
      </w:r>
      <w:r w:rsidR="00927E53">
        <w:t>0</w:t>
      </w:r>
      <w:r>
        <w:t xml:space="preserve"> per month</w:t>
      </w:r>
      <w:r w:rsidR="006279F4">
        <w:t xml:space="preserve"> ($1</w:t>
      </w:r>
      <w:r w:rsidR="00FF26CB">
        <w:t>8.</w:t>
      </w:r>
      <w:r w:rsidR="00B8438C">
        <w:t>5</w:t>
      </w:r>
      <w:r w:rsidR="00FF26CB">
        <w:t>0</w:t>
      </w:r>
      <w:r w:rsidR="006279F4">
        <w:t xml:space="preserve"> fee in </w:t>
      </w:r>
      <w:r w:rsidR="00B8438C">
        <w:t>FY19/20</w:t>
      </w:r>
      <w:r w:rsidR="006279F4">
        <w:t>)</w:t>
      </w:r>
    </w:p>
    <w:p w14:paraId="557D70F9" w14:textId="77777777" w:rsidR="00370DA6" w:rsidRPr="00B238CA" w:rsidRDefault="00370DA6" w:rsidP="00370DA6">
      <w:pPr>
        <w:pStyle w:val="TextPara"/>
      </w:pPr>
      <w:r>
        <w:t>Assessing full cost recovery for these services against the other criteria the following was determined:</w:t>
      </w:r>
    </w:p>
    <w:p w14:paraId="4863EF20" w14:textId="77777777" w:rsidR="00370DA6" w:rsidRDefault="00370DA6" w:rsidP="00370DA6">
      <w:pPr>
        <w:pStyle w:val="NoSpacing"/>
      </w:pPr>
      <w:r w:rsidRPr="00B238CA">
        <w:t>Operational Efficiency</w:t>
      </w:r>
    </w:p>
    <w:p w14:paraId="3CD98354" w14:textId="52850F43" w:rsidR="00370DA6" w:rsidRDefault="00370DA6" w:rsidP="00370DA6">
      <w:pPr>
        <w:pStyle w:val="TextPara"/>
      </w:pPr>
      <w:r>
        <w:t xml:space="preserve">DoT considers that this service is delivered efficiently through an automated set of systems and by a specialist department.  A dedicated case management system is at its core with interfaces to DLS and the alcohol interlock suppliers’ systems. The workflow from when the driver’s licence is cancelled for drink driving through to when the driver qualifies for removal of the alcohol interlock is managed through AIMS using information from DLS and the AIS systems. Each key step of a drivers progress through the scheme is automatically captured and used to determine their ability to separate drinking and driving and calculate whether they have met the removal requirements. The key steps include relicensing, installation, drive activities, violations, and regular servicing. </w:t>
      </w:r>
    </w:p>
    <w:p w14:paraId="7F900C26" w14:textId="77777777" w:rsidR="00370DA6" w:rsidRDefault="00370DA6" w:rsidP="00370DA6">
      <w:pPr>
        <w:pStyle w:val="TextPara"/>
      </w:pPr>
      <w:r>
        <w:t xml:space="preserve">Charging a fee at full cost recovery will not impact how this service is delivered. </w:t>
      </w:r>
    </w:p>
    <w:p w14:paraId="542EF774" w14:textId="77777777" w:rsidR="00370DA6" w:rsidRDefault="00370DA6" w:rsidP="00370DA6">
      <w:pPr>
        <w:pStyle w:val="NoSpacing"/>
      </w:pPr>
      <w:r w:rsidRPr="00B238CA">
        <w:t xml:space="preserve">Simplicity </w:t>
      </w:r>
    </w:p>
    <w:p w14:paraId="28D7FB7A" w14:textId="77777777" w:rsidR="00370DA6" w:rsidRDefault="00370DA6" w:rsidP="00370DA6">
      <w:pPr>
        <w:pStyle w:val="TextPara"/>
      </w:pPr>
      <w:r>
        <w:t>Charging a flat fee at full or partial cost recovery would be more complex than not charging any fee. However, this would be less complex than charging a partial fee if there is some discretion as to the application of a fee (e.g. concession entitlement).</w:t>
      </w:r>
      <w:r w:rsidR="00A25CF8">
        <w:t xml:space="preserve"> The concession proposed leverage the existing concession entitlement systems and policies available to the general public and applied by VicRoads to registration payments. </w:t>
      </w:r>
    </w:p>
    <w:p w14:paraId="00D7451A" w14:textId="77777777" w:rsidR="00370DA6" w:rsidRDefault="00370DA6" w:rsidP="00370DA6">
      <w:pPr>
        <w:pStyle w:val="NoSpacing"/>
      </w:pPr>
      <w:r w:rsidRPr="00B238CA">
        <w:t>Customer Behaviours</w:t>
      </w:r>
    </w:p>
    <w:p w14:paraId="5D829863" w14:textId="321DF0CF" w:rsidR="00370DA6" w:rsidRDefault="00370DA6" w:rsidP="00370DA6">
      <w:pPr>
        <w:pStyle w:val="TextPara"/>
      </w:pPr>
      <w:r>
        <w:t xml:space="preserve">Charging a fee at full cost recovery optimises the way this service is delivered. These services are an outcome of discretionary actions which are contrary to road safety. However, given that the cost to the customer to participate in the program is significant, affordability issues may arise for those on low incomes. To ensure full participation in the program and minimise the risk that these drivers may drive a vehicle </w:t>
      </w:r>
      <w:r>
        <w:lastRenderedPageBreak/>
        <w:t xml:space="preserve">without an interlock device, it is appropriate to offer concession eligibility to them to assist with affordability.  Approximately 30% of the driver customer base are holders of national concession cards, such as the Pension Card and the Health Care Card. </w:t>
      </w:r>
      <w:r w:rsidR="00441335">
        <w:t xml:space="preserve">There is a risk that charging a full cost </w:t>
      </w:r>
      <w:r w:rsidR="00EC29A8">
        <w:t xml:space="preserve">recovery </w:t>
      </w:r>
      <w:r w:rsidR="00441335">
        <w:t>fee may incentivise customers to opt out and drive unlicensed which would compromise the program and create a safety risk as the program is designed to encourage the driver to separate the behaviours of drinking from driving.</w:t>
      </w:r>
      <w:r w:rsidR="00441335" w:rsidRPr="00441335" w:rsidDel="00441335">
        <w:t xml:space="preserve"> </w:t>
      </w:r>
    </w:p>
    <w:p w14:paraId="761CF2AB" w14:textId="77777777" w:rsidR="00370DA6" w:rsidRDefault="00370DA6" w:rsidP="00DF3D72">
      <w:pPr>
        <w:pStyle w:val="NoSpacing"/>
      </w:pPr>
      <w:r w:rsidRPr="003E2451">
        <w:t>Equity</w:t>
      </w:r>
    </w:p>
    <w:p w14:paraId="4F967438" w14:textId="49EE5F1B" w:rsidR="00370DA6" w:rsidRDefault="00370DA6" w:rsidP="00370DA6">
      <w:pPr>
        <w:pStyle w:val="TextPara"/>
      </w:pPr>
      <w:r>
        <w:t xml:space="preserve">Charging a fee at full cost recovery promotes an equitable outcome as it ensures that the cost of the service is fully </w:t>
      </w:r>
      <w:r w:rsidRPr="00B238CA">
        <w:t xml:space="preserve">borne by those who </w:t>
      </w:r>
      <w:r>
        <w:t>consume the service (or create the need for the service).  Whilst t</w:t>
      </w:r>
      <w:r w:rsidRPr="00B238CA">
        <w:t xml:space="preserve">he customer </w:t>
      </w:r>
      <w:r>
        <w:t xml:space="preserve">and the </w:t>
      </w:r>
      <w:r w:rsidRPr="00B238CA">
        <w:t>broader community</w:t>
      </w:r>
      <w:r>
        <w:t xml:space="preserve"> benefit</w:t>
      </w:r>
      <w:r w:rsidRPr="00B238CA">
        <w:t xml:space="preserve"> from these services </w:t>
      </w:r>
      <w:r>
        <w:t xml:space="preserve">by ensuring that the participating drivers are prevented from drink-driving and learn to separate drinking from driving, it would not be appropriate for tax payers to subsidise a service that resulted from driving illegally. </w:t>
      </w:r>
      <w:r w:rsidRPr="00B238CA">
        <w:t xml:space="preserve"> </w:t>
      </w:r>
      <w:r w:rsidR="00441335">
        <w:t>In addition</w:t>
      </w:r>
      <w:r w:rsidR="00FF26CB">
        <w:t>,</w:t>
      </w:r>
      <w:r w:rsidR="00441335">
        <w:t xml:space="preserve"> the charges are made monthly for the time the person is on the program, and so varies from person to person. The total amount paid will therefore vary depending how long it take the person to satisfy the removal criteria.</w:t>
      </w:r>
    </w:p>
    <w:p w14:paraId="060DA3E7" w14:textId="77777777" w:rsidR="009E7630" w:rsidRPr="009E7630" w:rsidRDefault="009E7630" w:rsidP="009E7630">
      <w:pPr>
        <w:keepNext/>
        <w:keepLines/>
        <w:numPr>
          <w:ilvl w:val="2"/>
          <w:numId w:val="14"/>
        </w:numPr>
        <w:spacing w:before="240" w:line="240" w:lineRule="auto"/>
        <w:outlineLvl w:val="2"/>
        <w:rPr>
          <w:rFonts w:ascii="Segoe UI" w:eastAsiaTheme="majorEastAsia" w:hAnsi="Segoe UI" w:cs="Segoe UI"/>
          <w:b/>
          <w:bCs/>
          <w:color w:val="404040" w:themeColor="text1" w:themeTint="BF"/>
          <w:sz w:val="22"/>
          <w:szCs w:val="26"/>
          <w:lang w:eastAsia="en-AU"/>
        </w:rPr>
      </w:pPr>
      <w:bookmarkStart w:id="829" w:name="_Toc4084250"/>
      <w:bookmarkStart w:id="830" w:name="_Toc4590280"/>
      <w:r w:rsidRPr="009E7630">
        <w:rPr>
          <w:rFonts w:ascii="Segoe UI" w:eastAsiaTheme="majorEastAsia" w:hAnsi="Segoe UI" w:cs="Segoe UI"/>
          <w:b/>
          <w:bCs/>
          <w:color w:val="404040" w:themeColor="text1" w:themeTint="BF"/>
          <w:sz w:val="22"/>
          <w:szCs w:val="26"/>
          <w:lang w:eastAsia="en-AU"/>
        </w:rPr>
        <w:t>Proposal</w:t>
      </w:r>
      <w:bookmarkEnd w:id="829"/>
      <w:bookmarkEnd w:id="830"/>
    </w:p>
    <w:p w14:paraId="36EF694C" w14:textId="2AC5B0FE" w:rsidR="00370DA6" w:rsidRDefault="00370DA6" w:rsidP="00370DA6">
      <w:pPr>
        <w:pStyle w:val="TextPara"/>
      </w:pPr>
      <w:r>
        <w:t xml:space="preserve">The above </w:t>
      </w:r>
      <w:r w:rsidR="006F4944">
        <w:t xml:space="preserve">discussion </w:t>
      </w:r>
      <w:r>
        <w:t>suggests that full cost recovery should be applied to these services with consideration for affordability for low income customers. To ensure these customers can better participate in the system, DoT proposes that the subsidisation be borne by the non-concession customers.</w:t>
      </w:r>
      <w:r w:rsidRPr="00AC3793">
        <w:t xml:space="preserve"> </w:t>
      </w:r>
    </w:p>
    <w:p w14:paraId="19A75B68" w14:textId="286539E3" w:rsidR="00370DA6" w:rsidRDefault="00370DA6" w:rsidP="00370DA6">
      <w:pPr>
        <w:pStyle w:val="TextPara"/>
      </w:pPr>
      <w:r>
        <w:t>DoT recognises that granting a concession entitlement to customers who cannot afford to pay a fee at the full cost recovery rate and at the same time recovering the total costs of providing the service disadvantages those customers who are not entitled to a concession, as they are bearing a greater share of the cost of the scheme.</w:t>
      </w:r>
      <w:r w:rsidR="00716A81">
        <w:t xml:space="preserve"> </w:t>
      </w:r>
    </w:p>
    <w:p w14:paraId="446A739B" w14:textId="5C223382" w:rsidR="00370DA6" w:rsidRDefault="00370DA6" w:rsidP="00D95D6A">
      <w:pPr>
        <w:pStyle w:val="TextPara"/>
      </w:pPr>
      <w:r>
        <w:t>Applying the 50% concession rate to 30% of the alcohol interlock customer base and still recovering the total costs of providing the program, requires the fees to be set at $1</w:t>
      </w:r>
      <w:r w:rsidR="00072BF7">
        <w:t>9.3</w:t>
      </w:r>
      <w:r>
        <w:t>0 per month for those customers eligible to concession and $3</w:t>
      </w:r>
      <w:r w:rsidR="00072BF7">
        <w:t>8.60</w:t>
      </w:r>
      <w:r>
        <w:t xml:space="preserve"> per month for ineligible customers.</w:t>
      </w:r>
      <w:r w:rsidR="00072BF7">
        <w:t xml:space="preserve"> Leaving the fees at the current levels would delay the recovery of the </w:t>
      </w:r>
      <w:r w:rsidR="00D95D6A">
        <w:t>systems establishment costs by approximately 2.5 months. Given that the change required to achieve full cost recovery is minimal, the government intends to retain the fees for these services at the current fee levels to maintain stability and for predictability.</w:t>
      </w:r>
    </w:p>
    <w:p w14:paraId="42E1DE72" w14:textId="3BF74CB6" w:rsidR="00370DA6" w:rsidRDefault="00370DA6" w:rsidP="00370DA6">
      <w:pPr>
        <w:pStyle w:val="TextPara"/>
      </w:pPr>
      <w:r>
        <w:t xml:space="preserve">Applying a unit pricing structure to the services would be appropriate </w:t>
      </w:r>
      <w:r w:rsidRPr="008422B1">
        <w:t xml:space="preserve">as individual customers </w:t>
      </w:r>
      <w:r>
        <w:t xml:space="preserve">have differing abilities to separate drinking and driving, and therefore take varying periods to complete their program. </w:t>
      </w:r>
    </w:p>
    <w:p w14:paraId="6E1F8CC9" w14:textId="77777777" w:rsidR="00370DA6" w:rsidRDefault="00370DA6" w:rsidP="00370DA6">
      <w:pPr>
        <w:pStyle w:val="Heading2"/>
        <w:spacing w:before="240" w:after="180"/>
      </w:pPr>
      <w:bookmarkStart w:id="831" w:name="_Toc4084251"/>
      <w:bookmarkStart w:id="832" w:name="_Toc10703531"/>
      <w:r>
        <w:t>Information Extracts and Reports</w:t>
      </w:r>
      <w:bookmarkEnd w:id="831"/>
      <w:bookmarkEnd w:id="832"/>
    </w:p>
    <w:p w14:paraId="1827FACD" w14:textId="78382A3A" w:rsidR="009E7630" w:rsidRDefault="00370DA6" w:rsidP="00673B7F">
      <w:pPr>
        <w:pStyle w:val="TextPara"/>
      </w:pPr>
      <w:r w:rsidRPr="00B238CA">
        <w:t xml:space="preserve">The </w:t>
      </w:r>
      <w:r w:rsidR="00202707">
        <w:t xml:space="preserve">forecast average </w:t>
      </w:r>
      <w:r w:rsidRPr="00B238CA">
        <w:t>annual cost of providing the administrative services supporting information</w:t>
      </w:r>
      <w:r>
        <w:t xml:space="preserve"> extracts and </w:t>
      </w:r>
      <w:r w:rsidRPr="00B238CA">
        <w:t xml:space="preserve">report </w:t>
      </w:r>
      <w:r w:rsidRPr="008422B1">
        <w:t>provision is $2.</w:t>
      </w:r>
      <w:r w:rsidR="00D95D6A">
        <w:t>53</w:t>
      </w:r>
      <w:r w:rsidRPr="008422B1">
        <w:t>m</w:t>
      </w:r>
      <w:r w:rsidR="00202707">
        <w:t xml:space="preserve"> (PV)</w:t>
      </w:r>
      <w:r w:rsidRPr="008422B1">
        <w:t xml:space="preserve">. This Services Group supports the provision of </w:t>
      </w:r>
      <w:r>
        <w:t>about</w:t>
      </w:r>
      <w:r w:rsidRPr="008422B1">
        <w:t xml:space="preserve"> 180,000 reports annually.</w:t>
      </w:r>
      <w:r w:rsidR="00673B7F" w:rsidRPr="00673B7F">
        <w:t xml:space="preserve"> </w:t>
      </w:r>
    </w:p>
    <w:p w14:paraId="27940AFF" w14:textId="77777777" w:rsidR="00673B7F" w:rsidRPr="00B238CA" w:rsidRDefault="00673B7F" w:rsidP="00673B7F">
      <w:pPr>
        <w:pStyle w:val="TextPara"/>
      </w:pPr>
      <w:bookmarkStart w:id="833" w:name="_Toc4084252"/>
      <w:r w:rsidRPr="00B238CA">
        <w:t xml:space="preserve">An </w:t>
      </w:r>
      <w:r w:rsidRPr="008422B1">
        <w:t>overview</w:t>
      </w:r>
      <w:r w:rsidRPr="00B238CA">
        <w:t xml:space="preserve"> of this </w:t>
      </w:r>
      <w:r>
        <w:t>Services Group’s</w:t>
      </w:r>
      <w:r w:rsidRPr="00B238CA">
        <w:t xml:space="preserve"> </w:t>
      </w:r>
      <w:r>
        <w:t>activities, costs and fee income</w:t>
      </w:r>
      <w:r w:rsidRPr="00B238CA">
        <w:t xml:space="preserve"> together with an assessment of options for cost recovery (against the DTF cost recovery principles) and the proposed fee outcome is outlined in the remainder of this section.</w:t>
      </w:r>
    </w:p>
    <w:p w14:paraId="454C66D4" w14:textId="77777777" w:rsidR="00370DA6" w:rsidRDefault="00370DA6" w:rsidP="00370DA6">
      <w:pPr>
        <w:pStyle w:val="Heading3"/>
        <w:spacing w:before="240"/>
      </w:pPr>
      <w:bookmarkStart w:id="834" w:name="_Toc10703532"/>
      <w:r w:rsidRPr="00117C96">
        <w:lastRenderedPageBreak/>
        <w:t>Service Overview</w:t>
      </w:r>
      <w:bookmarkEnd w:id="833"/>
      <w:bookmarkEnd w:id="834"/>
    </w:p>
    <w:p w14:paraId="1F11A8F6" w14:textId="34EFE140" w:rsidR="00370DA6" w:rsidRPr="00342389" w:rsidRDefault="009C3740" w:rsidP="000113DB">
      <w:pPr>
        <w:pStyle w:val="TextPara"/>
        <w:keepNext/>
        <w:keepLines/>
      </w:pPr>
      <w:r>
        <w:fldChar w:fldCharType="begin"/>
      </w:r>
      <w:r>
        <w:instrText xml:space="preserve"> REF _Ref4415244 \h </w:instrText>
      </w:r>
      <w:r>
        <w:fldChar w:fldCharType="separate"/>
      </w:r>
      <w:r w:rsidR="00EB4B02">
        <w:t xml:space="preserve">Table </w:t>
      </w:r>
      <w:r w:rsidR="00EB4B02">
        <w:rPr>
          <w:noProof/>
        </w:rPr>
        <w:t>65</w:t>
      </w:r>
      <w:r>
        <w:fldChar w:fldCharType="end"/>
      </w:r>
      <w:r>
        <w:t xml:space="preserve"> </w:t>
      </w:r>
      <w:r w:rsidR="00370DA6">
        <w:t>provides a description of the activities associated with the provision of information.</w:t>
      </w:r>
    </w:p>
    <w:p w14:paraId="038BA5F6" w14:textId="3F12DA62" w:rsidR="00370DA6" w:rsidRDefault="00370DA6" w:rsidP="00AA0BBA">
      <w:pPr>
        <w:pStyle w:val="Caption"/>
      </w:pPr>
      <w:bookmarkStart w:id="835" w:name="_Ref4415244"/>
      <w:bookmarkStart w:id="836" w:name="_Toc4084348"/>
      <w:bookmarkStart w:id="837" w:name="_Toc10703758"/>
      <w:r>
        <w:t xml:space="preserve">Table </w:t>
      </w:r>
      <w:r>
        <w:rPr>
          <w:noProof/>
        </w:rPr>
        <w:fldChar w:fldCharType="begin"/>
      </w:r>
      <w:r>
        <w:rPr>
          <w:noProof/>
        </w:rPr>
        <w:instrText xml:space="preserve"> SEQ Table \* ARABIC </w:instrText>
      </w:r>
      <w:r>
        <w:rPr>
          <w:noProof/>
        </w:rPr>
        <w:fldChar w:fldCharType="separate"/>
      </w:r>
      <w:r w:rsidR="00EB4B02">
        <w:rPr>
          <w:noProof/>
        </w:rPr>
        <w:t>65</w:t>
      </w:r>
      <w:r>
        <w:rPr>
          <w:noProof/>
        </w:rPr>
        <w:fldChar w:fldCharType="end"/>
      </w:r>
      <w:bookmarkEnd w:id="835"/>
      <w:r>
        <w:t xml:space="preserve"> – </w:t>
      </w:r>
      <w:r w:rsidRPr="003C4CEF">
        <w:t xml:space="preserve">Services </w:t>
      </w:r>
      <w:r>
        <w:t>Group Activities: Information Extracts and Reports</w:t>
      </w:r>
      <w:bookmarkEnd w:id="836"/>
      <w:bookmarkEnd w:id="837"/>
    </w:p>
    <w:tbl>
      <w:tblPr>
        <w:tblStyle w:val="RIS-Table2"/>
        <w:tblW w:w="9639" w:type="dxa"/>
        <w:tblLayout w:type="fixed"/>
        <w:tblLook w:val="04A0" w:firstRow="1" w:lastRow="0" w:firstColumn="1" w:lastColumn="0" w:noHBand="0" w:noVBand="1"/>
      </w:tblPr>
      <w:tblGrid>
        <w:gridCol w:w="2268"/>
        <w:gridCol w:w="7371"/>
      </w:tblGrid>
      <w:tr w:rsidR="00370DA6" w:rsidRPr="00117C96" w14:paraId="5282CB4D" w14:textId="77777777" w:rsidTr="00F74583">
        <w:trPr>
          <w:cnfStyle w:val="100000000000" w:firstRow="1" w:lastRow="0" w:firstColumn="0" w:lastColumn="0" w:oddVBand="0" w:evenVBand="0" w:oddHBand="0" w:evenHBand="0" w:firstRowFirstColumn="0" w:firstRowLastColumn="0" w:lastRowFirstColumn="0" w:lastRowLastColumn="0"/>
        </w:trPr>
        <w:tc>
          <w:tcPr>
            <w:tcW w:w="2268" w:type="dxa"/>
          </w:tcPr>
          <w:p w14:paraId="1F6A7183" w14:textId="77777777" w:rsidR="00370DA6" w:rsidRPr="00CA69E5" w:rsidRDefault="00370DA6" w:rsidP="000113DB">
            <w:pPr>
              <w:pStyle w:val="TableHeaders"/>
              <w:keepNext/>
              <w:keepLines/>
            </w:pPr>
            <w:r w:rsidRPr="00CA69E5">
              <w:t>Services</w:t>
            </w:r>
          </w:p>
        </w:tc>
        <w:tc>
          <w:tcPr>
            <w:tcW w:w="7371" w:type="dxa"/>
          </w:tcPr>
          <w:p w14:paraId="51916955" w14:textId="77777777" w:rsidR="00370DA6" w:rsidRPr="00CA69E5" w:rsidRDefault="00370DA6" w:rsidP="000113DB">
            <w:pPr>
              <w:pStyle w:val="TableHeaders"/>
              <w:keepNext/>
              <w:keepLines/>
            </w:pPr>
            <w:r w:rsidRPr="00CA69E5">
              <w:t>Execution</w:t>
            </w:r>
          </w:p>
        </w:tc>
      </w:tr>
      <w:tr w:rsidR="00370DA6" w:rsidRPr="00055C2A" w14:paraId="3F7F0C00" w14:textId="77777777" w:rsidTr="00F74583">
        <w:tc>
          <w:tcPr>
            <w:tcW w:w="2268" w:type="dxa"/>
          </w:tcPr>
          <w:p w14:paraId="7EBE389D" w14:textId="77777777" w:rsidR="00370DA6" w:rsidRPr="00F74583" w:rsidRDefault="00370DA6" w:rsidP="00913C81">
            <w:pPr>
              <w:pStyle w:val="TableList1"/>
              <w:numPr>
                <w:ilvl w:val="0"/>
                <w:numId w:val="0"/>
              </w:numPr>
              <w:rPr>
                <w:b/>
              </w:rPr>
            </w:pPr>
            <w:r w:rsidRPr="00F74583">
              <w:rPr>
                <w:b/>
              </w:rPr>
              <w:t>Provision of licence information extracts and reports</w:t>
            </w:r>
          </w:p>
        </w:tc>
        <w:tc>
          <w:tcPr>
            <w:tcW w:w="7371" w:type="dxa"/>
          </w:tcPr>
          <w:p w14:paraId="628ED199" w14:textId="77777777" w:rsidR="00370DA6" w:rsidRDefault="00370DA6" w:rsidP="00370DA6">
            <w:pPr>
              <w:pStyle w:val="TableList1"/>
              <w:ind w:left="360" w:hanging="360"/>
            </w:pPr>
            <w:r>
              <w:t xml:space="preserve">Receive </w:t>
            </w:r>
            <w:r w:rsidRPr="00851D4E">
              <w:t>requests</w:t>
            </w:r>
            <w:r w:rsidRPr="00E120E1">
              <w:t xml:space="preserve"> </w:t>
            </w:r>
            <w:r>
              <w:t>from</w:t>
            </w:r>
            <w:r w:rsidRPr="00E120E1">
              <w:t xml:space="preserve"> customers over the counter, online, and by telephone</w:t>
            </w:r>
            <w:r>
              <w:t>, and process payment.</w:t>
            </w:r>
          </w:p>
          <w:p w14:paraId="1C0BD072" w14:textId="77777777" w:rsidR="00370DA6" w:rsidRPr="00851D4E" w:rsidRDefault="00370DA6" w:rsidP="00913C81">
            <w:pPr>
              <w:pStyle w:val="TableList2"/>
            </w:pPr>
            <w:r w:rsidRPr="00851D4E">
              <w:t xml:space="preserve">Customers can only source reports on their own data unless the requesting party has been authorised to </w:t>
            </w:r>
            <w:r w:rsidRPr="00ED3986">
              <w:t>obtain</w:t>
            </w:r>
            <w:r w:rsidRPr="00851D4E">
              <w:t xml:space="preserve"> the report by the subject of the enquiry.</w:t>
            </w:r>
          </w:p>
          <w:p w14:paraId="0C48748B" w14:textId="77777777" w:rsidR="00370DA6" w:rsidRDefault="00370DA6" w:rsidP="00913C81">
            <w:pPr>
              <w:pStyle w:val="TableList2"/>
            </w:pPr>
            <w:r>
              <w:t>Section 84 extracts are mainly sourced for presentation at court.</w:t>
            </w:r>
          </w:p>
          <w:p w14:paraId="52ABA4C7" w14:textId="77777777" w:rsidR="00370DA6" w:rsidRPr="00E120E1" w:rsidRDefault="00370DA6" w:rsidP="00370DA6">
            <w:pPr>
              <w:pStyle w:val="TableList1"/>
              <w:ind w:left="360" w:hanging="360"/>
            </w:pPr>
            <w:r>
              <w:t>C</w:t>
            </w:r>
            <w:r w:rsidRPr="00E120E1">
              <w:t xml:space="preserve">onduct evidence of identity check to confirm identity of the </w:t>
            </w:r>
            <w:r>
              <w:t>customer.</w:t>
            </w:r>
          </w:p>
          <w:p w14:paraId="1DDD4D8C" w14:textId="77777777" w:rsidR="00370DA6" w:rsidRPr="00D74BC4" w:rsidRDefault="00370DA6" w:rsidP="00370DA6">
            <w:pPr>
              <w:pStyle w:val="TableList1"/>
              <w:ind w:left="360" w:hanging="360"/>
            </w:pPr>
            <w:r>
              <w:t>Produce</w:t>
            </w:r>
            <w:r w:rsidRPr="00E120E1">
              <w:t xml:space="preserve"> the report for the customer</w:t>
            </w:r>
            <w:r>
              <w:t>.</w:t>
            </w:r>
            <w:r w:rsidRPr="00E120E1">
              <w:t xml:space="preserve"> If the report is complex, a data analyst is assigned to extract the data</w:t>
            </w:r>
            <w:r>
              <w:t xml:space="preserve"> required.</w:t>
            </w:r>
          </w:p>
          <w:p w14:paraId="4DF4B2E0" w14:textId="77777777" w:rsidR="00370DA6" w:rsidRPr="00CA69E5" w:rsidRDefault="00370DA6" w:rsidP="00370DA6">
            <w:pPr>
              <w:pStyle w:val="TableList1"/>
              <w:ind w:left="360" w:hanging="360"/>
            </w:pPr>
            <w:r>
              <w:t>Post</w:t>
            </w:r>
            <w:r w:rsidRPr="00E120E1">
              <w:t xml:space="preserve"> </w:t>
            </w:r>
            <w:r>
              <w:t xml:space="preserve">extract or report </w:t>
            </w:r>
            <w:r w:rsidRPr="00E120E1">
              <w:t>to the customer</w:t>
            </w:r>
            <w:r>
              <w:t>.</w:t>
            </w:r>
          </w:p>
        </w:tc>
      </w:tr>
    </w:tbl>
    <w:p w14:paraId="07FC2090" w14:textId="77777777" w:rsidR="00370DA6" w:rsidRDefault="00370DA6" w:rsidP="00E6185D">
      <w:pPr>
        <w:pStyle w:val="TextPara"/>
        <w:spacing w:before="0"/>
        <w:ind w:left="851" w:hanging="567"/>
      </w:pPr>
      <w:r>
        <w:rPr>
          <w:rFonts w:cs="Segoe UI"/>
          <w:b/>
          <w:i/>
          <w:sz w:val="18"/>
          <w:szCs w:val="18"/>
        </w:rPr>
        <w:t>Note</w:t>
      </w:r>
      <w:r>
        <w:rPr>
          <w:rFonts w:cs="Segoe UI"/>
          <w:i/>
          <w:sz w:val="18"/>
          <w:szCs w:val="18"/>
        </w:rPr>
        <w:t xml:space="preserve">: </w:t>
      </w:r>
      <w:r>
        <w:rPr>
          <w:rFonts w:cs="Segoe UI"/>
          <w:i/>
          <w:sz w:val="18"/>
          <w:szCs w:val="18"/>
        </w:rPr>
        <w:tab/>
        <w:t>Searches from third parties (tolling companies, councils etc.) are not services for which fees are specified in the Regulations</w:t>
      </w:r>
    </w:p>
    <w:p w14:paraId="6E79EF81" w14:textId="6C156D9A" w:rsidR="00370DA6" w:rsidRPr="008422B1" w:rsidRDefault="009C3740" w:rsidP="008422B1">
      <w:pPr>
        <w:pStyle w:val="TextPara"/>
      </w:pPr>
      <w:r>
        <w:fldChar w:fldCharType="begin"/>
      </w:r>
      <w:r>
        <w:instrText xml:space="preserve"> REF _Ref4415260 \h </w:instrText>
      </w:r>
      <w:r>
        <w:fldChar w:fldCharType="separate"/>
      </w:r>
      <w:r w:rsidR="00EB4B02">
        <w:t xml:space="preserve">Table </w:t>
      </w:r>
      <w:r w:rsidR="00EB4B02">
        <w:rPr>
          <w:noProof/>
        </w:rPr>
        <w:t>66</w:t>
      </w:r>
      <w:r>
        <w:fldChar w:fldCharType="end"/>
      </w:r>
      <w:r>
        <w:t xml:space="preserve"> </w:t>
      </w:r>
      <w:r w:rsidR="00370DA6">
        <w:t>provides a summary of the estimated costs for the provision of the services over the forecast period.</w:t>
      </w:r>
    </w:p>
    <w:p w14:paraId="56E614BC" w14:textId="2858B3F8" w:rsidR="00370DA6" w:rsidRDefault="00370DA6" w:rsidP="00AA0BBA">
      <w:pPr>
        <w:pStyle w:val="Caption"/>
      </w:pPr>
      <w:bookmarkStart w:id="838" w:name="_Ref4415260"/>
      <w:bookmarkStart w:id="839" w:name="_Toc4084349"/>
      <w:bookmarkStart w:id="840" w:name="_Toc10703759"/>
      <w:r>
        <w:t xml:space="preserve">Table </w:t>
      </w:r>
      <w:r>
        <w:rPr>
          <w:noProof/>
        </w:rPr>
        <w:fldChar w:fldCharType="begin"/>
      </w:r>
      <w:r>
        <w:rPr>
          <w:noProof/>
        </w:rPr>
        <w:instrText xml:space="preserve"> SEQ Table \* ARABIC </w:instrText>
      </w:r>
      <w:r>
        <w:rPr>
          <w:noProof/>
        </w:rPr>
        <w:fldChar w:fldCharType="separate"/>
      </w:r>
      <w:r w:rsidR="00EB4B02">
        <w:rPr>
          <w:noProof/>
        </w:rPr>
        <w:t>66</w:t>
      </w:r>
      <w:r>
        <w:rPr>
          <w:noProof/>
        </w:rPr>
        <w:fldChar w:fldCharType="end"/>
      </w:r>
      <w:bookmarkEnd w:id="838"/>
      <w:r>
        <w:t xml:space="preserve"> –</w:t>
      </w:r>
      <w:r w:rsidRPr="003C4CEF">
        <w:t xml:space="preserve"> </w:t>
      </w:r>
      <w:r>
        <w:t>Services Group Cost: Information Extracts and Reports</w:t>
      </w:r>
      <w:bookmarkEnd w:id="839"/>
      <w:bookmarkEnd w:id="840"/>
    </w:p>
    <w:tbl>
      <w:tblPr>
        <w:tblStyle w:val="RIS-Table2"/>
        <w:tblW w:w="9639" w:type="dxa"/>
        <w:tblLook w:val="04A0" w:firstRow="1" w:lastRow="0" w:firstColumn="1" w:lastColumn="0" w:noHBand="0" w:noVBand="1"/>
      </w:tblPr>
      <w:tblGrid>
        <w:gridCol w:w="3828"/>
        <w:gridCol w:w="1134"/>
        <w:gridCol w:w="1134"/>
        <w:gridCol w:w="1134"/>
        <w:gridCol w:w="1134"/>
        <w:gridCol w:w="1275"/>
      </w:tblGrid>
      <w:tr w:rsidR="00370DA6" w:rsidRPr="00AF72BF" w14:paraId="4559E182" w14:textId="77777777" w:rsidTr="00F74583">
        <w:trPr>
          <w:cnfStyle w:val="100000000000" w:firstRow="1" w:lastRow="0" w:firstColumn="0" w:lastColumn="0" w:oddVBand="0" w:evenVBand="0" w:oddHBand="0" w:evenHBand="0" w:firstRowFirstColumn="0" w:firstRowLastColumn="0" w:lastRowFirstColumn="0" w:lastRowLastColumn="0"/>
        </w:trPr>
        <w:tc>
          <w:tcPr>
            <w:tcW w:w="3828" w:type="dxa"/>
            <w:vMerge w:val="restart"/>
          </w:tcPr>
          <w:p w14:paraId="53B6474A" w14:textId="77777777" w:rsidR="00370DA6" w:rsidRPr="00AF72BF" w:rsidRDefault="00370DA6" w:rsidP="00B47F2F">
            <w:pPr>
              <w:pStyle w:val="TableHeaders"/>
              <w:spacing w:line="276" w:lineRule="auto"/>
              <w:rPr>
                <w:rFonts w:cs="Segoe UI"/>
              </w:rPr>
            </w:pPr>
            <w:bookmarkStart w:id="841" w:name="_Hlk9263503"/>
            <w:r>
              <w:rPr>
                <w:rFonts w:cs="Segoe UI"/>
              </w:rPr>
              <w:t>Service Group</w:t>
            </w:r>
          </w:p>
        </w:tc>
        <w:tc>
          <w:tcPr>
            <w:tcW w:w="5811" w:type="dxa"/>
            <w:gridSpan w:val="5"/>
          </w:tcPr>
          <w:p w14:paraId="12D9B74E" w14:textId="77777777" w:rsidR="00370DA6" w:rsidRPr="00AF72BF" w:rsidRDefault="00370DA6" w:rsidP="00B47F2F">
            <w:pPr>
              <w:pStyle w:val="TableHeaders"/>
              <w:spacing w:line="276" w:lineRule="auto"/>
              <w:rPr>
                <w:rFonts w:cs="Segoe UI"/>
              </w:rPr>
            </w:pPr>
            <w:r w:rsidRPr="00AF72BF">
              <w:rPr>
                <w:rFonts w:cs="Segoe UI"/>
              </w:rPr>
              <w:t>Costs $k (PV)</w:t>
            </w:r>
          </w:p>
        </w:tc>
      </w:tr>
      <w:bookmarkEnd w:id="841"/>
      <w:tr w:rsidR="00370DA6" w:rsidRPr="00AF72BF" w14:paraId="0C45F5B4" w14:textId="77777777" w:rsidTr="00832945">
        <w:tc>
          <w:tcPr>
            <w:tcW w:w="3828" w:type="dxa"/>
            <w:vMerge/>
          </w:tcPr>
          <w:p w14:paraId="242D1E95" w14:textId="77777777" w:rsidR="00370DA6" w:rsidRPr="00AF72BF" w:rsidRDefault="00370DA6" w:rsidP="00B47F2F">
            <w:pPr>
              <w:pStyle w:val="TableParagraph"/>
              <w:spacing w:line="276" w:lineRule="auto"/>
              <w:rPr>
                <w:rFonts w:cs="Segoe UI"/>
              </w:rPr>
            </w:pPr>
          </w:p>
        </w:tc>
        <w:tc>
          <w:tcPr>
            <w:tcW w:w="1134" w:type="dxa"/>
            <w:shd w:val="clear" w:color="auto" w:fill="0A1F3F"/>
          </w:tcPr>
          <w:p w14:paraId="71FAF23F" w14:textId="77777777" w:rsidR="00370DA6" w:rsidRPr="00AF72BF" w:rsidRDefault="00370DA6" w:rsidP="00B47F2F">
            <w:pPr>
              <w:pStyle w:val="TableHeaders"/>
              <w:spacing w:line="276" w:lineRule="auto"/>
              <w:rPr>
                <w:rFonts w:cs="Segoe UI"/>
                <w:b/>
              </w:rPr>
            </w:pPr>
            <w:r w:rsidRPr="00AF72BF">
              <w:rPr>
                <w:rFonts w:cs="Segoe UI"/>
                <w:b/>
              </w:rPr>
              <w:t>FY19/20</w:t>
            </w:r>
          </w:p>
        </w:tc>
        <w:tc>
          <w:tcPr>
            <w:tcW w:w="1134" w:type="dxa"/>
            <w:shd w:val="clear" w:color="auto" w:fill="0A1F3F"/>
          </w:tcPr>
          <w:p w14:paraId="432C5CF6" w14:textId="77777777" w:rsidR="00370DA6" w:rsidRPr="00AF72BF" w:rsidRDefault="00370DA6" w:rsidP="00B47F2F">
            <w:pPr>
              <w:pStyle w:val="TableHeaders"/>
              <w:spacing w:line="276" w:lineRule="auto"/>
              <w:rPr>
                <w:rFonts w:cs="Segoe UI"/>
                <w:b/>
              </w:rPr>
            </w:pPr>
            <w:r w:rsidRPr="00AF72BF">
              <w:rPr>
                <w:rFonts w:cs="Segoe UI"/>
                <w:b/>
              </w:rPr>
              <w:t>FY20/21</w:t>
            </w:r>
          </w:p>
        </w:tc>
        <w:tc>
          <w:tcPr>
            <w:tcW w:w="1134" w:type="dxa"/>
            <w:shd w:val="clear" w:color="auto" w:fill="0A1F3F"/>
          </w:tcPr>
          <w:p w14:paraId="17F72FCC" w14:textId="77777777" w:rsidR="00370DA6" w:rsidRPr="00AF72BF" w:rsidRDefault="00370DA6" w:rsidP="00B47F2F">
            <w:pPr>
              <w:pStyle w:val="TableHeaders"/>
              <w:spacing w:line="276" w:lineRule="auto"/>
              <w:rPr>
                <w:rFonts w:cs="Segoe UI"/>
                <w:b/>
              </w:rPr>
            </w:pPr>
            <w:r w:rsidRPr="00AF72BF">
              <w:rPr>
                <w:rFonts w:cs="Segoe UI"/>
                <w:b/>
              </w:rPr>
              <w:t>FY21/22</w:t>
            </w:r>
          </w:p>
        </w:tc>
        <w:tc>
          <w:tcPr>
            <w:tcW w:w="1134" w:type="dxa"/>
            <w:shd w:val="clear" w:color="auto" w:fill="0A1F3F"/>
          </w:tcPr>
          <w:p w14:paraId="00F16434" w14:textId="77777777" w:rsidR="00370DA6" w:rsidRPr="00AF72BF" w:rsidRDefault="00370DA6" w:rsidP="00B47F2F">
            <w:pPr>
              <w:pStyle w:val="TableHeaders"/>
              <w:spacing w:line="276" w:lineRule="auto"/>
              <w:rPr>
                <w:rFonts w:cs="Segoe UI"/>
                <w:b/>
              </w:rPr>
            </w:pPr>
            <w:r w:rsidRPr="00AF72BF">
              <w:rPr>
                <w:rFonts w:cs="Segoe UI"/>
                <w:b/>
              </w:rPr>
              <w:t>FY22/23</w:t>
            </w:r>
          </w:p>
        </w:tc>
        <w:tc>
          <w:tcPr>
            <w:tcW w:w="1275" w:type="dxa"/>
            <w:shd w:val="clear" w:color="auto" w:fill="0A1F3F"/>
          </w:tcPr>
          <w:p w14:paraId="479DD01E" w14:textId="77777777" w:rsidR="00370DA6" w:rsidRPr="00AF72BF" w:rsidRDefault="00370DA6" w:rsidP="00B47F2F">
            <w:pPr>
              <w:pStyle w:val="TableHeaders"/>
              <w:spacing w:line="276" w:lineRule="auto"/>
              <w:rPr>
                <w:rFonts w:cs="Segoe UI"/>
                <w:b/>
              </w:rPr>
            </w:pPr>
            <w:r w:rsidRPr="00AF72BF">
              <w:rPr>
                <w:rFonts w:cs="Segoe UI"/>
                <w:b/>
              </w:rPr>
              <w:t>Average</w:t>
            </w:r>
          </w:p>
        </w:tc>
      </w:tr>
      <w:tr w:rsidR="00D95D6A" w:rsidRPr="00AF72BF" w14:paraId="64EA72CF" w14:textId="77777777" w:rsidTr="00F74583">
        <w:trPr>
          <w:cnfStyle w:val="000000010000" w:firstRow="0" w:lastRow="0" w:firstColumn="0" w:lastColumn="0" w:oddVBand="0" w:evenVBand="0" w:oddHBand="0" w:evenHBand="1" w:firstRowFirstColumn="0" w:firstRowLastColumn="0" w:lastRowFirstColumn="0" w:lastRowLastColumn="0"/>
        </w:trPr>
        <w:tc>
          <w:tcPr>
            <w:tcW w:w="3828" w:type="dxa"/>
          </w:tcPr>
          <w:p w14:paraId="72EFC16B" w14:textId="77777777" w:rsidR="00D95D6A" w:rsidRPr="00AF72BF" w:rsidRDefault="00D95D6A" w:rsidP="00D95D6A">
            <w:pPr>
              <w:pStyle w:val="TableParagraph"/>
              <w:spacing w:line="276" w:lineRule="auto"/>
              <w:rPr>
                <w:rFonts w:cs="Segoe UI"/>
              </w:rPr>
            </w:pPr>
            <w:r>
              <w:rPr>
                <w:rFonts w:cs="Segoe UI"/>
              </w:rPr>
              <w:t>Information Extracts and Reports</w:t>
            </w:r>
          </w:p>
        </w:tc>
        <w:tc>
          <w:tcPr>
            <w:tcW w:w="1134" w:type="dxa"/>
          </w:tcPr>
          <w:p w14:paraId="72DC2D90" w14:textId="61B1A1AF" w:rsidR="00D95D6A" w:rsidRPr="00AF72BF" w:rsidRDefault="00D95D6A" w:rsidP="00D95D6A">
            <w:pPr>
              <w:pStyle w:val="TableParagraph"/>
              <w:spacing w:line="276" w:lineRule="auto"/>
              <w:ind w:right="170"/>
              <w:jc w:val="right"/>
              <w:rPr>
                <w:rFonts w:cs="Segoe UI"/>
              </w:rPr>
            </w:pPr>
            <w:r w:rsidRPr="00567333">
              <w:t xml:space="preserve"> 2,541 </w:t>
            </w:r>
          </w:p>
        </w:tc>
        <w:tc>
          <w:tcPr>
            <w:tcW w:w="1134" w:type="dxa"/>
          </w:tcPr>
          <w:p w14:paraId="03CCEBB8" w14:textId="3D94773F" w:rsidR="00D95D6A" w:rsidRPr="00AF72BF" w:rsidRDefault="00D95D6A" w:rsidP="00D95D6A">
            <w:pPr>
              <w:pStyle w:val="TableParagraph"/>
              <w:spacing w:line="276" w:lineRule="auto"/>
              <w:ind w:right="170"/>
              <w:jc w:val="right"/>
              <w:rPr>
                <w:rFonts w:cs="Segoe UI"/>
              </w:rPr>
            </w:pPr>
            <w:r w:rsidRPr="00567333">
              <w:t xml:space="preserve"> 2,534 </w:t>
            </w:r>
          </w:p>
        </w:tc>
        <w:tc>
          <w:tcPr>
            <w:tcW w:w="1134" w:type="dxa"/>
          </w:tcPr>
          <w:p w14:paraId="677BB5CD" w14:textId="0119F1B1" w:rsidR="00D95D6A" w:rsidRPr="00AF72BF" w:rsidRDefault="00D95D6A" w:rsidP="00D95D6A">
            <w:pPr>
              <w:pStyle w:val="TableParagraph"/>
              <w:spacing w:line="276" w:lineRule="auto"/>
              <w:ind w:right="170"/>
              <w:jc w:val="right"/>
              <w:rPr>
                <w:rFonts w:cs="Segoe UI"/>
              </w:rPr>
            </w:pPr>
            <w:r w:rsidRPr="00567333">
              <w:t xml:space="preserve"> 2,526 </w:t>
            </w:r>
          </w:p>
        </w:tc>
        <w:tc>
          <w:tcPr>
            <w:tcW w:w="1134" w:type="dxa"/>
          </w:tcPr>
          <w:p w14:paraId="0FFA7003" w14:textId="1F8A4231" w:rsidR="00D95D6A" w:rsidRPr="00AF72BF" w:rsidRDefault="00D95D6A" w:rsidP="00D95D6A">
            <w:pPr>
              <w:pStyle w:val="TableParagraph"/>
              <w:spacing w:line="276" w:lineRule="auto"/>
              <w:ind w:right="170"/>
              <w:jc w:val="right"/>
              <w:rPr>
                <w:rFonts w:cs="Segoe UI"/>
              </w:rPr>
            </w:pPr>
            <w:r w:rsidRPr="00567333">
              <w:t xml:space="preserve"> 2,519 </w:t>
            </w:r>
          </w:p>
        </w:tc>
        <w:tc>
          <w:tcPr>
            <w:tcW w:w="1275" w:type="dxa"/>
          </w:tcPr>
          <w:p w14:paraId="15A7E435" w14:textId="00549A71" w:rsidR="00D95D6A" w:rsidRPr="00D95D6A" w:rsidRDefault="00D95D6A" w:rsidP="00D95D6A">
            <w:pPr>
              <w:pStyle w:val="TableParagraph"/>
              <w:spacing w:line="276" w:lineRule="auto"/>
              <w:ind w:right="170"/>
              <w:jc w:val="right"/>
              <w:rPr>
                <w:rFonts w:cs="Segoe UI"/>
                <w:b/>
              </w:rPr>
            </w:pPr>
            <w:r w:rsidRPr="00567333">
              <w:t xml:space="preserve"> </w:t>
            </w:r>
            <w:r w:rsidRPr="00D95D6A">
              <w:rPr>
                <w:b/>
              </w:rPr>
              <w:t xml:space="preserve">2,530 </w:t>
            </w:r>
          </w:p>
        </w:tc>
      </w:tr>
    </w:tbl>
    <w:p w14:paraId="114359D3" w14:textId="77777777" w:rsidR="00370DA6" w:rsidRDefault="00370DA6" w:rsidP="003F62F9"/>
    <w:p w14:paraId="5FD9B956" w14:textId="6500A898" w:rsidR="00370DA6" w:rsidRDefault="009C3740" w:rsidP="00DF3451">
      <w:pPr>
        <w:pStyle w:val="TextPara"/>
      </w:pPr>
      <w:r>
        <w:fldChar w:fldCharType="begin"/>
      </w:r>
      <w:r>
        <w:instrText xml:space="preserve"> REF _Ref4415276 \h </w:instrText>
      </w:r>
      <w:r>
        <w:fldChar w:fldCharType="separate"/>
      </w:r>
      <w:r w:rsidR="00EB4B02">
        <w:t>Table 70</w:t>
      </w:r>
      <w:r>
        <w:fldChar w:fldCharType="end"/>
      </w:r>
      <w:r>
        <w:t xml:space="preserve"> </w:t>
      </w:r>
      <w:r w:rsidR="00370DA6" w:rsidRPr="005F7BAB">
        <w:rPr>
          <w:rFonts w:cs="Segoe UI"/>
          <w:szCs w:val="20"/>
        </w:rPr>
        <w:t xml:space="preserve">lists the individual fees </w:t>
      </w:r>
      <w:r w:rsidR="00370DA6">
        <w:rPr>
          <w:rFonts w:cs="Segoe UI"/>
          <w:szCs w:val="20"/>
        </w:rPr>
        <w:t xml:space="preserve">for this service group if the current fee rates were to continue. It shows the average annual </w:t>
      </w:r>
      <w:r w:rsidR="00370DA6" w:rsidRPr="005F7BAB">
        <w:rPr>
          <w:rFonts w:cs="Segoe UI"/>
          <w:szCs w:val="20"/>
        </w:rPr>
        <w:t xml:space="preserve">fee recoveries for the forecast period </w:t>
      </w:r>
      <w:r w:rsidR="00370DA6">
        <w:rPr>
          <w:rFonts w:cs="Segoe UI"/>
          <w:szCs w:val="20"/>
        </w:rPr>
        <w:t xml:space="preserve">(FY19/20 to FY22/23) </w:t>
      </w:r>
      <w:r w:rsidR="000E0615">
        <w:rPr>
          <w:rFonts w:cs="Segoe UI"/>
          <w:szCs w:val="20"/>
        </w:rPr>
        <w:t>based on the published FY19/20 fee rate of $14.81 which is modelled as the PV rate for the period.</w:t>
      </w:r>
    </w:p>
    <w:p w14:paraId="3EA7EF3C" w14:textId="78A1F5E7" w:rsidR="00370DA6" w:rsidRDefault="00370DA6" w:rsidP="00AA0BBA">
      <w:pPr>
        <w:pStyle w:val="Caption"/>
      </w:pPr>
      <w:bookmarkStart w:id="842" w:name="_Ref4415276"/>
      <w:bookmarkStart w:id="843" w:name="_Toc4084350"/>
      <w:r>
        <w:t xml:space="preserve">Table </w:t>
      </w:r>
      <w:r w:rsidR="00727CCC">
        <w:t>70</w:t>
      </w:r>
      <w:bookmarkEnd w:id="842"/>
      <w:r>
        <w:t xml:space="preserve"> – Fee Income: Information Extracts and Reports</w:t>
      </w:r>
      <w:bookmarkEnd w:id="843"/>
    </w:p>
    <w:p w14:paraId="2E1597BC" w14:textId="0D6AE004" w:rsidR="00464C30" w:rsidRDefault="00464C30" w:rsidP="00464C30"/>
    <w:tbl>
      <w:tblPr>
        <w:tblStyle w:val="RIS-Table2"/>
        <w:tblW w:w="9634" w:type="dxa"/>
        <w:tblLayout w:type="fixed"/>
        <w:tblLook w:val="04A0" w:firstRow="1" w:lastRow="0" w:firstColumn="1" w:lastColumn="0" w:noHBand="0" w:noVBand="1"/>
      </w:tblPr>
      <w:tblGrid>
        <w:gridCol w:w="1247"/>
        <w:gridCol w:w="3710"/>
        <w:gridCol w:w="850"/>
        <w:gridCol w:w="1134"/>
        <w:gridCol w:w="1276"/>
        <w:gridCol w:w="1417"/>
      </w:tblGrid>
      <w:tr w:rsidR="00464C30" w:rsidRPr="00117C96" w14:paraId="1F87BC6F" w14:textId="77777777" w:rsidTr="0054388F">
        <w:trPr>
          <w:cnfStyle w:val="100000000000" w:firstRow="1" w:lastRow="0" w:firstColumn="0" w:lastColumn="0" w:oddVBand="0" w:evenVBand="0" w:oddHBand="0" w:evenHBand="0" w:firstRowFirstColumn="0" w:firstRowLastColumn="0" w:lastRowFirstColumn="0" w:lastRowLastColumn="0"/>
        </w:trPr>
        <w:tc>
          <w:tcPr>
            <w:tcW w:w="1247" w:type="dxa"/>
          </w:tcPr>
          <w:p w14:paraId="71730AAE" w14:textId="77777777" w:rsidR="00464C30" w:rsidRPr="00117C96" w:rsidRDefault="00464C30" w:rsidP="006745DD">
            <w:pPr>
              <w:pStyle w:val="TableHeaders"/>
            </w:pPr>
            <w:r>
              <w:t xml:space="preserve">Schedule 6 </w:t>
            </w:r>
          </w:p>
        </w:tc>
        <w:tc>
          <w:tcPr>
            <w:tcW w:w="4560" w:type="dxa"/>
            <w:gridSpan w:val="2"/>
            <w:vMerge w:val="restart"/>
          </w:tcPr>
          <w:p w14:paraId="656D9C3C" w14:textId="77777777" w:rsidR="00464C30" w:rsidRPr="00117C96" w:rsidRDefault="00464C30" w:rsidP="006745DD">
            <w:pPr>
              <w:pStyle w:val="TableHeaders"/>
            </w:pPr>
            <w:r w:rsidRPr="00C64741">
              <w:t>Description</w:t>
            </w:r>
            <w:r>
              <w:t xml:space="preserve"> and Regulation Reference</w:t>
            </w:r>
          </w:p>
        </w:tc>
        <w:tc>
          <w:tcPr>
            <w:tcW w:w="1134" w:type="dxa"/>
          </w:tcPr>
          <w:p w14:paraId="390FA0B5" w14:textId="77777777" w:rsidR="00464C30" w:rsidRPr="00117C96" w:rsidRDefault="00464C30" w:rsidP="006745DD">
            <w:pPr>
              <w:pStyle w:val="TableHeaders"/>
            </w:pPr>
            <w:r w:rsidRPr="002613BA">
              <w:t xml:space="preserve"> </w:t>
            </w:r>
            <w:r>
              <w:t>Txns pa</w:t>
            </w:r>
          </w:p>
        </w:tc>
        <w:tc>
          <w:tcPr>
            <w:tcW w:w="2693" w:type="dxa"/>
            <w:gridSpan w:val="2"/>
          </w:tcPr>
          <w:p w14:paraId="279523B6" w14:textId="77777777" w:rsidR="00464C30" w:rsidRPr="00117C96" w:rsidRDefault="00464C30" w:rsidP="006745DD">
            <w:pPr>
              <w:pStyle w:val="TableHeaders"/>
            </w:pPr>
            <w:r>
              <w:t>Recovery (PV)</w:t>
            </w:r>
          </w:p>
        </w:tc>
      </w:tr>
      <w:tr w:rsidR="00464C30" w:rsidRPr="009E0BFD" w14:paraId="55555F7E" w14:textId="77777777" w:rsidTr="0054388F">
        <w:tc>
          <w:tcPr>
            <w:tcW w:w="1247" w:type="dxa"/>
            <w:shd w:val="clear" w:color="auto" w:fill="0A1F3F"/>
          </w:tcPr>
          <w:p w14:paraId="3554B475" w14:textId="77777777" w:rsidR="00464C30" w:rsidRPr="009E0BFD" w:rsidRDefault="00464C30" w:rsidP="006745DD">
            <w:pPr>
              <w:pStyle w:val="TableParagraph"/>
              <w:jc w:val="center"/>
              <w:rPr>
                <w:b/>
                <w:color w:val="FFFFFF" w:themeColor="background1"/>
              </w:rPr>
            </w:pPr>
            <w:r w:rsidRPr="009E0BFD">
              <w:rPr>
                <w:b/>
                <w:color w:val="FFFFFF" w:themeColor="background1"/>
              </w:rPr>
              <w:t>Item No.</w:t>
            </w:r>
          </w:p>
        </w:tc>
        <w:tc>
          <w:tcPr>
            <w:tcW w:w="4560" w:type="dxa"/>
            <w:gridSpan w:val="2"/>
            <w:vMerge/>
            <w:shd w:val="clear" w:color="auto" w:fill="0A1F3F"/>
          </w:tcPr>
          <w:p w14:paraId="0D9BC6F2" w14:textId="77777777" w:rsidR="00464C30" w:rsidRPr="009E0BFD" w:rsidRDefault="00464C30" w:rsidP="006745DD">
            <w:pPr>
              <w:pStyle w:val="TableParagraph"/>
              <w:jc w:val="center"/>
              <w:rPr>
                <w:b/>
                <w:color w:val="FFFFFF" w:themeColor="background1"/>
              </w:rPr>
            </w:pPr>
          </w:p>
        </w:tc>
        <w:tc>
          <w:tcPr>
            <w:tcW w:w="1134" w:type="dxa"/>
            <w:shd w:val="clear" w:color="auto" w:fill="0A1F3F"/>
          </w:tcPr>
          <w:p w14:paraId="2C2BEE9C" w14:textId="77777777" w:rsidR="00464C30" w:rsidRPr="009E0BFD" w:rsidRDefault="00464C30" w:rsidP="006745DD">
            <w:pPr>
              <w:pStyle w:val="TableParagraph"/>
              <w:ind w:right="32"/>
              <w:jc w:val="center"/>
              <w:rPr>
                <w:b/>
                <w:color w:val="FFFFFF" w:themeColor="background1"/>
              </w:rPr>
            </w:pPr>
            <w:r w:rsidRPr="009E0BFD">
              <w:rPr>
                <w:b/>
                <w:color w:val="FFFFFF" w:themeColor="background1"/>
              </w:rPr>
              <w:t>Avg ‘000</w:t>
            </w:r>
          </w:p>
        </w:tc>
        <w:tc>
          <w:tcPr>
            <w:tcW w:w="1276" w:type="dxa"/>
            <w:shd w:val="clear" w:color="auto" w:fill="0A1F3F"/>
          </w:tcPr>
          <w:p w14:paraId="2C6D8F18" w14:textId="77777777" w:rsidR="00464C30" w:rsidRPr="009E0BFD" w:rsidRDefault="00464C30" w:rsidP="006745DD">
            <w:pPr>
              <w:pStyle w:val="TableParagraph"/>
              <w:ind w:right="-17"/>
              <w:jc w:val="center"/>
              <w:rPr>
                <w:b/>
                <w:color w:val="FFFFFF" w:themeColor="background1"/>
              </w:rPr>
            </w:pPr>
            <w:r w:rsidRPr="009E0BFD">
              <w:rPr>
                <w:b/>
                <w:color w:val="FFFFFF" w:themeColor="background1"/>
              </w:rPr>
              <w:t>Fee Rate</w:t>
            </w:r>
            <w:r>
              <w:rPr>
                <w:rStyle w:val="EndnoteReference"/>
                <w:b/>
                <w:color w:val="FFFFFF" w:themeColor="background1"/>
              </w:rPr>
              <w:endnoteReference w:id="419"/>
            </w:r>
          </w:p>
        </w:tc>
        <w:tc>
          <w:tcPr>
            <w:tcW w:w="1417" w:type="dxa"/>
            <w:shd w:val="clear" w:color="auto" w:fill="0A1F3F"/>
          </w:tcPr>
          <w:p w14:paraId="02175CF2" w14:textId="77777777" w:rsidR="00464C30" w:rsidRPr="009E0BFD" w:rsidRDefault="00464C30" w:rsidP="006745DD">
            <w:pPr>
              <w:pStyle w:val="TableParagraph"/>
              <w:ind w:right="-17"/>
              <w:jc w:val="center"/>
              <w:rPr>
                <w:b/>
                <w:color w:val="FFFFFF" w:themeColor="background1"/>
              </w:rPr>
            </w:pPr>
            <w:r w:rsidRPr="009E0BFD">
              <w:rPr>
                <w:b/>
                <w:color w:val="FFFFFF" w:themeColor="background1"/>
              </w:rPr>
              <w:t>Revenue ($k)</w:t>
            </w:r>
          </w:p>
        </w:tc>
      </w:tr>
      <w:tr w:rsidR="00D95D6A" w:rsidRPr="004C05D9" w14:paraId="7D104CE2" w14:textId="77777777" w:rsidTr="00912652">
        <w:trPr>
          <w:cnfStyle w:val="000000010000" w:firstRow="0" w:lastRow="0" w:firstColumn="0" w:lastColumn="0" w:oddVBand="0" w:evenVBand="0" w:oddHBand="0" w:evenHBand="1" w:firstRowFirstColumn="0" w:firstRowLastColumn="0" w:lastRowFirstColumn="0" w:lastRowLastColumn="0"/>
        </w:trPr>
        <w:tc>
          <w:tcPr>
            <w:tcW w:w="1247" w:type="dxa"/>
          </w:tcPr>
          <w:p w14:paraId="473D4BBA" w14:textId="77777777" w:rsidR="00D95D6A" w:rsidRPr="00117C96" w:rsidRDefault="00D95D6A" w:rsidP="00D95D6A">
            <w:pPr>
              <w:pStyle w:val="TableParagraph"/>
              <w:jc w:val="center"/>
            </w:pPr>
            <w:r w:rsidRPr="00731B12">
              <w:t>1</w:t>
            </w:r>
          </w:p>
        </w:tc>
        <w:tc>
          <w:tcPr>
            <w:tcW w:w="3710" w:type="dxa"/>
          </w:tcPr>
          <w:p w14:paraId="158EFF15" w14:textId="77777777" w:rsidR="00D95D6A" w:rsidRPr="00C64741" w:rsidRDefault="00D95D6A" w:rsidP="00D95D6A">
            <w:pPr>
              <w:pStyle w:val="TableParagraph"/>
            </w:pPr>
            <w:r w:rsidRPr="00F77D08">
              <w:t>Certificate under section 84(1) of the Act</w:t>
            </w:r>
          </w:p>
        </w:tc>
        <w:tc>
          <w:tcPr>
            <w:tcW w:w="850" w:type="dxa"/>
          </w:tcPr>
          <w:p w14:paraId="29DC7A4F" w14:textId="77777777" w:rsidR="00D95D6A" w:rsidRPr="00117C96" w:rsidRDefault="00D95D6A" w:rsidP="00D95D6A">
            <w:pPr>
              <w:pStyle w:val="TableParagraph"/>
              <w:jc w:val="center"/>
            </w:pPr>
          </w:p>
        </w:tc>
        <w:tc>
          <w:tcPr>
            <w:tcW w:w="1134" w:type="dxa"/>
          </w:tcPr>
          <w:p w14:paraId="0A4CEC96" w14:textId="77777777" w:rsidR="00D95D6A" w:rsidRPr="00117C96" w:rsidRDefault="00D95D6A" w:rsidP="00D95D6A">
            <w:pPr>
              <w:pStyle w:val="TableParagraph"/>
              <w:ind w:right="32"/>
              <w:jc w:val="right"/>
            </w:pPr>
            <w:r>
              <w:rPr>
                <w:rFonts w:cs="Segoe UI"/>
                <w:szCs w:val="18"/>
              </w:rPr>
              <w:t>51.4</w:t>
            </w:r>
          </w:p>
        </w:tc>
        <w:tc>
          <w:tcPr>
            <w:tcW w:w="1276" w:type="dxa"/>
          </w:tcPr>
          <w:p w14:paraId="441CFFB2" w14:textId="790CF0D8" w:rsidR="00D95D6A" w:rsidRPr="002514FB" w:rsidRDefault="00D95D6A" w:rsidP="00D95D6A">
            <w:pPr>
              <w:pStyle w:val="TableParagraph"/>
              <w:ind w:right="-17"/>
              <w:jc w:val="right"/>
            </w:pPr>
            <w:r w:rsidRPr="002514FB">
              <w:rPr>
                <w:rFonts w:cs="Segoe UI"/>
                <w:szCs w:val="18"/>
              </w:rPr>
              <w:t>$9.</w:t>
            </w:r>
            <w:r>
              <w:rPr>
                <w:rFonts w:cs="Segoe UI"/>
                <w:szCs w:val="18"/>
              </w:rPr>
              <w:t>5</w:t>
            </w:r>
            <w:r w:rsidRPr="002514FB">
              <w:rPr>
                <w:rFonts w:cs="Segoe UI"/>
                <w:szCs w:val="18"/>
              </w:rPr>
              <w:t>0</w:t>
            </w:r>
          </w:p>
        </w:tc>
        <w:tc>
          <w:tcPr>
            <w:tcW w:w="1417" w:type="dxa"/>
          </w:tcPr>
          <w:p w14:paraId="278A3B43" w14:textId="10DE1FAE" w:rsidR="00D95D6A" w:rsidRPr="004C05D9" w:rsidRDefault="00D95D6A" w:rsidP="00D95D6A">
            <w:pPr>
              <w:pStyle w:val="TableParagraph"/>
              <w:ind w:right="-17"/>
              <w:jc w:val="right"/>
            </w:pPr>
            <w:r w:rsidRPr="00BB4895">
              <w:t xml:space="preserve"> 498 </w:t>
            </w:r>
          </w:p>
        </w:tc>
      </w:tr>
      <w:tr w:rsidR="00D95D6A" w:rsidRPr="004C05D9" w14:paraId="113AD1D3" w14:textId="77777777" w:rsidTr="00912652">
        <w:tc>
          <w:tcPr>
            <w:tcW w:w="1247" w:type="dxa"/>
          </w:tcPr>
          <w:p w14:paraId="7562683E" w14:textId="77777777" w:rsidR="00D95D6A" w:rsidRPr="00117C96" w:rsidRDefault="00D95D6A" w:rsidP="00D95D6A">
            <w:pPr>
              <w:pStyle w:val="TableParagraph"/>
              <w:jc w:val="center"/>
            </w:pPr>
            <w:r w:rsidRPr="00731B12">
              <w:t>2</w:t>
            </w:r>
          </w:p>
        </w:tc>
        <w:tc>
          <w:tcPr>
            <w:tcW w:w="3710" w:type="dxa"/>
          </w:tcPr>
          <w:p w14:paraId="5B461353" w14:textId="77777777" w:rsidR="00D95D6A" w:rsidRPr="00C64741" w:rsidRDefault="00D95D6A" w:rsidP="00D95D6A">
            <w:pPr>
              <w:pStyle w:val="TableParagraph"/>
            </w:pPr>
            <w:r w:rsidRPr="00F77D08">
              <w:t>Extract of current information</w:t>
            </w:r>
          </w:p>
        </w:tc>
        <w:tc>
          <w:tcPr>
            <w:tcW w:w="850" w:type="dxa"/>
          </w:tcPr>
          <w:p w14:paraId="2A603A49" w14:textId="77777777" w:rsidR="00D95D6A" w:rsidRPr="00117C96" w:rsidRDefault="00D95D6A" w:rsidP="00D95D6A">
            <w:pPr>
              <w:pStyle w:val="TableParagraph"/>
              <w:jc w:val="center"/>
            </w:pPr>
          </w:p>
        </w:tc>
        <w:tc>
          <w:tcPr>
            <w:tcW w:w="1134" w:type="dxa"/>
          </w:tcPr>
          <w:p w14:paraId="48A8C1E9" w14:textId="77777777" w:rsidR="00D95D6A" w:rsidRPr="00117C96" w:rsidRDefault="00D95D6A" w:rsidP="00D95D6A">
            <w:pPr>
              <w:pStyle w:val="TableParagraph"/>
              <w:ind w:right="32"/>
              <w:jc w:val="right"/>
            </w:pPr>
            <w:r>
              <w:rPr>
                <w:rFonts w:cs="Segoe UI"/>
                <w:szCs w:val="18"/>
              </w:rPr>
              <w:t>38.6</w:t>
            </w:r>
          </w:p>
        </w:tc>
        <w:tc>
          <w:tcPr>
            <w:tcW w:w="1276" w:type="dxa"/>
          </w:tcPr>
          <w:p w14:paraId="0D23D4C0" w14:textId="5BE33134" w:rsidR="00D95D6A" w:rsidRPr="002514FB" w:rsidRDefault="00D95D6A" w:rsidP="00D95D6A">
            <w:pPr>
              <w:pStyle w:val="TableParagraph"/>
              <w:ind w:right="-17"/>
              <w:jc w:val="right"/>
            </w:pPr>
            <w:r w:rsidRPr="002514FB">
              <w:rPr>
                <w:rFonts w:cs="Segoe UI"/>
                <w:szCs w:val="18"/>
              </w:rPr>
              <w:t>$9.</w:t>
            </w:r>
            <w:r>
              <w:rPr>
                <w:rFonts w:cs="Segoe UI"/>
                <w:szCs w:val="18"/>
              </w:rPr>
              <w:t>5</w:t>
            </w:r>
            <w:r w:rsidRPr="002514FB">
              <w:rPr>
                <w:rFonts w:cs="Segoe UI"/>
                <w:szCs w:val="18"/>
              </w:rPr>
              <w:t>0</w:t>
            </w:r>
          </w:p>
        </w:tc>
        <w:tc>
          <w:tcPr>
            <w:tcW w:w="1417" w:type="dxa"/>
          </w:tcPr>
          <w:p w14:paraId="32A579B5" w14:textId="18B3568A" w:rsidR="00D95D6A" w:rsidRPr="004C05D9" w:rsidRDefault="00D95D6A" w:rsidP="00D95D6A">
            <w:pPr>
              <w:pStyle w:val="TableParagraph"/>
              <w:ind w:right="-17"/>
              <w:jc w:val="right"/>
            </w:pPr>
            <w:r w:rsidRPr="00BB4895">
              <w:t xml:space="preserve"> 374 </w:t>
            </w:r>
          </w:p>
        </w:tc>
      </w:tr>
      <w:tr w:rsidR="00D95D6A" w:rsidRPr="004C05D9" w14:paraId="56645E69" w14:textId="77777777" w:rsidTr="00912652">
        <w:trPr>
          <w:cnfStyle w:val="000000010000" w:firstRow="0" w:lastRow="0" w:firstColumn="0" w:lastColumn="0" w:oddVBand="0" w:evenVBand="0" w:oddHBand="0" w:evenHBand="1" w:firstRowFirstColumn="0" w:firstRowLastColumn="0" w:lastRowFirstColumn="0" w:lastRowLastColumn="0"/>
        </w:trPr>
        <w:tc>
          <w:tcPr>
            <w:tcW w:w="1247" w:type="dxa"/>
          </w:tcPr>
          <w:p w14:paraId="1890408E" w14:textId="77777777" w:rsidR="00D95D6A" w:rsidRPr="00117C96" w:rsidRDefault="00D95D6A" w:rsidP="00D95D6A">
            <w:pPr>
              <w:pStyle w:val="TableParagraph"/>
              <w:jc w:val="center"/>
            </w:pPr>
            <w:r w:rsidRPr="00731B12">
              <w:t>3</w:t>
            </w:r>
          </w:p>
        </w:tc>
        <w:tc>
          <w:tcPr>
            <w:tcW w:w="3710" w:type="dxa"/>
          </w:tcPr>
          <w:p w14:paraId="71094433" w14:textId="77777777" w:rsidR="00D95D6A" w:rsidRPr="00C64741" w:rsidRDefault="00D95D6A" w:rsidP="00D95D6A">
            <w:pPr>
              <w:pStyle w:val="TableParagraph"/>
            </w:pPr>
            <w:r w:rsidRPr="00F77D08">
              <w:t>Extract of historical information</w:t>
            </w:r>
          </w:p>
        </w:tc>
        <w:tc>
          <w:tcPr>
            <w:tcW w:w="850" w:type="dxa"/>
          </w:tcPr>
          <w:p w14:paraId="0B8A56B6" w14:textId="77777777" w:rsidR="00D95D6A" w:rsidRPr="00117C96" w:rsidRDefault="00D95D6A" w:rsidP="00D95D6A">
            <w:pPr>
              <w:pStyle w:val="TableParagraph"/>
              <w:jc w:val="center"/>
            </w:pPr>
          </w:p>
        </w:tc>
        <w:tc>
          <w:tcPr>
            <w:tcW w:w="1134" w:type="dxa"/>
          </w:tcPr>
          <w:p w14:paraId="552D3319" w14:textId="77777777" w:rsidR="00D95D6A" w:rsidRPr="00117C96" w:rsidRDefault="00D95D6A" w:rsidP="00D95D6A">
            <w:pPr>
              <w:pStyle w:val="TableParagraph"/>
              <w:ind w:right="32"/>
              <w:jc w:val="right"/>
            </w:pPr>
            <w:r>
              <w:rPr>
                <w:rFonts w:cs="Segoe UI"/>
                <w:szCs w:val="18"/>
              </w:rPr>
              <w:t>92.4</w:t>
            </w:r>
          </w:p>
        </w:tc>
        <w:tc>
          <w:tcPr>
            <w:tcW w:w="1276" w:type="dxa"/>
          </w:tcPr>
          <w:p w14:paraId="420E1BA6" w14:textId="77777777" w:rsidR="00D95D6A" w:rsidRDefault="00D95D6A" w:rsidP="00D95D6A">
            <w:pPr>
              <w:pStyle w:val="TableParagraph"/>
              <w:ind w:right="-17"/>
              <w:jc w:val="right"/>
              <w:rPr>
                <w:rFonts w:cs="Segoe UI"/>
                <w:color w:val="000000"/>
                <w:szCs w:val="18"/>
              </w:rPr>
            </w:pPr>
            <w:r w:rsidRPr="00F77D08">
              <w:rPr>
                <w:rFonts w:cs="Segoe UI"/>
                <w:color w:val="000000"/>
                <w:szCs w:val="18"/>
              </w:rPr>
              <w:t>1.3</w:t>
            </w:r>
            <w:r>
              <w:rPr>
                <w:rFonts w:cs="Segoe UI"/>
                <w:color w:val="000000"/>
                <w:szCs w:val="18"/>
              </w:rPr>
              <w:t>0</w:t>
            </w:r>
            <w:r w:rsidRPr="00F77D08">
              <w:rPr>
                <w:rFonts w:cs="Segoe UI"/>
                <w:color w:val="000000"/>
                <w:szCs w:val="18"/>
              </w:rPr>
              <w:t xml:space="preserve"> fee units</w:t>
            </w:r>
          </w:p>
          <w:p w14:paraId="7FE34566" w14:textId="3C8DD228" w:rsidR="00D95D6A" w:rsidRPr="00117C96" w:rsidRDefault="00D95D6A" w:rsidP="005B092A">
            <w:pPr>
              <w:pStyle w:val="TableParagraph"/>
              <w:ind w:right="-17"/>
              <w:jc w:val="right"/>
            </w:pPr>
            <w:r>
              <w:rPr>
                <w:rFonts w:cs="Segoe UI"/>
                <w:color w:val="000000"/>
                <w:szCs w:val="18"/>
              </w:rPr>
              <w:t>(i.e. $19.30)</w:t>
            </w:r>
          </w:p>
        </w:tc>
        <w:tc>
          <w:tcPr>
            <w:tcW w:w="1417" w:type="dxa"/>
          </w:tcPr>
          <w:p w14:paraId="4CEA5FA7" w14:textId="61F69E52" w:rsidR="00D95D6A" w:rsidRPr="004C05D9" w:rsidRDefault="00D95D6A" w:rsidP="00D95D6A">
            <w:pPr>
              <w:pStyle w:val="TableParagraph"/>
              <w:ind w:right="-17"/>
              <w:jc w:val="right"/>
            </w:pPr>
            <w:r w:rsidRPr="00BB4895">
              <w:t xml:space="preserve"> 1,781 </w:t>
            </w:r>
          </w:p>
        </w:tc>
      </w:tr>
      <w:tr w:rsidR="00464C30" w:rsidRPr="00DC1198" w14:paraId="2FC16F5A" w14:textId="77777777" w:rsidTr="0054388F">
        <w:tc>
          <w:tcPr>
            <w:tcW w:w="8217" w:type="dxa"/>
            <w:gridSpan w:val="5"/>
            <w:shd w:val="clear" w:color="auto" w:fill="DDE8F4" w:themeFill="text2" w:themeFillTint="1A"/>
          </w:tcPr>
          <w:p w14:paraId="6386CCB1" w14:textId="77777777" w:rsidR="00464C30" w:rsidRPr="00DC1198" w:rsidRDefault="00464C30" w:rsidP="006745DD">
            <w:pPr>
              <w:pStyle w:val="TableParagraph"/>
              <w:ind w:right="-17"/>
              <w:jc w:val="right"/>
            </w:pPr>
            <w:r>
              <w:rPr>
                <w:b/>
              </w:rPr>
              <w:t>Total Fee Recovery</w:t>
            </w:r>
          </w:p>
        </w:tc>
        <w:tc>
          <w:tcPr>
            <w:tcW w:w="1417" w:type="dxa"/>
            <w:shd w:val="clear" w:color="auto" w:fill="DDE8F4" w:themeFill="text2" w:themeFillTint="1A"/>
          </w:tcPr>
          <w:p w14:paraId="45678761" w14:textId="1B0BA585" w:rsidR="00464C30" w:rsidRPr="00DC1198" w:rsidRDefault="00464C30" w:rsidP="006745DD">
            <w:pPr>
              <w:pStyle w:val="TableParagraph"/>
              <w:ind w:right="-17"/>
              <w:jc w:val="right"/>
            </w:pPr>
            <w:r w:rsidRPr="00080AE7">
              <w:rPr>
                <w:b/>
              </w:rPr>
              <w:t>2,</w:t>
            </w:r>
            <w:r w:rsidR="00D95D6A">
              <w:rPr>
                <w:b/>
              </w:rPr>
              <w:t>653</w:t>
            </w:r>
          </w:p>
        </w:tc>
      </w:tr>
    </w:tbl>
    <w:p w14:paraId="5820AF53" w14:textId="77777777" w:rsidR="00464C30" w:rsidRPr="00464C30" w:rsidRDefault="00464C30" w:rsidP="00464C30"/>
    <w:p w14:paraId="6965C3DB" w14:textId="77777777" w:rsidR="00370DA6" w:rsidRDefault="00370DA6" w:rsidP="00370DA6">
      <w:pPr>
        <w:pStyle w:val="Heading3"/>
        <w:spacing w:before="240"/>
      </w:pPr>
      <w:bookmarkStart w:id="844" w:name="_Toc4084253"/>
      <w:bookmarkStart w:id="845" w:name="_Toc10703533"/>
      <w:r>
        <w:t>Cost Recovery Assessment</w:t>
      </w:r>
      <w:bookmarkEnd w:id="844"/>
      <w:bookmarkEnd w:id="845"/>
    </w:p>
    <w:p w14:paraId="0017AADD" w14:textId="41B515B5" w:rsidR="00370DA6" w:rsidRDefault="00370DA6" w:rsidP="00370DA6">
      <w:pPr>
        <w:pStyle w:val="TextPara"/>
      </w:pPr>
      <w:r w:rsidRPr="008422B1">
        <w:t>Applying DTF</w:t>
      </w:r>
      <w:r>
        <w:t>s</w:t>
      </w:r>
      <w:r w:rsidRPr="008422B1">
        <w:t xml:space="preserve"> </w:t>
      </w:r>
      <w:r>
        <w:t xml:space="preserve">full </w:t>
      </w:r>
      <w:r w:rsidRPr="008422B1">
        <w:t>cost recovery</w:t>
      </w:r>
      <w:r>
        <w:t xml:space="preserve"> objective</w:t>
      </w:r>
      <w:r w:rsidRPr="008422B1">
        <w:t>, the total cost to deliver these services ($</w:t>
      </w:r>
      <w:r>
        <w:t>2.</w:t>
      </w:r>
      <w:r w:rsidR="004603E5">
        <w:t>5</w:t>
      </w:r>
      <w:r w:rsidR="005B092A">
        <w:t>3</w:t>
      </w:r>
      <w:r w:rsidRPr="008422B1">
        <w:t>m) should be</w:t>
      </w:r>
      <w:r w:rsidRPr="00B238CA">
        <w:t xml:space="preserve"> borne by those who </w:t>
      </w:r>
      <w:r>
        <w:t xml:space="preserve">consume the service due to the discretionary nature of the service being consumed. To achieve full cost recovery, </w:t>
      </w:r>
      <w:r w:rsidRPr="00D033E4">
        <w:t>the current fees</w:t>
      </w:r>
      <w:r w:rsidRPr="001044A7">
        <w:t xml:space="preserve"> </w:t>
      </w:r>
      <w:r w:rsidRPr="00D033E4">
        <w:t xml:space="preserve">would </w:t>
      </w:r>
      <w:r>
        <w:t>need to be decreased by</w:t>
      </w:r>
      <w:r w:rsidRPr="00D033E4">
        <w:t xml:space="preserve"> </w:t>
      </w:r>
      <w:r w:rsidR="005B092A">
        <w:t>4.6</w:t>
      </w:r>
      <w:r>
        <w:t>%</w:t>
      </w:r>
      <w:r w:rsidRPr="00D033E4">
        <w:t xml:space="preserve"> </w:t>
      </w:r>
      <w:r w:rsidRPr="009C5FEA">
        <w:t xml:space="preserve">and </w:t>
      </w:r>
      <w:r>
        <w:t>set at:</w:t>
      </w:r>
    </w:p>
    <w:p w14:paraId="27028EE4" w14:textId="38BD3655" w:rsidR="00370DA6" w:rsidRDefault="00370DA6" w:rsidP="00370DA6">
      <w:pPr>
        <w:pStyle w:val="Bullet1-Black"/>
        <w:tabs>
          <w:tab w:val="right" w:pos="5103"/>
        </w:tabs>
      </w:pPr>
      <w:r w:rsidRPr="003C46AC">
        <w:lastRenderedPageBreak/>
        <w:t>Certificate under section 84(1) of the Act</w:t>
      </w:r>
      <w:r>
        <w:tab/>
        <w:t xml:space="preserve"> </w:t>
      </w:r>
      <w:r>
        <w:tab/>
      </w:r>
      <w:r w:rsidRPr="008422B1">
        <w:t>$</w:t>
      </w:r>
      <w:r w:rsidR="00035B89">
        <w:t xml:space="preserve">  9.</w:t>
      </w:r>
      <w:r w:rsidR="005B092A">
        <w:t>1</w:t>
      </w:r>
      <w:r w:rsidR="00035B89">
        <w:t>0</w:t>
      </w:r>
      <w:r w:rsidR="00C3718A">
        <w:t xml:space="preserve"> (</w:t>
      </w:r>
      <w:r>
        <w:t>$</w:t>
      </w:r>
      <w:r w:rsidR="00035B89">
        <w:t xml:space="preserve">  </w:t>
      </w:r>
      <w:r>
        <w:t>9.</w:t>
      </w:r>
      <w:r w:rsidR="005B092A">
        <w:t>5</w:t>
      </w:r>
      <w:r>
        <w:t>0</w:t>
      </w:r>
      <w:r w:rsidR="00C3718A">
        <w:t xml:space="preserve"> fee in FY1</w:t>
      </w:r>
      <w:r w:rsidR="005B092A">
        <w:t>9</w:t>
      </w:r>
      <w:r w:rsidR="00C3718A">
        <w:t>/</w:t>
      </w:r>
      <w:r w:rsidR="005B092A">
        <w:t>20</w:t>
      </w:r>
      <w:r>
        <w:t>)</w:t>
      </w:r>
    </w:p>
    <w:p w14:paraId="283099EC" w14:textId="169D7C30" w:rsidR="00370DA6" w:rsidRPr="008422B1" w:rsidRDefault="00370DA6" w:rsidP="00370DA6">
      <w:pPr>
        <w:pStyle w:val="Bullet1-Black"/>
        <w:tabs>
          <w:tab w:val="right" w:pos="5103"/>
        </w:tabs>
      </w:pPr>
      <w:r w:rsidRPr="003C46AC">
        <w:t>Extract of current information</w:t>
      </w:r>
      <w:r w:rsidRPr="008422B1">
        <w:tab/>
      </w:r>
      <w:r>
        <w:tab/>
      </w:r>
      <w:r w:rsidR="008E3034">
        <w:t>$</w:t>
      </w:r>
      <w:r w:rsidR="00035B89">
        <w:t xml:space="preserve">  9.</w:t>
      </w:r>
      <w:r w:rsidR="005B092A">
        <w:t>1</w:t>
      </w:r>
      <w:r w:rsidR="00035B89">
        <w:t>0</w:t>
      </w:r>
      <w:r w:rsidR="00C3718A">
        <w:t xml:space="preserve"> (</w:t>
      </w:r>
      <w:r>
        <w:t>$</w:t>
      </w:r>
      <w:r w:rsidR="00035B89">
        <w:t xml:space="preserve">  </w:t>
      </w:r>
      <w:r>
        <w:t>9.</w:t>
      </w:r>
      <w:r w:rsidR="005B092A">
        <w:t>5</w:t>
      </w:r>
      <w:r>
        <w:t>0</w:t>
      </w:r>
      <w:r w:rsidR="00C3718A">
        <w:t xml:space="preserve"> fee in </w:t>
      </w:r>
      <w:r w:rsidR="005B092A">
        <w:t>FY19/20</w:t>
      </w:r>
      <w:r>
        <w:t>)</w:t>
      </w:r>
    </w:p>
    <w:p w14:paraId="6B8DB2B9" w14:textId="20D3BF8B" w:rsidR="00370DA6" w:rsidRPr="008422B1" w:rsidRDefault="00370DA6" w:rsidP="00370DA6">
      <w:pPr>
        <w:pStyle w:val="Bullet1-Black"/>
        <w:tabs>
          <w:tab w:val="right" w:pos="5103"/>
        </w:tabs>
      </w:pPr>
      <w:r w:rsidRPr="003C46AC">
        <w:t>Extract of historical information</w:t>
      </w:r>
      <w:r>
        <w:tab/>
      </w:r>
      <w:r w:rsidRPr="008422B1">
        <w:tab/>
      </w:r>
      <w:r w:rsidRPr="00E15321">
        <w:t>$</w:t>
      </w:r>
      <w:r>
        <w:t>1</w:t>
      </w:r>
      <w:r w:rsidR="005B092A">
        <w:t>8</w:t>
      </w:r>
      <w:r w:rsidRPr="008422B1">
        <w:t>.</w:t>
      </w:r>
      <w:r w:rsidR="005B092A">
        <w:t>4</w:t>
      </w:r>
      <w:r>
        <w:t>0</w:t>
      </w:r>
      <w:r w:rsidR="00C3718A">
        <w:t xml:space="preserve"> (</w:t>
      </w:r>
      <w:r>
        <w:t>$1</w:t>
      </w:r>
      <w:r w:rsidR="005B092A">
        <w:t>9.30</w:t>
      </w:r>
      <w:r w:rsidR="00C3718A" w:rsidRPr="00C3718A">
        <w:t xml:space="preserve"> </w:t>
      </w:r>
      <w:r w:rsidR="00C3718A">
        <w:t xml:space="preserve">fee in </w:t>
      </w:r>
      <w:r w:rsidR="005B092A">
        <w:t>FY19/20</w:t>
      </w:r>
      <w:r>
        <w:t>)</w:t>
      </w:r>
    </w:p>
    <w:p w14:paraId="360E41B1" w14:textId="77777777" w:rsidR="00370DA6" w:rsidRDefault="00370DA6" w:rsidP="00370DA6">
      <w:pPr>
        <w:pStyle w:val="TextPara"/>
      </w:pPr>
      <w:r>
        <w:t>Assessing the full fee against the other criteria the following was determined:</w:t>
      </w:r>
    </w:p>
    <w:p w14:paraId="5BFAFF16" w14:textId="77777777" w:rsidR="00370DA6" w:rsidRPr="00B238CA" w:rsidRDefault="00370DA6" w:rsidP="00370DA6">
      <w:pPr>
        <w:pStyle w:val="NoSpacing"/>
      </w:pPr>
      <w:r w:rsidRPr="00B238CA">
        <w:t>Operational Efficiency</w:t>
      </w:r>
    </w:p>
    <w:p w14:paraId="4718DC63" w14:textId="300B7172" w:rsidR="00370DA6" w:rsidRDefault="00370DA6">
      <w:pPr>
        <w:pStyle w:val="TextPara"/>
      </w:pPr>
      <w:r>
        <w:t>DoT considers that this service is delivered efficiently. This service is accessible through all three customer service channels being CSC, telephone and online. Most reports can be generated automatically with some requiring data analysts to prepare. There are mechanisms in place to identify these and assign them to subject matter experts in that field to efficiently generate the report.</w:t>
      </w:r>
    </w:p>
    <w:p w14:paraId="1FCBA34D" w14:textId="77777777" w:rsidR="00370DA6" w:rsidRDefault="00370DA6" w:rsidP="00370DA6">
      <w:pPr>
        <w:pStyle w:val="TextPara"/>
      </w:pPr>
      <w:r>
        <w:t>Charging a fee at full cost recovery will not impact how this service is delivered. If these fees were to be charged at a partial rate or zero rate it may result in the services (becoming undervalued and in their frivolous use which would negatively impact costs and staffing allocation.</w:t>
      </w:r>
    </w:p>
    <w:p w14:paraId="62447293" w14:textId="77777777" w:rsidR="00370DA6" w:rsidRDefault="00370DA6" w:rsidP="00370DA6">
      <w:pPr>
        <w:pStyle w:val="NoSpacing"/>
      </w:pPr>
      <w:r w:rsidRPr="00B238CA">
        <w:t xml:space="preserve">Simplicity </w:t>
      </w:r>
    </w:p>
    <w:p w14:paraId="76EC54AE" w14:textId="77777777" w:rsidR="00370DA6" w:rsidRDefault="00370DA6" w:rsidP="00370DA6">
      <w:pPr>
        <w:pStyle w:val="TextPara"/>
      </w:pPr>
      <w:r>
        <w:t>Charging a flat fee at full or partial cost recovery would be more complex than not charging any fee. However, this would be less complex than charging a partial fee if there is some discretion as to the application of a fee (e.g. concession entitlement).</w:t>
      </w:r>
    </w:p>
    <w:p w14:paraId="63798AE6" w14:textId="0B7E63B3" w:rsidR="00370DA6" w:rsidRDefault="00370DA6" w:rsidP="00370DA6">
      <w:pPr>
        <w:pStyle w:val="TextPara"/>
      </w:pPr>
      <w:r>
        <w:t xml:space="preserve">Whilst there </w:t>
      </w:r>
      <w:r w:rsidR="00401129">
        <w:t>are</w:t>
      </w:r>
      <w:r>
        <w:t xml:space="preserve"> variation</w:t>
      </w:r>
      <w:r w:rsidR="00C908C1">
        <w:t>s</w:t>
      </w:r>
      <w:r>
        <w:t xml:space="preserve"> in effort to produce extracts and</w:t>
      </w:r>
      <w:r w:rsidRPr="003F6303">
        <w:t xml:space="preserve"> </w:t>
      </w:r>
      <w:r>
        <w:t xml:space="preserve">reports, </w:t>
      </w:r>
      <w:r w:rsidRPr="009F6952">
        <w:t xml:space="preserve">charging a variable fee </w:t>
      </w:r>
      <w:r>
        <w:t xml:space="preserve">for this service </w:t>
      </w:r>
      <w:r w:rsidRPr="009F6952">
        <w:t xml:space="preserve">would </w:t>
      </w:r>
      <w:r>
        <w:t>add</w:t>
      </w:r>
      <w:r w:rsidRPr="009F6952">
        <w:t xml:space="preserve"> complex</w:t>
      </w:r>
      <w:r>
        <w:t xml:space="preserve">ity. Although charging </w:t>
      </w:r>
      <w:r w:rsidRPr="009F6952">
        <w:t xml:space="preserve">a flat fee may be inequitable </w:t>
      </w:r>
      <w:r>
        <w:t>as</w:t>
      </w:r>
      <w:r w:rsidRPr="009F6952">
        <w:t xml:space="preserve"> some cross-subsidisation </w:t>
      </w:r>
      <w:r>
        <w:t xml:space="preserve">would </w:t>
      </w:r>
      <w:r w:rsidRPr="009F6952">
        <w:t>occur</w:t>
      </w:r>
      <w:r>
        <w:t>,</w:t>
      </w:r>
      <w:r w:rsidRPr="009F6952">
        <w:t xml:space="preserve"> </w:t>
      </w:r>
      <w:r>
        <w:t>customers see all product variations as the same product and, as such, would be appropriate to charge a flat fee to minimise complexity.</w:t>
      </w:r>
    </w:p>
    <w:p w14:paraId="48D284C7" w14:textId="77777777" w:rsidR="00370DA6" w:rsidRDefault="00370DA6" w:rsidP="00370DA6">
      <w:pPr>
        <w:pStyle w:val="NoSpacing"/>
      </w:pPr>
      <w:r w:rsidRPr="00B238CA">
        <w:t>Customer Behaviours</w:t>
      </w:r>
    </w:p>
    <w:p w14:paraId="4F3C9D5C" w14:textId="77777777" w:rsidR="00370DA6" w:rsidRDefault="00370DA6" w:rsidP="00370DA6">
      <w:pPr>
        <w:pStyle w:val="TextPara"/>
      </w:pPr>
      <w:r>
        <w:t>Charging a fee at full cost recovery optimises the way this service is delivered. A fee ensures the customer values the service and is unlikely to be frivolous in the demand for the service. These fees are not prohibitive, so will not prevent access to extracts by all customers.</w:t>
      </w:r>
    </w:p>
    <w:p w14:paraId="636DAECE" w14:textId="77777777" w:rsidR="00370DA6" w:rsidRDefault="00370DA6" w:rsidP="00370DA6">
      <w:pPr>
        <w:pStyle w:val="NoSpacing"/>
      </w:pPr>
      <w:r w:rsidRPr="003E2451">
        <w:t>Equity</w:t>
      </w:r>
    </w:p>
    <w:p w14:paraId="01D8139E" w14:textId="77777777" w:rsidR="00370DA6" w:rsidRDefault="00370DA6" w:rsidP="00370DA6">
      <w:pPr>
        <w:pStyle w:val="TextPara"/>
      </w:pPr>
      <w:r>
        <w:t xml:space="preserve">Charging a fee at full cost recovery promotes an equitable outcome as it ensures that the cost of the service is fully </w:t>
      </w:r>
      <w:r w:rsidRPr="00B238CA">
        <w:t xml:space="preserve">borne by those who </w:t>
      </w:r>
      <w:r>
        <w:t xml:space="preserve">consume the service. As the customers of this service are the sole beneficiaries of the service, it is appropriate for them to bear the cost of the service rather than have tax payers subsidise it. </w:t>
      </w:r>
    </w:p>
    <w:p w14:paraId="597554C3" w14:textId="77777777" w:rsidR="00370DA6" w:rsidRDefault="00370DA6" w:rsidP="00370DA6">
      <w:pPr>
        <w:pStyle w:val="Heading3"/>
        <w:spacing w:before="240"/>
      </w:pPr>
      <w:bookmarkStart w:id="846" w:name="_Toc4084254"/>
      <w:bookmarkStart w:id="847" w:name="_Toc10703534"/>
      <w:r w:rsidRPr="001A3B18">
        <w:t>Proposal</w:t>
      </w:r>
      <w:bookmarkEnd w:id="846"/>
      <w:bookmarkEnd w:id="847"/>
    </w:p>
    <w:p w14:paraId="406997F2" w14:textId="3408F3F6" w:rsidR="00370DA6" w:rsidRDefault="00324314" w:rsidP="00370DA6">
      <w:pPr>
        <w:pStyle w:val="Bullet2-Green"/>
        <w:numPr>
          <w:ilvl w:val="0"/>
          <w:numId w:val="0"/>
        </w:numPr>
      </w:pPr>
      <w:r>
        <w:t xml:space="preserve">The </w:t>
      </w:r>
      <w:r w:rsidR="00370DA6">
        <w:t>above analysis suggests that full cost recovery should be applied to these services</w:t>
      </w:r>
      <w:r>
        <w:t>.</w:t>
      </w:r>
      <w:r w:rsidR="00370DA6">
        <w:t xml:space="preserve"> To achieve full cost recovery would require a reduction of </w:t>
      </w:r>
      <w:r w:rsidR="005B092A">
        <w:t>4.6</w:t>
      </w:r>
      <w:r w:rsidR="00370DA6">
        <w:t>% across all fees (totalling $0.1</w:t>
      </w:r>
      <w:r w:rsidR="005B092A">
        <w:t>2</w:t>
      </w:r>
      <w:r w:rsidR="00370DA6">
        <w:t>m</w:t>
      </w:r>
      <w:r w:rsidR="00370DA6" w:rsidRPr="00FA0A81">
        <w:t xml:space="preserve"> </w:t>
      </w:r>
      <w:r w:rsidR="004C1EBD">
        <w:t>per annum</w:t>
      </w:r>
      <w:r w:rsidR="00370DA6">
        <w:t>).</w:t>
      </w:r>
      <w:r w:rsidR="00035B89">
        <w:t xml:space="preserve"> </w:t>
      </w:r>
      <w:r w:rsidR="003970FF">
        <w:t>Given that the change required to achieve full cost recovery is minimal, t</w:t>
      </w:r>
      <w:r w:rsidR="00370DA6">
        <w:t xml:space="preserve">he government intends to retain the fees for these services at the current fee levels </w:t>
      </w:r>
      <w:r>
        <w:t>to maintain stability and for predictability.</w:t>
      </w:r>
    </w:p>
    <w:p w14:paraId="2DF6FE26" w14:textId="77777777" w:rsidR="00370DA6" w:rsidRDefault="00370DA6" w:rsidP="003970FF">
      <w:pPr>
        <w:pStyle w:val="Bullet2-Green"/>
        <w:numPr>
          <w:ilvl w:val="0"/>
          <w:numId w:val="0"/>
        </w:numPr>
      </w:pPr>
      <w:r>
        <w:t>Accordingly, DoT proposes that no change be made to the fees currently charged for these services in the proposed Regulations.</w:t>
      </w:r>
    </w:p>
    <w:p w14:paraId="7780CC78" w14:textId="77777777" w:rsidR="00370DA6" w:rsidRDefault="00370DA6" w:rsidP="00370DA6">
      <w:pPr>
        <w:pStyle w:val="Heading1"/>
        <w:pageBreakBefore/>
        <w:spacing w:before="240" w:after="240"/>
        <w:sectPr w:rsidR="00370DA6" w:rsidSect="00910C49">
          <w:headerReference w:type="even" r:id="rId72"/>
          <w:headerReference w:type="default" r:id="rId73"/>
          <w:headerReference w:type="first" r:id="rId74"/>
          <w:endnotePr>
            <w:numFmt w:val="decimal"/>
          </w:endnotePr>
          <w:pgSz w:w="11906" w:h="16838" w:code="9"/>
          <w:pgMar w:top="1418" w:right="1134" w:bottom="1418" w:left="1247" w:header="567" w:footer="397" w:gutter="0"/>
          <w:cols w:space="708"/>
          <w:docGrid w:linePitch="360"/>
        </w:sectPr>
      </w:pPr>
    </w:p>
    <w:p w14:paraId="2331218A" w14:textId="77777777" w:rsidR="00370DA6" w:rsidRDefault="00370DA6" w:rsidP="00370DA6">
      <w:pPr>
        <w:pStyle w:val="Heading1"/>
        <w:pageBreakBefore/>
        <w:spacing w:before="240" w:after="240"/>
      </w:pPr>
      <w:bookmarkStart w:id="848" w:name="_Toc4084255"/>
      <w:bookmarkStart w:id="849" w:name="_Ref4415886"/>
      <w:bookmarkStart w:id="850" w:name="_Toc10703535"/>
      <w:bookmarkStart w:id="851" w:name="_Hlk4506780"/>
      <w:r w:rsidRPr="00851D4E">
        <w:lastRenderedPageBreak/>
        <w:t>Permissions Groups Assessment</w:t>
      </w:r>
      <w:bookmarkEnd w:id="848"/>
      <w:bookmarkEnd w:id="849"/>
      <w:bookmarkEnd w:id="850"/>
    </w:p>
    <w:p w14:paraId="2EE06E0C" w14:textId="56DA66DB" w:rsidR="00370DA6" w:rsidRPr="0015471F" w:rsidRDefault="00370DA6" w:rsidP="00370DA6">
      <w:pPr>
        <w:pStyle w:val="TextPara"/>
      </w:pPr>
      <w:r w:rsidRPr="00B238CA">
        <w:t xml:space="preserve">Rather than the provision of a service to customers, Permissions Groups secure the customer a permission </w:t>
      </w:r>
      <w:r>
        <w:t>to undertake an activity, which, in the case of the proposed Regulations, is driving a vehicle or riding a motorcycle using a learner permit</w:t>
      </w:r>
      <w:r w:rsidRPr="00B238CA">
        <w:t>. Section 95(6)</w:t>
      </w:r>
      <w:r>
        <w:t xml:space="preserve"> of the</w:t>
      </w:r>
      <w:r w:rsidRPr="00B238CA">
        <w:t xml:space="preserve"> </w:t>
      </w:r>
      <w:r w:rsidRPr="00B238CA">
        <w:rPr>
          <w:i/>
        </w:rPr>
        <w:t>RSA</w:t>
      </w:r>
      <w:r w:rsidRPr="00B238CA">
        <w:t xml:space="preserve"> </w:t>
      </w:r>
      <w:r>
        <w:t>enables the imposition of a fee by regulation in relation to driver licences or learner permits that is not limited to an amount that is related to the cost of providing a service</w:t>
      </w:r>
      <w:r w:rsidRPr="00B238CA">
        <w:t>.</w:t>
      </w:r>
      <w:r>
        <w:t xml:space="preserve"> There is another permission relating to driving being the grant or renewal of a driver licence</w:t>
      </w:r>
      <w:r w:rsidR="009901C6">
        <w:t>,</w:t>
      </w:r>
      <w:r>
        <w:t xml:space="preserve"> </w:t>
      </w:r>
      <w:r w:rsidR="009901C6">
        <w:t>t</w:t>
      </w:r>
      <w:r>
        <w:t xml:space="preserve">he fee for </w:t>
      </w:r>
      <w:r w:rsidR="009901C6">
        <w:t>which</w:t>
      </w:r>
      <w:r w:rsidRPr="00F0370B">
        <w:t xml:space="preserve"> </w:t>
      </w:r>
      <w:r>
        <w:t xml:space="preserve">is set by </w:t>
      </w:r>
      <w:r w:rsidR="009901C6">
        <w:t xml:space="preserve">section </w:t>
      </w:r>
      <w:r>
        <w:t xml:space="preserve">21A of the </w:t>
      </w:r>
      <w:r w:rsidRPr="00ED27AB">
        <w:rPr>
          <w:i/>
        </w:rPr>
        <w:t>RSA</w:t>
      </w:r>
      <w:r w:rsidR="00C45A54">
        <w:t>.</w:t>
      </w:r>
    </w:p>
    <w:p w14:paraId="72EA7DB3" w14:textId="77777777" w:rsidR="00370DA6" w:rsidRPr="00117C96" w:rsidRDefault="00370DA6" w:rsidP="00370DA6">
      <w:pPr>
        <w:pStyle w:val="Heading2"/>
        <w:spacing w:before="240" w:after="180"/>
      </w:pPr>
      <w:bookmarkStart w:id="852" w:name="_Toc4084256"/>
      <w:bookmarkStart w:id="853" w:name="_Toc10703536"/>
      <w:r w:rsidRPr="00354E57">
        <w:t>Learner</w:t>
      </w:r>
      <w:r>
        <w:t xml:space="preserve"> Permit Permission</w:t>
      </w:r>
      <w:bookmarkEnd w:id="852"/>
      <w:bookmarkEnd w:id="853"/>
    </w:p>
    <w:p w14:paraId="28E536D6" w14:textId="77777777" w:rsidR="001C2C62" w:rsidRDefault="001C2C62" w:rsidP="001C2C62">
      <w:pPr>
        <w:pStyle w:val="Heading3"/>
        <w:spacing w:before="240"/>
      </w:pPr>
      <w:bookmarkStart w:id="854" w:name="_Toc10703537"/>
      <w:r>
        <w:t>Permission</w:t>
      </w:r>
      <w:r w:rsidRPr="00117C96">
        <w:t xml:space="preserve"> </w:t>
      </w:r>
      <w:r w:rsidRPr="00F232C4">
        <w:t>Overview</w:t>
      </w:r>
      <w:bookmarkEnd w:id="854"/>
    </w:p>
    <w:p w14:paraId="7C757E7D" w14:textId="7424B1F3" w:rsidR="001C2C62" w:rsidRDefault="001C2C62" w:rsidP="001C2C62">
      <w:pPr>
        <w:pStyle w:val="TextPara"/>
      </w:pPr>
      <w:r w:rsidRPr="00117C96">
        <w:t xml:space="preserve">The fee charged for </w:t>
      </w:r>
      <w:r>
        <w:t>a</w:t>
      </w:r>
      <w:r w:rsidRPr="00117C96">
        <w:t xml:space="preserve"> learner permit </w:t>
      </w:r>
      <w:r>
        <w:t xml:space="preserve">is consistent with the </w:t>
      </w:r>
      <w:r w:rsidRPr="00117C96">
        <w:t xml:space="preserve">annual </w:t>
      </w:r>
      <w:r>
        <w:t>fee for</w:t>
      </w:r>
      <w:r w:rsidRPr="00117C96">
        <w:t xml:space="preserve"> a </w:t>
      </w:r>
      <w:r>
        <w:t xml:space="preserve">driver </w:t>
      </w:r>
      <w:r w:rsidRPr="00117C96">
        <w:t>licence</w:t>
      </w:r>
      <w:r>
        <w:t>, as the learner permit is a form of restricted licence.  The learner permit fee is set at a rate proportional to the licence fee. Whilst a learner permit is valid for 10 years,</w:t>
      </w:r>
      <w:r w:rsidDel="00EC2DA1">
        <w:t xml:space="preserve"> </w:t>
      </w:r>
      <w:r>
        <w:t xml:space="preserve">learners are required to hold a Permit for a minimum of 12 months. </w:t>
      </w:r>
    </w:p>
    <w:p w14:paraId="42827DF1" w14:textId="4086C8BF" w:rsidR="001C2C62" w:rsidRDefault="001C2C62" w:rsidP="001C2C62">
      <w:pPr>
        <w:pStyle w:val="TextPara"/>
      </w:pPr>
      <w:r w:rsidRPr="00117C96">
        <w:t>In 201</w:t>
      </w:r>
      <w:r w:rsidR="00813F89">
        <w:t>9</w:t>
      </w:r>
      <w:r w:rsidRPr="00117C96">
        <w:t>/</w:t>
      </w:r>
      <w:r w:rsidR="00813F89">
        <w:t>20</w:t>
      </w:r>
      <w:r w:rsidRPr="00117C96">
        <w:t xml:space="preserve"> the learner permit fee of $24.</w:t>
      </w:r>
      <w:r w:rsidR="004D6EE5">
        <w:t>6</w:t>
      </w:r>
      <w:r w:rsidRPr="00117C96">
        <w:t xml:space="preserve">0 (1.7 fee units) compares </w:t>
      </w:r>
      <w:r>
        <w:t xml:space="preserve">on a pro-rata basis </w:t>
      </w:r>
      <w:r w:rsidRPr="00117C96">
        <w:t>with</w:t>
      </w:r>
      <w:r w:rsidR="004D6EE5">
        <w:t xml:space="preserve"> </w:t>
      </w:r>
      <w:r w:rsidRPr="00117C96">
        <w:t>a 10-year licence of $27</w:t>
      </w:r>
      <w:r w:rsidR="004D6EE5">
        <w:t>6</w:t>
      </w:r>
      <w:r w:rsidRPr="00117C96">
        <w:t>.</w:t>
      </w:r>
      <w:r w:rsidR="004D6EE5">
        <w:t>7</w:t>
      </w:r>
      <w:r w:rsidRPr="00117C96">
        <w:t>0 ($27.</w:t>
      </w:r>
      <w:r w:rsidR="004D6EE5">
        <w:t>67</w:t>
      </w:r>
      <w:r w:rsidRPr="00117C96">
        <w:t xml:space="preserve"> annually).</w:t>
      </w:r>
    </w:p>
    <w:p w14:paraId="23265C32" w14:textId="77777777" w:rsidR="001C2C62" w:rsidRDefault="001C2C62" w:rsidP="001C2C62">
      <w:pPr>
        <w:pStyle w:val="TextPara"/>
      </w:pPr>
      <w:r>
        <w:t xml:space="preserve">Learner </w:t>
      </w:r>
      <w:r w:rsidR="00C45A54">
        <w:t xml:space="preserve">permit administration costs </w:t>
      </w:r>
      <w:r>
        <w:t xml:space="preserve">are incurred to support the collection of the fees associated with the issue and renewal of </w:t>
      </w:r>
      <w:r w:rsidR="00C45A54">
        <w:t>learner permits</w:t>
      </w:r>
      <w:r>
        <w:t>.</w:t>
      </w:r>
    </w:p>
    <w:p w14:paraId="11ABB53F" w14:textId="260FC4EE" w:rsidR="00370DA6" w:rsidRPr="00342389" w:rsidRDefault="009C3740" w:rsidP="00370DA6">
      <w:pPr>
        <w:pStyle w:val="TextPara"/>
      </w:pPr>
      <w:r>
        <w:fldChar w:fldCharType="begin"/>
      </w:r>
      <w:r>
        <w:instrText xml:space="preserve"> REF _Ref4415293 \h </w:instrText>
      </w:r>
      <w:r>
        <w:fldChar w:fldCharType="separate"/>
      </w:r>
      <w:r w:rsidR="00EB4B02">
        <w:t xml:space="preserve">Table </w:t>
      </w:r>
      <w:r w:rsidR="00EB4B02">
        <w:rPr>
          <w:noProof/>
        </w:rPr>
        <w:t>67</w:t>
      </w:r>
      <w:r>
        <w:fldChar w:fldCharType="end"/>
      </w:r>
      <w:r>
        <w:t xml:space="preserve"> </w:t>
      </w:r>
      <w:r w:rsidR="00370DA6" w:rsidRPr="009F0BE5">
        <w:t>l</w:t>
      </w:r>
      <w:r w:rsidR="00370DA6">
        <w:t>ists the individual fees for these</w:t>
      </w:r>
      <w:r w:rsidR="00370DA6" w:rsidRPr="0096761E">
        <w:t xml:space="preserve"> </w:t>
      </w:r>
      <w:r w:rsidR="00370DA6">
        <w:t>permissions</w:t>
      </w:r>
      <w:r w:rsidR="00370DA6" w:rsidRPr="0096761E">
        <w:t xml:space="preserve"> </w:t>
      </w:r>
      <w:r w:rsidR="00370DA6">
        <w:t>at</w:t>
      </w:r>
      <w:r w:rsidR="00370DA6" w:rsidRPr="0096761E">
        <w:t xml:space="preserve"> the current fee rates. </w:t>
      </w:r>
      <w:r w:rsidR="00370DA6">
        <w:t xml:space="preserve">It shows the average annual </w:t>
      </w:r>
      <w:r w:rsidR="00370DA6" w:rsidRPr="0096761E">
        <w:t>fee recoveries for the forecast period (FY19/20 to FY22/23</w:t>
      </w:r>
      <w:r w:rsidR="00370DA6">
        <w:t xml:space="preserve">) </w:t>
      </w:r>
      <w:r w:rsidR="000E0615">
        <w:rPr>
          <w:rFonts w:cs="Segoe UI"/>
          <w:szCs w:val="20"/>
        </w:rPr>
        <w:t>based on the published FY19/20 fee rate of $14.81 which is modelled as the PV rate for the period.</w:t>
      </w:r>
    </w:p>
    <w:p w14:paraId="0354E584" w14:textId="5C8E7F5D" w:rsidR="00370DA6" w:rsidRDefault="00370DA6" w:rsidP="00370DA6">
      <w:pPr>
        <w:pStyle w:val="Caption"/>
      </w:pPr>
      <w:bookmarkStart w:id="855" w:name="_Ref4415293"/>
      <w:bookmarkStart w:id="856" w:name="_Toc4084351"/>
      <w:bookmarkStart w:id="857" w:name="_Toc10703760"/>
      <w:r>
        <w:t xml:space="preserve">Table </w:t>
      </w:r>
      <w:r>
        <w:rPr>
          <w:noProof/>
        </w:rPr>
        <w:fldChar w:fldCharType="begin"/>
      </w:r>
      <w:r>
        <w:rPr>
          <w:noProof/>
        </w:rPr>
        <w:instrText xml:space="preserve"> SEQ Table \* ARABIC </w:instrText>
      </w:r>
      <w:r>
        <w:rPr>
          <w:noProof/>
        </w:rPr>
        <w:fldChar w:fldCharType="separate"/>
      </w:r>
      <w:r w:rsidR="00EB4B02">
        <w:rPr>
          <w:noProof/>
        </w:rPr>
        <w:t>67</w:t>
      </w:r>
      <w:r>
        <w:rPr>
          <w:noProof/>
        </w:rPr>
        <w:fldChar w:fldCharType="end"/>
      </w:r>
      <w:bookmarkEnd w:id="855"/>
      <w:r>
        <w:t xml:space="preserve"> – Fee Income: Learner Permits</w:t>
      </w:r>
      <w:bookmarkEnd w:id="856"/>
      <w:bookmarkEnd w:id="857"/>
    </w:p>
    <w:tbl>
      <w:tblPr>
        <w:tblStyle w:val="RIS-Table2"/>
        <w:tblW w:w="9634" w:type="dxa"/>
        <w:tblLayout w:type="fixed"/>
        <w:tblLook w:val="04A0" w:firstRow="1" w:lastRow="0" w:firstColumn="1" w:lastColumn="0" w:noHBand="0" w:noVBand="1"/>
      </w:tblPr>
      <w:tblGrid>
        <w:gridCol w:w="1134"/>
        <w:gridCol w:w="3402"/>
        <w:gridCol w:w="1134"/>
        <w:gridCol w:w="1129"/>
        <w:gridCol w:w="1418"/>
        <w:gridCol w:w="1417"/>
      </w:tblGrid>
      <w:tr w:rsidR="005D2F5F" w:rsidRPr="00117C96" w14:paraId="11BBEE82" w14:textId="77777777" w:rsidTr="0054388F">
        <w:trPr>
          <w:cnfStyle w:val="100000000000" w:firstRow="1" w:lastRow="0" w:firstColumn="0" w:lastColumn="0" w:oddVBand="0" w:evenVBand="0" w:oddHBand="0" w:evenHBand="0" w:firstRowFirstColumn="0" w:firstRowLastColumn="0" w:lastRowFirstColumn="0" w:lastRowLastColumn="0"/>
        </w:trPr>
        <w:tc>
          <w:tcPr>
            <w:tcW w:w="1134" w:type="dxa"/>
          </w:tcPr>
          <w:p w14:paraId="7DD44D48" w14:textId="77777777" w:rsidR="005D2F5F" w:rsidRPr="00117C96" w:rsidRDefault="005D2F5F" w:rsidP="006745DD">
            <w:pPr>
              <w:pStyle w:val="TableHeaders"/>
            </w:pPr>
            <w:r>
              <w:t xml:space="preserve">Schedule 6 </w:t>
            </w:r>
          </w:p>
        </w:tc>
        <w:tc>
          <w:tcPr>
            <w:tcW w:w="4536" w:type="dxa"/>
            <w:gridSpan w:val="2"/>
            <w:vMerge w:val="restart"/>
          </w:tcPr>
          <w:p w14:paraId="54A5C2AF" w14:textId="77777777" w:rsidR="005D2F5F" w:rsidRPr="00117C96" w:rsidRDefault="005D2F5F" w:rsidP="006745DD">
            <w:pPr>
              <w:pStyle w:val="TableHeaders"/>
            </w:pPr>
            <w:r w:rsidRPr="00C64741">
              <w:t>Description</w:t>
            </w:r>
            <w:r>
              <w:t xml:space="preserve"> and Regulation Reference</w:t>
            </w:r>
          </w:p>
        </w:tc>
        <w:tc>
          <w:tcPr>
            <w:tcW w:w="1129" w:type="dxa"/>
          </w:tcPr>
          <w:p w14:paraId="762A9368" w14:textId="77777777" w:rsidR="005D2F5F" w:rsidRPr="00117C96" w:rsidRDefault="005D2F5F" w:rsidP="006745DD">
            <w:pPr>
              <w:pStyle w:val="TableHeaders"/>
            </w:pPr>
            <w:r w:rsidRPr="002613BA">
              <w:t xml:space="preserve"> </w:t>
            </w:r>
            <w:r>
              <w:t>Txns pa</w:t>
            </w:r>
          </w:p>
        </w:tc>
        <w:tc>
          <w:tcPr>
            <w:tcW w:w="2835" w:type="dxa"/>
            <w:gridSpan w:val="2"/>
          </w:tcPr>
          <w:p w14:paraId="5A65E2D5" w14:textId="77777777" w:rsidR="005D2F5F" w:rsidRPr="00117C96" w:rsidRDefault="005D2F5F" w:rsidP="006745DD">
            <w:pPr>
              <w:pStyle w:val="TableHeaders"/>
            </w:pPr>
            <w:r>
              <w:t>Recovery (PV)</w:t>
            </w:r>
          </w:p>
        </w:tc>
      </w:tr>
      <w:tr w:rsidR="005D2F5F" w:rsidRPr="009E0BFD" w14:paraId="2ABD2E52" w14:textId="77777777" w:rsidTr="0054388F">
        <w:tc>
          <w:tcPr>
            <w:tcW w:w="1134" w:type="dxa"/>
            <w:shd w:val="clear" w:color="auto" w:fill="0A1F3F"/>
          </w:tcPr>
          <w:p w14:paraId="71B99EA1" w14:textId="77777777" w:rsidR="005D2F5F" w:rsidRPr="009E0BFD" w:rsidRDefault="005D2F5F" w:rsidP="006745DD">
            <w:pPr>
              <w:pStyle w:val="TableParagraph"/>
              <w:jc w:val="center"/>
              <w:rPr>
                <w:b/>
                <w:color w:val="FFFFFF" w:themeColor="background1"/>
              </w:rPr>
            </w:pPr>
            <w:r w:rsidRPr="009E0BFD">
              <w:rPr>
                <w:b/>
                <w:color w:val="FFFFFF" w:themeColor="background1"/>
              </w:rPr>
              <w:t>Item No.</w:t>
            </w:r>
          </w:p>
        </w:tc>
        <w:tc>
          <w:tcPr>
            <w:tcW w:w="4536" w:type="dxa"/>
            <w:gridSpan w:val="2"/>
            <w:vMerge/>
            <w:shd w:val="clear" w:color="auto" w:fill="0A1F3F"/>
          </w:tcPr>
          <w:p w14:paraId="79078989" w14:textId="77777777" w:rsidR="005D2F5F" w:rsidRPr="009E0BFD" w:rsidRDefault="005D2F5F" w:rsidP="006745DD">
            <w:pPr>
              <w:pStyle w:val="TableParagraph"/>
              <w:jc w:val="center"/>
              <w:rPr>
                <w:b/>
                <w:color w:val="FFFFFF" w:themeColor="background1"/>
              </w:rPr>
            </w:pPr>
          </w:p>
        </w:tc>
        <w:tc>
          <w:tcPr>
            <w:tcW w:w="1129" w:type="dxa"/>
            <w:shd w:val="clear" w:color="auto" w:fill="0A1F3F"/>
          </w:tcPr>
          <w:p w14:paraId="31344122" w14:textId="77777777" w:rsidR="005D2F5F" w:rsidRPr="009E0BFD" w:rsidRDefault="005D2F5F" w:rsidP="006745DD">
            <w:pPr>
              <w:pStyle w:val="TableParagraph"/>
              <w:ind w:right="32"/>
              <w:jc w:val="center"/>
              <w:rPr>
                <w:b/>
                <w:color w:val="FFFFFF" w:themeColor="background1"/>
              </w:rPr>
            </w:pPr>
            <w:r w:rsidRPr="009E0BFD">
              <w:rPr>
                <w:b/>
                <w:color w:val="FFFFFF" w:themeColor="background1"/>
              </w:rPr>
              <w:t>Avg ‘000</w:t>
            </w:r>
          </w:p>
        </w:tc>
        <w:tc>
          <w:tcPr>
            <w:tcW w:w="1418" w:type="dxa"/>
            <w:shd w:val="clear" w:color="auto" w:fill="0A1F3F"/>
          </w:tcPr>
          <w:p w14:paraId="3CB392A3" w14:textId="77777777" w:rsidR="005D2F5F" w:rsidRPr="009E0BFD" w:rsidRDefault="005D2F5F" w:rsidP="006745DD">
            <w:pPr>
              <w:pStyle w:val="TableParagraph"/>
              <w:ind w:right="-17"/>
              <w:jc w:val="center"/>
              <w:rPr>
                <w:b/>
                <w:color w:val="FFFFFF" w:themeColor="background1"/>
              </w:rPr>
            </w:pPr>
            <w:r w:rsidRPr="009E0BFD">
              <w:rPr>
                <w:b/>
                <w:color w:val="FFFFFF" w:themeColor="background1"/>
              </w:rPr>
              <w:t>Fee Rate</w:t>
            </w:r>
          </w:p>
        </w:tc>
        <w:tc>
          <w:tcPr>
            <w:tcW w:w="1417" w:type="dxa"/>
            <w:shd w:val="clear" w:color="auto" w:fill="0A1F3F"/>
          </w:tcPr>
          <w:p w14:paraId="500D5686" w14:textId="77777777" w:rsidR="005D2F5F" w:rsidRPr="009E0BFD" w:rsidRDefault="005D2F5F" w:rsidP="006745DD">
            <w:pPr>
              <w:pStyle w:val="TableParagraph"/>
              <w:ind w:right="-17"/>
              <w:jc w:val="center"/>
              <w:rPr>
                <w:b/>
                <w:color w:val="FFFFFF" w:themeColor="background1"/>
              </w:rPr>
            </w:pPr>
            <w:r w:rsidRPr="009E0BFD">
              <w:rPr>
                <w:b/>
                <w:color w:val="FFFFFF" w:themeColor="background1"/>
              </w:rPr>
              <w:t>Revenue ($k)</w:t>
            </w:r>
          </w:p>
        </w:tc>
      </w:tr>
      <w:tr w:rsidR="005D2F5F" w:rsidRPr="004C05D9" w14:paraId="4A868737" w14:textId="77777777" w:rsidTr="0054388F">
        <w:trPr>
          <w:cnfStyle w:val="000000010000" w:firstRow="0" w:lastRow="0" w:firstColumn="0" w:lastColumn="0" w:oddVBand="0" w:evenVBand="0" w:oddHBand="0" w:evenHBand="1" w:firstRowFirstColumn="0" w:firstRowLastColumn="0" w:lastRowFirstColumn="0" w:lastRowLastColumn="0"/>
        </w:trPr>
        <w:tc>
          <w:tcPr>
            <w:tcW w:w="1134" w:type="dxa"/>
            <w:shd w:val="clear" w:color="auto" w:fill="auto"/>
          </w:tcPr>
          <w:p w14:paraId="36A6B8E3" w14:textId="77777777" w:rsidR="005D2F5F" w:rsidRPr="00117C96" w:rsidRDefault="005D2F5F" w:rsidP="006745DD">
            <w:pPr>
              <w:pStyle w:val="TableParagraph"/>
              <w:jc w:val="center"/>
            </w:pPr>
            <w:r>
              <w:t>9</w:t>
            </w:r>
          </w:p>
        </w:tc>
        <w:tc>
          <w:tcPr>
            <w:tcW w:w="3402" w:type="dxa"/>
            <w:shd w:val="clear" w:color="auto" w:fill="auto"/>
          </w:tcPr>
          <w:p w14:paraId="350F9FAD" w14:textId="77777777" w:rsidR="005D2F5F" w:rsidRPr="00C64741" w:rsidRDefault="005D2F5F" w:rsidP="006745DD">
            <w:pPr>
              <w:pStyle w:val="TableParagraph"/>
            </w:pPr>
            <w:r w:rsidRPr="00ED482F">
              <w:t xml:space="preserve">Grant of a </w:t>
            </w:r>
            <w:r>
              <w:t>Motorcycle</w:t>
            </w:r>
            <w:r w:rsidRPr="00ED482F">
              <w:t xml:space="preserve"> learner permit</w:t>
            </w:r>
          </w:p>
        </w:tc>
        <w:tc>
          <w:tcPr>
            <w:tcW w:w="1134" w:type="dxa"/>
            <w:shd w:val="clear" w:color="auto" w:fill="auto"/>
          </w:tcPr>
          <w:p w14:paraId="336D8711" w14:textId="77777777" w:rsidR="005D2F5F" w:rsidRPr="00117C96" w:rsidRDefault="005D2F5F" w:rsidP="006745DD">
            <w:pPr>
              <w:pStyle w:val="TableParagraph"/>
              <w:jc w:val="center"/>
            </w:pPr>
            <w:r w:rsidRPr="00ED482F">
              <w:rPr>
                <w:rFonts w:cs="Segoe UI"/>
                <w:bCs w:val="0"/>
                <w:color w:val="000000"/>
                <w:szCs w:val="18"/>
              </w:rPr>
              <w:t>24(2), 59(2)</w:t>
            </w:r>
          </w:p>
        </w:tc>
        <w:tc>
          <w:tcPr>
            <w:tcW w:w="1129" w:type="dxa"/>
            <w:shd w:val="clear" w:color="auto" w:fill="auto"/>
          </w:tcPr>
          <w:p w14:paraId="0BE35B24" w14:textId="77777777" w:rsidR="005D2F5F" w:rsidRPr="00117C96" w:rsidRDefault="005D2F5F" w:rsidP="006745DD">
            <w:pPr>
              <w:pStyle w:val="TableParagraph"/>
              <w:ind w:right="32"/>
              <w:jc w:val="right"/>
            </w:pPr>
            <w:r>
              <w:t>12.5</w:t>
            </w:r>
          </w:p>
        </w:tc>
        <w:tc>
          <w:tcPr>
            <w:tcW w:w="1418" w:type="dxa"/>
            <w:shd w:val="clear" w:color="auto" w:fill="auto"/>
          </w:tcPr>
          <w:p w14:paraId="2C2C1DE4" w14:textId="77777777" w:rsidR="005D2F5F" w:rsidRDefault="005D2F5F" w:rsidP="006745DD">
            <w:pPr>
              <w:pStyle w:val="TableParagraph"/>
              <w:ind w:right="-17"/>
              <w:jc w:val="right"/>
              <w:rPr>
                <w:rFonts w:cs="Segoe UI"/>
                <w:bCs w:val="0"/>
                <w:color w:val="000000"/>
                <w:szCs w:val="18"/>
              </w:rPr>
            </w:pPr>
            <w:r>
              <w:rPr>
                <w:rFonts w:cs="Segoe UI"/>
                <w:bCs w:val="0"/>
                <w:color w:val="000000"/>
                <w:szCs w:val="18"/>
              </w:rPr>
              <w:t>1.70 fee units</w:t>
            </w:r>
          </w:p>
          <w:p w14:paraId="338374F1" w14:textId="7F262247" w:rsidR="005D2F5F" w:rsidRPr="00117C96" w:rsidRDefault="004D6EE5" w:rsidP="006745DD">
            <w:pPr>
              <w:pStyle w:val="TableParagraph"/>
              <w:ind w:right="-17"/>
              <w:jc w:val="right"/>
            </w:pPr>
            <w:r>
              <w:rPr>
                <w:rFonts w:cs="Segoe UI"/>
                <w:bCs w:val="0"/>
                <w:color w:val="000000"/>
                <w:szCs w:val="18"/>
              </w:rPr>
              <w:t xml:space="preserve">(i.e. </w:t>
            </w:r>
            <w:r w:rsidR="005D2F5F">
              <w:rPr>
                <w:rFonts w:cs="Segoe UI"/>
                <w:bCs w:val="0"/>
                <w:color w:val="000000"/>
                <w:szCs w:val="18"/>
              </w:rPr>
              <w:t>$24.</w:t>
            </w:r>
            <w:r>
              <w:rPr>
                <w:rFonts w:cs="Segoe UI"/>
                <w:bCs w:val="0"/>
                <w:color w:val="000000"/>
                <w:szCs w:val="18"/>
              </w:rPr>
              <w:t>6</w:t>
            </w:r>
            <w:r w:rsidR="005D2F5F">
              <w:rPr>
                <w:rFonts w:cs="Segoe UI"/>
                <w:bCs w:val="0"/>
                <w:color w:val="000000"/>
                <w:szCs w:val="18"/>
              </w:rPr>
              <w:t>0</w:t>
            </w:r>
            <w:r>
              <w:rPr>
                <w:rFonts w:cs="Segoe UI"/>
                <w:bCs w:val="0"/>
                <w:color w:val="000000"/>
                <w:szCs w:val="18"/>
              </w:rPr>
              <w:t>)</w:t>
            </w:r>
          </w:p>
        </w:tc>
        <w:tc>
          <w:tcPr>
            <w:tcW w:w="1417" w:type="dxa"/>
            <w:shd w:val="clear" w:color="auto" w:fill="auto"/>
          </w:tcPr>
          <w:p w14:paraId="552A1578" w14:textId="6F1DAC50" w:rsidR="005D2F5F" w:rsidRPr="004C05D9" w:rsidRDefault="005D2F5F" w:rsidP="006745DD">
            <w:pPr>
              <w:pStyle w:val="TableParagraph"/>
              <w:ind w:right="-17"/>
              <w:jc w:val="right"/>
            </w:pPr>
            <w:r>
              <w:t>3</w:t>
            </w:r>
            <w:r w:rsidR="004D6EE5">
              <w:t>15</w:t>
            </w:r>
          </w:p>
        </w:tc>
      </w:tr>
      <w:tr w:rsidR="005D2F5F" w:rsidRPr="004C05D9" w14:paraId="2F68FAF3" w14:textId="77777777" w:rsidTr="0054388F">
        <w:tc>
          <w:tcPr>
            <w:tcW w:w="1134" w:type="dxa"/>
          </w:tcPr>
          <w:p w14:paraId="25FE3507" w14:textId="77777777" w:rsidR="005D2F5F" w:rsidRPr="00117C96" w:rsidRDefault="005D2F5F" w:rsidP="006745DD">
            <w:pPr>
              <w:pStyle w:val="TableParagraph"/>
              <w:jc w:val="center"/>
            </w:pPr>
            <w:r>
              <w:t>10</w:t>
            </w:r>
          </w:p>
        </w:tc>
        <w:tc>
          <w:tcPr>
            <w:tcW w:w="3402" w:type="dxa"/>
          </w:tcPr>
          <w:p w14:paraId="24452489" w14:textId="77777777" w:rsidR="005D2F5F" w:rsidRPr="00C64741" w:rsidRDefault="005D2F5F" w:rsidP="006745DD">
            <w:pPr>
              <w:pStyle w:val="TableParagraph"/>
            </w:pPr>
            <w:r w:rsidRPr="00ED482F">
              <w:t>Grant or renewal of a car learner permit</w:t>
            </w:r>
          </w:p>
        </w:tc>
        <w:tc>
          <w:tcPr>
            <w:tcW w:w="1134" w:type="dxa"/>
          </w:tcPr>
          <w:p w14:paraId="0B977131" w14:textId="77777777" w:rsidR="005D2F5F" w:rsidRPr="00117C96" w:rsidRDefault="005D2F5F" w:rsidP="006745DD">
            <w:pPr>
              <w:pStyle w:val="TableParagraph"/>
              <w:jc w:val="center"/>
            </w:pPr>
            <w:r w:rsidRPr="00ED482F">
              <w:rPr>
                <w:rFonts w:cs="Segoe UI"/>
                <w:bCs w:val="0"/>
                <w:color w:val="000000"/>
                <w:szCs w:val="18"/>
              </w:rPr>
              <w:t>24(2), 59(2)</w:t>
            </w:r>
          </w:p>
        </w:tc>
        <w:tc>
          <w:tcPr>
            <w:tcW w:w="1129" w:type="dxa"/>
          </w:tcPr>
          <w:p w14:paraId="4BDE1AF9" w14:textId="77777777" w:rsidR="005D2F5F" w:rsidRPr="00117C96" w:rsidRDefault="005D2F5F" w:rsidP="006745DD">
            <w:pPr>
              <w:pStyle w:val="TableParagraph"/>
              <w:ind w:right="32"/>
              <w:jc w:val="right"/>
            </w:pPr>
            <w:r>
              <w:rPr>
                <w:rFonts w:cs="Segoe UI"/>
                <w:bCs w:val="0"/>
                <w:color w:val="000000"/>
                <w:szCs w:val="18"/>
              </w:rPr>
              <w:t>128.2</w:t>
            </w:r>
          </w:p>
        </w:tc>
        <w:tc>
          <w:tcPr>
            <w:tcW w:w="1418" w:type="dxa"/>
          </w:tcPr>
          <w:p w14:paraId="22BDA8D0" w14:textId="77777777" w:rsidR="005D2F5F" w:rsidRDefault="005D2F5F" w:rsidP="006745DD">
            <w:pPr>
              <w:pStyle w:val="TableParagraph"/>
              <w:ind w:right="-17"/>
              <w:jc w:val="right"/>
              <w:rPr>
                <w:rFonts w:cs="Segoe UI"/>
                <w:bCs w:val="0"/>
                <w:color w:val="000000"/>
                <w:szCs w:val="18"/>
              </w:rPr>
            </w:pPr>
            <w:r>
              <w:rPr>
                <w:rFonts w:cs="Segoe UI"/>
                <w:bCs w:val="0"/>
                <w:color w:val="000000"/>
                <w:szCs w:val="18"/>
              </w:rPr>
              <w:t>1.70 fee units</w:t>
            </w:r>
          </w:p>
          <w:p w14:paraId="6101EBAF" w14:textId="74E47321" w:rsidR="005D2F5F" w:rsidRPr="00117C96" w:rsidRDefault="004D6EE5" w:rsidP="006745DD">
            <w:pPr>
              <w:pStyle w:val="TableParagraph"/>
              <w:ind w:right="-17"/>
              <w:jc w:val="right"/>
            </w:pPr>
            <w:r>
              <w:rPr>
                <w:rFonts w:cs="Segoe UI"/>
                <w:bCs w:val="0"/>
                <w:color w:val="000000"/>
                <w:szCs w:val="18"/>
              </w:rPr>
              <w:t xml:space="preserve">(i.e. </w:t>
            </w:r>
            <w:r w:rsidR="005D2F5F">
              <w:rPr>
                <w:rFonts w:cs="Segoe UI"/>
                <w:bCs w:val="0"/>
                <w:color w:val="000000"/>
                <w:szCs w:val="18"/>
              </w:rPr>
              <w:t>$24.</w:t>
            </w:r>
            <w:r>
              <w:rPr>
                <w:rFonts w:cs="Segoe UI"/>
                <w:bCs w:val="0"/>
                <w:color w:val="000000"/>
                <w:szCs w:val="18"/>
              </w:rPr>
              <w:t>6</w:t>
            </w:r>
            <w:r w:rsidR="005D2F5F">
              <w:rPr>
                <w:rFonts w:cs="Segoe UI"/>
                <w:bCs w:val="0"/>
                <w:color w:val="000000"/>
                <w:szCs w:val="18"/>
              </w:rPr>
              <w:t>0</w:t>
            </w:r>
            <w:r>
              <w:rPr>
                <w:rFonts w:cs="Segoe UI"/>
                <w:bCs w:val="0"/>
                <w:color w:val="000000"/>
                <w:szCs w:val="18"/>
              </w:rPr>
              <w:t>)</w:t>
            </w:r>
          </w:p>
        </w:tc>
        <w:tc>
          <w:tcPr>
            <w:tcW w:w="1417" w:type="dxa"/>
          </w:tcPr>
          <w:p w14:paraId="21BB744A" w14:textId="11468EBC" w:rsidR="005D2F5F" w:rsidRPr="004C05D9" w:rsidRDefault="005D2F5F" w:rsidP="006745DD">
            <w:pPr>
              <w:pStyle w:val="TableParagraph"/>
              <w:ind w:right="-17"/>
              <w:jc w:val="right"/>
            </w:pPr>
            <w:r>
              <w:t>3,</w:t>
            </w:r>
            <w:r w:rsidR="004D6EE5">
              <w:t>231</w:t>
            </w:r>
          </w:p>
        </w:tc>
      </w:tr>
      <w:tr w:rsidR="005D2F5F" w:rsidRPr="004C05D9" w14:paraId="2D5A6577" w14:textId="77777777" w:rsidTr="0054388F">
        <w:trPr>
          <w:cnfStyle w:val="000000010000" w:firstRow="0" w:lastRow="0" w:firstColumn="0" w:lastColumn="0" w:oddVBand="0" w:evenVBand="0" w:oddHBand="0" w:evenHBand="1" w:firstRowFirstColumn="0" w:firstRowLastColumn="0" w:lastRowFirstColumn="0" w:lastRowLastColumn="0"/>
        </w:trPr>
        <w:tc>
          <w:tcPr>
            <w:tcW w:w="8217" w:type="dxa"/>
            <w:gridSpan w:val="5"/>
            <w:shd w:val="clear" w:color="auto" w:fill="DDE8F4" w:themeFill="text2" w:themeFillTint="1A"/>
          </w:tcPr>
          <w:p w14:paraId="696FFB5D" w14:textId="77777777" w:rsidR="005D2F5F" w:rsidRPr="00ED482F" w:rsidRDefault="005D2F5F" w:rsidP="006745DD">
            <w:pPr>
              <w:pStyle w:val="TableParagraph"/>
              <w:ind w:right="-17"/>
              <w:jc w:val="right"/>
              <w:rPr>
                <w:rFonts w:cs="Segoe UI"/>
                <w:bCs w:val="0"/>
                <w:color w:val="000000"/>
                <w:szCs w:val="18"/>
              </w:rPr>
            </w:pPr>
            <w:r w:rsidRPr="00A20D66">
              <w:rPr>
                <w:rFonts w:cs="Segoe UI"/>
                <w:b/>
              </w:rPr>
              <w:t xml:space="preserve">Total Fee </w:t>
            </w:r>
            <w:r>
              <w:rPr>
                <w:rFonts w:cs="Segoe UI"/>
                <w:b/>
              </w:rPr>
              <w:t>Recovery</w:t>
            </w:r>
          </w:p>
        </w:tc>
        <w:tc>
          <w:tcPr>
            <w:tcW w:w="1417" w:type="dxa"/>
            <w:shd w:val="clear" w:color="auto" w:fill="DDE8F4" w:themeFill="text2" w:themeFillTint="1A"/>
          </w:tcPr>
          <w:p w14:paraId="080B1CBE" w14:textId="02A49C24" w:rsidR="005D2F5F" w:rsidRPr="00520352" w:rsidRDefault="005D2F5F" w:rsidP="006745DD">
            <w:pPr>
              <w:pStyle w:val="TableParagraph"/>
              <w:ind w:right="-17"/>
              <w:jc w:val="right"/>
            </w:pPr>
            <w:r w:rsidRPr="00A20D66">
              <w:rPr>
                <w:b/>
              </w:rPr>
              <w:t>3,</w:t>
            </w:r>
            <w:r w:rsidR="004D6EE5">
              <w:rPr>
                <w:b/>
              </w:rPr>
              <w:t>546</w:t>
            </w:r>
          </w:p>
        </w:tc>
      </w:tr>
    </w:tbl>
    <w:p w14:paraId="01B3EBE1" w14:textId="3FC743C1" w:rsidR="005D2F5F" w:rsidRDefault="005D2F5F" w:rsidP="005D2F5F"/>
    <w:bookmarkStart w:id="858" w:name="_Toc2595536"/>
    <w:bookmarkEnd w:id="851"/>
    <w:p w14:paraId="22B0424D" w14:textId="424A8F3A" w:rsidR="00797A16" w:rsidRPr="00797A16" w:rsidRDefault="004F49D0" w:rsidP="00175DA9">
      <w:pPr>
        <w:pStyle w:val="TextPara"/>
      </w:pPr>
      <w:r>
        <w:fldChar w:fldCharType="begin"/>
      </w:r>
      <w:r>
        <w:instrText xml:space="preserve"> REF _Ref10702927 \h </w:instrText>
      </w:r>
      <w:r>
        <w:fldChar w:fldCharType="separate"/>
      </w:r>
      <w:r w:rsidR="00EB4B02" w:rsidRPr="00712689">
        <w:t xml:space="preserve">Table </w:t>
      </w:r>
      <w:r w:rsidR="00EB4B02">
        <w:rPr>
          <w:noProof/>
        </w:rPr>
        <w:t>68</w:t>
      </w:r>
      <w:r>
        <w:fldChar w:fldCharType="end"/>
      </w:r>
      <w:r>
        <w:t xml:space="preserve"> </w:t>
      </w:r>
      <w:r w:rsidR="00797A16" w:rsidRPr="005F7BAB">
        <w:t xml:space="preserve">provides a description of the </w:t>
      </w:r>
      <w:r w:rsidR="00797A16">
        <w:t>activities</w:t>
      </w:r>
      <w:r w:rsidR="00797A16" w:rsidRPr="005F7BAB">
        <w:t xml:space="preserve"> associated with the </w:t>
      </w:r>
      <w:r w:rsidR="00797A16">
        <w:t>driver licence and learner permit issue and renewal</w:t>
      </w:r>
      <w:r w:rsidR="00797A16" w:rsidRPr="005F7BAB">
        <w:t xml:space="preserve"> </w:t>
      </w:r>
      <w:r w:rsidR="00797A16">
        <w:t>administration</w:t>
      </w:r>
      <w:r w:rsidR="00797A16" w:rsidRPr="005F7BAB">
        <w:t xml:space="preserve"> services.</w:t>
      </w:r>
    </w:p>
    <w:p w14:paraId="5EEC592A" w14:textId="7808E739" w:rsidR="00797A16" w:rsidRPr="00712689" w:rsidRDefault="00797A16" w:rsidP="00797A16">
      <w:pPr>
        <w:pStyle w:val="Caption"/>
      </w:pPr>
      <w:bookmarkStart w:id="859" w:name="_Ref10702927"/>
      <w:bookmarkStart w:id="860" w:name="_Toc10703761"/>
      <w:r w:rsidRPr="00712689">
        <w:t xml:space="preserve">Table </w:t>
      </w:r>
      <w:r w:rsidRPr="00F14947">
        <w:fldChar w:fldCharType="begin"/>
      </w:r>
      <w:r w:rsidRPr="00712689">
        <w:instrText xml:space="preserve"> SEQ Table \* ARABIC </w:instrText>
      </w:r>
      <w:r w:rsidRPr="00F14947">
        <w:fldChar w:fldCharType="separate"/>
      </w:r>
      <w:r w:rsidR="00EB4B02">
        <w:rPr>
          <w:noProof/>
        </w:rPr>
        <w:t>68</w:t>
      </w:r>
      <w:r w:rsidRPr="00F14947">
        <w:rPr>
          <w:noProof/>
        </w:rPr>
        <w:fldChar w:fldCharType="end"/>
      </w:r>
      <w:bookmarkEnd w:id="859"/>
      <w:r w:rsidRPr="00712689">
        <w:t xml:space="preserve"> – </w:t>
      </w:r>
      <w:r>
        <w:t>Permissions</w:t>
      </w:r>
      <w:r w:rsidRPr="00712689">
        <w:t xml:space="preserve"> Group Activities: </w:t>
      </w:r>
      <w:r w:rsidRPr="00041660">
        <w:t>Learner Permit</w:t>
      </w:r>
      <w:r w:rsidRPr="00712689">
        <w:t xml:space="preserve"> Administration – Issue and Renewal</w:t>
      </w:r>
      <w:bookmarkEnd w:id="860"/>
    </w:p>
    <w:tbl>
      <w:tblPr>
        <w:tblStyle w:val="RIS-Table2"/>
        <w:tblW w:w="9639" w:type="dxa"/>
        <w:tblLayout w:type="fixed"/>
        <w:tblLook w:val="04A0" w:firstRow="1" w:lastRow="0" w:firstColumn="1" w:lastColumn="0" w:noHBand="0" w:noVBand="1"/>
      </w:tblPr>
      <w:tblGrid>
        <w:gridCol w:w="2268"/>
        <w:gridCol w:w="7371"/>
      </w:tblGrid>
      <w:tr w:rsidR="00797A16" w:rsidRPr="00712689" w14:paraId="200A2418" w14:textId="77777777" w:rsidTr="006A2492">
        <w:trPr>
          <w:cnfStyle w:val="100000000000" w:firstRow="1" w:lastRow="0" w:firstColumn="0" w:lastColumn="0" w:oddVBand="0" w:evenVBand="0" w:oddHBand="0" w:evenHBand="0" w:firstRowFirstColumn="0" w:firstRowLastColumn="0" w:lastRowFirstColumn="0" w:lastRowLastColumn="0"/>
        </w:trPr>
        <w:tc>
          <w:tcPr>
            <w:tcW w:w="2268" w:type="dxa"/>
          </w:tcPr>
          <w:p w14:paraId="2C258E41" w14:textId="77777777" w:rsidR="00797A16" w:rsidRPr="00712689" w:rsidRDefault="00797A16" w:rsidP="006A2492">
            <w:pPr>
              <w:pStyle w:val="TableHeaders"/>
            </w:pPr>
            <w:r>
              <w:rPr>
                <w:rFonts w:cs="Segoe UI"/>
              </w:rPr>
              <w:t xml:space="preserve">Administrative </w:t>
            </w:r>
            <w:r w:rsidRPr="00712689">
              <w:rPr>
                <w:rFonts w:cs="Segoe UI"/>
              </w:rPr>
              <w:t xml:space="preserve">Services </w:t>
            </w:r>
          </w:p>
        </w:tc>
        <w:tc>
          <w:tcPr>
            <w:tcW w:w="7371" w:type="dxa"/>
          </w:tcPr>
          <w:p w14:paraId="37CF1FF7" w14:textId="77777777" w:rsidR="00797A16" w:rsidRPr="00712689" w:rsidRDefault="00797A16" w:rsidP="006A2492">
            <w:pPr>
              <w:pStyle w:val="TableHeaders"/>
            </w:pPr>
            <w:r w:rsidRPr="00712689">
              <w:rPr>
                <w:rFonts w:cs="Segoe UI"/>
                <w:szCs w:val="18"/>
              </w:rPr>
              <w:t>Activities</w:t>
            </w:r>
          </w:p>
        </w:tc>
      </w:tr>
      <w:tr w:rsidR="00797A16" w:rsidRPr="00712689" w14:paraId="4187764F" w14:textId="77777777" w:rsidTr="006A2492">
        <w:tc>
          <w:tcPr>
            <w:tcW w:w="2268" w:type="dxa"/>
          </w:tcPr>
          <w:p w14:paraId="40176CA2" w14:textId="77777777" w:rsidR="00797A16" w:rsidRPr="00712689" w:rsidRDefault="00797A16" w:rsidP="006A2492">
            <w:pPr>
              <w:pStyle w:val="TableParagraph"/>
              <w:rPr>
                <w:b/>
              </w:rPr>
            </w:pPr>
            <w:r w:rsidRPr="00041660">
              <w:rPr>
                <w:b/>
              </w:rPr>
              <w:t>Learner Permit</w:t>
            </w:r>
            <w:r w:rsidRPr="00712689">
              <w:rPr>
                <w:b/>
              </w:rPr>
              <w:t xml:space="preserve"> Issue</w:t>
            </w:r>
          </w:p>
        </w:tc>
        <w:tc>
          <w:tcPr>
            <w:tcW w:w="7371" w:type="dxa"/>
          </w:tcPr>
          <w:p w14:paraId="5DAF5A5E" w14:textId="77777777" w:rsidR="00797A16" w:rsidRPr="00712689" w:rsidRDefault="00797A16" w:rsidP="006A2492">
            <w:pPr>
              <w:pStyle w:val="TableList1"/>
              <w:ind w:left="360" w:hanging="360"/>
            </w:pPr>
            <w:r w:rsidRPr="00712689">
              <w:t>Conduct evidence of identity check to confirm identity of the customer and assess test results at the CSC</w:t>
            </w:r>
            <w:r>
              <w:t>. The c</w:t>
            </w:r>
            <w:r w:rsidRPr="00712689">
              <w:t>ustomer is eligible for a Learner permit on successful completion of the Knowledge Test and an eye sight test</w:t>
            </w:r>
          </w:p>
          <w:p w14:paraId="2B2AA7FC" w14:textId="77777777" w:rsidR="00797A16" w:rsidRPr="00712689" w:rsidRDefault="00797A16" w:rsidP="006A2492">
            <w:pPr>
              <w:pStyle w:val="TableList1"/>
              <w:ind w:left="360" w:hanging="360"/>
            </w:pPr>
            <w:r w:rsidRPr="00712689">
              <w:t>Process payment</w:t>
            </w:r>
          </w:p>
          <w:p w14:paraId="1E7B2E3D" w14:textId="77777777" w:rsidR="00797A16" w:rsidRPr="00712689" w:rsidRDefault="00797A16" w:rsidP="006A2492">
            <w:pPr>
              <w:pStyle w:val="TableList1"/>
              <w:ind w:left="360" w:hanging="360"/>
            </w:pPr>
            <w:r w:rsidRPr="00712689">
              <w:t>Take a photograph of the customer for the learner permit</w:t>
            </w:r>
          </w:p>
          <w:p w14:paraId="76A99CC5" w14:textId="77777777" w:rsidR="00797A16" w:rsidRPr="00712689" w:rsidRDefault="00797A16" w:rsidP="006A2492">
            <w:pPr>
              <w:pStyle w:val="TableList1"/>
              <w:ind w:left="360" w:hanging="360"/>
            </w:pPr>
            <w:r w:rsidRPr="00712689">
              <w:t xml:space="preserve">Update the customer’s learner permit status in DLS and set the appropriate expiry date </w:t>
            </w:r>
          </w:p>
          <w:p w14:paraId="63F01DC3" w14:textId="77777777" w:rsidR="00797A16" w:rsidRPr="00712689" w:rsidRDefault="00797A16" w:rsidP="006A2492">
            <w:pPr>
              <w:pStyle w:val="TableList1"/>
              <w:ind w:left="360" w:hanging="360"/>
            </w:pPr>
            <w:r w:rsidRPr="00712689">
              <w:lastRenderedPageBreak/>
              <w:t>Issue a temporary learner permit receipt to the customer to use until a learner permit card is printed and posted to them within 10 days</w:t>
            </w:r>
          </w:p>
          <w:p w14:paraId="0DB2A6C6" w14:textId="77777777" w:rsidR="00797A16" w:rsidRDefault="00797A16" w:rsidP="006A2492">
            <w:pPr>
              <w:pStyle w:val="TableList1"/>
              <w:ind w:left="360" w:hanging="360"/>
            </w:pPr>
            <w:r w:rsidRPr="00712689">
              <w:t xml:space="preserve">Notify the customer by mail that payment is required by a designated date if the payment is dishonoured or the </w:t>
            </w:r>
            <w:r>
              <w:t>permit</w:t>
            </w:r>
            <w:r w:rsidRPr="00712689">
              <w:t xml:space="preserve"> will become void</w:t>
            </w:r>
          </w:p>
          <w:p w14:paraId="19B4A0BF" w14:textId="77777777" w:rsidR="00797A16" w:rsidRPr="00712689" w:rsidRDefault="00797A16" w:rsidP="006A2492">
            <w:pPr>
              <w:pStyle w:val="TableList1"/>
              <w:ind w:left="360" w:hanging="360"/>
            </w:pPr>
            <w:r>
              <w:t>Print and post the permit</w:t>
            </w:r>
          </w:p>
        </w:tc>
      </w:tr>
      <w:tr w:rsidR="00797A16" w:rsidRPr="00712689" w14:paraId="08AB2CC4" w14:textId="77777777" w:rsidTr="006A2492">
        <w:trPr>
          <w:cnfStyle w:val="000000010000" w:firstRow="0" w:lastRow="0" w:firstColumn="0" w:lastColumn="0" w:oddVBand="0" w:evenVBand="0" w:oddHBand="0" w:evenHBand="1" w:firstRowFirstColumn="0" w:firstRowLastColumn="0" w:lastRowFirstColumn="0" w:lastRowLastColumn="0"/>
        </w:trPr>
        <w:tc>
          <w:tcPr>
            <w:tcW w:w="2268" w:type="dxa"/>
          </w:tcPr>
          <w:p w14:paraId="04D29403" w14:textId="77777777" w:rsidR="00797A16" w:rsidRPr="00712689" w:rsidRDefault="00797A16" w:rsidP="006A2492">
            <w:pPr>
              <w:pStyle w:val="TableList1"/>
              <w:numPr>
                <w:ilvl w:val="0"/>
                <w:numId w:val="0"/>
              </w:numPr>
              <w:rPr>
                <w:b/>
              </w:rPr>
            </w:pPr>
            <w:r w:rsidRPr="00041660">
              <w:rPr>
                <w:b/>
              </w:rPr>
              <w:lastRenderedPageBreak/>
              <w:t>Learner Permit</w:t>
            </w:r>
            <w:r w:rsidRPr="00712689">
              <w:rPr>
                <w:b/>
              </w:rPr>
              <w:t xml:space="preserve"> Re-issue following sanction </w:t>
            </w:r>
            <w:r w:rsidRPr="00712689">
              <w:t>(potentially with conditions)</w:t>
            </w:r>
          </w:p>
        </w:tc>
        <w:tc>
          <w:tcPr>
            <w:tcW w:w="7371" w:type="dxa"/>
          </w:tcPr>
          <w:p w14:paraId="1D84EC5E" w14:textId="77777777" w:rsidR="00797A16" w:rsidRPr="00712689" w:rsidRDefault="00797A16" w:rsidP="006A2492">
            <w:pPr>
              <w:pStyle w:val="TableList1"/>
              <w:ind w:left="360" w:hanging="360"/>
            </w:pPr>
            <w:r w:rsidRPr="00712689">
              <w:t>Conduct evidence of identity check to confirm identity of the customer</w:t>
            </w:r>
          </w:p>
          <w:p w14:paraId="0F6C8B3F" w14:textId="77777777" w:rsidR="00797A16" w:rsidRPr="00712689" w:rsidRDefault="00797A16" w:rsidP="006A2492">
            <w:pPr>
              <w:pStyle w:val="TableList1"/>
              <w:ind w:left="360" w:hanging="360"/>
            </w:pPr>
            <w:r w:rsidRPr="00712689">
              <w:t xml:space="preserve">Assess the customer’s eligibility for re-issue. Following a sanction, the customer may be required to provide evidence to support their eligibility for </w:t>
            </w:r>
            <w:r>
              <w:t>the permit</w:t>
            </w:r>
            <w:r w:rsidRPr="00712689">
              <w:t xml:space="preserve"> re-issue </w:t>
            </w:r>
          </w:p>
          <w:p w14:paraId="5226B319" w14:textId="77777777" w:rsidR="00797A16" w:rsidRPr="00712689" w:rsidRDefault="00797A16" w:rsidP="006A2492">
            <w:pPr>
              <w:pStyle w:val="TableList1"/>
              <w:ind w:left="360" w:hanging="360"/>
            </w:pPr>
            <w:r w:rsidRPr="00712689">
              <w:t>Process payment for new learner permit if eligible for re-issue</w:t>
            </w:r>
          </w:p>
          <w:p w14:paraId="31B19D4D" w14:textId="77777777" w:rsidR="00797A16" w:rsidRPr="00712689" w:rsidRDefault="00797A16" w:rsidP="006A2492">
            <w:pPr>
              <w:pStyle w:val="TableList1"/>
              <w:ind w:left="360" w:hanging="360"/>
            </w:pPr>
            <w:r w:rsidRPr="00712689">
              <w:t>Take a photograph of the customer for the learner permit if the current image in DLS is more than 5 years old</w:t>
            </w:r>
          </w:p>
          <w:p w14:paraId="05EC56F0" w14:textId="77777777" w:rsidR="00797A16" w:rsidRPr="00712689" w:rsidRDefault="00797A16" w:rsidP="006A2492">
            <w:pPr>
              <w:pStyle w:val="TableList1"/>
              <w:ind w:left="360" w:hanging="360"/>
            </w:pPr>
            <w:r w:rsidRPr="00712689">
              <w:t xml:space="preserve">Update the customer’s learner permit status in DLS and set the appropriate expiry date </w:t>
            </w:r>
          </w:p>
          <w:p w14:paraId="56CFDEFF" w14:textId="77777777" w:rsidR="00797A16" w:rsidRPr="00712689" w:rsidRDefault="00797A16" w:rsidP="006A2492">
            <w:pPr>
              <w:pStyle w:val="TableList1"/>
              <w:ind w:left="360" w:hanging="360"/>
            </w:pPr>
            <w:r w:rsidRPr="00712689">
              <w:t>Issue a temporary learner permit receipt to the customer to use until a licence or learner permit card is printed and posted to them within 10 days</w:t>
            </w:r>
          </w:p>
          <w:p w14:paraId="7FAAC41C" w14:textId="77777777" w:rsidR="00797A16" w:rsidRDefault="00797A16" w:rsidP="006A2492">
            <w:pPr>
              <w:pStyle w:val="TableList1"/>
              <w:ind w:left="360" w:hanging="360"/>
            </w:pPr>
            <w:r w:rsidRPr="00712689">
              <w:t xml:space="preserve">Notify the customer by mail that payment is required by a designated date if the payment is dishonoured or the </w:t>
            </w:r>
            <w:r>
              <w:t>permit</w:t>
            </w:r>
            <w:r w:rsidRPr="00712689">
              <w:t xml:space="preserve"> will become void</w:t>
            </w:r>
          </w:p>
          <w:p w14:paraId="55326074" w14:textId="77777777" w:rsidR="00797A16" w:rsidRPr="00712689" w:rsidRDefault="00797A16" w:rsidP="006A2492">
            <w:pPr>
              <w:pStyle w:val="TableList1"/>
              <w:ind w:left="360" w:hanging="360"/>
            </w:pPr>
            <w:r>
              <w:t>Print and post the permit</w:t>
            </w:r>
          </w:p>
        </w:tc>
      </w:tr>
      <w:tr w:rsidR="00797A16" w:rsidRPr="00055C2A" w14:paraId="31CF37FF" w14:textId="77777777" w:rsidTr="006A2492">
        <w:tc>
          <w:tcPr>
            <w:tcW w:w="2268" w:type="dxa"/>
          </w:tcPr>
          <w:p w14:paraId="29E120E3" w14:textId="77777777" w:rsidR="00797A16" w:rsidRPr="00712689" w:rsidRDefault="00797A16" w:rsidP="006A2492">
            <w:pPr>
              <w:pStyle w:val="TableList1"/>
              <w:numPr>
                <w:ilvl w:val="0"/>
                <w:numId w:val="0"/>
              </w:numPr>
              <w:rPr>
                <w:b/>
              </w:rPr>
            </w:pPr>
            <w:r w:rsidRPr="00041660">
              <w:rPr>
                <w:b/>
              </w:rPr>
              <w:t>Learner Permit</w:t>
            </w:r>
            <w:r w:rsidRPr="00712689">
              <w:rPr>
                <w:b/>
              </w:rPr>
              <w:t xml:space="preserve"> Renewal</w:t>
            </w:r>
          </w:p>
        </w:tc>
        <w:tc>
          <w:tcPr>
            <w:tcW w:w="7371" w:type="dxa"/>
          </w:tcPr>
          <w:p w14:paraId="3CB77B75" w14:textId="77777777" w:rsidR="00797A16" w:rsidRPr="00712689" w:rsidRDefault="00797A16" w:rsidP="006A2492">
            <w:pPr>
              <w:pStyle w:val="TableList1"/>
              <w:ind w:left="360" w:hanging="360"/>
            </w:pPr>
            <w:r w:rsidRPr="00712689">
              <w:t xml:space="preserve">Process </w:t>
            </w:r>
            <w:r>
              <w:t xml:space="preserve">permit renewal application and </w:t>
            </w:r>
            <w:r w:rsidRPr="00712689">
              <w:t xml:space="preserve">payment </w:t>
            </w:r>
            <w:r>
              <w:t>at a</w:t>
            </w:r>
            <w:r w:rsidRPr="00712689">
              <w:t xml:space="preserve"> </w:t>
            </w:r>
            <w:r>
              <w:t>CSC</w:t>
            </w:r>
            <w:r w:rsidRPr="00712689">
              <w:t xml:space="preserve"> </w:t>
            </w:r>
          </w:p>
          <w:p w14:paraId="66080CEC" w14:textId="77777777" w:rsidR="00797A16" w:rsidRPr="00712689" w:rsidRDefault="00797A16" w:rsidP="006A2492">
            <w:pPr>
              <w:pStyle w:val="TableList1"/>
              <w:ind w:left="360" w:hanging="360"/>
            </w:pPr>
            <w:r w:rsidRPr="00712689">
              <w:t xml:space="preserve">Take a photograph of the customer for the </w:t>
            </w:r>
            <w:r>
              <w:t>learner permit</w:t>
            </w:r>
          </w:p>
          <w:p w14:paraId="5DE49645" w14:textId="77777777" w:rsidR="00797A16" w:rsidRPr="00712689" w:rsidRDefault="00797A16" w:rsidP="006A2492">
            <w:pPr>
              <w:pStyle w:val="TableList1"/>
              <w:ind w:left="360" w:hanging="360"/>
            </w:pPr>
            <w:r w:rsidRPr="00712689">
              <w:t xml:space="preserve">Update the customer’s learner permit status in DLS and set the </w:t>
            </w:r>
            <w:r>
              <w:t>expiry date 10 years in the future</w:t>
            </w:r>
          </w:p>
          <w:p w14:paraId="2565BB6C" w14:textId="77777777" w:rsidR="00797A16" w:rsidRPr="00712689" w:rsidRDefault="00797A16" w:rsidP="006A2492">
            <w:pPr>
              <w:pStyle w:val="TableList1"/>
              <w:ind w:left="360" w:hanging="360"/>
            </w:pPr>
            <w:r w:rsidRPr="00712689">
              <w:t>Issue a temporary learner permit receipt to the customer to use until a learner permit card is printed and posted to them within 10 days</w:t>
            </w:r>
          </w:p>
          <w:p w14:paraId="4AD3D65B" w14:textId="77777777" w:rsidR="00797A16" w:rsidRDefault="00797A16" w:rsidP="006A2492">
            <w:pPr>
              <w:pStyle w:val="TableList1"/>
              <w:ind w:left="360" w:hanging="360"/>
            </w:pPr>
            <w:r w:rsidRPr="00712689">
              <w:t xml:space="preserve">Notify the customer by mail that payment is required by a designated date if the payment is dishonoured or the </w:t>
            </w:r>
            <w:r>
              <w:t>permit</w:t>
            </w:r>
            <w:r w:rsidRPr="00712689">
              <w:t xml:space="preserve"> will become expired</w:t>
            </w:r>
          </w:p>
          <w:p w14:paraId="3BD33CC5" w14:textId="77777777" w:rsidR="00797A16" w:rsidRPr="00712689" w:rsidRDefault="00797A16" w:rsidP="006A2492">
            <w:pPr>
              <w:pStyle w:val="TableList1"/>
              <w:ind w:left="360" w:hanging="360"/>
            </w:pPr>
            <w:r>
              <w:t>Print and post the permit</w:t>
            </w:r>
          </w:p>
        </w:tc>
      </w:tr>
    </w:tbl>
    <w:p w14:paraId="2D56E72A" w14:textId="6BC6E028" w:rsidR="00CB51B0" w:rsidRPr="00BF05CB" w:rsidRDefault="00BF05CB" w:rsidP="00797A16">
      <w:pPr>
        <w:pStyle w:val="TextPara"/>
      </w:pPr>
      <w:r w:rsidRPr="00BF05CB">
        <w:t>The annual cost of providing the administrative services supporting learner permit issue and renewal is $</w:t>
      </w:r>
      <w:r w:rsidR="004D6EE5">
        <w:t>2.1</w:t>
      </w:r>
      <w:r w:rsidRPr="00BF05CB">
        <w:t>m. This Permissions Group supports the issue and renewal of approximately 140,700 learner permits each year.</w:t>
      </w:r>
    </w:p>
    <w:p w14:paraId="79EEF6C5" w14:textId="2259C559" w:rsidR="00797A16" w:rsidRPr="00342389" w:rsidRDefault="00B80690" w:rsidP="00797A16">
      <w:pPr>
        <w:pStyle w:val="TextPara"/>
      </w:pPr>
      <w:r>
        <w:rPr>
          <w:rFonts w:cs="Segoe UI"/>
          <w:szCs w:val="20"/>
        </w:rPr>
        <w:fldChar w:fldCharType="begin"/>
      </w:r>
      <w:r>
        <w:rPr>
          <w:rFonts w:cs="Segoe UI"/>
          <w:szCs w:val="20"/>
        </w:rPr>
        <w:instrText xml:space="preserve"> REF _Ref10703664 \h </w:instrText>
      </w:r>
      <w:r>
        <w:rPr>
          <w:rFonts w:cs="Segoe UI"/>
          <w:szCs w:val="20"/>
        </w:rPr>
      </w:r>
      <w:r>
        <w:rPr>
          <w:rFonts w:cs="Segoe UI"/>
          <w:szCs w:val="20"/>
        </w:rPr>
        <w:fldChar w:fldCharType="separate"/>
      </w:r>
      <w:r>
        <w:t xml:space="preserve">Table </w:t>
      </w:r>
      <w:r>
        <w:rPr>
          <w:noProof/>
        </w:rPr>
        <w:t>69</w:t>
      </w:r>
      <w:r>
        <w:rPr>
          <w:rFonts w:cs="Segoe UI"/>
          <w:szCs w:val="20"/>
        </w:rPr>
        <w:fldChar w:fldCharType="end"/>
      </w:r>
      <w:r>
        <w:rPr>
          <w:rFonts w:cs="Segoe UI"/>
          <w:szCs w:val="20"/>
        </w:rPr>
        <w:t xml:space="preserve"> </w:t>
      </w:r>
      <w:r w:rsidR="00797A16">
        <w:rPr>
          <w:rFonts w:cs="Segoe UI"/>
          <w:szCs w:val="20"/>
        </w:rPr>
        <w:t>provides a summary of the estimated costs for the provision of the administrative services over the forecast period.</w:t>
      </w:r>
    </w:p>
    <w:p w14:paraId="5F7DCC77" w14:textId="2DB07B39" w:rsidR="00797A16" w:rsidRDefault="00797A16" w:rsidP="00797A16">
      <w:pPr>
        <w:pStyle w:val="Caption"/>
      </w:pPr>
      <w:bookmarkStart w:id="861" w:name="_Ref10703664"/>
      <w:bookmarkStart w:id="862" w:name="_Toc10703762"/>
      <w:r>
        <w:t xml:space="preserve">Table </w:t>
      </w:r>
      <w:r>
        <w:rPr>
          <w:noProof/>
        </w:rPr>
        <w:fldChar w:fldCharType="begin"/>
      </w:r>
      <w:r>
        <w:rPr>
          <w:noProof/>
        </w:rPr>
        <w:instrText xml:space="preserve"> SEQ Table \* ARABIC </w:instrText>
      </w:r>
      <w:r>
        <w:rPr>
          <w:noProof/>
        </w:rPr>
        <w:fldChar w:fldCharType="separate"/>
      </w:r>
      <w:r w:rsidR="00EB4B02">
        <w:rPr>
          <w:noProof/>
        </w:rPr>
        <w:t>69</w:t>
      </w:r>
      <w:r>
        <w:rPr>
          <w:noProof/>
        </w:rPr>
        <w:fldChar w:fldCharType="end"/>
      </w:r>
      <w:bookmarkEnd w:id="861"/>
      <w:r>
        <w:t xml:space="preserve"> – Permissions Group Cost: Learner Permit </w:t>
      </w:r>
      <w:r w:rsidRPr="00AB5081">
        <w:t>Administration – Issue and Renewal</w:t>
      </w:r>
      <w:bookmarkEnd w:id="862"/>
    </w:p>
    <w:tbl>
      <w:tblPr>
        <w:tblStyle w:val="RIS-Table"/>
        <w:tblW w:w="9639" w:type="dxa"/>
        <w:tblInd w:w="108" w:type="dxa"/>
        <w:tblLook w:val="04A0" w:firstRow="1" w:lastRow="0" w:firstColumn="1" w:lastColumn="0" w:noHBand="0" w:noVBand="1"/>
      </w:tblPr>
      <w:tblGrid>
        <w:gridCol w:w="3828"/>
        <w:gridCol w:w="1134"/>
        <w:gridCol w:w="1134"/>
        <w:gridCol w:w="1134"/>
        <w:gridCol w:w="1134"/>
        <w:gridCol w:w="1275"/>
      </w:tblGrid>
      <w:tr w:rsidR="00797A16" w:rsidRPr="00117C96" w14:paraId="033E278B" w14:textId="77777777" w:rsidTr="006A2492">
        <w:trPr>
          <w:cnfStyle w:val="100000000000" w:firstRow="1" w:lastRow="0" w:firstColumn="0" w:lastColumn="0" w:oddVBand="0" w:evenVBand="0" w:oddHBand="0" w:evenHBand="0" w:firstRowFirstColumn="0" w:firstRowLastColumn="0" w:lastRowFirstColumn="0" w:lastRowLastColumn="0"/>
        </w:trPr>
        <w:tc>
          <w:tcPr>
            <w:tcW w:w="3828" w:type="dxa"/>
            <w:vMerge w:val="restart"/>
          </w:tcPr>
          <w:p w14:paraId="7819D675" w14:textId="77777777" w:rsidR="00797A16" w:rsidRPr="00117C96" w:rsidRDefault="00797A16" w:rsidP="006A2492">
            <w:pPr>
              <w:pStyle w:val="TableHeaders"/>
            </w:pPr>
            <w:r>
              <w:t xml:space="preserve">  Item</w:t>
            </w:r>
          </w:p>
        </w:tc>
        <w:tc>
          <w:tcPr>
            <w:tcW w:w="5811" w:type="dxa"/>
            <w:gridSpan w:val="5"/>
          </w:tcPr>
          <w:p w14:paraId="12452F8E" w14:textId="77777777" w:rsidR="00797A16" w:rsidRPr="009E2537" w:rsidRDefault="00797A16" w:rsidP="006A2492">
            <w:pPr>
              <w:pStyle w:val="TableHeaders"/>
            </w:pPr>
            <w:r w:rsidRPr="009E2537">
              <w:t>Costs $k (PV)</w:t>
            </w:r>
          </w:p>
        </w:tc>
      </w:tr>
      <w:tr w:rsidR="00797A16" w:rsidRPr="00117C96" w14:paraId="1A5628A3" w14:textId="77777777" w:rsidTr="006A2492">
        <w:tc>
          <w:tcPr>
            <w:tcW w:w="3828" w:type="dxa"/>
            <w:vMerge/>
          </w:tcPr>
          <w:p w14:paraId="027FA185" w14:textId="77777777" w:rsidR="00797A16" w:rsidRDefault="00797A16" w:rsidP="006A2492">
            <w:pPr>
              <w:pStyle w:val="TableParagraph"/>
            </w:pPr>
          </w:p>
        </w:tc>
        <w:tc>
          <w:tcPr>
            <w:tcW w:w="1134" w:type="dxa"/>
            <w:shd w:val="clear" w:color="auto" w:fill="0A1F3F"/>
          </w:tcPr>
          <w:p w14:paraId="75640A43" w14:textId="77777777" w:rsidR="00797A16" w:rsidRPr="00832945" w:rsidRDefault="00797A16" w:rsidP="006A2492">
            <w:pPr>
              <w:pStyle w:val="TableHeaders"/>
              <w:rPr>
                <w:b/>
              </w:rPr>
            </w:pPr>
            <w:r w:rsidRPr="00832945">
              <w:rPr>
                <w:b/>
              </w:rPr>
              <w:t>FY19/20</w:t>
            </w:r>
          </w:p>
        </w:tc>
        <w:tc>
          <w:tcPr>
            <w:tcW w:w="1134" w:type="dxa"/>
            <w:shd w:val="clear" w:color="auto" w:fill="0A1F3F"/>
          </w:tcPr>
          <w:p w14:paraId="19EA9DDB" w14:textId="77777777" w:rsidR="00797A16" w:rsidRPr="00832945" w:rsidRDefault="00797A16" w:rsidP="006A2492">
            <w:pPr>
              <w:pStyle w:val="TableHeaders"/>
              <w:rPr>
                <w:b/>
              </w:rPr>
            </w:pPr>
            <w:r w:rsidRPr="00832945">
              <w:rPr>
                <w:b/>
              </w:rPr>
              <w:t>FY20/21</w:t>
            </w:r>
          </w:p>
        </w:tc>
        <w:tc>
          <w:tcPr>
            <w:tcW w:w="1134" w:type="dxa"/>
            <w:shd w:val="clear" w:color="auto" w:fill="0A1F3F"/>
          </w:tcPr>
          <w:p w14:paraId="58B68D95" w14:textId="77777777" w:rsidR="00797A16" w:rsidRPr="00832945" w:rsidRDefault="00797A16" w:rsidP="006A2492">
            <w:pPr>
              <w:pStyle w:val="TableHeaders"/>
              <w:rPr>
                <w:b/>
              </w:rPr>
            </w:pPr>
            <w:r w:rsidRPr="00832945">
              <w:rPr>
                <w:b/>
              </w:rPr>
              <w:t>FY21/22</w:t>
            </w:r>
          </w:p>
        </w:tc>
        <w:tc>
          <w:tcPr>
            <w:tcW w:w="1134" w:type="dxa"/>
            <w:shd w:val="clear" w:color="auto" w:fill="0A1F3F"/>
          </w:tcPr>
          <w:p w14:paraId="6E6281B7" w14:textId="77777777" w:rsidR="00797A16" w:rsidRPr="00832945" w:rsidRDefault="00797A16" w:rsidP="006A2492">
            <w:pPr>
              <w:pStyle w:val="TableHeaders"/>
              <w:rPr>
                <w:b/>
              </w:rPr>
            </w:pPr>
            <w:r w:rsidRPr="00832945">
              <w:rPr>
                <w:b/>
              </w:rPr>
              <w:t>FY22/23</w:t>
            </w:r>
          </w:p>
        </w:tc>
        <w:tc>
          <w:tcPr>
            <w:tcW w:w="1275" w:type="dxa"/>
            <w:shd w:val="clear" w:color="auto" w:fill="0A1F3F"/>
          </w:tcPr>
          <w:p w14:paraId="54173B98" w14:textId="77777777" w:rsidR="00797A16" w:rsidRPr="00832945" w:rsidRDefault="00797A16" w:rsidP="006A2492">
            <w:pPr>
              <w:pStyle w:val="TableHeaders"/>
              <w:rPr>
                <w:b/>
              </w:rPr>
            </w:pPr>
            <w:r w:rsidRPr="00832945">
              <w:rPr>
                <w:b/>
              </w:rPr>
              <w:t>Average</w:t>
            </w:r>
          </w:p>
        </w:tc>
      </w:tr>
      <w:tr w:rsidR="004D6EE5" w:rsidRPr="00117C96" w14:paraId="332A85C9" w14:textId="77777777" w:rsidTr="00282A3C">
        <w:trPr>
          <w:cnfStyle w:val="000000010000" w:firstRow="0" w:lastRow="0" w:firstColumn="0" w:lastColumn="0" w:oddVBand="0" w:evenVBand="0" w:oddHBand="0" w:evenHBand="1" w:firstRowFirstColumn="0" w:firstRowLastColumn="0" w:lastRowFirstColumn="0" w:lastRowLastColumn="0"/>
        </w:trPr>
        <w:tc>
          <w:tcPr>
            <w:tcW w:w="0" w:type="dxa"/>
            <w:shd w:val="clear" w:color="auto" w:fill="FFFFFF" w:themeFill="background1"/>
          </w:tcPr>
          <w:p w14:paraId="7661B6B3" w14:textId="77777777" w:rsidR="004D6EE5" w:rsidRPr="00163DDF" w:rsidRDefault="004D6EE5" w:rsidP="004D6EE5">
            <w:pPr>
              <w:pStyle w:val="TableParagraph"/>
            </w:pPr>
            <w:r w:rsidRPr="001A3B18">
              <w:t>Learner Permit Administration – Issue and Renewal</w:t>
            </w:r>
          </w:p>
        </w:tc>
        <w:tc>
          <w:tcPr>
            <w:tcW w:w="0" w:type="dxa"/>
            <w:shd w:val="clear" w:color="auto" w:fill="FFFFFF" w:themeFill="background1"/>
          </w:tcPr>
          <w:p w14:paraId="1DAAE7CB" w14:textId="73E6E2F9" w:rsidR="004D6EE5" w:rsidRPr="005E29CB" w:rsidRDefault="004D6EE5" w:rsidP="004D6EE5">
            <w:pPr>
              <w:pStyle w:val="TableParagraph"/>
              <w:ind w:right="170"/>
              <w:jc w:val="right"/>
            </w:pPr>
            <w:r w:rsidRPr="003E3F87">
              <w:t xml:space="preserve"> 2,044 </w:t>
            </w:r>
          </w:p>
        </w:tc>
        <w:tc>
          <w:tcPr>
            <w:tcW w:w="0" w:type="dxa"/>
            <w:shd w:val="clear" w:color="auto" w:fill="FFFFFF" w:themeFill="background1"/>
          </w:tcPr>
          <w:p w14:paraId="408B067A" w14:textId="06777244" w:rsidR="004D6EE5" w:rsidRPr="005E29CB" w:rsidRDefault="004D6EE5" w:rsidP="004D6EE5">
            <w:pPr>
              <w:pStyle w:val="TableParagraph"/>
              <w:ind w:right="170"/>
              <w:jc w:val="right"/>
            </w:pPr>
            <w:r w:rsidRPr="003E3F87">
              <w:t xml:space="preserve"> 2,092 </w:t>
            </w:r>
          </w:p>
        </w:tc>
        <w:tc>
          <w:tcPr>
            <w:tcW w:w="0" w:type="dxa"/>
            <w:shd w:val="clear" w:color="auto" w:fill="FFFFFF" w:themeFill="background1"/>
          </w:tcPr>
          <w:p w14:paraId="308444D9" w14:textId="2B8AB13A" w:rsidR="004D6EE5" w:rsidRPr="005E29CB" w:rsidRDefault="004D6EE5" w:rsidP="004D6EE5">
            <w:pPr>
              <w:pStyle w:val="TableParagraph"/>
              <w:ind w:right="170"/>
              <w:jc w:val="right"/>
            </w:pPr>
            <w:r w:rsidRPr="003E3F87">
              <w:t xml:space="preserve"> 2,141 </w:t>
            </w:r>
          </w:p>
        </w:tc>
        <w:tc>
          <w:tcPr>
            <w:tcW w:w="0" w:type="dxa"/>
            <w:shd w:val="clear" w:color="auto" w:fill="FFFFFF" w:themeFill="background1"/>
          </w:tcPr>
          <w:p w14:paraId="5D51FA18" w14:textId="44C97D14" w:rsidR="004D6EE5" w:rsidRPr="005E29CB" w:rsidRDefault="004D6EE5" w:rsidP="004D6EE5">
            <w:pPr>
              <w:pStyle w:val="TableParagraph"/>
              <w:ind w:right="170"/>
              <w:jc w:val="right"/>
            </w:pPr>
            <w:r w:rsidRPr="003E3F87">
              <w:t xml:space="preserve"> 2,192 </w:t>
            </w:r>
          </w:p>
        </w:tc>
        <w:tc>
          <w:tcPr>
            <w:tcW w:w="0" w:type="dxa"/>
            <w:shd w:val="clear" w:color="auto" w:fill="FFFFFF" w:themeFill="background1"/>
          </w:tcPr>
          <w:p w14:paraId="2CF44C94" w14:textId="529016F2" w:rsidR="004D6EE5" w:rsidRPr="004D6EE5" w:rsidRDefault="004D6EE5" w:rsidP="004D6EE5">
            <w:pPr>
              <w:pStyle w:val="TableParagraph"/>
              <w:ind w:right="170"/>
              <w:jc w:val="right"/>
              <w:rPr>
                <w:b/>
              </w:rPr>
            </w:pPr>
            <w:r w:rsidRPr="004D6EE5">
              <w:rPr>
                <w:b/>
              </w:rPr>
              <w:t xml:space="preserve"> 2,117 </w:t>
            </w:r>
          </w:p>
        </w:tc>
      </w:tr>
    </w:tbl>
    <w:p w14:paraId="6F7C57C2" w14:textId="77777777" w:rsidR="00BB52BC" w:rsidRDefault="00BB52BC" w:rsidP="00BB52BC">
      <w:pPr>
        <w:pStyle w:val="Heading3"/>
        <w:spacing w:before="240"/>
      </w:pPr>
      <w:bookmarkStart w:id="863" w:name="_Toc10703538"/>
      <w:bookmarkEnd w:id="858"/>
      <w:r w:rsidRPr="001A3B18">
        <w:t>Proposal</w:t>
      </w:r>
      <w:bookmarkEnd w:id="863"/>
    </w:p>
    <w:p w14:paraId="0D560088" w14:textId="77777777" w:rsidR="00CB51B0" w:rsidRDefault="00CB51B0" w:rsidP="00CB51B0">
      <w:pPr>
        <w:pStyle w:val="TextPara"/>
        <w:rPr>
          <w:rFonts w:cs="Segoe UI"/>
          <w:szCs w:val="20"/>
        </w:rPr>
      </w:pPr>
      <w:bookmarkStart w:id="864" w:name="_Hlk4506626"/>
      <w:r>
        <w:t xml:space="preserve">Given that the learner permit is a form of restricted licence, DoT proposes to maintain the learner permit fee at the current level consistent with a rate that is proportional to the licence fee </w:t>
      </w:r>
      <w:r w:rsidRPr="00615BF4">
        <w:rPr>
          <w:rFonts w:cs="Segoe UI"/>
          <w:szCs w:val="20"/>
        </w:rPr>
        <w:t>in the proposed Regulations</w:t>
      </w:r>
      <w:r>
        <w:rPr>
          <w:rFonts w:cs="Segoe UI"/>
          <w:szCs w:val="20"/>
        </w:rPr>
        <w:t>.</w:t>
      </w:r>
    </w:p>
    <w:bookmarkEnd w:id="864"/>
    <w:p w14:paraId="375F1781" w14:textId="363F091D" w:rsidR="00CB51B0" w:rsidRDefault="00CB51B0" w:rsidP="00CB51B0">
      <w:pPr>
        <w:pStyle w:val="TextPara"/>
      </w:pPr>
      <w:r>
        <w:rPr>
          <w:rFonts w:cs="Segoe UI"/>
          <w:szCs w:val="20"/>
        </w:rPr>
        <w:t>While the revenue from learner permit fees exceeds the cost of administration by $1.</w:t>
      </w:r>
      <w:r w:rsidR="004D6EE5">
        <w:rPr>
          <w:rFonts w:cs="Segoe UI"/>
          <w:szCs w:val="20"/>
        </w:rPr>
        <w:t>43</w:t>
      </w:r>
      <w:r>
        <w:rPr>
          <w:rFonts w:cs="Segoe UI"/>
          <w:szCs w:val="20"/>
        </w:rPr>
        <w:t xml:space="preserve">m, these fees are not subject to the DTF cost recovery guidelines, as </w:t>
      </w:r>
      <w:r>
        <w:t>the</w:t>
      </w:r>
      <w:r w:rsidRPr="00B238CA">
        <w:t xml:space="preserve"> </w:t>
      </w:r>
      <w:r w:rsidRPr="00B238CA">
        <w:rPr>
          <w:i/>
        </w:rPr>
        <w:t>RSA</w:t>
      </w:r>
      <w:r w:rsidRPr="00B238CA">
        <w:t xml:space="preserve"> </w:t>
      </w:r>
      <w:r>
        <w:t>allows the making of a regulation that imposes a fee relating to licences and learner permits that is not limited to the cost of providing this service</w:t>
      </w:r>
      <w:r w:rsidRPr="00B238CA">
        <w:t>.</w:t>
      </w:r>
    </w:p>
    <w:p w14:paraId="25F2FC87" w14:textId="77777777" w:rsidR="00282A3C" w:rsidRPr="00282A3C" w:rsidRDefault="00282A3C" w:rsidP="00282A3C">
      <w:pPr>
        <w:pStyle w:val="TextPara"/>
      </w:pPr>
      <w:r w:rsidRPr="00282A3C">
        <w:t>The fee satisfies the criteria established for permissions:</w:t>
      </w:r>
    </w:p>
    <w:p w14:paraId="75CE8B13" w14:textId="77777777" w:rsidR="00282A3C" w:rsidRPr="00282A3C" w:rsidRDefault="00282A3C" w:rsidP="00EB4B02">
      <w:pPr>
        <w:pStyle w:val="TextPara"/>
        <w:numPr>
          <w:ilvl w:val="0"/>
          <w:numId w:val="31"/>
        </w:numPr>
      </w:pPr>
      <w:r w:rsidRPr="00282A3C">
        <w:lastRenderedPageBreak/>
        <w:t>Value to recipient - the customer receives value which is likely to be higher than the fee, given that it is the only way to access public roads. The learner permit is also commonly used as a proof of identity and address. This means it can be appropriate to impose a fee that exceeds the costs of issuing the licence/permit to reflect this value. This needs to be balanced against the public good of a more mobile population.</w:t>
      </w:r>
    </w:p>
    <w:p w14:paraId="0FBA5569" w14:textId="77777777" w:rsidR="00282A3C" w:rsidRPr="00282A3C" w:rsidRDefault="00282A3C" w:rsidP="00EB4B02">
      <w:pPr>
        <w:pStyle w:val="TextPara"/>
        <w:numPr>
          <w:ilvl w:val="0"/>
          <w:numId w:val="31"/>
        </w:numPr>
      </w:pPr>
      <w:r w:rsidRPr="00282A3C">
        <w:t>Demand for permissions - the ongoing demand for these services is relatively inelastic, decisions to obtain licenses are unlikely to be strongly affected by changing the price of a licence. There is no indication that people are routinely avoiding the learner test based on cost.</w:t>
      </w:r>
    </w:p>
    <w:p w14:paraId="7A6B5A35" w14:textId="77777777" w:rsidR="00282A3C" w:rsidRPr="00282A3C" w:rsidRDefault="00282A3C" w:rsidP="00EB4B02">
      <w:pPr>
        <w:pStyle w:val="TextPara"/>
        <w:numPr>
          <w:ilvl w:val="0"/>
          <w:numId w:val="31"/>
        </w:numPr>
      </w:pPr>
      <w:r w:rsidRPr="00282A3C">
        <w:t xml:space="preserve">Public share in private value creation – the recovery which is in excess of the costs enables the broader public to incur lower fees elsewhere or enable the government to reduce the level of financial support that would otherwise be required to maintain VicRoads services, ultimately benefiting motorists and the broader public. </w:t>
      </w:r>
    </w:p>
    <w:p w14:paraId="30BA6A25" w14:textId="77777777" w:rsidR="001923CF" w:rsidRDefault="001923CF" w:rsidP="00CB51B0">
      <w:pPr>
        <w:pStyle w:val="TextPara"/>
      </w:pPr>
    </w:p>
    <w:p w14:paraId="56158F3F" w14:textId="77777777" w:rsidR="00BB52BC" w:rsidRDefault="00BB52BC"/>
    <w:p w14:paraId="1425467F" w14:textId="77777777" w:rsidR="00BB52BC" w:rsidRDefault="00BB52BC" w:rsidP="00370DA6">
      <w:pPr>
        <w:pStyle w:val="TextPara"/>
        <w:rPr>
          <w:rFonts w:cs="Segoe UI"/>
          <w:szCs w:val="20"/>
        </w:rPr>
      </w:pPr>
    </w:p>
    <w:p w14:paraId="750E2B1C" w14:textId="2A6A13A0" w:rsidR="00370DA6" w:rsidRDefault="00370DA6" w:rsidP="00370DA6">
      <w:pPr>
        <w:pStyle w:val="Heading1"/>
        <w:pageBreakBefore/>
        <w:spacing w:before="240" w:after="240"/>
      </w:pPr>
      <w:bookmarkStart w:id="865" w:name="_Toc4084262"/>
      <w:bookmarkStart w:id="866" w:name="_Ref4405143"/>
      <w:bookmarkStart w:id="867" w:name="_Ref4415852"/>
      <w:bookmarkStart w:id="868" w:name="_Ref4415904"/>
      <w:bookmarkStart w:id="869" w:name="_Ref4415955"/>
      <w:bookmarkStart w:id="870" w:name="_Toc10703539"/>
      <w:r>
        <w:lastRenderedPageBreak/>
        <w:t xml:space="preserve">Annual </w:t>
      </w:r>
      <w:r w:rsidRPr="00117C96">
        <w:t>Cost Recovery</w:t>
      </w:r>
      <w:bookmarkEnd w:id="865"/>
      <w:bookmarkEnd w:id="866"/>
      <w:bookmarkEnd w:id="867"/>
      <w:bookmarkEnd w:id="868"/>
      <w:bookmarkEnd w:id="869"/>
      <w:bookmarkEnd w:id="870"/>
    </w:p>
    <w:p w14:paraId="3B98BB1F" w14:textId="191F4F07" w:rsidR="00370DA6" w:rsidRPr="00D20BB5" w:rsidRDefault="00370DA6" w:rsidP="009F0BE5">
      <w:pPr>
        <w:pStyle w:val="TextPara"/>
        <w:rPr>
          <w:szCs w:val="20"/>
        </w:rPr>
      </w:pPr>
      <w:r w:rsidRPr="005071C8">
        <w:t xml:space="preserve">For completeness, </w:t>
      </w:r>
      <w:r w:rsidR="009C3740" w:rsidRPr="005071C8">
        <w:fldChar w:fldCharType="begin"/>
      </w:r>
      <w:r w:rsidR="009C3740" w:rsidRPr="005071C8">
        <w:instrText xml:space="preserve"> REF _Ref4415345 \h </w:instrText>
      </w:r>
      <w:r w:rsidR="005340E1" w:rsidRPr="005071C8">
        <w:instrText xml:space="preserve"> \* MERGEFORMAT </w:instrText>
      </w:r>
      <w:r w:rsidR="009C3740" w:rsidRPr="005071C8">
        <w:fldChar w:fldCharType="separate"/>
      </w:r>
      <w:r w:rsidR="00EB4B02">
        <w:t>Table 70</w:t>
      </w:r>
      <w:r w:rsidR="009C3740" w:rsidRPr="005071C8">
        <w:fldChar w:fldCharType="end"/>
      </w:r>
      <w:r w:rsidR="00964EE3">
        <w:t xml:space="preserve"> </w:t>
      </w:r>
      <w:r w:rsidRPr="005071C8">
        <w:t xml:space="preserve">shows a summarised cost recovery estimate based on the proposed fees. The summary </w:t>
      </w:r>
      <w:r w:rsidRPr="005071C8">
        <w:rPr>
          <w:szCs w:val="20"/>
        </w:rPr>
        <w:t xml:space="preserve">separates services relating to the </w:t>
      </w:r>
      <w:r w:rsidRPr="005071C8">
        <w:t xml:space="preserve">proposed Road Safety (Drivers) Regulations 2019 </w:t>
      </w:r>
      <w:r w:rsidRPr="005071C8">
        <w:rPr>
          <w:szCs w:val="20"/>
        </w:rPr>
        <w:t xml:space="preserve">from those subject to the </w:t>
      </w:r>
      <w:r w:rsidRPr="005071C8">
        <w:t>proposed Road Safety (Vehicles Registration) Regulations 2019</w:t>
      </w:r>
      <w:r w:rsidR="00984FAF" w:rsidRPr="005071C8">
        <w:t xml:space="preserve"> to be published </w:t>
      </w:r>
      <w:r w:rsidR="006F4ECF">
        <w:t xml:space="preserve">for consultation </w:t>
      </w:r>
      <w:r w:rsidR="00984FAF" w:rsidRPr="005071C8">
        <w:t>at a later date,</w:t>
      </w:r>
      <w:r w:rsidRPr="005071C8">
        <w:t xml:space="preserve"> </w:t>
      </w:r>
      <w:r w:rsidRPr="005071C8">
        <w:rPr>
          <w:szCs w:val="20"/>
        </w:rPr>
        <w:t>and other services not specified in either set of Regulations.</w:t>
      </w:r>
    </w:p>
    <w:p w14:paraId="6D4F681B" w14:textId="291BC524" w:rsidR="00370DA6" w:rsidRDefault="00370DA6" w:rsidP="00AA0BBA">
      <w:pPr>
        <w:pStyle w:val="Caption"/>
      </w:pPr>
      <w:bookmarkStart w:id="871" w:name="_Ref4415345"/>
      <w:bookmarkStart w:id="872" w:name="_Toc4084354"/>
      <w:bookmarkStart w:id="873" w:name="_Ref4416433"/>
      <w:bookmarkStart w:id="874" w:name="_Toc10703763"/>
      <w:r>
        <w:t xml:space="preserve">Table </w:t>
      </w:r>
      <w:r>
        <w:rPr>
          <w:noProof/>
        </w:rPr>
        <w:fldChar w:fldCharType="begin"/>
      </w:r>
      <w:r>
        <w:rPr>
          <w:noProof/>
        </w:rPr>
        <w:instrText xml:space="preserve"> SEQ Table \* ARABIC </w:instrText>
      </w:r>
      <w:r>
        <w:rPr>
          <w:noProof/>
        </w:rPr>
        <w:fldChar w:fldCharType="separate"/>
      </w:r>
      <w:r w:rsidR="00EB4B02">
        <w:rPr>
          <w:noProof/>
        </w:rPr>
        <w:t>70</w:t>
      </w:r>
      <w:r>
        <w:rPr>
          <w:noProof/>
        </w:rPr>
        <w:fldChar w:fldCharType="end"/>
      </w:r>
      <w:bookmarkEnd w:id="871"/>
      <w:r>
        <w:t xml:space="preserve"> – Annual</w:t>
      </w:r>
      <w:r w:rsidRPr="00B74FAF">
        <w:t xml:space="preserve"> Cost Recovery: </w:t>
      </w:r>
      <w:r w:rsidRPr="00C443EC">
        <w:t>FY19/20</w:t>
      </w:r>
      <w:r>
        <w:t xml:space="preserve"> to </w:t>
      </w:r>
      <w:r w:rsidRPr="00C443EC">
        <w:t>FY22/23</w:t>
      </w:r>
      <w:r w:rsidRPr="00D34ED7">
        <w:t xml:space="preserve"> </w:t>
      </w:r>
      <w:r>
        <w:t>Average</w:t>
      </w:r>
      <w:bookmarkEnd w:id="872"/>
      <w:bookmarkEnd w:id="873"/>
      <w:bookmarkEnd w:id="874"/>
    </w:p>
    <w:tbl>
      <w:tblPr>
        <w:tblStyle w:val="RIS-Table2"/>
        <w:tblW w:w="9427" w:type="dxa"/>
        <w:tblLook w:val="04A0" w:firstRow="1" w:lastRow="0" w:firstColumn="1" w:lastColumn="0" w:noHBand="0" w:noVBand="1"/>
      </w:tblPr>
      <w:tblGrid>
        <w:gridCol w:w="5807"/>
        <w:gridCol w:w="1276"/>
        <w:gridCol w:w="1134"/>
        <w:gridCol w:w="1210"/>
      </w:tblGrid>
      <w:tr w:rsidR="00370DA6" w:rsidRPr="00123DE6" w14:paraId="3B1572C8" w14:textId="77777777" w:rsidTr="00F145F7">
        <w:trPr>
          <w:cnfStyle w:val="100000000000" w:firstRow="1" w:lastRow="0" w:firstColumn="0" w:lastColumn="0" w:oddVBand="0" w:evenVBand="0" w:oddHBand="0" w:evenHBand="0" w:firstRowFirstColumn="0" w:firstRowLastColumn="0" w:lastRowFirstColumn="0" w:lastRowLastColumn="0"/>
          <w:trHeight w:val="495"/>
        </w:trPr>
        <w:tc>
          <w:tcPr>
            <w:tcW w:w="5807" w:type="dxa"/>
            <w:hideMark/>
          </w:tcPr>
          <w:p w14:paraId="1A59B777" w14:textId="77777777" w:rsidR="00370DA6" w:rsidRPr="00123DE6" w:rsidRDefault="004D5FF7" w:rsidP="004D5FF7">
            <w:pPr>
              <w:pStyle w:val="TableHeaders"/>
            </w:pPr>
            <w:r>
              <w:t>Road Safety (</w:t>
            </w:r>
            <w:r w:rsidR="00370DA6" w:rsidRPr="00123DE6">
              <w:t>Drivers</w:t>
            </w:r>
            <w:r>
              <w:t>) Regulations</w:t>
            </w:r>
          </w:p>
        </w:tc>
        <w:tc>
          <w:tcPr>
            <w:tcW w:w="1276" w:type="dxa"/>
            <w:hideMark/>
          </w:tcPr>
          <w:p w14:paraId="7EE01A2E" w14:textId="77777777" w:rsidR="00370DA6" w:rsidRPr="00123DE6" w:rsidRDefault="00370DA6" w:rsidP="00BB5D17">
            <w:pPr>
              <w:pStyle w:val="TableHeaders"/>
            </w:pPr>
            <w:r w:rsidRPr="00123DE6">
              <w:t>Costs</w:t>
            </w:r>
            <w:r w:rsidR="00BB5D17">
              <w:br/>
            </w:r>
            <w:r>
              <w:t>$m (PV)</w:t>
            </w:r>
          </w:p>
        </w:tc>
        <w:tc>
          <w:tcPr>
            <w:tcW w:w="1134" w:type="dxa"/>
            <w:hideMark/>
          </w:tcPr>
          <w:p w14:paraId="765961A0" w14:textId="77777777" w:rsidR="00370DA6" w:rsidRPr="00123DE6" w:rsidRDefault="00370DA6" w:rsidP="00BB5D17">
            <w:pPr>
              <w:pStyle w:val="TableHeaders"/>
            </w:pPr>
            <w:r w:rsidRPr="00123DE6">
              <w:t>Revenue</w:t>
            </w:r>
            <w:r w:rsidR="00BB5D17">
              <w:br/>
            </w:r>
            <w:r>
              <w:t>$m (PV)</w:t>
            </w:r>
          </w:p>
        </w:tc>
        <w:tc>
          <w:tcPr>
            <w:tcW w:w="1210" w:type="dxa"/>
            <w:noWrap/>
            <w:hideMark/>
          </w:tcPr>
          <w:p w14:paraId="5E032E56" w14:textId="77777777" w:rsidR="00370DA6" w:rsidRPr="00123DE6" w:rsidRDefault="00370DA6" w:rsidP="00BB5D17">
            <w:pPr>
              <w:pStyle w:val="TableHeaders"/>
              <w:spacing w:line="276" w:lineRule="auto"/>
            </w:pPr>
            <w:r>
              <w:t>Recovery</w:t>
            </w:r>
            <w:r w:rsidR="00BB5D17">
              <w:br/>
            </w:r>
            <w:r>
              <w:t>$m (PV)</w:t>
            </w:r>
          </w:p>
        </w:tc>
      </w:tr>
      <w:tr w:rsidR="00370DA6" w:rsidRPr="006979E1" w14:paraId="1C33C1CD" w14:textId="77777777" w:rsidTr="00F145F7">
        <w:trPr>
          <w:trHeight w:val="315"/>
        </w:trPr>
        <w:tc>
          <w:tcPr>
            <w:tcW w:w="9427" w:type="dxa"/>
            <w:gridSpan w:val="4"/>
            <w:shd w:val="clear" w:color="auto" w:fill="auto"/>
            <w:noWrap/>
            <w:hideMark/>
          </w:tcPr>
          <w:p w14:paraId="40E13ED1" w14:textId="77777777" w:rsidR="00370DA6" w:rsidRPr="006979E1" w:rsidRDefault="00370DA6" w:rsidP="006B6D5C">
            <w:pPr>
              <w:pStyle w:val="TableParagraph"/>
              <w:rPr>
                <w:rFonts w:eastAsia="Times New Roman" w:cs="Segoe UI"/>
                <w:b/>
                <w:i/>
                <w:color w:val="004D2E" w:themeColor="accent4" w:themeShade="BF"/>
                <w:szCs w:val="18"/>
              </w:rPr>
            </w:pPr>
            <w:r w:rsidRPr="003E2558">
              <w:rPr>
                <w:b/>
                <w:i/>
              </w:rPr>
              <w:t>Services</w:t>
            </w:r>
            <w:r>
              <w:rPr>
                <w:b/>
                <w:i/>
              </w:rPr>
              <w:t xml:space="preserve"> Groups</w:t>
            </w:r>
          </w:p>
        </w:tc>
      </w:tr>
      <w:tr w:rsidR="00F944FE" w:rsidRPr="005324D2" w14:paraId="0C776571" w14:textId="77777777" w:rsidTr="00F145F7">
        <w:trPr>
          <w:cnfStyle w:val="000000010000" w:firstRow="0" w:lastRow="0" w:firstColumn="0" w:lastColumn="0" w:oddVBand="0" w:evenVBand="0" w:oddHBand="0" w:evenHBand="1" w:firstRowFirstColumn="0" w:firstRowLastColumn="0" w:lastRowFirstColumn="0" w:lastRowLastColumn="0"/>
          <w:trHeight w:val="330"/>
        </w:trPr>
        <w:tc>
          <w:tcPr>
            <w:tcW w:w="5807" w:type="dxa"/>
            <w:shd w:val="clear" w:color="auto" w:fill="auto"/>
            <w:noWrap/>
          </w:tcPr>
          <w:p w14:paraId="089EA234" w14:textId="77777777" w:rsidR="00F944FE" w:rsidRDefault="00F944FE" w:rsidP="00F944FE">
            <w:pPr>
              <w:pStyle w:val="TableParagraph"/>
              <w:ind w:left="171"/>
            </w:pPr>
            <w:r>
              <w:t>Licence and Learner Permit Administration - General</w:t>
            </w:r>
          </w:p>
        </w:tc>
        <w:tc>
          <w:tcPr>
            <w:tcW w:w="1276" w:type="dxa"/>
            <w:shd w:val="clear" w:color="auto" w:fill="auto"/>
            <w:noWrap/>
          </w:tcPr>
          <w:p w14:paraId="48C1585E" w14:textId="08DCAE94" w:rsidR="00F944FE" w:rsidRDefault="00F944FE" w:rsidP="00F944FE">
            <w:pPr>
              <w:pStyle w:val="TableParagraph"/>
              <w:ind w:right="179"/>
              <w:jc w:val="right"/>
            </w:pPr>
            <w:r w:rsidRPr="00FA658C">
              <w:t xml:space="preserve"> 6.69 </w:t>
            </w:r>
          </w:p>
        </w:tc>
        <w:tc>
          <w:tcPr>
            <w:tcW w:w="1134" w:type="dxa"/>
            <w:shd w:val="clear" w:color="auto" w:fill="auto"/>
            <w:noWrap/>
          </w:tcPr>
          <w:p w14:paraId="3C67DFD2" w14:textId="55EE64B1" w:rsidR="00F944FE" w:rsidRDefault="00F944FE" w:rsidP="00F944FE">
            <w:pPr>
              <w:pStyle w:val="TableParagraph"/>
              <w:ind w:right="179"/>
              <w:jc w:val="right"/>
            </w:pPr>
            <w:r w:rsidRPr="00FA658C">
              <w:t xml:space="preserve"> 6.73 </w:t>
            </w:r>
          </w:p>
        </w:tc>
        <w:tc>
          <w:tcPr>
            <w:tcW w:w="1210" w:type="dxa"/>
            <w:shd w:val="clear" w:color="auto" w:fill="auto"/>
            <w:noWrap/>
          </w:tcPr>
          <w:p w14:paraId="780254AD" w14:textId="79479F1E" w:rsidR="00F944FE" w:rsidRDefault="00F944FE" w:rsidP="00F944FE">
            <w:pPr>
              <w:pStyle w:val="TableParagraph"/>
              <w:ind w:right="179"/>
              <w:jc w:val="right"/>
            </w:pPr>
            <w:r>
              <w:t>+  0 .04</w:t>
            </w:r>
          </w:p>
        </w:tc>
      </w:tr>
      <w:tr w:rsidR="00F944FE" w:rsidRPr="005324D2" w14:paraId="6CE0A78A" w14:textId="77777777" w:rsidTr="00F145F7">
        <w:trPr>
          <w:trHeight w:val="330"/>
        </w:trPr>
        <w:tc>
          <w:tcPr>
            <w:tcW w:w="5807" w:type="dxa"/>
            <w:shd w:val="clear" w:color="auto" w:fill="auto"/>
            <w:noWrap/>
            <w:hideMark/>
          </w:tcPr>
          <w:p w14:paraId="5B7B4570" w14:textId="77777777" w:rsidR="00F944FE" w:rsidRPr="008711E3" w:rsidRDefault="00F944FE" w:rsidP="00F944FE">
            <w:pPr>
              <w:pStyle w:val="TableParagraph"/>
              <w:ind w:left="171"/>
            </w:pPr>
            <w:r>
              <w:t>Licence and Learner Permit Testing</w:t>
            </w:r>
          </w:p>
        </w:tc>
        <w:tc>
          <w:tcPr>
            <w:tcW w:w="1276" w:type="dxa"/>
            <w:shd w:val="clear" w:color="auto" w:fill="auto"/>
            <w:noWrap/>
            <w:hideMark/>
          </w:tcPr>
          <w:p w14:paraId="2323CC08" w14:textId="64E427BF" w:rsidR="00F944FE" w:rsidRPr="008A6D06" w:rsidRDefault="00F944FE" w:rsidP="00F944FE">
            <w:pPr>
              <w:pStyle w:val="TableParagraph"/>
              <w:ind w:right="179"/>
              <w:jc w:val="right"/>
            </w:pPr>
            <w:r w:rsidRPr="00FA658C">
              <w:t xml:space="preserve"> 40.94 </w:t>
            </w:r>
          </w:p>
        </w:tc>
        <w:tc>
          <w:tcPr>
            <w:tcW w:w="1134" w:type="dxa"/>
            <w:shd w:val="clear" w:color="auto" w:fill="auto"/>
            <w:noWrap/>
            <w:hideMark/>
          </w:tcPr>
          <w:p w14:paraId="2F57096D" w14:textId="653A7203" w:rsidR="00F944FE" w:rsidRPr="008A6D06" w:rsidRDefault="00F944FE" w:rsidP="00F944FE">
            <w:pPr>
              <w:pStyle w:val="TableParagraph"/>
              <w:ind w:right="179"/>
              <w:jc w:val="right"/>
            </w:pPr>
            <w:r w:rsidRPr="00FA658C">
              <w:t xml:space="preserve"> 30.71 </w:t>
            </w:r>
          </w:p>
        </w:tc>
        <w:tc>
          <w:tcPr>
            <w:tcW w:w="1210" w:type="dxa"/>
            <w:shd w:val="clear" w:color="auto" w:fill="auto"/>
            <w:noWrap/>
            <w:hideMark/>
          </w:tcPr>
          <w:p w14:paraId="39116F1E" w14:textId="7F4A79EB" w:rsidR="00F944FE" w:rsidRPr="007717E0" w:rsidRDefault="00F944FE" w:rsidP="00F944FE">
            <w:pPr>
              <w:pStyle w:val="TableParagraph"/>
              <w:ind w:right="179"/>
              <w:jc w:val="right"/>
              <w:rPr>
                <w:color w:val="FF0000"/>
              </w:rPr>
            </w:pPr>
            <w:r w:rsidRPr="007717E0">
              <w:rPr>
                <w:color w:val="FF0000"/>
              </w:rPr>
              <w:t xml:space="preserve">-   </w:t>
            </w:r>
            <w:r>
              <w:rPr>
                <w:color w:val="FF0000"/>
              </w:rPr>
              <w:t>10.22</w:t>
            </w:r>
            <w:r w:rsidRPr="007717E0">
              <w:rPr>
                <w:color w:val="FF0000"/>
              </w:rPr>
              <w:t xml:space="preserve"> </w:t>
            </w:r>
          </w:p>
        </w:tc>
      </w:tr>
      <w:tr w:rsidR="00F944FE" w:rsidRPr="005324D2" w14:paraId="10E188D7" w14:textId="77777777" w:rsidTr="00F145F7">
        <w:trPr>
          <w:cnfStyle w:val="000000010000" w:firstRow="0" w:lastRow="0" w:firstColumn="0" w:lastColumn="0" w:oddVBand="0" w:evenVBand="0" w:oddHBand="0" w:evenHBand="1" w:firstRowFirstColumn="0" w:firstRowLastColumn="0" w:lastRowFirstColumn="0" w:lastRowLastColumn="0"/>
          <w:trHeight w:val="315"/>
        </w:trPr>
        <w:tc>
          <w:tcPr>
            <w:tcW w:w="5807" w:type="dxa"/>
            <w:shd w:val="clear" w:color="auto" w:fill="auto"/>
            <w:noWrap/>
            <w:hideMark/>
          </w:tcPr>
          <w:p w14:paraId="01884A94" w14:textId="77777777" w:rsidR="00F944FE" w:rsidRPr="008711E3" w:rsidRDefault="00F944FE" w:rsidP="00F944FE">
            <w:pPr>
              <w:pStyle w:val="TableParagraph"/>
              <w:ind w:left="171"/>
            </w:pPr>
            <w:r w:rsidRPr="008711E3">
              <w:t xml:space="preserve">Medical </w:t>
            </w:r>
            <w:r>
              <w:t xml:space="preserve">Fitness-to-Drive </w:t>
            </w:r>
            <w:r w:rsidRPr="008711E3">
              <w:t>Review</w:t>
            </w:r>
          </w:p>
        </w:tc>
        <w:tc>
          <w:tcPr>
            <w:tcW w:w="1276" w:type="dxa"/>
            <w:shd w:val="clear" w:color="auto" w:fill="auto"/>
            <w:noWrap/>
            <w:hideMark/>
          </w:tcPr>
          <w:p w14:paraId="64A1C38A" w14:textId="1A1DBA52" w:rsidR="00F944FE" w:rsidRPr="008A6D06" w:rsidRDefault="00F944FE" w:rsidP="00F944FE">
            <w:pPr>
              <w:pStyle w:val="TableParagraph"/>
              <w:ind w:right="179"/>
              <w:jc w:val="right"/>
            </w:pPr>
            <w:r w:rsidRPr="00FA658C">
              <w:t xml:space="preserve"> 6.83 </w:t>
            </w:r>
          </w:p>
        </w:tc>
        <w:tc>
          <w:tcPr>
            <w:tcW w:w="1134" w:type="dxa"/>
            <w:shd w:val="clear" w:color="auto" w:fill="auto"/>
            <w:noWrap/>
            <w:hideMark/>
          </w:tcPr>
          <w:p w14:paraId="2CD772AE" w14:textId="659DD021" w:rsidR="00F944FE" w:rsidRPr="008A6D06" w:rsidRDefault="00F944FE" w:rsidP="00F944FE">
            <w:pPr>
              <w:pStyle w:val="TableParagraph"/>
              <w:ind w:right="179"/>
              <w:jc w:val="right"/>
            </w:pPr>
            <w:r w:rsidRPr="00FA658C">
              <w:t xml:space="preserve"> -   </w:t>
            </w:r>
          </w:p>
        </w:tc>
        <w:tc>
          <w:tcPr>
            <w:tcW w:w="1210" w:type="dxa"/>
            <w:shd w:val="clear" w:color="auto" w:fill="auto"/>
            <w:noWrap/>
            <w:hideMark/>
          </w:tcPr>
          <w:p w14:paraId="60575194" w14:textId="54D29C17" w:rsidR="00F944FE" w:rsidRPr="007717E0" w:rsidRDefault="00F944FE" w:rsidP="00F944FE">
            <w:pPr>
              <w:pStyle w:val="TableParagraph"/>
              <w:ind w:right="179"/>
              <w:jc w:val="right"/>
              <w:rPr>
                <w:color w:val="FF0000"/>
              </w:rPr>
            </w:pPr>
            <w:r w:rsidRPr="007717E0">
              <w:rPr>
                <w:color w:val="FF0000"/>
              </w:rPr>
              <w:t xml:space="preserve">-    </w:t>
            </w:r>
            <w:r>
              <w:rPr>
                <w:color w:val="FF0000"/>
              </w:rPr>
              <w:t>6.83</w:t>
            </w:r>
            <w:r w:rsidRPr="007717E0">
              <w:rPr>
                <w:color w:val="FF0000"/>
              </w:rPr>
              <w:t xml:space="preserve"> </w:t>
            </w:r>
          </w:p>
        </w:tc>
      </w:tr>
      <w:tr w:rsidR="00F944FE" w:rsidRPr="005324D2" w14:paraId="07EB4D3E" w14:textId="77777777" w:rsidTr="00F145F7">
        <w:trPr>
          <w:trHeight w:val="315"/>
        </w:trPr>
        <w:tc>
          <w:tcPr>
            <w:tcW w:w="5807" w:type="dxa"/>
            <w:shd w:val="clear" w:color="auto" w:fill="auto"/>
            <w:noWrap/>
            <w:hideMark/>
          </w:tcPr>
          <w:p w14:paraId="374B4D10" w14:textId="77777777" w:rsidR="00F944FE" w:rsidRDefault="00F944FE" w:rsidP="00F944FE">
            <w:pPr>
              <w:pStyle w:val="TableParagraph"/>
              <w:ind w:left="171"/>
            </w:pPr>
            <w:r>
              <w:t>Driver Behaviour Management - Sanctions</w:t>
            </w:r>
          </w:p>
        </w:tc>
        <w:tc>
          <w:tcPr>
            <w:tcW w:w="1276" w:type="dxa"/>
            <w:shd w:val="clear" w:color="auto" w:fill="auto"/>
            <w:noWrap/>
            <w:hideMark/>
          </w:tcPr>
          <w:p w14:paraId="5ED8380D" w14:textId="10886DCB" w:rsidR="00F944FE" w:rsidRPr="008A6D06" w:rsidRDefault="00F944FE" w:rsidP="00F944FE">
            <w:pPr>
              <w:pStyle w:val="TableParagraph"/>
              <w:ind w:right="179"/>
              <w:jc w:val="right"/>
            </w:pPr>
            <w:r w:rsidRPr="00FA658C">
              <w:t xml:space="preserve"> 10.36 </w:t>
            </w:r>
          </w:p>
        </w:tc>
        <w:tc>
          <w:tcPr>
            <w:tcW w:w="1134" w:type="dxa"/>
            <w:shd w:val="clear" w:color="auto" w:fill="auto"/>
            <w:noWrap/>
            <w:hideMark/>
          </w:tcPr>
          <w:p w14:paraId="27EB3160" w14:textId="66DEF527" w:rsidR="00F944FE" w:rsidRPr="008A6D06" w:rsidRDefault="00F944FE" w:rsidP="00F944FE">
            <w:pPr>
              <w:pStyle w:val="TableParagraph"/>
              <w:ind w:right="179"/>
              <w:jc w:val="right"/>
            </w:pPr>
            <w:r w:rsidRPr="00FA658C">
              <w:t xml:space="preserve"> -   </w:t>
            </w:r>
          </w:p>
        </w:tc>
        <w:tc>
          <w:tcPr>
            <w:tcW w:w="1210" w:type="dxa"/>
            <w:shd w:val="clear" w:color="auto" w:fill="auto"/>
            <w:noWrap/>
            <w:hideMark/>
          </w:tcPr>
          <w:p w14:paraId="04D203E0" w14:textId="2C69DD08" w:rsidR="00F944FE" w:rsidRPr="007717E0" w:rsidRDefault="00F944FE" w:rsidP="00F944FE">
            <w:pPr>
              <w:pStyle w:val="TableParagraph"/>
              <w:ind w:right="179"/>
              <w:jc w:val="right"/>
              <w:rPr>
                <w:color w:val="FF0000"/>
              </w:rPr>
            </w:pPr>
            <w:r w:rsidRPr="007717E0">
              <w:rPr>
                <w:color w:val="FF0000"/>
              </w:rPr>
              <w:t xml:space="preserve">-   </w:t>
            </w:r>
            <w:r>
              <w:rPr>
                <w:color w:val="FF0000"/>
              </w:rPr>
              <w:t>10.36</w:t>
            </w:r>
            <w:r w:rsidRPr="007717E0">
              <w:rPr>
                <w:color w:val="FF0000"/>
              </w:rPr>
              <w:t xml:space="preserve"> </w:t>
            </w:r>
          </w:p>
        </w:tc>
      </w:tr>
      <w:tr w:rsidR="00F944FE" w:rsidRPr="005324D2" w14:paraId="2BFB1F12" w14:textId="77777777" w:rsidTr="00F145F7">
        <w:trPr>
          <w:cnfStyle w:val="000000010000" w:firstRow="0" w:lastRow="0" w:firstColumn="0" w:lastColumn="0" w:oddVBand="0" w:evenVBand="0" w:oddHBand="0" w:evenHBand="1" w:firstRowFirstColumn="0" w:firstRowLastColumn="0" w:lastRowFirstColumn="0" w:lastRowLastColumn="0"/>
          <w:trHeight w:val="315"/>
        </w:trPr>
        <w:tc>
          <w:tcPr>
            <w:tcW w:w="5807" w:type="dxa"/>
            <w:shd w:val="clear" w:color="auto" w:fill="auto"/>
            <w:noWrap/>
          </w:tcPr>
          <w:p w14:paraId="68FF0515" w14:textId="77777777" w:rsidR="00F944FE" w:rsidRDefault="00F944FE" w:rsidP="00F944FE">
            <w:pPr>
              <w:pStyle w:val="TableParagraph"/>
              <w:ind w:left="171"/>
            </w:pPr>
            <w:r>
              <w:t>Driver Behaviour Management – Alcohol Interlocks</w:t>
            </w:r>
          </w:p>
        </w:tc>
        <w:tc>
          <w:tcPr>
            <w:tcW w:w="1276" w:type="dxa"/>
            <w:shd w:val="clear" w:color="auto" w:fill="auto"/>
            <w:noWrap/>
          </w:tcPr>
          <w:p w14:paraId="1A72F45C" w14:textId="65D67B7F" w:rsidR="00F944FE" w:rsidRPr="00FD0425" w:rsidRDefault="00F944FE" w:rsidP="00F944FE">
            <w:pPr>
              <w:pStyle w:val="TableParagraph"/>
              <w:ind w:right="179"/>
              <w:jc w:val="right"/>
            </w:pPr>
            <w:r w:rsidRPr="00FA658C">
              <w:t xml:space="preserve"> 2.50 </w:t>
            </w:r>
          </w:p>
        </w:tc>
        <w:tc>
          <w:tcPr>
            <w:tcW w:w="1134" w:type="dxa"/>
            <w:shd w:val="clear" w:color="auto" w:fill="auto"/>
            <w:noWrap/>
          </w:tcPr>
          <w:p w14:paraId="47153F52" w14:textId="4570CC56" w:rsidR="00F944FE" w:rsidRPr="00FD0425" w:rsidRDefault="00F944FE" w:rsidP="00F944FE">
            <w:pPr>
              <w:pStyle w:val="TableParagraph"/>
              <w:ind w:right="179"/>
              <w:jc w:val="right"/>
            </w:pPr>
            <w:r w:rsidRPr="00FA658C">
              <w:t xml:space="preserve"> 3.24 </w:t>
            </w:r>
          </w:p>
        </w:tc>
        <w:tc>
          <w:tcPr>
            <w:tcW w:w="1210" w:type="dxa"/>
            <w:shd w:val="clear" w:color="auto" w:fill="auto"/>
            <w:noWrap/>
          </w:tcPr>
          <w:p w14:paraId="152AF4B9" w14:textId="2EBB07DB" w:rsidR="00F944FE" w:rsidRPr="007717E0" w:rsidRDefault="00F944FE" w:rsidP="00F944FE">
            <w:pPr>
              <w:pStyle w:val="TableParagraph"/>
              <w:ind w:right="179"/>
              <w:jc w:val="right"/>
              <w:rPr>
                <w:color w:val="FF0000"/>
              </w:rPr>
            </w:pPr>
            <w:r w:rsidRPr="00041660">
              <w:rPr>
                <w:color w:val="000000" w:themeColor="text1"/>
              </w:rPr>
              <w:t>-    0.7</w:t>
            </w:r>
            <w:r>
              <w:rPr>
                <w:color w:val="000000" w:themeColor="text1"/>
              </w:rPr>
              <w:t>4</w:t>
            </w:r>
            <w:r w:rsidRPr="00041660">
              <w:rPr>
                <w:color w:val="000000" w:themeColor="text1"/>
              </w:rPr>
              <w:t xml:space="preserve"> </w:t>
            </w:r>
          </w:p>
        </w:tc>
      </w:tr>
      <w:tr w:rsidR="00F944FE" w:rsidRPr="005324D2" w14:paraId="07AF190F" w14:textId="77777777" w:rsidTr="00F145F7">
        <w:trPr>
          <w:trHeight w:val="315"/>
        </w:trPr>
        <w:tc>
          <w:tcPr>
            <w:tcW w:w="5807" w:type="dxa"/>
            <w:shd w:val="clear" w:color="auto" w:fill="auto"/>
            <w:noWrap/>
            <w:hideMark/>
          </w:tcPr>
          <w:p w14:paraId="5BE3C26A" w14:textId="77777777" w:rsidR="00F944FE" w:rsidRPr="008711E3" w:rsidRDefault="00F944FE" w:rsidP="00F944FE">
            <w:pPr>
              <w:pStyle w:val="TableParagraph"/>
              <w:ind w:left="171"/>
            </w:pPr>
            <w:r>
              <w:t>Information Extracts and Reports</w:t>
            </w:r>
          </w:p>
        </w:tc>
        <w:tc>
          <w:tcPr>
            <w:tcW w:w="1276" w:type="dxa"/>
            <w:shd w:val="clear" w:color="auto" w:fill="auto"/>
            <w:noWrap/>
            <w:hideMark/>
          </w:tcPr>
          <w:p w14:paraId="4BA64448" w14:textId="4502D38B" w:rsidR="00F944FE" w:rsidRPr="008A6D06" w:rsidRDefault="00F944FE" w:rsidP="00F944FE">
            <w:pPr>
              <w:pStyle w:val="TableParagraph"/>
              <w:ind w:right="179"/>
              <w:jc w:val="right"/>
            </w:pPr>
            <w:r w:rsidRPr="00FA658C">
              <w:t xml:space="preserve"> 2.53 </w:t>
            </w:r>
          </w:p>
        </w:tc>
        <w:tc>
          <w:tcPr>
            <w:tcW w:w="1134" w:type="dxa"/>
            <w:shd w:val="clear" w:color="auto" w:fill="auto"/>
            <w:noWrap/>
            <w:hideMark/>
          </w:tcPr>
          <w:p w14:paraId="44966DF3" w14:textId="282E55A8" w:rsidR="00F944FE" w:rsidRPr="008A6D06" w:rsidRDefault="00F944FE" w:rsidP="00F944FE">
            <w:pPr>
              <w:pStyle w:val="TableParagraph"/>
              <w:ind w:right="179"/>
              <w:jc w:val="right"/>
            </w:pPr>
            <w:r w:rsidRPr="00FA658C">
              <w:t xml:space="preserve"> 2.65 </w:t>
            </w:r>
          </w:p>
        </w:tc>
        <w:tc>
          <w:tcPr>
            <w:tcW w:w="1210" w:type="dxa"/>
            <w:shd w:val="clear" w:color="auto" w:fill="auto"/>
            <w:noWrap/>
            <w:hideMark/>
          </w:tcPr>
          <w:p w14:paraId="5A04DD6A" w14:textId="58292CCE" w:rsidR="00F944FE" w:rsidRPr="008A6D06" w:rsidRDefault="00F944FE" w:rsidP="00F944FE">
            <w:pPr>
              <w:pStyle w:val="TableParagraph"/>
              <w:ind w:right="179"/>
              <w:jc w:val="right"/>
            </w:pPr>
            <w:r>
              <w:t xml:space="preserve">+   </w:t>
            </w:r>
            <w:r w:rsidRPr="00A5459A">
              <w:t>0.1</w:t>
            </w:r>
            <w:r>
              <w:t>2</w:t>
            </w:r>
            <w:r w:rsidRPr="00A5459A">
              <w:t xml:space="preserve"> </w:t>
            </w:r>
          </w:p>
        </w:tc>
      </w:tr>
      <w:tr w:rsidR="00F944FE" w:rsidRPr="00B92BA2" w14:paraId="1EDE00CC" w14:textId="77777777" w:rsidTr="00F145F7">
        <w:trPr>
          <w:cnfStyle w:val="000000010000" w:firstRow="0" w:lastRow="0" w:firstColumn="0" w:lastColumn="0" w:oddVBand="0" w:evenVBand="0" w:oddHBand="0" w:evenHBand="1" w:firstRowFirstColumn="0" w:firstRowLastColumn="0" w:lastRowFirstColumn="0" w:lastRowLastColumn="0"/>
          <w:trHeight w:val="330"/>
        </w:trPr>
        <w:tc>
          <w:tcPr>
            <w:tcW w:w="5807" w:type="dxa"/>
            <w:shd w:val="clear" w:color="auto" w:fill="DDE8F4" w:themeFill="text2" w:themeFillTint="1A"/>
            <w:noWrap/>
            <w:hideMark/>
          </w:tcPr>
          <w:p w14:paraId="6360F6FD" w14:textId="77777777" w:rsidR="00F944FE" w:rsidRPr="003E2558" w:rsidRDefault="00F944FE" w:rsidP="00F944FE">
            <w:pPr>
              <w:pStyle w:val="TableParagraph"/>
              <w:jc w:val="right"/>
              <w:rPr>
                <w:b/>
              </w:rPr>
            </w:pPr>
            <w:r w:rsidRPr="003E2558">
              <w:rPr>
                <w:b/>
              </w:rPr>
              <w:t>Total Services</w:t>
            </w:r>
          </w:p>
        </w:tc>
        <w:tc>
          <w:tcPr>
            <w:tcW w:w="1276" w:type="dxa"/>
            <w:shd w:val="clear" w:color="auto" w:fill="DDE8F4" w:themeFill="text2" w:themeFillTint="1A"/>
            <w:noWrap/>
            <w:hideMark/>
          </w:tcPr>
          <w:p w14:paraId="19F03E00" w14:textId="47B6B6AF" w:rsidR="00F944FE" w:rsidRPr="00F944FE" w:rsidRDefault="00F944FE" w:rsidP="00F944FE">
            <w:pPr>
              <w:pStyle w:val="TableParagraph"/>
              <w:ind w:right="179"/>
              <w:jc w:val="right"/>
              <w:rPr>
                <w:b/>
              </w:rPr>
            </w:pPr>
            <w:r w:rsidRPr="00F944FE">
              <w:rPr>
                <w:b/>
              </w:rPr>
              <w:t xml:space="preserve"> 69.86 </w:t>
            </w:r>
          </w:p>
        </w:tc>
        <w:tc>
          <w:tcPr>
            <w:tcW w:w="1134" w:type="dxa"/>
            <w:shd w:val="clear" w:color="auto" w:fill="DDE8F4" w:themeFill="text2" w:themeFillTint="1A"/>
            <w:noWrap/>
            <w:hideMark/>
          </w:tcPr>
          <w:p w14:paraId="308743AB" w14:textId="4488A36F" w:rsidR="00F944FE" w:rsidRPr="00F944FE" w:rsidRDefault="00F944FE" w:rsidP="00F944FE">
            <w:pPr>
              <w:pStyle w:val="TableParagraph"/>
              <w:ind w:right="179"/>
              <w:jc w:val="right"/>
              <w:rPr>
                <w:b/>
              </w:rPr>
            </w:pPr>
            <w:r w:rsidRPr="00F944FE">
              <w:rPr>
                <w:b/>
              </w:rPr>
              <w:t xml:space="preserve"> 43.34 </w:t>
            </w:r>
          </w:p>
        </w:tc>
        <w:tc>
          <w:tcPr>
            <w:tcW w:w="1210" w:type="dxa"/>
            <w:shd w:val="clear" w:color="auto" w:fill="DDE8F4" w:themeFill="text2" w:themeFillTint="1A"/>
            <w:noWrap/>
            <w:hideMark/>
          </w:tcPr>
          <w:p w14:paraId="503BBD67" w14:textId="3EA8C948" w:rsidR="00F944FE" w:rsidRPr="007717E0" w:rsidRDefault="00F944FE" w:rsidP="00F944FE">
            <w:pPr>
              <w:pStyle w:val="TableParagraph"/>
              <w:ind w:right="171"/>
              <w:jc w:val="right"/>
              <w:rPr>
                <w:b/>
                <w:color w:val="FF0000"/>
              </w:rPr>
            </w:pPr>
            <w:r w:rsidRPr="001374B0">
              <w:rPr>
                <w:b/>
                <w:color w:val="FF0000"/>
              </w:rPr>
              <w:t xml:space="preserve">-  </w:t>
            </w:r>
            <w:r>
              <w:rPr>
                <w:b/>
                <w:color w:val="FF0000"/>
              </w:rPr>
              <w:t>26.52</w:t>
            </w:r>
          </w:p>
        </w:tc>
      </w:tr>
      <w:tr w:rsidR="00370DA6" w:rsidRPr="00B92BA2" w14:paraId="371867F5" w14:textId="77777777" w:rsidTr="00F145F7">
        <w:trPr>
          <w:trHeight w:val="330"/>
        </w:trPr>
        <w:tc>
          <w:tcPr>
            <w:tcW w:w="5807" w:type="dxa"/>
            <w:shd w:val="clear" w:color="auto" w:fill="DDE8F4" w:themeFill="text2" w:themeFillTint="1A"/>
            <w:noWrap/>
          </w:tcPr>
          <w:p w14:paraId="45D1468F" w14:textId="77777777" w:rsidR="00370DA6" w:rsidRPr="003E2558" w:rsidRDefault="00370DA6" w:rsidP="00370DA6">
            <w:pPr>
              <w:pStyle w:val="TableParagraph"/>
              <w:jc w:val="right"/>
              <w:rPr>
                <w:b/>
              </w:rPr>
            </w:pPr>
            <w:r w:rsidRPr="007717E0">
              <w:rPr>
                <w:i/>
              </w:rPr>
              <w:t>Cost Recovery</w:t>
            </w:r>
          </w:p>
        </w:tc>
        <w:tc>
          <w:tcPr>
            <w:tcW w:w="1276" w:type="dxa"/>
            <w:shd w:val="clear" w:color="auto" w:fill="DDE8F4" w:themeFill="text2" w:themeFillTint="1A"/>
            <w:noWrap/>
          </w:tcPr>
          <w:p w14:paraId="088CBB7D" w14:textId="77777777" w:rsidR="00370DA6" w:rsidRPr="007717E0" w:rsidRDefault="00370DA6" w:rsidP="00370DA6">
            <w:pPr>
              <w:pStyle w:val="TableParagraph"/>
              <w:ind w:right="179"/>
              <w:jc w:val="right"/>
              <w:rPr>
                <w:i/>
              </w:rPr>
            </w:pPr>
          </w:p>
        </w:tc>
        <w:tc>
          <w:tcPr>
            <w:tcW w:w="1134" w:type="dxa"/>
            <w:shd w:val="clear" w:color="auto" w:fill="DDE8F4" w:themeFill="text2" w:themeFillTint="1A"/>
            <w:noWrap/>
          </w:tcPr>
          <w:p w14:paraId="1A014E3B" w14:textId="6C3E9EF4" w:rsidR="00370DA6" w:rsidRPr="008923D3" w:rsidRDefault="00370DA6" w:rsidP="00370DA6">
            <w:pPr>
              <w:pStyle w:val="TableParagraph"/>
              <w:ind w:right="179"/>
              <w:jc w:val="right"/>
              <w:rPr>
                <w:b/>
              </w:rPr>
            </w:pPr>
            <w:r>
              <w:rPr>
                <w:i/>
              </w:rPr>
              <w:t>62.</w:t>
            </w:r>
            <w:r w:rsidR="00F944FE">
              <w:rPr>
                <w:i/>
              </w:rPr>
              <w:t>0</w:t>
            </w:r>
            <w:r w:rsidRPr="008976C1">
              <w:rPr>
                <w:i/>
              </w:rPr>
              <w:t>%</w:t>
            </w:r>
          </w:p>
        </w:tc>
        <w:tc>
          <w:tcPr>
            <w:tcW w:w="1210" w:type="dxa"/>
            <w:shd w:val="clear" w:color="auto" w:fill="DDE8F4" w:themeFill="text2" w:themeFillTint="1A"/>
            <w:noWrap/>
          </w:tcPr>
          <w:p w14:paraId="3F22DA2B" w14:textId="3964E1A4" w:rsidR="00370DA6" w:rsidRPr="007717E0" w:rsidRDefault="00370DA6" w:rsidP="00370DA6">
            <w:pPr>
              <w:pStyle w:val="TableParagraph"/>
              <w:ind w:right="171"/>
              <w:jc w:val="right"/>
              <w:rPr>
                <w:b/>
                <w:color w:val="FF0000"/>
              </w:rPr>
            </w:pPr>
            <w:r>
              <w:rPr>
                <w:i/>
                <w:color w:val="FF0000"/>
              </w:rPr>
              <w:t>3</w:t>
            </w:r>
            <w:r w:rsidR="00F944FE">
              <w:rPr>
                <w:i/>
                <w:color w:val="FF0000"/>
              </w:rPr>
              <w:t>8.0</w:t>
            </w:r>
            <w:r w:rsidRPr="008976C1">
              <w:rPr>
                <w:i/>
                <w:color w:val="FF0000"/>
              </w:rPr>
              <w:t>%</w:t>
            </w:r>
          </w:p>
        </w:tc>
      </w:tr>
      <w:tr w:rsidR="00370DA6" w:rsidRPr="006979E1" w14:paraId="74C875E6" w14:textId="77777777" w:rsidTr="00F145F7">
        <w:trPr>
          <w:cnfStyle w:val="000000010000" w:firstRow="0" w:lastRow="0" w:firstColumn="0" w:lastColumn="0" w:oddVBand="0" w:evenVBand="0" w:oddHBand="0" w:evenHBand="1" w:firstRowFirstColumn="0" w:firstRowLastColumn="0" w:lastRowFirstColumn="0" w:lastRowLastColumn="0"/>
          <w:trHeight w:val="330"/>
        </w:trPr>
        <w:tc>
          <w:tcPr>
            <w:tcW w:w="9427" w:type="dxa"/>
            <w:gridSpan w:val="4"/>
            <w:shd w:val="clear" w:color="auto" w:fill="auto"/>
            <w:noWrap/>
            <w:hideMark/>
          </w:tcPr>
          <w:p w14:paraId="3E58EEA8" w14:textId="77777777" w:rsidR="00370DA6" w:rsidRPr="006979E1" w:rsidRDefault="00370DA6" w:rsidP="00370DA6">
            <w:pPr>
              <w:pStyle w:val="TableParagraph"/>
              <w:rPr>
                <w:b/>
                <w:i/>
              </w:rPr>
            </w:pPr>
            <w:r>
              <w:rPr>
                <w:b/>
                <w:i/>
              </w:rPr>
              <w:t>Permissions Groups</w:t>
            </w:r>
          </w:p>
        </w:tc>
      </w:tr>
      <w:tr w:rsidR="00F944FE" w:rsidRPr="005324D2" w14:paraId="6B6360F8" w14:textId="77777777" w:rsidTr="00F145F7">
        <w:trPr>
          <w:trHeight w:val="315"/>
        </w:trPr>
        <w:tc>
          <w:tcPr>
            <w:tcW w:w="5807" w:type="dxa"/>
            <w:shd w:val="clear" w:color="auto" w:fill="auto"/>
            <w:noWrap/>
          </w:tcPr>
          <w:p w14:paraId="495FF4B6" w14:textId="77777777" w:rsidR="00F944FE" w:rsidRDefault="00F944FE" w:rsidP="00F944FE">
            <w:pPr>
              <w:pStyle w:val="TableParagraph"/>
              <w:ind w:left="171"/>
            </w:pPr>
            <w:r w:rsidRPr="00041660">
              <w:t>Learner Permit - motor vehicle and motorcycle</w:t>
            </w:r>
          </w:p>
        </w:tc>
        <w:tc>
          <w:tcPr>
            <w:tcW w:w="1276" w:type="dxa"/>
            <w:shd w:val="clear" w:color="auto" w:fill="auto"/>
            <w:noWrap/>
          </w:tcPr>
          <w:p w14:paraId="013BC336" w14:textId="1949FD34" w:rsidR="00F944FE" w:rsidRDefault="00F944FE" w:rsidP="00F944FE">
            <w:pPr>
              <w:pStyle w:val="TableParagraph"/>
              <w:ind w:right="179"/>
              <w:jc w:val="right"/>
            </w:pPr>
            <w:r w:rsidRPr="00ED3F29">
              <w:t xml:space="preserve"> 2.12 </w:t>
            </w:r>
          </w:p>
        </w:tc>
        <w:tc>
          <w:tcPr>
            <w:tcW w:w="1134" w:type="dxa"/>
            <w:shd w:val="clear" w:color="auto" w:fill="auto"/>
            <w:noWrap/>
          </w:tcPr>
          <w:p w14:paraId="6CBCA0F7" w14:textId="39DC55ED" w:rsidR="00F944FE" w:rsidRDefault="00F944FE" w:rsidP="00F944FE">
            <w:pPr>
              <w:pStyle w:val="TableParagraph"/>
              <w:ind w:right="179"/>
              <w:jc w:val="right"/>
            </w:pPr>
            <w:r w:rsidRPr="00ED3F29">
              <w:t xml:space="preserve"> 3.55 </w:t>
            </w:r>
          </w:p>
        </w:tc>
        <w:tc>
          <w:tcPr>
            <w:tcW w:w="1210" w:type="dxa"/>
            <w:shd w:val="clear" w:color="auto" w:fill="auto"/>
            <w:noWrap/>
          </w:tcPr>
          <w:p w14:paraId="1B782656" w14:textId="77777777" w:rsidR="00F944FE" w:rsidRPr="005324D2" w:rsidRDefault="00F944FE" w:rsidP="00F944FE">
            <w:pPr>
              <w:spacing w:after="40"/>
              <w:ind w:right="171"/>
              <w:jc w:val="right"/>
              <w:rPr>
                <w:rFonts w:ascii="Segoe UI" w:eastAsia="Times New Roman" w:hAnsi="Segoe UI" w:cs="Segoe UI"/>
                <w:sz w:val="18"/>
                <w:szCs w:val="18"/>
              </w:rPr>
            </w:pPr>
          </w:p>
        </w:tc>
      </w:tr>
      <w:tr w:rsidR="00F944FE" w:rsidRPr="003E2558" w14:paraId="4F6E4207" w14:textId="77777777" w:rsidTr="00F145F7">
        <w:trPr>
          <w:cnfStyle w:val="000000010000" w:firstRow="0" w:lastRow="0" w:firstColumn="0" w:lastColumn="0" w:oddVBand="0" w:evenVBand="0" w:oddHBand="0" w:evenHBand="1" w:firstRowFirstColumn="0" w:firstRowLastColumn="0" w:lastRowFirstColumn="0" w:lastRowLastColumn="0"/>
          <w:trHeight w:val="330"/>
        </w:trPr>
        <w:tc>
          <w:tcPr>
            <w:tcW w:w="5807" w:type="dxa"/>
            <w:shd w:val="clear" w:color="auto" w:fill="DDE8F4" w:themeFill="text2" w:themeFillTint="1A"/>
            <w:noWrap/>
            <w:hideMark/>
          </w:tcPr>
          <w:p w14:paraId="5E8BFEFB" w14:textId="77777777" w:rsidR="00F944FE" w:rsidRPr="003E2558" w:rsidRDefault="00F944FE" w:rsidP="00F944FE">
            <w:pPr>
              <w:pStyle w:val="TableParagraph"/>
              <w:jc w:val="right"/>
              <w:rPr>
                <w:b/>
              </w:rPr>
            </w:pPr>
            <w:r w:rsidRPr="003E2558">
              <w:rPr>
                <w:b/>
              </w:rPr>
              <w:t xml:space="preserve">Total </w:t>
            </w:r>
            <w:r w:rsidRPr="00893668">
              <w:rPr>
                <w:b/>
              </w:rPr>
              <w:t>Permissions</w:t>
            </w:r>
          </w:p>
        </w:tc>
        <w:tc>
          <w:tcPr>
            <w:tcW w:w="1276" w:type="dxa"/>
            <w:shd w:val="clear" w:color="auto" w:fill="DDE8F4" w:themeFill="text2" w:themeFillTint="1A"/>
            <w:noWrap/>
            <w:hideMark/>
          </w:tcPr>
          <w:p w14:paraId="3BC1CACF" w14:textId="2AD22B92" w:rsidR="00F944FE" w:rsidRPr="00F944FE" w:rsidRDefault="00F944FE" w:rsidP="00F944FE">
            <w:pPr>
              <w:pStyle w:val="TableParagraph"/>
              <w:ind w:right="179"/>
              <w:jc w:val="right"/>
              <w:rPr>
                <w:b/>
              </w:rPr>
            </w:pPr>
            <w:r w:rsidRPr="00F944FE">
              <w:rPr>
                <w:b/>
              </w:rPr>
              <w:t xml:space="preserve"> 2.12 </w:t>
            </w:r>
          </w:p>
        </w:tc>
        <w:tc>
          <w:tcPr>
            <w:tcW w:w="1134" w:type="dxa"/>
            <w:shd w:val="clear" w:color="auto" w:fill="DDE8F4" w:themeFill="text2" w:themeFillTint="1A"/>
            <w:noWrap/>
            <w:hideMark/>
          </w:tcPr>
          <w:p w14:paraId="148E490F" w14:textId="7B396945" w:rsidR="00F944FE" w:rsidRPr="00F944FE" w:rsidRDefault="00F944FE" w:rsidP="00F944FE">
            <w:pPr>
              <w:pStyle w:val="TableParagraph"/>
              <w:ind w:right="179"/>
              <w:jc w:val="right"/>
              <w:rPr>
                <w:b/>
              </w:rPr>
            </w:pPr>
            <w:r w:rsidRPr="00F944FE">
              <w:rPr>
                <w:b/>
              </w:rPr>
              <w:t xml:space="preserve"> 3.55 </w:t>
            </w:r>
          </w:p>
        </w:tc>
        <w:tc>
          <w:tcPr>
            <w:tcW w:w="1210" w:type="dxa"/>
            <w:shd w:val="clear" w:color="auto" w:fill="DDE8F4" w:themeFill="text2" w:themeFillTint="1A"/>
            <w:noWrap/>
            <w:hideMark/>
          </w:tcPr>
          <w:p w14:paraId="31958078" w14:textId="77777777" w:rsidR="00F944FE" w:rsidRPr="002F5C96" w:rsidRDefault="00F944FE" w:rsidP="00F944FE">
            <w:pPr>
              <w:spacing w:after="40"/>
              <w:ind w:right="171"/>
              <w:jc w:val="right"/>
              <w:rPr>
                <w:rFonts w:ascii="Segoe UI" w:eastAsia="Times New Roman" w:hAnsi="Segoe UI" w:cs="Segoe UI"/>
                <w:b/>
                <w:sz w:val="18"/>
                <w:szCs w:val="18"/>
              </w:rPr>
            </w:pPr>
            <w:r w:rsidRPr="00D55E8E">
              <w:rPr>
                <w:rFonts w:ascii="Segoe UI" w:eastAsia="Times New Roman" w:hAnsi="Segoe UI" w:cs="Segoe UI"/>
                <w:b/>
                <w:sz w:val="18"/>
                <w:szCs w:val="18"/>
              </w:rPr>
              <w:t>NA</w:t>
            </w:r>
          </w:p>
        </w:tc>
      </w:tr>
    </w:tbl>
    <w:p w14:paraId="53E7D67E" w14:textId="77777777" w:rsidR="00370DA6" w:rsidRDefault="00370DA6" w:rsidP="00DF3451">
      <w:pPr>
        <w:spacing w:line="240" w:lineRule="auto"/>
        <w:rPr>
          <w:sz w:val="4"/>
          <w:szCs w:val="10"/>
        </w:rPr>
      </w:pPr>
    </w:p>
    <w:p w14:paraId="001C7259" w14:textId="77777777" w:rsidR="00370DA6" w:rsidRDefault="00370DA6" w:rsidP="00DF3451">
      <w:pPr>
        <w:spacing w:line="240" w:lineRule="auto"/>
        <w:rPr>
          <w:sz w:val="4"/>
          <w:szCs w:val="10"/>
        </w:rPr>
      </w:pPr>
    </w:p>
    <w:tbl>
      <w:tblPr>
        <w:tblStyle w:val="RIS-Table2"/>
        <w:tblW w:w="9472" w:type="dxa"/>
        <w:tblLook w:val="04A0" w:firstRow="1" w:lastRow="0" w:firstColumn="1" w:lastColumn="0" w:noHBand="0" w:noVBand="1"/>
      </w:tblPr>
      <w:tblGrid>
        <w:gridCol w:w="5807"/>
        <w:gridCol w:w="1276"/>
        <w:gridCol w:w="1134"/>
        <w:gridCol w:w="1255"/>
      </w:tblGrid>
      <w:tr w:rsidR="00370DA6" w:rsidRPr="00123DE6" w14:paraId="2CD0C862" w14:textId="77777777" w:rsidTr="00370DA6">
        <w:trPr>
          <w:cnfStyle w:val="100000000000" w:firstRow="1" w:lastRow="0" w:firstColumn="0" w:lastColumn="0" w:oddVBand="0" w:evenVBand="0" w:oddHBand="0" w:evenHBand="0" w:firstRowFirstColumn="0" w:firstRowLastColumn="0" w:lastRowFirstColumn="0" w:lastRowLastColumn="0"/>
          <w:trHeight w:val="435"/>
        </w:trPr>
        <w:tc>
          <w:tcPr>
            <w:tcW w:w="5807" w:type="dxa"/>
            <w:hideMark/>
          </w:tcPr>
          <w:p w14:paraId="5E5B7A40" w14:textId="77777777" w:rsidR="00370DA6" w:rsidRPr="00123DE6" w:rsidRDefault="004D5FF7" w:rsidP="004D5FF7">
            <w:pPr>
              <w:pStyle w:val="TableHeaders"/>
            </w:pPr>
            <w:r>
              <w:t>Road Safety (</w:t>
            </w:r>
            <w:r w:rsidR="00370DA6" w:rsidRPr="00123DE6">
              <w:t>Vehicle</w:t>
            </w:r>
            <w:r>
              <w:t xml:space="preserve"> Registration) Regulations</w:t>
            </w:r>
          </w:p>
        </w:tc>
        <w:tc>
          <w:tcPr>
            <w:tcW w:w="1276" w:type="dxa"/>
            <w:noWrap/>
            <w:hideMark/>
          </w:tcPr>
          <w:p w14:paraId="766DD2BF" w14:textId="77777777" w:rsidR="00370DA6" w:rsidRPr="00123DE6" w:rsidRDefault="00370DA6" w:rsidP="00BB5D17">
            <w:pPr>
              <w:pStyle w:val="TableHeaders"/>
            </w:pPr>
            <w:r w:rsidRPr="00123DE6">
              <w:t>Costs</w:t>
            </w:r>
            <w:r w:rsidR="00BB5D17">
              <w:br/>
            </w:r>
            <w:r>
              <w:t>$m (PV)</w:t>
            </w:r>
          </w:p>
        </w:tc>
        <w:tc>
          <w:tcPr>
            <w:tcW w:w="1134" w:type="dxa"/>
            <w:noWrap/>
            <w:hideMark/>
          </w:tcPr>
          <w:p w14:paraId="6E3AEE62" w14:textId="77777777" w:rsidR="00370DA6" w:rsidRPr="00123DE6" w:rsidRDefault="00370DA6" w:rsidP="00BB5D17">
            <w:pPr>
              <w:pStyle w:val="TableHeaders"/>
            </w:pPr>
            <w:r w:rsidRPr="00123DE6">
              <w:t>Revenue</w:t>
            </w:r>
            <w:r w:rsidR="00BB5D17">
              <w:br/>
            </w:r>
            <w:r>
              <w:t>$m (PV)</w:t>
            </w:r>
          </w:p>
        </w:tc>
        <w:tc>
          <w:tcPr>
            <w:tcW w:w="1255" w:type="dxa"/>
            <w:noWrap/>
            <w:hideMark/>
          </w:tcPr>
          <w:p w14:paraId="65D80F53" w14:textId="77777777" w:rsidR="00370DA6" w:rsidRPr="00123DE6" w:rsidRDefault="00370DA6" w:rsidP="00BB5D17">
            <w:pPr>
              <w:pStyle w:val="TableHeaders"/>
              <w:spacing w:line="276" w:lineRule="auto"/>
            </w:pPr>
            <w:r>
              <w:t>Recovery</w:t>
            </w:r>
            <w:r w:rsidR="00BB5D17">
              <w:br/>
            </w:r>
            <w:r>
              <w:t>$m (PV)</w:t>
            </w:r>
          </w:p>
        </w:tc>
      </w:tr>
      <w:tr w:rsidR="00370DA6" w:rsidRPr="006979E1" w14:paraId="129155B0" w14:textId="77777777" w:rsidTr="00370DA6">
        <w:trPr>
          <w:trHeight w:val="315"/>
        </w:trPr>
        <w:tc>
          <w:tcPr>
            <w:tcW w:w="9472" w:type="dxa"/>
            <w:gridSpan w:val="4"/>
            <w:noWrap/>
            <w:hideMark/>
          </w:tcPr>
          <w:p w14:paraId="60A41A49" w14:textId="77777777" w:rsidR="00370DA6" w:rsidRPr="006979E1" w:rsidRDefault="00370DA6" w:rsidP="006B6D5C">
            <w:pPr>
              <w:pStyle w:val="TableParagraph"/>
              <w:rPr>
                <w:b/>
                <w:i/>
              </w:rPr>
            </w:pPr>
            <w:r w:rsidRPr="003E2558">
              <w:rPr>
                <w:b/>
                <w:i/>
              </w:rPr>
              <w:t>Services</w:t>
            </w:r>
            <w:r>
              <w:rPr>
                <w:b/>
                <w:i/>
              </w:rPr>
              <w:t xml:space="preserve"> Groups</w:t>
            </w:r>
          </w:p>
        </w:tc>
      </w:tr>
      <w:tr w:rsidR="00F944FE" w:rsidRPr="005324D2" w14:paraId="1DF72672" w14:textId="77777777" w:rsidTr="00370DA6">
        <w:trPr>
          <w:cnfStyle w:val="000000010000" w:firstRow="0" w:lastRow="0" w:firstColumn="0" w:lastColumn="0" w:oddVBand="0" w:evenVBand="0" w:oddHBand="0" w:evenHBand="1" w:firstRowFirstColumn="0" w:firstRowLastColumn="0" w:lastRowFirstColumn="0" w:lastRowLastColumn="0"/>
          <w:trHeight w:val="315"/>
        </w:trPr>
        <w:tc>
          <w:tcPr>
            <w:tcW w:w="5807" w:type="dxa"/>
            <w:shd w:val="clear" w:color="auto" w:fill="auto"/>
            <w:noWrap/>
          </w:tcPr>
          <w:p w14:paraId="6C90FB61" w14:textId="77777777" w:rsidR="00F944FE" w:rsidRPr="005324D2" w:rsidRDefault="00F944FE" w:rsidP="00F944FE">
            <w:pPr>
              <w:pStyle w:val="TableParagraph"/>
              <w:ind w:left="171"/>
            </w:pPr>
            <w:r w:rsidRPr="008D7C83">
              <w:t>Registration Administration</w:t>
            </w:r>
            <w:r>
              <w:t xml:space="preserve"> - General</w:t>
            </w:r>
          </w:p>
        </w:tc>
        <w:tc>
          <w:tcPr>
            <w:tcW w:w="1276" w:type="dxa"/>
            <w:shd w:val="clear" w:color="auto" w:fill="auto"/>
            <w:noWrap/>
          </w:tcPr>
          <w:p w14:paraId="1108AC28" w14:textId="0FB22D16" w:rsidR="00F944FE" w:rsidRDefault="00F944FE" w:rsidP="00F944FE">
            <w:pPr>
              <w:pStyle w:val="TableParagraph"/>
              <w:ind w:right="179"/>
              <w:jc w:val="right"/>
            </w:pPr>
            <w:r w:rsidRPr="005D1185">
              <w:t xml:space="preserve"> 4.80 </w:t>
            </w:r>
          </w:p>
        </w:tc>
        <w:tc>
          <w:tcPr>
            <w:tcW w:w="1134" w:type="dxa"/>
            <w:shd w:val="clear" w:color="auto" w:fill="auto"/>
            <w:noWrap/>
          </w:tcPr>
          <w:p w14:paraId="14C12E03" w14:textId="3F73F5F3" w:rsidR="00F944FE" w:rsidRDefault="00F944FE" w:rsidP="00F944FE">
            <w:pPr>
              <w:pStyle w:val="TableParagraph"/>
              <w:ind w:right="179"/>
              <w:jc w:val="right"/>
            </w:pPr>
            <w:r w:rsidRPr="005D1185">
              <w:t xml:space="preserve"> 4.91 </w:t>
            </w:r>
          </w:p>
        </w:tc>
        <w:tc>
          <w:tcPr>
            <w:tcW w:w="1255" w:type="dxa"/>
            <w:shd w:val="clear" w:color="auto" w:fill="auto"/>
            <w:noWrap/>
          </w:tcPr>
          <w:p w14:paraId="520ED466" w14:textId="6E3112BD" w:rsidR="00F944FE" w:rsidRDefault="00F944FE" w:rsidP="00F944FE">
            <w:pPr>
              <w:pStyle w:val="TableParagraph"/>
              <w:ind w:right="171"/>
              <w:jc w:val="right"/>
            </w:pPr>
            <w:r w:rsidRPr="00B238CA">
              <w:rPr>
                <w:rFonts w:cs="Segoe UI"/>
              </w:rPr>
              <w:t>0.1</w:t>
            </w:r>
            <w:r>
              <w:rPr>
                <w:rFonts w:cs="Segoe UI"/>
              </w:rPr>
              <w:t>1</w:t>
            </w:r>
            <w:r w:rsidRPr="00B238CA">
              <w:rPr>
                <w:rFonts w:cs="Segoe UI"/>
              </w:rPr>
              <w:t xml:space="preserve"> </w:t>
            </w:r>
          </w:p>
        </w:tc>
      </w:tr>
      <w:tr w:rsidR="00F944FE" w:rsidRPr="005324D2" w14:paraId="7DFB9191" w14:textId="77777777" w:rsidTr="00370DA6">
        <w:trPr>
          <w:trHeight w:val="315"/>
        </w:trPr>
        <w:tc>
          <w:tcPr>
            <w:tcW w:w="5807" w:type="dxa"/>
            <w:shd w:val="clear" w:color="auto" w:fill="auto"/>
            <w:noWrap/>
            <w:hideMark/>
          </w:tcPr>
          <w:p w14:paraId="2D8AB1A4" w14:textId="77777777" w:rsidR="00F944FE" w:rsidRDefault="00F944FE" w:rsidP="00F944FE">
            <w:pPr>
              <w:pStyle w:val="TableParagraph"/>
              <w:ind w:left="171"/>
            </w:pPr>
            <w:r w:rsidRPr="005324D2">
              <w:t>Registration Transfer</w:t>
            </w:r>
          </w:p>
        </w:tc>
        <w:tc>
          <w:tcPr>
            <w:tcW w:w="1276" w:type="dxa"/>
            <w:shd w:val="clear" w:color="auto" w:fill="auto"/>
            <w:noWrap/>
            <w:hideMark/>
          </w:tcPr>
          <w:p w14:paraId="3CCDAC55" w14:textId="04184BCA" w:rsidR="00F944FE" w:rsidRPr="00D406BB" w:rsidRDefault="00F944FE" w:rsidP="00F944FE">
            <w:pPr>
              <w:pStyle w:val="TableParagraph"/>
              <w:ind w:right="179"/>
              <w:jc w:val="right"/>
            </w:pPr>
            <w:r w:rsidRPr="005D1185">
              <w:t xml:space="preserve"> 11.39 </w:t>
            </w:r>
          </w:p>
        </w:tc>
        <w:tc>
          <w:tcPr>
            <w:tcW w:w="1134" w:type="dxa"/>
            <w:shd w:val="clear" w:color="auto" w:fill="auto"/>
            <w:noWrap/>
            <w:hideMark/>
          </w:tcPr>
          <w:p w14:paraId="395904DB" w14:textId="78C6452A" w:rsidR="00F944FE" w:rsidRPr="00D406BB" w:rsidRDefault="00F944FE" w:rsidP="00F944FE">
            <w:pPr>
              <w:pStyle w:val="TableParagraph"/>
              <w:ind w:right="179"/>
              <w:jc w:val="right"/>
            </w:pPr>
            <w:r w:rsidRPr="005D1185">
              <w:t xml:space="preserve"> 31.08 </w:t>
            </w:r>
          </w:p>
        </w:tc>
        <w:tc>
          <w:tcPr>
            <w:tcW w:w="1255" w:type="dxa"/>
            <w:shd w:val="clear" w:color="auto" w:fill="auto"/>
            <w:noWrap/>
            <w:hideMark/>
          </w:tcPr>
          <w:p w14:paraId="271C2671" w14:textId="6BA8C568" w:rsidR="00F944FE" w:rsidRPr="00807AFB" w:rsidRDefault="00F944FE" w:rsidP="00F944FE">
            <w:pPr>
              <w:pStyle w:val="TableParagraph"/>
              <w:ind w:right="171"/>
              <w:jc w:val="right"/>
            </w:pPr>
            <w:r w:rsidRPr="00B238CA">
              <w:rPr>
                <w:rFonts w:cs="Segoe UI"/>
              </w:rPr>
              <w:t>1</w:t>
            </w:r>
            <w:r>
              <w:rPr>
                <w:rFonts w:cs="Segoe UI"/>
              </w:rPr>
              <w:t>9.69</w:t>
            </w:r>
            <w:r w:rsidRPr="00B238CA">
              <w:rPr>
                <w:rFonts w:cs="Segoe UI"/>
              </w:rPr>
              <w:t xml:space="preserve"> </w:t>
            </w:r>
          </w:p>
        </w:tc>
      </w:tr>
      <w:tr w:rsidR="00F944FE" w:rsidRPr="005324D2" w14:paraId="240397BF" w14:textId="77777777" w:rsidTr="00370DA6">
        <w:trPr>
          <w:cnfStyle w:val="000000010000" w:firstRow="0" w:lastRow="0" w:firstColumn="0" w:lastColumn="0" w:oddVBand="0" w:evenVBand="0" w:oddHBand="0" w:evenHBand="1" w:firstRowFirstColumn="0" w:firstRowLastColumn="0" w:lastRowFirstColumn="0" w:lastRowLastColumn="0"/>
          <w:trHeight w:val="315"/>
        </w:trPr>
        <w:tc>
          <w:tcPr>
            <w:tcW w:w="5807" w:type="dxa"/>
            <w:shd w:val="clear" w:color="auto" w:fill="auto"/>
            <w:noWrap/>
            <w:hideMark/>
          </w:tcPr>
          <w:p w14:paraId="370C63AF" w14:textId="77777777" w:rsidR="00F944FE" w:rsidRDefault="00F944FE" w:rsidP="00F944FE">
            <w:pPr>
              <w:pStyle w:val="TableParagraph"/>
              <w:ind w:left="171"/>
            </w:pPr>
            <w:r w:rsidRPr="008D7C83">
              <w:t>Vehicle Inspection</w:t>
            </w:r>
          </w:p>
        </w:tc>
        <w:tc>
          <w:tcPr>
            <w:tcW w:w="1276" w:type="dxa"/>
            <w:shd w:val="clear" w:color="auto" w:fill="auto"/>
            <w:noWrap/>
            <w:hideMark/>
          </w:tcPr>
          <w:p w14:paraId="7158FBBA" w14:textId="7D36542A" w:rsidR="00F944FE" w:rsidRPr="00CB66C8" w:rsidRDefault="00F944FE" w:rsidP="00F944FE">
            <w:pPr>
              <w:pStyle w:val="TableParagraph"/>
              <w:ind w:right="179"/>
              <w:jc w:val="right"/>
            </w:pPr>
            <w:r w:rsidRPr="005D1185">
              <w:t xml:space="preserve"> 7.51 </w:t>
            </w:r>
          </w:p>
        </w:tc>
        <w:tc>
          <w:tcPr>
            <w:tcW w:w="1134" w:type="dxa"/>
            <w:shd w:val="clear" w:color="auto" w:fill="auto"/>
            <w:noWrap/>
            <w:hideMark/>
          </w:tcPr>
          <w:p w14:paraId="7DBDEF86" w14:textId="67CEBE17" w:rsidR="00F944FE" w:rsidRPr="00CB66C8" w:rsidRDefault="00F944FE" w:rsidP="00F944FE">
            <w:pPr>
              <w:pStyle w:val="TableParagraph"/>
              <w:ind w:right="179"/>
              <w:jc w:val="right"/>
            </w:pPr>
            <w:r w:rsidRPr="005D1185">
              <w:t xml:space="preserve"> 7.26 </w:t>
            </w:r>
          </w:p>
        </w:tc>
        <w:tc>
          <w:tcPr>
            <w:tcW w:w="1255" w:type="dxa"/>
            <w:shd w:val="clear" w:color="auto" w:fill="auto"/>
            <w:noWrap/>
            <w:hideMark/>
          </w:tcPr>
          <w:p w14:paraId="7A9AE9AD" w14:textId="44AA2496" w:rsidR="00F944FE" w:rsidRDefault="00F944FE" w:rsidP="00F944FE">
            <w:pPr>
              <w:pStyle w:val="TableParagraph"/>
              <w:ind w:right="171"/>
              <w:jc w:val="right"/>
            </w:pPr>
            <w:r w:rsidRPr="00B238CA">
              <w:rPr>
                <w:rFonts w:cs="Segoe UI"/>
                <w:color w:val="FF0000"/>
              </w:rPr>
              <w:t>-    0.</w:t>
            </w:r>
            <w:r>
              <w:rPr>
                <w:rFonts w:cs="Segoe UI"/>
                <w:color w:val="FF0000"/>
              </w:rPr>
              <w:t>26</w:t>
            </w:r>
            <w:r w:rsidRPr="00B238CA">
              <w:rPr>
                <w:rFonts w:cs="Segoe UI"/>
                <w:color w:val="FF0000"/>
              </w:rPr>
              <w:t xml:space="preserve"> </w:t>
            </w:r>
          </w:p>
        </w:tc>
      </w:tr>
      <w:tr w:rsidR="00F944FE" w:rsidRPr="005324D2" w14:paraId="6ABE6B4C" w14:textId="77777777" w:rsidTr="00370DA6">
        <w:trPr>
          <w:trHeight w:val="315"/>
        </w:trPr>
        <w:tc>
          <w:tcPr>
            <w:tcW w:w="5807" w:type="dxa"/>
            <w:shd w:val="clear" w:color="auto" w:fill="auto"/>
            <w:noWrap/>
            <w:hideMark/>
          </w:tcPr>
          <w:p w14:paraId="38E144A4" w14:textId="77777777" w:rsidR="00F944FE" w:rsidRPr="008D7C83" w:rsidRDefault="00F944FE" w:rsidP="00F944FE">
            <w:pPr>
              <w:pStyle w:val="TableParagraph"/>
              <w:ind w:left="171"/>
            </w:pPr>
            <w:r>
              <w:t>Information Extracts and Reports</w:t>
            </w:r>
          </w:p>
        </w:tc>
        <w:tc>
          <w:tcPr>
            <w:tcW w:w="1276" w:type="dxa"/>
            <w:shd w:val="clear" w:color="auto" w:fill="auto"/>
            <w:noWrap/>
            <w:hideMark/>
          </w:tcPr>
          <w:p w14:paraId="351321A5" w14:textId="433F9E8C" w:rsidR="00F944FE" w:rsidRPr="00CB66C8" w:rsidRDefault="00F944FE" w:rsidP="00F944FE">
            <w:pPr>
              <w:pStyle w:val="TableParagraph"/>
              <w:ind w:right="179"/>
              <w:jc w:val="right"/>
            </w:pPr>
            <w:r w:rsidRPr="005D1185">
              <w:t xml:space="preserve"> 0.37 </w:t>
            </w:r>
          </w:p>
        </w:tc>
        <w:tc>
          <w:tcPr>
            <w:tcW w:w="1134" w:type="dxa"/>
            <w:shd w:val="clear" w:color="auto" w:fill="auto"/>
            <w:noWrap/>
            <w:hideMark/>
          </w:tcPr>
          <w:p w14:paraId="39FE7728" w14:textId="245D0CD4" w:rsidR="00F944FE" w:rsidRPr="00CB66C8" w:rsidRDefault="00F944FE" w:rsidP="00F944FE">
            <w:pPr>
              <w:pStyle w:val="TableParagraph"/>
              <w:ind w:right="179"/>
              <w:jc w:val="right"/>
            </w:pPr>
            <w:r w:rsidRPr="005D1185">
              <w:t xml:space="preserve"> 0.38 </w:t>
            </w:r>
          </w:p>
        </w:tc>
        <w:tc>
          <w:tcPr>
            <w:tcW w:w="1255" w:type="dxa"/>
            <w:shd w:val="clear" w:color="auto" w:fill="auto"/>
            <w:noWrap/>
            <w:hideMark/>
          </w:tcPr>
          <w:p w14:paraId="722E068E" w14:textId="77777777" w:rsidR="00F944FE" w:rsidRPr="00CB66C8" w:rsidRDefault="00F944FE" w:rsidP="00F944FE">
            <w:pPr>
              <w:pStyle w:val="TableParagraph"/>
              <w:ind w:right="171"/>
              <w:jc w:val="right"/>
            </w:pPr>
            <w:r w:rsidRPr="00B238CA">
              <w:rPr>
                <w:rFonts w:cs="Segoe UI"/>
              </w:rPr>
              <w:t xml:space="preserve">0.02 </w:t>
            </w:r>
          </w:p>
        </w:tc>
      </w:tr>
      <w:tr w:rsidR="00F944FE" w:rsidRPr="003E2558" w14:paraId="562F997B" w14:textId="77777777" w:rsidTr="00282A3C">
        <w:trPr>
          <w:cnfStyle w:val="000000010000" w:firstRow="0" w:lastRow="0" w:firstColumn="0" w:lastColumn="0" w:oddVBand="0" w:evenVBand="0" w:oddHBand="0" w:evenHBand="1" w:firstRowFirstColumn="0" w:firstRowLastColumn="0" w:lastRowFirstColumn="0" w:lastRowLastColumn="0"/>
          <w:trHeight w:val="330"/>
        </w:trPr>
        <w:tc>
          <w:tcPr>
            <w:tcW w:w="0" w:type="dxa"/>
            <w:shd w:val="clear" w:color="auto" w:fill="DDE8F4" w:themeFill="text2" w:themeFillTint="1A"/>
            <w:noWrap/>
            <w:vAlign w:val="center"/>
            <w:hideMark/>
          </w:tcPr>
          <w:p w14:paraId="26272A3D" w14:textId="77777777" w:rsidR="00F944FE" w:rsidRPr="003E2558" w:rsidRDefault="00F944FE" w:rsidP="00F944FE">
            <w:pPr>
              <w:pStyle w:val="TableParagraph"/>
              <w:jc w:val="right"/>
              <w:rPr>
                <w:b/>
              </w:rPr>
            </w:pPr>
            <w:r w:rsidRPr="003E2558">
              <w:rPr>
                <w:b/>
              </w:rPr>
              <w:t>Total Services</w:t>
            </w:r>
          </w:p>
        </w:tc>
        <w:tc>
          <w:tcPr>
            <w:tcW w:w="0" w:type="dxa"/>
            <w:shd w:val="clear" w:color="auto" w:fill="DDE8F4" w:themeFill="text2" w:themeFillTint="1A"/>
            <w:noWrap/>
            <w:hideMark/>
          </w:tcPr>
          <w:p w14:paraId="478C21A7" w14:textId="475233D3" w:rsidR="00F944FE" w:rsidRPr="00F944FE" w:rsidRDefault="00F944FE" w:rsidP="00F944FE">
            <w:pPr>
              <w:pStyle w:val="TableParagraph"/>
              <w:ind w:right="179"/>
              <w:jc w:val="right"/>
              <w:rPr>
                <w:b/>
              </w:rPr>
            </w:pPr>
            <w:r w:rsidRPr="00F944FE">
              <w:rPr>
                <w:b/>
              </w:rPr>
              <w:t xml:space="preserve"> 24.06 </w:t>
            </w:r>
          </w:p>
        </w:tc>
        <w:tc>
          <w:tcPr>
            <w:tcW w:w="0" w:type="dxa"/>
            <w:shd w:val="clear" w:color="auto" w:fill="DDE8F4" w:themeFill="text2" w:themeFillTint="1A"/>
            <w:noWrap/>
            <w:hideMark/>
          </w:tcPr>
          <w:p w14:paraId="65F3E60C" w14:textId="502B97BD" w:rsidR="00F944FE" w:rsidRPr="00F944FE" w:rsidRDefault="00F944FE" w:rsidP="00F944FE">
            <w:pPr>
              <w:pStyle w:val="TableParagraph"/>
              <w:ind w:right="179"/>
              <w:jc w:val="right"/>
              <w:rPr>
                <w:b/>
              </w:rPr>
            </w:pPr>
            <w:r w:rsidRPr="00F944FE">
              <w:rPr>
                <w:b/>
              </w:rPr>
              <w:t xml:space="preserve"> 43.63 </w:t>
            </w:r>
          </w:p>
        </w:tc>
        <w:tc>
          <w:tcPr>
            <w:tcW w:w="0" w:type="dxa"/>
            <w:shd w:val="clear" w:color="auto" w:fill="DDE8F4" w:themeFill="text2" w:themeFillTint="1A"/>
            <w:noWrap/>
            <w:vAlign w:val="center"/>
            <w:hideMark/>
          </w:tcPr>
          <w:p w14:paraId="58CD4727" w14:textId="4E4A676E" w:rsidR="00F944FE" w:rsidRPr="00E20B72" w:rsidRDefault="00F944FE" w:rsidP="00F944FE">
            <w:pPr>
              <w:pStyle w:val="TableParagraph"/>
              <w:ind w:right="171"/>
              <w:jc w:val="right"/>
              <w:rPr>
                <w:b/>
              </w:rPr>
            </w:pPr>
            <w:r w:rsidRPr="004D3736">
              <w:rPr>
                <w:rFonts w:cs="Segoe UI"/>
                <w:b/>
              </w:rPr>
              <w:t>1</w:t>
            </w:r>
            <w:r>
              <w:rPr>
                <w:rFonts w:cs="Segoe UI"/>
                <w:b/>
              </w:rPr>
              <w:t>9.57</w:t>
            </w:r>
            <w:r w:rsidRPr="004D3736">
              <w:rPr>
                <w:rFonts w:cs="Segoe UI"/>
                <w:b/>
              </w:rPr>
              <w:t xml:space="preserve"> </w:t>
            </w:r>
          </w:p>
        </w:tc>
      </w:tr>
      <w:tr w:rsidR="00370DA6" w:rsidRPr="003E2558" w14:paraId="0F6B5BE6" w14:textId="77777777" w:rsidTr="00370DA6">
        <w:trPr>
          <w:trHeight w:val="315"/>
        </w:trPr>
        <w:tc>
          <w:tcPr>
            <w:tcW w:w="9472" w:type="dxa"/>
            <w:gridSpan w:val="4"/>
            <w:noWrap/>
            <w:hideMark/>
          </w:tcPr>
          <w:p w14:paraId="7B1FD640" w14:textId="77777777" w:rsidR="00370DA6" w:rsidRPr="003E2558" w:rsidRDefault="00370DA6" w:rsidP="00D34ED7">
            <w:pPr>
              <w:pStyle w:val="TableParagraph"/>
              <w:tabs>
                <w:tab w:val="left" w:pos="1032"/>
              </w:tabs>
              <w:rPr>
                <w:b/>
                <w:i/>
              </w:rPr>
            </w:pPr>
            <w:r>
              <w:rPr>
                <w:b/>
                <w:i/>
              </w:rPr>
              <w:t>Permissions Groups</w:t>
            </w:r>
          </w:p>
        </w:tc>
      </w:tr>
      <w:tr w:rsidR="00F944FE" w:rsidRPr="005324D2" w14:paraId="584E92B8" w14:textId="77777777" w:rsidTr="00370DA6">
        <w:trPr>
          <w:cnfStyle w:val="000000010000" w:firstRow="0" w:lastRow="0" w:firstColumn="0" w:lastColumn="0" w:oddVBand="0" w:evenVBand="0" w:oddHBand="0" w:evenHBand="1" w:firstRowFirstColumn="0" w:firstRowLastColumn="0" w:lastRowFirstColumn="0" w:lastRowLastColumn="0"/>
          <w:trHeight w:val="315"/>
        </w:trPr>
        <w:tc>
          <w:tcPr>
            <w:tcW w:w="5807" w:type="dxa"/>
            <w:noWrap/>
            <w:hideMark/>
          </w:tcPr>
          <w:p w14:paraId="24B149C4" w14:textId="77777777" w:rsidR="00F944FE" w:rsidRDefault="00F944FE" w:rsidP="00F944FE">
            <w:pPr>
              <w:pStyle w:val="TableParagraph"/>
              <w:ind w:left="171"/>
            </w:pPr>
            <w:r>
              <w:t xml:space="preserve">Registration </w:t>
            </w:r>
            <w:r w:rsidRPr="005324D2">
              <w:t>Permits</w:t>
            </w:r>
            <w:r>
              <w:t xml:space="preserve"> – Non-Standard</w:t>
            </w:r>
            <w:r w:rsidRPr="005324D2">
              <w:t xml:space="preserve"> </w:t>
            </w:r>
          </w:p>
        </w:tc>
        <w:tc>
          <w:tcPr>
            <w:tcW w:w="1276" w:type="dxa"/>
            <w:noWrap/>
            <w:hideMark/>
          </w:tcPr>
          <w:p w14:paraId="4067BB6C" w14:textId="5833BD8B" w:rsidR="00F944FE" w:rsidRPr="00D406BB" w:rsidRDefault="00F944FE" w:rsidP="00F944FE">
            <w:pPr>
              <w:pStyle w:val="TableParagraph"/>
              <w:ind w:right="179"/>
              <w:jc w:val="right"/>
            </w:pPr>
            <w:r w:rsidRPr="00EC0D49">
              <w:t xml:space="preserve"> 4.06 </w:t>
            </w:r>
          </w:p>
        </w:tc>
        <w:tc>
          <w:tcPr>
            <w:tcW w:w="1134" w:type="dxa"/>
            <w:noWrap/>
            <w:hideMark/>
          </w:tcPr>
          <w:p w14:paraId="668DE231" w14:textId="6B91B894" w:rsidR="00F944FE" w:rsidRDefault="00F944FE" w:rsidP="00F944FE">
            <w:pPr>
              <w:pStyle w:val="TableParagraph"/>
              <w:ind w:right="179"/>
              <w:jc w:val="right"/>
            </w:pPr>
            <w:r w:rsidRPr="00EC0D49">
              <w:t xml:space="preserve"> 11.67 </w:t>
            </w:r>
          </w:p>
        </w:tc>
        <w:tc>
          <w:tcPr>
            <w:tcW w:w="1255" w:type="dxa"/>
            <w:noWrap/>
            <w:hideMark/>
          </w:tcPr>
          <w:p w14:paraId="6C2B6856" w14:textId="77777777" w:rsidR="00F944FE" w:rsidRPr="00807AFB" w:rsidRDefault="00F944FE" w:rsidP="00F944FE">
            <w:pPr>
              <w:pStyle w:val="TableParagraph"/>
              <w:ind w:right="171"/>
              <w:jc w:val="right"/>
            </w:pPr>
          </w:p>
        </w:tc>
      </w:tr>
      <w:tr w:rsidR="00F944FE" w:rsidRPr="005324D2" w14:paraId="1062FDCA" w14:textId="77777777" w:rsidTr="00370DA6">
        <w:trPr>
          <w:trHeight w:val="315"/>
        </w:trPr>
        <w:tc>
          <w:tcPr>
            <w:tcW w:w="5807" w:type="dxa"/>
            <w:noWrap/>
            <w:hideMark/>
          </w:tcPr>
          <w:p w14:paraId="595F70D6" w14:textId="77777777" w:rsidR="00F944FE" w:rsidRDefault="00F944FE" w:rsidP="00F944FE">
            <w:pPr>
              <w:pStyle w:val="TableParagraph"/>
              <w:ind w:left="171"/>
            </w:pPr>
            <w:r>
              <w:t xml:space="preserve">Registration </w:t>
            </w:r>
            <w:r w:rsidRPr="005324D2">
              <w:t>Identifiers</w:t>
            </w:r>
          </w:p>
        </w:tc>
        <w:tc>
          <w:tcPr>
            <w:tcW w:w="1276" w:type="dxa"/>
            <w:noWrap/>
            <w:hideMark/>
          </w:tcPr>
          <w:p w14:paraId="3D78B355" w14:textId="7D3A22D7" w:rsidR="00F944FE" w:rsidRPr="00D406BB" w:rsidRDefault="00F944FE" w:rsidP="00F944FE">
            <w:pPr>
              <w:pStyle w:val="TableParagraph"/>
              <w:ind w:right="179"/>
              <w:jc w:val="right"/>
            </w:pPr>
            <w:r w:rsidRPr="00EC0D49">
              <w:t xml:space="preserve"> 12.40 </w:t>
            </w:r>
          </w:p>
        </w:tc>
        <w:tc>
          <w:tcPr>
            <w:tcW w:w="1134" w:type="dxa"/>
            <w:noWrap/>
            <w:hideMark/>
          </w:tcPr>
          <w:p w14:paraId="5A84ABCE" w14:textId="4D6C48D2" w:rsidR="00F944FE" w:rsidRPr="00D406BB" w:rsidRDefault="00F944FE" w:rsidP="00F944FE">
            <w:pPr>
              <w:pStyle w:val="TableParagraph"/>
              <w:ind w:right="179"/>
              <w:jc w:val="right"/>
            </w:pPr>
            <w:r w:rsidRPr="00EC0D49">
              <w:t xml:space="preserve"> 24.70 </w:t>
            </w:r>
          </w:p>
        </w:tc>
        <w:tc>
          <w:tcPr>
            <w:tcW w:w="1255" w:type="dxa"/>
            <w:noWrap/>
            <w:hideMark/>
          </w:tcPr>
          <w:p w14:paraId="2EBFD534" w14:textId="77777777" w:rsidR="00F944FE" w:rsidRPr="00807AFB" w:rsidRDefault="00F944FE" w:rsidP="00F944FE">
            <w:pPr>
              <w:pStyle w:val="TableParagraph"/>
              <w:ind w:right="171"/>
              <w:jc w:val="right"/>
            </w:pPr>
          </w:p>
        </w:tc>
      </w:tr>
      <w:tr w:rsidR="00F944FE" w:rsidRPr="00B704FB" w14:paraId="26FFE30B" w14:textId="77777777" w:rsidTr="00370DA6">
        <w:trPr>
          <w:cnfStyle w:val="000000010000" w:firstRow="0" w:lastRow="0" w:firstColumn="0" w:lastColumn="0" w:oddVBand="0" w:evenVBand="0" w:oddHBand="0" w:evenHBand="1" w:firstRowFirstColumn="0" w:firstRowLastColumn="0" w:lastRowFirstColumn="0" w:lastRowLastColumn="0"/>
          <w:trHeight w:val="330"/>
        </w:trPr>
        <w:tc>
          <w:tcPr>
            <w:tcW w:w="5807" w:type="dxa"/>
            <w:shd w:val="clear" w:color="auto" w:fill="DDE8F4" w:themeFill="text2" w:themeFillTint="1A"/>
            <w:noWrap/>
            <w:hideMark/>
          </w:tcPr>
          <w:p w14:paraId="40AEF650" w14:textId="77777777" w:rsidR="00F944FE" w:rsidRPr="003E2558" w:rsidRDefault="00F944FE" w:rsidP="00F944FE">
            <w:pPr>
              <w:pStyle w:val="TableParagraph"/>
              <w:jc w:val="right"/>
              <w:rPr>
                <w:b/>
              </w:rPr>
            </w:pPr>
            <w:r w:rsidRPr="003E2558">
              <w:rPr>
                <w:b/>
              </w:rPr>
              <w:t xml:space="preserve">Total </w:t>
            </w:r>
            <w:r w:rsidRPr="00893668">
              <w:rPr>
                <w:b/>
              </w:rPr>
              <w:t>Permissions</w:t>
            </w:r>
          </w:p>
        </w:tc>
        <w:tc>
          <w:tcPr>
            <w:tcW w:w="1276" w:type="dxa"/>
            <w:shd w:val="clear" w:color="auto" w:fill="DDE8F4" w:themeFill="text2" w:themeFillTint="1A"/>
            <w:noWrap/>
            <w:hideMark/>
          </w:tcPr>
          <w:p w14:paraId="132C434A" w14:textId="03362223" w:rsidR="00F944FE" w:rsidRPr="00F944FE" w:rsidRDefault="00F944FE" w:rsidP="00F944FE">
            <w:pPr>
              <w:pStyle w:val="TableParagraph"/>
              <w:ind w:right="179"/>
              <w:jc w:val="right"/>
              <w:rPr>
                <w:rFonts w:cs="Segoe UI"/>
                <w:b/>
              </w:rPr>
            </w:pPr>
            <w:r w:rsidRPr="00F944FE">
              <w:rPr>
                <w:b/>
              </w:rPr>
              <w:t xml:space="preserve"> 16.46 </w:t>
            </w:r>
          </w:p>
        </w:tc>
        <w:tc>
          <w:tcPr>
            <w:tcW w:w="1134" w:type="dxa"/>
            <w:shd w:val="clear" w:color="auto" w:fill="DDE8F4" w:themeFill="text2" w:themeFillTint="1A"/>
            <w:noWrap/>
            <w:hideMark/>
          </w:tcPr>
          <w:p w14:paraId="241E3AC3" w14:textId="73C9B4DD" w:rsidR="00F944FE" w:rsidRPr="00F944FE" w:rsidRDefault="00F944FE" w:rsidP="00F944FE">
            <w:pPr>
              <w:pStyle w:val="TableParagraph"/>
              <w:ind w:right="179"/>
              <w:jc w:val="right"/>
              <w:rPr>
                <w:rFonts w:cs="Segoe UI"/>
                <w:b/>
              </w:rPr>
            </w:pPr>
            <w:r w:rsidRPr="00F944FE">
              <w:rPr>
                <w:b/>
              </w:rPr>
              <w:t xml:space="preserve"> 36.37 </w:t>
            </w:r>
          </w:p>
        </w:tc>
        <w:tc>
          <w:tcPr>
            <w:tcW w:w="1255" w:type="dxa"/>
            <w:shd w:val="clear" w:color="auto" w:fill="DDE8F4" w:themeFill="text2" w:themeFillTint="1A"/>
            <w:noWrap/>
            <w:hideMark/>
          </w:tcPr>
          <w:p w14:paraId="36C10C41" w14:textId="41887795" w:rsidR="00F944FE" w:rsidRPr="00E20B72" w:rsidRDefault="00F944FE" w:rsidP="00F944FE">
            <w:pPr>
              <w:pStyle w:val="TableParagraph"/>
              <w:jc w:val="right"/>
              <w:rPr>
                <w:b/>
              </w:rPr>
            </w:pPr>
            <w:r w:rsidRPr="00B704FB">
              <w:rPr>
                <w:b/>
              </w:rPr>
              <w:t>NA</w:t>
            </w:r>
            <w:r>
              <w:rPr>
                <w:b/>
              </w:rPr>
              <w:fldChar w:fldCharType="begin"/>
            </w:r>
            <w:r>
              <w:rPr>
                <w:b/>
              </w:rPr>
              <w:instrText xml:space="preserve"> NOTEREF _Ref4415029 \f \h  \* MERGEFORMAT </w:instrText>
            </w:r>
            <w:r>
              <w:rPr>
                <w:b/>
              </w:rPr>
            </w:r>
            <w:r>
              <w:rPr>
                <w:b/>
              </w:rPr>
              <w:fldChar w:fldCharType="separate"/>
            </w:r>
            <w:r w:rsidR="00EB4B02" w:rsidRPr="00EB4B02">
              <w:rPr>
                <w:rStyle w:val="EndnoteReference"/>
              </w:rPr>
              <w:t>416</w:t>
            </w:r>
            <w:r>
              <w:rPr>
                <w:b/>
              </w:rPr>
              <w:fldChar w:fldCharType="end"/>
            </w:r>
          </w:p>
        </w:tc>
      </w:tr>
      <w:tr w:rsidR="00370DA6" w:rsidRPr="00B172A5" w14:paraId="7CD6C0E5" w14:textId="77777777" w:rsidTr="00370DA6">
        <w:trPr>
          <w:trHeight w:val="315"/>
        </w:trPr>
        <w:tc>
          <w:tcPr>
            <w:tcW w:w="9472" w:type="dxa"/>
            <w:gridSpan w:val="4"/>
            <w:noWrap/>
          </w:tcPr>
          <w:p w14:paraId="41B5F723" w14:textId="77777777" w:rsidR="00370DA6" w:rsidRPr="00325CF5" w:rsidRDefault="00370DA6" w:rsidP="00F4679D">
            <w:pPr>
              <w:pStyle w:val="TableParagraph"/>
              <w:keepNext/>
              <w:rPr>
                <w:b/>
                <w:i/>
              </w:rPr>
            </w:pPr>
            <w:r w:rsidRPr="00325CF5">
              <w:rPr>
                <w:b/>
                <w:i/>
              </w:rPr>
              <w:t>Servicing Ag</w:t>
            </w:r>
            <w:r>
              <w:rPr>
                <w:b/>
                <w:i/>
              </w:rPr>
              <w:t>r</w:t>
            </w:r>
            <w:r w:rsidRPr="00325CF5">
              <w:rPr>
                <w:b/>
                <w:i/>
              </w:rPr>
              <w:t>eements</w:t>
            </w:r>
            <w:r>
              <w:rPr>
                <w:b/>
                <w:i/>
              </w:rPr>
              <w:t xml:space="preserve"> Groups</w:t>
            </w:r>
          </w:p>
        </w:tc>
      </w:tr>
      <w:tr w:rsidR="00F944FE" w:rsidRPr="005324D2" w14:paraId="23F3540B" w14:textId="77777777" w:rsidTr="00370DA6">
        <w:trPr>
          <w:cnfStyle w:val="000000010000" w:firstRow="0" w:lastRow="0" w:firstColumn="0" w:lastColumn="0" w:oddVBand="0" w:evenVBand="0" w:oddHBand="0" w:evenHBand="1" w:firstRowFirstColumn="0" w:firstRowLastColumn="0" w:lastRowFirstColumn="0" w:lastRowLastColumn="0"/>
          <w:trHeight w:val="315"/>
        </w:trPr>
        <w:tc>
          <w:tcPr>
            <w:tcW w:w="5807" w:type="dxa"/>
            <w:noWrap/>
            <w:hideMark/>
          </w:tcPr>
          <w:p w14:paraId="55B30075" w14:textId="77777777" w:rsidR="00F944FE" w:rsidRPr="008D7C83" w:rsidRDefault="00F944FE" w:rsidP="00F944FE">
            <w:pPr>
              <w:pStyle w:val="TableParagraph"/>
              <w:ind w:left="171"/>
            </w:pPr>
            <w:r>
              <w:t>Inspection and Testing</w:t>
            </w:r>
          </w:p>
        </w:tc>
        <w:tc>
          <w:tcPr>
            <w:tcW w:w="1276" w:type="dxa"/>
            <w:noWrap/>
            <w:hideMark/>
          </w:tcPr>
          <w:p w14:paraId="4F257EAA" w14:textId="4E304C89" w:rsidR="00F944FE" w:rsidRPr="00CB66C8" w:rsidRDefault="00F944FE" w:rsidP="00F944FE">
            <w:pPr>
              <w:pStyle w:val="TableParagraph"/>
              <w:ind w:right="179"/>
              <w:jc w:val="right"/>
            </w:pPr>
            <w:r w:rsidRPr="004367E0">
              <w:t xml:space="preserve"> 6.64 </w:t>
            </w:r>
          </w:p>
        </w:tc>
        <w:tc>
          <w:tcPr>
            <w:tcW w:w="1134" w:type="dxa"/>
            <w:noWrap/>
            <w:hideMark/>
          </w:tcPr>
          <w:p w14:paraId="6C792AC1" w14:textId="2A75BE10" w:rsidR="00F944FE" w:rsidRPr="00CB66C8" w:rsidRDefault="00F944FE" w:rsidP="00F944FE">
            <w:pPr>
              <w:pStyle w:val="TableParagraph"/>
              <w:ind w:right="179"/>
              <w:jc w:val="right"/>
            </w:pPr>
            <w:r w:rsidRPr="004367E0">
              <w:t xml:space="preserve"> 18.04 </w:t>
            </w:r>
          </w:p>
        </w:tc>
        <w:tc>
          <w:tcPr>
            <w:tcW w:w="1255" w:type="dxa"/>
            <w:noWrap/>
            <w:hideMark/>
          </w:tcPr>
          <w:p w14:paraId="7F6A16A2" w14:textId="77777777" w:rsidR="00F944FE" w:rsidRPr="00CB66C8" w:rsidRDefault="00F944FE" w:rsidP="00F944FE">
            <w:pPr>
              <w:pStyle w:val="TableParagraph"/>
              <w:ind w:right="171"/>
              <w:jc w:val="right"/>
            </w:pPr>
          </w:p>
        </w:tc>
      </w:tr>
      <w:tr w:rsidR="00F944FE" w:rsidRPr="006979E1" w14:paraId="6052479F" w14:textId="77777777" w:rsidTr="00370DA6">
        <w:trPr>
          <w:trHeight w:val="330"/>
        </w:trPr>
        <w:tc>
          <w:tcPr>
            <w:tcW w:w="5807" w:type="dxa"/>
            <w:shd w:val="clear" w:color="auto" w:fill="DDE8F4" w:themeFill="text2" w:themeFillTint="1A"/>
            <w:noWrap/>
            <w:hideMark/>
          </w:tcPr>
          <w:p w14:paraId="48EBE1F8" w14:textId="77777777" w:rsidR="00F944FE" w:rsidRPr="003E2558" w:rsidRDefault="00F944FE" w:rsidP="00F944FE">
            <w:pPr>
              <w:pStyle w:val="TableParagraph"/>
              <w:jc w:val="right"/>
              <w:rPr>
                <w:b/>
              </w:rPr>
            </w:pPr>
            <w:r w:rsidRPr="003E2558">
              <w:rPr>
                <w:b/>
              </w:rPr>
              <w:t xml:space="preserve">Total </w:t>
            </w:r>
            <w:r>
              <w:rPr>
                <w:b/>
              </w:rPr>
              <w:t>Servicing Agreements</w:t>
            </w:r>
          </w:p>
        </w:tc>
        <w:tc>
          <w:tcPr>
            <w:tcW w:w="1276" w:type="dxa"/>
            <w:shd w:val="clear" w:color="auto" w:fill="DDE8F4" w:themeFill="text2" w:themeFillTint="1A"/>
            <w:noWrap/>
            <w:hideMark/>
          </w:tcPr>
          <w:p w14:paraId="1C48B4DF" w14:textId="34697B64" w:rsidR="00F944FE" w:rsidRPr="00F944FE" w:rsidRDefault="00F944FE" w:rsidP="00F944FE">
            <w:pPr>
              <w:pStyle w:val="TableParagraph"/>
              <w:ind w:right="179"/>
              <w:jc w:val="right"/>
              <w:rPr>
                <w:b/>
              </w:rPr>
            </w:pPr>
            <w:r w:rsidRPr="00F944FE">
              <w:rPr>
                <w:b/>
              </w:rPr>
              <w:t xml:space="preserve"> 6.64 </w:t>
            </w:r>
          </w:p>
        </w:tc>
        <w:tc>
          <w:tcPr>
            <w:tcW w:w="1134" w:type="dxa"/>
            <w:shd w:val="clear" w:color="auto" w:fill="DDE8F4" w:themeFill="text2" w:themeFillTint="1A"/>
            <w:noWrap/>
            <w:hideMark/>
          </w:tcPr>
          <w:p w14:paraId="2C4F9752" w14:textId="5F0DE865" w:rsidR="00F944FE" w:rsidRPr="00F944FE" w:rsidRDefault="00F944FE" w:rsidP="00F944FE">
            <w:pPr>
              <w:pStyle w:val="TableParagraph"/>
              <w:ind w:right="179"/>
              <w:jc w:val="right"/>
              <w:rPr>
                <w:b/>
              </w:rPr>
            </w:pPr>
            <w:r w:rsidRPr="00F944FE">
              <w:rPr>
                <w:b/>
              </w:rPr>
              <w:t xml:space="preserve"> 18.04 </w:t>
            </w:r>
          </w:p>
        </w:tc>
        <w:tc>
          <w:tcPr>
            <w:tcW w:w="1255" w:type="dxa"/>
            <w:shd w:val="clear" w:color="auto" w:fill="DDE8F4" w:themeFill="text2" w:themeFillTint="1A"/>
            <w:noWrap/>
            <w:hideMark/>
          </w:tcPr>
          <w:p w14:paraId="046CE322" w14:textId="2E03941E" w:rsidR="00F944FE" w:rsidRPr="00781E45" w:rsidRDefault="00F944FE" w:rsidP="00F944FE">
            <w:pPr>
              <w:pStyle w:val="TableParagraph"/>
              <w:jc w:val="right"/>
              <w:rPr>
                <w:b/>
              </w:rPr>
            </w:pPr>
            <w:r w:rsidRPr="00C26531">
              <w:rPr>
                <w:b/>
              </w:rPr>
              <w:t>NA</w:t>
            </w:r>
            <w:r>
              <w:rPr>
                <w:b/>
              </w:rPr>
              <w:fldChar w:fldCharType="begin"/>
            </w:r>
            <w:r>
              <w:rPr>
                <w:b/>
              </w:rPr>
              <w:instrText xml:space="preserve"> NOTEREF _Ref4415029 \f \h  \* MERGEFORMAT </w:instrText>
            </w:r>
            <w:r>
              <w:rPr>
                <w:b/>
              </w:rPr>
            </w:r>
            <w:r>
              <w:rPr>
                <w:b/>
              </w:rPr>
              <w:fldChar w:fldCharType="separate"/>
            </w:r>
            <w:r w:rsidR="00EB4B02" w:rsidRPr="00EB4B02">
              <w:rPr>
                <w:rStyle w:val="EndnoteReference"/>
              </w:rPr>
              <w:t>416</w:t>
            </w:r>
            <w:r>
              <w:rPr>
                <w:b/>
              </w:rPr>
              <w:fldChar w:fldCharType="end"/>
            </w:r>
          </w:p>
        </w:tc>
      </w:tr>
    </w:tbl>
    <w:p w14:paraId="4F928869" w14:textId="77777777" w:rsidR="00370DA6" w:rsidRDefault="00370DA6" w:rsidP="00DF3451">
      <w:pPr>
        <w:spacing w:line="240" w:lineRule="auto"/>
        <w:rPr>
          <w:sz w:val="4"/>
          <w:szCs w:val="10"/>
        </w:rPr>
      </w:pPr>
    </w:p>
    <w:p w14:paraId="43880254" w14:textId="77777777" w:rsidR="00370DA6" w:rsidRPr="006979E1" w:rsidRDefault="00370DA6" w:rsidP="00DF3451">
      <w:pPr>
        <w:spacing w:line="240" w:lineRule="auto"/>
        <w:rPr>
          <w:sz w:val="4"/>
          <w:szCs w:val="10"/>
        </w:rPr>
      </w:pPr>
    </w:p>
    <w:tbl>
      <w:tblPr>
        <w:tblStyle w:val="RIS-Table2"/>
        <w:tblW w:w="9493" w:type="dxa"/>
        <w:tblLook w:val="04A0" w:firstRow="1" w:lastRow="0" w:firstColumn="1" w:lastColumn="0" w:noHBand="0" w:noVBand="1"/>
      </w:tblPr>
      <w:tblGrid>
        <w:gridCol w:w="5807"/>
        <w:gridCol w:w="1276"/>
        <w:gridCol w:w="1134"/>
        <w:gridCol w:w="1276"/>
      </w:tblGrid>
      <w:tr w:rsidR="00370DA6" w:rsidRPr="00055C2A" w14:paraId="453A4FE0" w14:textId="77777777" w:rsidTr="00370DA6">
        <w:trPr>
          <w:cnfStyle w:val="100000000000" w:firstRow="1" w:lastRow="0" w:firstColumn="0" w:lastColumn="0" w:oddVBand="0" w:evenVBand="0" w:oddHBand="0" w:evenHBand="0" w:firstRowFirstColumn="0" w:firstRowLastColumn="0" w:lastRowFirstColumn="0" w:lastRowLastColumn="0"/>
          <w:trHeight w:val="435"/>
        </w:trPr>
        <w:tc>
          <w:tcPr>
            <w:tcW w:w="5807" w:type="dxa"/>
            <w:hideMark/>
          </w:tcPr>
          <w:p w14:paraId="53CE36B8" w14:textId="77777777" w:rsidR="00370DA6" w:rsidRPr="00055C2A" w:rsidRDefault="004D5FF7" w:rsidP="004D5FF7">
            <w:pPr>
              <w:pStyle w:val="TableHeaders"/>
            </w:pPr>
            <w:r>
              <w:lastRenderedPageBreak/>
              <w:t>Other Services</w:t>
            </w:r>
          </w:p>
        </w:tc>
        <w:tc>
          <w:tcPr>
            <w:tcW w:w="1276" w:type="dxa"/>
            <w:noWrap/>
            <w:hideMark/>
          </w:tcPr>
          <w:p w14:paraId="29160165" w14:textId="77777777" w:rsidR="00370DA6" w:rsidRPr="00055C2A" w:rsidRDefault="00370DA6" w:rsidP="00BB5D17">
            <w:pPr>
              <w:pStyle w:val="TableHeaders"/>
            </w:pPr>
            <w:r w:rsidRPr="00055C2A">
              <w:t>Costs</w:t>
            </w:r>
            <w:r w:rsidR="00BB5D17">
              <w:br/>
            </w:r>
            <w:r>
              <w:t>$m (PV)</w:t>
            </w:r>
          </w:p>
        </w:tc>
        <w:tc>
          <w:tcPr>
            <w:tcW w:w="1134" w:type="dxa"/>
            <w:noWrap/>
            <w:hideMark/>
          </w:tcPr>
          <w:p w14:paraId="4C403D48" w14:textId="77777777" w:rsidR="00370DA6" w:rsidRPr="00055C2A" w:rsidRDefault="00370DA6" w:rsidP="00BB5D17">
            <w:pPr>
              <w:pStyle w:val="TableHeaders"/>
            </w:pPr>
            <w:r w:rsidRPr="00055C2A">
              <w:t>Revenue</w:t>
            </w:r>
            <w:r w:rsidR="00BB5D17">
              <w:br/>
            </w:r>
            <w:r>
              <w:t>$m (PV)</w:t>
            </w:r>
          </w:p>
        </w:tc>
        <w:tc>
          <w:tcPr>
            <w:tcW w:w="1276" w:type="dxa"/>
            <w:noWrap/>
            <w:hideMark/>
          </w:tcPr>
          <w:p w14:paraId="577BD8D5" w14:textId="77777777" w:rsidR="00370DA6" w:rsidRPr="00055C2A" w:rsidRDefault="00370DA6" w:rsidP="00BB5D17">
            <w:pPr>
              <w:pStyle w:val="TableHeaders"/>
              <w:spacing w:line="276" w:lineRule="auto"/>
            </w:pPr>
            <w:r>
              <w:t>Recovery</w:t>
            </w:r>
            <w:r w:rsidR="004D5FF7">
              <w:br/>
            </w:r>
            <w:r>
              <w:t>$m (PV)</w:t>
            </w:r>
          </w:p>
        </w:tc>
      </w:tr>
      <w:tr w:rsidR="00370DA6" w:rsidRPr="006979E1" w14:paraId="3705F49E" w14:textId="77777777" w:rsidTr="00370DA6">
        <w:trPr>
          <w:trHeight w:val="315"/>
        </w:trPr>
        <w:tc>
          <w:tcPr>
            <w:tcW w:w="9493" w:type="dxa"/>
            <w:gridSpan w:val="4"/>
            <w:shd w:val="clear" w:color="auto" w:fill="auto"/>
            <w:noWrap/>
            <w:hideMark/>
          </w:tcPr>
          <w:p w14:paraId="69171ED0" w14:textId="77777777" w:rsidR="00370DA6" w:rsidRPr="006979E1" w:rsidRDefault="00370DA6" w:rsidP="006B6D5C">
            <w:pPr>
              <w:pStyle w:val="TableParagraph"/>
              <w:rPr>
                <w:b/>
                <w:i/>
              </w:rPr>
            </w:pPr>
            <w:r w:rsidRPr="003E2558">
              <w:rPr>
                <w:b/>
                <w:i/>
              </w:rPr>
              <w:t>Services</w:t>
            </w:r>
            <w:r>
              <w:rPr>
                <w:b/>
                <w:i/>
              </w:rPr>
              <w:t xml:space="preserve"> (Fee Charged)</w:t>
            </w:r>
          </w:p>
        </w:tc>
      </w:tr>
      <w:tr w:rsidR="00F944FE" w:rsidRPr="002A6BF6" w14:paraId="16DAAD01" w14:textId="77777777" w:rsidTr="00370DA6">
        <w:trPr>
          <w:cnfStyle w:val="000000010000" w:firstRow="0" w:lastRow="0" w:firstColumn="0" w:lastColumn="0" w:oddVBand="0" w:evenVBand="0" w:oddHBand="0" w:evenHBand="1" w:firstRowFirstColumn="0" w:firstRowLastColumn="0" w:lastRowFirstColumn="0" w:lastRowLastColumn="0"/>
          <w:trHeight w:val="315"/>
        </w:trPr>
        <w:tc>
          <w:tcPr>
            <w:tcW w:w="5807" w:type="dxa"/>
            <w:shd w:val="clear" w:color="auto" w:fill="auto"/>
            <w:noWrap/>
            <w:hideMark/>
          </w:tcPr>
          <w:p w14:paraId="7A86302E" w14:textId="77777777" w:rsidR="00F944FE" w:rsidRPr="00B14EFB" w:rsidRDefault="00F944FE" w:rsidP="00F944FE">
            <w:pPr>
              <w:pStyle w:val="TableParagraph"/>
              <w:ind w:left="171"/>
            </w:pPr>
            <w:r w:rsidRPr="00B238CA">
              <w:rPr>
                <w:rFonts w:cs="Segoe UI"/>
              </w:rPr>
              <w:t>Processing Support - General</w:t>
            </w:r>
          </w:p>
        </w:tc>
        <w:tc>
          <w:tcPr>
            <w:tcW w:w="1276" w:type="dxa"/>
            <w:shd w:val="clear" w:color="auto" w:fill="auto"/>
            <w:noWrap/>
            <w:hideMark/>
          </w:tcPr>
          <w:p w14:paraId="08F34C4D" w14:textId="48BFA42A" w:rsidR="00F944FE" w:rsidRPr="00F84429" w:rsidRDefault="00F944FE" w:rsidP="00F944FE">
            <w:pPr>
              <w:pStyle w:val="TableParagraph"/>
              <w:ind w:right="179"/>
              <w:jc w:val="right"/>
            </w:pPr>
            <w:r w:rsidRPr="002E10DA">
              <w:t xml:space="preserve"> 6.67 </w:t>
            </w:r>
          </w:p>
        </w:tc>
        <w:tc>
          <w:tcPr>
            <w:tcW w:w="1134" w:type="dxa"/>
            <w:shd w:val="clear" w:color="auto" w:fill="auto"/>
            <w:noWrap/>
            <w:hideMark/>
          </w:tcPr>
          <w:p w14:paraId="78C2D58D" w14:textId="3C966235" w:rsidR="00F944FE" w:rsidRPr="00F84429" w:rsidRDefault="00F944FE" w:rsidP="00F944FE">
            <w:pPr>
              <w:pStyle w:val="TableParagraph"/>
              <w:ind w:right="179"/>
              <w:jc w:val="right"/>
            </w:pPr>
            <w:r w:rsidRPr="002E10DA">
              <w:t xml:space="preserve"> 9.14 </w:t>
            </w:r>
          </w:p>
        </w:tc>
        <w:tc>
          <w:tcPr>
            <w:tcW w:w="1276" w:type="dxa"/>
            <w:shd w:val="clear" w:color="auto" w:fill="auto"/>
            <w:noWrap/>
            <w:hideMark/>
          </w:tcPr>
          <w:p w14:paraId="6587692C" w14:textId="519EEAD4" w:rsidR="00F944FE" w:rsidRPr="00807AFB" w:rsidRDefault="00F944FE" w:rsidP="00F944FE">
            <w:pPr>
              <w:pStyle w:val="TableParagraph"/>
              <w:ind w:right="171"/>
              <w:jc w:val="right"/>
            </w:pPr>
            <w:r>
              <w:t xml:space="preserve">+  </w:t>
            </w:r>
            <w:r w:rsidRPr="002C47D4">
              <w:t>2.4</w:t>
            </w:r>
            <w:r w:rsidR="007812A3">
              <w:t>7</w:t>
            </w:r>
            <w:r w:rsidRPr="002C47D4">
              <w:t xml:space="preserve"> </w:t>
            </w:r>
          </w:p>
        </w:tc>
      </w:tr>
      <w:tr w:rsidR="00F944FE" w:rsidRPr="002A6BF6" w14:paraId="5923E6A6" w14:textId="77777777" w:rsidTr="00370DA6">
        <w:trPr>
          <w:trHeight w:val="315"/>
        </w:trPr>
        <w:tc>
          <w:tcPr>
            <w:tcW w:w="5807" w:type="dxa"/>
            <w:shd w:val="clear" w:color="auto" w:fill="auto"/>
            <w:noWrap/>
            <w:hideMark/>
          </w:tcPr>
          <w:p w14:paraId="5E2BC80B" w14:textId="77777777" w:rsidR="00F944FE" w:rsidRPr="00B14EFB" w:rsidRDefault="00F944FE" w:rsidP="00F944FE">
            <w:pPr>
              <w:pStyle w:val="TableParagraph"/>
              <w:ind w:left="171"/>
            </w:pPr>
            <w:r w:rsidRPr="00B238CA">
              <w:rPr>
                <w:rFonts w:cs="Segoe UI"/>
              </w:rPr>
              <w:t>Processing Support - TAC/Stamp Duty</w:t>
            </w:r>
          </w:p>
        </w:tc>
        <w:tc>
          <w:tcPr>
            <w:tcW w:w="1276" w:type="dxa"/>
            <w:shd w:val="clear" w:color="auto" w:fill="auto"/>
            <w:noWrap/>
            <w:hideMark/>
          </w:tcPr>
          <w:p w14:paraId="50A62F2D" w14:textId="3C053439" w:rsidR="00F944FE" w:rsidRPr="00F84429" w:rsidRDefault="00F944FE" w:rsidP="00F944FE">
            <w:pPr>
              <w:pStyle w:val="TableParagraph"/>
              <w:ind w:right="179"/>
              <w:jc w:val="right"/>
            </w:pPr>
            <w:r w:rsidRPr="002E10DA">
              <w:t xml:space="preserve"> 53.70 </w:t>
            </w:r>
          </w:p>
        </w:tc>
        <w:tc>
          <w:tcPr>
            <w:tcW w:w="1134" w:type="dxa"/>
            <w:shd w:val="clear" w:color="auto" w:fill="auto"/>
            <w:noWrap/>
            <w:hideMark/>
          </w:tcPr>
          <w:p w14:paraId="126CC1BE" w14:textId="60058DE1" w:rsidR="00F944FE" w:rsidRPr="00F84429" w:rsidRDefault="00F944FE" w:rsidP="00F944FE">
            <w:pPr>
              <w:pStyle w:val="TableParagraph"/>
              <w:ind w:right="179"/>
              <w:jc w:val="right"/>
            </w:pPr>
            <w:r w:rsidRPr="002E10DA">
              <w:t xml:space="preserve"> 55.87 </w:t>
            </w:r>
          </w:p>
        </w:tc>
        <w:tc>
          <w:tcPr>
            <w:tcW w:w="1276" w:type="dxa"/>
            <w:shd w:val="clear" w:color="auto" w:fill="auto"/>
            <w:noWrap/>
            <w:hideMark/>
          </w:tcPr>
          <w:p w14:paraId="71515B2E" w14:textId="16D7D4D2" w:rsidR="00F944FE" w:rsidRPr="00807AFB" w:rsidRDefault="00F944FE" w:rsidP="00F944FE">
            <w:pPr>
              <w:pStyle w:val="TableParagraph"/>
              <w:ind w:right="171"/>
              <w:jc w:val="right"/>
            </w:pPr>
            <w:r>
              <w:t xml:space="preserve">+  </w:t>
            </w:r>
            <w:r w:rsidRPr="002C47D4">
              <w:t>2.</w:t>
            </w:r>
            <w:r w:rsidR="007812A3">
              <w:t>16</w:t>
            </w:r>
            <w:r w:rsidRPr="002C47D4">
              <w:t xml:space="preserve"> </w:t>
            </w:r>
          </w:p>
        </w:tc>
      </w:tr>
      <w:tr w:rsidR="00F944FE" w:rsidRPr="002A6BF6" w14:paraId="7C5E08EF" w14:textId="77777777" w:rsidTr="00370DA6">
        <w:trPr>
          <w:cnfStyle w:val="000000010000" w:firstRow="0" w:lastRow="0" w:firstColumn="0" w:lastColumn="0" w:oddVBand="0" w:evenVBand="0" w:oddHBand="0" w:evenHBand="1" w:firstRowFirstColumn="0" w:firstRowLastColumn="0" w:lastRowFirstColumn="0" w:lastRowLastColumn="0"/>
          <w:trHeight w:val="315"/>
        </w:trPr>
        <w:tc>
          <w:tcPr>
            <w:tcW w:w="5807" w:type="dxa"/>
            <w:shd w:val="clear" w:color="auto" w:fill="auto"/>
            <w:noWrap/>
            <w:hideMark/>
          </w:tcPr>
          <w:p w14:paraId="515460B8" w14:textId="77777777" w:rsidR="00F944FE" w:rsidRPr="00B14EFB" w:rsidRDefault="00F944FE" w:rsidP="00F944FE">
            <w:pPr>
              <w:pStyle w:val="TableParagraph"/>
              <w:ind w:left="171"/>
            </w:pPr>
            <w:r w:rsidRPr="00B238CA">
              <w:rPr>
                <w:rFonts w:cs="Segoe UI"/>
              </w:rPr>
              <w:t>Credit Card Merchant Fee Pass-through</w:t>
            </w:r>
          </w:p>
        </w:tc>
        <w:tc>
          <w:tcPr>
            <w:tcW w:w="1276" w:type="dxa"/>
            <w:shd w:val="clear" w:color="auto" w:fill="auto"/>
            <w:noWrap/>
            <w:hideMark/>
          </w:tcPr>
          <w:p w14:paraId="2D0F5AB2" w14:textId="15479E98" w:rsidR="00F944FE" w:rsidRPr="00F84429" w:rsidRDefault="00F944FE" w:rsidP="00F944FE">
            <w:pPr>
              <w:pStyle w:val="TableParagraph"/>
              <w:ind w:right="179"/>
              <w:jc w:val="right"/>
            </w:pPr>
            <w:r w:rsidRPr="002E10DA">
              <w:t xml:space="preserve"> 11.18 </w:t>
            </w:r>
          </w:p>
        </w:tc>
        <w:tc>
          <w:tcPr>
            <w:tcW w:w="1134" w:type="dxa"/>
            <w:shd w:val="clear" w:color="auto" w:fill="auto"/>
            <w:noWrap/>
            <w:hideMark/>
          </w:tcPr>
          <w:p w14:paraId="41172F10" w14:textId="359FB4F4" w:rsidR="00F944FE" w:rsidRPr="00F84429" w:rsidRDefault="00F944FE" w:rsidP="00F944FE">
            <w:pPr>
              <w:pStyle w:val="TableParagraph"/>
              <w:ind w:right="179"/>
              <w:jc w:val="right"/>
            </w:pPr>
            <w:r w:rsidRPr="002E10DA">
              <w:t xml:space="preserve"> 11.08 </w:t>
            </w:r>
          </w:p>
        </w:tc>
        <w:tc>
          <w:tcPr>
            <w:tcW w:w="1276" w:type="dxa"/>
            <w:shd w:val="clear" w:color="auto" w:fill="auto"/>
            <w:noWrap/>
            <w:hideMark/>
          </w:tcPr>
          <w:p w14:paraId="31754ED5" w14:textId="710C46B1" w:rsidR="00F944FE" w:rsidRPr="00282A3C" w:rsidRDefault="00F944FE" w:rsidP="00F944FE">
            <w:pPr>
              <w:pStyle w:val="TableParagraph"/>
              <w:ind w:right="171"/>
              <w:jc w:val="right"/>
              <w:rPr>
                <w:color w:val="FF0000"/>
              </w:rPr>
            </w:pPr>
            <w:r w:rsidRPr="00282A3C">
              <w:rPr>
                <w:color w:val="FF0000"/>
              </w:rPr>
              <w:t>-</w:t>
            </w:r>
            <w:r>
              <w:rPr>
                <w:color w:val="FF0000"/>
              </w:rPr>
              <w:t xml:space="preserve">  </w:t>
            </w:r>
            <w:r w:rsidRPr="00282A3C">
              <w:rPr>
                <w:color w:val="FF0000"/>
              </w:rPr>
              <w:t>0.</w:t>
            </w:r>
            <w:r w:rsidR="007812A3">
              <w:rPr>
                <w:color w:val="FF0000"/>
              </w:rPr>
              <w:t>1</w:t>
            </w:r>
            <w:r w:rsidRPr="00282A3C">
              <w:rPr>
                <w:color w:val="FF0000"/>
              </w:rPr>
              <w:t xml:space="preserve">0 </w:t>
            </w:r>
          </w:p>
        </w:tc>
      </w:tr>
      <w:tr w:rsidR="00F944FE" w:rsidRPr="002A6BF6" w14:paraId="59A92315" w14:textId="77777777" w:rsidTr="00370DA6">
        <w:trPr>
          <w:trHeight w:val="315"/>
        </w:trPr>
        <w:tc>
          <w:tcPr>
            <w:tcW w:w="5807" w:type="dxa"/>
            <w:shd w:val="clear" w:color="auto" w:fill="auto"/>
            <w:noWrap/>
            <w:hideMark/>
          </w:tcPr>
          <w:p w14:paraId="3E89A492" w14:textId="77777777" w:rsidR="00F944FE" w:rsidRDefault="00F944FE" w:rsidP="00F944FE">
            <w:pPr>
              <w:pStyle w:val="TableParagraph"/>
              <w:ind w:left="171"/>
            </w:pPr>
            <w:r>
              <w:rPr>
                <w:rFonts w:cs="Segoe UI"/>
              </w:rPr>
              <w:t>Short-t</w:t>
            </w:r>
            <w:r w:rsidRPr="00B238CA">
              <w:rPr>
                <w:rFonts w:cs="Segoe UI"/>
              </w:rPr>
              <w:t>erm Registration</w:t>
            </w:r>
          </w:p>
        </w:tc>
        <w:tc>
          <w:tcPr>
            <w:tcW w:w="1276" w:type="dxa"/>
            <w:shd w:val="clear" w:color="auto" w:fill="auto"/>
            <w:noWrap/>
            <w:hideMark/>
          </w:tcPr>
          <w:p w14:paraId="417B56AC" w14:textId="1DE3AFB5" w:rsidR="00F944FE" w:rsidRPr="00F84429" w:rsidRDefault="00F944FE" w:rsidP="00F944FE">
            <w:pPr>
              <w:pStyle w:val="TableParagraph"/>
              <w:ind w:right="179"/>
              <w:jc w:val="right"/>
            </w:pPr>
            <w:r w:rsidRPr="002E10DA">
              <w:t xml:space="preserve"> 20.78 </w:t>
            </w:r>
          </w:p>
        </w:tc>
        <w:tc>
          <w:tcPr>
            <w:tcW w:w="1134" w:type="dxa"/>
            <w:shd w:val="clear" w:color="auto" w:fill="auto"/>
            <w:noWrap/>
            <w:hideMark/>
          </w:tcPr>
          <w:p w14:paraId="33B8D1F6" w14:textId="0315F444" w:rsidR="00F944FE" w:rsidRDefault="00F944FE" w:rsidP="00F944FE">
            <w:pPr>
              <w:pStyle w:val="TableParagraph"/>
              <w:ind w:right="179"/>
              <w:jc w:val="right"/>
            </w:pPr>
            <w:r w:rsidRPr="002E10DA">
              <w:t xml:space="preserve"> 20.41 </w:t>
            </w:r>
          </w:p>
        </w:tc>
        <w:tc>
          <w:tcPr>
            <w:tcW w:w="1276" w:type="dxa"/>
            <w:shd w:val="clear" w:color="auto" w:fill="auto"/>
            <w:noWrap/>
            <w:hideMark/>
          </w:tcPr>
          <w:p w14:paraId="545B9D29" w14:textId="5F10544E" w:rsidR="00F944FE" w:rsidRPr="00AC0D9F" w:rsidRDefault="00F944FE" w:rsidP="00F944FE">
            <w:pPr>
              <w:pStyle w:val="TableParagraph"/>
              <w:ind w:right="171"/>
              <w:jc w:val="right"/>
              <w:rPr>
                <w:color w:val="FF0000"/>
              </w:rPr>
            </w:pPr>
            <w:r w:rsidRPr="00282A3C">
              <w:rPr>
                <w:color w:val="FF0000"/>
              </w:rPr>
              <w:t>-</w:t>
            </w:r>
            <w:r>
              <w:rPr>
                <w:color w:val="FF0000"/>
              </w:rPr>
              <w:t xml:space="preserve">  </w:t>
            </w:r>
            <w:r w:rsidRPr="00282A3C">
              <w:rPr>
                <w:color w:val="FF0000"/>
              </w:rPr>
              <w:t>0.</w:t>
            </w:r>
            <w:r w:rsidR="007812A3">
              <w:rPr>
                <w:color w:val="FF0000"/>
              </w:rPr>
              <w:t>37</w:t>
            </w:r>
            <w:r w:rsidRPr="00AC0D9F">
              <w:rPr>
                <w:color w:val="FF0000"/>
              </w:rPr>
              <w:t xml:space="preserve"> </w:t>
            </w:r>
          </w:p>
        </w:tc>
      </w:tr>
      <w:tr w:rsidR="00F944FE" w:rsidRPr="002A6BF6" w14:paraId="381B92E7" w14:textId="77777777" w:rsidTr="00370DA6">
        <w:trPr>
          <w:cnfStyle w:val="000000010000" w:firstRow="0" w:lastRow="0" w:firstColumn="0" w:lastColumn="0" w:oddVBand="0" w:evenVBand="0" w:oddHBand="0" w:evenHBand="1" w:firstRowFirstColumn="0" w:firstRowLastColumn="0" w:lastRowFirstColumn="0" w:lastRowLastColumn="0"/>
          <w:trHeight w:val="315"/>
        </w:trPr>
        <w:tc>
          <w:tcPr>
            <w:tcW w:w="5807" w:type="dxa"/>
            <w:shd w:val="clear" w:color="auto" w:fill="auto"/>
            <w:noWrap/>
            <w:hideMark/>
          </w:tcPr>
          <w:p w14:paraId="48B3B9C4" w14:textId="77777777" w:rsidR="00F944FE" w:rsidRPr="00B14EFB" w:rsidRDefault="00F944FE" w:rsidP="00F944FE">
            <w:pPr>
              <w:pStyle w:val="TableParagraph"/>
              <w:ind w:left="171"/>
            </w:pPr>
            <w:r w:rsidRPr="00B238CA">
              <w:rPr>
                <w:rFonts w:cs="Segoe UI"/>
              </w:rPr>
              <w:t>Publications</w:t>
            </w:r>
          </w:p>
        </w:tc>
        <w:tc>
          <w:tcPr>
            <w:tcW w:w="1276" w:type="dxa"/>
            <w:shd w:val="clear" w:color="auto" w:fill="auto"/>
            <w:noWrap/>
            <w:hideMark/>
          </w:tcPr>
          <w:p w14:paraId="31EA6594" w14:textId="03753738" w:rsidR="00F944FE" w:rsidRPr="00F84429" w:rsidRDefault="00F944FE" w:rsidP="00F944FE">
            <w:pPr>
              <w:pStyle w:val="TableParagraph"/>
              <w:ind w:right="179"/>
              <w:jc w:val="right"/>
            </w:pPr>
            <w:r w:rsidRPr="002E10DA">
              <w:t xml:space="preserve"> 0.34 </w:t>
            </w:r>
          </w:p>
        </w:tc>
        <w:tc>
          <w:tcPr>
            <w:tcW w:w="1134" w:type="dxa"/>
            <w:shd w:val="clear" w:color="auto" w:fill="auto"/>
            <w:noWrap/>
            <w:hideMark/>
          </w:tcPr>
          <w:p w14:paraId="08479C49" w14:textId="5E1F05BC" w:rsidR="00F944FE" w:rsidRPr="00F84429" w:rsidRDefault="00F944FE" w:rsidP="00F944FE">
            <w:pPr>
              <w:pStyle w:val="TableParagraph"/>
              <w:ind w:right="179"/>
              <w:jc w:val="right"/>
            </w:pPr>
            <w:r w:rsidRPr="002E10DA">
              <w:t xml:space="preserve"> 1.17 </w:t>
            </w:r>
          </w:p>
        </w:tc>
        <w:tc>
          <w:tcPr>
            <w:tcW w:w="1276" w:type="dxa"/>
            <w:shd w:val="clear" w:color="auto" w:fill="auto"/>
            <w:noWrap/>
            <w:hideMark/>
          </w:tcPr>
          <w:p w14:paraId="3E4354DE" w14:textId="107F288E" w:rsidR="00F944FE" w:rsidRPr="00807AFB" w:rsidRDefault="00F944FE" w:rsidP="00F944FE">
            <w:pPr>
              <w:pStyle w:val="TableParagraph"/>
              <w:ind w:right="171"/>
              <w:jc w:val="right"/>
            </w:pPr>
            <w:r>
              <w:t xml:space="preserve">+  </w:t>
            </w:r>
            <w:r w:rsidRPr="002C47D4">
              <w:t>0.8</w:t>
            </w:r>
            <w:r w:rsidR="007812A3">
              <w:t>3</w:t>
            </w:r>
            <w:r w:rsidRPr="002C47D4">
              <w:t xml:space="preserve"> </w:t>
            </w:r>
          </w:p>
        </w:tc>
      </w:tr>
      <w:tr w:rsidR="00F944FE" w:rsidRPr="002A6BF6" w14:paraId="7524D22F" w14:textId="77777777" w:rsidTr="00370DA6">
        <w:trPr>
          <w:trHeight w:val="315"/>
        </w:trPr>
        <w:tc>
          <w:tcPr>
            <w:tcW w:w="5807" w:type="dxa"/>
            <w:noWrap/>
            <w:hideMark/>
          </w:tcPr>
          <w:p w14:paraId="14DF81FC" w14:textId="77777777" w:rsidR="00F944FE" w:rsidRPr="00B14EFB" w:rsidRDefault="00F944FE" w:rsidP="00F944FE">
            <w:pPr>
              <w:pStyle w:val="TableParagraph"/>
              <w:ind w:left="171"/>
            </w:pPr>
            <w:r>
              <w:rPr>
                <w:rFonts w:cs="Segoe UI"/>
              </w:rPr>
              <w:t>Information Extracts and Reports</w:t>
            </w:r>
          </w:p>
        </w:tc>
        <w:tc>
          <w:tcPr>
            <w:tcW w:w="1276" w:type="dxa"/>
            <w:noWrap/>
            <w:hideMark/>
          </w:tcPr>
          <w:p w14:paraId="5D8A60C2" w14:textId="18E62002" w:rsidR="00F944FE" w:rsidRPr="00F84429" w:rsidRDefault="00F944FE" w:rsidP="00F944FE">
            <w:pPr>
              <w:pStyle w:val="TableParagraph"/>
              <w:ind w:right="179"/>
              <w:jc w:val="right"/>
            </w:pPr>
            <w:r w:rsidRPr="002E10DA">
              <w:t xml:space="preserve"> 8.12 </w:t>
            </w:r>
          </w:p>
        </w:tc>
        <w:tc>
          <w:tcPr>
            <w:tcW w:w="1134" w:type="dxa"/>
            <w:noWrap/>
            <w:hideMark/>
          </w:tcPr>
          <w:p w14:paraId="20AEE5DE" w14:textId="32305921" w:rsidR="00F944FE" w:rsidRPr="00F84429" w:rsidRDefault="00F944FE" w:rsidP="00F944FE">
            <w:pPr>
              <w:pStyle w:val="TableParagraph"/>
              <w:ind w:right="179"/>
              <w:jc w:val="right"/>
            </w:pPr>
            <w:r w:rsidRPr="002E10DA">
              <w:t xml:space="preserve"> 11.88 </w:t>
            </w:r>
          </w:p>
        </w:tc>
        <w:tc>
          <w:tcPr>
            <w:tcW w:w="1276" w:type="dxa"/>
            <w:noWrap/>
            <w:hideMark/>
          </w:tcPr>
          <w:p w14:paraId="70B544FF" w14:textId="7943787E" w:rsidR="00F944FE" w:rsidRPr="00807AFB" w:rsidRDefault="00F944FE" w:rsidP="00F944FE">
            <w:pPr>
              <w:pStyle w:val="TableParagraph"/>
              <w:ind w:right="171"/>
              <w:jc w:val="right"/>
            </w:pPr>
            <w:r>
              <w:t xml:space="preserve">+  </w:t>
            </w:r>
            <w:r w:rsidRPr="002C47D4">
              <w:t>3</w:t>
            </w:r>
            <w:r w:rsidR="007812A3">
              <w:t>.75</w:t>
            </w:r>
            <w:r w:rsidRPr="002C47D4">
              <w:t xml:space="preserve"> </w:t>
            </w:r>
          </w:p>
        </w:tc>
      </w:tr>
      <w:tr w:rsidR="00370DA6" w:rsidRPr="003E2558" w14:paraId="274344C5" w14:textId="77777777" w:rsidTr="00370DA6">
        <w:trPr>
          <w:cnfStyle w:val="000000010000" w:firstRow="0" w:lastRow="0" w:firstColumn="0" w:lastColumn="0" w:oddVBand="0" w:evenVBand="0" w:oddHBand="0" w:evenHBand="1" w:firstRowFirstColumn="0" w:firstRowLastColumn="0" w:lastRowFirstColumn="0" w:lastRowLastColumn="0"/>
          <w:trHeight w:val="330"/>
        </w:trPr>
        <w:tc>
          <w:tcPr>
            <w:tcW w:w="5807" w:type="dxa"/>
            <w:shd w:val="clear" w:color="auto" w:fill="DDE8F4" w:themeFill="text2" w:themeFillTint="1A"/>
            <w:noWrap/>
          </w:tcPr>
          <w:p w14:paraId="20A0567A" w14:textId="77777777" w:rsidR="00370DA6" w:rsidRPr="00B238CA" w:rsidRDefault="00370DA6" w:rsidP="00370DA6">
            <w:pPr>
              <w:pStyle w:val="TableParagraph"/>
              <w:rPr>
                <w:rFonts w:cs="Segoe UI"/>
                <w:b/>
              </w:rPr>
            </w:pPr>
            <w:r w:rsidRPr="003E2558">
              <w:rPr>
                <w:b/>
                <w:i/>
              </w:rPr>
              <w:t>Services</w:t>
            </w:r>
            <w:r>
              <w:rPr>
                <w:b/>
                <w:i/>
              </w:rPr>
              <w:t xml:space="preserve"> (Fee NOT Charged)</w:t>
            </w:r>
          </w:p>
        </w:tc>
        <w:tc>
          <w:tcPr>
            <w:tcW w:w="1276" w:type="dxa"/>
            <w:shd w:val="clear" w:color="auto" w:fill="DDE8F4" w:themeFill="text2" w:themeFillTint="1A"/>
            <w:noWrap/>
          </w:tcPr>
          <w:p w14:paraId="42225479" w14:textId="77777777" w:rsidR="00370DA6" w:rsidRPr="00A54823" w:rsidRDefault="00370DA6" w:rsidP="00370DA6">
            <w:pPr>
              <w:pStyle w:val="TableParagraph"/>
              <w:ind w:right="179"/>
              <w:jc w:val="right"/>
              <w:rPr>
                <w:b/>
              </w:rPr>
            </w:pPr>
          </w:p>
        </w:tc>
        <w:tc>
          <w:tcPr>
            <w:tcW w:w="1134" w:type="dxa"/>
            <w:shd w:val="clear" w:color="auto" w:fill="DDE8F4" w:themeFill="text2" w:themeFillTint="1A"/>
            <w:noWrap/>
          </w:tcPr>
          <w:p w14:paraId="3A0F6ABE" w14:textId="77777777" w:rsidR="00370DA6" w:rsidRPr="00B238CA" w:rsidRDefault="00370DA6" w:rsidP="00370DA6">
            <w:pPr>
              <w:pStyle w:val="TableParagraph"/>
              <w:ind w:right="179"/>
              <w:jc w:val="right"/>
              <w:rPr>
                <w:rFonts w:cs="Segoe UI"/>
                <w:b/>
              </w:rPr>
            </w:pPr>
          </w:p>
        </w:tc>
        <w:tc>
          <w:tcPr>
            <w:tcW w:w="1276" w:type="dxa"/>
            <w:shd w:val="clear" w:color="auto" w:fill="DDE8F4" w:themeFill="text2" w:themeFillTint="1A"/>
            <w:noWrap/>
          </w:tcPr>
          <w:p w14:paraId="7C7ECB1E" w14:textId="77777777" w:rsidR="00370DA6" w:rsidRDefault="00370DA6" w:rsidP="00370DA6">
            <w:pPr>
              <w:pStyle w:val="TableParagraph"/>
              <w:ind w:right="171"/>
              <w:jc w:val="right"/>
              <w:rPr>
                <w:b/>
              </w:rPr>
            </w:pPr>
          </w:p>
        </w:tc>
      </w:tr>
      <w:tr w:rsidR="00F944FE" w:rsidRPr="005324D2" w14:paraId="1373AD9F" w14:textId="77777777" w:rsidTr="00F145F7">
        <w:trPr>
          <w:trHeight w:val="315"/>
        </w:trPr>
        <w:tc>
          <w:tcPr>
            <w:tcW w:w="5807" w:type="dxa"/>
            <w:shd w:val="clear" w:color="auto" w:fill="auto"/>
            <w:noWrap/>
            <w:hideMark/>
          </w:tcPr>
          <w:p w14:paraId="5AB2119B" w14:textId="77777777" w:rsidR="00F944FE" w:rsidRDefault="00F944FE" w:rsidP="00F944FE">
            <w:pPr>
              <w:pStyle w:val="TableParagraph"/>
              <w:ind w:left="171"/>
            </w:pPr>
            <w:r w:rsidRPr="00041660">
              <w:t xml:space="preserve">Driver Licence </w:t>
            </w:r>
            <w:r>
              <w:t>Issue and Renewal</w:t>
            </w:r>
          </w:p>
        </w:tc>
        <w:tc>
          <w:tcPr>
            <w:tcW w:w="1276" w:type="dxa"/>
            <w:shd w:val="clear" w:color="auto" w:fill="auto"/>
            <w:noWrap/>
            <w:hideMark/>
          </w:tcPr>
          <w:p w14:paraId="7C5A518E" w14:textId="4116AD75" w:rsidR="00F944FE" w:rsidRPr="005324D2" w:rsidRDefault="00F944FE" w:rsidP="00F944FE">
            <w:pPr>
              <w:pStyle w:val="TableParagraph"/>
              <w:ind w:right="179"/>
              <w:jc w:val="right"/>
            </w:pPr>
            <w:r w:rsidRPr="00415AA4">
              <w:t xml:space="preserve"> 16.27 </w:t>
            </w:r>
          </w:p>
        </w:tc>
        <w:tc>
          <w:tcPr>
            <w:tcW w:w="1134" w:type="dxa"/>
            <w:shd w:val="clear" w:color="auto" w:fill="auto"/>
            <w:noWrap/>
            <w:hideMark/>
          </w:tcPr>
          <w:p w14:paraId="2FF7A428" w14:textId="638CACC2" w:rsidR="00F944FE" w:rsidRPr="005324D2" w:rsidRDefault="00F944FE" w:rsidP="00F944FE">
            <w:pPr>
              <w:pStyle w:val="TableParagraph"/>
              <w:ind w:right="179"/>
              <w:jc w:val="right"/>
            </w:pPr>
            <w:r w:rsidRPr="00415AA4">
              <w:t xml:space="preserve"> -   </w:t>
            </w:r>
          </w:p>
        </w:tc>
        <w:tc>
          <w:tcPr>
            <w:tcW w:w="1276" w:type="dxa"/>
            <w:shd w:val="clear" w:color="auto" w:fill="auto"/>
            <w:noWrap/>
            <w:hideMark/>
          </w:tcPr>
          <w:p w14:paraId="4A6157D7" w14:textId="2C7280B9" w:rsidR="00F944FE" w:rsidRPr="00781E45" w:rsidRDefault="00F944FE" w:rsidP="00F944FE">
            <w:pPr>
              <w:pStyle w:val="TableParagraph"/>
              <w:ind w:right="179"/>
              <w:jc w:val="right"/>
              <w:rPr>
                <w:rFonts w:eastAsia="Times New Roman" w:cs="Segoe UI"/>
                <w:color w:val="FF0000"/>
                <w:szCs w:val="18"/>
              </w:rPr>
            </w:pPr>
            <w:r>
              <w:rPr>
                <w:color w:val="FF0000"/>
              </w:rPr>
              <w:t xml:space="preserve">-  </w:t>
            </w:r>
            <w:r w:rsidR="007812A3">
              <w:rPr>
                <w:color w:val="FF0000"/>
              </w:rPr>
              <w:t>16.27</w:t>
            </w:r>
            <w:r w:rsidRPr="00781E45">
              <w:rPr>
                <w:color w:val="FF0000"/>
              </w:rPr>
              <w:t xml:space="preserve"> </w:t>
            </w:r>
          </w:p>
        </w:tc>
      </w:tr>
      <w:tr w:rsidR="00F944FE" w:rsidRPr="005324D2" w14:paraId="5C892333" w14:textId="77777777" w:rsidTr="00F145F7">
        <w:trPr>
          <w:cnfStyle w:val="000000010000" w:firstRow="0" w:lastRow="0" w:firstColumn="0" w:lastColumn="0" w:oddVBand="0" w:evenVBand="0" w:oddHBand="0" w:evenHBand="1" w:firstRowFirstColumn="0" w:firstRowLastColumn="0" w:lastRowFirstColumn="0" w:lastRowLastColumn="0"/>
          <w:trHeight w:val="315"/>
        </w:trPr>
        <w:tc>
          <w:tcPr>
            <w:tcW w:w="5807" w:type="dxa"/>
            <w:noWrap/>
            <w:hideMark/>
          </w:tcPr>
          <w:p w14:paraId="57D8706C" w14:textId="77777777" w:rsidR="00F944FE" w:rsidRPr="008D7C83" w:rsidRDefault="00F944FE" w:rsidP="00F944FE">
            <w:pPr>
              <w:pStyle w:val="TableParagraph"/>
              <w:ind w:left="171"/>
            </w:pPr>
            <w:r>
              <w:t>Registration Administration - Issue and Renewal</w:t>
            </w:r>
          </w:p>
        </w:tc>
        <w:tc>
          <w:tcPr>
            <w:tcW w:w="1276" w:type="dxa"/>
            <w:noWrap/>
            <w:hideMark/>
          </w:tcPr>
          <w:p w14:paraId="255DB9E6" w14:textId="0F318A68" w:rsidR="00F944FE" w:rsidRPr="00CB66C8" w:rsidRDefault="00F944FE" w:rsidP="00F944FE">
            <w:pPr>
              <w:pStyle w:val="TableParagraph"/>
              <w:ind w:right="179"/>
              <w:jc w:val="right"/>
            </w:pPr>
            <w:r w:rsidRPr="00415AA4">
              <w:t xml:space="preserve"> 22.91 </w:t>
            </w:r>
          </w:p>
        </w:tc>
        <w:tc>
          <w:tcPr>
            <w:tcW w:w="1134" w:type="dxa"/>
            <w:noWrap/>
            <w:hideMark/>
          </w:tcPr>
          <w:p w14:paraId="17B17E28" w14:textId="1D485CAB" w:rsidR="00F944FE" w:rsidRPr="00CB66C8" w:rsidRDefault="00F944FE" w:rsidP="00F944FE">
            <w:pPr>
              <w:pStyle w:val="TableParagraph"/>
              <w:ind w:right="179"/>
              <w:jc w:val="right"/>
            </w:pPr>
            <w:r w:rsidRPr="00415AA4">
              <w:t xml:space="preserve"> -   </w:t>
            </w:r>
          </w:p>
        </w:tc>
        <w:tc>
          <w:tcPr>
            <w:tcW w:w="1276" w:type="dxa"/>
            <w:noWrap/>
            <w:hideMark/>
          </w:tcPr>
          <w:p w14:paraId="0F417098" w14:textId="3FC0F1EE" w:rsidR="00F944FE" w:rsidRPr="00781E45" w:rsidRDefault="00F944FE" w:rsidP="00F944FE">
            <w:pPr>
              <w:pStyle w:val="TableParagraph"/>
              <w:ind w:right="171"/>
              <w:jc w:val="right"/>
              <w:rPr>
                <w:color w:val="FF0000"/>
              </w:rPr>
            </w:pPr>
            <w:r>
              <w:rPr>
                <w:color w:val="FF0000"/>
              </w:rPr>
              <w:t xml:space="preserve">-  </w:t>
            </w:r>
            <w:r w:rsidRPr="00781E45">
              <w:rPr>
                <w:color w:val="FF0000"/>
              </w:rPr>
              <w:t>2</w:t>
            </w:r>
            <w:r w:rsidR="007812A3">
              <w:rPr>
                <w:color w:val="FF0000"/>
              </w:rPr>
              <w:t>2.91</w:t>
            </w:r>
            <w:r w:rsidRPr="00781E45">
              <w:rPr>
                <w:color w:val="FF0000"/>
              </w:rPr>
              <w:t xml:space="preserve"> </w:t>
            </w:r>
          </w:p>
        </w:tc>
      </w:tr>
      <w:tr w:rsidR="00F944FE" w:rsidRPr="003E2558" w14:paraId="32BD1127" w14:textId="77777777" w:rsidTr="00370DA6">
        <w:trPr>
          <w:trHeight w:val="330"/>
        </w:trPr>
        <w:tc>
          <w:tcPr>
            <w:tcW w:w="5807" w:type="dxa"/>
            <w:shd w:val="clear" w:color="auto" w:fill="DDE8F4" w:themeFill="text2" w:themeFillTint="1A"/>
            <w:noWrap/>
            <w:hideMark/>
          </w:tcPr>
          <w:p w14:paraId="14184D46" w14:textId="77777777" w:rsidR="00F944FE" w:rsidRPr="003E2558" w:rsidRDefault="00F944FE" w:rsidP="00F944FE">
            <w:pPr>
              <w:pStyle w:val="TableParagraph"/>
              <w:jc w:val="right"/>
              <w:rPr>
                <w:b/>
              </w:rPr>
            </w:pPr>
            <w:r w:rsidRPr="00B238CA">
              <w:rPr>
                <w:rFonts w:cs="Segoe UI"/>
                <w:b/>
              </w:rPr>
              <w:t>Total Services</w:t>
            </w:r>
          </w:p>
        </w:tc>
        <w:tc>
          <w:tcPr>
            <w:tcW w:w="1276" w:type="dxa"/>
            <w:shd w:val="clear" w:color="auto" w:fill="DDE8F4" w:themeFill="text2" w:themeFillTint="1A"/>
            <w:noWrap/>
            <w:hideMark/>
          </w:tcPr>
          <w:p w14:paraId="03591F92" w14:textId="39D87752" w:rsidR="00F944FE" w:rsidRPr="00F944FE" w:rsidRDefault="00F944FE" w:rsidP="00F944FE">
            <w:pPr>
              <w:pStyle w:val="TableParagraph"/>
              <w:ind w:right="179"/>
              <w:jc w:val="right"/>
              <w:rPr>
                <w:b/>
              </w:rPr>
            </w:pPr>
            <w:r w:rsidRPr="00F944FE">
              <w:rPr>
                <w:b/>
              </w:rPr>
              <w:t xml:space="preserve"> 139.98 </w:t>
            </w:r>
          </w:p>
        </w:tc>
        <w:tc>
          <w:tcPr>
            <w:tcW w:w="1134" w:type="dxa"/>
            <w:shd w:val="clear" w:color="auto" w:fill="DDE8F4" w:themeFill="text2" w:themeFillTint="1A"/>
            <w:noWrap/>
            <w:hideMark/>
          </w:tcPr>
          <w:p w14:paraId="0D1CCCCE" w14:textId="2E6C44A6" w:rsidR="00F944FE" w:rsidRPr="00F944FE" w:rsidRDefault="00F944FE" w:rsidP="00F944FE">
            <w:pPr>
              <w:pStyle w:val="TableParagraph"/>
              <w:ind w:right="179"/>
              <w:jc w:val="right"/>
              <w:rPr>
                <w:b/>
              </w:rPr>
            </w:pPr>
            <w:r w:rsidRPr="00F944FE">
              <w:rPr>
                <w:b/>
              </w:rPr>
              <w:t xml:space="preserve"> 109.55 </w:t>
            </w:r>
          </w:p>
        </w:tc>
        <w:tc>
          <w:tcPr>
            <w:tcW w:w="1276" w:type="dxa"/>
            <w:shd w:val="clear" w:color="auto" w:fill="DDE8F4" w:themeFill="text2" w:themeFillTint="1A"/>
            <w:noWrap/>
            <w:hideMark/>
          </w:tcPr>
          <w:p w14:paraId="24E9A71F" w14:textId="7CF58135" w:rsidR="00F944FE" w:rsidRPr="00E20B72" w:rsidRDefault="00F944FE" w:rsidP="00F944FE">
            <w:pPr>
              <w:pStyle w:val="TableParagraph"/>
              <w:ind w:right="171"/>
              <w:jc w:val="right"/>
              <w:rPr>
                <w:b/>
              </w:rPr>
            </w:pPr>
            <w:r>
              <w:rPr>
                <w:b/>
                <w:color w:val="FF0000"/>
              </w:rPr>
              <w:t xml:space="preserve">- </w:t>
            </w:r>
            <w:r w:rsidR="007812A3">
              <w:rPr>
                <w:b/>
                <w:color w:val="FF0000"/>
              </w:rPr>
              <w:t>30.43</w:t>
            </w:r>
          </w:p>
        </w:tc>
      </w:tr>
      <w:tr w:rsidR="00370DA6" w:rsidRPr="006979E1" w14:paraId="4E3E0FB2" w14:textId="77777777" w:rsidTr="00370DA6">
        <w:trPr>
          <w:cnfStyle w:val="000000010000" w:firstRow="0" w:lastRow="0" w:firstColumn="0" w:lastColumn="0" w:oddVBand="0" w:evenVBand="0" w:oddHBand="0" w:evenHBand="1" w:firstRowFirstColumn="0" w:firstRowLastColumn="0" w:lastRowFirstColumn="0" w:lastRowLastColumn="0"/>
          <w:trHeight w:hRule="exact" w:val="140"/>
        </w:trPr>
        <w:tc>
          <w:tcPr>
            <w:tcW w:w="9493" w:type="dxa"/>
            <w:gridSpan w:val="4"/>
            <w:noWrap/>
          </w:tcPr>
          <w:p w14:paraId="1A47C42F" w14:textId="77777777" w:rsidR="00370DA6" w:rsidRPr="006979E1" w:rsidRDefault="00370DA6" w:rsidP="006B6D5C">
            <w:pPr>
              <w:pStyle w:val="TableParagraph"/>
              <w:ind w:right="171"/>
              <w:jc w:val="right"/>
              <w:rPr>
                <w:b/>
                <w:sz w:val="4"/>
              </w:rPr>
            </w:pPr>
          </w:p>
        </w:tc>
      </w:tr>
      <w:tr w:rsidR="007812A3" w:rsidRPr="006979E1" w14:paraId="770EB824" w14:textId="77777777" w:rsidTr="00370DA6">
        <w:trPr>
          <w:trHeight w:val="330"/>
        </w:trPr>
        <w:tc>
          <w:tcPr>
            <w:tcW w:w="5807" w:type="dxa"/>
            <w:shd w:val="clear" w:color="auto" w:fill="2D5A92" w:themeFill="text2" w:themeFillTint="BF"/>
            <w:noWrap/>
          </w:tcPr>
          <w:p w14:paraId="3DED0A96" w14:textId="77777777" w:rsidR="007812A3" w:rsidRPr="006979E1" w:rsidRDefault="007812A3" w:rsidP="007812A3">
            <w:pPr>
              <w:pStyle w:val="TableParagraph"/>
              <w:jc w:val="right"/>
              <w:rPr>
                <w:b/>
                <w:color w:val="FFFFFF" w:themeColor="background1"/>
              </w:rPr>
            </w:pPr>
            <w:r w:rsidRPr="006979E1">
              <w:rPr>
                <w:b/>
                <w:color w:val="FFFFFF" w:themeColor="background1"/>
                <w:sz w:val="20"/>
              </w:rPr>
              <w:t>Total</w:t>
            </w:r>
          </w:p>
        </w:tc>
        <w:tc>
          <w:tcPr>
            <w:tcW w:w="1276" w:type="dxa"/>
            <w:shd w:val="clear" w:color="auto" w:fill="2D5A92" w:themeFill="text2" w:themeFillTint="BF"/>
            <w:noWrap/>
          </w:tcPr>
          <w:p w14:paraId="49BBFE0C" w14:textId="32CCF230" w:rsidR="007812A3" w:rsidRPr="007812A3" w:rsidRDefault="007812A3" w:rsidP="007812A3">
            <w:pPr>
              <w:pStyle w:val="TableParagraph"/>
              <w:ind w:right="179"/>
              <w:jc w:val="right"/>
              <w:rPr>
                <w:b/>
                <w:color w:val="FFFFFF" w:themeColor="background1"/>
                <w:sz w:val="20"/>
              </w:rPr>
            </w:pPr>
            <w:r w:rsidRPr="007812A3">
              <w:rPr>
                <w:b/>
                <w:color w:val="FFFFFF" w:themeColor="background1"/>
                <w:sz w:val="20"/>
              </w:rPr>
              <w:t xml:space="preserve"> 259.12 </w:t>
            </w:r>
          </w:p>
        </w:tc>
        <w:tc>
          <w:tcPr>
            <w:tcW w:w="1134" w:type="dxa"/>
            <w:shd w:val="clear" w:color="auto" w:fill="2D5A92" w:themeFill="text2" w:themeFillTint="BF"/>
            <w:noWrap/>
          </w:tcPr>
          <w:p w14:paraId="4C0DFF3B" w14:textId="2A677889" w:rsidR="007812A3" w:rsidRPr="007812A3" w:rsidRDefault="007812A3" w:rsidP="007812A3">
            <w:pPr>
              <w:pStyle w:val="TableParagraph"/>
              <w:ind w:right="179"/>
              <w:jc w:val="right"/>
              <w:rPr>
                <w:b/>
                <w:color w:val="FFFFFF" w:themeColor="background1"/>
                <w:sz w:val="20"/>
              </w:rPr>
            </w:pPr>
            <w:r w:rsidRPr="007812A3">
              <w:rPr>
                <w:b/>
                <w:color w:val="FFFFFF" w:themeColor="background1"/>
                <w:sz w:val="20"/>
              </w:rPr>
              <w:t xml:space="preserve"> 254.47 </w:t>
            </w:r>
          </w:p>
        </w:tc>
        <w:tc>
          <w:tcPr>
            <w:tcW w:w="1276" w:type="dxa"/>
            <w:shd w:val="clear" w:color="auto" w:fill="2D5A92" w:themeFill="text2" w:themeFillTint="BF"/>
            <w:noWrap/>
          </w:tcPr>
          <w:p w14:paraId="5005515A" w14:textId="77777777" w:rsidR="007812A3" w:rsidRPr="00C35416" w:rsidRDefault="007812A3" w:rsidP="007812A3">
            <w:pPr>
              <w:pStyle w:val="TableParagraph"/>
              <w:ind w:right="171"/>
              <w:jc w:val="right"/>
              <w:rPr>
                <w:b/>
                <w:color w:val="FFFFFF" w:themeColor="background1"/>
                <w:sz w:val="20"/>
              </w:rPr>
            </w:pPr>
          </w:p>
        </w:tc>
      </w:tr>
    </w:tbl>
    <w:p w14:paraId="0ABB441A" w14:textId="77777777" w:rsidR="00370DA6" w:rsidRPr="00DF21BA" w:rsidRDefault="00370DA6" w:rsidP="00DF3451">
      <w:pPr>
        <w:spacing w:line="240" w:lineRule="auto"/>
        <w:rPr>
          <w:sz w:val="4"/>
          <w:szCs w:val="10"/>
        </w:rPr>
      </w:pPr>
    </w:p>
    <w:p w14:paraId="4D305935" w14:textId="77777777" w:rsidR="00370DA6" w:rsidRDefault="00370DA6" w:rsidP="00DF3451">
      <w:pPr>
        <w:spacing w:after="200"/>
      </w:pPr>
    </w:p>
    <w:p w14:paraId="52DB3632" w14:textId="3BB414F6" w:rsidR="00370DA6" w:rsidRPr="008422B1" w:rsidRDefault="00370DA6" w:rsidP="00F629FF">
      <w:pPr>
        <w:pStyle w:val="TextPara"/>
      </w:pPr>
      <w:r w:rsidRPr="008422B1">
        <w:t xml:space="preserve">The Services Groups pursuant to the proposed Regulations are projected to recover </w:t>
      </w:r>
      <w:r>
        <w:t>62.</w:t>
      </w:r>
      <w:r w:rsidR="007812A3">
        <w:t>0</w:t>
      </w:r>
      <w:r>
        <w:t>% o</w:t>
      </w:r>
      <w:r w:rsidRPr="008422B1">
        <w:t>f the costs to deliver the Services Group activities.</w:t>
      </w:r>
    </w:p>
    <w:p w14:paraId="279E7D77" w14:textId="07AD9EE1" w:rsidR="002F0699" w:rsidRPr="008103DD" w:rsidRDefault="00370DA6" w:rsidP="00AC0D9F">
      <w:pPr>
        <w:pStyle w:val="TextPara"/>
        <w:rPr>
          <w:b/>
          <w:bCs/>
        </w:rPr>
        <w:sectPr w:rsidR="002F0699" w:rsidRPr="008103DD" w:rsidSect="00910C49">
          <w:headerReference w:type="even" r:id="rId75"/>
          <w:headerReference w:type="default" r:id="rId76"/>
          <w:headerReference w:type="first" r:id="rId77"/>
          <w:endnotePr>
            <w:numFmt w:val="decimal"/>
          </w:endnotePr>
          <w:pgSz w:w="11906" w:h="16838" w:code="9"/>
          <w:pgMar w:top="1418" w:right="1134" w:bottom="1418" w:left="1247" w:header="567" w:footer="397" w:gutter="0"/>
          <w:cols w:space="708"/>
          <w:docGrid w:linePitch="360"/>
        </w:sectPr>
      </w:pPr>
      <w:r w:rsidRPr="008422B1">
        <w:t>The shortfall of $</w:t>
      </w:r>
      <w:r>
        <w:t>2</w:t>
      </w:r>
      <w:r w:rsidR="007812A3">
        <w:t>6.52</w:t>
      </w:r>
      <w:r w:rsidRPr="008422B1">
        <w:t>m is largely driven by the provision of services where no fee is charged (demerit point</w:t>
      </w:r>
      <w:r>
        <w:t>s</w:t>
      </w:r>
      <w:r w:rsidRPr="008422B1">
        <w:t xml:space="preserve"> and sanction management, and medical </w:t>
      </w:r>
      <w:r>
        <w:t xml:space="preserve">fitness-to-drive </w:t>
      </w:r>
      <w:r w:rsidRPr="008422B1">
        <w:t>review services) and a substantial</w:t>
      </w:r>
      <w:r w:rsidRPr="009C38FF">
        <w:t xml:space="preserve"> shortfall in fee revenue relative to costs from licence</w:t>
      </w:r>
      <w:r>
        <w:t xml:space="preserve"> and </w:t>
      </w:r>
      <w:r w:rsidRPr="009C38FF">
        <w:t>permit testing.</w:t>
      </w:r>
      <w:r>
        <w:t xml:space="preserve"> Accordingly, continued support by way of Victorian government appropriations will be required to enable VicRoads to maintain services to the existing levels.</w:t>
      </w:r>
    </w:p>
    <w:p w14:paraId="064007E4" w14:textId="62A140AC" w:rsidR="00122C1B" w:rsidRPr="000C6773" w:rsidRDefault="00122C1B" w:rsidP="00AC0D9F">
      <w:pPr>
        <w:pStyle w:val="PartHeading"/>
      </w:pPr>
      <w:bookmarkStart w:id="875" w:name="_Toc10703540"/>
      <w:bookmarkEnd w:id="599"/>
      <w:bookmarkEnd w:id="600"/>
      <w:bookmarkEnd w:id="601"/>
      <w:bookmarkEnd w:id="604"/>
      <w:bookmarkEnd w:id="605"/>
      <w:r w:rsidRPr="000C6773">
        <w:lastRenderedPageBreak/>
        <w:t>IMPLEMENTATION, EVALUATION AND CONSULTATION</w:t>
      </w:r>
      <w:bookmarkEnd w:id="875"/>
    </w:p>
    <w:p w14:paraId="617B5825" w14:textId="77777777" w:rsidR="00122C1B" w:rsidRPr="00EA637D" w:rsidRDefault="00122C1B" w:rsidP="006713F9">
      <w:pPr>
        <w:pStyle w:val="Heading1"/>
        <w:rPr>
          <w:rStyle w:val="Strong"/>
          <w:b/>
          <w:bCs/>
          <w:color w:val="404040" w:themeColor="text1" w:themeTint="BF"/>
          <w:sz w:val="28"/>
        </w:rPr>
      </w:pPr>
      <w:bookmarkStart w:id="876" w:name="_Toc10703541"/>
      <w:bookmarkStart w:id="877" w:name="_Hlk503955606"/>
      <w:r w:rsidRPr="00EA637D">
        <w:rPr>
          <w:rStyle w:val="Strong"/>
          <w:b/>
          <w:bCs/>
          <w:color w:val="404040" w:themeColor="text1" w:themeTint="BF"/>
          <w:sz w:val="28"/>
        </w:rPr>
        <w:t>Implementation</w:t>
      </w:r>
      <w:bookmarkEnd w:id="876"/>
    </w:p>
    <w:p w14:paraId="53F1649F" w14:textId="77777777" w:rsidR="00C96CA6" w:rsidRDefault="00C96CA6" w:rsidP="001A063E">
      <w:pPr>
        <w:pStyle w:val="Heading2"/>
      </w:pPr>
      <w:bookmarkStart w:id="878" w:name="_Toc10703542"/>
      <w:bookmarkStart w:id="879" w:name="_Ref523825057"/>
      <w:r>
        <w:t>Implementing proposed Regulations</w:t>
      </w:r>
      <w:bookmarkEnd w:id="878"/>
    </w:p>
    <w:p w14:paraId="6EAE1827" w14:textId="77777777" w:rsidR="00C96CA6" w:rsidRDefault="00C96CA6" w:rsidP="00C96CA6">
      <w:pPr>
        <w:pStyle w:val="TextPara"/>
        <w:rPr>
          <w:lang w:eastAsia="en-AU"/>
        </w:rPr>
      </w:pPr>
      <w:r>
        <w:rPr>
          <w:lang w:eastAsia="en-AU"/>
        </w:rPr>
        <w:t xml:space="preserve">Following the public consultation period, </w:t>
      </w:r>
      <w:r w:rsidR="000C33B0">
        <w:rPr>
          <w:lang w:eastAsia="en-AU"/>
        </w:rPr>
        <w:t>DoT</w:t>
      </w:r>
      <w:r>
        <w:rPr>
          <w:lang w:eastAsia="en-AU"/>
        </w:rPr>
        <w:t xml:space="preserve"> will consider all submissions and comments made by stakeholders on the proposed Regulations. After this, </w:t>
      </w:r>
      <w:r w:rsidR="000C33B0">
        <w:rPr>
          <w:lang w:eastAsia="en-AU"/>
        </w:rPr>
        <w:t>DoT</w:t>
      </w:r>
      <w:r>
        <w:rPr>
          <w:lang w:eastAsia="en-AU"/>
        </w:rPr>
        <w:t xml:space="preserve"> will submit its final recommendations to the Minister for Road Safety </w:t>
      </w:r>
      <w:r w:rsidR="007C2CFF">
        <w:rPr>
          <w:lang w:eastAsia="en-AU"/>
        </w:rPr>
        <w:t xml:space="preserve">and the TAC </w:t>
      </w:r>
      <w:r>
        <w:rPr>
          <w:lang w:eastAsia="en-AU"/>
        </w:rPr>
        <w:t xml:space="preserve">for approval. The Minister will publish a notice of decision in the Government Gazette and in newspapers which will outline the changes from the exposure draft of the proposed Regulations. </w:t>
      </w:r>
      <w:r w:rsidR="000C33B0">
        <w:rPr>
          <w:lang w:eastAsia="en-AU"/>
        </w:rPr>
        <w:t>DoT</w:t>
      </w:r>
      <w:r>
        <w:rPr>
          <w:lang w:eastAsia="en-AU"/>
        </w:rPr>
        <w:t xml:space="preserve"> expects the regulations to be made in the </w:t>
      </w:r>
      <w:r>
        <w:rPr>
          <w:rFonts w:cs="Segoe UI"/>
          <w:szCs w:val="20"/>
        </w:rPr>
        <w:t>July-September quarter of 2019</w:t>
      </w:r>
      <w:r>
        <w:rPr>
          <w:lang w:eastAsia="en-AU"/>
        </w:rPr>
        <w:t xml:space="preserve">. </w:t>
      </w:r>
    </w:p>
    <w:p w14:paraId="27E17BB1" w14:textId="77777777" w:rsidR="00C96CA6" w:rsidRDefault="00C96CA6" w:rsidP="00C96CA6">
      <w:pPr>
        <w:pStyle w:val="TextPara"/>
        <w:rPr>
          <w:lang w:eastAsia="en-AU"/>
        </w:rPr>
      </w:pPr>
      <w:r>
        <w:rPr>
          <w:lang w:eastAsia="en-AU"/>
        </w:rPr>
        <w:t xml:space="preserve">The proposed </w:t>
      </w:r>
      <w:r w:rsidRPr="001A3D68">
        <w:rPr>
          <w:lang w:eastAsia="en-AU"/>
        </w:rPr>
        <w:t>Regulations</w:t>
      </w:r>
      <w:r w:rsidRPr="007427F8">
        <w:rPr>
          <w:i/>
          <w:lang w:eastAsia="en-AU"/>
        </w:rPr>
        <w:t xml:space="preserve"> </w:t>
      </w:r>
      <w:r>
        <w:rPr>
          <w:lang w:eastAsia="en-AU"/>
        </w:rPr>
        <w:t xml:space="preserve">are substantially the same as the current </w:t>
      </w:r>
      <w:r w:rsidRPr="00AE6694">
        <w:rPr>
          <w:lang w:eastAsia="en-AU"/>
        </w:rPr>
        <w:t>Road Safety (Drivers) Regulations 2009</w:t>
      </w:r>
      <w:r>
        <w:rPr>
          <w:lang w:eastAsia="en-AU"/>
        </w:rPr>
        <w:t xml:space="preserve">. </w:t>
      </w:r>
      <w:r>
        <w:rPr>
          <w:rFonts w:cs="Segoe UI"/>
          <w:szCs w:val="20"/>
        </w:rPr>
        <w:t>The existing regulatory approach will not change.</w:t>
      </w:r>
      <w:r>
        <w:rPr>
          <w:lang w:eastAsia="en-AU"/>
        </w:rPr>
        <w:t xml:space="preserve"> </w:t>
      </w:r>
      <w:r w:rsidRPr="00B56F6D">
        <w:rPr>
          <w:lang w:eastAsia="en-AU"/>
        </w:rPr>
        <w:t>On this basis, a detailed implementation plan is not required.</w:t>
      </w:r>
    </w:p>
    <w:p w14:paraId="105301F5" w14:textId="77777777" w:rsidR="00C96CA6" w:rsidRDefault="00C96CA6" w:rsidP="00C96CA6">
      <w:pPr>
        <w:pStyle w:val="TextPara"/>
      </w:pPr>
      <w:r>
        <w:rPr>
          <w:lang w:eastAsia="en-AU"/>
        </w:rPr>
        <w:t>In order to implement the proposed Regulations, VicRoads will be required to make some changes to processes and systems.</w:t>
      </w:r>
      <w:r w:rsidRPr="00A654A3">
        <w:rPr>
          <w:lang w:eastAsia="en-AU"/>
        </w:rPr>
        <w:t xml:space="preserve"> </w:t>
      </w:r>
      <w:r>
        <w:t xml:space="preserve">VicRoads will build on and modify existing systems. </w:t>
      </w:r>
      <w:r w:rsidRPr="00A654A3">
        <w:rPr>
          <w:lang w:eastAsia="en-AU"/>
        </w:rPr>
        <w:t xml:space="preserve">The renumbering of </w:t>
      </w:r>
      <w:r>
        <w:rPr>
          <w:lang w:eastAsia="en-AU"/>
        </w:rPr>
        <w:t>the proposed</w:t>
      </w:r>
      <w:r w:rsidRPr="00A654A3">
        <w:rPr>
          <w:lang w:eastAsia="en-AU"/>
        </w:rPr>
        <w:t xml:space="preserve"> Regulations</w:t>
      </w:r>
      <w:r>
        <w:rPr>
          <w:lang w:eastAsia="en-AU"/>
        </w:rPr>
        <w:t xml:space="preserve"> necessitated by some of the changes to the existing regulations,</w:t>
      </w:r>
      <w:r w:rsidRPr="00A654A3">
        <w:rPr>
          <w:lang w:eastAsia="en-AU"/>
        </w:rPr>
        <w:t xml:space="preserve"> </w:t>
      </w:r>
      <w:r>
        <w:rPr>
          <w:lang w:eastAsia="en-AU"/>
        </w:rPr>
        <w:t xml:space="preserve">will </w:t>
      </w:r>
      <w:r w:rsidRPr="00A654A3">
        <w:rPr>
          <w:lang w:eastAsia="en-AU"/>
        </w:rPr>
        <w:t>require updates to</w:t>
      </w:r>
      <w:r>
        <w:rPr>
          <w:lang w:eastAsia="en-AU"/>
        </w:rPr>
        <w:t xml:space="preserve"> be made to</w:t>
      </w:r>
      <w:r w:rsidRPr="00A654A3">
        <w:rPr>
          <w:lang w:eastAsia="en-AU"/>
        </w:rPr>
        <w:t xml:space="preserve"> computer systems, </w:t>
      </w:r>
      <w:r>
        <w:rPr>
          <w:lang w:eastAsia="en-AU"/>
        </w:rPr>
        <w:t xml:space="preserve">and </w:t>
      </w:r>
      <w:r w:rsidRPr="00A654A3">
        <w:rPr>
          <w:lang w:eastAsia="en-AU"/>
        </w:rPr>
        <w:t>letters, forms and notices issued by VicRoads.</w:t>
      </w:r>
      <w:r w:rsidRPr="00A654A3">
        <w:t xml:space="preserve"> </w:t>
      </w:r>
      <w:r>
        <w:t>There is no requirement to build new systems and undertake organisational change to cater for the proposed regulation changes.</w:t>
      </w:r>
    </w:p>
    <w:p w14:paraId="5B7EC083" w14:textId="77777777" w:rsidR="00C96CA6" w:rsidRDefault="00C96CA6" w:rsidP="00C96CA6">
      <w:pPr>
        <w:pStyle w:val="TextPara"/>
      </w:pPr>
      <w:r>
        <w:t>The proposed changes will not introduce any fundamental changes that have far-reaching impacts on the Victorian driver and motorcyclist population. The changes impact relatively small and specific groups of drivers and motorcyclists. The implementation of these changes will include a series of activities that involve direct engagement with the impacted stakeholders and/or their representatives, as well as communication to the broader community for awareness.</w:t>
      </w:r>
    </w:p>
    <w:p w14:paraId="28AC3762" w14:textId="77777777" w:rsidR="00C96CA6" w:rsidRDefault="00C96CA6" w:rsidP="00C96CA6">
      <w:pPr>
        <w:pStyle w:val="TextPara"/>
      </w:pPr>
      <w:r>
        <w:t>VicRoads has worked with various stakeholders and suppliers to identify the impacts and strategies to minimise costs for system changes and implementation of updated business processes to support the new regulations.</w:t>
      </w:r>
    </w:p>
    <w:p w14:paraId="71D5839D" w14:textId="5EDDB9CD" w:rsidR="00C96CA6" w:rsidRDefault="00C96CA6" w:rsidP="00C96CA6">
      <w:pPr>
        <w:pStyle w:val="TextPara"/>
      </w:pPr>
      <w:r w:rsidRPr="005E1465">
        <w:fldChar w:fldCharType="begin"/>
      </w:r>
      <w:r w:rsidRPr="005E1465">
        <w:instrText xml:space="preserve"> REF _Ref511143636 \h  \* MERGEFORMAT </w:instrText>
      </w:r>
      <w:r w:rsidRPr="005E1465">
        <w:fldChar w:fldCharType="separate"/>
      </w:r>
      <w:r w:rsidR="00EB4B02" w:rsidRPr="0008335F">
        <w:t xml:space="preserve">Table </w:t>
      </w:r>
      <w:r w:rsidR="00EB4B02">
        <w:rPr>
          <w:noProof/>
        </w:rPr>
        <w:t>71</w:t>
      </w:r>
      <w:r w:rsidRPr="005E1465">
        <w:fldChar w:fldCharType="end"/>
      </w:r>
      <w:r w:rsidRPr="005E1465">
        <w:t xml:space="preserve"> </w:t>
      </w:r>
      <w:r>
        <w:t>lists</w:t>
      </w:r>
      <w:r w:rsidRPr="009C5BFC">
        <w:t xml:space="preserve">, at a high level, the proposed implementation activities that will </w:t>
      </w:r>
      <w:r>
        <w:t>be carried out</w:t>
      </w:r>
      <w:r w:rsidRPr="009C5BFC">
        <w:t xml:space="preserve"> for various</w:t>
      </w:r>
      <w:r w:rsidRPr="00A73465">
        <w:t xml:space="preserve"> types of changes. Unless otherwise specified, proposed implementation activities will be undertaken between the making of the proposed Regulations and the sunsetting date of the existing Regulations.</w:t>
      </w:r>
    </w:p>
    <w:p w14:paraId="27271626" w14:textId="0B9C5C86" w:rsidR="00C96CA6" w:rsidRPr="0008335F" w:rsidRDefault="00C96CA6" w:rsidP="00C96CA6">
      <w:pPr>
        <w:pStyle w:val="Caption"/>
      </w:pPr>
      <w:bookmarkStart w:id="880" w:name="_Ref511143636"/>
      <w:bookmarkStart w:id="881" w:name="_Ref511143618"/>
      <w:bookmarkStart w:id="882" w:name="_Toc514831872"/>
      <w:bookmarkStart w:id="883" w:name="_Toc515441635"/>
      <w:bookmarkStart w:id="884" w:name="_Toc10703764"/>
      <w:r w:rsidRPr="0008335F">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71</w:t>
      </w:r>
      <w:r w:rsidR="00BC6B2E">
        <w:rPr>
          <w:noProof/>
        </w:rPr>
        <w:fldChar w:fldCharType="end"/>
      </w:r>
      <w:bookmarkEnd w:id="880"/>
      <w:r w:rsidRPr="0008335F">
        <w:t xml:space="preserve"> </w:t>
      </w:r>
      <w:r>
        <w:t>–</w:t>
      </w:r>
      <w:r w:rsidRPr="0008335F">
        <w:t xml:space="preserve"> </w:t>
      </w:r>
      <w:r>
        <w:t xml:space="preserve">Proposed </w:t>
      </w:r>
      <w:r w:rsidRPr="00190102">
        <w:t>implementation</w:t>
      </w:r>
      <w:r>
        <w:t xml:space="preserve"> activities</w:t>
      </w:r>
      <w:bookmarkEnd w:id="881"/>
      <w:bookmarkEnd w:id="882"/>
      <w:bookmarkEnd w:id="883"/>
      <w:bookmarkEnd w:id="884"/>
    </w:p>
    <w:tbl>
      <w:tblPr>
        <w:tblStyle w:val="RIS-Table2"/>
        <w:tblW w:w="0" w:type="auto"/>
        <w:tblLook w:val="04A0" w:firstRow="1" w:lastRow="0" w:firstColumn="1" w:lastColumn="0" w:noHBand="0" w:noVBand="1"/>
      </w:tblPr>
      <w:tblGrid>
        <w:gridCol w:w="3828"/>
        <w:gridCol w:w="5670"/>
      </w:tblGrid>
      <w:tr w:rsidR="00C96CA6" w:rsidRPr="0008335F" w14:paraId="7BEC0EC8" w14:textId="77777777" w:rsidTr="00A60D3E">
        <w:trPr>
          <w:cnfStyle w:val="100000000000" w:firstRow="1" w:lastRow="0" w:firstColumn="0" w:lastColumn="0" w:oddVBand="0" w:evenVBand="0" w:oddHBand="0" w:evenHBand="0" w:firstRowFirstColumn="0" w:firstRowLastColumn="0" w:lastRowFirstColumn="0" w:lastRowLastColumn="0"/>
        </w:trPr>
        <w:tc>
          <w:tcPr>
            <w:tcW w:w="3828" w:type="dxa"/>
          </w:tcPr>
          <w:p w14:paraId="218969E0" w14:textId="77777777" w:rsidR="00C96CA6" w:rsidRPr="0008335F" w:rsidRDefault="00C96CA6" w:rsidP="00A60D3E">
            <w:pPr>
              <w:spacing w:after="40"/>
              <w:rPr>
                <w:rFonts w:ascii="Segoe UI" w:hAnsi="Segoe UI" w:cs="Segoe UI"/>
                <w:b w:val="0"/>
                <w:sz w:val="18"/>
                <w:szCs w:val="18"/>
              </w:rPr>
            </w:pPr>
            <w:r>
              <w:rPr>
                <w:rFonts w:ascii="Segoe UI" w:hAnsi="Segoe UI" w:cs="Segoe UI"/>
                <w:sz w:val="18"/>
                <w:szCs w:val="18"/>
              </w:rPr>
              <w:t>Type of change</w:t>
            </w:r>
          </w:p>
        </w:tc>
        <w:tc>
          <w:tcPr>
            <w:tcW w:w="5670" w:type="dxa"/>
          </w:tcPr>
          <w:p w14:paraId="2FAF8773" w14:textId="77777777" w:rsidR="00C96CA6" w:rsidRPr="0008335F" w:rsidRDefault="00C96CA6" w:rsidP="00A60D3E">
            <w:pPr>
              <w:spacing w:after="40"/>
              <w:rPr>
                <w:rFonts w:ascii="Segoe UI" w:hAnsi="Segoe UI" w:cs="Segoe UI"/>
                <w:b w:val="0"/>
                <w:sz w:val="18"/>
                <w:szCs w:val="18"/>
              </w:rPr>
            </w:pPr>
            <w:r>
              <w:rPr>
                <w:rFonts w:ascii="Segoe UI" w:hAnsi="Segoe UI" w:cs="Segoe UI"/>
                <w:sz w:val="18"/>
                <w:szCs w:val="18"/>
              </w:rPr>
              <w:t>Proposed implementation activities</w:t>
            </w:r>
          </w:p>
        </w:tc>
      </w:tr>
      <w:tr w:rsidR="00C96CA6" w:rsidRPr="00820458" w14:paraId="793BFB9E" w14:textId="77777777" w:rsidTr="00A60D3E">
        <w:tc>
          <w:tcPr>
            <w:tcW w:w="3828" w:type="dxa"/>
          </w:tcPr>
          <w:p w14:paraId="29FFFDDA" w14:textId="77777777" w:rsidR="00C96CA6" w:rsidRPr="00820458" w:rsidRDefault="00C96CA6" w:rsidP="00A60D3E">
            <w:pPr>
              <w:spacing w:after="40"/>
              <w:rPr>
                <w:rFonts w:ascii="Segoe UI" w:hAnsi="Segoe UI" w:cs="Segoe UI"/>
                <w:sz w:val="18"/>
                <w:szCs w:val="18"/>
              </w:rPr>
            </w:pPr>
            <w:r>
              <w:rPr>
                <w:rFonts w:ascii="Segoe UI" w:hAnsi="Segoe UI" w:cs="Segoe UI"/>
                <w:sz w:val="18"/>
                <w:szCs w:val="18"/>
              </w:rPr>
              <w:t>All changes</w:t>
            </w:r>
          </w:p>
        </w:tc>
        <w:tc>
          <w:tcPr>
            <w:tcW w:w="5670" w:type="dxa"/>
          </w:tcPr>
          <w:p w14:paraId="5CBA5CF3" w14:textId="77777777" w:rsidR="00C96CA6" w:rsidRDefault="00C96CA6" w:rsidP="00A60D3E">
            <w:pPr>
              <w:pStyle w:val="TableList1"/>
            </w:pPr>
            <w:r>
              <w:t>Standard regulation making and gazetting process applies.</w:t>
            </w:r>
          </w:p>
          <w:p w14:paraId="748CBE6D" w14:textId="77777777" w:rsidR="00C96CA6" w:rsidRDefault="00C96CA6" w:rsidP="00A60D3E">
            <w:pPr>
              <w:pStyle w:val="TableList1"/>
            </w:pPr>
            <w:r w:rsidRPr="00BF7B03">
              <w:t>VicRoads</w:t>
            </w:r>
            <w:r>
              <w:t xml:space="preserve"> will publish the changes on its website.</w:t>
            </w:r>
          </w:p>
          <w:p w14:paraId="567247DE" w14:textId="77777777" w:rsidR="00C96CA6" w:rsidRPr="008E1DE1" w:rsidRDefault="00C96CA6" w:rsidP="00A60D3E">
            <w:pPr>
              <w:pStyle w:val="TableList1"/>
            </w:pPr>
            <w:r>
              <w:t>VicRoads will revise existing business processes and rules and publicise these changes via existing staff training and change management processes.</w:t>
            </w:r>
          </w:p>
        </w:tc>
      </w:tr>
      <w:tr w:rsidR="00C96CA6" w:rsidRPr="00820458" w14:paraId="6EED441C" w14:textId="77777777" w:rsidTr="00A60D3E">
        <w:trPr>
          <w:cnfStyle w:val="000000010000" w:firstRow="0" w:lastRow="0" w:firstColumn="0" w:lastColumn="0" w:oddVBand="0" w:evenVBand="0" w:oddHBand="0" w:evenHBand="1" w:firstRowFirstColumn="0" w:firstRowLastColumn="0" w:lastRowFirstColumn="0" w:lastRowLastColumn="0"/>
        </w:trPr>
        <w:tc>
          <w:tcPr>
            <w:tcW w:w="3828" w:type="dxa"/>
          </w:tcPr>
          <w:p w14:paraId="0D30D2CA" w14:textId="77777777" w:rsidR="00C96CA6" w:rsidRPr="008E1DE1" w:rsidRDefault="00C96CA6" w:rsidP="00A60D3E">
            <w:pPr>
              <w:spacing w:after="40"/>
              <w:rPr>
                <w:rFonts w:ascii="Segoe UI" w:hAnsi="Segoe UI" w:cs="Segoe UI"/>
                <w:sz w:val="18"/>
                <w:szCs w:val="18"/>
              </w:rPr>
            </w:pPr>
            <w:r w:rsidRPr="00820458">
              <w:rPr>
                <w:rFonts w:ascii="Segoe UI" w:hAnsi="Segoe UI" w:cs="Segoe UI"/>
                <w:sz w:val="18"/>
                <w:szCs w:val="18"/>
              </w:rPr>
              <w:t>Changes that align Road Safety Regulations with those of other regulatory bodies</w:t>
            </w:r>
          </w:p>
        </w:tc>
        <w:tc>
          <w:tcPr>
            <w:tcW w:w="5670" w:type="dxa"/>
          </w:tcPr>
          <w:p w14:paraId="25134290" w14:textId="77777777" w:rsidR="00C96CA6" w:rsidRPr="00820458" w:rsidRDefault="00C96CA6" w:rsidP="00A60D3E">
            <w:pPr>
              <w:spacing w:after="40"/>
              <w:rPr>
                <w:rFonts w:ascii="Segoe UI" w:hAnsi="Segoe UI" w:cs="Segoe UI"/>
                <w:sz w:val="18"/>
                <w:szCs w:val="18"/>
              </w:rPr>
            </w:pPr>
            <w:r w:rsidRPr="00820458">
              <w:rPr>
                <w:rFonts w:ascii="Segoe UI" w:hAnsi="Segoe UI" w:cs="Segoe UI"/>
                <w:sz w:val="18"/>
                <w:szCs w:val="18"/>
              </w:rPr>
              <w:t xml:space="preserve">VicRoads will develop and implement a joint communications plan with </w:t>
            </w:r>
            <w:r>
              <w:rPr>
                <w:rFonts w:ascii="Segoe UI" w:hAnsi="Segoe UI" w:cs="Segoe UI"/>
                <w:sz w:val="18"/>
                <w:szCs w:val="18"/>
              </w:rPr>
              <w:t>the relevant regulatory body</w:t>
            </w:r>
            <w:r w:rsidRPr="00820458">
              <w:rPr>
                <w:rFonts w:ascii="Segoe UI" w:hAnsi="Segoe UI" w:cs="Segoe UI"/>
                <w:sz w:val="18"/>
                <w:szCs w:val="18"/>
              </w:rPr>
              <w:t>.</w:t>
            </w:r>
          </w:p>
        </w:tc>
      </w:tr>
      <w:tr w:rsidR="00C96CA6" w:rsidRPr="00820458" w14:paraId="73F3EAB3" w14:textId="77777777" w:rsidTr="00A60D3E">
        <w:tc>
          <w:tcPr>
            <w:tcW w:w="3828" w:type="dxa"/>
          </w:tcPr>
          <w:p w14:paraId="1F5AD00C" w14:textId="77777777" w:rsidR="00C96CA6" w:rsidRDefault="00C96CA6" w:rsidP="00A60D3E">
            <w:pPr>
              <w:spacing w:after="40"/>
              <w:rPr>
                <w:rFonts w:ascii="Segoe UI" w:hAnsi="Segoe UI" w:cs="Segoe UI"/>
                <w:sz w:val="18"/>
                <w:szCs w:val="18"/>
              </w:rPr>
            </w:pPr>
            <w:r>
              <w:rPr>
                <w:rFonts w:ascii="Segoe UI" w:hAnsi="Segoe UI" w:cs="Segoe UI"/>
                <w:sz w:val="18"/>
                <w:szCs w:val="18"/>
              </w:rPr>
              <w:t>Changes that affect the broader motoring community</w:t>
            </w:r>
          </w:p>
        </w:tc>
        <w:tc>
          <w:tcPr>
            <w:tcW w:w="5670" w:type="dxa"/>
          </w:tcPr>
          <w:p w14:paraId="79EC2928" w14:textId="77777777" w:rsidR="00C96CA6" w:rsidRPr="00E92944" w:rsidRDefault="00C96CA6" w:rsidP="00A60D3E">
            <w:pPr>
              <w:spacing w:after="40"/>
              <w:rPr>
                <w:rFonts w:ascii="Segoe UI" w:hAnsi="Segoe UI" w:cs="Segoe UI"/>
                <w:sz w:val="18"/>
                <w:szCs w:val="18"/>
              </w:rPr>
            </w:pPr>
            <w:r w:rsidRPr="00E92944">
              <w:rPr>
                <w:rFonts w:ascii="Segoe UI" w:hAnsi="Segoe UI" w:cs="Segoe UI"/>
                <w:sz w:val="18"/>
                <w:szCs w:val="18"/>
              </w:rPr>
              <w:t>VicRoads will publish changes on its website and work with motoring bodies</w:t>
            </w:r>
            <w:r>
              <w:rPr>
                <w:rFonts w:ascii="Segoe UI" w:hAnsi="Segoe UI" w:cs="Segoe UI"/>
                <w:sz w:val="18"/>
                <w:szCs w:val="18"/>
              </w:rPr>
              <w:t>,</w:t>
            </w:r>
            <w:r w:rsidRPr="00E92944">
              <w:rPr>
                <w:rFonts w:ascii="Segoe UI" w:hAnsi="Segoe UI" w:cs="Segoe UI"/>
                <w:sz w:val="18"/>
                <w:szCs w:val="18"/>
              </w:rPr>
              <w:t xml:space="preserve"> </w:t>
            </w:r>
            <w:r>
              <w:rPr>
                <w:rFonts w:ascii="Segoe UI" w:hAnsi="Segoe UI" w:cs="Segoe UI"/>
                <w:sz w:val="18"/>
                <w:szCs w:val="18"/>
              </w:rPr>
              <w:t>such as</w:t>
            </w:r>
            <w:r w:rsidRPr="00E92944">
              <w:rPr>
                <w:rFonts w:ascii="Segoe UI" w:hAnsi="Segoe UI" w:cs="Segoe UI"/>
                <w:sz w:val="18"/>
                <w:szCs w:val="18"/>
              </w:rPr>
              <w:t xml:space="preserve"> RACV to promote these changes more widely.</w:t>
            </w:r>
          </w:p>
        </w:tc>
      </w:tr>
      <w:tr w:rsidR="00C96CA6" w:rsidRPr="00820458" w14:paraId="5A8B9113" w14:textId="77777777" w:rsidTr="00A60D3E">
        <w:trPr>
          <w:cnfStyle w:val="000000010000" w:firstRow="0" w:lastRow="0" w:firstColumn="0" w:lastColumn="0" w:oddVBand="0" w:evenVBand="0" w:oddHBand="0" w:evenHBand="1" w:firstRowFirstColumn="0" w:firstRowLastColumn="0" w:lastRowFirstColumn="0" w:lastRowLastColumn="0"/>
        </w:trPr>
        <w:tc>
          <w:tcPr>
            <w:tcW w:w="3828" w:type="dxa"/>
          </w:tcPr>
          <w:p w14:paraId="6F7FC8F0" w14:textId="77777777" w:rsidR="00C96CA6" w:rsidRDefault="00C96CA6" w:rsidP="00A60D3E">
            <w:pPr>
              <w:spacing w:after="40"/>
              <w:rPr>
                <w:rFonts w:ascii="Segoe UI" w:hAnsi="Segoe UI" w:cs="Segoe UI"/>
                <w:sz w:val="18"/>
                <w:szCs w:val="18"/>
              </w:rPr>
            </w:pPr>
            <w:r>
              <w:rPr>
                <w:rFonts w:ascii="Segoe UI" w:hAnsi="Segoe UI" w:cs="Segoe UI"/>
                <w:sz w:val="18"/>
                <w:szCs w:val="18"/>
              </w:rPr>
              <w:t>Changes that affect particular sections of the community</w:t>
            </w:r>
          </w:p>
        </w:tc>
        <w:tc>
          <w:tcPr>
            <w:tcW w:w="5670" w:type="dxa"/>
          </w:tcPr>
          <w:p w14:paraId="144C9F65" w14:textId="77777777" w:rsidR="00C96CA6" w:rsidRPr="00820458" w:rsidRDefault="00C96CA6" w:rsidP="00A60D3E">
            <w:pPr>
              <w:spacing w:after="40"/>
              <w:rPr>
                <w:rFonts w:ascii="Segoe UI" w:hAnsi="Segoe UI" w:cs="Segoe UI"/>
                <w:sz w:val="18"/>
                <w:szCs w:val="18"/>
              </w:rPr>
            </w:pPr>
            <w:r w:rsidRPr="00820458">
              <w:rPr>
                <w:rFonts w:ascii="Segoe UI" w:hAnsi="Segoe UI" w:cs="Segoe UI"/>
                <w:sz w:val="18"/>
                <w:szCs w:val="18"/>
              </w:rPr>
              <w:t xml:space="preserve">VicRoads will develop and implement a joint communications plan with </w:t>
            </w:r>
            <w:r>
              <w:rPr>
                <w:rFonts w:ascii="Segoe UI" w:hAnsi="Segoe UI" w:cs="Segoe UI"/>
                <w:sz w:val="18"/>
                <w:szCs w:val="18"/>
              </w:rPr>
              <w:t xml:space="preserve">the relevant </w:t>
            </w:r>
            <w:r w:rsidRPr="00324302">
              <w:rPr>
                <w:rFonts w:ascii="Segoe UI" w:hAnsi="Segoe UI" w:cs="Segoe UI"/>
                <w:sz w:val="18"/>
                <w:szCs w:val="18"/>
              </w:rPr>
              <w:t xml:space="preserve">ethnic </w:t>
            </w:r>
            <w:r>
              <w:rPr>
                <w:rFonts w:ascii="Segoe UI" w:hAnsi="Segoe UI" w:cs="Segoe UI"/>
                <w:sz w:val="18"/>
                <w:szCs w:val="18"/>
              </w:rPr>
              <w:t xml:space="preserve">community groups </w:t>
            </w:r>
            <w:r w:rsidRPr="0054643B">
              <w:rPr>
                <w:rFonts w:ascii="Segoe UI" w:hAnsi="Segoe UI" w:cs="Segoe UI"/>
                <w:sz w:val="18"/>
                <w:szCs w:val="18"/>
              </w:rPr>
              <w:t xml:space="preserve">and tertiary education </w:t>
            </w:r>
            <w:r w:rsidRPr="0054643B">
              <w:rPr>
                <w:rFonts w:ascii="Segoe UI" w:hAnsi="Segoe UI" w:cs="Segoe UI"/>
                <w:sz w:val="18"/>
                <w:szCs w:val="18"/>
              </w:rPr>
              <w:lastRenderedPageBreak/>
              <w:t xml:space="preserve">institutions </w:t>
            </w:r>
            <w:r>
              <w:rPr>
                <w:rFonts w:ascii="Segoe UI" w:hAnsi="Segoe UI" w:cs="Segoe UI"/>
                <w:sz w:val="18"/>
                <w:szCs w:val="18"/>
              </w:rPr>
              <w:t xml:space="preserve">(e.g. </w:t>
            </w:r>
            <w:r w:rsidRPr="0054643B">
              <w:rPr>
                <w:rFonts w:ascii="Segoe UI" w:hAnsi="Segoe UI" w:cs="Segoe UI"/>
                <w:sz w:val="18"/>
                <w:szCs w:val="18"/>
              </w:rPr>
              <w:t>regarding changes to rules impacting temporary visa holders</w:t>
            </w:r>
            <w:r>
              <w:rPr>
                <w:rFonts w:ascii="Segoe UI" w:hAnsi="Segoe UI" w:cs="Segoe UI"/>
                <w:sz w:val="18"/>
                <w:szCs w:val="18"/>
              </w:rPr>
              <w:t>)</w:t>
            </w:r>
            <w:r w:rsidRPr="00820458">
              <w:rPr>
                <w:rFonts w:ascii="Segoe UI" w:hAnsi="Segoe UI" w:cs="Segoe UI"/>
                <w:sz w:val="18"/>
                <w:szCs w:val="18"/>
              </w:rPr>
              <w:t>.</w:t>
            </w:r>
          </w:p>
        </w:tc>
      </w:tr>
      <w:tr w:rsidR="00C96CA6" w:rsidRPr="00820458" w14:paraId="08CFFB8B" w14:textId="77777777" w:rsidTr="00A60D3E">
        <w:tc>
          <w:tcPr>
            <w:tcW w:w="3828" w:type="dxa"/>
          </w:tcPr>
          <w:p w14:paraId="37496643" w14:textId="77777777" w:rsidR="00C96CA6" w:rsidRPr="008E1DE1" w:rsidRDefault="00C96CA6" w:rsidP="00A60D3E">
            <w:pPr>
              <w:spacing w:after="40"/>
              <w:rPr>
                <w:rFonts w:ascii="Segoe UI" w:hAnsi="Segoe UI" w:cs="Segoe UI"/>
                <w:sz w:val="18"/>
                <w:szCs w:val="18"/>
              </w:rPr>
            </w:pPr>
            <w:r>
              <w:rPr>
                <w:rFonts w:ascii="Segoe UI" w:hAnsi="Segoe UI" w:cs="Segoe UI"/>
                <w:sz w:val="18"/>
                <w:szCs w:val="18"/>
              </w:rPr>
              <w:lastRenderedPageBreak/>
              <w:t>Changes that affect particular industry groups or types of businesses</w:t>
            </w:r>
          </w:p>
        </w:tc>
        <w:tc>
          <w:tcPr>
            <w:tcW w:w="5670" w:type="dxa"/>
          </w:tcPr>
          <w:p w14:paraId="15E4E272" w14:textId="77777777" w:rsidR="00C96CA6" w:rsidRPr="00820458" w:rsidRDefault="00C96CA6" w:rsidP="00A60D3E">
            <w:pPr>
              <w:spacing w:after="40"/>
              <w:rPr>
                <w:rFonts w:ascii="Segoe UI" w:hAnsi="Segoe UI" w:cs="Segoe UI"/>
                <w:sz w:val="18"/>
                <w:szCs w:val="18"/>
              </w:rPr>
            </w:pPr>
            <w:r w:rsidRPr="00820458">
              <w:rPr>
                <w:rFonts w:ascii="Segoe UI" w:hAnsi="Segoe UI" w:cs="Segoe UI"/>
                <w:sz w:val="18"/>
                <w:szCs w:val="18"/>
              </w:rPr>
              <w:t xml:space="preserve">VicRoads will develop and implement a joint communications plan with </w:t>
            </w:r>
            <w:r>
              <w:rPr>
                <w:rFonts w:ascii="Segoe UI" w:hAnsi="Segoe UI" w:cs="Segoe UI"/>
                <w:sz w:val="18"/>
                <w:szCs w:val="18"/>
              </w:rPr>
              <w:t>the relevant industry representatives and peak bodies.</w:t>
            </w:r>
          </w:p>
        </w:tc>
      </w:tr>
      <w:tr w:rsidR="00C96CA6" w:rsidRPr="00820458" w14:paraId="5A7DDCC3" w14:textId="77777777" w:rsidTr="00A60D3E">
        <w:trPr>
          <w:cnfStyle w:val="000000010000" w:firstRow="0" w:lastRow="0" w:firstColumn="0" w:lastColumn="0" w:oddVBand="0" w:evenVBand="0" w:oddHBand="0" w:evenHBand="1" w:firstRowFirstColumn="0" w:firstRowLastColumn="0" w:lastRowFirstColumn="0" w:lastRowLastColumn="0"/>
        </w:trPr>
        <w:tc>
          <w:tcPr>
            <w:tcW w:w="3828" w:type="dxa"/>
          </w:tcPr>
          <w:p w14:paraId="2DF1CBF4" w14:textId="77777777" w:rsidR="00C96CA6" w:rsidRPr="00820458" w:rsidRDefault="00C96CA6" w:rsidP="00A60D3E">
            <w:pPr>
              <w:spacing w:after="40"/>
              <w:rPr>
                <w:rFonts w:ascii="Segoe UI" w:hAnsi="Segoe UI" w:cs="Segoe UI"/>
                <w:sz w:val="18"/>
                <w:szCs w:val="18"/>
              </w:rPr>
            </w:pPr>
            <w:r w:rsidRPr="008E1DE1">
              <w:rPr>
                <w:rFonts w:ascii="Segoe UI" w:hAnsi="Segoe UI" w:cs="Segoe UI"/>
                <w:sz w:val="18"/>
                <w:szCs w:val="18"/>
              </w:rPr>
              <w:t>New offences and infringements or changes to exis</w:t>
            </w:r>
            <w:r>
              <w:rPr>
                <w:rFonts w:ascii="Segoe UI" w:hAnsi="Segoe UI" w:cs="Segoe UI"/>
                <w:sz w:val="18"/>
                <w:szCs w:val="18"/>
              </w:rPr>
              <w:t>ting offences and infringements</w:t>
            </w:r>
          </w:p>
        </w:tc>
        <w:tc>
          <w:tcPr>
            <w:tcW w:w="5670" w:type="dxa"/>
          </w:tcPr>
          <w:p w14:paraId="302A1BEB" w14:textId="77777777" w:rsidR="00C96CA6" w:rsidRPr="00820458" w:rsidRDefault="00C96CA6" w:rsidP="00A60D3E">
            <w:pPr>
              <w:spacing w:after="40"/>
              <w:rPr>
                <w:rFonts w:ascii="Segoe UI" w:hAnsi="Segoe UI" w:cs="Segoe UI"/>
                <w:sz w:val="18"/>
                <w:szCs w:val="18"/>
              </w:rPr>
            </w:pPr>
            <w:r w:rsidRPr="00820458">
              <w:rPr>
                <w:rFonts w:ascii="Segoe UI" w:hAnsi="Segoe UI" w:cs="Segoe UI"/>
                <w:sz w:val="18"/>
                <w:szCs w:val="18"/>
              </w:rPr>
              <w:t xml:space="preserve">VicRoads will work with </w:t>
            </w:r>
            <w:r>
              <w:rPr>
                <w:rFonts w:ascii="Segoe UI" w:hAnsi="Segoe UI" w:cs="Segoe UI"/>
                <w:sz w:val="18"/>
                <w:szCs w:val="18"/>
              </w:rPr>
              <w:t xml:space="preserve">the </w:t>
            </w:r>
            <w:r w:rsidRPr="00820458">
              <w:rPr>
                <w:rFonts w:ascii="Segoe UI" w:hAnsi="Segoe UI" w:cs="Segoe UI"/>
                <w:sz w:val="18"/>
                <w:szCs w:val="18"/>
              </w:rPr>
              <w:t>D</w:t>
            </w:r>
            <w:r>
              <w:rPr>
                <w:rFonts w:ascii="Segoe UI" w:hAnsi="Segoe UI" w:cs="Segoe UI"/>
                <w:sz w:val="18"/>
                <w:szCs w:val="18"/>
              </w:rPr>
              <w:t xml:space="preserve">epartment of </w:t>
            </w:r>
            <w:r w:rsidRPr="00820458">
              <w:rPr>
                <w:rFonts w:ascii="Segoe UI" w:hAnsi="Segoe UI" w:cs="Segoe UI"/>
                <w:sz w:val="18"/>
                <w:szCs w:val="18"/>
              </w:rPr>
              <w:t>J</w:t>
            </w:r>
            <w:r>
              <w:rPr>
                <w:rFonts w:ascii="Segoe UI" w:hAnsi="Segoe UI" w:cs="Segoe UI"/>
                <w:sz w:val="18"/>
                <w:szCs w:val="18"/>
              </w:rPr>
              <w:t>ustice &amp; Community Safety (</w:t>
            </w:r>
            <w:r w:rsidRPr="007C2CFF">
              <w:rPr>
                <w:rFonts w:ascii="Segoe UI" w:hAnsi="Segoe UI" w:cs="Segoe UI"/>
                <w:b/>
                <w:sz w:val="18"/>
                <w:szCs w:val="18"/>
              </w:rPr>
              <w:t>DJCS</w:t>
            </w:r>
            <w:r>
              <w:rPr>
                <w:rFonts w:ascii="Segoe UI" w:hAnsi="Segoe UI" w:cs="Segoe UI"/>
                <w:sz w:val="18"/>
                <w:szCs w:val="18"/>
              </w:rPr>
              <w:t>)</w:t>
            </w:r>
            <w:r w:rsidRPr="00820458">
              <w:rPr>
                <w:rFonts w:ascii="Segoe UI" w:hAnsi="Segoe UI" w:cs="Segoe UI"/>
                <w:sz w:val="18"/>
                <w:szCs w:val="18"/>
              </w:rPr>
              <w:t xml:space="preserve"> to define and propagate offence and infringement codes.</w:t>
            </w:r>
          </w:p>
        </w:tc>
      </w:tr>
    </w:tbl>
    <w:p w14:paraId="298B0F3D" w14:textId="77777777" w:rsidR="00122C1B" w:rsidRDefault="00122C1B" w:rsidP="001A063E">
      <w:pPr>
        <w:pStyle w:val="Heading2"/>
      </w:pPr>
      <w:bookmarkStart w:id="885" w:name="_Toc10703543"/>
      <w:r>
        <w:t>Summary of proposed changes to existing regulations</w:t>
      </w:r>
      <w:bookmarkEnd w:id="879"/>
      <w:bookmarkEnd w:id="885"/>
    </w:p>
    <w:p w14:paraId="56D46E4D" w14:textId="57A60D72" w:rsidR="00122C1B" w:rsidRDefault="00122C1B" w:rsidP="006651FA">
      <w:pPr>
        <w:pStyle w:val="TextPara"/>
        <w:rPr>
          <w:lang w:eastAsia="en-AU"/>
        </w:rPr>
      </w:pPr>
      <w:r>
        <w:rPr>
          <w:lang w:eastAsia="en-AU"/>
        </w:rPr>
        <w:fldChar w:fldCharType="begin"/>
      </w:r>
      <w:r>
        <w:rPr>
          <w:lang w:eastAsia="en-AU"/>
        </w:rPr>
        <w:instrText xml:space="preserve"> REF _Ref503871303 \h </w:instrText>
      </w:r>
      <w:r>
        <w:rPr>
          <w:lang w:eastAsia="en-AU"/>
        </w:rPr>
      </w:r>
      <w:r>
        <w:rPr>
          <w:lang w:eastAsia="en-AU"/>
        </w:rPr>
        <w:fldChar w:fldCharType="separate"/>
      </w:r>
      <w:r w:rsidR="00EB4B02">
        <w:t xml:space="preserve">Table </w:t>
      </w:r>
      <w:r w:rsidR="00EB4B02">
        <w:rPr>
          <w:noProof/>
        </w:rPr>
        <w:t>72</w:t>
      </w:r>
      <w:r>
        <w:rPr>
          <w:lang w:eastAsia="en-AU"/>
        </w:rPr>
        <w:fldChar w:fldCharType="end"/>
      </w:r>
      <w:r>
        <w:rPr>
          <w:lang w:eastAsia="en-AU"/>
        </w:rPr>
        <w:t xml:space="preserve"> provides a summary of the proposed key changes to the existing regulations and, where relevant, the reasons for those changes.</w:t>
      </w:r>
    </w:p>
    <w:p w14:paraId="2E986354" w14:textId="336B380A" w:rsidR="00122C1B" w:rsidRDefault="00122C1B" w:rsidP="00AA0BBA">
      <w:pPr>
        <w:pStyle w:val="Caption"/>
        <w:rPr>
          <w:lang w:eastAsia="en-AU"/>
        </w:rPr>
      </w:pPr>
      <w:bookmarkStart w:id="886" w:name="_Ref503871303"/>
      <w:bookmarkStart w:id="887" w:name="_Ref508727721"/>
      <w:bookmarkStart w:id="888" w:name="_Toc10703765"/>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72</w:t>
      </w:r>
      <w:r w:rsidR="00BC6B2E">
        <w:rPr>
          <w:noProof/>
        </w:rPr>
        <w:fldChar w:fldCharType="end"/>
      </w:r>
      <w:bookmarkEnd w:id="886"/>
      <w:r>
        <w:t xml:space="preserve"> – Summary of the proposed</w:t>
      </w:r>
      <w:r w:rsidRPr="00405B62">
        <w:t xml:space="preserve"> </w:t>
      </w:r>
      <w:r>
        <w:t xml:space="preserve">key </w:t>
      </w:r>
      <w:r w:rsidRPr="00405B62">
        <w:t>changes</w:t>
      </w:r>
      <w:r>
        <w:rPr>
          <w:noProof/>
        </w:rPr>
        <w:t xml:space="preserve"> from existing regulations</w:t>
      </w:r>
      <w:bookmarkEnd w:id="887"/>
      <w:bookmarkEnd w:id="888"/>
    </w:p>
    <w:tbl>
      <w:tblPr>
        <w:tblStyle w:val="RIS-Table2"/>
        <w:tblW w:w="9498" w:type="dxa"/>
        <w:tblInd w:w="-5" w:type="dxa"/>
        <w:tblLook w:val="04A0" w:firstRow="1" w:lastRow="0" w:firstColumn="1" w:lastColumn="0" w:noHBand="0" w:noVBand="1"/>
      </w:tblPr>
      <w:tblGrid>
        <w:gridCol w:w="2727"/>
        <w:gridCol w:w="3369"/>
        <w:gridCol w:w="3402"/>
      </w:tblGrid>
      <w:tr w:rsidR="00122C1B" w:rsidRPr="00117C96" w14:paraId="62A3295F" w14:textId="77777777" w:rsidTr="00893668">
        <w:trPr>
          <w:cnfStyle w:val="100000000000" w:firstRow="1" w:lastRow="0" w:firstColumn="0" w:lastColumn="0" w:oddVBand="0" w:evenVBand="0" w:oddHBand="0" w:evenHBand="0" w:firstRowFirstColumn="0" w:firstRowLastColumn="0" w:lastRowFirstColumn="0" w:lastRowLastColumn="0"/>
          <w:trHeight w:val="300"/>
        </w:trPr>
        <w:tc>
          <w:tcPr>
            <w:tcW w:w="2727" w:type="dxa"/>
            <w:noWrap/>
          </w:tcPr>
          <w:p w14:paraId="272761D0" w14:textId="77777777" w:rsidR="00122C1B" w:rsidRPr="00117C96" w:rsidRDefault="00122C1B" w:rsidP="00BC7C1C">
            <w:pPr>
              <w:pStyle w:val="TableHeaders"/>
              <w:rPr>
                <w:rFonts w:eastAsia="Times New Roman"/>
                <w:szCs w:val="18"/>
              </w:rPr>
            </w:pPr>
            <w:r>
              <w:t>Proposed</w:t>
            </w:r>
            <w:r w:rsidRPr="00117C96">
              <w:t xml:space="preserve"> </w:t>
            </w:r>
            <w:r>
              <w:t xml:space="preserve">Regulations </w:t>
            </w:r>
          </w:p>
        </w:tc>
        <w:tc>
          <w:tcPr>
            <w:tcW w:w="3369" w:type="dxa"/>
            <w:noWrap/>
          </w:tcPr>
          <w:p w14:paraId="2CE0294D" w14:textId="77777777" w:rsidR="00122C1B" w:rsidRPr="00117C96" w:rsidRDefault="00122C1B" w:rsidP="00BC7C1C">
            <w:pPr>
              <w:pStyle w:val="TableHeaders"/>
            </w:pPr>
            <w:r>
              <w:t>Changes from existing Regulations</w:t>
            </w:r>
          </w:p>
        </w:tc>
        <w:tc>
          <w:tcPr>
            <w:tcW w:w="3402" w:type="dxa"/>
          </w:tcPr>
          <w:p w14:paraId="2E9D466A" w14:textId="77777777" w:rsidR="00122C1B" w:rsidRDefault="00122C1B" w:rsidP="00BC7C1C">
            <w:pPr>
              <w:pStyle w:val="TableHeaders"/>
            </w:pPr>
            <w:r>
              <w:t>Reasons for change</w:t>
            </w:r>
          </w:p>
        </w:tc>
      </w:tr>
      <w:tr w:rsidR="00122C1B" w:rsidRPr="00261AF5" w14:paraId="7A08212C" w14:textId="77777777" w:rsidTr="00C25CFD">
        <w:trPr>
          <w:trHeight w:val="300"/>
        </w:trPr>
        <w:tc>
          <w:tcPr>
            <w:tcW w:w="9498" w:type="dxa"/>
            <w:gridSpan w:val="3"/>
            <w:shd w:val="clear" w:color="auto" w:fill="DDE8F4" w:themeFill="text2" w:themeFillTint="1A"/>
            <w:noWrap/>
          </w:tcPr>
          <w:p w14:paraId="28770BB0" w14:textId="77777777" w:rsidR="00122C1B" w:rsidRPr="00261AF5" w:rsidRDefault="00122C1B" w:rsidP="00BC7C1C">
            <w:pPr>
              <w:pStyle w:val="TextPara"/>
              <w:spacing w:before="20" w:after="20"/>
              <w:rPr>
                <w:b/>
                <w:color w:val="595959" w:themeColor="text1" w:themeTint="A6"/>
              </w:rPr>
            </w:pPr>
            <w:r w:rsidRPr="00261AF5">
              <w:rPr>
                <w:b/>
                <w:color w:val="595959" w:themeColor="text1" w:themeTint="A6"/>
              </w:rPr>
              <w:t xml:space="preserve">Part 1 </w:t>
            </w:r>
            <w:r w:rsidRPr="00261AF5">
              <w:rPr>
                <w:b/>
                <w:color w:val="595959" w:themeColor="text1" w:themeTint="A6"/>
              </w:rPr>
              <w:tab/>
              <w:t>Preliminary</w:t>
            </w:r>
          </w:p>
        </w:tc>
      </w:tr>
      <w:tr w:rsidR="00122C1B" w:rsidRPr="00261AF5" w14:paraId="7AA022D1"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24ED84B4" w14:textId="77777777" w:rsidR="00122C1B" w:rsidRPr="009F0BE5" w:rsidRDefault="00122C1B" w:rsidP="009F0BE5">
            <w:pPr>
              <w:pStyle w:val="TableParagraph"/>
            </w:pPr>
            <w:r w:rsidRPr="009F0BE5">
              <w:t>Objectives</w:t>
            </w:r>
          </w:p>
        </w:tc>
        <w:tc>
          <w:tcPr>
            <w:tcW w:w="3369" w:type="dxa"/>
            <w:shd w:val="clear" w:color="auto" w:fill="auto"/>
            <w:noWrap/>
          </w:tcPr>
          <w:p w14:paraId="4708C0A3" w14:textId="77777777" w:rsidR="00122C1B" w:rsidRPr="009F0BE5" w:rsidRDefault="00122C1B" w:rsidP="009F0BE5">
            <w:pPr>
              <w:pStyle w:val="TableParagraph"/>
            </w:pPr>
            <w:r w:rsidRPr="009F0BE5">
              <w:t>Delete the objective that relates to heavy vehicle drive fatigue management.</w:t>
            </w:r>
          </w:p>
        </w:tc>
        <w:tc>
          <w:tcPr>
            <w:tcW w:w="3402" w:type="dxa"/>
            <w:shd w:val="clear" w:color="auto" w:fill="auto"/>
          </w:tcPr>
          <w:p w14:paraId="35D2FF7D" w14:textId="77777777" w:rsidR="00122C1B" w:rsidRPr="009F0BE5" w:rsidRDefault="00122C1B" w:rsidP="009F0BE5">
            <w:pPr>
              <w:pStyle w:val="TableParagraph"/>
            </w:pPr>
            <w:r w:rsidRPr="009F0BE5">
              <w:t xml:space="preserve">Reference to heavy vehicle drive fatigue management </w:t>
            </w:r>
            <w:r>
              <w:t xml:space="preserve">is not required </w:t>
            </w:r>
            <w:r w:rsidRPr="009F0BE5">
              <w:t xml:space="preserve">as it is now covered by the </w:t>
            </w:r>
            <w:r w:rsidRPr="00306760">
              <w:rPr>
                <w:i/>
              </w:rPr>
              <w:t>RSA</w:t>
            </w:r>
            <w:r w:rsidRPr="009F0BE5">
              <w:t>.</w:t>
            </w:r>
          </w:p>
        </w:tc>
      </w:tr>
      <w:tr w:rsidR="00122C1B" w:rsidRPr="00261AF5" w14:paraId="7E4F58B3" w14:textId="77777777" w:rsidTr="00893668">
        <w:trPr>
          <w:trHeight w:val="300"/>
        </w:trPr>
        <w:tc>
          <w:tcPr>
            <w:tcW w:w="2727" w:type="dxa"/>
            <w:shd w:val="clear" w:color="auto" w:fill="auto"/>
            <w:noWrap/>
          </w:tcPr>
          <w:p w14:paraId="6C64A5E8" w14:textId="77777777" w:rsidR="00122C1B" w:rsidRPr="009F0BE5" w:rsidRDefault="00122C1B" w:rsidP="009F0BE5">
            <w:pPr>
              <w:pStyle w:val="TableParagraph"/>
            </w:pPr>
            <w:r w:rsidRPr="009F0BE5">
              <w:t>New and updated definitions</w:t>
            </w:r>
          </w:p>
        </w:tc>
        <w:tc>
          <w:tcPr>
            <w:tcW w:w="3369" w:type="dxa"/>
            <w:shd w:val="clear" w:color="auto" w:fill="auto"/>
            <w:noWrap/>
          </w:tcPr>
          <w:p w14:paraId="6C3DAA64" w14:textId="77777777" w:rsidR="002D2F55" w:rsidRDefault="002D2F55" w:rsidP="009F0BE5">
            <w:pPr>
              <w:pStyle w:val="TableParagraph"/>
            </w:pPr>
            <w:r>
              <w:t>Add new definitions (</w:t>
            </w:r>
            <w:r w:rsidR="009306A0">
              <w:t xml:space="preserve">including </w:t>
            </w:r>
            <w:r w:rsidR="00F77D4F">
              <w:t>“</w:t>
            </w:r>
            <w:r w:rsidR="00F77D4F" w:rsidRPr="00F77D4F">
              <w:t>authorised representative</w:t>
            </w:r>
            <w:r w:rsidR="00F77D4F">
              <w:t xml:space="preserve">”, </w:t>
            </w:r>
            <w:r w:rsidR="00F77D4F" w:rsidRPr="00F77D4F">
              <w:t>defence force member</w:t>
            </w:r>
            <w:r w:rsidR="00F77D4F">
              <w:t>”, “</w:t>
            </w:r>
            <w:r w:rsidR="00F77D4F" w:rsidRPr="00F77D4F">
              <w:t>eligible family membe</w:t>
            </w:r>
            <w:r w:rsidR="00F77D4F">
              <w:t>r”, “</w:t>
            </w:r>
            <w:r w:rsidR="00F77D4F" w:rsidRPr="00F77D4F">
              <w:t>emergency vehicle</w:t>
            </w:r>
            <w:r w:rsidR="00F77D4F">
              <w:t>” “</w:t>
            </w:r>
            <w:r w:rsidR="00F77D4F" w:rsidRPr="00F77D4F">
              <w:t>registered occupational therapist</w:t>
            </w:r>
            <w:r w:rsidR="00F77D4F">
              <w:t>”</w:t>
            </w:r>
            <w:r w:rsidR="00825680">
              <w:t>, “</w:t>
            </w:r>
            <w:r w:rsidR="00825680" w:rsidRPr="00825680">
              <w:t>registered optometrist</w:t>
            </w:r>
            <w:r w:rsidR="00825680">
              <w:t>”</w:t>
            </w:r>
            <w:r w:rsidR="009306A0">
              <w:t>)</w:t>
            </w:r>
            <w:r w:rsidR="00825680">
              <w:t>.</w:t>
            </w:r>
          </w:p>
          <w:p w14:paraId="14BEBAF0" w14:textId="77777777" w:rsidR="00C21058" w:rsidRDefault="00C21058" w:rsidP="00C21058">
            <w:pPr>
              <w:pStyle w:val="TableParagraph"/>
            </w:pPr>
            <w:r>
              <w:t>Move some definitions to the RSA (“</w:t>
            </w:r>
            <w:r w:rsidRPr="00763835">
              <w:t>Australian driver licence</w:t>
            </w:r>
            <w:r>
              <w:t>” and “</w:t>
            </w:r>
            <w:r w:rsidRPr="00177364">
              <w:t>Australian learner permit</w:t>
            </w:r>
            <w:r>
              <w:t>”).</w:t>
            </w:r>
          </w:p>
          <w:p w14:paraId="74163F5C" w14:textId="77777777" w:rsidR="002D2F55" w:rsidRDefault="00122C1B" w:rsidP="009F0BE5">
            <w:pPr>
              <w:pStyle w:val="TableParagraph"/>
            </w:pPr>
            <w:r w:rsidRPr="009F0BE5">
              <w:t>Move some definitions from the body of the Regulations to the Definitions regulation</w:t>
            </w:r>
            <w:r w:rsidR="00685F22">
              <w:t xml:space="preserve"> (</w:t>
            </w:r>
            <w:r w:rsidR="009306A0">
              <w:t xml:space="preserve">including </w:t>
            </w:r>
            <w:r w:rsidR="002D2F55">
              <w:t>“appropriate P plate”, “</w:t>
            </w:r>
            <w:r w:rsidR="002D2F55" w:rsidRPr="002D2F55">
              <w:t>corresponding novice driver</w:t>
            </w:r>
            <w:r w:rsidR="002D2F55">
              <w:t>”, “</w:t>
            </w:r>
            <w:r w:rsidR="002D2F55" w:rsidRPr="002D2F55">
              <w:t>driver under instruction plate</w:t>
            </w:r>
            <w:r w:rsidR="002D2F55">
              <w:t>”, “L plate”, “peer passenger”).</w:t>
            </w:r>
          </w:p>
          <w:p w14:paraId="148992C7" w14:textId="77777777" w:rsidR="00122C1B" w:rsidRPr="009F0BE5" w:rsidRDefault="00F77D4F" w:rsidP="009F0BE5">
            <w:pPr>
              <w:pStyle w:val="TableParagraph"/>
            </w:pPr>
            <w:r w:rsidRPr="009F0BE5">
              <w:t>Delete</w:t>
            </w:r>
            <w:r>
              <w:t xml:space="preserve"> redundant</w:t>
            </w:r>
            <w:r w:rsidR="00122C1B" w:rsidRPr="009F0BE5">
              <w:t xml:space="preserve"> definitions</w:t>
            </w:r>
            <w:r w:rsidR="00177364">
              <w:t xml:space="preserve"> (“</w:t>
            </w:r>
            <w:r w:rsidR="00177364" w:rsidRPr="00177364">
              <w:t>converter dolly</w:t>
            </w:r>
            <w:r w:rsidR="00177364">
              <w:t>”, “major rest break”, “medical practitioner”, “non-participating zone” and “participating zone”).</w:t>
            </w:r>
          </w:p>
        </w:tc>
        <w:tc>
          <w:tcPr>
            <w:tcW w:w="3402" w:type="dxa"/>
            <w:shd w:val="clear" w:color="auto" w:fill="auto"/>
          </w:tcPr>
          <w:p w14:paraId="7CD09490" w14:textId="77777777" w:rsidR="002B69CE" w:rsidRDefault="00122C1B" w:rsidP="009F0BE5">
            <w:pPr>
              <w:pStyle w:val="TableParagraph"/>
            </w:pPr>
            <w:r w:rsidRPr="009F0BE5">
              <w:t xml:space="preserve">Improve clarity and simplify the </w:t>
            </w:r>
            <w:r w:rsidR="006508FF" w:rsidRPr="009F0BE5">
              <w:t xml:space="preserve">Regulations </w:t>
            </w:r>
            <w:r w:rsidRPr="009F0BE5">
              <w:t xml:space="preserve">to reflect the relevant requirement more accurately. </w:t>
            </w:r>
            <w:r w:rsidR="002B69CE">
              <w:t>Remove redundant definitions that are not relevant to the proposed Regulations.</w:t>
            </w:r>
            <w:r w:rsidR="002B69CE" w:rsidRPr="009F0BE5">
              <w:t xml:space="preserve"> </w:t>
            </w:r>
            <w:r w:rsidRPr="009F0BE5">
              <w:t>These changes have no substantive effect.</w:t>
            </w:r>
            <w:r w:rsidR="002B69CE">
              <w:t xml:space="preserve"> </w:t>
            </w:r>
          </w:p>
          <w:p w14:paraId="68E041F6" w14:textId="77777777" w:rsidR="00122C1B" w:rsidRPr="009F0BE5" w:rsidRDefault="00122C1B" w:rsidP="009F0BE5">
            <w:pPr>
              <w:pStyle w:val="TableParagraph"/>
            </w:pPr>
          </w:p>
        </w:tc>
      </w:tr>
      <w:tr w:rsidR="00122C1B" w:rsidRPr="00261AF5" w14:paraId="48549D14" w14:textId="77777777" w:rsidTr="00C25CFD">
        <w:trPr>
          <w:cnfStyle w:val="000000010000" w:firstRow="0" w:lastRow="0" w:firstColumn="0" w:lastColumn="0" w:oddVBand="0" w:evenVBand="0" w:oddHBand="0" w:evenHBand="1" w:firstRowFirstColumn="0" w:firstRowLastColumn="0" w:lastRowFirstColumn="0" w:lastRowLastColumn="0"/>
          <w:trHeight w:val="300"/>
        </w:trPr>
        <w:tc>
          <w:tcPr>
            <w:tcW w:w="9498" w:type="dxa"/>
            <w:gridSpan w:val="3"/>
            <w:shd w:val="clear" w:color="auto" w:fill="DDE8F4" w:themeFill="text2" w:themeFillTint="1A"/>
            <w:noWrap/>
          </w:tcPr>
          <w:p w14:paraId="450ABF2B" w14:textId="77777777" w:rsidR="00122C1B" w:rsidRPr="00261AF5" w:rsidRDefault="00122C1B" w:rsidP="00BC7C1C">
            <w:pPr>
              <w:pStyle w:val="TextPara"/>
              <w:spacing w:before="20" w:after="20"/>
              <w:rPr>
                <w:b/>
                <w:color w:val="595959" w:themeColor="text1" w:themeTint="A6"/>
              </w:rPr>
            </w:pPr>
            <w:r w:rsidRPr="00261AF5">
              <w:rPr>
                <w:b/>
                <w:color w:val="595959" w:themeColor="text1" w:themeTint="A6"/>
              </w:rPr>
              <w:t xml:space="preserve">Part 2 </w:t>
            </w:r>
            <w:r w:rsidRPr="00261AF5">
              <w:rPr>
                <w:b/>
                <w:color w:val="595959" w:themeColor="text1" w:themeTint="A6"/>
              </w:rPr>
              <w:tab/>
              <w:t>Driver Licences and learner permits</w:t>
            </w:r>
          </w:p>
        </w:tc>
      </w:tr>
      <w:tr w:rsidR="00122C1B" w:rsidRPr="00261AF5" w14:paraId="57A7E94C" w14:textId="77777777" w:rsidTr="00893668">
        <w:trPr>
          <w:trHeight w:val="300"/>
        </w:trPr>
        <w:tc>
          <w:tcPr>
            <w:tcW w:w="2727" w:type="dxa"/>
            <w:shd w:val="clear" w:color="auto" w:fill="auto"/>
            <w:noWrap/>
          </w:tcPr>
          <w:p w14:paraId="711AD48A" w14:textId="77777777" w:rsidR="00122C1B" w:rsidRPr="00117C96" w:rsidRDefault="00122C1B" w:rsidP="00BC7C1C">
            <w:pPr>
              <w:pStyle w:val="TableParagraph"/>
            </w:pPr>
            <w:r>
              <w:t>Licence and permit c</w:t>
            </w:r>
            <w:r w:rsidRPr="009D0A2C">
              <w:t>odes</w:t>
            </w:r>
          </w:p>
        </w:tc>
        <w:tc>
          <w:tcPr>
            <w:tcW w:w="3369" w:type="dxa"/>
            <w:shd w:val="clear" w:color="auto" w:fill="auto"/>
            <w:noWrap/>
          </w:tcPr>
          <w:p w14:paraId="2D58AEE4" w14:textId="77777777" w:rsidR="00122C1B" w:rsidRPr="00261AF5" w:rsidRDefault="00122C1B" w:rsidP="004E7F73">
            <w:pPr>
              <w:pStyle w:val="TableParagraph"/>
            </w:pPr>
            <w:r>
              <w:t>Update licence and permit c</w:t>
            </w:r>
            <w:r w:rsidRPr="009D0A2C">
              <w:t xml:space="preserve">odes to allow for the display of 'Car' and 'Rider' </w:t>
            </w:r>
            <w:r>
              <w:t xml:space="preserve">instead of just ‘C’ or ‘R’ </w:t>
            </w:r>
            <w:r w:rsidRPr="009D0A2C">
              <w:t xml:space="preserve">on the licence </w:t>
            </w:r>
            <w:r w:rsidRPr="00BF1B4B">
              <w:t>card</w:t>
            </w:r>
            <w:r>
              <w:t>.</w:t>
            </w:r>
          </w:p>
        </w:tc>
        <w:tc>
          <w:tcPr>
            <w:tcW w:w="3402" w:type="dxa"/>
            <w:shd w:val="clear" w:color="auto" w:fill="auto"/>
          </w:tcPr>
          <w:p w14:paraId="3E3A24F0" w14:textId="77777777" w:rsidR="00122C1B" w:rsidRPr="00261AF5" w:rsidRDefault="00122C1B" w:rsidP="004E7F73">
            <w:pPr>
              <w:pStyle w:val="TableParagraph"/>
            </w:pPr>
            <w:r>
              <w:t>Improve clarity of licence and permit type on the licence card.</w:t>
            </w:r>
          </w:p>
        </w:tc>
      </w:tr>
      <w:tr w:rsidR="00122C1B" w:rsidRPr="00261AF5" w14:paraId="03BC0E73"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5FADE7D7" w14:textId="77777777" w:rsidR="00122C1B" w:rsidRDefault="00122C1B" w:rsidP="00CC7A97">
            <w:pPr>
              <w:pStyle w:val="TableParagraph"/>
            </w:pPr>
            <w:r>
              <w:t>Irrelevance of m</w:t>
            </w:r>
            <w:r w:rsidRPr="00A43867">
              <w:t>otorcycle licence experience</w:t>
            </w:r>
            <w:r>
              <w:t xml:space="preserve"> to car driving</w:t>
            </w:r>
          </w:p>
        </w:tc>
        <w:tc>
          <w:tcPr>
            <w:tcW w:w="3369" w:type="dxa"/>
            <w:shd w:val="clear" w:color="auto" w:fill="auto"/>
            <w:noWrap/>
          </w:tcPr>
          <w:p w14:paraId="2DA41E24" w14:textId="77777777" w:rsidR="00122C1B" w:rsidRDefault="00122C1B" w:rsidP="004E7F73">
            <w:pPr>
              <w:pStyle w:val="TableParagraph"/>
            </w:pPr>
            <w:r>
              <w:t>Delete</w:t>
            </w:r>
            <w:r w:rsidRPr="00E207FE">
              <w:t xml:space="preserve"> provision </w:t>
            </w:r>
            <w:r>
              <w:t xml:space="preserve">authorising VicRoads to reduce the relevant period that the applicant has </w:t>
            </w:r>
            <w:r w:rsidRPr="00E207FE">
              <w:t xml:space="preserve">held a car learner permit based on holding </w:t>
            </w:r>
            <w:r>
              <w:t xml:space="preserve">a </w:t>
            </w:r>
            <w:r w:rsidRPr="00E207FE">
              <w:t>motorcycle permit/licence</w:t>
            </w:r>
            <w:r>
              <w:t xml:space="preserve"> for not less than 12 months.</w:t>
            </w:r>
          </w:p>
        </w:tc>
        <w:tc>
          <w:tcPr>
            <w:tcW w:w="3402" w:type="dxa"/>
            <w:shd w:val="clear" w:color="auto" w:fill="auto"/>
          </w:tcPr>
          <w:p w14:paraId="0C25084C" w14:textId="77777777" w:rsidR="00122C1B" w:rsidRDefault="00122C1B" w:rsidP="004E7F73">
            <w:pPr>
              <w:pStyle w:val="TableParagraph"/>
            </w:pPr>
            <w:r>
              <w:t>Recognise that</w:t>
            </w:r>
            <w:r w:rsidRPr="00A43867">
              <w:t xml:space="preserve"> motorcycle </w:t>
            </w:r>
            <w:r>
              <w:t>riding</w:t>
            </w:r>
            <w:r w:rsidRPr="00A43867">
              <w:t xml:space="preserve"> experience does</w:t>
            </w:r>
            <w:r>
              <w:t xml:space="preserve"> not</w:t>
            </w:r>
            <w:r w:rsidRPr="00A43867">
              <w:t xml:space="preserve"> correlate with car </w:t>
            </w:r>
            <w:r>
              <w:t xml:space="preserve">driving </w:t>
            </w:r>
            <w:r w:rsidRPr="00A43867">
              <w:t>experience</w:t>
            </w:r>
            <w:r>
              <w:t xml:space="preserve"> and, t</w:t>
            </w:r>
            <w:r w:rsidRPr="00A43867">
              <w:t>herefore</w:t>
            </w:r>
            <w:r>
              <w:t>,</w:t>
            </w:r>
            <w:r w:rsidRPr="00A43867">
              <w:t xml:space="preserve"> there should be no </w:t>
            </w:r>
            <w:r>
              <w:t>reduction of the period that a car learner permit is required to be</w:t>
            </w:r>
            <w:r w:rsidRPr="00A43867">
              <w:t xml:space="preserve"> held.</w:t>
            </w:r>
          </w:p>
        </w:tc>
      </w:tr>
      <w:tr w:rsidR="00122C1B" w:rsidRPr="00261AF5" w14:paraId="5292D831" w14:textId="77777777" w:rsidTr="00893668">
        <w:trPr>
          <w:trHeight w:val="300"/>
        </w:trPr>
        <w:tc>
          <w:tcPr>
            <w:tcW w:w="2727" w:type="dxa"/>
            <w:shd w:val="clear" w:color="auto" w:fill="auto"/>
            <w:noWrap/>
          </w:tcPr>
          <w:p w14:paraId="60830627" w14:textId="77777777" w:rsidR="00122C1B" w:rsidRDefault="00122C1B" w:rsidP="00CC7A97">
            <w:pPr>
              <w:pStyle w:val="TableParagraph"/>
            </w:pPr>
            <w:r>
              <w:lastRenderedPageBreak/>
              <w:t>Interstate licence holders converting to Victorian licence</w:t>
            </w:r>
          </w:p>
        </w:tc>
        <w:tc>
          <w:tcPr>
            <w:tcW w:w="3369" w:type="dxa"/>
            <w:shd w:val="clear" w:color="auto" w:fill="auto"/>
            <w:noWrap/>
          </w:tcPr>
          <w:p w14:paraId="1D8FDEBC" w14:textId="77777777" w:rsidR="00122C1B" w:rsidRPr="00A43867" w:rsidRDefault="00122C1B" w:rsidP="004E7F73">
            <w:pPr>
              <w:pStyle w:val="TableParagraph"/>
            </w:pPr>
            <w:r>
              <w:t xml:space="preserve">Extend to six months the period within which interstate licence holders residing in Victoria must convert to a Victorian licence. </w:t>
            </w:r>
          </w:p>
        </w:tc>
        <w:tc>
          <w:tcPr>
            <w:tcW w:w="3402" w:type="dxa"/>
            <w:shd w:val="clear" w:color="auto" w:fill="auto"/>
          </w:tcPr>
          <w:p w14:paraId="3360A099" w14:textId="77777777" w:rsidR="00122C1B" w:rsidRDefault="00122C1B" w:rsidP="00B15893">
            <w:pPr>
              <w:pStyle w:val="TableParagraph"/>
            </w:pPr>
            <w:r>
              <w:t>Apply a single conversion period and residency requirement of six months for interstate and overseas drivers for consistency and fairness.</w:t>
            </w:r>
          </w:p>
          <w:p w14:paraId="1CFDE04E" w14:textId="77777777" w:rsidR="00122C1B" w:rsidRPr="00261AF5" w:rsidRDefault="00122C1B" w:rsidP="00B15893">
            <w:pPr>
              <w:pStyle w:val="TableParagraph"/>
            </w:pPr>
            <w:r w:rsidRPr="00B15893">
              <w:t>Allow</w:t>
            </w:r>
            <w:r>
              <w:t xml:space="preserve"> a more reasonable period within which interstate licence holders must convert to a Victorian licence.</w:t>
            </w:r>
          </w:p>
        </w:tc>
      </w:tr>
      <w:tr w:rsidR="00122C1B" w:rsidRPr="00261AF5" w14:paraId="6B0F131E"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667CB10E" w14:textId="77777777" w:rsidR="00122C1B" w:rsidRDefault="00122C1B" w:rsidP="00C8140F">
            <w:pPr>
              <w:pStyle w:val="TableParagraph"/>
            </w:pPr>
            <w:r>
              <w:t>Overseas licence holders with temporary visa converting to Victorian licence</w:t>
            </w:r>
          </w:p>
        </w:tc>
        <w:tc>
          <w:tcPr>
            <w:tcW w:w="3369" w:type="dxa"/>
            <w:shd w:val="clear" w:color="auto" w:fill="auto"/>
            <w:noWrap/>
          </w:tcPr>
          <w:p w14:paraId="58A15D72" w14:textId="77777777" w:rsidR="00122C1B" w:rsidRPr="009B0C81" w:rsidRDefault="00122C1B" w:rsidP="004E7F73">
            <w:pPr>
              <w:pStyle w:val="TableParagraph"/>
            </w:pPr>
            <w:r>
              <w:t>Extend to temporary residence visa holders the requirement for overseas drivers residing in Victoria for longer than six months to convert to a Victorian licence.</w:t>
            </w:r>
          </w:p>
        </w:tc>
        <w:tc>
          <w:tcPr>
            <w:tcW w:w="3402" w:type="dxa"/>
            <w:shd w:val="clear" w:color="auto" w:fill="auto"/>
          </w:tcPr>
          <w:p w14:paraId="418AC5D1" w14:textId="77777777" w:rsidR="00122C1B" w:rsidRDefault="00122C1B" w:rsidP="00B94B42">
            <w:pPr>
              <w:pStyle w:val="TableParagraph"/>
            </w:pPr>
            <w:r>
              <w:t>Apply a single conversion period and residency requirement of six months for interstate and overseas drivers for consistency and fairness.</w:t>
            </w:r>
          </w:p>
          <w:p w14:paraId="03D3AFE2" w14:textId="02107B4C" w:rsidR="00122C1B" w:rsidRPr="007314B3" w:rsidRDefault="00122C1B" w:rsidP="004E7F73">
            <w:pPr>
              <w:pStyle w:val="TableParagraph"/>
            </w:pPr>
            <w:r w:rsidRPr="007314B3">
              <w:t>Bring overseas licence holders with temporary visa of longer than six months into the Victorian licensing system</w:t>
            </w:r>
            <w:r>
              <w:t xml:space="preserve"> to</w:t>
            </w:r>
            <w:r w:rsidRPr="007314B3">
              <w:t xml:space="preserve"> facilitate the enforcement of licence conditions and enable VicRoads to have a record of their current address</w:t>
            </w:r>
            <w:r>
              <w:t xml:space="preserve"> in Victoria</w:t>
            </w:r>
            <w:r w:rsidRPr="007314B3">
              <w:t xml:space="preserve">. (Refer to </w:t>
            </w:r>
            <w:r w:rsidR="00CD4501">
              <w:t>Chapter</w:t>
            </w:r>
            <w:r w:rsidRPr="007314B3">
              <w:t xml:space="preserve"> </w:t>
            </w:r>
            <w:r w:rsidR="00CD4501">
              <w:fldChar w:fldCharType="begin"/>
            </w:r>
            <w:r w:rsidR="00CD4501">
              <w:instrText xml:space="preserve"> REF _Ref1134931 \r \h </w:instrText>
            </w:r>
            <w:r w:rsidR="00CD4501">
              <w:fldChar w:fldCharType="separate"/>
            </w:r>
            <w:r w:rsidR="00EB4B02">
              <w:t>5</w:t>
            </w:r>
            <w:r w:rsidR="00CD4501">
              <w:fldChar w:fldCharType="end"/>
            </w:r>
            <w:r w:rsidR="00CD4501">
              <w:t xml:space="preserve"> of this RIS </w:t>
            </w:r>
            <w:r w:rsidRPr="007314B3">
              <w:t>for more details</w:t>
            </w:r>
            <w:r>
              <w:t>)</w:t>
            </w:r>
            <w:r w:rsidRPr="007314B3">
              <w:t>.</w:t>
            </w:r>
          </w:p>
        </w:tc>
      </w:tr>
      <w:tr w:rsidR="00122C1B" w:rsidRPr="00261AF5" w14:paraId="41CB1C71" w14:textId="77777777" w:rsidTr="00893668">
        <w:trPr>
          <w:trHeight w:val="300"/>
        </w:trPr>
        <w:tc>
          <w:tcPr>
            <w:tcW w:w="2727" w:type="dxa"/>
            <w:shd w:val="clear" w:color="auto" w:fill="auto"/>
            <w:noWrap/>
          </w:tcPr>
          <w:p w14:paraId="3C5D5192" w14:textId="77777777" w:rsidR="00122C1B" w:rsidRDefault="00122C1B" w:rsidP="00C8140F">
            <w:pPr>
              <w:pStyle w:val="TableParagraph"/>
            </w:pPr>
            <w:r>
              <w:t>Training course completion for motor cycle and heavy vehicle licences</w:t>
            </w:r>
          </w:p>
        </w:tc>
        <w:tc>
          <w:tcPr>
            <w:tcW w:w="3369" w:type="dxa"/>
            <w:shd w:val="clear" w:color="auto" w:fill="auto"/>
            <w:noWrap/>
          </w:tcPr>
          <w:p w14:paraId="630F28A0" w14:textId="77777777" w:rsidR="00122C1B" w:rsidRPr="00261AF5" w:rsidRDefault="00122C1B" w:rsidP="004E7F73">
            <w:pPr>
              <w:pStyle w:val="TableParagraph"/>
            </w:pPr>
            <w:r>
              <w:t>Delete</w:t>
            </w:r>
            <w:r w:rsidRPr="009B0C81">
              <w:t xml:space="preserve"> training requirements </w:t>
            </w:r>
            <w:r>
              <w:t xml:space="preserve">for motor cycle, </w:t>
            </w:r>
            <w:r w:rsidRPr="00CF0D9C">
              <w:t>heavy combination vehicle</w:t>
            </w:r>
            <w:r>
              <w:t xml:space="preserve"> and heavy </w:t>
            </w:r>
            <w:r w:rsidRPr="00CF0D9C">
              <w:t>multi-combination vehicle</w:t>
            </w:r>
            <w:r>
              <w:t xml:space="preserve"> applicants to complete a training course approved by VicRoads</w:t>
            </w:r>
            <w:r w:rsidRPr="009B0C81">
              <w:t>.</w:t>
            </w:r>
          </w:p>
        </w:tc>
        <w:tc>
          <w:tcPr>
            <w:tcW w:w="3402" w:type="dxa"/>
            <w:shd w:val="clear" w:color="auto" w:fill="auto"/>
          </w:tcPr>
          <w:p w14:paraId="5796731E" w14:textId="77777777" w:rsidR="00122C1B" w:rsidRPr="00261AF5" w:rsidRDefault="00122C1B" w:rsidP="004E7F73">
            <w:pPr>
              <w:pStyle w:val="TableParagraph"/>
            </w:pPr>
            <w:r>
              <w:t>Delete redundant provisions as the training requirement</w:t>
            </w:r>
            <w:r w:rsidRPr="009B0C81">
              <w:t xml:space="preserve"> is </w:t>
            </w:r>
            <w:r>
              <w:t>provided</w:t>
            </w:r>
            <w:r w:rsidRPr="009B0C81">
              <w:t xml:space="preserve"> </w:t>
            </w:r>
            <w:r>
              <w:t xml:space="preserve">for </w:t>
            </w:r>
            <w:r w:rsidRPr="009B0C81">
              <w:t xml:space="preserve">in </w:t>
            </w:r>
            <w:r w:rsidR="00BB12DC" w:rsidRPr="009B0C81">
              <w:t xml:space="preserve">section </w:t>
            </w:r>
            <w:r w:rsidRPr="009B0C81">
              <w:t xml:space="preserve">20 of the </w:t>
            </w:r>
            <w:r w:rsidRPr="006A392A">
              <w:rPr>
                <w:i/>
              </w:rPr>
              <w:t>RSA</w:t>
            </w:r>
            <w:r>
              <w:t>.</w:t>
            </w:r>
          </w:p>
        </w:tc>
      </w:tr>
      <w:tr w:rsidR="00122C1B" w:rsidRPr="00261AF5" w14:paraId="7B693EC2"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280EED06" w14:textId="77777777" w:rsidR="00122C1B" w:rsidRDefault="00122C1B" w:rsidP="00C8140F">
            <w:pPr>
              <w:pStyle w:val="TableParagraph"/>
            </w:pPr>
            <w:r>
              <w:t>Car licence holding r</w:t>
            </w:r>
            <w:r w:rsidRPr="00480F00">
              <w:t>equirement for heavy combination vehicle licence</w:t>
            </w:r>
          </w:p>
        </w:tc>
        <w:tc>
          <w:tcPr>
            <w:tcW w:w="3369" w:type="dxa"/>
            <w:shd w:val="clear" w:color="auto" w:fill="auto"/>
            <w:noWrap/>
          </w:tcPr>
          <w:p w14:paraId="5FA7CE14" w14:textId="77777777" w:rsidR="00122C1B" w:rsidRPr="00261AF5" w:rsidRDefault="00122C1B" w:rsidP="004E7F73">
            <w:pPr>
              <w:pStyle w:val="TableParagraph"/>
            </w:pPr>
            <w:r>
              <w:t>Delete the</w:t>
            </w:r>
            <w:r w:rsidRPr="00480F00">
              <w:t xml:space="preserve"> requirement to hold Australian car licence for 24 months</w:t>
            </w:r>
            <w:r>
              <w:t xml:space="preserve"> to qualify for a heavy combination vehicle licence.</w:t>
            </w:r>
          </w:p>
        </w:tc>
        <w:tc>
          <w:tcPr>
            <w:tcW w:w="3402" w:type="dxa"/>
            <w:shd w:val="clear" w:color="auto" w:fill="auto"/>
          </w:tcPr>
          <w:p w14:paraId="4399B95F" w14:textId="77777777" w:rsidR="00122C1B" w:rsidRPr="00261AF5" w:rsidRDefault="00BB12DC" w:rsidP="004E7F73">
            <w:pPr>
              <w:pStyle w:val="TableParagraph"/>
            </w:pPr>
            <w:r>
              <w:t xml:space="preserve">The provision is redundant because </w:t>
            </w:r>
            <w:r w:rsidR="00122C1B">
              <w:t>an applicant for a heavy combination vehicle licence is required to have held a medium or heavy rigid vehicle licence for at least 12 months and</w:t>
            </w:r>
            <w:r>
              <w:t xml:space="preserve"> </w:t>
            </w:r>
            <w:r w:rsidR="00122C1B">
              <w:t xml:space="preserve">to obtain a medium rigid licence, an applicant must have previously held a car licence for at least 12 months, </w:t>
            </w:r>
            <w:r>
              <w:t>and</w:t>
            </w:r>
            <w:r w:rsidR="00122C1B">
              <w:t xml:space="preserve"> to obtain a heavy rigid licence </w:t>
            </w:r>
            <w:r>
              <w:t xml:space="preserve">an applicant must have previously held a car licence for </w:t>
            </w:r>
            <w:r w:rsidR="00122C1B">
              <w:t>at least 24 months.</w:t>
            </w:r>
          </w:p>
        </w:tc>
      </w:tr>
      <w:tr w:rsidR="00122C1B" w:rsidRPr="00261AF5" w14:paraId="49DB86F7" w14:textId="77777777" w:rsidTr="00893668">
        <w:trPr>
          <w:trHeight w:val="300"/>
        </w:trPr>
        <w:tc>
          <w:tcPr>
            <w:tcW w:w="2727" w:type="dxa"/>
            <w:shd w:val="clear" w:color="auto" w:fill="auto"/>
            <w:noWrap/>
          </w:tcPr>
          <w:p w14:paraId="0F99A319" w14:textId="77777777" w:rsidR="00122C1B" w:rsidRDefault="00122C1B" w:rsidP="00C8140F">
            <w:pPr>
              <w:pStyle w:val="TableParagraph"/>
            </w:pPr>
            <w:r>
              <w:t>Applications for light, medium and heavy rigid and heavy combination vehicle licences: recognition of</w:t>
            </w:r>
            <w:r w:rsidRPr="00780EB6">
              <w:t xml:space="preserve"> </w:t>
            </w:r>
            <w:r w:rsidRPr="00AF47D0">
              <w:t>periods of overseas licence holding</w:t>
            </w:r>
            <w:r w:rsidRPr="00780EB6">
              <w:t xml:space="preserve"> </w:t>
            </w:r>
          </w:p>
        </w:tc>
        <w:tc>
          <w:tcPr>
            <w:tcW w:w="3369" w:type="dxa"/>
            <w:shd w:val="clear" w:color="auto" w:fill="auto"/>
            <w:noWrap/>
          </w:tcPr>
          <w:p w14:paraId="1412AB0F" w14:textId="77777777" w:rsidR="00122C1B" w:rsidRPr="00780EB6" w:rsidRDefault="00122C1B" w:rsidP="00F24BBD">
            <w:pPr>
              <w:pStyle w:val="TableParagraph"/>
            </w:pPr>
            <w:r>
              <w:t>Delete</w:t>
            </w:r>
            <w:r w:rsidRPr="00780EB6">
              <w:t xml:space="preserve"> provision authorising VicRoads to take into account some or all periods during which the person held an overseas driver licence</w:t>
            </w:r>
            <w:r>
              <w:t xml:space="preserve"> for the purposes of applications for light rigid, medium rigid, heavy rigid and heavy combination vehicle licences</w:t>
            </w:r>
            <w:r w:rsidRPr="00780EB6">
              <w:t>.</w:t>
            </w:r>
          </w:p>
        </w:tc>
        <w:tc>
          <w:tcPr>
            <w:tcW w:w="3402" w:type="dxa"/>
            <w:shd w:val="clear" w:color="auto" w:fill="auto"/>
          </w:tcPr>
          <w:p w14:paraId="2B392209" w14:textId="77777777" w:rsidR="00122C1B" w:rsidRPr="00C26FB1" w:rsidRDefault="00122C1B" w:rsidP="00EE16D0">
            <w:pPr>
              <w:pStyle w:val="TableParagraph"/>
            </w:pPr>
            <w:r w:rsidRPr="00C26FB1">
              <w:t xml:space="preserve">Applicants are required to apply for an exemption from all or part of the minimum licence holding period, based on prior overseas licence holding. </w:t>
            </w:r>
          </w:p>
        </w:tc>
      </w:tr>
      <w:tr w:rsidR="00122C1B" w:rsidRPr="00261AF5" w14:paraId="7453CA72"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05D58774" w14:textId="77777777" w:rsidR="00122C1B" w:rsidRDefault="00122C1B" w:rsidP="001B6377">
            <w:pPr>
              <w:pStyle w:val="TableParagraph"/>
            </w:pPr>
            <w:r>
              <w:t xml:space="preserve">Applications for light, medium and heavy rigid and heavy combination vehicle licences: exclusion of </w:t>
            </w:r>
            <w:r w:rsidRPr="00780EB6">
              <w:t xml:space="preserve">periods </w:t>
            </w:r>
            <w:r>
              <w:t>during which</w:t>
            </w:r>
            <w:r w:rsidRPr="00780EB6">
              <w:t xml:space="preserve"> </w:t>
            </w:r>
            <w:r>
              <w:t>a</w:t>
            </w:r>
            <w:r w:rsidRPr="00780EB6">
              <w:t xml:space="preserve"> person was not permitted to drive</w:t>
            </w:r>
            <w:r>
              <w:t xml:space="preserve"> </w:t>
            </w:r>
          </w:p>
        </w:tc>
        <w:tc>
          <w:tcPr>
            <w:tcW w:w="3369" w:type="dxa"/>
            <w:shd w:val="clear" w:color="auto" w:fill="auto"/>
            <w:noWrap/>
          </w:tcPr>
          <w:p w14:paraId="6BBA18D2" w14:textId="77777777" w:rsidR="00122C1B" w:rsidRPr="00780EB6" w:rsidRDefault="00122C1B" w:rsidP="001B6377">
            <w:pPr>
              <w:pStyle w:val="TableParagraph"/>
            </w:pPr>
            <w:r>
              <w:t xml:space="preserve">Clarify that </w:t>
            </w:r>
            <w:r w:rsidRPr="004E70D0">
              <w:rPr>
                <w:b/>
              </w:rPr>
              <w:t>any</w:t>
            </w:r>
            <w:r>
              <w:t xml:space="preserve"> </w:t>
            </w:r>
            <w:r w:rsidRPr="00780EB6">
              <w:t xml:space="preserve">periods </w:t>
            </w:r>
            <w:r>
              <w:t>during which</w:t>
            </w:r>
            <w:r w:rsidRPr="00780EB6">
              <w:t xml:space="preserve"> the person was not permitted to drive</w:t>
            </w:r>
            <w:r>
              <w:t xml:space="preserve"> must be excluded in calculating the period a person has held an Australian driver licence.</w:t>
            </w:r>
          </w:p>
        </w:tc>
        <w:tc>
          <w:tcPr>
            <w:tcW w:w="3402" w:type="dxa"/>
            <w:shd w:val="clear" w:color="auto" w:fill="auto"/>
          </w:tcPr>
          <w:p w14:paraId="5D572C85" w14:textId="77777777" w:rsidR="00122C1B" w:rsidRDefault="00122C1B" w:rsidP="001B6377">
            <w:pPr>
              <w:pStyle w:val="TableParagraph"/>
            </w:pPr>
            <w:r>
              <w:t xml:space="preserve">Clarify provision to exclude </w:t>
            </w:r>
            <w:r w:rsidRPr="004E70D0">
              <w:rPr>
                <w:b/>
              </w:rPr>
              <w:t>any</w:t>
            </w:r>
            <w:r>
              <w:t xml:space="preserve"> </w:t>
            </w:r>
            <w:r w:rsidRPr="00780EB6">
              <w:t xml:space="preserve">periods </w:t>
            </w:r>
            <w:r>
              <w:t>during which</w:t>
            </w:r>
            <w:r w:rsidRPr="00780EB6">
              <w:t xml:space="preserve"> the person was not permitted to drive</w:t>
            </w:r>
            <w:r>
              <w:t>, not just periods of licence suspension and disqualification from driving (e.g. where the licence is surrendered or cancelled).</w:t>
            </w:r>
          </w:p>
        </w:tc>
      </w:tr>
      <w:tr w:rsidR="00122C1B" w:rsidRPr="00261AF5" w14:paraId="2EF70A22" w14:textId="77777777" w:rsidTr="00893668">
        <w:trPr>
          <w:trHeight w:val="300"/>
        </w:trPr>
        <w:tc>
          <w:tcPr>
            <w:tcW w:w="2727" w:type="dxa"/>
            <w:shd w:val="clear" w:color="auto" w:fill="auto"/>
            <w:noWrap/>
          </w:tcPr>
          <w:p w14:paraId="4D8A7957" w14:textId="77777777" w:rsidR="00122C1B" w:rsidRDefault="00122C1B" w:rsidP="001B6377">
            <w:pPr>
              <w:pStyle w:val="TableParagraph"/>
            </w:pPr>
            <w:r>
              <w:t>Procedures for grant or variation of driver licence or learner permit</w:t>
            </w:r>
          </w:p>
        </w:tc>
        <w:tc>
          <w:tcPr>
            <w:tcW w:w="3369" w:type="dxa"/>
            <w:shd w:val="clear" w:color="auto" w:fill="auto"/>
            <w:noWrap/>
          </w:tcPr>
          <w:p w14:paraId="545DD73F" w14:textId="77777777" w:rsidR="00122C1B" w:rsidRPr="00780EB6" w:rsidRDefault="00122C1B" w:rsidP="00F60AA2">
            <w:pPr>
              <w:pStyle w:val="TableParagraph"/>
            </w:pPr>
            <w:r>
              <w:t xml:space="preserve">Insert the requirement to pay the relevant fee prescribed in Schedule 6 </w:t>
            </w:r>
            <w:r w:rsidR="00BB12DC">
              <w:t>to</w:t>
            </w:r>
            <w:r>
              <w:t xml:space="preserve"> the proposed Regulations for the grant or variation of driver licence.</w:t>
            </w:r>
          </w:p>
        </w:tc>
        <w:tc>
          <w:tcPr>
            <w:tcW w:w="3402" w:type="dxa"/>
            <w:shd w:val="clear" w:color="auto" w:fill="auto"/>
          </w:tcPr>
          <w:p w14:paraId="2F176128" w14:textId="77777777" w:rsidR="00122C1B" w:rsidRPr="00261AF5" w:rsidRDefault="00122C1B" w:rsidP="00F60AA2">
            <w:pPr>
              <w:pStyle w:val="TableParagraph"/>
            </w:pPr>
            <w:r>
              <w:t xml:space="preserve">Add a new requirement to pay the relevant fees for licence and learner permit grants and variations because it </w:t>
            </w:r>
            <w:r>
              <w:lastRenderedPageBreak/>
              <w:t xml:space="preserve">is not included in the current </w:t>
            </w:r>
            <w:r w:rsidR="00BB12DC">
              <w:t>Regulations</w:t>
            </w:r>
            <w:r>
              <w:t xml:space="preserve">. </w:t>
            </w:r>
          </w:p>
        </w:tc>
      </w:tr>
      <w:tr w:rsidR="00122C1B" w:rsidRPr="00261AF5" w14:paraId="42C7C8E8"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564C8295" w14:textId="77777777" w:rsidR="00122C1B" w:rsidRPr="00411137" w:rsidRDefault="00122C1B" w:rsidP="001B6377">
            <w:pPr>
              <w:pStyle w:val="TableParagraph"/>
            </w:pPr>
            <w:r w:rsidRPr="00411137">
              <w:lastRenderedPageBreak/>
              <w:t xml:space="preserve">Exemption of learner drivers under 21 years from producing </w:t>
            </w:r>
            <w:r>
              <w:t>log book</w:t>
            </w:r>
            <w:r w:rsidRPr="00411137">
              <w:t xml:space="preserve"> and declaration when applying for licence</w:t>
            </w:r>
          </w:p>
        </w:tc>
        <w:tc>
          <w:tcPr>
            <w:tcW w:w="3369" w:type="dxa"/>
            <w:shd w:val="clear" w:color="auto" w:fill="auto"/>
            <w:noWrap/>
          </w:tcPr>
          <w:p w14:paraId="503A6BDD" w14:textId="77777777" w:rsidR="00122C1B" w:rsidRPr="00411137" w:rsidRDefault="00122C1B" w:rsidP="00E13E34">
            <w:pPr>
              <w:pStyle w:val="TableParagraph"/>
            </w:pPr>
            <w:r w:rsidRPr="00411137">
              <w:t xml:space="preserve">Delete specific exemption from producing the learner </w:t>
            </w:r>
            <w:r>
              <w:t>log book</w:t>
            </w:r>
            <w:r w:rsidRPr="00411137">
              <w:t xml:space="preserve"> and declaration of completion granted by VicRoads to car driver licence applicants under 21 years.</w:t>
            </w:r>
          </w:p>
        </w:tc>
        <w:tc>
          <w:tcPr>
            <w:tcW w:w="3402" w:type="dxa"/>
            <w:shd w:val="clear" w:color="auto" w:fill="auto"/>
          </w:tcPr>
          <w:p w14:paraId="6C48E00A" w14:textId="77777777" w:rsidR="00122C1B" w:rsidRDefault="00122C1B" w:rsidP="00E13E34">
            <w:pPr>
              <w:pStyle w:val="TableParagraph"/>
            </w:pPr>
            <w:r>
              <w:t>VicRoads does not grant exemptions to a learner from the full 120 hours supervised driving requirement</w:t>
            </w:r>
            <w:r w:rsidRPr="00411137">
              <w:t>.</w:t>
            </w:r>
            <w:r>
              <w:t xml:space="preserve"> </w:t>
            </w:r>
            <w:r w:rsidRPr="00411137">
              <w:t>.</w:t>
            </w:r>
          </w:p>
        </w:tc>
      </w:tr>
      <w:tr w:rsidR="00122C1B" w:rsidRPr="00261AF5" w14:paraId="1D5C07B4" w14:textId="77777777" w:rsidTr="00893668">
        <w:trPr>
          <w:trHeight w:val="300"/>
        </w:trPr>
        <w:tc>
          <w:tcPr>
            <w:tcW w:w="2727" w:type="dxa"/>
            <w:shd w:val="clear" w:color="auto" w:fill="auto"/>
            <w:noWrap/>
          </w:tcPr>
          <w:p w14:paraId="05734E11" w14:textId="77777777" w:rsidR="00122C1B" w:rsidRDefault="00122C1B" w:rsidP="001B6377">
            <w:pPr>
              <w:pStyle w:val="TableParagraph"/>
            </w:pPr>
            <w:r w:rsidRPr="00DE0195">
              <w:t>Conditions of driver licences or learner permits</w:t>
            </w:r>
            <w:r>
              <w:t xml:space="preserve"> issued in another jurisdiction or overseas</w:t>
            </w:r>
          </w:p>
        </w:tc>
        <w:tc>
          <w:tcPr>
            <w:tcW w:w="3369" w:type="dxa"/>
            <w:shd w:val="clear" w:color="auto" w:fill="auto"/>
            <w:noWrap/>
          </w:tcPr>
          <w:p w14:paraId="3386973A" w14:textId="77777777" w:rsidR="00122C1B" w:rsidRPr="00261AF5" w:rsidRDefault="00122C1B" w:rsidP="001B6377">
            <w:pPr>
              <w:pStyle w:val="TableParagraph"/>
            </w:pPr>
            <w:r>
              <w:t>Delete provision relating to overseas licence or learner permit holders that is subject to a condition, to carry a copy of the notice published by the overseas licensing authority (written in English or translated into English) explaining a full explanation of the condition.</w:t>
            </w:r>
          </w:p>
        </w:tc>
        <w:tc>
          <w:tcPr>
            <w:tcW w:w="3402" w:type="dxa"/>
            <w:shd w:val="clear" w:color="auto" w:fill="auto"/>
          </w:tcPr>
          <w:p w14:paraId="4D6456A0" w14:textId="77777777" w:rsidR="00122C1B" w:rsidRPr="000A3F67" w:rsidRDefault="00122C1B" w:rsidP="001B6377">
            <w:pPr>
              <w:pStyle w:val="TableParagraph"/>
            </w:pPr>
            <w:r>
              <w:t>The provision is redundant as it is already covered in another regulation relating to authorisation for holders of licence or permit issued outside Victoria. Non-carriage of the overseas licence with English translation would result in driving unlicensed.</w:t>
            </w:r>
          </w:p>
        </w:tc>
      </w:tr>
      <w:tr w:rsidR="00122C1B" w:rsidRPr="00261AF5" w14:paraId="23A76406"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vMerge w:val="restart"/>
            <w:shd w:val="clear" w:color="auto" w:fill="auto"/>
            <w:noWrap/>
          </w:tcPr>
          <w:p w14:paraId="6EA0341E" w14:textId="77777777" w:rsidR="00122C1B" w:rsidRDefault="00122C1B" w:rsidP="001B6377">
            <w:pPr>
              <w:pStyle w:val="TableParagraph"/>
            </w:pPr>
            <w:r>
              <w:t>Renewal of driver licence</w:t>
            </w:r>
          </w:p>
        </w:tc>
        <w:tc>
          <w:tcPr>
            <w:tcW w:w="3369" w:type="dxa"/>
            <w:shd w:val="clear" w:color="auto" w:fill="auto"/>
            <w:noWrap/>
          </w:tcPr>
          <w:p w14:paraId="12FC57CA" w14:textId="77777777" w:rsidR="00122C1B" w:rsidRPr="00261AF5" w:rsidRDefault="00122C1B" w:rsidP="008050CD">
            <w:pPr>
              <w:pStyle w:val="TableParagraph"/>
            </w:pPr>
            <w:r>
              <w:t>Shorten the period within which expired licences may be renewed from 5 years to 6 months after the expiry. A licence re-issue application would be required after that period.</w:t>
            </w:r>
          </w:p>
        </w:tc>
        <w:tc>
          <w:tcPr>
            <w:tcW w:w="3402" w:type="dxa"/>
            <w:shd w:val="clear" w:color="auto" w:fill="auto"/>
          </w:tcPr>
          <w:p w14:paraId="75C0A1A4" w14:textId="77777777" w:rsidR="00122C1B" w:rsidRDefault="00122C1B" w:rsidP="008050CD">
            <w:pPr>
              <w:pStyle w:val="TableParagraph"/>
            </w:pPr>
            <w:bookmarkStart w:id="889" w:name="_Hlk534278845"/>
            <w:r>
              <w:t xml:space="preserve">A licence renewal period of 6 months is more equitable and fairer to the customer and aligns the </w:t>
            </w:r>
            <w:r w:rsidR="00BB12DC">
              <w:t xml:space="preserve">Regulations </w:t>
            </w:r>
            <w:r>
              <w:t xml:space="preserve">with the current VicRoads practice of re-issuing rather than renewing licences that have expired for more than 6 months. </w:t>
            </w:r>
          </w:p>
          <w:p w14:paraId="7A0618CB" w14:textId="77777777" w:rsidR="00122C1B" w:rsidRDefault="00122C1B" w:rsidP="008050CD">
            <w:pPr>
              <w:pStyle w:val="TableParagraph"/>
            </w:pPr>
            <w:r>
              <w:t xml:space="preserve">In this way, the customer gets the full benefit of the licence they pay for. </w:t>
            </w:r>
            <w:r w:rsidR="00557769">
              <w:t xml:space="preserve">Under the current arrangements, if customers </w:t>
            </w:r>
            <w:r>
              <w:t>pay for a 10-year licence that had expired 4 years earlier, they would only get to use the licence for the remaining 6 years because the licence is renewed from the date of expiry.</w:t>
            </w:r>
            <w:bookmarkEnd w:id="889"/>
          </w:p>
          <w:p w14:paraId="56F22CA4" w14:textId="77777777" w:rsidR="006E345F" w:rsidRPr="00261AF5" w:rsidRDefault="006E345F" w:rsidP="008050CD">
            <w:pPr>
              <w:pStyle w:val="TableParagraph"/>
            </w:pPr>
            <w:r w:rsidRPr="006E345F">
              <w:t>The expired licence card can be used as evidence of identity. If this is not available, evidence of identity documents must be produced.</w:t>
            </w:r>
          </w:p>
        </w:tc>
      </w:tr>
      <w:tr w:rsidR="00122C1B" w:rsidRPr="00261AF5" w14:paraId="250ED97D" w14:textId="77777777" w:rsidTr="00893668">
        <w:trPr>
          <w:trHeight w:val="300"/>
        </w:trPr>
        <w:tc>
          <w:tcPr>
            <w:tcW w:w="2727" w:type="dxa"/>
            <w:vMerge/>
            <w:shd w:val="clear" w:color="auto" w:fill="auto"/>
            <w:noWrap/>
          </w:tcPr>
          <w:p w14:paraId="67B508DA" w14:textId="77777777" w:rsidR="00122C1B" w:rsidRPr="00EB53F9" w:rsidRDefault="00122C1B" w:rsidP="001B6377">
            <w:pPr>
              <w:pStyle w:val="TableParagraph"/>
            </w:pPr>
          </w:p>
        </w:tc>
        <w:tc>
          <w:tcPr>
            <w:tcW w:w="3369" w:type="dxa"/>
            <w:shd w:val="clear" w:color="auto" w:fill="auto"/>
            <w:noWrap/>
          </w:tcPr>
          <w:p w14:paraId="272188C2" w14:textId="77777777" w:rsidR="00122C1B" w:rsidRPr="0097573B" w:rsidRDefault="00122C1B" w:rsidP="001B6377">
            <w:pPr>
              <w:pStyle w:val="TableParagraph"/>
            </w:pPr>
            <w:r w:rsidRPr="0097573B">
              <w:t>Delete a provision listing some of the requirements that VicRoads may request applicants to provide in its prescribed licence renewal form.</w:t>
            </w:r>
          </w:p>
        </w:tc>
        <w:tc>
          <w:tcPr>
            <w:tcW w:w="3402" w:type="dxa"/>
            <w:shd w:val="clear" w:color="auto" w:fill="auto"/>
          </w:tcPr>
          <w:p w14:paraId="4C885417" w14:textId="77777777" w:rsidR="00122C1B" w:rsidRPr="0097573B" w:rsidRDefault="00122C1B" w:rsidP="001B6377">
            <w:pPr>
              <w:pStyle w:val="TableParagraph"/>
            </w:pPr>
            <w:r w:rsidRPr="0097573B">
              <w:t>The list of items require</w:t>
            </w:r>
            <w:r>
              <w:t>d</w:t>
            </w:r>
            <w:r w:rsidRPr="0097573B">
              <w:t xml:space="preserve"> for licence renewal </w:t>
            </w:r>
            <w:r>
              <w:t>is already contained in the renewal notice.</w:t>
            </w:r>
            <w:r w:rsidR="005C3245">
              <w:t xml:space="preserve"> </w:t>
            </w:r>
          </w:p>
        </w:tc>
      </w:tr>
      <w:tr w:rsidR="00122C1B" w:rsidRPr="00261AF5" w14:paraId="5C58B746"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45BA4FCD" w14:textId="77777777" w:rsidR="00122C1B" w:rsidRDefault="00122C1B" w:rsidP="001B6377">
            <w:pPr>
              <w:pStyle w:val="TableParagraph"/>
            </w:pPr>
            <w:r w:rsidRPr="00EB53F9">
              <w:t>Surrender of driver licence or learner permit</w:t>
            </w:r>
          </w:p>
        </w:tc>
        <w:tc>
          <w:tcPr>
            <w:tcW w:w="3369" w:type="dxa"/>
            <w:shd w:val="clear" w:color="auto" w:fill="auto"/>
            <w:noWrap/>
          </w:tcPr>
          <w:p w14:paraId="17943894" w14:textId="77777777" w:rsidR="00122C1B" w:rsidRPr="00261AF5" w:rsidRDefault="00122C1B" w:rsidP="001B6377">
            <w:pPr>
              <w:pStyle w:val="TableParagraph"/>
            </w:pPr>
            <w:r>
              <w:t xml:space="preserve">Insert new provisions to </w:t>
            </w:r>
            <w:r w:rsidRPr="007466DB">
              <w:t>allow for a licence or permit to be surrendered</w:t>
            </w:r>
            <w:r>
              <w:t xml:space="preserve"> and returned to VicRoads and for its cancellation once surrendered.</w:t>
            </w:r>
          </w:p>
        </w:tc>
        <w:tc>
          <w:tcPr>
            <w:tcW w:w="3402" w:type="dxa"/>
            <w:shd w:val="clear" w:color="auto" w:fill="auto"/>
          </w:tcPr>
          <w:p w14:paraId="2C4B35B9" w14:textId="77777777" w:rsidR="00122C1B" w:rsidRPr="00261AF5" w:rsidRDefault="00122C1B" w:rsidP="001B6377">
            <w:pPr>
              <w:pStyle w:val="TableParagraph"/>
            </w:pPr>
            <w:r>
              <w:t xml:space="preserve">The new provisions fill a gap in the current </w:t>
            </w:r>
            <w:r w:rsidR="00107EF8">
              <w:t xml:space="preserve">Regulations </w:t>
            </w:r>
            <w:r>
              <w:t xml:space="preserve">to allow for the voluntary surrender </w:t>
            </w:r>
            <w:r w:rsidRPr="00EB53F9">
              <w:t xml:space="preserve">of </w:t>
            </w:r>
            <w:r>
              <w:t xml:space="preserve">a </w:t>
            </w:r>
            <w:r w:rsidRPr="00EB53F9">
              <w:t>driver licence or learner permit</w:t>
            </w:r>
            <w:r>
              <w:t xml:space="preserve">. </w:t>
            </w:r>
          </w:p>
        </w:tc>
      </w:tr>
      <w:tr w:rsidR="00122C1B" w:rsidRPr="00261AF5" w14:paraId="786732CC" w14:textId="77777777" w:rsidTr="00893668">
        <w:trPr>
          <w:trHeight w:val="300"/>
        </w:trPr>
        <w:tc>
          <w:tcPr>
            <w:tcW w:w="2727" w:type="dxa"/>
            <w:shd w:val="clear" w:color="auto" w:fill="auto"/>
            <w:noWrap/>
          </w:tcPr>
          <w:p w14:paraId="527BD3B1" w14:textId="77777777" w:rsidR="00122C1B" w:rsidRDefault="00122C1B" w:rsidP="00094D73">
            <w:pPr>
              <w:pStyle w:val="TableParagraph"/>
            </w:pPr>
            <w:r>
              <w:t>Learner permit duration</w:t>
            </w:r>
          </w:p>
        </w:tc>
        <w:tc>
          <w:tcPr>
            <w:tcW w:w="3369" w:type="dxa"/>
            <w:shd w:val="clear" w:color="auto" w:fill="auto"/>
            <w:noWrap/>
          </w:tcPr>
          <w:p w14:paraId="73751047" w14:textId="77777777" w:rsidR="00122C1B" w:rsidRDefault="00122C1B" w:rsidP="00094D73">
            <w:pPr>
              <w:pStyle w:val="TableParagraph"/>
            </w:pPr>
            <w:r>
              <w:t>Specify the validity period of a car learner permit to be 10 years instead of “a period not exceeding 10 years” and motor cycle learner permits as 15 months instead of “a period not exceeding 15 months”.</w:t>
            </w:r>
          </w:p>
        </w:tc>
        <w:tc>
          <w:tcPr>
            <w:tcW w:w="3402" w:type="dxa"/>
            <w:shd w:val="clear" w:color="auto" w:fill="auto"/>
          </w:tcPr>
          <w:p w14:paraId="6CFE71F8" w14:textId="77777777" w:rsidR="00122C1B" w:rsidRDefault="00122C1B" w:rsidP="00094D73">
            <w:pPr>
              <w:pStyle w:val="TableParagraph"/>
            </w:pPr>
            <w:r>
              <w:t xml:space="preserve">Clarify that customers do not have an option to select the duration </w:t>
            </w:r>
            <w:r w:rsidR="00107EF8">
              <w:t xml:space="preserve">of </w:t>
            </w:r>
            <w:r>
              <w:t>a learner permit, reflecting current practice.</w:t>
            </w:r>
          </w:p>
        </w:tc>
      </w:tr>
      <w:tr w:rsidR="00122C1B" w:rsidRPr="00261AF5" w14:paraId="073847DA"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2A14B81E" w14:textId="77777777" w:rsidR="00122C1B" w:rsidRPr="00117C96" w:rsidRDefault="00122C1B" w:rsidP="00094D73">
            <w:pPr>
              <w:pStyle w:val="TableParagraph"/>
            </w:pPr>
            <w:r>
              <w:t>Learner permit renewal refusal</w:t>
            </w:r>
          </w:p>
        </w:tc>
        <w:tc>
          <w:tcPr>
            <w:tcW w:w="3369" w:type="dxa"/>
            <w:shd w:val="clear" w:color="auto" w:fill="auto"/>
            <w:noWrap/>
          </w:tcPr>
          <w:p w14:paraId="77E8220C" w14:textId="77777777" w:rsidR="00122C1B" w:rsidRDefault="00122C1B" w:rsidP="00094D73">
            <w:pPr>
              <w:pStyle w:val="TableParagraph"/>
            </w:pPr>
            <w:r>
              <w:t xml:space="preserve">Move the regulation dealing with refusal to renew a learner permit to a general provision in the proposed </w:t>
            </w:r>
            <w:r w:rsidRPr="00FB0C0E">
              <w:rPr>
                <w:i/>
              </w:rPr>
              <w:t>Part 2</w:t>
            </w:r>
            <w:r>
              <w:rPr>
                <w:i/>
              </w:rPr>
              <w:t xml:space="preserve">, </w:t>
            </w:r>
            <w:r w:rsidRPr="00FB0C0E">
              <w:rPr>
                <w:i/>
              </w:rPr>
              <w:t>Divisio</w:t>
            </w:r>
            <w:r w:rsidRPr="00FB6B40">
              <w:rPr>
                <w:i/>
              </w:rPr>
              <w:t>n 10</w:t>
            </w:r>
            <w:r>
              <w:rPr>
                <w:i/>
              </w:rPr>
              <w:t xml:space="preserve"> – </w:t>
            </w:r>
            <w:r w:rsidRPr="00FB6B40">
              <w:rPr>
                <w:i/>
              </w:rPr>
              <w:t>Miscellaneous</w:t>
            </w:r>
            <w:r>
              <w:t xml:space="preserve"> that deals with refusal of applications for a grant, </w:t>
            </w:r>
            <w:r>
              <w:lastRenderedPageBreak/>
              <w:t>variation or renewal of a driver licence or learner permit.</w:t>
            </w:r>
          </w:p>
        </w:tc>
        <w:tc>
          <w:tcPr>
            <w:tcW w:w="3402" w:type="dxa"/>
            <w:shd w:val="clear" w:color="auto" w:fill="auto"/>
          </w:tcPr>
          <w:p w14:paraId="1F6F2DAF" w14:textId="77777777" w:rsidR="00122C1B" w:rsidRDefault="00122C1B" w:rsidP="00094D73">
            <w:pPr>
              <w:pStyle w:val="TableParagraph"/>
            </w:pPr>
            <w:r>
              <w:lastRenderedPageBreak/>
              <w:t>Streamline the instances of refusal of applications for a grant, variation or renewal of a driver licence or learner permit in one general provision covering refusals of such applications.</w:t>
            </w:r>
          </w:p>
        </w:tc>
      </w:tr>
      <w:tr w:rsidR="00122C1B" w:rsidRPr="00261AF5" w14:paraId="63EF7338" w14:textId="77777777" w:rsidTr="00893668">
        <w:trPr>
          <w:trHeight w:val="300"/>
        </w:trPr>
        <w:tc>
          <w:tcPr>
            <w:tcW w:w="2727" w:type="dxa"/>
            <w:shd w:val="clear" w:color="auto" w:fill="auto"/>
            <w:noWrap/>
          </w:tcPr>
          <w:p w14:paraId="15292F4B" w14:textId="77777777" w:rsidR="00122C1B" w:rsidRPr="00117C96" w:rsidRDefault="00122C1B" w:rsidP="00094D73">
            <w:pPr>
              <w:pStyle w:val="TableParagraph"/>
            </w:pPr>
            <w:r>
              <w:t>Car learner permit renewal period</w:t>
            </w:r>
          </w:p>
        </w:tc>
        <w:tc>
          <w:tcPr>
            <w:tcW w:w="3369" w:type="dxa"/>
            <w:shd w:val="clear" w:color="auto" w:fill="auto"/>
            <w:noWrap/>
          </w:tcPr>
          <w:p w14:paraId="68081374" w14:textId="77777777" w:rsidR="00122C1B" w:rsidRDefault="00122C1B" w:rsidP="00094D73">
            <w:pPr>
              <w:pStyle w:val="TableParagraph"/>
            </w:pPr>
            <w:r>
              <w:t xml:space="preserve">Shorten the period within which </w:t>
            </w:r>
            <w:r w:rsidR="00107EF8">
              <w:t xml:space="preserve">an </w:t>
            </w:r>
            <w:r>
              <w:t>expired car learner permit may be renewed from 5 years to 6 months after the expiry. A permit re-issue application would be required after that period.</w:t>
            </w:r>
          </w:p>
          <w:p w14:paraId="18DF46B9" w14:textId="77777777" w:rsidR="00122C1B" w:rsidRDefault="00122C1B" w:rsidP="00094D73">
            <w:pPr>
              <w:pStyle w:val="TableParagraph"/>
            </w:pPr>
          </w:p>
        </w:tc>
        <w:tc>
          <w:tcPr>
            <w:tcW w:w="3402" w:type="dxa"/>
            <w:shd w:val="clear" w:color="auto" w:fill="auto"/>
          </w:tcPr>
          <w:p w14:paraId="48A8EB2B" w14:textId="77777777" w:rsidR="00122C1B" w:rsidRDefault="00122C1B" w:rsidP="00082DA8">
            <w:pPr>
              <w:pStyle w:val="TableParagraph"/>
            </w:pPr>
            <w:r>
              <w:t xml:space="preserve">A car learner permit renewal period of 6 months is more equitable and fairer to the customer and aligns the regulations with the current VicRoads practice of re-issuing rather than renewing permits that have expired for more than 6 months. </w:t>
            </w:r>
          </w:p>
          <w:p w14:paraId="1352A0CC" w14:textId="77777777" w:rsidR="00122C1B" w:rsidRDefault="00122C1B" w:rsidP="00082DA8">
            <w:pPr>
              <w:pStyle w:val="TableParagraph"/>
            </w:pPr>
            <w:r>
              <w:t xml:space="preserve">In this way, the customer gets the full benefit of the permit they pay for. </w:t>
            </w:r>
            <w:r w:rsidR="00107EF8">
              <w:t>Under the current arrangements, if customers</w:t>
            </w:r>
            <w:r>
              <w:t xml:space="preserve"> pay for a 10-year licence that had expired 4 years earlier, they would only get to use the permit for the remaining 6 years because the licence is renewed from the date of expiry. </w:t>
            </w:r>
          </w:p>
        </w:tc>
      </w:tr>
      <w:tr w:rsidR="00122C1B" w:rsidRPr="00261AF5" w14:paraId="4CC19530"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742425A0" w14:textId="77777777" w:rsidR="00122C1B" w:rsidRPr="00117C96" w:rsidRDefault="00122C1B" w:rsidP="00591F1B">
            <w:pPr>
              <w:pStyle w:val="TableParagraph"/>
            </w:pPr>
            <w:r>
              <w:t>Renewal of car learner permit</w:t>
            </w:r>
          </w:p>
        </w:tc>
        <w:tc>
          <w:tcPr>
            <w:tcW w:w="3369" w:type="dxa"/>
            <w:shd w:val="clear" w:color="auto" w:fill="auto"/>
            <w:noWrap/>
          </w:tcPr>
          <w:p w14:paraId="29C455C0" w14:textId="77777777" w:rsidR="00122C1B" w:rsidRDefault="00122C1B" w:rsidP="00591F1B">
            <w:pPr>
              <w:pStyle w:val="TableParagraph"/>
            </w:pPr>
            <w:r w:rsidRPr="0097573B">
              <w:t xml:space="preserve">Delete a provision listing some of the requirements that VicRoads may request applicants to provide in its prescribed </w:t>
            </w:r>
            <w:r>
              <w:t>car learner permit</w:t>
            </w:r>
            <w:r w:rsidRPr="0097573B">
              <w:t xml:space="preserve"> renewal form.</w:t>
            </w:r>
          </w:p>
        </w:tc>
        <w:tc>
          <w:tcPr>
            <w:tcW w:w="3402" w:type="dxa"/>
            <w:shd w:val="clear" w:color="auto" w:fill="auto"/>
          </w:tcPr>
          <w:p w14:paraId="6C1A6C82" w14:textId="77777777" w:rsidR="00122C1B" w:rsidRDefault="00122C1B" w:rsidP="00591F1B">
            <w:pPr>
              <w:pStyle w:val="TableParagraph"/>
            </w:pPr>
            <w:r w:rsidRPr="0097573B">
              <w:t xml:space="preserve">The list of items required for </w:t>
            </w:r>
            <w:r>
              <w:t>learner permit</w:t>
            </w:r>
            <w:r w:rsidRPr="0097573B">
              <w:t xml:space="preserve"> renewal </w:t>
            </w:r>
            <w:r>
              <w:t>is already contained in the renewal notice</w:t>
            </w:r>
            <w:r w:rsidRPr="0097573B">
              <w:t>.</w:t>
            </w:r>
            <w:r>
              <w:br/>
            </w:r>
          </w:p>
        </w:tc>
      </w:tr>
      <w:tr w:rsidR="00122C1B" w:rsidRPr="00261AF5" w14:paraId="61807A46" w14:textId="77777777" w:rsidTr="00893668">
        <w:trPr>
          <w:trHeight w:val="300"/>
        </w:trPr>
        <w:tc>
          <w:tcPr>
            <w:tcW w:w="2727" w:type="dxa"/>
            <w:shd w:val="clear" w:color="auto" w:fill="auto"/>
            <w:noWrap/>
          </w:tcPr>
          <w:p w14:paraId="398523E3" w14:textId="77777777" w:rsidR="00122C1B" w:rsidRPr="00117C96" w:rsidRDefault="00122C1B" w:rsidP="00094D73">
            <w:pPr>
              <w:pStyle w:val="TableParagraph"/>
            </w:pPr>
            <w:r>
              <w:t>Learner driver tractor driving experience</w:t>
            </w:r>
          </w:p>
        </w:tc>
        <w:tc>
          <w:tcPr>
            <w:tcW w:w="3369" w:type="dxa"/>
            <w:shd w:val="clear" w:color="auto" w:fill="auto"/>
            <w:noWrap/>
          </w:tcPr>
          <w:p w14:paraId="43BE7FF3" w14:textId="77777777" w:rsidR="00122C1B" w:rsidRDefault="00122C1B" w:rsidP="00094D73">
            <w:pPr>
              <w:pStyle w:val="TableParagraph"/>
            </w:pPr>
            <w:r>
              <w:t>Delete the requirement of 10 hours tractor driving experience before a learner driver is allowed to drive a tractor on a highway.</w:t>
            </w:r>
          </w:p>
        </w:tc>
        <w:tc>
          <w:tcPr>
            <w:tcW w:w="3402" w:type="dxa"/>
            <w:shd w:val="clear" w:color="auto" w:fill="auto"/>
          </w:tcPr>
          <w:p w14:paraId="7E3F67DD" w14:textId="77777777" w:rsidR="00122C1B" w:rsidRDefault="00122C1B" w:rsidP="00094D73">
            <w:pPr>
              <w:pStyle w:val="TableParagraph"/>
            </w:pPr>
            <w:r>
              <w:t>Tractor crashes on the road are extremely rare and do not pose any significant road safety risk.</w:t>
            </w:r>
          </w:p>
        </w:tc>
      </w:tr>
      <w:tr w:rsidR="00122C1B" w:rsidRPr="00261AF5" w14:paraId="562B10D7"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18DFCC56" w14:textId="77777777" w:rsidR="00122C1B" w:rsidRDefault="00122C1B" w:rsidP="00094D73">
            <w:pPr>
              <w:pStyle w:val="TableParagraph"/>
            </w:pPr>
            <w:r>
              <w:t>Learner driver not allowed to drive a vehicle towing another vehicle</w:t>
            </w:r>
          </w:p>
        </w:tc>
        <w:tc>
          <w:tcPr>
            <w:tcW w:w="3369" w:type="dxa"/>
            <w:shd w:val="clear" w:color="auto" w:fill="auto"/>
            <w:noWrap/>
          </w:tcPr>
          <w:p w14:paraId="5CAED136" w14:textId="77777777" w:rsidR="00122C1B" w:rsidRDefault="00122C1B" w:rsidP="00094D73">
            <w:pPr>
              <w:pStyle w:val="TableParagraph"/>
            </w:pPr>
            <w:r>
              <w:t>Amend the wording of the regulation to refer to “towing any vehicle” instead of “towing a trailer”.</w:t>
            </w:r>
          </w:p>
        </w:tc>
        <w:tc>
          <w:tcPr>
            <w:tcW w:w="3402" w:type="dxa"/>
            <w:shd w:val="clear" w:color="auto" w:fill="auto"/>
          </w:tcPr>
          <w:p w14:paraId="399CF9E1" w14:textId="77777777" w:rsidR="00122C1B" w:rsidRDefault="00122C1B" w:rsidP="00094D73">
            <w:pPr>
              <w:pStyle w:val="TableParagraph"/>
            </w:pPr>
            <w:r>
              <w:t xml:space="preserve">Clarify that this restriction covers towing of any vehicle, not just trailers. So, towing of another motor vehicle is included. </w:t>
            </w:r>
          </w:p>
        </w:tc>
      </w:tr>
      <w:tr w:rsidR="00122C1B" w:rsidRPr="00261AF5" w14:paraId="51AD7B14" w14:textId="77777777" w:rsidTr="00893668">
        <w:trPr>
          <w:trHeight w:val="300"/>
        </w:trPr>
        <w:tc>
          <w:tcPr>
            <w:tcW w:w="2727" w:type="dxa"/>
            <w:shd w:val="clear" w:color="auto" w:fill="auto"/>
            <w:noWrap/>
          </w:tcPr>
          <w:p w14:paraId="4D31FBB8" w14:textId="77777777" w:rsidR="00122C1B" w:rsidRPr="00117C96" w:rsidRDefault="00122C1B" w:rsidP="00094D73">
            <w:pPr>
              <w:pStyle w:val="TableParagraph"/>
            </w:pPr>
            <w:r>
              <w:t xml:space="preserve">Display of L plates by motor-cycle rider during a skills assessment prior to obtaining a learner permit </w:t>
            </w:r>
          </w:p>
        </w:tc>
        <w:tc>
          <w:tcPr>
            <w:tcW w:w="3369" w:type="dxa"/>
            <w:shd w:val="clear" w:color="auto" w:fill="auto"/>
            <w:noWrap/>
          </w:tcPr>
          <w:p w14:paraId="1192A61A" w14:textId="77777777" w:rsidR="00122C1B" w:rsidRPr="00261AF5" w:rsidRDefault="00122C1B" w:rsidP="00094D73">
            <w:pPr>
              <w:pStyle w:val="TableParagraph"/>
            </w:pPr>
            <w:r>
              <w:t>Add a provision</w:t>
            </w:r>
            <w:r w:rsidRPr="00F16CC6">
              <w:t xml:space="preserve"> to </w:t>
            </w:r>
            <w:r>
              <w:t xml:space="preserve">allow </w:t>
            </w:r>
            <w:r w:rsidRPr="00F16CC6">
              <w:t>motor</w:t>
            </w:r>
            <w:r>
              <w:t xml:space="preserve"> cycle riders, who are not yet learner drivers, to display </w:t>
            </w:r>
            <w:r w:rsidRPr="00F16CC6">
              <w:t>L plate</w:t>
            </w:r>
            <w:r>
              <w:t>s during an assessment of their driving skills by VicRoads or an authorised person, prior to the granting a learner permit.</w:t>
            </w:r>
          </w:p>
        </w:tc>
        <w:tc>
          <w:tcPr>
            <w:tcW w:w="3402" w:type="dxa"/>
            <w:shd w:val="clear" w:color="auto" w:fill="auto"/>
          </w:tcPr>
          <w:p w14:paraId="41FAE845" w14:textId="77777777" w:rsidR="00122C1B" w:rsidRPr="00261AF5" w:rsidRDefault="00122C1B" w:rsidP="00094D73">
            <w:pPr>
              <w:pStyle w:val="TableParagraph"/>
            </w:pPr>
            <w:r w:rsidRPr="0021355F">
              <w:t xml:space="preserve">The display of L plates </w:t>
            </w:r>
            <w:r>
              <w:t xml:space="preserve">during an on-road assessment </w:t>
            </w:r>
            <w:r w:rsidRPr="0021355F">
              <w:t xml:space="preserve">enables </w:t>
            </w:r>
            <w:r>
              <w:t>other</w:t>
            </w:r>
            <w:r w:rsidRPr="0021355F">
              <w:t xml:space="preserve"> road users to identify young inexperienced </w:t>
            </w:r>
            <w:r>
              <w:t>riders</w:t>
            </w:r>
            <w:r w:rsidRPr="0021355F">
              <w:t xml:space="preserve">, be more tolerant and take preventative action to avoid any potential traffic incidents. It </w:t>
            </w:r>
            <w:r>
              <w:t xml:space="preserve">also </w:t>
            </w:r>
            <w:r w:rsidRPr="0021355F">
              <w:t xml:space="preserve">enables the police to identify the status of </w:t>
            </w:r>
            <w:r>
              <w:t>riders</w:t>
            </w:r>
            <w:r w:rsidRPr="0021355F">
              <w:t xml:space="preserve"> and to enforce the Regulations.</w:t>
            </w:r>
          </w:p>
        </w:tc>
      </w:tr>
      <w:tr w:rsidR="00122C1B" w:rsidRPr="00261AF5" w14:paraId="2904D813"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07578A35" w14:textId="77777777" w:rsidR="00122C1B" w:rsidRPr="00D059F3" w:rsidRDefault="00122C1B" w:rsidP="00094D73">
            <w:pPr>
              <w:pStyle w:val="TableParagraph"/>
            </w:pPr>
            <w:r>
              <w:t>D</w:t>
            </w:r>
            <w:r w:rsidRPr="00D059F3">
              <w:t xml:space="preserve">rivers </w:t>
            </w:r>
            <w:r>
              <w:t xml:space="preserve">on </w:t>
            </w:r>
            <w:r w:rsidRPr="00D059F3">
              <w:t>pre</w:t>
            </w:r>
            <w:r>
              <w:t>-</w:t>
            </w:r>
            <w:r w:rsidRPr="00D059F3">
              <w:t xml:space="preserve">GLS probationary </w:t>
            </w:r>
            <w:r>
              <w:t>licences</w:t>
            </w:r>
          </w:p>
        </w:tc>
        <w:tc>
          <w:tcPr>
            <w:tcW w:w="3369" w:type="dxa"/>
            <w:shd w:val="clear" w:color="auto" w:fill="auto"/>
            <w:noWrap/>
          </w:tcPr>
          <w:p w14:paraId="445DC1DC" w14:textId="77777777" w:rsidR="00122C1B" w:rsidRPr="00D059F3" w:rsidRDefault="00122C1B" w:rsidP="00D059F3">
            <w:pPr>
              <w:pStyle w:val="TableParagraph"/>
            </w:pPr>
            <w:r w:rsidRPr="00D059F3">
              <w:t>Delete old provisions relating to pre</w:t>
            </w:r>
            <w:r>
              <w:t>-</w:t>
            </w:r>
            <w:r w:rsidRPr="00D059F3">
              <w:t>GLS probationary licences that applied before P1 and P2 probationary periods were introduced.</w:t>
            </w:r>
          </w:p>
          <w:p w14:paraId="5BE2EE03" w14:textId="77777777" w:rsidR="00122C1B" w:rsidRPr="00D059F3" w:rsidRDefault="00122C1B" w:rsidP="00D059F3">
            <w:pPr>
              <w:pStyle w:val="TableParagraph"/>
            </w:pPr>
          </w:p>
        </w:tc>
        <w:tc>
          <w:tcPr>
            <w:tcW w:w="3402" w:type="dxa"/>
            <w:shd w:val="clear" w:color="auto" w:fill="auto"/>
          </w:tcPr>
          <w:p w14:paraId="2BD1C1CE" w14:textId="77777777" w:rsidR="00122C1B" w:rsidRPr="00D059F3" w:rsidRDefault="00122C1B" w:rsidP="00D059F3">
            <w:pPr>
              <w:pStyle w:val="TableParagraph"/>
            </w:pPr>
            <w:r w:rsidRPr="00D059F3">
              <w:t>There is no one who is still on a pre-GLS probationary licence. These provisions were originally retained in the existing regulations due to the transitional rules around issuing of the licence.</w:t>
            </w:r>
          </w:p>
        </w:tc>
      </w:tr>
      <w:tr w:rsidR="00122C1B" w:rsidRPr="00261AF5" w14:paraId="277A47BF" w14:textId="77777777" w:rsidTr="00893668">
        <w:trPr>
          <w:trHeight w:val="300"/>
        </w:trPr>
        <w:tc>
          <w:tcPr>
            <w:tcW w:w="2727" w:type="dxa"/>
            <w:shd w:val="clear" w:color="auto" w:fill="auto"/>
            <w:noWrap/>
          </w:tcPr>
          <w:p w14:paraId="39E21B62" w14:textId="77777777" w:rsidR="00122C1B" w:rsidRPr="00A85E25" w:rsidRDefault="00122C1B" w:rsidP="00094D73">
            <w:pPr>
              <w:pStyle w:val="TableParagraph"/>
            </w:pPr>
            <w:r w:rsidRPr="00A85E25">
              <w:t>Calculating period not permitted to drive</w:t>
            </w:r>
          </w:p>
        </w:tc>
        <w:tc>
          <w:tcPr>
            <w:tcW w:w="3369" w:type="dxa"/>
            <w:shd w:val="clear" w:color="auto" w:fill="auto"/>
            <w:noWrap/>
          </w:tcPr>
          <w:p w14:paraId="32414735" w14:textId="77777777" w:rsidR="00122C1B" w:rsidRDefault="00122C1B" w:rsidP="00D059F3">
            <w:pPr>
              <w:pStyle w:val="TableParagraph"/>
            </w:pPr>
            <w:r>
              <w:t>Insert new provisions regarding P1 and P2 probationary periods to exclude periods during which a person is not permitted to drive, when calculating the periods for which a person has held a driver’s licence.</w:t>
            </w:r>
          </w:p>
        </w:tc>
        <w:tc>
          <w:tcPr>
            <w:tcW w:w="3402" w:type="dxa"/>
            <w:shd w:val="clear" w:color="auto" w:fill="auto"/>
          </w:tcPr>
          <w:p w14:paraId="0D559679" w14:textId="77777777" w:rsidR="00122C1B" w:rsidRDefault="00122C1B" w:rsidP="00A85E25">
            <w:pPr>
              <w:pStyle w:val="TableParagraph"/>
            </w:pPr>
            <w:r>
              <w:t xml:space="preserve">Clarify that, when calculating the periods during which a person has held a P1 and P2 probationary licence, any periods during which a person is not permitted to drive must be excluded. </w:t>
            </w:r>
          </w:p>
        </w:tc>
      </w:tr>
      <w:tr w:rsidR="00122C1B" w:rsidRPr="00261AF5" w14:paraId="1620D7C2"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191F2F2C" w14:textId="77777777" w:rsidR="00122C1B" w:rsidRDefault="00122C1B" w:rsidP="00094D73">
            <w:pPr>
              <w:pStyle w:val="TableParagraph"/>
            </w:pPr>
            <w:r>
              <w:lastRenderedPageBreak/>
              <w:t>Issuing appropriate probationary licence to interstate and overseas licence holders</w:t>
            </w:r>
          </w:p>
        </w:tc>
        <w:tc>
          <w:tcPr>
            <w:tcW w:w="3369" w:type="dxa"/>
            <w:shd w:val="clear" w:color="auto" w:fill="auto"/>
            <w:noWrap/>
          </w:tcPr>
          <w:p w14:paraId="5C617B15" w14:textId="77777777" w:rsidR="00122C1B" w:rsidRDefault="00122C1B" w:rsidP="00D059F3">
            <w:pPr>
              <w:pStyle w:val="TableParagraph"/>
            </w:pPr>
            <w:r>
              <w:t>Insert new provision regarding P2 probationary period to enable the issuing of the appropriate probationary licence to interstate and overseas licence holders based on the date their licence was issued and their age.</w:t>
            </w:r>
          </w:p>
        </w:tc>
        <w:tc>
          <w:tcPr>
            <w:tcW w:w="3402" w:type="dxa"/>
            <w:shd w:val="clear" w:color="auto" w:fill="auto"/>
          </w:tcPr>
          <w:p w14:paraId="22BBB523" w14:textId="77777777" w:rsidR="00122C1B" w:rsidRDefault="00122C1B" w:rsidP="00D059F3">
            <w:pPr>
              <w:pStyle w:val="TableParagraph"/>
            </w:pPr>
            <w:r>
              <w:t>Provide consistency across the rules and bring such licence holders into line with the Victorian novice driver rules.</w:t>
            </w:r>
          </w:p>
        </w:tc>
      </w:tr>
      <w:tr w:rsidR="00122C1B" w:rsidRPr="00261AF5" w14:paraId="1C775FB7" w14:textId="77777777" w:rsidTr="00893668">
        <w:trPr>
          <w:trHeight w:val="300"/>
        </w:trPr>
        <w:tc>
          <w:tcPr>
            <w:tcW w:w="2727" w:type="dxa"/>
            <w:shd w:val="clear" w:color="auto" w:fill="auto"/>
            <w:noWrap/>
          </w:tcPr>
          <w:p w14:paraId="0501F15E" w14:textId="77777777" w:rsidR="00122C1B" w:rsidRDefault="00122C1B" w:rsidP="00094D73">
            <w:pPr>
              <w:pStyle w:val="TableParagraph"/>
            </w:pPr>
            <w:r>
              <w:t xml:space="preserve">Offences committed under the old Section 49(1) of the </w:t>
            </w:r>
            <w:r w:rsidRPr="006A392A">
              <w:rPr>
                <w:i/>
              </w:rPr>
              <w:t>RSA</w:t>
            </w:r>
            <w:r>
              <w:t xml:space="preserve"> before 1 October 2014</w:t>
            </w:r>
          </w:p>
        </w:tc>
        <w:tc>
          <w:tcPr>
            <w:tcW w:w="3369" w:type="dxa"/>
            <w:shd w:val="clear" w:color="auto" w:fill="auto"/>
            <w:noWrap/>
          </w:tcPr>
          <w:p w14:paraId="369545FE" w14:textId="77777777" w:rsidR="00122C1B" w:rsidRDefault="00122C1B" w:rsidP="00D059F3">
            <w:pPr>
              <w:pStyle w:val="TableParagraph"/>
            </w:pPr>
            <w:r>
              <w:t xml:space="preserve">Delete references to offences committed before 1 October 2014 under the old Section 49(1) of the </w:t>
            </w:r>
            <w:r w:rsidRPr="006A392A">
              <w:rPr>
                <w:i/>
              </w:rPr>
              <w:t>RSA</w:t>
            </w:r>
            <w:r>
              <w:t>.</w:t>
            </w:r>
          </w:p>
          <w:p w14:paraId="17AAE683" w14:textId="77777777" w:rsidR="00122C1B" w:rsidRDefault="00122C1B" w:rsidP="00D059F3">
            <w:pPr>
              <w:pStyle w:val="TableParagraph"/>
            </w:pPr>
          </w:p>
        </w:tc>
        <w:tc>
          <w:tcPr>
            <w:tcW w:w="3402" w:type="dxa"/>
            <w:shd w:val="clear" w:color="auto" w:fill="auto"/>
          </w:tcPr>
          <w:p w14:paraId="1259DCC6" w14:textId="77777777" w:rsidR="00122C1B" w:rsidRDefault="00122C1B" w:rsidP="00D059F3">
            <w:pPr>
              <w:pStyle w:val="TableParagraph"/>
            </w:pPr>
            <w:r>
              <w:t xml:space="preserve">The old </w:t>
            </w:r>
            <w:r w:rsidR="00107EF8">
              <w:t xml:space="preserve">section </w:t>
            </w:r>
            <w:r>
              <w:t xml:space="preserve">49(1) of the </w:t>
            </w:r>
            <w:r w:rsidRPr="006A392A">
              <w:rPr>
                <w:i/>
              </w:rPr>
              <w:t>RSA</w:t>
            </w:r>
            <w:r>
              <w:t xml:space="preserve"> </w:t>
            </w:r>
            <w:r w:rsidRPr="007E55D4">
              <w:t xml:space="preserve">was a transitional rule added </w:t>
            </w:r>
            <w:r>
              <w:t xml:space="preserve">to the current </w:t>
            </w:r>
            <w:r w:rsidR="00107EF8">
              <w:t xml:space="preserve">Regulations </w:t>
            </w:r>
            <w:r>
              <w:t>when the drink-driving</w:t>
            </w:r>
            <w:r w:rsidRPr="007E55D4">
              <w:t xml:space="preserve"> offences were changed in </w:t>
            </w:r>
            <w:r>
              <w:t xml:space="preserve">2014. All </w:t>
            </w:r>
            <w:r w:rsidRPr="007948ED">
              <w:t xml:space="preserve">offences under </w:t>
            </w:r>
            <w:r w:rsidR="00107EF8" w:rsidRPr="007948ED">
              <w:t xml:space="preserve">section </w:t>
            </w:r>
            <w:r w:rsidRPr="007948ED">
              <w:t>49(1)</w:t>
            </w:r>
            <w:r>
              <w:t xml:space="preserve"> now</w:t>
            </w:r>
            <w:r w:rsidR="00107EF8">
              <w:t xml:space="preserve"> result in licence</w:t>
            </w:r>
            <w:r w:rsidRPr="007948ED">
              <w:t xml:space="preserve"> cancellation.</w:t>
            </w:r>
          </w:p>
        </w:tc>
      </w:tr>
      <w:tr w:rsidR="00122C1B" w:rsidRPr="00261AF5" w14:paraId="4253B39A"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2A9FA368" w14:textId="77777777" w:rsidR="00122C1B" w:rsidRDefault="00122C1B" w:rsidP="00094D73">
            <w:pPr>
              <w:pStyle w:val="TableParagraph"/>
            </w:pPr>
            <w:r>
              <w:t>Licence reversion from Full to P2 and from P2 to P1</w:t>
            </w:r>
          </w:p>
        </w:tc>
        <w:tc>
          <w:tcPr>
            <w:tcW w:w="3369" w:type="dxa"/>
            <w:shd w:val="clear" w:color="auto" w:fill="auto"/>
            <w:noWrap/>
          </w:tcPr>
          <w:p w14:paraId="494CA1E6" w14:textId="77777777" w:rsidR="00122C1B" w:rsidRDefault="00122C1B" w:rsidP="00D059F3">
            <w:pPr>
              <w:pStyle w:val="TableParagraph"/>
            </w:pPr>
            <w:r>
              <w:t>Delete the provision requiring licence reversion from Full to P2 and from P2 to P1 where the licence holder commits an offence before progressing to the licence level with the lesser restrictions.</w:t>
            </w:r>
          </w:p>
        </w:tc>
        <w:tc>
          <w:tcPr>
            <w:tcW w:w="3402" w:type="dxa"/>
            <w:shd w:val="clear" w:color="auto" w:fill="auto"/>
          </w:tcPr>
          <w:p w14:paraId="1BEBDB95" w14:textId="77777777" w:rsidR="00122C1B" w:rsidRDefault="00122C1B" w:rsidP="007948ED">
            <w:pPr>
              <w:pStyle w:val="TableParagraph"/>
            </w:pPr>
            <w:r>
              <w:t>Removes a misalignment with the national GLS Exemplar model that does not include this requirement.</w:t>
            </w:r>
          </w:p>
        </w:tc>
      </w:tr>
      <w:tr w:rsidR="00122C1B" w:rsidRPr="00261AF5" w14:paraId="1630340C" w14:textId="77777777" w:rsidTr="00893668">
        <w:trPr>
          <w:trHeight w:val="300"/>
        </w:trPr>
        <w:tc>
          <w:tcPr>
            <w:tcW w:w="2727" w:type="dxa"/>
            <w:shd w:val="clear" w:color="auto" w:fill="auto"/>
            <w:noWrap/>
          </w:tcPr>
          <w:p w14:paraId="201DF7EF" w14:textId="77777777" w:rsidR="00122C1B" w:rsidRDefault="00122C1B" w:rsidP="00094D73">
            <w:pPr>
              <w:pStyle w:val="TableParagraph"/>
            </w:pPr>
            <w:r>
              <w:t xml:space="preserve">Probationary </w:t>
            </w:r>
            <w:r w:rsidR="00AA4E25">
              <w:t xml:space="preserve">prohibited vehicle </w:t>
            </w:r>
            <w:r>
              <w:t>(PPV) definition</w:t>
            </w:r>
          </w:p>
        </w:tc>
        <w:tc>
          <w:tcPr>
            <w:tcW w:w="3369" w:type="dxa"/>
            <w:shd w:val="clear" w:color="auto" w:fill="auto"/>
            <w:noWrap/>
          </w:tcPr>
          <w:p w14:paraId="38BD4F43" w14:textId="77777777" w:rsidR="00122C1B" w:rsidRDefault="00122C1B" w:rsidP="00715BB2">
            <w:pPr>
              <w:pStyle w:val="TableParagraph"/>
            </w:pPr>
            <w:r>
              <w:t xml:space="preserve">Simplify the definition of </w:t>
            </w:r>
            <w:r w:rsidR="00AA4E25">
              <w:t xml:space="preserve">probationary prohibited vehicle </w:t>
            </w:r>
            <w:r>
              <w:t>to have one definition applicable to all vehicles regardless of their date of manufacture.</w:t>
            </w:r>
          </w:p>
        </w:tc>
        <w:tc>
          <w:tcPr>
            <w:tcW w:w="3402" w:type="dxa"/>
            <w:shd w:val="clear" w:color="auto" w:fill="auto"/>
          </w:tcPr>
          <w:p w14:paraId="51968319" w14:textId="16CE9697" w:rsidR="00122C1B" w:rsidRDefault="00122C1B" w:rsidP="00D059F3">
            <w:pPr>
              <w:pStyle w:val="TableParagraph"/>
            </w:pPr>
            <w:r>
              <w:t xml:space="preserve">Simplify the PPV definition for the reasons, which are stated in </w:t>
            </w:r>
            <w:r w:rsidR="005238CA">
              <w:t xml:space="preserve">section </w:t>
            </w:r>
            <w:r w:rsidR="005238CA">
              <w:fldChar w:fldCharType="begin"/>
            </w:r>
            <w:r w:rsidR="005238CA">
              <w:instrText xml:space="preserve"> REF _Ref532995462 \r \h </w:instrText>
            </w:r>
            <w:r w:rsidR="005238CA">
              <w:fldChar w:fldCharType="separate"/>
            </w:r>
            <w:r w:rsidR="00EB4B02">
              <w:t>4.4.2</w:t>
            </w:r>
            <w:r w:rsidR="005238CA">
              <w:fldChar w:fldCharType="end"/>
            </w:r>
            <w:r>
              <w:t xml:space="preserve"> of this RIS. </w:t>
            </w:r>
          </w:p>
        </w:tc>
      </w:tr>
      <w:tr w:rsidR="00122C1B" w:rsidRPr="00261AF5" w14:paraId="2101A7AB"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52495B4B" w14:textId="77777777" w:rsidR="00122C1B" w:rsidRPr="002241B1" w:rsidRDefault="00122C1B" w:rsidP="00094D73">
            <w:pPr>
              <w:pStyle w:val="TableParagraph"/>
            </w:pPr>
            <w:r>
              <w:t xml:space="preserve">Passenger restriction for </w:t>
            </w:r>
            <w:r w:rsidR="005238CA">
              <w:t xml:space="preserve">probationary </w:t>
            </w:r>
            <w:r>
              <w:t>drivers</w:t>
            </w:r>
          </w:p>
        </w:tc>
        <w:tc>
          <w:tcPr>
            <w:tcW w:w="3369" w:type="dxa"/>
            <w:shd w:val="clear" w:color="auto" w:fill="auto"/>
            <w:noWrap/>
          </w:tcPr>
          <w:p w14:paraId="63402928" w14:textId="77777777" w:rsidR="00122C1B" w:rsidRPr="00261AF5" w:rsidRDefault="00122C1B" w:rsidP="00D059F3">
            <w:pPr>
              <w:pStyle w:val="TableParagraph"/>
            </w:pPr>
            <w:r>
              <w:t>Delete passenger restriction for probationary drivers whose licence is cancelled or suspended. (Note: This restriction is different from the peer passenger restriction).</w:t>
            </w:r>
          </w:p>
        </w:tc>
        <w:tc>
          <w:tcPr>
            <w:tcW w:w="3402" w:type="dxa"/>
            <w:shd w:val="clear" w:color="auto" w:fill="auto"/>
          </w:tcPr>
          <w:p w14:paraId="2F77C65D" w14:textId="77777777" w:rsidR="00122C1B" w:rsidRPr="00261AF5" w:rsidRDefault="00122C1B" w:rsidP="00D059F3">
            <w:pPr>
              <w:pStyle w:val="TableParagraph"/>
            </w:pPr>
            <w:r>
              <w:t>Removes a misalignment with the national GLS model.</w:t>
            </w:r>
          </w:p>
        </w:tc>
      </w:tr>
      <w:tr w:rsidR="00122C1B" w:rsidRPr="00261AF5" w14:paraId="03C966BB" w14:textId="77777777" w:rsidTr="00893668">
        <w:trPr>
          <w:trHeight w:val="300"/>
        </w:trPr>
        <w:tc>
          <w:tcPr>
            <w:tcW w:w="2727" w:type="dxa"/>
            <w:shd w:val="clear" w:color="auto" w:fill="auto"/>
            <w:noWrap/>
          </w:tcPr>
          <w:p w14:paraId="578A0258" w14:textId="77777777" w:rsidR="00122C1B" w:rsidRPr="00876232" w:rsidRDefault="00122C1B" w:rsidP="00876232">
            <w:pPr>
              <w:pStyle w:val="TableParagraph"/>
            </w:pPr>
            <w:r w:rsidRPr="00876232">
              <w:t>Restrictions based on motorcycle licence issue date</w:t>
            </w:r>
          </w:p>
        </w:tc>
        <w:tc>
          <w:tcPr>
            <w:tcW w:w="3369" w:type="dxa"/>
            <w:shd w:val="clear" w:color="auto" w:fill="auto"/>
            <w:noWrap/>
          </w:tcPr>
          <w:p w14:paraId="6488BEC9" w14:textId="77777777" w:rsidR="00122C1B" w:rsidRPr="00261AF5" w:rsidRDefault="00122C1B" w:rsidP="00876232">
            <w:pPr>
              <w:pStyle w:val="TableParagraph"/>
            </w:pPr>
            <w:r>
              <w:t>Delete the reference to motorcycle licences issued before, on or after 1 October 2014.</w:t>
            </w:r>
          </w:p>
        </w:tc>
        <w:tc>
          <w:tcPr>
            <w:tcW w:w="3402" w:type="dxa"/>
            <w:shd w:val="clear" w:color="auto" w:fill="auto"/>
          </w:tcPr>
          <w:p w14:paraId="6D0C1689" w14:textId="77777777" w:rsidR="00122C1B" w:rsidRPr="00261AF5" w:rsidRDefault="00122C1B" w:rsidP="00876232">
            <w:pPr>
              <w:pStyle w:val="TableParagraph"/>
            </w:pPr>
            <w:r>
              <w:t>The distinction based on date of issue is no longer applicable.</w:t>
            </w:r>
          </w:p>
        </w:tc>
      </w:tr>
      <w:tr w:rsidR="00122C1B" w:rsidRPr="00261AF5" w14:paraId="1AFBAD85"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6076C935" w14:textId="77777777" w:rsidR="00122C1B" w:rsidRPr="00505BA1" w:rsidRDefault="00122C1B" w:rsidP="00876232">
            <w:pPr>
              <w:pStyle w:val="TableParagraph"/>
            </w:pPr>
            <w:r>
              <w:t>Learner Approved Motorcycle Scheme (LAMS) exemption</w:t>
            </w:r>
          </w:p>
        </w:tc>
        <w:tc>
          <w:tcPr>
            <w:tcW w:w="3369" w:type="dxa"/>
            <w:shd w:val="clear" w:color="auto" w:fill="auto"/>
            <w:noWrap/>
          </w:tcPr>
          <w:p w14:paraId="4811D5B6" w14:textId="77777777" w:rsidR="00122C1B" w:rsidRDefault="00122C1B" w:rsidP="00876232">
            <w:pPr>
              <w:pStyle w:val="TableParagraph"/>
            </w:pPr>
            <w:r>
              <w:t>Introduction of automatic exemption from Learner Approved Motorcycle Scheme (LAMS) requirements for approved medical fitne</w:t>
            </w:r>
            <w:r w:rsidR="005238CA">
              <w:t xml:space="preserve">ss-to-drive review applicants. </w:t>
            </w:r>
          </w:p>
        </w:tc>
        <w:tc>
          <w:tcPr>
            <w:tcW w:w="3402" w:type="dxa"/>
            <w:shd w:val="clear" w:color="auto" w:fill="auto"/>
          </w:tcPr>
          <w:p w14:paraId="6F4090B0" w14:textId="77777777" w:rsidR="00122C1B" w:rsidRDefault="00122C1B" w:rsidP="000B5E60">
            <w:pPr>
              <w:pStyle w:val="TableParagraph"/>
            </w:pPr>
            <w:r>
              <w:t>R</w:t>
            </w:r>
            <w:r w:rsidRPr="000B5E60">
              <w:t>educe</w:t>
            </w:r>
            <w:r>
              <w:t>s</w:t>
            </w:r>
            <w:r w:rsidRPr="000B5E60">
              <w:t xml:space="preserve"> the red tape burden for customers</w:t>
            </w:r>
            <w:r>
              <w:t>,</w:t>
            </w:r>
            <w:r w:rsidRPr="000B5E60">
              <w:t xml:space="preserve"> who can only ride motor trikes due to medical reasons</w:t>
            </w:r>
            <w:r>
              <w:t xml:space="preserve">, as approved in </w:t>
            </w:r>
            <w:r w:rsidRPr="000B5E60">
              <w:t xml:space="preserve">the </w:t>
            </w:r>
            <w:r>
              <w:t xml:space="preserve">medical fitness-to-drive review </w:t>
            </w:r>
            <w:r w:rsidRPr="000B5E60">
              <w:t>process</w:t>
            </w:r>
            <w:r>
              <w:t>.</w:t>
            </w:r>
          </w:p>
        </w:tc>
      </w:tr>
      <w:tr w:rsidR="00122C1B" w:rsidRPr="00261AF5" w14:paraId="7A30262C" w14:textId="77777777" w:rsidTr="00893668">
        <w:trPr>
          <w:trHeight w:val="300"/>
        </w:trPr>
        <w:tc>
          <w:tcPr>
            <w:tcW w:w="2727" w:type="dxa"/>
            <w:shd w:val="clear" w:color="auto" w:fill="auto"/>
            <w:noWrap/>
          </w:tcPr>
          <w:p w14:paraId="443C8B47" w14:textId="77777777" w:rsidR="00122C1B" w:rsidRPr="00505BA1" w:rsidRDefault="00122C1B" w:rsidP="00876232">
            <w:pPr>
              <w:pStyle w:val="TableParagraph"/>
            </w:pPr>
            <w:r>
              <w:t>Motorcycle learner permit holders to wear high visibility vests or jackets</w:t>
            </w:r>
          </w:p>
        </w:tc>
        <w:tc>
          <w:tcPr>
            <w:tcW w:w="3369" w:type="dxa"/>
            <w:shd w:val="clear" w:color="auto" w:fill="auto"/>
            <w:noWrap/>
          </w:tcPr>
          <w:p w14:paraId="61B7F2F7" w14:textId="77777777" w:rsidR="00122C1B" w:rsidRDefault="00122C1B" w:rsidP="00876232">
            <w:pPr>
              <w:pStyle w:val="TableParagraph"/>
            </w:pPr>
            <w:r>
              <w:t>Update the standards for high visibility vests that motorcycle learner riders must wear.</w:t>
            </w:r>
          </w:p>
        </w:tc>
        <w:tc>
          <w:tcPr>
            <w:tcW w:w="3402" w:type="dxa"/>
            <w:shd w:val="clear" w:color="auto" w:fill="auto"/>
          </w:tcPr>
          <w:p w14:paraId="68F0D534" w14:textId="77777777" w:rsidR="00122C1B" w:rsidRDefault="00122C1B" w:rsidP="00176B95">
            <w:pPr>
              <w:pStyle w:val="TableParagraph"/>
            </w:pPr>
            <w:r>
              <w:t>Updates the list of standards for high visibility vests and jackets and</w:t>
            </w:r>
            <w:r w:rsidRPr="00176B95">
              <w:t xml:space="preserve"> </w:t>
            </w:r>
            <w:r>
              <w:t xml:space="preserve">replacing one of the American Standards with a </w:t>
            </w:r>
            <w:r w:rsidRPr="00176B95">
              <w:t>European Standard</w:t>
            </w:r>
            <w:r>
              <w:t xml:space="preserve">. The vest or jacket must comply with only one of the standards in the list. This change has no impact to policy and does not impose a significant burden on a sector of the public, as these vests are inexpensive to buy (about $7). The total cost of this requirement amounts to about $75,000, given that there were 10,853 motorcycle learner riders registered as at the end of 2017. </w:t>
            </w:r>
          </w:p>
        </w:tc>
      </w:tr>
      <w:tr w:rsidR="00122C1B" w:rsidRPr="00261AF5" w14:paraId="7509EA07"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vMerge w:val="restart"/>
            <w:shd w:val="clear" w:color="auto" w:fill="auto"/>
            <w:noWrap/>
          </w:tcPr>
          <w:p w14:paraId="2435509C" w14:textId="77777777" w:rsidR="00122C1B" w:rsidRDefault="00122C1B" w:rsidP="00876232">
            <w:pPr>
              <w:pStyle w:val="TableParagraph"/>
            </w:pPr>
            <w:r w:rsidRPr="00505BA1">
              <w:t>Driver licence and learner permit document</w:t>
            </w:r>
            <w:r>
              <w:t>s</w:t>
            </w:r>
          </w:p>
        </w:tc>
        <w:tc>
          <w:tcPr>
            <w:tcW w:w="3369" w:type="dxa"/>
            <w:shd w:val="clear" w:color="auto" w:fill="auto"/>
            <w:noWrap/>
          </w:tcPr>
          <w:p w14:paraId="2C62366E" w14:textId="77777777" w:rsidR="00122C1B" w:rsidRDefault="00122C1B" w:rsidP="003C13C4">
            <w:pPr>
              <w:pStyle w:val="TableParagraph"/>
            </w:pPr>
            <w:r>
              <w:t xml:space="preserve">Insert VicRoads’ obligation to issue a driver licence document or learner permit document </w:t>
            </w:r>
            <w:r w:rsidRPr="009253EE">
              <w:t xml:space="preserve">in the case of </w:t>
            </w:r>
            <w:r>
              <w:t>a</w:t>
            </w:r>
            <w:r w:rsidRPr="009253EE">
              <w:t xml:space="preserve"> variation, grant or renewal of a driver </w:t>
            </w:r>
            <w:r w:rsidRPr="009253EE">
              <w:lastRenderedPageBreak/>
              <w:t xml:space="preserve">licence or learner permit where VicRoads has </w:t>
            </w:r>
            <w:r>
              <w:t>decided</w:t>
            </w:r>
            <w:r w:rsidRPr="009253EE">
              <w:t xml:space="preserve"> to waive the relevant fee</w:t>
            </w:r>
            <w:r>
              <w:t>,</w:t>
            </w:r>
            <w:r w:rsidRPr="009253EE">
              <w:t xml:space="preserve"> as soon as practicable after making </w:t>
            </w:r>
            <w:r>
              <w:t>t</w:t>
            </w:r>
            <w:r w:rsidRPr="009253EE">
              <w:t>hat de</w:t>
            </w:r>
            <w:r>
              <w:t>cision.</w:t>
            </w:r>
          </w:p>
        </w:tc>
        <w:tc>
          <w:tcPr>
            <w:tcW w:w="3402" w:type="dxa"/>
            <w:shd w:val="clear" w:color="auto" w:fill="auto"/>
          </w:tcPr>
          <w:p w14:paraId="4ECEF7EC" w14:textId="77777777" w:rsidR="00122C1B" w:rsidRDefault="00122C1B" w:rsidP="003C13C4">
            <w:pPr>
              <w:pStyle w:val="TableParagraph"/>
            </w:pPr>
            <w:r>
              <w:lastRenderedPageBreak/>
              <w:t xml:space="preserve">Clarify VicRoads’ obligation to issue a driver licence document or learner permit document </w:t>
            </w:r>
            <w:r w:rsidRPr="009253EE">
              <w:t xml:space="preserve">in the case of </w:t>
            </w:r>
            <w:r>
              <w:t>a</w:t>
            </w:r>
            <w:r w:rsidRPr="009253EE">
              <w:t xml:space="preserve"> variation, grant or renewal of a driver </w:t>
            </w:r>
            <w:r w:rsidRPr="009253EE">
              <w:lastRenderedPageBreak/>
              <w:t xml:space="preserve">licence or learner permit where VicRoads </w:t>
            </w:r>
            <w:r>
              <w:t xml:space="preserve">decides to </w:t>
            </w:r>
            <w:r w:rsidRPr="009253EE">
              <w:t>waive the relevant fee</w:t>
            </w:r>
            <w:r>
              <w:t>,</w:t>
            </w:r>
            <w:r w:rsidRPr="009253EE">
              <w:t xml:space="preserve"> as soon as practicable after the making of that </w:t>
            </w:r>
            <w:r>
              <w:t>decision.</w:t>
            </w:r>
          </w:p>
        </w:tc>
      </w:tr>
      <w:tr w:rsidR="00122C1B" w:rsidRPr="00261AF5" w14:paraId="1E4C95A5" w14:textId="77777777" w:rsidTr="00893668">
        <w:trPr>
          <w:trHeight w:val="300"/>
        </w:trPr>
        <w:tc>
          <w:tcPr>
            <w:tcW w:w="2727" w:type="dxa"/>
            <w:vMerge/>
            <w:shd w:val="clear" w:color="auto" w:fill="auto"/>
            <w:noWrap/>
          </w:tcPr>
          <w:p w14:paraId="186411D2" w14:textId="77777777" w:rsidR="00122C1B" w:rsidRDefault="00122C1B" w:rsidP="00024B8D">
            <w:pPr>
              <w:pStyle w:val="TableParagraph"/>
            </w:pPr>
          </w:p>
        </w:tc>
        <w:tc>
          <w:tcPr>
            <w:tcW w:w="3369" w:type="dxa"/>
            <w:shd w:val="clear" w:color="auto" w:fill="auto"/>
            <w:noWrap/>
          </w:tcPr>
          <w:p w14:paraId="520C61C1" w14:textId="77777777" w:rsidR="00122C1B" w:rsidRDefault="00122C1B" w:rsidP="00024B8D">
            <w:pPr>
              <w:pStyle w:val="TableParagraph"/>
            </w:pPr>
            <w:r>
              <w:t xml:space="preserve">Increase the maximum period of validity of a driver licence/learner permit receipt from 2 months to 3 months pending the issue of the </w:t>
            </w:r>
            <w:r w:rsidRPr="004807DB">
              <w:t>driver licence document or learner permit document</w:t>
            </w:r>
            <w:r>
              <w:t>.</w:t>
            </w:r>
          </w:p>
        </w:tc>
        <w:tc>
          <w:tcPr>
            <w:tcW w:w="3402" w:type="dxa"/>
            <w:shd w:val="clear" w:color="auto" w:fill="auto"/>
          </w:tcPr>
          <w:p w14:paraId="400F195B" w14:textId="77777777" w:rsidR="00122C1B" w:rsidDel="004B3821" w:rsidRDefault="00122C1B" w:rsidP="00024B8D">
            <w:pPr>
              <w:pStyle w:val="TableParagraph"/>
            </w:pPr>
            <w:r>
              <w:t xml:space="preserve">Ensure consistency of validity period for all licence types and also allows for delays in payment processing before the </w:t>
            </w:r>
            <w:r w:rsidRPr="004807DB">
              <w:t>driver licence document or learner permit document</w:t>
            </w:r>
            <w:r>
              <w:t xml:space="preserve"> is issued to the driver.</w:t>
            </w:r>
          </w:p>
        </w:tc>
      </w:tr>
      <w:tr w:rsidR="00122C1B" w:rsidRPr="00261AF5" w14:paraId="36B7E5CB"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7B15AFC2" w14:textId="77777777" w:rsidR="00122C1B" w:rsidRPr="002241B1" w:rsidRDefault="00122C1B" w:rsidP="00024B8D">
            <w:pPr>
              <w:pStyle w:val="TableParagraph"/>
            </w:pPr>
            <w:bookmarkStart w:id="890" w:name="_Hlk531153066"/>
            <w:r>
              <w:t xml:space="preserve">Return of incomplete applications for the </w:t>
            </w:r>
            <w:r w:rsidRPr="008F24B8">
              <w:rPr>
                <w:color w:val="000000" w:themeColor="text1"/>
              </w:rPr>
              <w:t>grant</w:t>
            </w:r>
            <w:r>
              <w:rPr>
                <w:color w:val="000000" w:themeColor="text1"/>
              </w:rPr>
              <w:t>,</w:t>
            </w:r>
            <w:r w:rsidRPr="008F24B8">
              <w:rPr>
                <w:color w:val="000000" w:themeColor="text1"/>
              </w:rPr>
              <w:t xml:space="preserve"> variation or renewal of a driver licence or </w:t>
            </w:r>
            <w:r>
              <w:rPr>
                <w:color w:val="000000" w:themeColor="text1"/>
              </w:rPr>
              <w:t>learner permit</w:t>
            </w:r>
            <w:r>
              <w:t xml:space="preserve"> to the applicant</w:t>
            </w:r>
          </w:p>
        </w:tc>
        <w:tc>
          <w:tcPr>
            <w:tcW w:w="3369" w:type="dxa"/>
            <w:shd w:val="clear" w:color="auto" w:fill="auto"/>
            <w:noWrap/>
          </w:tcPr>
          <w:p w14:paraId="0A0496FF" w14:textId="77777777" w:rsidR="00122C1B" w:rsidRDefault="00122C1B" w:rsidP="00024B8D">
            <w:pPr>
              <w:pStyle w:val="TableParagraph"/>
            </w:pPr>
            <w:r>
              <w:t xml:space="preserve">Insert provision enabling VicRoads to </w:t>
            </w:r>
            <w:r w:rsidRPr="008F24B8">
              <w:rPr>
                <w:color w:val="000000" w:themeColor="text1"/>
              </w:rPr>
              <w:t xml:space="preserve">return </w:t>
            </w:r>
            <w:r>
              <w:rPr>
                <w:color w:val="000000" w:themeColor="text1"/>
              </w:rPr>
              <w:t>to the applicant</w:t>
            </w:r>
            <w:r w:rsidRPr="008F24B8">
              <w:rPr>
                <w:color w:val="000000" w:themeColor="text1"/>
              </w:rPr>
              <w:t xml:space="preserve"> without processing an incomplete application for the grant</w:t>
            </w:r>
            <w:r>
              <w:rPr>
                <w:color w:val="000000" w:themeColor="text1"/>
              </w:rPr>
              <w:t>,</w:t>
            </w:r>
            <w:r w:rsidRPr="008F24B8">
              <w:rPr>
                <w:color w:val="000000" w:themeColor="text1"/>
              </w:rPr>
              <w:t xml:space="preserve"> variation or renewal of a driver licence or </w:t>
            </w:r>
            <w:r>
              <w:rPr>
                <w:color w:val="000000" w:themeColor="text1"/>
              </w:rPr>
              <w:t>learner permit</w:t>
            </w:r>
            <w:r>
              <w:t xml:space="preserve">. However, </w:t>
            </w:r>
            <w:r w:rsidRPr="00F9758F">
              <w:t>VicRoads returning an incomplete application does not constitute a refusal</w:t>
            </w:r>
            <w:r>
              <w:t xml:space="preserve"> of the application.</w:t>
            </w:r>
          </w:p>
        </w:tc>
        <w:tc>
          <w:tcPr>
            <w:tcW w:w="3402" w:type="dxa"/>
            <w:shd w:val="clear" w:color="auto" w:fill="auto"/>
          </w:tcPr>
          <w:p w14:paraId="6D216F4E" w14:textId="77777777" w:rsidR="00122C1B" w:rsidRDefault="00122C1B" w:rsidP="00024B8D">
            <w:pPr>
              <w:pStyle w:val="TableParagraph"/>
            </w:pPr>
            <w:r>
              <w:rPr>
                <w:color w:val="000000" w:themeColor="text1"/>
              </w:rPr>
              <w:t>This change assists in the efficient processing of applications and places the burden on the applicant to submit a completed application that meets the requirements.</w:t>
            </w:r>
          </w:p>
        </w:tc>
      </w:tr>
      <w:bookmarkEnd w:id="890"/>
      <w:tr w:rsidR="00122C1B" w:rsidRPr="00261AF5" w14:paraId="3B665B5A" w14:textId="77777777" w:rsidTr="00893668">
        <w:trPr>
          <w:trHeight w:val="300"/>
        </w:trPr>
        <w:tc>
          <w:tcPr>
            <w:tcW w:w="2727" w:type="dxa"/>
            <w:shd w:val="clear" w:color="auto" w:fill="auto"/>
            <w:noWrap/>
          </w:tcPr>
          <w:p w14:paraId="47F76A4C" w14:textId="77777777" w:rsidR="00122C1B" w:rsidRPr="002241B1" w:rsidRDefault="00122C1B" w:rsidP="00024B8D">
            <w:pPr>
              <w:pStyle w:val="TableParagraph"/>
            </w:pPr>
            <w:r>
              <w:t>Advice of change of medical conditions and treatment</w:t>
            </w:r>
          </w:p>
        </w:tc>
        <w:tc>
          <w:tcPr>
            <w:tcW w:w="3369" w:type="dxa"/>
            <w:shd w:val="clear" w:color="auto" w:fill="auto"/>
            <w:noWrap/>
          </w:tcPr>
          <w:p w14:paraId="79B5BF5F" w14:textId="77777777" w:rsidR="00122C1B" w:rsidRDefault="00122C1B" w:rsidP="00024B8D">
            <w:pPr>
              <w:pStyle w:val="TableParagraph"/>
            </w:pPr>
            <w:r>
              <w:t>Clarify the provision relating to the obligation of drivers to advise VicRoads of any c</w:t>
            </w:r>
            <w:r w:rsidRPr="00796307">
              <w:t xml:space="preserve">hange of </w:t>
            </w:r>
            <w:r>
              <w:t xml:space="preserve">medical </w:t>
            </w:r>
            <w:r w:rsidRPr="00796307">
              <w:t>condition</w:t>
            </w:r>
            <w:r>
              <w:t xml:space="preserve">s to include </w:t>
            </w:r>
            <w:r w:rsidRPr="005A4F1D">
              <w:t xml:space="preserve">any </w:t>
            </w:r>
            <w:r w:rsidRPr="008F489B">
              <w:rPr>
                <w:i/>
              </w:rPr>
              <w:t>disability or medical condition</w:t>
            </w:r>
            <w:r>
              <w:t xml:space="preserve"> and </w:t>
            </w:r>
            <w:r w:rsidRPr="00CF0512">
              <w:t xml:space="preserve">the effects of the </w:t>
            </w:r>
            <w:r w:rsidRPr="008F489B">
              <w:rPr>
                <w:i/>
              </w:rPr>
              <w:t>treatment</w:t>
            </w:r>
            <w:r w:rsidRPr="00CF0512">
              <w:t xml:space="preserve"> for </w:t>
            </w:r>
            <w:r>
              <w:t>such medical conditions.</w:t>
            </w:r>
          </w:p>
        </w:tc>
        <w:tc>
          <w:tcPr>
            <w:tcW w:w="3402" w:type="dxa"/>
            <w:shd w:val="clear" w:color="auto" w:fill="auto"/>
          </w:tcPr>
          <w:p w14:paraId="4C7B9094" w14:textId="77777777" w:rsidR="00122C1B" w:rsidRDefault="00122C1B" w:rsidP="00024B8D">
            <w:pPr>
              <w:pStyle w:val="TableParagraph"/>
            </w:pPr>
            <w:r>
              <w:t>Clarify that licence or learner permit holders are obliged to advise VicRoads of any c</w:t>
            </w:r>
            <w:r w:rsidRPr="00796307">
              <w:t xml:space="preserve">hange of </w:t>
            </w:r>
            <w:r>
              <w:t xml:space="preserve">medical </w:t>
            </w:r>
            <w:r w:rsidRPr="00796307">
              <w:t>condition</w:t>
            </w:r>
            <w:r>
              <w:t xml:space="preserve">s including </w:t>
            </w:r>
            <w:r w:rsidRPr="005A4F1D">
              <w:t xml:space="preserve">any </w:t>
            </w:r>
            <w:r w:rsidRPr="008F489B">
              <w:rPr>
                <w:i/>
              </w:rPr>
              <w:t>disability or medical condition</w:t>
            </w:r>
            <w:r>
              <w:t xml:space="preserve"> (not just injury or illness) and </w:t>
            </w:r>
            <w:r w:rsidRPr="00CF0512">
              <w:t xml:space="preserve">the effects of the </w:t>
            </w:r>
            <w:r w:rsidRPr="008F489B">
              <w:rPr>
                <w:i/>
              </w:rPr>
              <w:t>treatment</w:t>
            </w:r>
            <w:r w:rsidRPr="00CF0512">
              <w:t xml:space="preserve"> for </w:t>
            </w:r>
            <w:r>
              <w:t xml:space="preserve">such medical conditions </w:t>
            </w:r>
            <w:r w:rsidRPr="00CF0512">
              <w:t>that may impair the person’s ability to drive safely</w:t>
            </w:r>
            <w:r>
              <w:t>.</w:t>
            </w:r>
          </w:p>
        </w:tc>
      </w:tr>
      <w:tr w:rsidR="00122C1B" w:rsidRPr="00261AF5" w14:paraId="606B41D7"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60CB6083" w14:textId="77777777" w:rsidR="00122C1B" w:rsidRPr="002241B1" w:rsidRDefault="00122C1B" w:rsidP="00024B8D">
            <w:pPr>
              <w:pStyle w:val="TableParagraph"/>
            </w:pPr>
            <w:r>
              <w:t>Tests and assessments</w:t>
            </w:r>
          </w:p>
        </w:tc>
        <w:tc>
          <w:tcPr>
            <w:tcW w:w="3369" w:type="dxa"/>
            <w:shd w:val="clear" w:color="auto" w:fill="auto"/>
            <w:noWrap/>
          </w:tcPr>
          <w:p w14:paraId="7542731A" w14:textId="77777777" w:rsidR="00122C1B" w:rsidRPr="00261AF5" w:rsidRDefault="005A71E0" w:rsidP="005A71E0">
            <w:pPr>
              <w:pStyle w:val="TableParagraph"/>
            </w:pPr>
            <w:r>
              <w:t>Add registered ophthalmologists to the prescribed class of persons who are authorised to perform eye</w:t>
            </w:r>
            <w:r w:rsidR="00D677AB">
              <w:t>sight</w:t>
            </w:r>
            <w:r>
              <w:t xml:space="preserve"> tests; and clarify qualifications of registered occupational therapists by requiring them to have successfully completed postgraduate training in driver assessment and rehabilitation</w:t>
            </w:r>
            <w:r w:rsidR="00D677AB">
              <w:t>.</w:t>
            </w:r>
            <w:r w:rsidR="00F5256C">
              <w:t xml:space="preserve"> </w:t>
            </w:r>
          </w:p>
        </w:tc>
        <w:tc>
          <w:tcPr>
            <w:tcW w:w="3402" w:type="dxa"/>
            <w:shd w:val="clear" w:color="auto" w:fill="auto"/>
          </w:tcPr>
          <w:p w14:paraId="1146B3C5" w14:textId="77777777" w:rsidR="00122C1B" w:rsidRPr="00261AF5" w:rsidRDefault="00122C1B" w:rsidP="00024B8D">
            <w:pPr>
              <w:pStyle w:val="TableParagraph"/>
            </w:pPr>
            <w:r>
              <w:t xml:space="preserve">Update </w:t>
            </w:r>
            <w:r w:rsidR="00C56237">
              <w:t xml:space="preserve">list of authorised class of persons by adding registered ophthalmologists </w:t>
            </w:r>
            <w:r>
              <w:t>and clarify</w:t>
            </w:r>
            <w:r w:rsidR="00D677AB">
              <w:t>ing</w:t>
            </w:r>
            <w:r>
              <w:t xml:space="preserve"> </w:t>
            </w:r>
            <w:r w:rsidR="00C56237">
              <w:t>that registered occupational therapist</w:t>
            </w:r>
            <w:r w:rsidR="00D677AB">
              <w:t>s</w:t>
            </w:r>
            <w:r w:rsidR="00C56237">
              <w:t xml:space="preserve"> must have completed relevant postgraduate qualifications.</w:t>
            </w:r>
            <w:r>
              <w:t xml:space="preserve"> </w:t>
            </w:r>
          </w:p>
        </w:tc>
      </w:tr>
      <w:tr w:rsidR="00122C1B" w:rsidRPr="00261AF5" w14:paraId="0E20E1E4" w14:textId="77777777" w:rsidTr="00C25CFD">
        <w:trPr>
          <w:trHeight w:val="300"/>
        </w:trPr>
        <w:tc>
          <w:tcPr>
            <w:tcW w:w="9498" w:type="dxa"/>
            <w:gridSpan w:val="3"/>
            <w:shd w:val="clear" w:color="auto" w:fill="DDE8F4" w:themeFill="text2" w:themeFillTint="1A"/>
            <w:noWrap/>
          </w:tcPr>
          <w:p w14:paraId="0DC9B491" w14:textId="77777777" w:rsidR="00122C1B" w:rsidRPr="00261AF5" w:rsidRDefault="00122C1B" w:rsidP="00024B8D">
            <w:pPr>
              <w:pStyle w:val="TextPara"/>
              <w:keepNext/>
              <w:spacing w:before="20" w:after="20"/>
              <w:rPr>
                <w:b/>
                <w:color w:val="595959" w:themeColor="text1" w:themeTint="A6"/>
              </w:rPr>
            </w:pPr>
            <w:r w:rsidRPr="00261AF5">
              <w:rPr>
                <w:b/>
                <w:color w:val="595959" w:themeColor="text1" w:themeTint="A6"/>
              </w:rPr>
              <w:t xml:space="preserve">Part 3 </w:t>
            </w:r>
            <w:r w:rsidRPr="00261AF5">
              <w:rPr>
                <w:b/>
                <w:color w:val="595959" w:themeColor="text1" w:themeTint="A6"/>
              </w:rPr>
              <w:tab/>
              <w:t>Variation, suspension or cancellation of driver licence or learner permit</w:t>
            </w:r>
          </w:p>
        </w:tc>
      </w:tr>
      <w:tr w:rsidR="00122C1B" w:rsidRPr="00261AF5" w14:paraId="7112BE5C"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1E8698AF" w14:textId="77777777" w:rsidR="00122C1B" w:rsidRPr="002241B1" w:rsidRDefault="00122C1B" w:rsidP="00024B8D">
            <w:pPr>
              <w:pStyle w:val="TableParagraph"/>
            </w:pPr>
            <w:r w:rsidRPr="00FD10E3">
              <w:t>Notify</w:t>
            </w:r>
            <w:r>
              <w:t>ing</w:t>
            </w:r>
            <w:r w:rsidRPr="00FD10E3">
              <w:t xml:space="preserve"> </w:t>
            </w:r>
            <w:r w:rsidRPr="00374E36">
              <w:t>th</w:t>
            </w:r>
            <w:r>
              <w:t>e</w:t>
            </w:r>
            <w:r w:rsidRPr="00374E36">
              <w:t xml:space="preserve"> driver licensing authority </w:t>
            </w:r>
            <w:r>
              <w:t>of another jurisdiction that a conviction was set aside in Victoria</w:t>
            </w:r>
          </w:p>
        </w:tc>
        <w:tc>
          <w:tcPr>
            <w:tcW w:w="3369" w:type="dxa"/>
            <w:shd w:val="clear" w:color="auto" w:fill="auto"/>
            <w:noWrap/>
          </w:tcPr>
          <w:p w14:paraId="2C9C3589" w14:textId="77777777" w:rsidR="00122C1B" w:rsidRDefault="00122C1B" w:rsidP="00024B8D">
            <w:pPr>
              <w:pStyle w:val="TableParagraph"/>
            </w:pPr>
            <w:r>
              <w:t>Delete</w:t>
            </w:r>
            <w:r w:rsidRPr="00FD10E3">
              <w:t xml:space="preserve"> </w:t>
            </w:r>
            <w:r>
              <w:t xml:space="preserve">the </w:t>
            </w:r>
            <w:r w:rsidRPr="00FD10E3">
              <w:t xml:space="preserve">provision </w:t>
            </w:r>
            <w:r>
              <w:t>requiring VicRoads</w:t>
            </w:r>
            <w:r w:rsidRPr="00FD10E3">
              <w:t xml:space="preserve"> </w:t>
            </w:r>
            <w:r>
              <w:t>to</w:t>
            </w:r>
            <w:r w:rsidRPr="00FD10E3">
              <w:t xml:space="preserve"> notify </w:t>
            </w:r>
            <w:r w:rsidRPr="00374E36">
              <w:t>th</w:t>
            </w:r>
            <w:r>
              <w:t>e</w:t>
            </w:r>
            <w:r w:rsidRPr="00374E36">
              <w:t xml:space="preserve"> driver licensing authority </w:t>
            </w:r>
            <w:r>
              <w:t xml:space="preserve">of another jurisdiction that issued the driver licence, </w:t>
            </w:r>
            <w:r w:rsidRPr="00374E36">
              <w:t xml:space="preserve">if </w:t>
            </w:r>
            <w:r>
              <w:t>VicRoads</w:t>
            </w:r>
            <w:r w:rsidRPr="00374E36">
              <w:t xml:space="preserve"> is duly notified that the conviction for the offence</w:t>
            </w:r>
            <w:r>
              <w:t xml:space="preserve">, which had been notified to that authority, </w:t>
            </w:r>
            <w:r w:rsidRPr="00374E36">
              <w:t>has been set aside and a conviction for the offence has not been entered</w:t>
            </w:r>
            <w:r>
              <w:t>.</w:t>
            </w:r>
          </w:p>
          <w:p w14:paraId="7FBE98F0" w14:textId="77777777" w:rsidR="00122C1B" w:rsidRPr="00FD10E3" w:rsidRDefault="00122C1B" w:rsidP="00024B8D">
            <w:pPr>
              <w:pStyle w:val="TableParagraph"/>
            </w:pPr>
          </w:p>
        </w:tc>
        <w:tc>
          <w:tcPr>
            <w:tcW w:w="3402" w:type="dxa"/>
            <w:shd w:val="clear" w:color="auto" w:fill="auto"/>
          </w:tcPr>
          <w:p w14:paraId="4DFE3D07" w14:textId="77777777" w:rsidR="00122C1B" w:rsidRDefault="00122C1B" w:rsidP="00024B8D">
            <w:pPr>
              <w:pStyle w:val="TableParagraph"/>
            </w:pPr>
            <w:r>
              <w:t>VicRoads is not notified of cases where a conviction has been set aside and, therefore,</w:t>
            </w:r>
            <w:r w:rsidR="005238CA">
              <w:t xml:space="preserve"> is</w:t>
            </w:r>
            <w:r>
              <w:t xml:space="preserve"> not in a position to</w:t>
            </w:r>
            <w:r w:rsidRPr="00FD10E3">
              <w:t xml:space="preserve"> notify </w:t>
            </w:r>
            <w:r w:rsidRPr="00374E36">
              <w:t>th</w:t>
            </w:r>
            <w:r>
              <w:t>e</w:t>
            </w:r>
            <w:r w:rsidRPr="00374E36">
              <w:t xml:space="preserve"> </w:t>
            </w:r>
            <w:r>
              <w:t xml:space="preserve">other </w:t>
            </w:r>
            <w:r w:rsidRPr="00374E36">
              <w:t xml:space="preserve">driver licensing authority </w:t>
            </w:r>
            <w:r>
              <w:t>that issued the driver licence about the setting aside of a conviction for an offence that had previously been notified to them.</w:t>
            </w:r>
          </w:p>
          <w:p w14:paraId="2D78098A" w14:textId="77777777" w:rsidR="00122C1B" w:rsidRDefault="00122C1B" w:rsidP="00024B8D">
            <w:pPr>
              <w:pStyle w:val="TableParagraph"/>
            </w:pPr>
            <w:r>
              <w:t xml:space="preserve">The courts are not required to advise VicRoads of cases where convictions are set aside. Provision of such advice is not necessary as it is self-managed by the licence holder. Any IT system change to set up notification processes that would require the courts to start notifying VicRoads would be very expensive and the costs could not be justified, </w:t>
            </w:r>
            <w:r>
              <w:lastRenderedPageBreak/>
              <w:t>particularly given the very small number of such cases every year (about 100).</w:t>
            </w:r>
          </w:p>
        </w:tc>
      </w:tr>
      <w:tr w:rsidR="00122C1B" w:rsidRPr="00261AF5" w14:paraId="568B11CA" w14:textId="77777777" w:rsidTr="00893668">
        <w:trPr>
          <w:trHeight w:val="300"/>
        </w:trPr>
        <w:tc>
          <w:tcPr>
            <w:tcW w:w="2727" w:type="dxa"/>
            <w:shd w:val="clear" w:color="auto" w:fill="auto"/>
            <w:noWrap/>
          </w:tcPr>
          <w:p w14:paraId="771DB758" w14:textId="77777777" w:rsidR="00122C1B" w:rsidRPr="00233DC5" w:rsidRDefault="00122C1B" w:rsidP="00024B8D">
            <w:pPr>
              <w:pStyle w:val="TableParagraph"/>
            </w:pPr>
            <w:r w:rsidRPr="00233DC5">
              <w:lastRenderedPageBreak/>
              <w:t>Distinguishing unsuitability to drive from unfitness to drive</w:t>
            </w:r>
            <w:r>
              <w:t xml:space="preserve"> as grounds for variation, suspension or cancellation of a licence or learner permit</w:t>
            </w:r>
          </w:p>
        </w:tc>
        <w:tc>
          <w:tcPr>
            <w:tcW w:w="3369" w:type="dxa"/>
            <w:shd w:val="clear" w:color="auto" w:fill="auto"/>
            <w:noWrap/>
          </w:tcPr>
          <w:p w14:paraId="4A0FA8C6" w14:textId="77777777" w:rsidR="00122C1B" w:rsidRPr="00233DC5" w:rsidRDefault="00122C1B" w:rsidP="00024B8D">
            <w:pPr>
              <w:pStyle w:val="TableParagraph"/>
            </w:pPr>
            <w:r>
              <w:t xml:space="preserve">Split the </w:t>
            </w:r>
            <w:r w:rsidRPr="00233DC5">
              <w:t>current regulation to distinguish unsuitability to drive (after failing test of knowledge or road rules or driving ability) from unfitness to drive (after medical review)</w:t>
            </w:r>
            <w:r>
              <w:t xml:space="preserve"> and clarify the grounds for variation, suspension or cancellation of a licence or learner permit</w:t>
            </w:r>
            <w:r w:rsidRPr="00233DC5">
              <w:t>.</w:t>
            </w:r>
          </w:p>
        </w:tc>
        <w:tc>
          <w:tcPr>
            <w:tcW w:w="3402" w:type="dxa"/>
            <w:shd w:val="clear" w:color="auto" w:fill="auto"/>
          </w:tcPr>
          <w:p w14:paraId="55CA8CDE" w14:textId="77777777" w:rsidR="00122C1B" w:rsidRPr="00233DC5" w:rsidRDefault="00122C1B" w:rsidP="00024B8D">
            <w:pPr>
              <w:pStyle w:val="TableParagraph"/>
            </w:pPr>
            <w:r>
              <w:t>Provides clarity in the regulations and makes them easier to read and apply.</w:t>
            </w:r>
            <w:r w:rsidRPr="00233DC5">
              <w:t xml:space="preserve"> </w:t>
            </w:r>
          </w:p>
        </w:tc>
      </w:tr>
      <w:tr w:rsidR="00122C1B" w:rsidRPr="00261AF5" w14:paraId="0618BD83"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303656DD" w14:textId="77777777" w:rsidR="00122C1B" w:rsidRPr="00901C87" w:rsidRDefault="00122C1B" w:rsidP="00024B8D">
            <w:pPr>
              <w:pStyle w:val="TableParagraph"/>
            </w:pPr>
            <w:r>
              <w:t xml:space="preserve">Licence cancellation based on </w:t>
            </w:r>
            <w:r w:rsidRPr="00A36C76">
              <w:t xml:space="preserve">judgment, order or decision </w:t>
            </w:r>
            <w:r>
              <w:t>made under the law</w:t>
            </w:r>
            <w:r w:rsidRPr="00901C87">
              <w:t xml:space="preserve"> from another country</w:t>
            </w:r>
          </w:p>
        </w:tc>
        <w:tc>
          <w:tcPr>
            <w:tcW w:w="3369" w:type="dxa"/>
            <w:shd w:val="clear" w:color="auto" w:fill="auto"/>
            <w:noWrap/>
          </w:tcPr>
          <w:p w14:paraId="2FAF2604" w14:textId="77777777" w:rsidR="00122C1B" w:rsidRPr="00901C87" w:rsidRDefault="00122C1B" w:rsidP="00024B8D">
            <w:pPr>
              <w:pStyle w:val="TableParagraph"/>
            </w:pPr>
            <w:r>
              <w:t xml:space="preserve">Extend </w:t>
            </w:r>
            <w:r w:rsidRPr="00901C87">
              <w:t xml:space="preserve">existing regulation to enable VicRoads to cancel a licence </w:t>
            </w:r>
            <w:r w:rsidRPr="00FD4903">
              <w:t xml:space="preserve">on </w:t>
            </w:r>
            <w:r>
              <w:t xml:space="preserve">a </w:t>
            </w:r>
            <w:r w:rsidRPr="00FD4903">
              <w:t>notice receiv</w:t>
            </w:r>
            <w:r>
              <w:t>ed</w:t>
            </w:r>
            <w:r w:rsidRPr="00FD4903">
              <w:t xml:space="preserve"> from another country that a person's driver licence or learner permit in that country has been cancelled because of a judgment, order or decision made under, or otherwise by operation of, the law of that jurisdiction or country.</w:t>
            </w:r>
          </w:p>
        </w:tc>
        <w:tc>
          <w:tcPr>
            <w:tcW w:w="3402" w:type="dxa"/>
            <w:shd w:val="clear" w:color="auto" w:fill="auto"/>
          </w:tcPr>
          <w:p w14:paraId="6D523719" w14:textId="77777777" w:rsidR="00122C1B" w:rsidRPr="00901C87" w:rsidRDefault="005238CA" w:rsidP="00024B8D">
            <w:pPr>
              <w:pStyle w:val="TableParagraph"/>
            </w:pPr>
            <w:r>
              <w:t>Ensures VicRoads takes account of driving behaviour in another country, which suggests that the person is not safe to drive in Victoria.</w:t>
            </w:r>
          </w:p>
        </w:tc>
      </w:tr>
      <w:tr w:rsidR="00122C1B" w:rsidRPr="00261AF5" w14:paraId="50173E3B" w14:textId="77777777" w:rsidTr="00C25CFD">
        <w:trPr>
          <w:trHeight w:val="300"/>
        </w:trPr>
        <w:tc>
          <w:tcPr>
            <w:tcW w:w="9498" w:type="dxa"/>
            <w:gridSpan w:val="3"/>
            <w:shd w:val="clear" w:color="auto" w:fill="DDE8F4" w:themeFill="text2" w:themeFillTint="1A"/>
            <w:noWrap/>
          </w:tcPr>
          <w:p w14:paraId="7E2AEEC7" w14:textId="77777777" w:rsidR="00122C1B" w:rsidRPr="00261AF5" w:rsidRDefault="00122C1B" w:rsidP="00024B8D">
            <w:pPr>
              <w:pStyle w:val="TextPara"/>
              <w:keepNext/>
              <w:spacing w:before="20" w:after="20"/>
              <w:rPr>
                <w:b/>
                <w:color w:val="595959" w:themeColor="text1" w:themeTint="A6"/>
              </w:rPr>
            </w:pPr>
            <w:r w:rsidRPr="00261AF5">
              <w:rPr>
                <w:b/>
                <w:color w:val="595959" w:themeColor="text1" w:themeTint="A6"/>
              </w:rPr>
              <w:t>Part 4</w:t>
            </w:r>
            <w:r w:rsidRPr="00261AF5">
              <w:rPr>
                <w:b/>
                <w:color w:val="595959" w:themeColor="text1" w:themeTint="A6"/>
              </w:rPr>
              <w:tab/>
              <w:t>Special powers with respect to disqualification in another jurisdiction</w:t>
            </w:r>
          </w:p>
        </w:tc>
      </w:tr>
      <w:tr w:rsidR="00122C1B" w:rsidRPr="00261AF5" w14:paraId="1366F650" w14:textId="77777777" w:rsidTr="0091457D">
        <w:trPr>
          <w:cnfStyle w:val="000000010000" w:firstRow="0" w:lastRow="0" w:firstColumn="0" w:lastColumn="0" w:oddVBand="0" w:evenVBand="0" w:oddHBand="0" w:evenHBand="1" w:firstRowFirstColumn="0" w:firstRowLastColumn="0" w:lastRowFirstColumn="0" w:lastRowLastColumn="0"/>
          <w:trHeight w:val="2040"/>
        </w:trPr>
        <w:tc>
          <w:tcPr>
            <w:tcW w:w="2727" w:type="dxa"/>
            <w:shd w:val="clear" w:color="auto" w:fill="auto"/>
            <w:noWrap/>
          </w:tcPr>
          <w:p w14:paraId="26BB33AE" w14:textId="77777777" w:rsidR="00122C1B" w:rsidRPr="00117C96" w:rsidRDefault="00122C1B" w:rsidP="00024B8D">
            <w:pPr>
              <w:pStyle w:val="TableParagraph"/>
            </w:pPr>
            <w:r>
              <w:t>Special conditions</w:t>
            </w:r>
          </w:p>
        </w:tc>
        <w:tc>
          <w:tcPr>
            <w:tcW w:w="3369" w:type="dxa"/>
            <w:shd w:val="clear" w:color="auto" w:fill="auto"/>
            <w:noWrap/>
          </w:tcPr>
          <w:p w14:paraId="76BA504E" w14:textId="77777777" w:rsidR="00122C1B" w:rsidRPr="00261AF5" w:rsidRDefault="00122C1B" w:rsidP="00024B8D">
            <w:pPr>
              <w:pStyle w:val="TableParagraph"/>
            </w:pPr>
            <w:r>
              <w:t>Minor re-wording with no substantive effect</w:t>
            </w:r>
            <w:r w:rsidRPr="00387634">
              <w:t xml:space="preserve"> </w:t>
            </w:r>
            <w:r>
              <w:t>is proposed to simplify and clarify some provisions.</w:t>
            </w:r>
          </w:p>
        </w:tc>
        <w:tc>
          <w:tcPr>
            <w:tcW w:w="3402" w:type="dxa"/>
            <w:shd w:val="clear" w:color="auto" w:fill="auto"/>
          </w:tcPr>
          <w:p w14:paraId="64A7C615" w14:textId="77777777" w:rsidR="00122C1B" w:rsidRPr="00261AF5" w:rsidRDefault="00122C1B" w:rsidP="00024B8D">
            <w:pPr>
              <w:pStyle w:val="TableParagraph"/>
            </w:pPr>
            <w:r>
              <w:t xml:space="preserve">No substantive changes are proposed for Part 4 which </w:t>
            </w:r>
            <w:r w:rsidRPr="00C304A6">
              <w:t xml:space="preserve">deals with a specific issue with NSW and the way </w:t>
            </w:r>
            <w:r w:rsidR="005238CA">
              <w:t>its</w:t>
            </w:r>
            <w:r w:rsidRPr="00C304A6">
              <w:t xml:space="preserve"> interlock scheme works. This provision ensures that people transferring from NSW with an interlock are not treat</w:t>
            </w:r>
            <w:r>
              <w:t xml:space="preserve">ed adversely. The NSW scheme is different from the Victorian scheme. </w:t>
            </w:r>
          </w:p>
        </w:tc>
      </w:tr>
      <w:tr w:rsidR="00122C1B" w:rsidRPr="00261AF5" w14:paraId="67F36730" w14:textId="77777777" w:rsidTr="00C25CFD">
        <w:trPr>
          <w:trHeight w:val="300"/>
        </w:trPr>
        <w:tc>
          <w:tcPr>
            <w:tcW w:w="9498" w:type="dxa"/>
            <w:gridSpan w:val="3"/>
            <w:shd w:val="clear" w:color="auto" w:fill="DDE8F4" w:themeFill="text2" w:themeFillTint="1A"/>
            <w:noWrap/>
          </w:tcPr>
          <w:p w14:paraId="70041701" w14:textId="77777777" w:rsidR="00122C1B" w:rsidRPr="00261AF5" w:rsidRDefault="00122C1B" w:rsidP="00024B8D">
            <w:pPr>
              <w:pStyle w:val="TextPara"/>
              <w:spacing w:before="20" w:after="20"/>
              <w:rPr>
                <w:b/>
                <w:color w:val="595959" w:themeColor="text1" w:themeTint="A6"/>
              </w:rPr>
            </w:pPr>
            <w:r w:rsidRPr="00261AF5">
              <w:rPr>
                <w:b/>
                <w:color w:val="595959" w:themeColor="text1" w:themeTint="A6"/>
              </w:rPr>
              <w:t>Part 5</w:t>
            </w:r>
            <w:r w:rsidRPr="00261AF5">
              <w:rPr>
                <w:b/>
                <w:color w:val="595959" w:themeColor="text1" w:themeTint="A6"/>
              </w:rPr>
              <w:tab/>
              <w:t>Review and Appeal Rights</w:t>
            </w:r>
          </w:p>
        </w:tc>
      </w:tr>
      <w:tr w:rsidR="00122C1B" w:rsidRPr="00261AF5" w14:paraId="5A311721"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7FCA96F1" w14:textId="77777777" w:rsidR="00122C1B" w:rsidRPr="00117C96" w:rsidRDefault="00122C1B" w:rsidP="00024B8D">
            <w:pPr>
              <w:pStyle w:val="TableParagraph"/>
            </w:pPr>
            <w:r>
              <w:t>Review</w:t>
            </w:r>
          </w:p>
        </w:tc>
        <w:tc>
          <w:tcPr>
            <w:tcW w:w="3369" w:type="dxa"/>
            <w:shd w:val="clear" w:color="auto" w:fill="auto"/>
            <w:noWrap/>
          </w:tcPr>
          <w:p w14:paraId="1A0D9B15" w14:textId="77777777" w:rsidR="00122C1B" w:rsidRDefault="00122C1B" w:rsidP="00024B8D">
            <w:pPr>
              <w:pStyle w:val="TableParagraph"/>
            </w:pPr>
            <w:r>
              <w:t xml:space="preserve">A person affected by a decision </w:t>
            </w:r>
            <w:r w:rsidRPr="00CC7D4E">
              <w:t>by VicRoads to vary, suspend or cancel a person's driver licence or learner permit</w:t>
            </w:r>
            <w:r>
              <w:t>, may apply to VicRoads for an internal review of that decision within 28 days after –</w:t>
            </w:r>
          </w:p>
          <w:p w14:paraId="17032E1A" w14:textId="77777777" w:rsidR="00122C1B" w:rsidRDefault="00122C1B" w:rsidP="00355A09">
            <w:pPr>
              <w:pStyle w:val="TableListLetter"/>
            </w:pPr>
            <w:r w:rsidRPr="00F36124">
              <w:t>the</w:t>
            </w:r>
            <w:r>
              <w:t xml:space="preserve"> date of the notice about the decision; or</w:t>
            </w:r>
          </w:p>
          <w:p w14:paraId="700C5B22" w14:textId="77777777" w:rsidR="00122C1B" w:rsidRDefault="00122C1B" w:rsidP="00355A09">
            <w:pPr>
              <w:pStyle w:val="TableListLetter"/>
            </w:pPr>
            <w:r>
              <w:t xml:space="preserve">the </w:t>
            </w:r>
            <w:r w:rsidRPr="00F36124">
              <w:t>decision</w:t>
            </w:r>
            <w:r>
              <w:t xml:space="preserve"> takes effect--</w:t>
            </w:r>
          </w:p>
          <w:p w14:paraId="25111054" w14:textId="77777777" w:rsidR="00122C1B" w:rsidRPr="005A2A3F" w:rsidRDefault="00122C1B" w:rsidP="00024B8D">
            <w:pPr>
              <w:pStyle w:val="TableParagraph"/>
            </w:pPr>
            <w:r>
              <w:t>whichever is the later.</w:t>
            </w:r>
          </w:p>
        </w:tc>
        <w:tc>
          <w:tcPr>
            <w:tcW w:w="3402" w:type="dxa"/>
            <w:shd w:val="clear" w:color="auto" w:fill="auto"/>
          </w:tcPr>
          <w:p w14:paraId="1AAC2C6D" w14:textId="77777777" w:rsidR="00122C1B" w:rsidRPr="00261AF5" w:rsidRDefault="00122C1B" w:rsidP="00024B8D">
            <w:pPr>
              <w:pStyle w:val="TableParagraph"/>
            </w:pPr>
            <w:r>
              <w:t>Fa</w:t>
            </w:r>
            <w:r w:rsidRPr="00A13D6E">
              <w:t>cilitate</w:t>
            </w:r>
            <w:r>
              <w:t>s</w:t>
            </w:r>
            <w:r w:rsidRPr="00A13D6E">
              <w:t xml:space="preserve"> the combined medical </w:t>
            </w:r>
            <w:r>
              <w:t xml:space="preserve">fitness-to-drive </w:t>
            </w:r>
            <w:r w:rsidRPr="00A13D6E">
              <w:t xml:space="preserve">review suspension </w:t>
            </w:r>
            <w:r>
              <w:t>letter which</w:t>
            </w:r>
            <w:r w:rsidRPr="00A13D6E">
              <w:t xml:space="preserve"> includes </w:t>
            </w:r>
            <w:r>
              <w:t xml:space="preserve">a </w:t>
            </w:r>
            <w:r w:rsidRPr="00A13D6E">
              <w:t>request for report</w:t>
            </w:r>
            <w:r>
              <w:t xml:space="preserve"> in addition to a notice of suspension</w:t>
            </w:r>
            <w:r w:rsidRPr="00A13D6E">
              <w:t xml:space="preserve">. Currently the review rights </w:t>
            </w:r>
            <w:r w:rsidR="005238CA">
              <w:t>are based on when the decision wa</w:t>
            </w:r>
            <w:r w:rsidRPr="00A13D6E">
              <w:t>s made and</w:t>
            </w:r>
            <w:r>
              <w:t>,</w:t>
            </w:r>
            <w:r w:rsidRPr="00A13D6E">
              <w:t xml:space="preserve"> in the case of this letter, the suspension is</w:t>
            </w:r>
            <w:r>
              <w:t xml:space="preserve"> </w:t>
            </w:r>
            <w:r w:rsidRPr="00A13D6E">
              <w:t>n</w:t>
            </w:r>
            <w:r>
              <w:t>o</w:t>
            </w:r>
            <w:r w:rsidRPr="00A13D6E">
              <w:t>t due to take ef</w:t>
            </w:r>
            <w:r>
              <w:t xml:space="preserve">fect for 6 weeks from when the </w:t>
            </w:r>
            <w:r w:rsidRPr="00A13D6E">
              <w:t>decision is made</w:t>
            </w:r>
            <w:r>
              <w:t xml:space="preserve"> by VicRoads</w:t>
            </w:r>
            <w:r w:rsidRPr="00A13D6E">
              <w:t>.</w:t>
            </w:r>
          </w:p>
        </w:tc>
      </w:tr>
      <w:tr w:rsidR="00122C1B" w:rsidRPr="002241B1" w14:paraId="4F873F71" w14:textId="77777777" w:rsidTr="00C25CFD">
        <w:trPr>
          <w:trHeight w:val="300"/>
        </w:trPr>
        <w:tc>
          <w:tcPr>
            <w:tcW w:w="9498" w:type="dxa"/>
            <w:gridSpan w:val="3"/>
            <w:shd w:val="clear" w:color="auto" w:fill="DDE8F4" w:themeFill="text2" w:themeFillTint="1A"/>
            <w:noWrap/>
          </w:tcPr>
          <w:p w14:paraId="28513C69" w14:textId="77777777" w:rsidR="00122C1B" w:rsidRPr="002241B1" w:rsidRDefault="00122C1B" w:rsidP="00024B8D">
            <w:pPr>
              <w:pStyle w:val="TextPara"/>
              <w:spacing w:before="20" w:after="20"/>
              <w:rPr>
                <w:b/>
                <w:color w:val="595959" w:themeColor="text1" w:themeTint="A6"/>
              </w:rPr>
            </w:pPr>
            <w:r w:rsidRPr="002241B1">
              <w:rPr>
                <w:b/>
                <w:color w:val="595959" w:themeColor="text1" w:themeTint="A6"/>
              </w:rPr>
              <w:t>Part 6</w:t>
            </w:r>
            <w:r w:rsidRPr="002241B1">
              <w:rPr>
                <w:b/>
                <w:color w:val="595959" w:themeColor="text1" w:themeTint="A6"/>
              </w:rPr>
              <w:tab/>
              <w:t>Exemptions</w:t>
            </w:r>
          </w:p>
        </w:tc>
      </w:tr>
      <w:tr w:rsidR="00122C1B" w:rsidRPr="00261AF5" w14:paraId="7423DC53"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1299ADD7" w14:textId="77777777" w:rsidR="00122C1B" w:rsidRPr="00117C96" w:rsidRDefault="00122C1B" w:rsidP="00024B8D">
            <w:pPr>
              <w:pStyle w:val="TableParagraph"/>
              <w:tabs>
                <w:tab w:val="left" w:pos="499"/>
              </w:tabs>
            </w:pPr>
            <w:r w:rsidRPr="005A2A3F">
              <w:t>Exemption from requirement</w:t>
            </w:r>
          </w:p>
        </w:tc>
        <w:tc>
          <w:tcPr>
            <w:tcW w:w="3369" w:type="dxa"/>
            <w:shd w:val="clear" w:color="auto" w:fill="auto"/>
            <w:noWrap/>
          </w:tcPr>
          <w:p w14:paraId="2CAED824" w14:textId="77777777" w:rsidR="00122C1B" w:rsidRPr="00261AF5" w:rsidRDefault="00122C1B" w:rsidP="00024B8D">
            <w:pPr>
              <w:pStyle w:val="TableParagraph"/>
            </w:pPr>
            <w:r>
              <w:t xml:space="preserve">Consolidate provisions from Part 2 into a new regulation in Part 6 covering applications </w:t>
            </w:r>
            <w:r w:rsidRPr="005A2A3F">
              <w:t>for exemptions</w:t>
            </w:r>
            <w:r>
              <w:t xml:space="preserve"> from a requirement for the grant or variation of a licence and from the operation of certain restrictions (PPV for probationary drivers, LAM for motorcycle riders and peer passenger for P1 drivers) and setting out the process for such applications. The new regulation also prescribes the considerations that VicRoads must take </w:t>
            </w:r>
            <w:r>
              <w:lastRenderedPageBreak/>
              <w:t>into account when deciding whether or not to grant such applications.</w:t>
            </w:r>
          </w:p>
        </w:tc>
        <w:tc>
          <w:tcPr>
            <w:tcW w:w="3402" w:type="dxa"/>
            <w:shd w:val="clear" w:color="auto" w:fill="auto"/>
          </w:tcPr>
          <w:p w14:paraId="4AA6980C" w14:textId="77777777" w:rsidR="00122C1B" w:rsidRPr="00261AF5" w:rsidRDefault="00122C1B" w:rsidP="00024B8D">
            <w:pPr>
              <w:pStyle w:val="TableParagraph"/>
            </w:pPr>
            <w:r>
              <w:lastRenderedPageBreak/>
              <w:t xml:space="preserve">Streamline by consolidating into one regulation the provisions regulating the process to be followed regarding exemption applications and prescribing the considerations that VicRoads must take into account in making related decisions. This change ensures consistency in the processing of exemption applications. </w:t>
            </w:r>
          </w:p>
        </w:tc>
      </w:tr>
      <w:tr w:rsidR="00122C1B" w:rsidRPr="00261AF5" w14:paraId="50749D01" w14:textId="77777777" w:rsidTr="00893668">
        <w:trPr>
          <w:trHeight w:val="300"/>
        </w:trPr>
        <w:tc>
          <w:tcPr>
            <w:tcW w:w="2727" w:type="dxa"/>
            <w:shd w:val="clear" w:color="auto" w:fill="auto"/>
            <w:noWrap/>
          </w:tcPr>
          <w:p w14:paraId="1EC83F6F" w14:textId="77777777" w:rsidR="00122C1B" w:rsidRPr="00117C96" w:rsidRDefault="00122C1B" w:rsidP="00024B8D">
            <w:pPr>
              <w:pStyle w:val="TableParagraph"/>
            </w:pPr>
            <w:r w:rsidRPr="005A2A3F">
              <w:t>Conditions if exemption granted</w:t>
            </w:r>
          </w:p>
        </w:tc>
        <w:tc>
          <w:tcPr>
            <w:tcW w:w="3369" w:type="dxa"/>
            <w:shd w:val="clear" w:color="auto" w:fill="auto"/>
            <w:noWrap/>
          </w:tcPr>
          <w:p w14:paraId="033652BB" w14:textId="77777777" w:rsidR="00122C1B" w:rsidRPr="00261AF5" w:rsidRDefault="00122C1B" w:rsidP="00024B8D">
            <w:pPr>
              <w:pStyle w:val="TableParagraph"/>
            </w:pPr>
            <w:r>
              <w:t xml:space="preserve">Move provision from Part 2 to Part 6 to clarify VicRoads’s power to impose conditions on a driver </w:t>
            </w:r>
            <w:r w:rsidRPr="005A2A3F">
              <w:t xml:space="preserve">licence </w:t>
            </w:r>
            <w:r>
              <w:t>or learner permit, when exercising its power of exemption. The new provision is the same</w:t>
            </w:r>
            <w:r w:rsidRPr="005A2A3F">
              <w:t xml:space="preserve"> </w:t>
            </w:r>
            <w:r>
              <w:t>as in the existing regulations, except for the deletion of a non-exhaustive list of potential conditions.</w:t>
            </w:r>
          </w:p>
        </w:tc>
        <w:tc>
          <w:tcPr>
            <w:tcW w:w="3402" w:type="dxa"/>
            <w:shd w:val="clear" w:color="auto" w:fill="auto"/>
          </w:tcPr>
          <w:p w14:paraId="56107566" w14:textId="77777777" w:rsidR="00122C1B" w:rsidRPr="00261AF5" w:rsidRDefault="00122C1B" w:rsidP="00024B8D">
            <w:pPr>
              <w:pStyle w:val="TableParagraph"/>
            </w:pPr>
            <w:r>
              <w:t xml:space="preserve">Confirm VicRoads’s power to impose conditions on a driver </w:t>
            </w:r>
            <w:r w:rsidRPr="005A2A3F">
              <w:t xml:space="preserve">licence </w:t>
            </w:r>
            <w:r>
              <w:t>or learner permit when exercising its power of exemption. Delete the non-exhaustive list of potential conditions because it has no practical effect on the range of conditions that VicRoads may impose. VicRoads will manage the list of potential conditions by way of operational instructions.</w:t>
            </w:r>
          </w:p>
        </w:tc>
      </w:tr>
      <w:tr w:rsidR="00122C1B" w:rsidRPr="00261AF5" w14:paraId="4168B708" w14:textId="77777777" w:rsidTr="00C25CFD">
        <w:trPr>
          <w:cnfStyle w:val="000000010000" w:firstRow="0" w:lastRow="0" w:firstColumn="0" w:lastColumn="0" w:oddVBand="0" w:evenVBand="0" w:oddHBand="0" w:evenHBand="1" w:firstRowFirstColumn="0" w:firstRowLastColumn="0" w:lastRowFirstColumn="0" w:lastRowLastColumn="0"/>
          <w:trHeight w:val="300"/>
        </w:trPr>
        <w:tc>
          <w:tcPr>
            <w:tcW w:w="9498" w:type="dxa"/>
            <w:gridSpan w:val="3"/>
            <w:shd w:val="clear" w:color="auto" w:fill="DDE8F4" w:themeFill="text2" w:themeFillTint="1A"/>
            <w:noWrap/>
          </w:tcPr>
          <w:p w14:paraId="24B7FCC4" w14:textId="77777777" w:rsidR="00122C1B" w:rsidRPr="00261AF5" w:rsidRDefault="00122C1B" w:rsidP="00024B8D">
            <w:pPr>
              <w:pStyle w:val="TextPara"/>
              <w:keepNext/>
              <w:spacing w:before="20" w:after="20"/>
              <w:rPr>
                <w:b/>
                <w:color w:val="595959" w:themeColor="text1" w:themeTint="A6"/>
              </w:rPr>
            </w:pPr>
            <w:r w:rsidRPr="00261AF5">
              <w:rPr>
                <w:b/>
                <w:color w:val="595959" w:themeColor="text1" w:themeTint="A6"/>
              </w:rPr>
              <w:t xml:space="preserve">Part 7 </w:t>
            </w:r>
            <w:r w:rsidRPr="00261AF5">
              <w:rPr>
                <w:b/>
                <w:color w:val="595959" w:themeColor="text1" w:themeTint="A6"/>
              </w:rPr>
              <w:tab/>
              <w:t>Fees</w:t>
            </w:r>
          </w:p>
        </w:tc>
      </w:tr>
      <w:tr w:rsidR="00367C4E" w:rsidRPr="00261AF5" w14:paraId="058747AE" w14:textId="77777777" w:rsidTr="00893668">
        <w:trPr>
          <w:trHeight w:val="300"/>
        </w:trPr>
        <w:tc>
          <w:tcPr>
            <w:tcW w:w="2727" w:type="dxa"/>
            <w:vMerge w:val="restart"/>
            <w:shd w:val="clear" w:color="auto" w:fill="auto"/>
            <w:noWrap/>
          </w:tcPr>
          <w:p w14:paraId="694280DA" w14:textId="77777777" w:rsidR="00367C4E" w:rsidRPr="00117C96" w:rsidRDefault="00367C4E" w:rsidP="00024B8D">
            <w:pPr>
              <w:pStyle w:val="TableParagraph"/>
            </w:pPr>
            <w:r>
              <w:t>Fees</w:t>
            </w:r>
          </w:p>
        </w:tc>
        <w:tc>
          <w:tcPr>
            <w:tcW w:w="3369" w:type="dxa"/>
            <w:shd w:val="clear" w:color="auto" w:fill="auto"/>
            <w:noWrap/>
          </w:tcPr>
          <w:p w14:paraId="375607F5" w14:textId="77777777" w:rsidR="00367C4E" w:rsidRPr="00261AF5" w:rsidRDefault="00367C4E" w:rsidP="00024B8D">
            <w:pPr>
              <w:pStyle w:val="TableParagraph"/>
            </w:pPr>
            <w:r>
              <w:t>Move some fees from the body of the regulations into Schedule 5 (re-numbered as Schedule 6 in the proposed Regulations).</w:t>
            </w:r>
          </w:p>
        </w:tc>
        <w:tc>
          <w:tcPr>
            <w:tcW w:w="3402" w:type="dxa"/>
            <w:shd w:val="clear" w:color="auto" w:fill="auto"/>
          </w:tcPr>
          <w:p w14:paraId="7A7C16E5" w14:textId="77777777" w:rsidR="00367C4E" w:rsidRPr="00261AF5" w:rsidRDefault="00367C4E" w:rsidP="00024B8D">
            <w:pPr>
              <w:pStyle w:val="TableParagraph"/>
            </w:pPr>
            <w:r>
              <w:t>Simplify the structure of the regulations.</w:t>
            </w:r>
          </w:p>
        </w:tc>
      </w:tr>
      <w:tr w:rsidR="00367C4E" w:rsidRPr="00261AF5" w14:paraId="01271C27"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vMerge/>
            <w:shd w:val="clear" w:color="auto" w:fill="auto"/>
            <w:noWrap/>
          </w:tcPr>
          <w:p w14:paraId="31D594AF" w14:textId="77777777" w:rsidR="00367C4E" w:rsidRDefault="00367C4E" w:rsidP="00024B8D">
            <w:pPr>
              <w:pStyle w:val="TableParagraph"/>
            </w:pPr>
          </w:p>
        </w:tc>
        <w:tc>
          <w:tcPr>
            <w:tcW w:w="3369" w:type="dxa"/>
            <w:shd w:val="clear" w:color="auto" w:fill="auto"/>
            <w:noWrap/>
          </w:tcPr>
          <w:p w14:paraId="69B5D96F" w14:textId="77777777" w:rsidR="00367C4E" w:rsidRDefault="00367C4E" w:rsidP="00024B8D">
            <w:pPr>
              <w:pStyle w:val="TableParagraph"/>
            </w:pPr>
            <w:r>
              <w:t>Amend provision to identify the fees payable into the general fund of VicRoads by reference to the items in Schedule 5 (re-numbered as Schedule 6 in the proposed Regulations).</w:t>
            </w:r>
          </w:p>
        </w:tc>
        <w:tc>
          <w:tcPr>
            <w:tcW w:w="3402" w:type="dxa"/>
            <w:shd w:val="clear" w:color="auto" w:fill="auto"/>
          </w:tcPr>
          <w:p w14:paraId="00636BB1" w14:textId="77777777" w:rsidR="00367C4E" w:rsidRDefault="00367C4E" w:rsidP="00024B8D">
            <w:pPr>
              <w:pStyle w:val="TableParagraph"/>
            </w:pPr>
            <w:r>
              <w:t>Clarify and simplify the reference to fees payable into the general fund of VicRoads.</w:t>
            </w:r>
          </w:p>
        </w:tc>
      </w:tr>
      <w:tr w:rsidR="00122C1B" w:rsidRPr="00261AF5" w14:paraId="5CAB9792" w14:textId="77777777" w:rsidTr="00C25CFD">
        <w:trPr>
          <w:trHeight w:val="300"/>
        </w:trPr>
        <w:tc>
          <w:tcPr>
            <w:tcW w:w="9498" w:type="dxa"/>
            <w:gridSpan w:val="3"/>
            <w:shd w:val="clear" w:color="auto" w:fill="DDE8F4" w:themeFill="text2" w:themeFillTint="1A"/>
            <w:noWrap/>
          </w:tcPr>
          <w:p w14:paraId="546FB625" w14:textId="77777777" w:rsidR="00122C1B" w:rsidRPr="00261AF5" w:rsidRDefault="00122C1B" w:rsidP="00024B8D">
            <w:pPr>
              <w:pStyle w:val="TextPara"/>
              <w:spacing w:before="20" w:after="20"/>
              <w:rPr>
                <w:b/>
                <w:color w:val="595959" w:themeColor="text1" w:themeTint="A6"/>
              </w:rPr>
            </w:pPr>
            <w:r w:rsidRPr="00261AF5">
              <w:rPr>
                <w:b/>
                <w:color w:val="595959" w:themeColor="text1" w:themeTint="A6"/>
              </w:rPr>
              <w:t xml:space="preserve">Part 8 </w:t>
            </w:r>
            <w:r w:rsidRPr="00261AF5">
              <w:rPr>
                <w:b/>
                <w:color w:val="595959" w:themeColor="text1" w:themeTint="A6"/>
              </w:rPr>
              <w:tab/>
              <w:t>Transitional provisions</w:t>
            </w:r>
          </w:p>
        </w:tc>
      </w:tr>
      <w:tr w:rsidR="00122C1B" w:rsidRPr="00261AF5" w14:paraId="5C3F9B35"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3DE2B14D" w14:textId="77777777" w:rsidR="00122C1B" w:rsidRPr="00117C96" w:rsidRDefault="00122C1B" w:rsidP="00024B8D">
            <w:pPr>
              <w:pStyle w:val="TableParagraph"/>
            </w:pPr>
            <w:r w:rsidRPr="00AA64C8">
              <w:t>Driver licences or learner permits granted under revoked regulations</w:t>
            </w:r>
          </w:p>
        </w:tc>
        <w:tc>
          <w:tcPr>
            <w:tcW w:w="3369" w:type="dxa"/>
            <w:shd w:val="clear" w:color="auto" w:fill="auto"/>
            <w:noWrap/>
          </w:tcPr>
          <w:p w14:paraId="3CB8BB14" w14:textId="77777777" w:rsidR="00122C1B" w:rsidRPr="00261AF5" w:rsidRDefault="00122C1B" w:rsidP="00024B8D">
            <w:pPr>
              <w:pStyle w:val="TableParagraph"/>
            </w:pPr>
            <w:r>
              <w:t>Re-word provision without changing the substance of the existing provision.</w:t>
            </w:r>
          </w:p>
        </w:tc>
        <w:tc>
          <w:tcPr>
            <w:tcW w:w="3402" w:type="dxa"/>
            <w:shd w:val="clear" w:color="auto" w:fill="auto"/>
          </w:tcPr>
          <w:p w14:paraId="15EDBB85" w14:textId="77777777" w:rsidR="00122C1B" w:rsidRPr="00261AF5" w:rsidRDefault="00122C1B" w:rsidP="00024B8D">
            <w:pPr>
              <w:pStyle w:val="TableParagraph"/>
            </w:pPr>
            <w:r>
              <w:t>Update the provision to remove references to Road Safety (Drivers) Regulations 1999.</w:t>
            </w:r>
          </w:p>
        </w:tc>
      </w:tr>
      <w:tr w:rsidR="00122C1B" w:rsidRPr="00261AF5" w14:paraId="23B021B9" w14:textId="77777777" w:rsidTr="00893668">
        <w:trPr>
          <w:trHeight w:val="300"/>
        </w:trPr>
        <w:tc>
          <w:tcPr>
            <w:tcW w:w="2727" w:type="dxa"/>
            <w:shd w:val="clear" w:color="auto" w:fill="auto"/>
            <w:noWrap/>
          </w:tcPr>
          <w:p w14:paraId="0F321B72" w14:textId="77777777" w:rsidR="00122C1B" w:rsidRPr="00AA64C8" w:rsidRDefault="00122C1B" w:rsidP="00024B8D">
            <w:pPr>
              <w:pStyle w:val="TableParagraph"/>
            </w:pPr>
            <w:r w:rsidRPr="00AA64C8">
              <w:t>Probationary prohibited vehicles</w:t>
            </w:r>
          </w:p>
        </w:tc>
        <w:tc>
          <w:tcPr>
            <w:tcW w:w="3369" w:type="dxa"/>
            <w:shd w:val="clear" w:color="auto" w:fill="auto"/>
            <w:noWrap/>
          </w:tcPr>
          <w:p w14:paraId="10539A11" w14:textId="77777777" w:rsidR="00122C1B" w:rsidRPr="00261AF5" w:rsidRDefault="00122C1B" w:rsidP="00024B8D">
            <w:pPr>
              <w:pStyle w:val="TableParagraph"/>
            </w:pPr>
            <w:r>
              <w:t xml:space="preserve">Insert new regulation to specify that a vehicle that </w:t>
            </w:r>
            <w:r w:rsidRPr="00AA64C8">
              <w:t xml:space="preserve">is not a </w:t>
            </w:r>
            <w:r>
              <w:t>PPV</w:t>
            </w:r>
            <w:r w:rsidRPr="00AA64C8">
              <w:t xml:space="preserve"> under </w:t>
            </w:r>
            <w:r>
              <w:t xml:space="preserve">the existing </w:t>
            </w:r>
            <w:r w:rsidRPr="00AA64C8">
              <w:t>regulation</w:t>
            </w:r>
            <w:r>
              <w:t>s</w:t>
            </w:r>
            <w:r w:rsidRPr="00AA64C8">
              <w:t xml:space="preserve"> continues not to be a </w:t>
            </w:r>
            <w:r>
              <w:t xml:space="preserve">PPV under the proposed Regulations, </w:t>
            </w:r>
            <w:r w:rsidRPr="00AA64C8">
              <w:t xml:space="preserve">provided the vehicle is being </w:t>
            </w:r>
            <w:r>
              <w:t>d</w:t>
            </w:r>
            <w:r w:rsidRPr="00AA64C8">
              <w:t xml:space="preserve">riven by a person whose probationary licence was issued prior to the commencement of </w:t>
            </w:r>
            <w:r>
              <w:t>the proposed Regulations.</w:t>
            </w:r>
          </w:p>
        </w:tc>
        <w:tc>
          <w:tcPr>
            <w:tcW w:w="3402" w:type="dxa"/>
            <w:shd w:val="clear" w:color="auto" w:fill="auto"/>
          </w:tcPr>
          <w:p w14:paraId="724A33BF" w14:textId="77777777" w:rsidR="00122C1B" w:rsidRPr="00261AF5" w:rsidRDefault="00122C1B" w:rsidP="00024B8D">
            <w:pPr>
              <w:pStyle w:val="TableParagraph"/>
            </w:pPr>
            <w:r>
              <w:t>Clarify the situation relating to vehicles that are</w:t>
            </w:r>
            <w:r w:rsidRPr="00AA64C8">
              <w:t xml:space="preserve"> not a </w:t>
            </w:r>
            <w:r>
              <w:t>PPV</w:t>
            </w:r>
            <w:r w:rsidRPr="00AA64C8">
              <w:t xml:space="preserve"> under </w:t>
            </w:r>
            <w:r>
              <w:t xml:space="preserve">the existing </w:t>
            </w:r>
            <w:r w:rsidRPr="00AA64C8">
              <w:t>regulation</w:t>
            </w:r>
            <w:r>
              <w:t>s.</w:t>
            </w:r>
          </w:p>
        </w:tc>
      </w:tr>
      <w:tr w:rsidR="00122C1B" w:rsidRPr="002241B1" w14:paraId="256E3148" w14:textId="77777777" w:rsidTr="00C25CFD">
        <w:trPr>
          <w:cnfStyle w:val="000000010000" w:firstRow="0" w:lastRow="0" w:firstColumn="0" w:lastColumn="0" w:oddVBand="0" w:evenVBand="0" w:oddHBand="0" w:evenHBand="1" w:firstRowFirstColumn="0" w:firstRowLastColumn="0" w:lastRowFirstColumn="0" w:lastRowLastColumn="0"/>
          <w:trHeight w:val="300"/>
        </w:trPr>
        <w:tc>
          <w:tcPr>
            <w:tcW w:w="9498" w:type="dxa"/>
            <w:gridSpan w:val="3"/>
            <w:shd w:val="clear" w:color="auto" w:fill="DDE8F4" w:themeFill="text2" w:themeFillTint="1A"/>
            <w:noWrap/>
          </w:tcPr>
          <w:p w14:paraId="370A6916" w14:textId="77777777" w:rsidR="00122C1B" w:rsidRPr="002241B1" w:rsidRDefault="00122C1B" w:rsidP="00024B8D">
            <w:pPr>
              <w:pStyle w:val="TextPara"/>
              <w:spacing w:before="20" w:after="20"/>
              <w:rPr>
                <w:b/>
                <w:color w:val="595959" w:themeColor="text1" w:themeTint="A6"/>
              </w:rPr>
            </w:pPr>
            <w:r w:rsidRPr="002241B1">
              <w:rPr>
                <w:b/>
                <w:color w:val="595959" w:themeColor="text1" w:themeTint="A6"/>
              </w:rPr>
              <w:t xml:space="preserve">Schedule 1 </w:t>
            </w:r>
            <w:r w:rsidRPr="002241B1">
              <w:rPr>
                <w:b/>
                <w:color w:val="595959" w:themeColor="text1" w:themeTint="A6"/>
              </w:rPr>
              <w:tab/>
              <w:t>Revocations</w:t>
            </w:r>
          </w:p>
        </w:tc>
      </w:tr>
      <w:tr w:rsidR="00122C1B" w:rsidRPr="00261AF5" w14:paraId="785C38C3" w14:textId="77777777" w:rsidTr="00893668">
        <w:trPr>
          <w:trHeight w:val="300"/>
        </w:trPr>
        <w:tc>
          <w:tcPr>
            <w:tcW w:w="2727" w:type="dxa"/>
            <w:shd w:val="clear" w:color="auto" w:fill="auto"/>
            <w:noWrap/>
          </w:tcPr>
          <w:p w14:paraId="0F656B27" w14:textId="77777777" w:rsidR="00122C1B" w:rsidRPr="00117C96" w:rsidRDefault="00122C1B" w:rsidP="00024B8D">
            <w:pPr>
              <w:pStyle w:val="TableParagraph"/>
            </w:pPr>
            <w:r>
              <w:t>Revocations</w:t>
            </w:r>
          </w:p>
        </w:tc>
        <w:tc>
          <w:tcPr>
            <w:tcW w:w="3369" w:type="dxa"/>
            <w:shd w:val="clear" w:color="auto" w:fill="auto"/>
            <w:noWrap/>
          </w:tcPr>
          <w:p w14:paraId="40CC8265" w14:textId="77777777" w:rsidR="00122C1B" w:rsidRPr="00261AF5" w:rsidRDefault="00122C1B" w:rsidP="00024B8D">
            <w:pPr>
              <w:pStyle w:val="TableParagraph"/>
            </w:pPr>
            <w:r>
              <w:t>Update the list of revoked regulations.</w:t>
            </w:r>
          </w:p>
        </w:tc>
        <w:tc>
          <w:tcPr>
            <w:tcW w:w="3402" w:type="dxa"/>
            <w:shd w:val="clear" w:color="auto" w:fill="auto"/>
          </w:tcPr>
          <w:p w14:paraId="00B3449F" w14:textId="77777777" w:rsidR="00122C1B" w:rsidRPr="00261AF5" w:rsidRDefault="00122C1B" w:rsidP="00024B8D">
            <w:pPr>
              <w:pStyle w:val="TableParagraph"/>
            </w:pPr>
            <w:r>
              <w:t>Bring the list up to date.</w:t>
            </w:r>
          </w:p>
        </w:tc>
      </w:tr>
      <w:tr w:rsidR="00122C1B" w:rsidRPr="002241B1" w14:paraId="1A6A7DFE" w14:textId="77777777" w:rsidTr="00C25CFD">
        <w:trPr>
          <w:cnfStyle w:val="000000010000" w:firstRow="0" w:lastRow="0" w:firstColumn="0" w:lastColumn="0" w:oddVBand="0" w:evenVBand="0" w:oddHBand="0" w:evenHBand="1" w:firstRowFirstColumn="0" w:firstRowLastColumn="0" w:lastRowFirstColumn="0" w:lastRowLastColumn="0"/>
          <w:trHeight w:val="300"/>
        </w:trPr>
        <w:tc>
          <w:tcPr>
            <w:tcW w:w="9498" w:type="dxa"/>
            <w:gridSpan w:val="3"/>
            <w:shd w:val="clear" w:color="auto" w:fill="DDE8F4" w:themeFill="text2" w:themeFillTint="1A"/>
            <w:noWrap/>
          </w:tcPr>
          <w:p w14:paraId="04FA891B" w14:textId="77777777" w:rsidR="00122C1B" w:rsidRPr="002241B1" w:rsidRDefault="00122C1B" w:rsidP="00024B8D">
            <w:pPr>
              <w:pStyle w:val="TextPara"/>
              <w:keepNext/>
              <w:spacing w:before="20" w:after="20"/>
              <w:rPr>
                <w:b/>
                <w:color w:val="595959" w:themeColor="text1" w:themeTint="A6"/>
              </w:rPr>
            </w:pPr>
            <w:r w:rsidRPr="002241B1">
              <w:rPr>
                <w:b/>
                <w:color w:val="595959" w:themeColor="text1" w:themeTint="A6"/>
              </w:rPr>
              <w:t xml:space="preserve">Schedule 2 </w:t>
            </w:r>
            <w:r w:rsidRPr="002241B1">
              <w:rPr>
                <w:b/>
                <w:color w:val="595959" w:themeColor="text1" w:themeTint="A6"/>
              </w:rPr>
              <w:tab/>
              <w:t>Codes used to indicate driver licences or learner permits subject to conditions</w:t>
            </w:r>
          </w:p>
        </w:tc>
      </w:tr>
      <w:tr w:rsidR="00122C1B" w:rsidRPr="00261AF5" w14:paraId="655D194D" w14:textId="77777777" w:rsidTr="00893668">
        <w:trPr>
          <w:trHeight w:val="300"/>
        </w:trPr>
        <w:tc>
          <w:tcPr>
            <w:tcW w:w="2727" w:type="dxa"/>
            <w:vMerge w:val="restart"/>
            <w:shd w:val="clear" w:color="auto" w:fill="auto"/>
            <w:noWrap/>
          </w:tcPr>
          <w:p w14:paraId="0270410F" w14:textId="77777777" w:rsidR="00122C1B" w:rsidRPr="00117C96" w:rsidRDefault="00122C1B" w:rsidP="00024B8D">
            <w:pPr>
              <w:pStyle w:val="TableParagraph"/>
            </w:pPr>
            <w:r>
              <w:t>Codes used to indicate driver licence or learner permit subject to conditions</w:t>
            </w:r>
          </w:p>
        </w:tc>
        <w:tc>
          <w:tcPr>
            <w:tcW w:w="3369" w:type="dxa"/>
            <w:shd w:val="clear" w:color="auto" w:fill="auto"/>
            <w:noWrap/>
          </w:tcPr>
          <w:p w14:paraId="277C9060" w14:textId="77777777" w:rsidR="00122C1B" w:rsidRPr="00261AF5" w:rsidRDefault="00122C1B" w:rsidP="00024B8D">
            <w:pPr>
              <w:pStyle w:val="TableParagraph"/>
            </w:pPr>
            <w:r>
              <w:t>Remove Condition Code ‘P’ relating to not driving a motor vehicle with more than one passenger.</w:t>
            </w:r>
          </w:p>
        </w:tc>
        <w:tc>
          <w:tcPr>
            <w:tcW w:w="3402" w:type="dxa"/>
            <w:shd w:val="clear" w:color="auto" w:fill="auto"/>
          </w:tcPr>
          <w:p w14:paraId="70BB87FE" w14:textId="77777777" w:rsidR="00122C1B" w:rsidRPr="00261AF5" w:rsidRDefault="00122C1B" w:rsidP="00024B8D">
            <w:pPr>
              <w:pStyle w:val="TableParagraph"/>
            </w:pPr>
            <w:r>
              <w:t>Condition Code ‘P’ is no longer relevant as the one-passenger restriction (which is different from the “peer passenger restriction) would no longer apply to probationary drivers.</w:t>
            </w:r>
          </w:p>
        </w:tc>
      </w:tr>
      <w:tr w:rsidR="00122C1B" w:rsidRPr="00261AF5" w14:paraId="3A060E01"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vMerge/>
            <w:noWrap/>
          </w:tcPr>
          <w:p w14:paraId="3FA08CE5" w14:textId="77777777" w:rsidR="00122C1B" w:rsidRDefault="00122C1B" w:rsidP="00024B8D">
            <w:pPr>
              <w:pStyle w:val="TableParagraph"/>
            </w:pPr>
          </w:p>
        </w:tc>
        <w:tc>
          <w:tcPr>
            <w:tcW w:w="3369" w:type="dxa"/>
            <w:noWrap/>
          </w:tcPr>
          <w:p w14:paraId="0D49F294" w14:textId="77777777" w:rsidR="00122C1B" w:rsidRDefault="00122C1B" w:rsidP="00024B8D">
            <w:pPr>
              <w:pStyle w:val="TableParagraph"/>
            </w:pPr>
            <w:r>
              <w:t xml:space="preserve">Effect minor re-wording of the table, which is based on the table in Supporting Principles, Schedule 2 Part 3 (Drivers licences), Clause 14 of the </w:t>
            </w:r>
            <w:r w:rsidRPr="00DB1E0A">
              <w:rPr>
                <w:i/>
              </w:rPr>
              <w:t>National Transport Commission (Road Transport Legislation- Driver Licensing) Regulations 2006</w:t>
            </w:r>
            <w:r>
              <w:rPr>
                <w:i/>
              </w:rPr>
              <w:t>.</w:t>
            </w:r>
            <w:r>
              <w:rPr>
                <w:i/>
              </w:rPr>
              <w:br/>
            </w:r>
          </w:p>
        </w:tc>
        <w:tc>
          <w:tcPr>
            <w:tcW w:w="3402" w:type="dxa"/>
          </w:tcPr>
          <w:p w14:paraId="68EBD2E2" w14:textId="77777777" w:rsidR="00122C1B" w:rsidRDefault="00122C1B" w:rsidP="00024B8D">
            <w:pPr>
              <w:pStyle w:val="TableParagraph"/>
            </w:pPr>
            <w:r>
              <w:t>Effect re-wording to clarify and simplify the conditions description.</w:t>
            </w:r>
          </w:p>
        </w:tc>
      </w:tr>
      <w:tr w:rsidR="00122C1B" w:rsidRPr="002241B1" w14:paraId="5612987E" w14:textId="77777777" w:rsidTr="00C25CFD">
        <w:trPr>
          <w:trHeight w:val="300"/>
        </w:trPr>
        <w:tc>
          <w:tcPr>
            <w:tcW w:w="9498" w:type="dxa"/>
            <w:gridSpan w:val="3"/>
            <w:shd w:val="clear" w:color="auto" w:fill="DDE8F4" w:themeFill="text2" w:themeFillTint="1A"/>
            <w:noWrap/>
          </w:tcPr>
          <w:p w14:paraId="15541767" w14:textId="77777777" w:rsidR="00122C1B" w:rsidRPr="002241B1" w:rsidRDefault="00122C1B" w:rsidP="00024B8D">
            <w:pPr>
              <w:pStyle w:val="TextPara"/>
              <w:keepNext/>
              <w:spacing w:before="20" w:after="20"/>
              <w:rPr>
                <w:b/>
                <w:color w:val="595959" w:themeColor="text1" w:themeTint="A6"/>
              </w:rPr>
            </w:pPr>
            <w:r w:rsidRPr="002241B1">
              <w:rPr>
                <w:b/>
                <w:color w:val="595959" w:themeColor="text1" w:themeTint="A6"/>
              </w:rPr>
              <w:lastRenderedPageBreak/>
              <w:t xml:space="preserve">Schedule 3 </w:t>
            </w:r>
            <w:r w:rsidRPr="002241B1">
              <w:rPr>
                <w:b/>
                <w:color w:val="595959" w:themeColor="text1" w:themeTint="A6"/>
              </w:rPr>
              <w:tab/>
              <w:t xml:space="preserve">Demerit Points </w:t>
            </w:r>
          </w:p>
        </w:tc>
      </w:tr>
      <w:tr w:rsidR="00122C1B" w:rsidRPr="00261AF5" w14:paraId="548AF7E4" w14:textId="77777777" w:rsidTr="00893668">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2270FDF4" w14:textId="77777777" w:rsidR="00122C1B" w:rsidRPr="00117C96" w:rsidRDefault="00122C1B" w:rsidP="00024B8D">
            <w:pPr>
              <w:pStyle w:val="TableParagraph"/>
            </w:pPr>
            <w:r>
              <w:t>Demerit points</w:t>
            </w:r>
          </w:p>
        </w:tc>
        <w:tc>
          <w:tcPr>
            <w:tcW w:w="3369" w:type="dxa"/>
            <w:shd w:val="clear" w:color="auto" w:fill="auto"/>
            <w:noWrap/>
          </w:tcPr>
          <w:p w14:paraId="63CB4DDC" w14:textId="77777777" w:rsidR="00122C1B" w:rsidRDefault="00122C1B" w:rsidP="00024B8D">
            <w:pPr>
              <w:pStyle w:val="TableParagraph"/>
            </w:pPr>
            <w:r>
              <w:t>Update table for offences that incur demerit points by –</w:t>
            </w:r>
          </w:p>
          <w:p w14:paraId="0976D10F" w14:textId="77777777" w:rsidR="00122C1B" w:rsidRPr="00802200" w:rsidRDefault="00122C1B" w:rsidP="00AC190A">
            <w:pPr>
              <w:pStyle w:val="TableList1"/>
            </w:pPr>
            <w:r>
              <w:t xml:space="preserve">deleting the item relating to P1 probationary drivers carrying more than one person in breach of a condition, </w:t>
            </w:r>
            <w:r w:rsidRPr="00802200">
              <w:t xml:space="preserve">and </w:t>
            </w:r>
          </w:p>
          <w:p w14:paraId="2E3EE1A6" w14:textId="77777777" w:rsidR="00122C1B" w:rsidRPr="00261AF5" w:rsidRDefault="00122C1B" w:rsidP="00AC190A">
            <w:pPr>
              <w:pStyle w:val="TableList1"/>
            </w:pPr>
            <w:r w:rsidRPr="00802200">
              <w:t>adding ne</w:t>
            </w:r>
            <w:r>
              <w:t>w items relating to learners driving without a supervising driver, failing to display L-plates and driving a motor cycle without a securely fitted and fastened high visibility vest or jacket.</w:t>
            </w:r>
          </w:p>
        </w:tc>
        <w:tc>
          <w:tcPr>
            <w:tcW w:w="3402" w:type="dxa"/>
            <w:shd w:val="clear" w:color="auto" w:fill="auto"/>
          </w:tcPr>
          <w:p w14:paraId="3D6375CC" w14:textId="77777777" w:rsidR="00122C1B" w:rsidRDefault="00122C1B" w:rsidP="00024B8D">
            <w:pPr>
              <w:pStyle w:val="TableParagraph"/>
            </w:pPr>
            <w:r>
              <w:t>Update the table in Schedule 3 by removing items that no longer incur demerit points and adding new items that are proposed to incur demerit points.</w:t>
            </w:r>
          </w:p>
          <w:p w14:paraId="2BAADA71" w14:textId="77777777" w:rsidR="00122C1B" w:rsidRPr="00261AF5" w:rsidRDefault="00122C1B" w:rsidP="00024B8D">
            <w:pPr>
              <w:pStyle w:val="TableParagraph"/>
            </w:pPr>
            <w:r>
              <w:t>The removal of the general passenger restriction was made on the basis that, w</w:t>
            </w:r>
            <w:r w:rsidRPr="00DD7F36">
              <w:t xml:space="preserve">hile the </w:t>
            </w:r>
            <w:r>
              <w:t>2017</w:t>
            </w:r>
            <w:r w:rsidRPr="00DD7F36">
              <w:t xml:space="preserve"> VicRoads GLS Review found that the peer passenger restriction has been proven to be an effective road safety measure, no evidence </w:t>
            </w:r>
            <w:r>
              <w:t>was found that shows</w:t>
            </w:r>
            <w:r w:rsidRPr="00DD7F36">
              <w:t xml:space="preserve"> that imposing a restriction to one passenger of any age</w:t>
            </w:r>
            <w:r>
              <w:t xml:space="preserve"> on P1 probationary drivers, whose licence was suspended or cancelled,</w:t>
            </w:r>
            <w:r w:rsidRPr="00DD7F36">
              <w:t xml:space="preserve"> deters </w:t>
            </w:r>
            <w:r>
              <w:t xml:space="preserve">them </w:t>
            </w:r>
            <w:r w:rsidRPr="00DD7F36">
              <w:t xml:space="preserve">from re-offending or has any significant </w:t>
            </w:r>
            <w:r>
              <w:t xml:space="preserve">positive </w:t>
            </w:r>
            <w:r w:rsidRPr="00DD7F36">
              <w:t>impact on road safety.</w:t>
            </w:r>
          </w:p>
        </w:tc>
      </w:tr>
      <w:tr w:rsidR="00122C1B" w:rsidRPr="002241B1" w14:paraId="3B495243" w14:textId="77777777" w:rsidTr="00C25CFD">
        <w:trPr>
          <w:trHeight w:val="300"/>
        </w:trPr>
        <w:tc>
          <w:tcPr>
            <w:tcW w:w="9498" w:type="dxa"/>
            <w:gridSpan w:val="3"/>
            <w:shd w:val="clear" w:color="auto" w:fill="DDE8F4" w:themeFill="text2" w:themeFillTint="1A"/>
            <w:noWrap/>
          </w:tcPr>
          <w:p w14:paraId="7254D3AC" w14:textId="77777777" w:rsidR="00122C1B" w:rsidRPr="002241B1" w:rsidRDefault="00122C1B" w:rsidP="00F4508D">
            <w:pPr>
              <w:pStyle w:val="TextPara"/>
              <w:keepNext/>
              <w:spacing w:before="20" w:after="20"/>
              <w:rPr>
                <w:b/>
                <w:color w:val="595959" w:themeColor="text1" w:themeTint="A6"/>
              </w:rPr>
            </w:pPr>
            <w:r w:rsidRPr="002241B1">
              <w:rPr>
                <w:b/>
                <w:color w:val="595959" w:themeColor="text1" w:themeTint="A6"/>
              </w:rPr>
              <w:t xml:space="preserve">Schedule </w:t>
            </w:r>
            <w:r>
              <w:rPr>
                <w:b/>
                <w:color w:val="595959" w:themeColor="text1" w:themeTint="A6"/>
              </w:rPr>
              <w:t>4</w:t>
            </w:r>
            <w:r w:rsidRPr="002241B1">
              <w:rPr>
                <w:b/>
                <w:color w:val="595959" w:themeColor="text1" w:themeTint="A6"/>
              </w:rPr>
              <w:t xml:space="preserve"> </w:t>
            </w:r>
            <w:r w:rsidRPr="002241B1">
              <w:rPr>
                <w:b/>
                <w:color w:val="595959" w:themeColor="text1" w:themeTint="A6"/>
              </w:rPr>
              <w:tab/>
            </w:r>
            <w:r w:rsidRPr="00F263E2">
              <w:rPr>
                <w:b/>
                <w:color w:val="595959" w:themeColor="text1" w:themeTint="A6"/>
              </w:rPr>
              <w:t>Demerit points for relevant interstate offences</w:t>
            </w:r>
          </w:p>
        </w:tc>
      </w:tr>
      <w:tr w:rsidR="00122C1B" w:rsidRPr="00261AF5" w14:paraId="29C1128A" w14:textId="77777777" w:rsidTr="00FB7919">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06E5BA05" w14:textId="77777777" w:rsidR="00122C1B" w:rsidRPr="00117C96" w:rsidRDefault="00122C1B" w:rsidP="00F4508D">
            <w:pPr>
              <w:pStyle w:val="TableParagraph"/>
            </w:pPr>
            <w:r>
              <w:t>Demerit points</w:t>
            </w:r>
          </w:p>
        </w:tc>
        <w:tc>
          <w:tcPr>
            <w:tcW w:w="3369" w:type="dxa"/>
            <w:shd w:val="clear" w:color="auto" w:fill="auto"/>
            <w:noWrap/>
          </w:tcPr>
          <w:p w14:paraId="361E17F3" w14:textId="77777777" w:rsidR="00122C1B" w:rsidRPr="00DB1E0A" w:rsidRDefault="00122C1B" w:rsidP="000B5799">
            <w:pPr>
              <w:pStyle w:val="TableParagraph"/>
            </w:pPr>
            <w:r>
              <w:t xml:space="preserve">Insert new table which is found in clause 21 of Schedule 2 </w:t>
            </w:r>
            <w:r w:rsidR="005238CA">
              <w:t>to</w:t>
            </w:r>
            <w:r>
              <w:t xml:space="preserve"> the National Transport Commission (Road Transport Legislation—Driver Licensing) Regulations 2006.</w:t>
            </w:r>
          </w:p>
        </w:tc>
        <w:tc>
          <w:tcPr>
            <w:tcW w:w="3402" w:type="dxa"/>
            <w:shd w:val="clear" w:color="auto" w:fill="auto"/>
          </w:tcPr>
          <w:p w14:paraId="3B899FB7" w14:textId="77777777" w:rsidR="00122C1B" w:rsidRPr="00261AF5" w:rsidRDefault="00122C1B" w:rsidP="00F4508D">
            <w:pPr>
              <w:pStyle w:val="TableParagraph"/>
            </w:pPr>
            <w:r>
              <w:t xml:space="preserve">Reproduce for convenience the national demerit points table in the new Schedule 4 instead of having a cross reference to the national table in the definition section of the proposed Regulations. </w:t>
            </w:r>
            <w:r w:rsidRPr="000B5799">
              <w:t>The national table is used nationally as a means (through the demerit point exchange system) to apply demerit points to drivers for offences committed interstate</w:t>
            </w:r>
            <w:r>
              <w:t xml:space="preserve">. </w:t>
            </w:r>
          </w:p>
        </w:tc>
      </w:tr>
      <w:tr w:rsidR="00122C1B" w:rsidRPr="002241B1" w14:paraId="2C4948CF" w14:textId="77777777" w:rsidTr="00C25CFD">
        <w:trPr>
          <w:trHeight w:val="300"/>
        </w:trPr>
        <w:tc>
          <w:tcPr>
            <w:tcW w:w="9498" w:type="dxa"/>
            <w:gridSpan w:val="3"/>
            <w:shd w:val="clear" w:color="auto" w:fill="DDE8F4" w:themeFill="text2" w:themeFillTint="1A"/>
            <w:noWrap/>
          </w:tcPr>
          <w:p w14:paraId="6EF0F08D" w14:textId="77777777" w:rsidR="00122C1B" w:rsidRPr="002241B1" w:rsidRDefault="00122C1B" w:rsidP="00024B8D">
            <w:pPr>
              <w:pStyle w:val="TextPara"/>
              <w:keepNext/>
              <w:spacing w:before="20" w:after="20"/>
              <w:rPr>
                <w:b/>
                <w:color w:val="595959" w:themeColor="text1" w:themeTint="A6"/>
              </w:rPr>
            </w:pPr>
            <w:r w:rsidRPr="002241B1">
              <w:rPr>
                <w:b/>
                <w:color w:val="595959" w:themeColor="text1" w:themeTint="A6"/>
              </w:rPr>
              <w:t xml:space="preserve">Schedule </w:t>
            </w:r>
            <w:r>
              <w:rPr>
                <w:b/>
                <w:color w:val="595959" w:themeColor="text1" w:themeTint="A6"/>
              </w:rPr>
              <w:t>5</w:t>
            </w:r>
            <w:r w:rsidRPr="002241B1">
              <w:rPr>
                <w:b/>
                <w:color w:val="595959" w:themeColor="text1" w:themeTint="A6"/>
              </w:rPr>
              <w:t xml:space="preserve"> </w:t>
            </w:r>
            <w:r w:rsidRPr="002241B1">
              <w:rPr>
                <w:b/>
                <w:color w:val="595959" w:themeColor="text1" w:themeTint="A6"/>
              </w:rPr>
              <w:tab/>
              <w:t>Offences which disqualify drivers from free 3-year full driver licence</w:t>
            </w:r>
          </w:p>
        </w:tc>
      </w:tr>
      <w:tr w:rsidR="00122C1B" w:rsidRPr="00261AF5" w14:paraId="69D1E440" w14:textId="77777777" w:rsidTr="00FB7919">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127B0325" w14:textId="77777777" w:rsidR="00122C1B" w:rsidRPr="00117C96" w:rsidRDefault="00122C1B" w:rsidP="00024B8D">
            <w:pPr>
              <w:pStyle w:val="TableParagraph"/>
            </w:pPr>
            <w:r>
              <w:t>Offences which disqualify drivers from licence renewal fee reductions</w:t>
            </w:r>
          </w:p>
        </w:tc>
        <w:tc>
          <w:tcPr>
            <w:tcW w:w="3369" w:type="dxa"/>
            <w:shd w:val="clear" w:color="auto" w:fill="auto"/>
            <w:noWrap/>
          </w:tcPr>
          <w:p w14:paraId="14346308" w14:textId="77777777" w:rsidR="00122C1B" w:rsidRPr="00DB1E0A" w:rsidRDefault="00122C1B" w:rsidP="00024B8D">
            <w:pPr>
              <w:pStyle w:val="TableParagraph"/>
            </w:pPr>
            <w:r>
              <w:t xml:space="preserve">Update offence references to match renumbering of </w:t>
            </w:r>
            <w:r w:rsidR="00084184">
              <w:t xml:space="preserve">the </w:t>
            </w:r>
            <w:r>
              <w:t xml:space="preserve">proposed </w:t>
            </w:r>
            <w:r w:rsidR="00084184">
              <w:t xml:space="preserve">Road Safety (Drivers) </w:t>
            </w:r>
            <w:r>
              <w:t xml:space="preserve">Regulations and </w:t>
            </w:r>
            <w:r w:rsidR="00084184">
              <w:t xml:space="preserve">the proposed </w:t>
            </w:r>
            <w:r>
              <w:t>Road Safety (Vehicle</w:t>
            </w:r>
            <w:r w:rsidR="006F17E9">
              <w:t xml:space="preserve"> Registration</w:t>
            </w:r>
            <w:r>
              <w:t>) Regulations</w:t>
            </w:r>
            <w:r w:rsidR="00084184">
              <w:t>, if the remaking of the latter regulations precedes the former</w:t>
            </w:r>
            <w:r>
              <w:t>.</w:t>
            </w:r>
          </w:p>
        </w:tc>
        <w:tc>
          <w:tcPr>
            <w:tcW w:w="3402" w:type="dxa"/>
            <w:shd w:val="clear" w:color="auto" w:fill="auto"/>
          </w:tcPr>
          <w:p w14:paraId="38C7F369" w14:textId="77777777" w:rsidR="00122C1B" w:rsidRPr="00261AF5" w:rsidRDefault="00122C1B" w:rsidP="00024B8D">
            <w:pPr>
              <w:pStyle w:val="TableParagraph"/>
            </w:pPr>
            <w:r>
              <w:t>No substantive change is proposed.</w:t>
            </w:r>
          </w:p>
        </w:tc>
      </w:tr>
      <w:tr w:rsidR="00122C1B" w:rsidRPr="002241B1" w14:paraId="70733A20" w14:textId="77777777" w:rsidTr="00C25CFD">
        <w:trPr>
          <w:trHeight w:val="300"/>
        </w:trPr>
        <w:tc>
          <w:tcPr>
            <w:tcW w:w="9498" w:type="dxa"/>
            <w:gridSpan w:val="3"/>
            <w:shd w:val="clear" w:color="auto" w:fill="DDE8F4" w:themeFill="text2" w:themeFillTint="1A"/>
            <w:noWrap/>
          </w:tcPr>
          <w:p w14:paraId="342E54AD" w14:textId="77777777" w:rsidR="00122C1B" w:rsidRPr="002241B1" w:rsidRDefault="00122C1B" w:rsidP="00024B8D">
            <w:pPr>
              <w:pStyle w:val="TextPara"/>
              <w:keepNext/>
              <w:spacing w:before="20" w:after="20"/>
              <w:rPr>
                <w:b/>
                <w:color w:val="595959" w:themeColor="text1" w:themeTint="A6"/>
              </w:rPr>
            </w:pPr>
            <w:r w:rsidRPr="002241B1">
              <w:rPr>
                <w:b/>
                <w:color w:val="595959" w:themeColor="text1" w:themeTint="A6"/>
              </w:rPr>
              <w:t xml:space="preserve">Schedule </w:t>
            </w:r>
            <w:r>
              <w:rPr>
                <w:b/>
                <w:color w:val="595959" w:themeColor="text1" w:themeTint="A6"/>
              </w:rPr>
              <w:t>6</w:t>
            </w:r>
            <w:r w:rsidRPr="002241B1">
              <w:rPr>
                <w:b/>
                <w:color w:val="595959" w:themeColor="text1" w:themeTint="A6"/>
              </w:rPr>
              <w:t xml:space="preserve"> </w:t>
            </w:r>
            <w:r w:rsidRPr="002241B1">
              <w:rPr>
                <w:b/>
                <w:color w:val="595959" w:themeColor="text1" w:themeTint="A6"/>
              </w:rPr>
              <w:tab/>
              <w:t>Fees</w:t>
            </w:r>
          </w:p>
        </w:tc>
      </w:tr>
      <w:tr w:rsidR="00122C1B" w:rsidRPr="00261AF5" w14:paraId="26EB48AB" w14:textId="77777777" w:rsidTr="00FB7919">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0F89D032" w14:textId="77777777" w:rsidR="00122C1B" w:rsidRPr="00117C96" w:rsidRDefault="00122C1B" w:rsidP="00024B8D">
            <w:pPr>
              <w:pStyle w:val="TableParagraph"/>
            </w:pPr>
            <w:r>
              <w:t>General fees</w:t>
            </w:r>
          </w:p>
        </w:tc>
        <w:tc>
          <w:tcPr>
            <w:tcW w:w="3369" w:type="dxa"/>
            <w:shd w:val="clear" w:color="auto" w:fill="auto"/>
            <w:noWrap/>
          </w:tcPr>
          <w:p w14:paraId="3504B74D" w14:textId="77777777" w:rsidR="00122C1B" w:rsidRDefault="00122C1B" w:rsidP="00024B8D">
            <w:pPr>
              <w:pStyle w:val="TableParagraph"/>
            </w:pPr>
            <w:r w:rsidRPr="00DB1E0A">
              <w:t>Substantially the same</w:t>
            </w:r>
            <w:r>
              <w:t xml:space="preserve"> as existing regulations, except for –</w:t>
            </w:r>
          </w:p>
          <w:p w14:paraId="10F8D41A" w14:textId="77777777" w:rsidR="00122C1B" w:rsidRDefault="00122C1B" w:rsidP="00AC190A">
            <w:pPr>
              <w:pStyle w:val="TableList1"/>
            </w:pPr>
            <w:r>
              <w:t>the deletion of three items regarding specific exemption applications and their replacement by a fee applicable to all exemption applications, and</w:t>
            </w:r>
          </w:p>
          <w:p w14:paraId="34ED95BB" w14:textId="77777777" w:rsidR="00122C1B" w:rsidRPr="00261AF5" w:rsidRDefault="00122C1B" w:rsidP="00AC190A">
            <w:pPr>
              <w:pStyle w:val="TableList1"/>
            </w:pPr>
            <w:r>
              <w:t>the re-wording of the item relating to variation of drive licences or learner permit.</w:t>
            </w:r>
          </w:p>
        </w:tc>
        <w:tc>
          <w:tcPr>
            <w:tcW w:w="3402" w:type="dxa"/>
            <w:shd w:val="clear" w:color="auto" w:fill="auto"/>
          </w:tcPr>
          <w:p w14:paraId="1995E7D3" w14:textId="77777777" w:rsidR="00122C1B" w:rsidRPr="00261AF5" w:rsidRDefault="00122C1B" w:rsidP="00024B8D">
            <w:pPr>
              <w:pStyle w:val="TableParagraph"/>
            </w:pPr>
            <w:r>
              <w:t>The changes to Schedule 6 follow from the changes proposed to be made in relation to consolidating exemption applications in one regulation and combining items in Schedule 6 while retaining the fees charged at the current rate.</w:t>
            </w:r>
          </w:p>
        </w:tc>
      </w:tr>
      <w:tr w:rsidR="00122C1B" w:rsidRPr="002241B1" w14:paraId="27A39BF3" w14:textId="77777777" w:rsidTr="00C25CFD">
        <w:trPr>
          <w:trHeight w:val="300"/>
        </w:trPr>
        <w:tc>
          <w:tcPr>
            <w:tcW w:w="9498" w:type="dxa"/>
            <w:gridSpan w:val="3"/>
            <w:shd w:val="clear" w:color="auto" w:fill="DDE8F4" w:themeFill="text2" w:themeFillTint="1A"/>
            <w:noWrap/>
          </w:tcPr>
          <w:p w14:paraId="2B4F98BF" w14:textId="77777777" w:rsidR="00122C1B" w:rsidRPr="002241B1" w:rsidRDefault="00122C1B" w:rsidP="00024B8D">
            <w:pPr>
              <w:pStyle w:val="TextPara"/>
              <w:spacing w:before="20" w:after="20"/>
              <w:rPr>
                <w:b/>
                <w:color w:val="595959" w:themeColor="text1" w:themeTint="A6"/>
              </w:rPr>
            </w:pPr>
            <w:r w:rsidRPr="002241B1">
              <w:rPr>
                <w:b/>
                <w:color w:val="595959" w:themeColor="text1" w:themeTint="A6"/>
              </w:rPr>
              <w:t xml:space="preserve">Schedule </w:t>
            </w:r>
            <w:r>
              <w:rPr>
                <w:b/>
                <w:color w:val="595959" w:themeColor="text1" w:themeTint="A6"/>
              </w:rPr>
              <w:t>7</w:t>
            </w:r>
            <w:r w:rsidRPr="002241B1">
              <w:rPr>
                <w:b/>
                <w:color w:val="595959" w:themeColor="text1" w:themeTint="A6"/>
              </w:rPr>
              <w:t xml:space="preserve"> </w:t>
            </w:r>
            <w:r w:rsidRPr="002241B1">
              <w:rPr>
                <w:b/>
                <w:color w:val="595959" w:themeColor="text1" w:themeTint="A6"/>
              </w:rPr>
              <w:tab/>
              <w:t>Search and extract fees</w:t>
            </w:r>
          </w:p>
        </w:tc>
      </w:tr>
      <w:tr w:rsidR="00122C1B" w:rsidRPr="00261AF5" w14:paraId="33176841" w14:textId="77777777" w:rsidTr="00FB7919">
        <w:trPr>
          <w:cnfStyle w:val="000000010000" w:firstRow="0" w:lastRow="0" w:firstColumn="0" w:lastColumn="0" w:oddVBand="0" w:evenVBand="0" w:oddHBand="0" w:evenHBand="1" w:firstRowFirstColumn="0" w:firstRowLastColumn="0" w:lastRowFirstColumn="0" w:lastRowLastColumn="0"/>
          <w:trHeight w:val="300"/>
        </w:trPr>
        <w:tc>
          <w:tcPr>
            <w:tcW w:w="2727" w:type="dxa"/>
            <w:shd w:val="clear" w:color="auto" w:fill="auto"/>
            <w:noWrap/>
          </w:tcPr>
          <w:p w14:paraId="4AA27478" w14:textId="77777777" w:rsidR="00122C1B" w:rsidRPr="00117C96" w:rsidRDefault="00122C1B" w:rsidP="00024B8D">
            <w:pPr>
              <w:pStyle w:val="TableParagraph"/>
            </w:pPr>
            <w:r w:rsidRPr="00D2046C">
              <w:t>Search and extract fees</w:t>
            </w:r>
          </w:p>
        </w:tc>
        <w:tc>
          <w:tcPr>
            <w:tcW w:w="3369" w:type="dxa"/>
            <w:shd w:val="clear" w:color="auto" w:fill="auto"/>
            <w:noWrap/>
          </w:tcPr>
          <w:p w14:paraId="555B0C77" w14:textId="77777777" w:rsidR="00122C1B" w:rsidRPr="00261AF5" w:rsidRDefault="00122C1B" w:rsidP="00024B8D">
            <w:pPr>
              <w:pStyle w:val="TableParagraph"/>
            </w:pPr>
            <w:r>
              <w:t xml:space="preserve">Retain current list of search and extract services and related fees. </w:t>
            </w:r>
          </w:p>
        </w:tc>
        <w:tc>
          <w:tcPr>
            <w:tcW w:w="3402" w:type="dxa"/>
            <w:shd w:val="clear" w:color="auto" w:fill="auto"/>
          </w:tcPr>
          <w:p w14:paraId="20FA0826" w14:textId="77777777" w:rsidR="00122C1B" w:rsidRPr="00261AF5" w:rsidRDefault="00122C1B" w:rsidP="00024B8D">
            <w:pPr>
              <w:pStyle w:val="TableParagraph"/>
            </w:pPr>
            <w:r>
              <w:t xml:space="preserve">Remove one item that is no longer relevant and consolidate others to </w:t>
            </w:r>
            <w:r>
              <w:lastRenderedPageBreak/>
              <w:t>eliminate duplication. No change in fees is proposed.</w:t>
            </w:r>
          </w:p>
        </w:tc>
      </w:tr>
    </w:tbl>
    <w:p w14:paraId="24076646" w14:textId="77777777" w:rsidR="00122C1B" w:rsidRDefault="00122C1B" w:rsidP="006651FA">
      <w:pPr>
        <w:pStyle w:val="Source"/>
      </w:pPr>
      <w:r>
        <w:lastRenderedPageBreak/>
        <w:t>Source: VicRoads, 2018</w:t>
      </w:r>
    </w:p>
    <w:p w14:paraId="4AEB4B0B" w14:textId="25955CB6" w:rsidR="00122C1B" w:rsidRDefault="00122C1B" w:rsidP="001A063E">
      <w:pPr>
        <w:pStyle w:val="Heading2"/>
      </w:pPr>
      <w:bookmarkStart w:id="891" w:name="_Toc10703544"/>
      <w:bookmarkEnd w:id="877"/>
      <w:r>
        <w:t>Enforcement</w:t>
      </w:r>
      <w:bookmarkEnd w:id="891"/>
    </w:p>
    <w:p w14:paraId="3FAAC701" w14:textId="77777777" w:rsidR="00122C1B" w:rsidRDefault="000C33B0" w:rsidP="00E06B98">
      <w:pPr>
        <w:pStyle w:val="TextPara"/>
      </w:pPr>
      <w:r>
        <w:t>DoT</w:t>
      </w:r>
      <w:r w:rsidR="00122C1B">
        <w:t xml:space="preserve"> and VicRoads developed the proposed Regulations in consultation with Victoria Police to ensure that the regulations are capable of enforcement.</w:t>
      </w:r>
    </w:p>
    <w:p w14:paraId="15A13B52" w14:textId="77777777" w:rsidR="00122C1B" w:rsidRDefault="00122C1B" w:rsidP="00E06B98">
      <w:pPr>
        <w:pStyle w:val="TextPara"/>
      </w:pPr>
      <w:r w:rsidRPr="00620A64">
        <w:t>Victoria Police has an important role to play in promoting road safety compliance</w:t>
      </w:r>
      <w:r>
        <w:t xml:space="preserve"> and the</w:t>
      </w:r>
      <w:r w:rsidRPr="00620A64">
        <w:t xml:space="preserve"> monitoring and enforcement of </w:t>
      </w:r>
      <w:r>
        <w:t>road safety</w:t>
      </w:r>
      <w:r w:rsidRPr="00620A64">
        <w:t xml:space="preserve"> laws. Victoria Police</w:t>
      </w:r>
      <w:r>
        <w:t xml:space="preserve"> </w:t>
      </w:r>
      <w:r w:rsidRPr="00620A64">
        <w:t>have powers to</w:t>
      </w:r>
      <w:r>
        <w:t xml:space="preserve"> </w:t>
      </w:r>
      <w:r w:rsidRPr="00620A64">
        <w:t xml:space="preserve">issue infringement notices to persons found contravening the </w:t>
      </w:r>
      <w:r w:rsidRPr="005E1465">
        <w:rPr>
          <w:i/>
        </w:rPr>
        <w:t>RSA</w:t>
      </w:r>
      <w:r w:rsidRPr="00620A64">
        <w:t xml:space="preserve"> or the </w:t>
      </w:r>
      <w:r>
        <w:t xml:space="preserve">proposed </w:t>
      </w:r>
      <w:r w:rsidR="007C2CFF" w:rsidRPr="00620A64">
        <w:t>Regulations</w:t>
      </w:r>
      <w:r w:rsidRPr="00620A64">
        <w:t>.</w:t>
      </w:r>
      <w:r>
        <w:t xml:space="preserve"> </w:t>
      </w:r>
      <w:r w:rsidRPr="00620A64">
        <w:t>For example, Victoria Police perform blood and breath alcohol concentration (BAC)</w:t>
      </w:r>
      <w:r>
        <w:t xml:space="preserve"> </w:t>
      </w:r>
      <w:r w:rsidRPr="00620A64">
        <w:t xml:space="preserve">tests to ensure that drivers </w:t>
      </w:r>
      <w:r>
        <w:t xml:space="preserve">do not exceed the prescribed </w:t>
      </w:r>
      <w:r w:rsidRPr="00620A64">
        <w:t xml:space="preserve">BAC </w:t>
      </w:r>
      <w:r>
        <w:t xml:space="preserve">level for their licence category. </w:t>
      </w:r>
      <w:r w:rsidRPr="00620A64">
        <w:t>Victoria Police also enforces compliance with other relevant laws, including investigating</w:t>
      </w:r>
      <w:r>
        <w:t xml:space="preserve"> </w:t>
      </w:r>
      <w:r w:rsidRPr="00620A64">
        <w:t>criminal matters relating to drivers</w:t>
      </w:r>
      <w:r>
        <w:t>.</w:t>
      </w:r>
    </w:p>
    <w:p w14:paraId="656D76FA" w14:textId="77777777" w:rsidR="00122C1B" w:rsidRDefault="00122C1B" w:rsidP="006637F4">
      <w:pPr>
        <w:pStyle w:val="TextPara"/>
      </w:pPr>
      <w:r>
        <w:t xml:space="preserve">VicRoads provides </w:t>
      </w:r>
      <w:r w:rsidRPr="00620A64">
        <w:t xml:space="preserve">Victoria Police </w:t>
      </w:r>
      <w:r w:rsidRPr="00D661E6">
        <w:t xml:space="preserve">and </w:t>
      </w:r>
      <w:r w:rsidR="003E73B4">
        <w:t xml:space="preserve">the </w:t>
      </w:r>
      <w:r w:rsidRPr="00D661E6">
        <w:t xml:space="preserve">Infringement Management and Enforcement Services (IMES) </w:t>
      </w:r>
      <w:r w:rsidR="003E73B4" w:rsidRPr="003E73B4">
        <w:t xml:space="preserve">unit of DJCS </w:t>
      </w:r>
      <w:r>
        <w:t>with online access to its driver licence and vehicle registration administration systems to enable the identification of drivers and vehicle operators, the category, status and currency of driver licences and vehicle registration, the power-to-mass ratio of vehicles for PPV verification, and the licence history of drivers.</w:t>
      </w:r>
    </w:p>
    <w:p w14:paraId="337A4BE2" w14:textId="77777777" w:rsidR="00122C1B" w:rsidRDefault="00122C1B" w:rsidP="001A063E">
      <w:pPr>
        <w:pStyle w:val="Heading2"/>
      </w:pPr>
      <w:bookmarkStart w:id="892" w:name="_Toc10703545"/>
      <w:r>
        <w:t>Transitional Arrangements</w:t>
      </w:r>
      <w:bookmarkEnd w:id="892"/>
    </w:p>
    <w:p w14:paraId="75BDE8A0" w14:textId="77777777" w:rsidR="00122C1B" w:rsidRDefault="00122C1B" w:rsidP="00DD6B9D">
      <w:pPr>
        <w:pStyle w:val="NoSpacing"/>
      </w:pPr>
      <w:r>
        <w:t>Conversion of interstate and overseas driver licences</w:t>
      </w:r>
    </w:p>
    <w:p w14:paraId="119245ED" w14:textId="77777777" w:rsidR="00122C1B" w:rsidRPr="00D60E48" w:rsidRDefault="00122C1B" w:rsidP="00D60E48">
      <w:pPr>
        <w:pStyle w:val="TextPara"/>
        <w:rPr>
          <w:lang w:eastAsia="en-AU"/>
        </w:rPr>
      </w:pPr>
      <w:r>
        <w:rPr>
          <w:lang w:eastAsia="en-AU"/>
        </w:rPr>
        <w:t xml:space="preserve">Temporary visa holders, who are current residents of Victoria at </w:t>
      </w:r>
      <w:r w:rsidR="003E73B4">
        <w:rPr>
          <w:lang w:eastAsia="en-AU"/>
        </w:rPr>
        <w:t xml:space="preserve">the </w:t>
      </w:r>
      <w:r>
        <w:rPr>
          <w:lang w:eastAsia="en-AU"/>
        </w:rPr>
        <w:t xml:space="preserve">commencement date of the proposed Regulations and intend to reside </w:t>
      </w:r>
      <w:r w:rsidR="0077669F">
        <w:rPr>
          <w:lang w:eastAsia="en-AU"/>
        </w:rPr>
        <w:t>in Victoria</w:t>
      </w:r>
      <w:r>
        <w:rPr>
          <w:lang w:eastAsia="en-AU"/>
        </w:rPr>
        <w:t xml:space="preserve"> for at least another six months, will be required to convert their overseas licence </w:t>
      </w:r>
      <w:r w:rsidR="003E73B4">
        <w:rPr>
          <w:lang w:eastAsia="en-AU"/>
        </w:rPr>
        <w:t xml:space="preserve">to a Victorian licence </w:t>
      </w:r>
      <w:r>
        <w:rPr>
          <w:lang w:eastAsia="en-AU"/>
        </w:rPr>
        <w:t>within six months from the commencement date.</w:t>
      </w:r>
    </w:p>
    <w:p w14:paraId="33915C0E" w14:textId="77777777" w:rsidR="00B4403C" w:rsidRDefault="00B4403C" w:rsidP="006713F9">
      <w:pPr>
        <w:pStyle w:val="Heading1"/>
        <w:sectPr w:rsidR="00B4403C" w:rsidSect="00910C49">
          <w:headerReference w:type="even" r:id="rId78"/>
          <w:headerReference w:type="default" r:id="rId79"/>
          <w:headerReference w:type="first" r:id="rId80"/>
          <w:endnotePr>
            <w:numFmt w:val="decimal"/>
          </w:endnotePr>
          <w:pgSz w:w="11906" w:h="16838" w:code="9"/>
          <w:pgMar w:top="1418" w:right="1134" w:bottom="1418" w:left="1247" w:header="567" w:footer="397" w:gutter="0"/>
          <w:cols w:space="708"/>
          <w:docGrid w:linePitch="360"/>
        </w:sectPr>
      </w:pPr>
      <w:bookmarkStart w:id="893" w:name="_Toc508727295"/>
    </w:p>
    <w:p w14:paraId="6A855F72" w14:textId="77777777" w:rsidR="00122C1B" w:rsidRDefault="00122C1B" w:rsidP="006713F9">
      <w:pPr>
        <w:pStyle w:val="Heading1"/>
      </w:pPr>
      <w:bookmarkStart w:id="894" w:name="_Toc10703546"/>
      <w:r>
        <w:lastRenderedPageBreak/>
        <w:t>Evaluation</w:t>
      </w:r>
      <w:bookmarkEnd w:id="893"/>
      <w:bookmarkEnd w:id="894"/>
    </w:p>
    <w:p w14:paraId="19AB9ADE" w14:textId="77777777" w:rsidR="00122C1B" w:rsidRDefault="00122C1B" w:rsidP="001A063E">
      <w:pPr>
        <w:pStyle w:val="Heading2"/>
      </w:pPr>
      <w:bookmarkStart w:id="895" w:name="_Toc10703547"/>
      <w:r>
        <w:t>Purpose</w:t>
      </w:r>
      <w:bookmarkEnd w:id="895"/>
    </w:p>
    <w:p w14:paraId="6760F330" w14:textId="77777777" w:rsidR="00122C1B" w:rsidRDefault="00122C1B" w:rsidP="00866CED">
      <w:pPr>
        <w:pStyle w:val="TextPara"/>
        <w:rPr>
          <w:lang w:eastAsia="en-AU"/>
        </w:rPr>
      </w:pPr>
      <w:r>
        <w:rPr>
          <w:lang w:eastAsia="en-AU"/>
        </w:rPr>
        <w:t xml:space="preserve">It is important for </w:t>
      </w:r>
      <w:r w:rsidR="000C33B0">
        <w:rPr>
          <w:lang w:eastAsia="en-AU"/>
        </w:rPr>
        <w:t>DoT</w:t>
      </w:r>
      <w:r>
        <w:rPr>
          <w:lang w:eastAsia="en-AU"/>
        </w:rPr>
        <w:t xml:space="preserve"> to undertake an evaluation of the proposed Regulations to assess whether they are the appropriate intervention to meet their identified objectives. An evaluation strategy outlines how the evaluation will be undertaken.</w:t>
      </w:r>
    </w:p>
    <w:p w14:paraId="0D5E6FA7" w14:textId="77777777" w:rsidR="00FA1719" w:rsidRDefault="00FA1719" w:rsidP="001A063E">
      <w:pPr>
        <w:pStyle w:val="Heading2"/>
      </w:pPr>
      <w:bookmarkStart w:id="896" w:name="_Toc10703548"/>
      <w:r>
        <w:t>Strategy</w:t>
      </w:r>
      <w:bookmarkEnd w:id="896"/>
    </w:p>
    <w:p w14:paraId="7AEE0CC4" w14:textId="77777777" w:rsidR="00FA1719" w:rsidRPr="00DA5D90" w:rsidRDefault="00FA1719" w:rsidP="00FA1719">
      <w:pPr>
        <w:pStyle w:val="TextPara"/>
        <w:spacing w:after="60"/>
      </w:pPr>
      <w:r>
        <w:rPr>
          <w:lang w:eastAsia="en-AU"/>
        </w:rPr>
        <w:t xml:space="preserve">The objectives of the proposed Regulations build on the objectives of the </w:t>
      </w:r>
      <w:r w:rsidRPr="005E1465">
        <w:rPr>
          <w:i/>
          <w:lang w:eastAsia="en-AU"/>
        </w:rPr>
        <w:t>RSA</w:t>
      </w:r>
      <w:r>
        <w:rPr>
          <w:lang w:eastAsia="en-AU"/>
        </w:rPr>
        <w:t xml:space="preserve">. Broadly, the objectives relevant to the evaluation strategy in this RIS are to </w:t>
      </w:r>
      <w:r>
        <w:rPr>
          <w:rFonts w:cs="Segoe UI"/>
          <w:lang w:eastAsia="en-AU"/>
        </w:rPr>
        <w:t>ensure that</w:t>
      </w:r>
      <w:r w:rsidRPr="00117C96">
        <w:rPr>
          <w:rFonts w:cs="Segoe UI"/>
          <w:lang w:eastAsia="en-AU"/>
        </w:rPr>
        <w:t>:</w:t>
      </w:r>
    </w:p>
    <w:p w14:paraId="196CB6C3" w14:textId="77777777" w:rsidR="00FA1719" w:rsidRPr="00CB4C3C" w:rsidRDefault="00FA1719" w:rsidP="00FA1719">
      <w:pPr>
        <w:pStyle w:val="Bullet1-Black"/>
      </w:pPr>
      <w:r w:rsidRPr="00CB4C3C">
        <w:t xml:space="preserve">people who drive motor vehicles on highways </w:t>
      </w:r>
      <w:r w:rsidR="008F1CC1">
        <w:t>are competent drivers</w:t>
      </w:r>
    </w:p>
    <w:p w14:paraId="7AAC1E8B" w14:textId="77777777" w:rsidR="00FA1719" w:rsidRPr="00CB4C3C" w:rsidRDefault="00FA1719" w:rsidP="00FA1719">
      <w:pPr>
        <w:pStyle w:val="Bullet1-Black"/>
      </w:pPr>
      <w:r w:rsidRPr="00CB4C3C">
        <w:t>drivers are aware of</w:t>
      </w:r>
      <w:r>
        <w:t>,</w:t>
      </w:r>
      <w:r w:rsidRPr="00CB4C3C">
        <w:t xml:space="preserve"> </w:t>
      </w:r>
      <w:r>
        <w:t xml:space="preserve">and comply with, </w:t>
      </w:r>
      <w:r w:rsidRPr="00CB4C3C">
        <w:t xml:space="preserve">safe driving practices and </w:t>
      </w:r>
      <w:r>
        <w:t xml:space="preserve">the </w:t>
      </w:r>
      <w:r w:rsidRPr="00CB4C3C">
        <w:t>road law</w:t>
      </w:r>
      <w:r>
        <w:t>s</w:t>
      </w:r>
    </w:p>
    <w:p w14:paraId="381CB42E" w14:textId="77777777" w:rsidR="00FA1719" w:rsidRPr="00CB4C3C" w:rsidRDefault="00FA1719" w:rsidP="00FA1719">
      <w:pPr>
        <w:pStyle w:val="Bullet1-Black"/>
      </w:pPr>
      <w:r w:rsidRPr="00CB4C3C">
        <w:t xml:space="preserve">people who are, or who become, unfit to drive are not </w:t>
      </w:r>
      <w:r>
        <w:t xml:space="preserve">or no longer </w:t>
      </w:r>
      <w:r w:rsidR="008F1CC1">
        <w:t>permitted to drive</w:t>
      </w:r>
    </w:p>
    <w:p w14:paraId="403921F3" w14:textId="77777777" w:rsidR="00FA1719" w:rsidRDefault="00FA1719" w:rsidP="00FA1719">
      <w:pPr>
        <w:pStyle w:val="Bullet1-Black"/>
      </w:pPr>
      <w:r w:rsidRPr="00CB4C3C">
        <w:t>drivers can be identified for the purposes of law enforcement and accident investigation.</w:t>
      </w:r>
    </w:p>
    <w:p w14:paraId="6AD84DED" w14:textId="77777777" w:rsidR="00FA1719" w:rsidRDefault="00FA1719" w:rsidP="00FA1719">
      <w:pPr>
        <w:pStyle w:val="TextPara"/>
        <w:rPr>
          <w:lang w:eastAsia="en-AU"/>
        </w:rPr>
      </w:pPr>
      <w:r>
        <w:rPr>
          <w:lang w:eastAsia="en-AU"/>
        </w:rPr>
        <w:t>Accordingly, an evaluation of the proposed Regulations would be structured around these areas. The proposed approach to this evaluation</w:t>
      </w:r>
      <w:r w:rsidRPr="00BA1EE3">
        <w:rPr>
          <w:lang w:eastAsia="en-AU"/>
        </w:rPr>
        <w:t xml:space="preserve"> </w:t>
      </w:r>
      <w:r>
        <w:rPr>
          <w:lang w:eastAsia="en-AU"/>
        </w:rPr>
        <w:t>includes:</w:t>
      </w:r>
    </w:p>
    <w:p w14:paraId="07327776" w14:textId="77777777" w:rsidR="00FA1719" w:rsidRPr="00256947" w:rsidRDefault="00FA1719" w:rsidP="00FA1719">
      <w:pPr>
        <w:pStyle w:val="Bullet1-Black"/>
      </w:pPr>
      <w:r w:rsidRPr="00EF6576">
        <w:rPr>
          <w:i/>
        </w:rPr>
        <w:t>identifying relevant regulations</w:t>
      </w:r>
      <w:r>
        <w:t xml:space="preserve"> </w:t>
      </w:r>
      <w:r w:rsidRPr="00256947">
        <w:t>—</w:t>
      </w:r>
      <w:r>
        <w:t xml:space="preserve"> the proposed Regulations or provisions in primary legislation, or changes in such law, that are </w:t>
      </w:r>
      <w:r w:rsidRPr="00256947">
        <w:t>rel</w:t>
      </w:r>
      <w:r>
        <w:t>evant to the specific objective</w:t>
      </w:r>
    </w:p>
    <w:p w14:paraId="361D8ECF" w14:textId="77777777" w:rsidR="00FA1719" w:rsidRPr="00256947" w:rsidRDefault="00FA1719" w:rsidP="00FA1719">
      <w:pPr>
        <w:pStyle w:val="Bullet1-Black"/>
      </w:pPr>
      <w:r w:rsidRPr="00EF6576">
        <w:rPr>
          <w:i/>
        </w:rPr>
        <w:t>identifying indicators</w:t>
      </w:r>
      <w:r>
        <w:t xml:space="preserve"> </w:t>
      </w:r>
      <w:r w:rsidRPr="00256947">
        <w:t>— the changes in outputs or outcomes providing an indication that the objectives of the intervention are</w:t>
      </w:r>
      <w:r>
        <w:t xml:space="preserve"> being achieved</w:t>
      </w:r>
    </w:p>
    <w:p w14:paraId="26FC63BB" w14:textId="77777777" w:rsidR="00FA1719" w:rsidRPr="00256947" w:rsidRDefault="00FA1719" w:rsidP="00FA1719">
      <w:pPr>
        <w:pStyle w:val="Bullet1-Black"/>
      </w:pPr>
      <w:r w:rsidRPr="00EF6576">
        <w:rPr>
          <w:i/>
        </w:rPr>
        <w:t>identifying the baseline data</w:t>
      </w:r>
      <w:r w:rsidRPr="00256947">
        <w:t xml:space="preserve"> — the data that will be collected prior to the c</w:t>
      </w:r>
      <w:r w:rsidR="00C738A5">
        <w:t>ommencement of the intervention</w:t>
      </w:r>
      <w:r w:rsidRPr="00256947">
        <w:t xml:space="preserve"> that will be us</w:t>
      </w:r>
      <w:r>
        <w:t>ed as the basis of the analysis</w:t>
      </w:r>
    </w:p>
    <w:p w14:paraId="3B8AD02E" w14:textId="77777777" w:rsidR="00FA1719" w:rsidRPr="00256947" w:rsidRDefault="00FA1719" w:rsidP="00FA1719">
      <w:pPr>
        <w:pStyle w:val="Bullet1-Black"/>
      </w:pPr>
      <w:r w:rsidRPr="00EF6576">
        <w:rPr>
          <w:i/>
        </w:rPr>
        <w:t>data to be collected</w:t>
      </w:r>
      <w:r w:rsidRPr="00256947">
        <w:t xml:space="preserve"> — the data that will be collected after the commencement of the intervention. This data will be ass</w:t>
      </w:r>
      <w:r>
        <w:t>essed against the baseline data</w:t>
      </w:r>
    </w:p>
    <w:p w14:paraId="576146FB" w14:textId="77777777" w:rsidR="00FA1719" w:rsidRDefault="00FA1719" w:rsidP="00FA1719">
      <w:pPr>
        <w:pStyle w:val="Bullet1-Black"/>
      </w:pPr>
      <w:r w:rsidRPr="00EF6576">
        <w:rPr>
          <w:i/>
        </w:rPr>
        <w:t>comparison of outputs and outcomes with baseline data</w:t>
      </w:r>
      <w:r>
        <w:t xml:space="preserve"> </w:t>
      </w:r>
      <w:r w:rsidRPr="00256947">
        <w:t>—</w:t>
      </w:r>
      <w:r>
        <w:t xml:space="preserve"> </w:t>
      </w:r>
      <w:r w:rsidRPr="00256947">
        <w:t>the evaluation</w:t>
      </w:r>
      <w:r>
        <w:t xml:space="preserve"> will consist of a comparison of the outputs and outcomes post-implementation against the baseline data.</w:t>
      </w:r>
    </w:p>
    <w:p w14:paraId="49ECF5F5" w14:textId="77777777" w:rsidR="00FA1719" w:rsidRDefault="00FA1719" w:rsidP="00FA1719">
      <w:pPr>
        <w:pStyle w:val="TextPara"/>
        <w:rPr>
          <w:lang w:eastAsia="en-AU"/>
        </w:rPr>
      </w:pPr>
      <w:r>
        <w:rPr>
          <w:lang w:eastAsia="en-AU"/>
        </w:rPr>
        <w:t xml:space="preserve">The evaluation strategy specified here is provided as a high-level methodology. </w:t>
      </w:r>
      <w:r w:rsidR="000C33B0">
        <w:rPr>
          <w:lang w:eastAsia="en-AU"/>
        </w:rPr>
        <w:t>DoT</w:t>
      </w:r>
      <w:r>
        <w:rPr>
          <w:lang w:eastAsia="en-AU"/>
        </w:rPr>
        <w:t xml:space="preserve"> will develop a more detailed strategy once the proposed Regulations are made and prior to the commencement of the proposed Regulations. This will be undertaken as part of the task of implementing the proposed Regulations. The systems and processes for data collection can be designed with the evaluation in mind.</w:t>
      </w:r>
    </w:p>
    <w:p w14:paraId="22A48BA0" w14:textId="77777777" w:rsidR="006C6EB1" w:rsidRDefault="006C6EB1" w:rsidP="006C6EB1">
      <w:pPr>
        <w:pStyle w:val="TextPara"/>
        <w:rPr>
          <w:lang w:eastAsia="en-AU"/>
        </w:rPr>
      </w:pPr>
      <w:r>
        <w:rPr>
          <w:lang w:eastAsia="en-AU"/>
        </w:rPr>
        <w:t xml:space="preserve">The evaluation methodology, outlined </w:t>
      </w:r>
      <w:r w:rsidR="009503CA">
        <w:rPr>
          <w:lang w:eastAsia="en-AU"/>
        </w:rPr>
        <w:t>above</w:t>
      </w:r>
      <w:r>
        <w:rPr>
          <w:lang w:eastAsia="en-AU"/>
        </w:rPr>
        <w:t>, will be used as the basis for both evaluations. VicRoads will undertake the evaluation</w:t>
      </w:r>
      <w:r w:rsidR="005C42A3">
        <w:rPr>
          <w:lang w:eastAsia="en-AU"/>
        </w:rPr>
        <w:t>,</w:t>
      </w:r>
      <w:r>
        <w:rPr>
          <w:lang w:eastAsia="en-AU"/>
        </w:rPr>
        <w:t xml:space="preserve"> drawing on information and input from various relevant sources. </w:t>
      </w:r>
      <w:r w:rsidR="00C738A5">
        <w:rPr>
          <w:lang w:eastAsia="en-AU"/>
        </w:rPr>
        <w:t xml:space="preserve">VicRoads </w:t>
      </w:r>
      <w:r>
        <w:rPr>
          <w:lang w:eastAsia="en-AU"/>
        </w:rPr>
        <w:t xml:space="preserve">will primarily draw on data and information collected by Victoria Police, the Department of Justice </w:t>
      </w:r>
      <w:r w:rsidR="00C738A5">
        <w:rPr>
          <w:lang w:eastAsia="en-AU"/>
        </w:rPr>
        <w:t>and Community Safety</w:t>
      </w:r>
      <w:r>
        <w:rPr>
          <w:lang w:eastAsia="en-AU"/>
        </w:rPr>
        <w:t xml:space="preserve">, the </w:t>
      </w:r>
      <w:r w:rsidR="00C738A5">
        <w:rPr>
          <w:lang w:eastAsia="en-AU"/>
        </w:rPr>
        <w:t xml:space="preserve">courts </w:t>
      </w:r>
      <w:r>
        <w:rPr>
          <w:lang w:eastAsia="en-AU"/>
        </w:rPr>
        <w:t xml:space="preserve">and the Transport Accident Commission. This includes compliance data, infringement data, penalties imposed by the </w:t>
      </w:r>
      <w:r w:rsidR="00C738A5">
        <w:rPr>
          <w:lang w:eastAsia="en-AU"/>
        </w:rPr>
        <w:t xml:space="preserve">courts </w:t>
      </w:r>
      <w:r>
        <w:rPr>
          <w:lang w:eastAsia="en-AU"/>
        </w:rPr>
        <w:t xml:space="preserve">for driving offences, and information and data kept by VicRoads as records (as required by the proposed Regulations). </w:t>
      </w:r>
    </w:p>
    <w:p w14:paraId="7867B04B" w14:textId="77777777" w:rsidR="00FA6817" w:rsidRDefault="006C6EB1" w:rsidP="006C6EB1">
      <w:pPr>
        <w:pStyle w:val="TextPara"/>
        <w:rPr>
          <w:lang w:eastAsia="en-AU"/>
        </w:rPr>
      </w:pPr>
      <w:r>
        <w:rPr>
          <w:lang w:eastAsia="en-AU"/>
        </w:rPr>
        <w:t xml:space="preserve">As part of the mid-term review, VicRoads may commission additional research and/or surveys to fill in data gaps if necessary to support the analysis. VicRoads provides advice to </w:t>
      </w:r>
      <w:r w:rsidR="000C33B0">
        <w:rPr>
          <w:lang w:eastAsia="en-AU"/>
        </w:rPr>
        <w:t>DoT</w:t>
      </w:r>
      <w:r>
        <w:rPr>
          <w:lang w:eastAsia="en-AU"/>
        </w:rPr>
        <w:t xml:space="preserve"> and the Minister for Roads Safety and the TAC on policy in relation to road safety matters and the operation of the </w:t>
      </w:r>
      <w:r w:rsidRPr="00206D75">
        <w:rPr>
          <w:i/>
          <w:lang w:eastAsia="en-AU"/>
        </w:rPr>
        <w:t>RSA</w:t>
      </w:r>
      <w:r>
        <w:rPr>
          <w:lang w:eastAsia="en-AU"/>
        </w:rPr>
        <w:t xml:space="preserve"> and the proposed Regulations. </w:t>
      </w:r>
      <w:r w:rsidR="005C42A3">
        <w:rPr>
          <w:lang w:eastAsia="en-AU"/>
        </w:rPr>
        <w:t xml:space="preserve">VicRoads </w:t>
      </w:r>
      <w:r w:rsidR="00A4264C">
        <w:rPr>
          <w:lang w:eastAsia="en-AU"/>
        </w:rPr>
        <w:t xml:space="preserve">and DoT </w:t>
      </w:r>
      <w:r>
        <w:rPr>
          <w:lang w:eastAsia="en-AU"/>
        </w:rPr>
        <w:t>will work closely together to identify areas of improvement in road safety on a</w:t>
      </w:r>
      <w:r w:rsidR="00A4264C">
        <w:rPr>
          <w:lang w:eastAsia="en-AU"/>
        </w:rPr>
        <w:t>n</w:t>
      </w:r>
      <w:r>
        <w:rPr>
          <w:lang w:eastAsia="en-AU"/>
        </w:rPr>
        <w:t xml:space="preserve"> </w:t>
      </w:r>
      <w:r w:rsidR="009503CA">
        <w:rPr>
          <w:lang w:eastAsia="en-AU"/>
        </w:rPr>
        <w:t>ongoing</w:t>
      </w:r>
      <w:r>
        <w:rPr>
          <w:lang w:eastAsia="en-AU"/>
        </w:rPr>
        <w:t xml:space="preserve"> basis.</w:t>
      </w:r>
      <w:r w:rsidR="00FA6817">
        <w:rPr>
          <w:lang w:eastAsia="en-AU"/>
        </w:rPr>
        <w:t xml:space="preserve"> </w:t>
      </w:r>
    </w:p>
    <w:p w14:paraId="5346085D" w14:textId="3C1D7A82" w:rsidR="00FA6817" w:rsidRDefault="00FA6817" w:rsidP="006C6EB1">
      <w:pPr>
        <w:pStyle w:val="TextPara"/>
        <w:rPr>
          <w:lang w:eastAsia="en-AU"/>
        </w:rPr>
      </w:pPr>
      <w:r>
        <w:rPr>
          <w:lang w:eastAsia="en-AU"/>
        </w:rPr>
        <w:t xml:space="preserve">Given the imminent rolling out of Service Victoria, which will take over the delivery of a number </w:t>
      </w:r>
      <w:r>
        <w:t>of services currently provided by VicRoads, there will potentially be a significant impact on the cost of providing these services to Victorians as services</w:t>
      </w:r>
      <w:r w:rsidR="00956598">
        <w:t xml:space="preserve"> currently delivered by different agencies</w:t>
      </w:r>
      <w:r>
        <w:t xml:space="preserve"> are rationalised. Therefore  it </w:t>
      </w:r>
      <w:r>
        <w:lastRenderedPageBreak/>
        <w:t>would be prudent to ensure</w:t>
      </w:r>
      <w:r>
        <w:rPr>
          <w:rFonts w:cs="Arial"/>
        </w:rPr>
        <w:t xml:space="preserve"> that an activity-based costing exercise is undertaken as part of the mid-term review to ensure that fees </w:t>
      </w:r>
      <w:r w:rsidR="00956598">
        <w:rPr>
          <w:rFonts w:cs="Arial"/>
        </w:rPr>
        <w:t>are</w:t>
      </w:r>
      <w:r>
        <w:rPr>
          <w:rFonts w:cs="Arial"/>
        </w:rPr>
        <w:t xml:space="preserve"> set at appropriate levels.</w:t>
      </w:r>
      <w:r w:rsidR="00E66E3E">
        <w:rPr>
          <w:rFonts w:cs="Arial"/>
        </w:rPr>
        <w:t xml:space="preserve"> </w:t>
      </w:r>
    </w:p>
    <w:p w14:paraId="589ED3FD" w14:textId="77777777" w:rsidR="00122C1B" w:rsidRDefault="00122C1B" w:rsidP="001A063E">
      <w:pPr>
        <w:pStyle w:val="Heading2"/>
      </w:pPr>
      <w:bookmarkStart w:id="897" w:name="_Toc10703549"/>
      <w:r>
        <w:t>Approach</w:t>
      </w:r>
      <w:bookmarkEnd w:id="897"/>
      <w:r>
        <w:t xml:space="preserve"> </w:t>
      </w:r>
    </w:p>
    <w:p w14:paraId="6037746A" w14:textId="77777777" w:rsidR="00122C1B" w:rsidRPr="00E10FF1" w:rsidRDefault="00122C1B" w:rsidP="006713F9">
      <w:pPr>
        <w:pStyle w:val="Heading3"/>
      </w:pPr>
      <w:bookmarkStart w:id="898" w:name="_Ref447429"/>
      <w:bookmarkStart w:id="899" w:name="_Ref447986"/>
      <w:bookmarkStart w:id="900" w:name="_Toc10703550"/>
      <w:r w:rsidRPr="00E10FF1">
        <w:t>Timing, evidence and monitoring</w:t>
      </w:r>
      <w:bookmarkEnd w:id="898"/>
      <w:bookmarkEnd w:id="899"/>
      <w:bookmarkEnd w:id="900"/>
    </w:p>
    <w:p w14:paraId="4A79E8BD" w14:textId="77777777" w:rsidR="00122C1B" w:rsidRDefault="00122C1B" w:rsidP="00866CED">
      <w:pPr>
        <w:pStyle w:val="TextPara"/>
        <w:rPr>
          <w:lang w:eastAsia="en-AU"/>
        </w:rPr>
      </w:pPr>
      <w:r>
        <w:rPr>
          <w:lang w:eastAsia="en-AU"/>
        </w:rPr>
        <w:t xml:space="preserve">Under the </w:t>
      </w:r>
      <w:r w:rsidRPr="005E1465">
        <w:rPr>
          <w:i/>
          <w:lang w:eastAsia="en-AU"/>
        </w:rPr>
        <w:t>Subordinate Legislation Act</w:t>
      </w:r>
      <w:r>
        <w:rPr>
          <w:lang w:eastAsia="en-AU"/>
        </w:rPr>
        <w:t xml:space="preserve">, all regulations expire after ten years. </w:t>
      </w:r>
      <w:r w:rsidR="000C33B0">
        <w:rPr>
          <w:lang w:eastAsia="en-AU"/>
        </w:rPr>
        <w:t>DoT</w:t>
      </w:r>
      <w:r>
        <w:rPr>
          <w:lang w:eastAsia="en-AU"/>
        </w:rPr>
        <w:t xml:space="preserve"> will review the operation of the proposed Regulations before their expiry. The review will evaluate the effectiveness of the proposed Regulations and inform whether the proposed Regulations should be remade in part or in full. A thorough review of the proposed </w:t>
      </w:r>
      <w:r w:rsidR="00731939">
        <w:rPr>
          <w:lang w:eastAsia="en-AU"/>
        </w:rPr>
        <w:t>Regulations</w:t>
      </w:r>
      <w:r>
        <w:rPr>
          <w:lang w:eastAsia="en-AU"/>
        </w:rPr>
        <w:t xml:space="preserve">, as amended during the next 10 years, will take place in preparation for their sunsetting in </w:t>
      </w:r>
      <w:r w:rsidRPr="00C8191A">
        <w:rPr>
          <w:lang w:eastAsia="en-AU"/>
        </w:rPr>
        <w:t>2029</w:t>
      </w:r>
      <w:r>
        <w:rPr>
          <w:lang w:eastAsia="en-AU"/>
        </w:rPr>
        <w:t xml:space="preserve">. This review would commence approximately 18 to 24 months before the expiry of the proposed Regulations in </w:t>
      </w:r>
      <w:r w:rsidRPr="00C8191A">
        <w:rPr>
          <w:lang w:eastAsia="en-AU"/>
        </w:rPr>
        <w:t>2029.</w:t>
      </w:r>
    </w:p>
    <w:p w14:paraId="41E27985" w14:textId="77777777" w:rsidR="00E65954" w:rsidRDefault="00E65954" w:rsidP="006713F9">
      <w:pPr>
        <w:pStyle w:val="Heading3"/>
      </w:pPr>
      <w:bookmarkStart w:id="901" w:name="_Ref532907"/>
      <w:bookmarkStart w:id="902" w:name="_Toc10703551"/>
      <w:r>
        <w:t>Mid-term review</w:t>
      </w:r>
      <w:r w:rsidR="00FA1719" w:rsidRPr="00FA1719">
        <w:t xml:space="preserve"> </w:t>
      </w:r>
      <w:r w:rsidR="00FA1719">
        <w:t>of proposed Regulations</w:t>
      </w:r>
      <w:bookmarkEnd w:id="901"/>
      <w:bookmarkEnd w:id="902"/>
    </w:p>
    <w:p w14:paraId="285CBB82" w14:textId="27D81FA5" w:rsidR="00122C1B" w:rsidRDefault="000C33B0" w:rsidP="00866CED">
      <w:pPr>
        <w:pStyle w:val="TextPara"/>
        <w:rPr>
          <w:lang w:eastAsia="en-AU"/>
        </w:rPr>
      </w:pPr>
      <w:r>
        <w:rPr>
          <w:lang w:eastAsia="en-AU"/>
        </w:rPr>
        <w:t>DoT</w:t>
      </w:r>
      <w:r w:rsidR="00122C1B">
        <w:rPr>
          <w:lang w:eastAsia="en-AU"/>
        </w:rPr>
        <w:t xml:space="preserve"> also intends to undertake a mid-term review of the proposed Regulations to assess how these are operating. </w:t>
      </w:r>
      <w:r w:rsidR="0069070D" w:rsidRPr="0069070D">
        <w:rPr>
          <w:lang w:eastAsia="en-AU"/>
        </w:rPr>
        <w:t xml:space="preserve">This mid-term review will be undertaken in 2023, in line with the Victorian Guide to Regulation advice that mid-term reviews should take place within 3-5 years of the commencement of </w:t>
      </w:r>
      <w:r w:rsidR="002F2CEF">
        <w:rPr>
          <w:lang w:eastAsia="en-AU"/>
        </w:rPr>
        <w:t xml:space="preserve">high burden </w:t>
      </w:r>
      <w:r w:rsidR="00122C1B">
        <w:rPr>
          <w:lang w:eastAsia="en-AU"/>
        </w:rPr>
        <w:t>Regulations.</w:t>
      </w:r>
    </w:p>
    <w:p w14:paraId="08923C0D" w14:textId="6BDAB28E" w:rsidR="00122C1B" w:rsidRDefault="00122C1B" w:rsidP="002D716B">
      <w:pPr>
        <w:pStyle w:val="TextPara"/>
        <w:keepNext/>
        <w:keepLines/>
        <w:rPr>
          <w:lang w:eastAsia="en-AU"/>
        </w:rPr>
      </w:pPr>
      <w:r>
        <w:rPr>
          <w:lang w:eastAsia="en-AU"/>
        </w:rPr>
        <w:t>The</w:t>
      </w:r>
      <w:r w:rsidR="00343C4E">
        <w:rPr>
          <w:lang w:eastAsia="en-AU"/>
        </w:rPr>
        <w:t xml:space="preserve"> mid-term review is an opportunity to consider a range of emerging trends and </w:t>
      </w:r>
      <w:r w:rsidR="00FA1703">
        <w:rPr>
          <w:lang w:eastAsia="en-AU"/>
        </w:rPr>
        <w:t>information</w:t>
      </w:r>
      <w:r w:rsidR="00343C4E">
        <w:rPr>
          <w:lang w:eastAsia="en-AU"/>
        </w:rPr>
        <w:t xml:space="preserve"> to ensure that the </w:t>
      </w:r>
      <w:r w:rsidR="00FA1703">
        <w:rPr>
          <w:lang w:eastAsia="en-AU"/>
        </w:rPr>
        <w:t>regulations</w:t>
      </w:r>
      <w:r w:rsidR="00343C4E">
        <w:rPr>
          <w:lang w:eastAsia="en-AU"/>
        </w:rPr>
        <w:t xml:space="preserve"> remain fit for </w:t>
      </w:r>
      <w:r w:rsidR="00FA1703">
        <w:rPr>
          <w:lang w:eastAsia="en-AU"/>
        </w:rPr>
        <w:t>purpose</w:t>
      </w:r>
      <w:r w:rsidR="00343C4E">
        <w:rPr>
          <w:lang w:eastAsia="en-AU"/>
        </w:rPr>
        <w:t xml:space="preserve"> in an era of rapid development of both </w:t>
      </w:r>
      <w:r w:rsidR="00FA1703">
        <w:rPr>
          <w:lang w:eastAsia="en-AU"/>
        </w:rPr>
        <w:t>technology</w:t>
      </w:r>
      <w:r w:rsidR="00343C4E">
        <w:rPr>
          <w:lang w:eastAsia="en-AU"/>
        </w:rPr>
        <w:t xml:space="preserve"> and also practice in other </w:t>
      </w:r>
      <w:r w:rsidR="00B43595">
        <w:rPr>
          <w:lang w:eastAsia="en-AU"/>
        </w:rPr>
        <w:t>jurisdictions</w:t>
      </w:r>
      <w:r w:rsidR="00343C4E">
        <w:rPr>
          <w:lang w:eastAsia="en-AU"/>
        </w:rPr>
        <w:t xml:space="preserve">. </w:t>
      </w:r>
      <w:r w:rsidR="00FA1703">
        <w:rPr>
          <w:lang w:eastAsia="en-AU"/>
        </w:rPr>
        <w:t>At this time, the</w:t>
      </w:r>
      <w:r>
        <w:rPr>
          <w:lang w:eastAsia="en-AU"/>
        </w:rPr>
        <w:t xml:space="preserve"> key focus areas for the mid-term review </w:t>
      </w:r>
      <w:r w:rsidR="00FA1703">
        <w:rPr>
          <w:lang w:eastAsia="en-AU"/>
        </w:rPr>
        <w:t xml:space="preserve">are intended to </w:t>
      </w:r>
      <w:r>
        <w:rPr>
          <w:lang w:eastAsia="en-AU"/>
        </w:rPr>
        <w:t>include</w:t>
      </w:r>
      <w:r w:rsidR="00B43595">
        <w:rPr>
          <w:lang w:eastAsia="en-AU"/>
        </w:rPr>
        <w:t>, but are not limited to</w:t>
      </w:r>
      <w:r>
        <w:rPr>
          <w:lang w:eastAsia="en-AU"/>
        </w:rPr>
        <w:t>:</w:t>
      </w:r>
    </w:p>
    <w:p w14:paraId="552191EA" w14:textId="77777777" w:rsidR="009324D3" w:rsidRDefault="009324D3" w:rsidP="009324D3">
      <w:pPr>
        <w:pStyle w:val="NoSpacing"/>
        <w:rPr>
          <w:rFonts w:asciiTheme="minorHAnsi" w:eastAsiaTheme="minorEastAsia" w:hAnsiTheme="minorHAnsi" w:cstheme="minorBidi"/>
          <w:sz w:val="22"/>
          <w:szCs w:val="22"/>
          <w:lang w:eastAsia="en-AU"/>
        </w:rPr>
      </w:pPr>
      <w:r w:rsidRPr="00D04EF3">
        <w:t>Motorcycle GLS</w:t>
      </w:r>
      <w:r>
        <w:rPr>
          <w:webHidden/>
        </w:rPr>
        <w:tab/>
      </w:r>
    </w:p>
    <w:p w14:paraId="03E7A21E" w14:textId="77777777" w:rsidR="009324D3" w:rsidRDefault="009324D3" w:rsidP="009324D3">
      <w:pPr>
        <w:pStyle w:val="TextPara"/>
        <w:rPr>
          <w:rFonts w:cs="Segoe UI"/>
        </w:rPr>
      </w:pPr>
      <w:r>
        <w:rPr>
          <w:rFonts w:cs="Segoe UI"/>
        </w:rPr>
        <w:t xml:space="preserve">The Motorcycle GLS was last enhanced in 2016. As set out in Chapter 4 the current scheme is so new that at present there is a lack of a statistically significant dataset on the graduates of this scheme available for analysis. However, by 2023 there will be enough data available for a thorough review of the effectiveness of the 2016 enhancements and this will allow for the review to be undertaken to see how well the scheme has operated. </w:t>
      </w:r>
    </w:p>
    <w:p w14:paraId="6D167FAF" w14:textId="77777777" w:rsidR="00122C1B" w:rsidRPr="00735EDA" w:rsidRDefault="00122C1B" w:rsidP="00F4115C">
      <w:pPr>
        <w:pStyle w:val="NoSpacing"/>
      </w:pPr>
      <w:r w:rsidRPr="00735EDA">
        <w:t>Free Licence Scheme</w:t>
      </w:r>
    </w:p>
    <w:p w14:paraId="132D48EC" w14:textId="77777777" w:rsidR="00122C1B" w:rsidRDefault="00122C1B" w:rsidP="000022E1">
      <w:pPr>
        <w:pStyle w:val="TextPara"/>
        <w:rPr>
          <w:rFonts w:cs="Segoe UI"/>
        </w:rPr>
      </w:pPr>
      <w:r w:rsidRPr="00FB2D80">
        <w:rPr>
          <w:rFonts w:cs="Segoe UI"/>
          <w:lang w:eastAsia="en-AU"/>
        </w:rPr>
        <w:t>The Free Licence Scheme (</w:t>
      </w:r>
      <w:r w:rsidRPr="00731939">
        <w:rPr>
          <w:rFonts w:cs="Segoe UI"/>
          <w:b/>
          <w:lang w:eastAsia="en-AU"/>
        </w:rPr>
        <w:t>FLS</w:t>
      </w:r>
      <w:r w:rsidRPr="00FB2D80">
        <w:rPr>
          <w:rFonts w:cs="Segoe UI"/>
          <w:lang w:eastAsia="en-AU"/>
        </w:rPr>
        <w:t>) was implemented in Victoria on 1 February 2016</w:t>
      </w:r>
      <w:r>
        <w:rPr>
          <w:rFonts w:cs="Segoe UI"/>
          <w:lang w:eastAsia="en-AU"/>
        </w:rPr>
        <w:t>.</w:t>
      </w:r>
      <w:r w:rsidRPr="00FB2D80">
        <w:rPr>
          <w:rFonts w:cs="Segoe UI"/>
          <w:lang w:eastAsia="en-AU"/>
        </w:rPr>
        <w:t xml:space="preserve"> </w:t>
      </w:r>
      <w:r w:rsidRPr="00FB2D80">
        <w:rPr>
          <w:rFonts w:cs="Segoe UI"/>
        </w:rPr>
        <w:t xml:space="preserve">To meaningfully ascertain whether the FLS has contributed as an influencing factor </w:t>
      </w:r>
      <w:r>
        <w:rPr>
          <w:rFonts w:cs="Segoe UI"/>
        </w:rPr>
        <w:t>for</w:t>
      </w:r>
      <w:r w:rsidRPr="00FB2D80">
        <w:rPr>
          <w:rFonts w:cs="Segoe UI"/>
        </w:rPr>
        <w:t xml:space="preserve"> good driving behaviour, it would be necessary to </w:t>
      </w:r>
      <w:r>
        <w:rPr>
          <w:rFonts w:cs="Segoe UI"/>
        </w:rPr>
        <w:t xml:space="preserve">have at least six years of </w:t>
      </w:r>
      <w:r w:rsidRPr="00FB2D80">
        <w:rPr>
          <w:rFonts w:cs="Segoe UI"/>
        </w:rPr>
        <w:t>data from Feb</w:t>
      </w:r>
      <w:r>
        <w:rPr>
          <w:rFonts w:cs="Segoe UI"/>
        </w:rPr>
        <w:t>ruary</w:t>
      </w:r>
      <w:r w:rsidRPr="00FB2D80">
        <w:rPr>
          <w:rFonts w:cs="Segoe UI"/>
        </w:rPr>
        <w:t xml:space="preserve"> 2016 to July 2022. </w:t>
      </w:r>
      <w:r>
        <w:rPr>
          <w:rFonts w:cs="Segoe UI"/>
        </w:rPr>
        <w:t>This</w:t>
      </w:r>
      <w:r w:rsidRPr="00FB2D80">
        <w:rPr>
          <w:rFonts w:cs="Segoe UI"/>
        </w:rPr>
        <w:t xml:space="preserve"> data would </w:t>
      </w:r>
      <w:r>
        <w:rPr>
          <w:rFonts w:cs="Segoe UI"/>
        </w:rPr>
        <w:t>enable a proper evaluation of</w:t>
      </w:r>
      <w:r w:rsidRPr="00FB2D80">
        <w:rPr>
          <w:rFonts w:cs="Segoe UI"/>
        </w:rPr>
        <w:t xml:space="preserve"> </w:t>
      </w:r>
      <w:r>
        <w:rPr>
          <w:rFonts w:cs="Segoe UI"/>
        </w:rPr>
        <w:t xml:space="preserve">the ongoing effectiveness of the scheme on probationary drivers. Such an evaluation would consider the extent to which these drivers have been able to maintain their good driving behaviour beyond their probationary period. This review will be undertaken </w:t>
      </w:r>
      <w:r w:rsidRPr="00FB2D80">
        <w:rPr>
          <w:rFonts w:cs="Segoe UI"/>
        </w:rPr>
        <w:t>in accordance with its 2015</w:t>
      </w:r>
      <w:r>
        <w:rPr>
          <w:rFonts w:cs="Segoe UI"/>
        </w:rPr>
        <w:t xml:space="preserve"> </w:t>
      </w:r>
      <w:r w:rsidRPr="00FB2D80">
        <w:rPr>
          <w:rFonts w:cs="Segoe UI"/>
        </w:rPr>
        <w:t>RIS evaluation strategy</w:t>
      </w:r>
      <w:r>
        <w:rPr>
          <w:rFonts w:cs="Segoe UI"/>
        </w:rPr>
        <w:t>.</w:t>
      </w:r>
      <w:r>
        <w:rPr>
          <w:rStyle w:val="EndnoteReference"/>
          <w:rFonts w:cs="Segoe UI"/>
        </w:rPr>
        <w:endnoteReference w:id="420"/>
      </w:r>
    </w:p>
    <w:p w14:paraId="4B535263" w14:textId="77777777" w:rsidR="00122C1B" w:rsidRPr="00685D85" w:rsidRDefault="00122C1B" w:rsidP="00F4115C">
      <w:pPr>
        <w:pStyle w:val="NoSpacing"/>
      </w:pPr>
      <w:r w:rsidRPr="00685D85">
        <w:t>Night time driving</w:t>
      </w:r>
    </w:p>
    <w:p w14:paraId="568C72D6" w14:textId="77777777" w:rsidR="00122C1B" w:rsidRPr="00C5449A" w:rsidRDefault="00122C1B" w:rsidP="000022E1">
      <w:pPr>
        <w:pStyle w:val="Bullet1-Black"/>
        <w:numPr>
          <w:ilvl w:val="0"/>
          <w:numId w:val="0"/>
        </w:numPr>
      </w:pPr>
      <w:r>
        <w:t>In November 2017, in a ‘</w:t>
      </w:r>
      <w:r w:rsidRPr="00804925">
        <w:t>Whole of Government</w:t>
      </w:r>
      <w:r>
        <w:t>’ r</w:t>
      </w:r>
      <w:r w:rsidRPr="00804925">
        <w:t>esponse</w:t>
      </w:r>
      <w:r>
        <w:rPr>
          <w:rStyle w:val="EndnoteReference"/>
        </w:rPr>
        <w:endnoteReference w:id="421"/>
      </w:r>
      <w:r w:rsidRPr="00804925">
        <w:t xml:space="preserve"> to the</w:t>
      </w:r>
      <w:r>
        <w:t xml:space="preserve"> Parliamentary </w:t>
      </w:r>
      <w:r w:rsidRPr="00804925">
        <w:t>Inquiry into lowering the probationary</w:t>
      </w:r>
      <w:r>
        <w:t xml:space="preserve"> </w:t>
      </w:r>
      <w:r w:rsidRPr="00804925">
        <w:t>driving age in Victoria to seventeen</w:t>
      </w:r>
      <w:r>
        <w:t>, the government’s view was expressed that, w</w:t>
      </w:r>
      <w:r w:rsidRPr="001C7A07">
        <w:t>hile evaluations have generally shown night time driving restrictions to be an effective crash</w:t>
      </w:r>
      <w:r>
        <w:t xml:space="preserve"> </w:t>
      </w:r>
      <w:r w:rsidRPr="001C7A07">
        <w:t>countermeasure as part of GLSs,</w:t>
      </w:r>
      <w:r>
        <w:t xml:space="preserve"> the success of night-time driving restrictions depends on a high level of compliance. </w:t>
      </w:r>
      <w:r w:rsidRPr="00C5449A">
        <w:t>VicRoads, in</w:t>
      </w:r>
      <w:r>
        <w:t xml:space="preserve"> </w:t>
      </w:r>
      <w:r w:rsidRPr="00C5449A">
        <w:t>collaboration with th</w:t>
      </w:r>
      <w:r w:rsidR="00731939">
        <w:t>e Transport Accident Commission</w:t>
      </w:r>
      <w:r w:rsidRPr="00C5449A">
        <w:t xml:space="preserve">, </w:t>
      </w:r>
      <w:r>
        <w:t>is</w:t>
      </w:r>
      <w:r w:rsidRPr="00C5449A">
        <w:t xml:space="preserve"> undertaking a project to raise</w:t>
      </w:r>
      <w:r>
        <w:t xml:space="preserve"> </w:t>
      </w:r>
      <w:r w:rsidRPr="00C5449A">
        <w:t>awareness in the community of the risks associated with late</w:t>
      </w:r>
      <w:r>
        <w:t>-</w:t>
      </w:r>
      <w:r w:rsidRPr="00C5449A">
        <w:t>night driving among newly licensed</w:t>
      </w:r>
      <w:r>
        <w:t xml:space="preserve"> </w:t>
      </w:r>
      <w:r w:rsidRPr="00C5449A">
        <w:t>drivers.</w:t>
      </w:r>
    </w:p>
    <w:p w14:paraId="651E5188" w14:textId="77777777" w:rsidR="00122C1B" w:rsidRDefault="00122C1B" w:rsidP="000022E1">
      <w:pPr>
        <w:pStyle w:val="Bullet1-Black"/>
        <w:numPr>
          <w:ilvl w:val="0"/>
          <w:numId w:val="0"/>
        </w:numPr>
        <w:rPr>
          <w:highlight w:val="yellow"/>
        </w:rPr>
      </w:pPr>
      <w:r>
        <w:t>In the government’s response i</w:t>
      </w:r>
      <w:r w:rsidRPr="00C5449A">
        <w:t>t</w:t>
      </w:r>
      <w:r>
        <w:t xml:space="preserve"> was further stated that it</w:t>
      </w:r>
      <w:r w:rsidRPr="00C5449A">
        <w:t xml:space="preserve"> would be premature to consider the introduction of a night time driving restriction in Victoria</w:t>
      </w:r>
      <w:r>
        <w:t xml:space="preserve"> </w:t>
      </w:r>
      <w:r w:rsidRPr="00C5449A">
        <w:t xml:space="preserve">without having first undertaken the necessary community </w:t>
      </w:r>
      <w:r w:rsidRPr="00C5449A">
        <w:lastRenderedPageBreak/>
        <w:t>consultation and education. Part of this</w:t>
      </w:r>
      <w:r>
        <w:t xml:space="preserve"> </w:t>
      </w:r>
      <w:r w:rsidRPr="00C5449A">
        <w:t>process involves better understanding barriers to compliance, including what would constitute the</w:t>
      </w:r>
      <w:r>
        <w:t xml:space="preserve"> </w:t>
      </w:r>
      <w:r w:rsidRPr="00C5449A">
        <w:t>most appropriate restriction start and finish time in the local context, and also determining the most</w:t>
      </w:r>
      <w:r>
        <w:t xml:space="preserve"> </w:t>
      </w:r>
      <w:r w:rsidRPr="00C5449A">
        <w:t>appropriate mechanism for administering and monitoring exemptions.</w:t>
      </w:r>
      <w:r>
        <w:t xml:space="preserve"> </w:t>
      </w:r>
    </w:p>
    <w:p w14:paraId="572ACDC9" w14:textId="77777777" w:rsidR="00122C1B" w:rsidRPr="001912CE" w:rsidRDefault="00122C1B" w:rsidP="00F4115C">
      <w:pPr>
        <w:pStyle w:val="NoSpacing"/>
      </w:pPr>
      <w:r w:rsidRPr="001912CE">
        <w:t>Older novice drivers</w:t>
      </w:r>
    </w:p>
    <w:p w14:paraId="202569C5" w14:textId="77777777" w:rsidR="00122C1B" w:rsidRDefault="00122C1B" w:rsidP="000022E1">
      <w:pPr>
        <w:pStyle w:val="Bullet1-Black"/>
        <w:numPr>
          <w:ilvl w:val="0"/>
          <w:numId w:val="0"/>
        </w:numPr>
      </w:pPr>
      <w:r w:rsidRPr="003A522D">
        <w:t>For drivers aged 18 to 20 years at licence issue, the overall rate of speeding offences increased by 5%</w:t>
      </w:r>
      <w:r>
        <w:t>, and f</w:t>
      </w:r>
      <w:r w:rsidRPr="003A522D">
        <w:t xml:space="preserve">or </w:t>
      </w:r>
      <w:r>
        <w:t>those</w:t>
      </w:r>
      <w:r w:rsidRPr="003A522D">
        <w:t xml:space="preserve"> aged 21 to 24 years, </w:t>
      </w:r>
      <w:r>
        <w:t xml:space="preserve">it </w:t>
      </w:r>
      <w:r w:rsidRPr="003A522D">
        <w:t>increased by 10.3%.</w:t>
      </w:r>
      <w:r>
        <w:t xml:space="preserve"> Funding for further research and analysis in this area will be required to provide some insight into the causes of these increases.</w:t>
      </w:r>
    </w:p>
    <w:p w14:paraId="5657648F" w14:textId="77777777" w:rsidR="00122C1B" w:rsidRPr="001912CE" w:rsidRDefault="00122C1B" w:rsidP="00F4115C">
      <w:pPr>
        <w:pStyle w:val="NoSpacing"/>
      </w:pPr>
      <w:r w:rsidRPr="001912CE">
        <w:t xml:space="preserve">Medical review </w:t>
      </w:r>
    </w:p>
    <w:p w14:paraId="71B9B26A" w14:textId="42280779" w:rsidR="00122C1B" w:rsidRPr="001912CE" w:rsidRDefault="00181409" w:rsidP="000022E1">
      <w:pPr>
        <w:pStyle w:val="Bullet1-Black"/>
        <w:numPr>
          <w:ilvl w:val="0"/>
          <w:numId w:val="0"/>
        </w:numPr>
      </w:pPr>
      <w:r>
        <w:t>An</w:t>
      </w:r>
      <w:r w:rsidR="00122C1B" w:rsidRPr="001912CE">
        <w:t xml:space="preserve"> extensive literature review</w:t>
      </w:r>
      <w:r w:rsidR="00122C1B">
        <w:rPr>
          <w:rStyle w:val="EndnoteReference"/>
        </w:rPr>
        <w:endnoteReference w:id="422"/>
      </w:r>
      <w:r w:rsidR="00122C1B">
        <w:t xml:space="preserve"> on c</w:t>
      </w:r>
      <w:r w:rsidR="00122C1B" w:rsidRPr="001912CE">
        <w:t xml:space="preserve">hronic health conditions and </w:t>
      </w:r>
      <w:r w:rsidR="00122C1B">
        <w:t xml:space="preserve">their </w:t>
      </w:r>
      <w:r w:rsidR="00122C1B" w:rsidRPr="001912CE">
        <w:t>impact on crash risk</w:t>
      </w:r>
      <w:r w:rsidR="00122C1B">
        <w:t xml:space="preserve"> was last carried out in 2009. It needs to be updated to take into account</w:t>
      </w:r>
      <w:r w:rsidR="00122C1B" w:rsidRPr="001912CE">
        <w:t xml:space="preserve"> the </w:t>
      </w:r>
      <w:r w:rsidR="00122C1B">
        <w:t xml:space="preserve">further </w:t>
      </w:r>
      <w:r w:rsidR="00122C1B" w:rsidRPr="001912CE">
        <w:t xml:space="preserve">extensive research conducted over the last </w:t>
      </w:r>
      <w:r w:rsidR="00157D46">
        <w:t>10</w:t>
      </w:r>
      <w:r w:rsidR="00157D46" w:rsidRPr="001912CE">
        <w:t xml:space="preserve"> </w:t>
      </w:r>
      <w:r w:rsidR="00122C1B" w:rsidRPr="001912CE">
        <w:t>years related to medical impairment and driving</w:t>
      </w:r>
      <w:r w:rsidR="00122C1B">
        <w:t xml:space="preserve"> and include </w:t>
      </w:r>
      <w:r w:rsidR="00122C1B" w:rsidRPr="001912CE">
        <w:t xml:space="preserve">disability related conditions (e.g. </w:t>
      </w:r>
      <w:r w:rsidRPr="001912CE">
        <w:t>autism spectrum disorders</w:t>
      </w:r>
      <w:r>
        <w:t xml:space="preserve"> and</w:t>
      </w:r>
      <w:r w:rsidR="00122C1B" w:rsidRPr="001912CE">
        <w:t xml:space="preserve"> </w:t>
      </w:r>
      <w:r w:rsidRPr="001912CE">
        <w:t xml:space="preserve">congenital </w:t>
      </w:r>
      <w:r w:rsidR="00122C1B" w:rsidRPr="001912CE">
        <w:t>li</w:t>
      </w:r>
      <w:r w:rsidR="00122C1B">
        <w:t xml:space="preserve">mb deficiencies). This review </w:t>
      </w:r>
      <w:r w:rsidR="00122C1B" w:rsidRPr="001912CE">
        <w:t xml:space="preserve">underpins much of </w:t>
      </w:r>
      <w:r w:rsidR="00122C1B">
        <w:t>VicRoads</w:t>
      </w:r>
      <w:r>
        <w:t>’</w:t>
      </w:r>
      <w:r w:rsidR="00122C1B">
        <w:t xml:space="preserve"> medical review policy </w:t>
      </w:r>
      <w:r w:rsidR="00122C1B" w:rsidRPr="001912CE">
        <w:t>and the national 2016 Assessing Fitness to Drive Guidelines related to medically impaired and older drivers</w:t>
      </w:r>
      <w:r w:rsidR="00122C1B">
        <w:t>.</w:t>
      </w:r>
    </w:p>
    <w:p w14:paraId="7BFE7EFF" w14:textId="77777777" w:rsidR="00122C1B" w:rsidRDefault="00C97D13" w:rsidP="00F4115C">
      <w:pPr>
        <w:pStyle w:val="NoSpacing"/>
      </w:pPr>
      <w:r>
        <w:t>Mid-term fees review</w:t>
      </w:r>
    </w:p>
    <w:p w14:paraId="4655B3BC" w14:textId="0CCBD362" w:rsidR="00956598" w:rsidRDefault="00693B1E" w:rsidP="00956598">
      <w:pPr>
        <w:pStyle w:val="TextPara"/>
      </w:pPr>
      <w:r>
        <w:t xml:space="preserve">As stated in section </w:t>
      </w:r>
      <w:r w:rsidR="00047FC4">
        <w:fldChar w:fldCharType="begin"/>
      </w:r>
      <w:r w:rsidR="00047FC4">
        <w:instrText xml:space="preserve"> REF _Ref4415668 \r \h </w:instrText>
      </w:r>
      <w:r w:rsidR="00047FC4">
        <w:fldChar w:fldCharType="separate"/>
      </w:r>
      <w:r w:rsidR="00EB4B02">
        <w:t>12.2.2</w:t>
      </w:r>
      <w:r w:rsidR="00047FC4">
        <w:fldChar w:fldCharType="end"/>
      </w:r>
      <w:r w:rsidR="00047FC4">
        <w:t xml:space="preserve"> </w:t>
      </w:r>
      <w:r>
        <w:t>t</w:t>
      </w:r>
      <w:r w:rsidR="00826612" w:rsidRPr="00826612">
        <w:t xml:space="preserve">he 4-year period from FY19/20 to FY22/23 (inclusive) was chosen for the evaluation </w:t>
      </w:r>
      <w:r w:rsidR="009B79B1">
        <w:t xml:space="preserve">of fees </w:t>
      </w:r>
      <w:r w:rsidR="00826612" w:rsidRPr="00826612">
        <w:t>as it is a period where there is a reasonable level of confidence about the forecast assumptions.</w:t>
      </w:r>
      <w:r w:rsidR="009B79B1">
        <w:t xml:space="preserve"> It is planned that at the end of this period a review of the fees will be undertaken to determine </w:t>
      </w:r>
      <w:r w:rsidR="00F273AA">
        <w:t>their applicability and the level at which they should be set</w:t>
      </w:r>
      <w:r w:rsidR="009324D3">
        <w:t xml:space="preserve"> and w</w:t>
      </w:r>
      <w:r w:rsidR="009324D3" w:rsidRPr="00B238CA">
        <w:t xml:space="preserve">hether there has been substantive </w:t>
      </w:r>
      <w:r w:rsidR="009324D3">
        <w:t>deviation</w:t>
      </w:r>
      <w:r w:rsidR="009324D3" w:rsidRPr="00B238CA">
        <w:t xml:space="preserve"> from the forecast assumptions or there is an imminent change that warrants a change to fees.</w:t>
      </w:r>
      <w:r w:rsidR="00956598">
        <w:t xml:space="preserve"> Given the inadequacies of the VicRoads data set out above and the failure to undertake the full fees review during the previous period between remaking regulations it is of the greatest im</w:t>
      </w:r>
      <w:r w:rsidR="00B95216">
        <w:t>por</w:t>
      </w:r>
      <w:r w:rsidR="00956598">
        <w:t>tance th</w:t>
      </w:r>
      <w:r w:rsidR="00B95216">
        <w:t>at</w:t>
      </w:r>
      <w:r w:rsidR="00956598">
        <w:t xml:space="preserve"> the review does happen this time</w:t>
      </w:r>
    </w:p>
    <w:p w14:paraId="28FD5E34" w14:textId="77E20E59" w:rsidR="00FA6817" w:rsidRPr="00826612" w:rsidRDefault="00FA6817" w:rsidP="00FA6817">
      <w:pPr>
        <w:pStyle w:val="TextPara"/>
      </w:pPr>
      <w:r>
        <w:t xml:space="preserve">This review </w:t>
      </w:r>
      <w:r w:rsidRPr="002C643F">
        <w:t>will take into</w:t>
      </w:r>
      <w:r>
        <w:t xml:space="preserve"> </w:t>
      </w:r>
      <w:r w:rsidR="00FA0FD7">
        <w:t xml:space="preserve">account </w:t>
      </w:r>
      <w:bookmarkStart w:id="903" w:name="_GoBack"/>
      <w:bookmarkEnd w:id="903"/>
      <w:r>
        <w:t xml:space="preserve">a range of factors when looking at fees, including </w:t>
      </w:r>
      <w:r w:rsidRPr="002C643F">
        <w:t>changes in technology and customer behaviours</w:t>
      </w:r>
      <w:r>
        <w:t xml:space="preserve"> and </w:t>
      </w:r>
      <w:r w:rsidRPr="002C643F">
        <w:t>demand</w:t>
      </w:r>
      <w:r>
        <w:t xml:space="preserve">. In addition, the period selected coincides with the development and rollout of Service Victoria, which will </w:t>
      </w:r>
      <w:r w:rsidRPr="00C82FB1">
        <w:t xml:space="preserve">take over </w:t>
      </w:r>
      <w:r>
        <w:t xml:space="preserve">the </w:t>
      </w:r>
      <w:r w:rsidRPr="00C82FB1">
        <w:t>delivery of</w:t>
      </w:r>
      <w:r>
        <w:t xml:space="preserve"> a range of</w:t>
      </w:r>
      <w:r w:rsidRPr="00C82FB1">
        <w:t xml:space="preserve"> high</w:t>
      </w:r>
      <w:r>
        <w:t>-</w:t>
      </w:r>
      <w:r w:rsidRPr="00C82FB1">
        <w:t>volume customer-facing transactions</w:t>
      </w:r>
      <w:r>
        <w:t xml:space="preserve"> currently undertaken by different government agencies. This will include a number of services currently provided by VicRoads, such as driving licence renewals.  This will lead to changes in both the operations and </w:t>
      </w:r>
      <w:r w:rsidRPr="002C643F">
        <w:t xml:space="preserve">costs </w:t>
      </w:r>
      <w:r>
        <w:t>of</w:t>
      </w:r>
      <w:r w:rsidRPr="002C643F">
        <w:t xml:space="preserve"> services</w:t>
      </w:r>
      <w:r>
        <w:t xml:space="preserve"> as they </w:t>
      </w:r>
      <w:r w:rsidRPr="002C643F">
        <w:t>move to Service</w:t>
      </w:r>
      <w:r>
        <w:t xml:space="preserve"> </w:t>
      </w:r>
      <w:r w:rsidRPr="002C643F">
        <w:t>Vic</w:t>
      </w:r>
      <w:r>
        <w:t>toria during this period, and the review will look at these changes though an activity-based costing exercise when evaluating the fees</w:t>
      </w:r>
      <w:r w:rsidR="002C643F" w:rsidRPr="002C643F">
        <w:t>.</w:t>
      </w:r>
    </w:p>
    <w:p w14:paraId="5407B3DB" w14:textId="77777777" w:rsidR="00122C1B" w:rsidRDefault="00122C1B" w:rsidP="001A063E">
      <w:pPr>
        <w:pStyle w:val="Heading2"/>
      </w:pPr>
      <w:bookmarkStart w:id="904" w:name="_Ref447368"/>
      <w:bookmarkStart w:id="905" w:name="_Toc10703552"/>
      <w:r>
        <w:t>Evaluating the proposed Regulations</w:t>
      </w:r>
      <w:bookmarkEnd w:id="904"/>
      <w:bookmarkEnd w:id="905"/>
    </w:p>
    <w:p w14:paraId="468BB5FE" w14:textId="77777777" w:rsidR="00122C1B" w:rsidRDefault="00122C1B" w:rsidP="00866CED">
      <w:pPr>
        <w:pStyle w:val="TextPara"/>
        <w:rPr>
          <w:lang w:eastAsia="en-AU"/>
        </w:rPr>
      </w:pPr>
      <w:r>
        <w:rPr>
          <w:lang w:eastAsia="en-AU"/>
        </w:rPr>
        <w:t>The success of the proposed Regulations will be evaluated on an ongoing basis until they sunset in ten years’ time. The evaluation will be conducted as part of the business-as-usual (BAU) processes as well as by means of periodic reviews conducted from time to time, such as the comprehensive GLS evaluation that was conducted in 2017.</w:t>
      </w:r>
    </w:p>
    <w:p w14:paraId="78D1BE84" w14:textId="77777777" w:rsidR="00122C1B" w:rsidRDefault="00122C1B" w:rsidP="00866CED">
      <w:pPr>
        <w:pStyle w:val="TextPara"/>
        <w:rPr>
          <w:lang w:eastAsia="en-AU"/>
        </w:rPr>
      </w:pPr>
      <w:r>
        <w:rPr>
          <w:lang w:eastAsia="en-AU"/>
        </w:rPr>
        <w:t>The BAU processes consist of feedback</w:t>
      </w:r>
      <w:r w:rsidRPr="001D3BBF">
        <w:rPr>
          <w:lang w:eastAsia="en-AU"/>
        </w:rPr>
        <w:t xml:space="preserve"> </w:t>
      </w:r>
      <w:r>
        <w:rPr>
          <w:lang w:eastAsia="en-AU"/>
        </w:rPr>
        <w:t>from customers that VicRoads receives through various channels, including telephone support services, social media, electronic mail, and in person at the Customer Service Centres located all around Victoria.</w:t>
      </w:r>
    </w:p>
    <w:p w14:paraId="2186C7B7" w14:textId="77777777" w:rsidR="00122C1B" w:rsidRDefault="00122C1B" w:rsidP="00866CED">
      <w:pPr>
        <w:pStyle w:val="TextPara"/>
        <w:rPr>
          <w:lang w:eastAsia="en-AU"/>
        </w:rPr>
      </w:pPr>
      <w:r>
        <w:rPr>
          <w:lang w:eastAsia="en-AU"/>
        </w:rPr>
        <w:t>VicRoads also regularly monitors offence rates, crash rates, fatalities and serious injury rates and follows up on issues and trends that call for a closer investigation and potential amendments to the road safety legislation and regulations.</w:t>
      </w:r>
    </w:p>
    <w:p w14:paraId="4AA87166" w14:textId="77777777" w:rsidR="00B4403C" w:rsidRDefault="00181409" w:rsidP="00866CED">
      <w:pPr>
        <w:pStyle w:val="TextPara"/>
        <w:rPr>
          <w:lang w:eastAsia="en-AU"/>
        </w:rPr>
      </w:pPr>
      <w:r>
        <w:rPr>
          <w:lang w:eastAsia="en-AU"/>
        </w:rPr>
        <w:t xml:space="preserve">The Road Safety Act Working Group that VicRoads and DoT have established with their key stakeholder partners provides an ongoing forum, where any issues with the </w:t>
      </w:r>
      <w:r w:rsidRPr="00206D75">
        <w:rPr>
          <w:i/>
          <w:lang w:eastAsia="en-AU"/>
        </w:rPr>
        <w:t>RSA</w:t>
      </w:r>
      <w:r>
        <w:rPr>
          <w:lang w:eastAsia="en-AU"/>
        </w:rPr>
        <w:t xml:space="preserve"> and road safety regulations can be </w:t>
      </w:r>
      <w:r>
        <w:rPr>
          <w:lang w:eastAsia="en-AU"/>
        </w:rPr>
        <w:lastRenderedPageBreak/>
        <w:t xml:space="preserve">brought to their attention as they arise. The range of partners include Victoria Police, the Department of Justice and Community Safety, the courts, </w:t>
      </w:r>
      <w:r>
        <w:t>the</w:t>
      </w:r>
      <w:r>
        <w:rPr>
          <w:lang w:eastAsia="en-AU"/>
        </w:rPr>
        <w:t xml:space="preserve"> Transport Accident Commission and the Department of Health and Human Services.</w:t>
      </w:r>
    </w:p>
    <w:p w14:paraId="3B133F8E" w14:textId="77777777" w:rsidR="00B4403C" w:rsidRDefault="00B4403C" w:rsidP="00866CED">
      <w:pPr>
        <w:pStyle w:val="TextPara"/>
        <w:rPr>
          <w:lang w:eastAsia="en-AU"/>
        </w:rPr>
        <w:sectPr w:rsidR="00B4403C" w:rsidSect="00910C49">
          <w:headerReference w:type="even" r:id="rId81"/>
          <w:headerReference w:type="default" r:id="rId82"/>
          <w:headerReference w:type="first" r:id="rId83"/>
          <w:endnotePr>
            <w:numFmt w:val="decimal"/>
          </w:endnotePr>
          <w:pgSz w:w="11906" w:h="16838" w:code="9"/>
          <w:pgMar w:top="1418" w:right="1134" w:bottom="1418" w:left="1247" w:header="567" w:footer="397" w:gutter="0"/>
          <w:cols w:space="708"/>
          <w:docGrid w:linePitch="360"/>
        </w:sectPr>
      </w:pPr>
    </w:p>
    <w:p w14:paraId="6C79FAD5" w14:textId="77777777" w:rsidR="00122C1B" w:rsidRPr="00B4403C" w:rsidRDefault="00DB1BF2" w:rsidP="006713F9">
      <w:pPr>
        <w:pStyle w:val="Heading1"/>
        <w:rPr>
          <w:rStyle w:val="Strong"/>
          <w:b/>
          <w:bCs/>
          <w:color w:val="404040" w:themeColor="text1" w:themeTint="BF"/>
          <w:sz w:val="28"/>
        </w:rPr>
      </w:pPr>
      <w:bookmarkStart w:id="906" w:name="_Toc532983020"/>
      <w:bookmarkStart w:id="907" w:name="_Toc532995866"/>
      <w:bookmarkStart w:id="908" w:name="_Toc534208491"/>
      <w:bookmarkStart w:id="909" w:name="_Toc534208913"/>
      <w:bookmarkStart w:id="910" w:name="_Toc534213619"/>
      <w:bookmarkStart w:id="911" w:name="_Toc534280176"/>
      <w:bookmarkStart w:id="912" w:name="_Toc534281588"/>
      <w:bookmarkStart w:id="913" w:name="_Toc534282092"/>
      <w:bookmarkStart w:id="914" w:name="_Toc534290466"/>
      <w:bookmarkStart w:id="915" w:name="_Toc534299955"/>
      <w:bookmarkStart w:id="916" w:name="_Toc534376642"/>
      <w:bookmarkStart w:id="917" w:name="_Toc534644308"/>
      <w:bookmarkStart w:id="918" w:name="_Toc534729301"/>
      <w:bookmarkStart w:id="919" w:name="_Toc534729811"/>
      <w:bookmarkStart w:id="920" w:name="_Toc535311085"/>
      <w:bookmarkStart w:id="921" w:name="_Toc535482077"/>
      <w:bookmarkStart w:id="922" w:name="_Toc536087827"/>
      <w:bookmarkStart w:id="923" w:name="_Toc536180096"/>
      <w:bookmarkStart w:id="924" w:name="_Toc532983021"/>
      <w:bookmarkStart w:id="925" w:name="_Toc532995867"/>
      <w:bookmarkStart w:id="926" w:name="_Toc534208492"/>
      <w:bookmarkStart w:id="927" w:name="_Toc534208914"/>
      <w:bookmarkStart w:id="928" w:name="_Toc534213620"/>
      <w:bookmarkStart w:id="929" w:name="_Toc534280177"/>
      <w:bookmarkStart w:id="930" w:name="_Toc534281589"/>
      <w:bookmarkStart w:id="931" w:name="_Toc534282093"/>
      <w:bookmarkStart w:id="932" w:name="_Toc534290467"/>
      <w:bookmarkStart w:id="933" w:name="_Toc534299956"/>
      <w:bookmarkStart w:id="934" w:name="_Toc534376643"/>
      <w:bookmarkStart w:id="935" w:name="_Toc534644309"/>
      <w:bookmarkStart w:id="936" w:name="_Toc534729302"/>
      <w:bookmarkStart w:id="937" w:name="_Toc534729812"/>
      <w:bookmarkStart w:id="938" w:name="_Toc535311086"/>
      <w:bookmarkStart w:id="939" w:name="_Toc535482078"/>
      <w:bookmarkStart w:id="940" w:name="_Toc536087828"/>
      <w:bookmarkStart w:id="941" w:name="_Toc536180097"/>
      <w:bookmarkStart w:id="942" w:name="_Toc508727296"/>
      <w:bookmarkStart w:id="943" w:name="_Ref514409000"/>
      <w:bookmarkStart w:id="944" w:name="_Toc10703553"/>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sidRPr="00B4403C">
        <w:rPr>
          <w:rStyle w:val="Strong"/>
          <w:b/>
          <w:bCs/>
          <w:color w:val="404040" w:themeColor="text1" w:themeTint="BF"/>
          <w:sz w:val="28"/>
        </w:rPr>
        <w:lastRenderedPageBreak/>
        <w:t>Consultation</w:t>
      </w:r>
      <w:bookmarkEnd w:id="942"/>
      <w:bookmarkEnd w:id="943"/>
      <w:bookmarkEnd w:id="944"/>
    </w:p>
    <w:p w14:paraId="1E98ABD3" w14:textId="73B09FA6" w:rsidR="00122C1B" w:rsidRDefault="00EB5212" w:rsidP="00F26390">
      <w:pPr>
        <w:pStyle w:val="TextPara"/>
        <w:spacing w:after="0"/>
      </w:pPr>
      <w:r>
        <w:fldChar w:fldCharType="begin"/>
      </w:r>
      <w:r>
        <w:instrText xml:space="preserve"> REF _Ref780772 \h </w:instrText>
      </w:r>
      <w:r>
        <w:fldChar w:fldCharType="separate"/>
      </w:r>
      <w:r w:rsidR="00EB4B02">
        <w:t xml:space="preserve">Table </w:t>
      </w:r>
      <w:r w:rsidR="00EB4B02">
        <w:rPr>
          <w:noProof/>
        </w:rPr>
        <w:t>73</w:t>
      </w:r>
      <w:r>
        <w:fldChar w:fldCharType="end"/>
      </w:r>
      <w:r w:rsidR="00122C1B" w:rsidRPr="0008335F">
        <w:t xml:space="preserve"> </w:t>
      </w:r>
      <w:r>
        <w:t xml:space="preserve">lists </w:t>
      </w:r>
      <w:r w:rsidR="00122C1B" w:rsidRPr="0008335F">
        <w:t xml:space="preserve">the </w:t>
      </w:r>
      <w:r w:rsidR="00122C1B">
        <w:t xml:space="preserve">key </w:t>
      </w:r>
      <w:r w:rsidR="00122C1B" w:rsidRPr="0008335F">
        <w:t xml:space="preserve">stakeholders </w:t>
      </w:r>
      <w:r w:rsidR="00A60D3E" w:rsidRPr="0008335F">
        <w:t>consulted</w:t>
      </w:r>
      <w:r w:rsidR="004F32FD">
        <w:t>,</w:t>
      </w:r>
      <w:r w:rsidR="00A60D3E">
        <w:t xml:space="preserve"> </w:t>
      </w:r>
      <w:r>
        <w:t xml:space="preserve">and the nature of the </w:t>
      </w:r>
      <w:r w:rsidR="004F32FD">
        <w:t xml:space="preserve">respective </w:t>
      </w:r>
      <w:r>
        <w:t>consultations</w:t>
      </w:r>
      <w:r w:rsidR="004F32FD">
        <w:t>,</w:t>
      </w:r>
      <w:r>
        <w:t xml:space="preserve"> </w:t>
      </w:r>
      <w:r w:rsidRPr="0008335F">
        <w:t xml:space="preserve">during the review of the </w:t>
      </w:r>
      <w:r w:rsidRPr="00770471">
        <w:rPr>
          <w:i/>
        </w:rPr>
        <w:t>RSA</w:t>
      </w:r>
      <w:r>
        <w:t xml:space="preserve"> and the </w:t>
      </w:r>
      <w:r w:rsidRPr="0008335F">
        <w:t>existing regulations</w:t>
      </w:r>
      <w:r>
        <w:t xml:space="preserve"> as well as</w:t>
      </w:r>
      <w:r w:rsidRPr="0008335F">
        <w:t xml:space="preserve"> </w:t>
      </w:r>
      <w:r>
        <w:rPr>
          <w:rFonts w:cs="Segoe UI"/>
          <w:szCs w:val="20"/>
        </w:rPr>
        <w:t>in the development of the 2017 amendments</w:t>
      </w:r>
      <w:r>
        <w:rPr>
          <w:rStyle w:val="EndnoteReference"/>
          <w:rFonts w:cs="Segoe UI"/>
          <w:szCs w:val="20"/>
        </w:rPr>
        <w:endnoteReference w:id="423"/>
      </w:r>
      <w:r>
        <w:rPr>
          <w:rFonts w:cs="Segoe UI"/>
          <w:szCs w:val="20"/>
        </w:rPr>
        <w:t xml:space="preserve"> to the </w:t>
      </w:r>
      <w:r w:rsidRPr="007C17F7">
        <w:rPr>
          <w:rFonts w:cs="Segoe UI"/>
          <w:i/>
          <w:szCs w:val="20"/>
        </w:rPr>
        <w:t>RSA</w:t>
      </w:r>
      <w:r>
        <w:rPr>
          <w:rFonts w:cs="Segoe UI"/>
          <w:szCs w:val="20"/>
        </w:rPr>
        <w:t xml:space="preserve"> </w:t>
      </w:r>
      <w:r w:rsidRPr="0008335F">
        <w:t xml:space="preserve">and </w:t>
      </w:r>
      <w:r>
        <w:t xml:space="preserve">of </w:t>
      </w:r>
      <w:r w:rsidRPr="0008335F">
        <w:t>the proposed Regulations</w:t>
      </w:r>
      <w:r w:rsidR="00CC7383">
        <w:rPr>
          <w:lang w:eastAsia="en-AU"/>
        </w:rPr>
        <w:t>.</w:t>
      </w:r>
    </w:p>
    <w:p w14:paraId="62048D99" w14:textId="27CCA4F5" w:rsidR="00122C1B" w:rsidRPr="00597F8D" w:rsidRDefault="00122C1B" w:rsidP="00AA0BBA">
      <w:pPr>
        <w:pStyle w:val="Caption"/>
        <w:rPr>
          <w:lang w:eastAsia="en-AU"/>
        </w:rPr>
      </w:pPr>
      <w:bookmarkStart w:id="945" w:name="_Ref780772"/>
      <w:bookmarkStart w:id="946" w:name="_Toc10703766"/>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73</w:t>
      </w:r>
      <w:r w:rsidR="00BC6B2E">
        <w:rPr>
          <w:noProof/>
        </w:rPr>
        <w:fldChar w:fldCharType="end"/>
      </w:r>
      <w:bookmarkEnd w:id="945"/>
      <w:r>
        <w:t xml:space="preserve"> – Consultations with key stakeholders</w:t>
      </w:r>
      <w:bookmarkEnd w:id="946"/>
    </w:p>
    <w:tbl>
      <w:tblPr>
        <w:tblStyle w:val="RIS-Table2"/>
        <w:tblW w:w="9385" w:type="dxa"/>
        <w:tblLook w:val="04A0" w:firstRow="1" w:lastRow="0" w:firstColumn="1" w:lastColumn="0" w:noHBand="0" w:noVBand="1"/>
      </w:tblPr>
      <w:tblGrid>
        <w:gridCol w:w="3397"/>
        <w:gridCol w:w="5988"/>
      </w:tblGrid>
      <w:tr w:rsidR="00122C1B" w:rsidRPr="00117C96" w14:paraId="681F464B" w14:textId="77777777" w:rsidTr="00110A08">
        <w:trPr>
          <w:cnfStyle w:val="100000000000" w:firstRow="1" w:lastRow="0" w:firstColumn="0" w:lastColumn="0" w:oddVBand="0" w:evenVBand="0" w:oddHBand="0" w:evenHBand="0" w:firstRowFirstColumn="0" w:firstRowLastColumn="0" w:lastRowFirstColumn="0" w:lastRowLastColumn="0"/>
          <w:trHeight w:val="300"/>
        </w:trPr>
        <w:tc>
          <w:tcPr>
            <w:tcW w:w="3397" w:type="dxa"/>
            <w:noWrap/>
          </w:tcPr>
          <w:p w14:paraId="63B91F84" w14:textId="77777777" w:rsidR="00122C1B" w:rsidRPr="009D4829" w:rsidRDefault="00122C1B" w:rsidP="008522AB">
            <w:pPr>
              <w:pStyle w:val="TableParagraph"/>
            </w:pPr>
            <w:r>
              <w:t>Stakeholder</w:t>
            </w:r>
          </w:p>
        </w:tc>
        <w:tc>
          <w:tcPr>
            <w:tcW w:w="5988" w:type="dxa"/>
            <w:noWrap/>
          </w:tcPr>
          <w:p w14:paraId="4FFAEB3C" w14:textId="77777777" w:rsidR="00122C1B" w:rsidRPr="00117C96" w:rsidRDefault="00122C1B" w:rsidP="00887536">
            <w:pPr>
              <w:pStyle w:val="TableParagraph"/>
            </w:pPr>
            <w:r>
              <w:t>Nature of consultation</w:t>
            </w:r>
          </w:p>
        </w:tc>
      </w:tr>
      <w:tr w:rsidR="00122C1B" w:rsidRPr="00117C96" w14:paraId="1F1F1F2A" w14:textId="77777777" w:rsidTr="00110A08">
        <w:trPr>
          <w:trHeight w:val="300"/>
        </w:trPr>
        <w:tc>
          <w:tcPr>
            <w:tcW w:w="3397" w:type="dxa"/>
            <w:shd w:val="clear" w:color="auto" w:fill="auto"/>
            <w:noWrap/>
          </w:tcPr>
          <w:p w14:paraId="12D8A1DC" w14:textId="77777777" w:rsidR="00122C1B" w:rsidRPr="009D4829" w:rsidRDefault="00122C1B" w:rsidP="00887536">
            <w:pPr>
              <w:pStyle w:val="TableParagraph"/>
            </w:pPr>
            <w:r w:rsidRPr="00117C96">
              <w:t>Austroads</w:t>
            </w:r>
            <w:r>
              <w:t xml:space="preserve"> (including licensing authorities in Australian States and Territories)</w:t>
            </w:r>
          </w:p>
        </w:tc>
        <w:tc>
          <w:tcPr>
            <w:tcW w:w="5988" w:type="dxa"/>
            <w:shd w:val="clear" w:color="auto" w:fill="auto"/>
            <w:noWrap/>
          </w:tcPr>
          <w:p w14:paraId="1BC63D01" w14:textId="77777777" w:rsidR="00122C1B" w:rsidRPr="00117C96" w:rsidRDefault="00122C1B" w:rsidP="00887536">
            <w:pPr>
              <w:pStyle w:val="TableParagraph"/>
            </w:pPr>
            <w:r>
              <w:t>Requested information for jurisdictional comparisons on various issues to ensure that the proposed changes are not fundamentally different from other jurisdictions.</w:t>
            </w:r>
          </w:p>
        </w:tc>
      </w:tr>
      <w:tr w:rsidR="00122C1B" w:rsidRPr="00117C96" w14:paraId="75E3AE71" w14:textId="77777777" w:rsidTr="00110A08">
        <w:trPr>
          <w:cnfStyle w:val="000000010000" w:firstRow="0" w:lastRow="0" w:firstColumn="0" w:lastColumn="0" w:oddVBand="0" w:evenVBand="0" w:oddHBand="0" w:evenHBand="1" w:firstRowFirstColumn="0" w:firstRowLastColumn="0" w:lastRowFirstColumn="0" w:lastRowLastColumn="0"/>
          <w:trHeight w:val="300"/>
        </w:trPr>
        <w:tc>
          <w:tcPr>
            <w:tcW w:w="3397" w:type="dxa"/>
            <w:shd w:val="clear" w:color="auto" w:fill="auto"/>
            <w:noWrap/>
          </w:tcPr>
          <w:p w14:paraId="07FB52E5" w14:textId="77777777" w:rsidR="00122C1B" w:rsidRPr="009D4829" w:rsidRDefault="00122C1B" w:rsidP="003219CB">
            <w:pPr>
              <w:pStyle w:val="TableParagraph"/>
            </w:pPr>
            <w:r w:rsidRPr="00117C96">
              <w:t>Court Services Victoria</w:t>
            </w:r>
          </w:p>
        </w:tc>
        <w:tc>
          <w:tcPr>
            <w:tcW w:w="5988" w:type="dxa"/>
            <w:shd w:val="clear" w:color="auto" w:fill="auto"/>
            <w:noWrap/>
          </w:tcPr>
          <w:p w14:paraId="4FA7DD5A" w14:textId="77777777" w:rsidR="00122C1B" w:rsidRPr="00117C96" w:rsidRDefault="00122C1B" w:rsidP="003219CB">
            <w:pPr>
              <w:pStyle w:val="TableParagraph"/>
            </w:pPr>
            <w:r w:rsidRPr="00B238CA">
              <w:rPr>
                <w:rFonts w:cs="Segoe UI"/>
              </w:rPr>
              <w:t xml:space="preserve">Represented in </w:t>
            </w:r>
            <w:r w:rsidRPr="00B238CA">
              <w:rPr>
                <w:rFonts w:cs="Segoe UI"/>
                <w:i/>
              </w:rPr>
              <w:t>Road Safety Act</w:t>
            </w:r>
            <w:r>
              <w:rPr>
                <w:rFonts w:cs="Segoe UI"/>
              </w:rPr>
              <w:t xml:space="preserve"> Working Group. </w:t>
            </w:r>
            <w:r>
              <w:t xml:space="preserve">Sought proposals to be considered and obtained advice on various proposals to ensure that implementation is feasible and practicable. </w:t>
            </w:r>
          </w:p>
        </w:tc>
      </w:tr>
      <w:tr w:rsidR="00122C1B" w:rsidRPr="00117C96" w14:paraId="7282997F" w14:textId="77777777" w:rsidTr="00110A08">
        <w:trPr>
          <w:trHeight w:val="300"/>
        </w:trPr>
        <w:tc>
          <w:tcPr>
            <w:tcW w:w="3397" w:type="dxa"/>
            <w:shd w:val="clear" w:color="auto" w:fill="auto"/>
            <w:noWrap/>
          </w:tcPr>
          <w:p w14:paraId="3AA822B5" w14:textId="77777777" w:rsidR="00122C1B" w:rsidRPr="009D4829" w:rsidRDefault="00122C1B" w:rsidP="003774B3">
            <w:pPr>
              <w:pStyle w:val="TableParagraph"/>
            </w:pPr>
            <w:r w:rsidRPr="00117C96">
              <w:t xml:space="preserve">Department of Justice and </w:t>
            </w:r>
            <w:r>
              <w:t xml:space="preserve">Community Safety, including </w:t>
            </w:r>
            <w:r w:rsidRPr="00117C96">
              <w:t xml:space="preserve">Infringement Management </w:t>
            </w:r>
            <w:r>
              <w:t>and Enforcement Services (IMES)</w:t>
            </w:r>
          </w:p>
        </w:tc>
        <w:tc>
          <w:tcPr>
            <w:tcW w:w="5988" w:type="dxa"/>
            <w:shd w:val="clear" w:color="auto" w:fill="auto"/>
            <w:noWrap/>
          </w:tcPr>
          <w:p w14:paraId="5F4844C1" w14:textId="77777777" w:rsidR="00122C1B" w:rsidRPr="00117C96" w:rsidRDefault="00122C1B" w:rsidP="003774B3">
            <w:pPr>
              <w:pStyle w:val="TableParagraph"/>
            </w:pPr>
            <w:r w:rsidRPr="00B238CA">
              <w:rPr>
                <w:rFonts w:cs="Segoe UI"/>
              </w:rPr>
              <w:t xml:space="preserve">Represented in </w:t>
            </w:r>
            <w:r>
              <w:rPr>
                <w:rFonts w:cs="Segoe UI"/>
              </w:rPr>
              <w:t>the interdepartmental</w:t>
            </w:r>
            <w:r w:rsidRPr="00B238CA">
              <w:rPr>
                <w:rFonts w:cs="Segoe UI"/>
              </w:rPr>
              <w:t xml:space="preserve"> </w:t>
            </w:r>
            <w:r w:rsidRPr="00B238CA">
              <w:rPr>
                <w:rFonts w:cs="Segoe UI"/>
                <w:i/>
              </w:rPr>
              <w:t>Road Safety Act</w:t>
            </w:r>
            <w:r>
              <w:rPr>
                <w:rFonts w:cs="Segoe UI"/>
              </w:rPr>
              <w:t xml:space="preserve"> Working Group. </w:t>
            </w:r>
            <w:r>
              <w:t>Sought proposals to be considered and obtained advice on various proposals and proposed fees and collection opportunities to ensure that implementation is feasible, practicable and transparent to the customer.</w:t>
            </w:r>
          </w:p>
        </w:tc>
      </w:tr>
      <w:tr w:rsidR="00122C1B" w:rsidRPr="00117C96" w14:paraId="629F0299" w14:textId="77777777" w:rsidTr="00110A08">
        <w:trPr>
          <w:cnfStyle w:val="000000010000" w:firstRow="0" w:lastRow="0" w:firstColumn="0" w:lastColumn="0" w:oddVBand="0" w:evenVBand="0" w:oddHBand="0" w:evenHBand="1" w:firstRowFirstColumn="0" w:firstRowLastColumn="0" w:lastRowFirstColumn="0" w:lastRowLastColumn="0"/>
          <w:trHeight w:val="300"/>
        </w:trPr>
        <w:tc>
          <w:tcPr>
            <w:tcW w:w="3397" w:type="dxa"/>
            <w:shd w:val="clear" w:color="auto" w:fill="auto"/>
            <w:noWrap/>
          </w:tcPr>
          <w:p w14:paraId="174780DE" w14:textId="77777777" w:rsidR="00122C1B" w:rsidRPr="00117C96" w:rsidRDefault="00122C1B" w:rsidP="00BF58AD">
            <w:pPr>
              <w:pStyle w:val="TableParagraph"/>
            </w:pPr>
            <w:r w:rsidRPr="00117C96">
              <w:t>Dep</w:t>
            </w:r>
            <w:r>
              <w:t>artment of Treasury and Finance</w:t>
            </w:r>
          </w:p>
        </w:tc>
        <w:tc>
          <w:tcPr>
            <w:tcW w:w="5988" w:type="dxa"/>
            <w:shd w:val="clear" w:color="auto" w:fill="auto"/>
            <w:noWrap/>
          </w:tcPr>
          <w:p w14:paraId="2D27957F" w14:textId="77777777" w:rsidR="00122C1B" w:rsidRPr="00117C96" w:rsidRDefault="00122C1B" w:rsidP="00BF58AD">
            <w:pPr>
              <w:pStyle w:val="TableParagraph"/>
            </w:pPr>
            <w:r>
              <w:t>Obtained advice on various fees-related proposals to ensure alignment with the department’s cost recovery guidelines.</w:t>
            </w:r>
          </w:p>
        </w:tc>
      </w:tr>
      <w:tr w:rsidR="00122C1B" w:rsidRPr="00117C96" w14:paraId="192C0979" w14:textId="77777777" w:rsidTr="00110A08">
        <w:trPr>
          <w:trHeight w:val="300"/>
        </w:trPr>
        <w:tc>
          <w:tcPr>
            <w:tcW w:w="3397" w:type="dxa"/>
            <w:shd w:val="clear" w:color="auto" w:fill="auto"/>
            <w:noWrap/>
          </w:tcPr>
          <w:p w14:paraId="0933A324" w14:textId="77777777" w:rsidR="00122C1B" w:rsidRPr="00117C96" w:rsidRDefault="00122C1B" w:rsidP="00BF58AD">
            <w:pPr>
              <w:pStyle w:val="TableParagraph"/>
            </w:pPr>
            <w:r w:rsidRPr="00117C96">
              <w:t>Office of the Chief Parl</w:t>
            </w:r>
            <w:r>
              <w:t xml:space="preserve">iamentary Counsel of Victoria  </w:t>
            </w:r>
          </w:p>
        </w:tc>
        <w:tc>
          <w:tcPr>
            <w:tcW w:w="5988" w:type="dxa"/>
            <w:shd w:val="clear" w:color="auto" w:fill="auto"/>
            <w:noWrap/>
          </w:tcPr>
          <w:p w14:paraId="1D0663B6" w14:textId="77777777" w:rsidR="00122C1B" w:rsidRPr="00117C96" w:rsidRDefault="00122C1B" w:rsidP="00BF58AD">
            <w:pPr>
              <w:pStyle w:val="TableParagraph"/>
            </w:pPr>
            <w:r>
              <w:t>Reviewed and finalised draft proposed Regulations.</w:t>
            </w:r>
          </w:p>
        </w:tc>
      </w:tr>
      <w:tr w:rsidR="00122C1B" w:rsidRPr="00117C96" w14:paraId="5C3FB1E3" w14:textId="77777777" w:rsidTr="00110A08">
        <w:trPr>
          <w:cnfStyle w:val="000000010000" w:firstRow="0" w:lastRow="0" w:firstColumn="0" w:lastColumn="0" w:oddVBand="0" w:evenVBand="0" w:oddHBand="0" w:evenHBand="1" w:firstRowFirstColumn="0" w:firstRowLastColumn="0" w:lastRowFirstColumn="0" w:lastRowLastColumn="0"/>
          <w:trHeight w:val="300"/>
        </w:trPr>
        <w:tc>
          <w:tcPr>
            <w:tcW w:w="3397" w:type="dxa"/>
            <w:shd w:val="clear" w:color="auto" w:fill="auto"/>
            <w:noWrap/>
          </w:tcPr>
          <w:p w14:paraId="49741DF4" w14:textId="77777777" w:rsidR="00122C1B" w:rsidRPr="00117C96" w:rsidRDefault="00122C1B" w:rsidP="00BF58AD">
            <w:pPr>
              <w:pStyle w:val="TableParagraph"/>
            </w:pPr>
            <w:r>
              <w:t>Red Tape Commissioner</w:t>
            </w:r>
          </w:p>
        </w:tc>
        <w:tc>
          <w:tcPr>
            <w:tcW w:w="5988" w:type="dxa"/>
            <w:shd w:val="clear" w:color="auto" w:fill="auto"/>
            <w:noWrap/>
          </w:tcPr>
          <w:p w14:paraId="06ADFFEC" w14:textId="77777777" w:rsidR="00122C1B" w:rsidRPr="00117C96" w:rsidRDefault="00122C1B" w:rsidP="00BF58AD">
            <w:pPr>
              <w:pStyle w:val="TableParagraph"/>
            </w:pPr>
            <w:r>
              <w:t>Obtained input on potential areas of red tape reduction where the regulations could be amended to minimise burden on the community.</w:t>
            </w:r>
          </w:p>
        </w:tc>
      </w:tr>
      <w:tr w:rsidR="00122C1B" w:rsidRPr="00117C96" w14:paraId="127A3A5F" w14:textId="77777777" w:rsidTr="00110A08">
        <w:trPr>
          <w:trHeight w:val="300"/>
        </w:trPr>
        <w:tc>
          <w:tcPr>
            <w:tcW w:w="3397" w:type="dxa"/>
            <w:shd w:val="clear" w:color="auto" w:fill="auto"/>
            <w:noWrap/>
          </w:tcPr>
          <w:p w14:paraId="1298314D" w14:textId="77777777" w:rsidR="00122C1B" w:rsidRPr="00117C96" w:rsidRDefault="00122C1B" w:rsidP="00BF58AD">
            <w:pPr>
              <w:pStyle w:val="TableParagraph"/>
            </w:pPr>
            <w:r w:rsidRPr="00117C96">
              <w:t>Royal Automobile Club of Victoria (RACV)</w:t>
            </w:r>
          </w:p>
        </w:tc>
        <w:tc>
          <w:tcPr>
            <w:tcW w:w="5988" w:type="dxa"/>
            <w:shd w:val="clear" w:color="auto" w:fill="auto"/>
            <w:noWrap/>
          </w:tcPr>
          <w:p w14:paraId="73A816A9" w14:textId="77777777" w:rsidR="00122C1B" w:rsidRPr="00117C96" w:rsidRDefault="00122C1B" w:rsidP="00BF58AD">
            <w:pPr>
              <w:pStyle w:val="TableParagraph"/>
            </w:pPr>
            <w:r>
              <w:t>Sought proposals to be considered. RACV asked for minimisation of inconsistencies between jurisdictions when reviewing regulations. VicRoads is committed to adopting national standards and frameworks where practicable.</w:t>
            </w:r>
          </w:p>
        </w:tc>
      </w:tr>
      <w:tr w:rsidR="00122C1B" w:rsidRPr="00117C96" w14:paraId="1F48A6A0" w14:textId="77777777" w:rsidTr="00110A08">
        <w:trPr>
          <w:cnfStyle w:val="000000010000" w:firstRow="0" w:lastRow="0" w:firstColumn="0" w:lastColumn="0" w:oddVBand="0" w:evenVBand="0" w:oddHBand="0" w:evenHBand="1" w:firstRowFirstColumn="0" w:firstRowLastColumn="0" w:lastRowFirstColumn="0" w:lastRowLastColumn="0"/>
          <w:trHeight w:val="300"/>
        </w:trPr>
        <w:tc>
          <w:tcPr>
            <w:tcW w:w="3397" w:type="dxa"/>
            <w:shd w:val="clear" w:color="auto" w:fill="auto"/>
            <w:noWrap/>
          </w:tcPr>
          <w:p w14:paraId="761E146B" w14:textId="77777777" w:rsidR="00122C1B" w:rsidRPr="00117C96" w:rsidRDefault="00122C1B" w:rsidP="003774B3">
            <w:pPr>
              <w:pStyle w:val="TableParagraph"/>
            </w:pPr>
            <w:r>
              <w:t>Transport Accident Commission</w:t>
            </w:r>
          </w:p>
        </w:tc>
        <w:tc>
          <w:tcPr>
            <w:tcW w:w="5988" w:type="dxa"/>
            <w:shd w:val="clear" w:color="auto" w:fill="auto"/>
            <w:noWrap/>
          </w:tcPr>
          <w:p w14:paraId="7B0238C4" w14:textId="77777777" w:rsidR="00122C1B" w:rsidRPr="00117C96" w:rsidRDefault="00122C1B" w:rsidP="003774B3">
            <w:pPr>
              <w:pStyle w:val="TableParagraph"/>
            </w:pPr>
            <w:r w:rsidRPr="00B238CA">
              <w:rPr>
                <w:rFonts w:cs="Segoe UI"/>
              </w:rPr>
              <w:t xml:space="preserve">Represented in </w:t>
            </w:r>
            <w:r>
              <w:rPr>
                <w:rFonts w:cs="Segoe UI"/>
              </w:rPr>
              <w:t>the interdepartmental</w:t>
            </w:r>
            <w:r w:rsidRPr="00B238CA">
              <w:rPr>
                <w:rFonts w:cs="Segoe UI"/>
              </w:rPr>
              <w:t xml:space="preserve"> </w:t>
            </w:r>
            <w:r w:rsidRPr="00B238CA">
              <w:rPr>
                <w:rFonts w:cs="Segoe UI"/>
                <w:i/>
              </w:rPr>
              <w:t>Road Safety Act</w:t>
            </w:r>
            <w:r>
              <w:rPr>
                <w:rFonts w:cs="Segoe UI"/>
              </w:rPr>
              <w:t xml:space="preserve"> Working Group. </w:t>
            </w:r>
            <w:r>
              <w:t>Sought proposals to be considered and obtained advice on various proposals to ensure alignment with TAC road safety objectives.</w:t>
            </w:r>
          </w:p>
        </w:tc>
      </w:tr>
      <w:tr w:rsidR="00122C1B" w:rsidRPr="00117C96" w14:paraId="581A4D1A" w14:textId="77777777" w:rsidTr="00110A08">
        <w:trPr>
          <w:trHeight w:val="300"/>
        </w:trPr>
        <w:tc>
          <w:tcPr>
            <w:tcW w:w="3397" w:type="dxa"/>
            <w:shd w:val="clear" w:color="auto" w:fill="auto"/>
            <w:noWrap/>
          </w:tcPr>
          <w:p w14:paraId="412CFF7F" w14:textId="77777777" w:rsidR="00122C1B" w:rsidRPr="00117C96" w:rsidRDefault="00122C1B" w:rsidP="00BF58AD">
            <w:pPr>
              <w:pStyle w:val="TableParagraph"/>
            </w:pPr>
            <w:r w:rsidRPr="00117C96">
              <w:t>Victoria Lega</w:t>
            </w:r>
            <w:r>
              <w:t>l Aid</w:t>
            </w:r>
          </w:p>
        </w:tc>
        <w:tc>
          <w:tcPr>
            <w:tcW w:w="5988" w:type="dxa"/>
            <w:shd w:val="clear" w:color="auto" w:fill="auto"/>
            <w:noWrap/>
          </w:tcPr>
          <w:p w14:paraId="76528DE4" w14:textId="77777777" w:rsidR="00122C1B" w:rsidRPr="00117C96" w:rsidRDefault="00122C1B" w:rsidP="00BF58AD">
            <w:pPr>
              <w:pStyle w:val="TableParagraph"/>
            </w:pPr>
            <w:r>
              <w:t>Received submission on potential issues to be addressed in the regulations review</w:t>
            </w:r>
          </w:p>
        </w:tc>
      </w:tr>
      <w:tr w:rsidR="00122C1B" w:rsidRPr="00117C96" w14:paraId="7C7DFB99" w14:textId="77777777" w:rsidTr="00110A08">
        <w:trPr>
          <w:cnfStyle w:val="000000010000" w:firstRow="0" w:lastRow="0" w:firstColumn="0" w:lastColumn="0" w:oddVBand="0" w:evenVBand="0" w:oddHBand="0" w:evenHBand="1" w:firstRowFirstColumn="0" w:firstRowLastColumn="0" w:lastRowFirstColumn="0" w:lastRowLastColumn="0"/>
          <w:trHeight w:val="300"/>
        </w:trPr>
        <w:tc>
          <w:tcPr>
            <w:tcW w:w="3397" w:type="dxa"/>
            <w:shd w:val="clear" w:color="auto" w:fill="auto"/>
            <w:noWrap/>
          </w:tcPr>
          <w:p w14:paraId="040CC03B" w14:textId="77777777" w:rsidR="00122C1B" w:rsidRPr="00117C96" w:rsidRDefault="00122C1B" w:rsidP="00BF58AD">
            <w:pPr>
              <w:pStyle w:val="TableParagraph"/>
            </w:pPr>
            <w:r>
              <w:t>Victoria Police</w:t>
            </w:r>
          </w:p>
        </w:tc>
        <w:tc>
          <w:tcPr>
            <w:tcW w:w="5988" w:type="dxa"/>
            <w:shd w:val="clear" w:color="auto" w:fill="auto"/>
            <w:noWrap/>
          </w:tcPr>
          <w:p w14:paraId="78374C7B" w14:textId="77777777" w:rsidR="00122C1B" w:rsidRPr="00A72F41" w:rsidRDefault="00122C1B" w:rsidP="004D2A81">
            <w:pPr>
              <w:pStyle w:val="TableParagraph"/>
            </w:pPr>
            <w:r w:rsidRPr="00B238CA">
              <w:rPr>
                <w:rFonts w:cs="Segoe UI"/>
              </w:rPr>
              <w:t xml:space="preserve">Represented in </w:t>
            </w:r>
            <w:r>
              <w:rPr>
                <w:rFonts w:cs="Segoe UI"/>
              </w:rPr>
              <w:t>the interdepartmental</w:t>
            </w:r>
            <w:r w:rsidRPr="00B238CA">
              <w:rPr>
                <w:rFonts w:cs="Segoe UI"/>
              </w:rPr>
              <w:t xml:space="preserve"> </w:t>
            </w:r>
            <w:r w:rsidRPr="00B238CA">
              <w:rPr>
                <w:rFonts w:cs="Segoe UI"/>
                <w:i/>
              </w:rPr>
              <w:t>Road Safety Act</w:t>
            </w:r>
            <w:r>
              <w:rPr>
                <w:rFonts w:cs="Segoe UI"/>
              </w:rPr>
              <w:t xml:space="preserve"> Working Group. </w:t>
            </w:r>
            <w:r>
              <w:t>Sought proposals to be considered and obtained advice on various proposals to ensure that the proposals are enforceable.</w:t>
            </w:r>
          </w:p>
        </w:tc>
      </w:tr>
    </w:tbl>
    <w:p w14:paraId="082A1299" w14:textId="77777777" w:rsidR="00122C1B" w:rsidRDefault="00122C1B" w:rsidP="00AD07E7">
      <w:pPr>
        <w:pStyle w:val="TextPara"/>
      </w:pPr>
      <w:r w:rsidRPr="0008335F">
        <w:t>The consultations</w:t>
      </w:r>
      <w:r w:rsidR="002B22F4">
        <w:t xml:space="preserve"> that were</w:t>
      </w:r>
      <w:r w:rsidRPr="0008335F">
        <w:t xml:space="preserve"> </w:t>
      </w:r>
      <w:r w:rsidR="002C1EC7">
        <w:t xml:space="preserve">conducted </w:t>
      </w:r>
      <w:r>
        <w:t>with the</w:t>
      </w:r>
      <w:r w:rsidR="002C1EC7">
        <w:t>se</w:t>
      </w:r>
      <w:r>
        <w:t xml:space="preserve"> stakeholders </w:t>
      </w:r>
      <w:r w:rsidRPr="0008335F">
        <w:t>included meetings and</w:t>
      </w:r>
      <w:r w:rsidR="00FB2F0F">
        <w:t xml:space="preserve"> </w:t>
      </w:r>
      <w:r w:rsidRPr="0008335F">
        <w:t xml:space="preserve">submissions </w:t>
      </w:r>
      <w:r w:rsidR="00FB2F0F">
        <w:t xml:space="preserve">received </w:t>
      </w:r>
      <w:r w:rsidRPr="0008335F">
        <w:t xml:space="preserve">from </w:t>
      </w:r>
      <w:r w:rsidR="00310410">
        <w:t xml:space="preserve">some of </w:t>
      </w:r>
      <w:r w:rsidRPr="0008335F">
        <w:t>the</w:t>
      </w:r>
      <w:r>
        <w:t>m</w:t>
      </w:r>
      <w:r w:rsidR="00FB2F0F">
        <w:t>.</w:t>
      </w:r>
      <w:r w:rsidRPr="0008335F">
        <w:t xml:space="preserve"> </w:t>
      </w:r>
      <w:r w:rsidR="00FB2F0F">
        <w:t>During these meetings</w:t>
      </w:r>
      <w:r w:rsidR="000952A4">
        <w:t>,</w:t>
      </w:r>
      <w:r w:rsidR="00FB2F0F" w:rsidRPr="0008335F">
        <w:t xml:space="preserve"> </w:t>
      </w:r>
      <w:r w:rsidR="00FB2F0F">
        <w:t>stakeholders</w:t>
      </w:r>
      <w:r w:rsidRPr="0008335F">
        <w:t xml:space="preserve"> were provided with an opportunity to </w:t>
      </w:r>
      <w:r w:rsidR="00FB2F0F">
        <w:t xml:space="preserve">express </w:t>
      </w:r>
      <w:r w:rsidR="000952A4">
        <w:t xml:space="preserve">their </w:t>
      </w:r>
      <w:r w:rsidR="00FB2F0F">
        <w:t>views</w:t>
      </w:r>
      <w:r w:rsidRPr="0008335F">
        <w:t xml:space="preserve"> and provide advice on </w:t>
      </w:r>
      <w:r w:rsidR="000952A4" w:rsidRPr="0008335F">
        <w:t>various issues and proposals</w:t>
      </w:r>
      <w:r w:rsidR="000952A4">
        <w:t xml:space="preserve"> and</w:t>
      </w:r>
      <w:r w:rsidR="000952A4" w:rsidRPr="0008335F">
        <w:t xml:space="preserve"> </w:t>
      </w:r>
      <w:r w:rsidRPr="0008335F">
        <w:t xml:space="preserve">the continuing need to regulate on relevant aspects of the proposed </w:t>
      </w:r>
      <w:r w:rsidR="002B22F4" w:rsidRPr="0008335F">
        <w:t>Regulations</w:t>
      </w:r>
      <w:r w:rsidRPr="0008335F">
        <w:t xml:space="preserve">. </w:t>
      </w:r>
      <w:r>
        <w:t xml:space="preserve">VicRoads held consultation workshops with </w:t>
      </w:r>
      <w:r w:rsidRPr="00BF2A95">
        <w:t xml:space="preserve">representatives from key stakeholders, </w:t>
      </w:r>
      <w:r>
        <w:t>such as</w:t>
      </w:r>
      <w:r w:rsidRPr="00BF2A95">
        <w:t xml:space="preserve"> Victoria Police and Department of Treasury and Finance, to test proposals and their potential implications and to seek their feedback. </w:t>
      </w:r>
    </w:p>
    <w:p w14:paraId="51182E5B" w14:textId="77777777" w:rsidR="00E841E6" w:rsidRDefault="00510A89" w:rsidP="00BF2A95">
      <w:pPr>
        <w:pStyle w:val="TextPara"/>
      </w:pPr>
      <w:r>
        <w:t>VicRoads provides updates and communication to the public and stakeholders in a variety of ways, such as via its website, letters to stakeholders and other stakeholder forums. VicRoads will be the primary agency to undertake communication and consultation with the public to implement the proposed Regulations.</w:t>
      </w:r>
      <w:r w:rsidR="00AD07E7">
        <w:t xml:space="preserve"> </w:t>
      </w:r>
    </w:p>
    <w:p w14:paraId="27B72A6F" w14:textId="77777777" w:rsidR="00122C1B" w:rsidRPr="00117C96" w:rsidRDefault="00122C1B" w:rsidP="00BF2A95">
      <w:pPr>
        <w:pStyle w:val="TextPara"/>
        <w:rPr>
          <w:rFonts w:cs="Segoe UI"/>
          <w:lang w:eastAsia="en-AU"/>
        </w:rPr>
      </w:pPr>
      <w:r w:rsidRPr="00BF2A95">
        <w:t xml:space="preserve">This RIS and exposure draft of the proposed Regulations </w:t>
      </w:r>
      <w:r w:rsidR="00310410">
        <w:t>are</w:t>
      </w:r>
      <w:r w:rsidRPr="00BF2A95">
        <w:t xml:space="preserve"> released for further consultation with the</w:t>
      </w:r>
      <w:r w:rsidRPr="00117C96">
        <w:rPr>
          <w:rFonts w:cs="Segoe UI"/>
          <w:lang w:eastAsia="en-AU"/>
        </w:rPr>
        <w:t xml:space="preserve"> community. The RIS consultation process will also provide another mechanism </w:t>
      </w:r>
      <w:r>
        <w:rPr>
          <w:rFonts w:cs="Segoe UI"/>
          <w:lang w:eastAsia="en-AU"/>
        </w:rPr>
        <w:t xml:space="preserve">whereby </w:t>
      </w:r>
      <w:r w:rsidRPr="00117C96">
        <w:rPr>
          <w:rFonts w:cs="Segoe UI"/>
          <w:lang w:eastAsia="en-AU"/>
        </w:rPr>
        <w:t>stakeholder</w:t>
      </w:r>
      <w:r>
        <w:rPr>
          <w:rFonts w:cs="Segoe UI"/>
          <w:lang w:eastAsia="en-AU"/>
        </w:rPr>
        <w:t>s</w:t>
      </w:r>
      <w:r w:rsidRPr="00117C96">
        <w:rPr>
          <w:rFonts w:cs="Segoe UI"/>
          <w:lang w:eastAsia="en-AU"/>
        </w:rPr>
        <w:t xml:space="preserve"> will be able to </w:t>
      </w:r>
      <w:r>
        <w:rPr>
          <w:rFonts w:cs="Segoe UI"/>
          <w:lang w:eastAsia="en-AU"/>
        </w:rPr>
        <w:t xml:space="preserve">formally </w:t>
      </w:r>
      <w:r w:rsidRPr="00117C96">
        <w:rPr>
          <w:rFonts w:cs="Segoe UI"/>
          <w:lang w:eastAsia="en-AU"/>
        </w:rPr>
        <w:t xml:space="preserve">submit their views on the key issues </w:t>
      </w:r>
      <w:r>
        <w:rPr>
          <w:rFonts w:cs="Segoe UI"/>
          <w:lang w:eastAsia="en-AU"/>
        </w:rPr>
        <w:t>outlined in this document</w:t>
      </w:r>
      <w:r w:rsidRPr="00117C96">
        <w:rPr>
          <w:rFonts w:cs="Segoe UI"/>
          <w:lang w:eastAsia="en-AU"/>
        </w:rPr>
        <w:t>.</w:t>
      </w:r>
    </w:p>
    <w:p w14:paraId="38E3A1D7" w14:textId="77777777" w:rsidR="00D16B90" w:rsidRDefault="00D16B90" w:rsidP="006713F9">
      <w:pPr>
        <w:pStyle w:val="AppendixHeading1"/>
        <w:sectPr w:rsidR="00D16B90" w:rsidSect="00E841E6">
          <w:headerReference w:type="even" r:id="rId84"/>
          <w:headerReference w:type="default" r:id="rId85"/>
          <w:headerReference w:type="first" r:id="rId86"/>
          <w:endnotePr>
            <w:numFmt w:val="decimal"/>
          </w:endnotePr>
          <w:pgSz w:w="11906" w:h="16838" w:code="9"/>
          <w:pgMar w:top="1361" w:right="1134" w:bottom="1361" w:left="1247" w:header="567" w:footer="397" w:gutter="0"/>
          <w:cols w:space="708"/>
          <w:docGrid w:linePitch="360"/>
        </w:sectPr>
      </w:pPr>
    </w:p>
    <w:p w14:paraId="0FC493D1" w14:textId="77777777" w:rsidR="00122C1B" w:rsidRPr="00117C96" w:rsidRDefault="00122C1B" w:rsidP="006713F9">
      <w:pPr>
        <w:pStyle w:val="AppendixHeading1"/>
      </w:pPr>
      <w:bookmarkStart w:id="947" w:name="_Toc10703554"/>
      <w:r w:rsidRPr="000525EB">
        <w:lastRenderedPageBreak/>
        <w:t>APPENDICES</w:t>
      </w:r>
      <w:bookmarkEnd w:id="947"/>
    </w:p>
    <w:p w14:paraId="0367832F" w14:textId="77777777" w:rsidR="00122C1B" w:rsidRDefault="00122C1B" w:rsidP="006713F9">
      <w:pPr>
        <w:pStyle w:val="Appendix1"/>
      </w:pPr>
      <w:bookmarkStart w:id="948" w:name="_Ref507683068"/>
      <w:bookmarkStart w:id="949" w:name="_Toc10703555"/>
      <w:bookmarkStart w:id="950" w:name="_Ref506296085"/>
      <w:bookmarkStart w:id="951" w:name="_Toc500517287"/>
      <w:bookmarkStart w:id="952" w:name="_Ref501031869"/>
      <w:r w:rsidRPr="009E38BE">
        <w:t xml:space="preserve">Amendments to </w:t>
      </w:r>
      <w:r w:rsidRPr="00E30850">
        <w:rPr>
          <w:i/>
        </w:rPr>
        <w:t>Road Safety Act</w:t>
      </w:r>
      <w:r w:rsidRPr="009E38BE">
        <w:t xml:space="preserve"> passed in 2017</w:t>
      </w:r>
      <w:bookmarkEnd w:id="948"/>
      <w:bookmarkEnd w:id="949"/>
    </w:p>
    <w:p w14:paraId="352055C7" w14:textId="38004EF0" w:rsidR="00122C1B" w:rsidRDefault="00122C1B" w:rsidP="009E38BE">
      <w:pPr>
        <w:pStyle w:val="TextPara"/>
        <w:rPr>
          <w:rFonts w:cs="Segoe UI"/>
          <w:lang w:eastAsia="en-AU"/>
        </w:rPr>
      </w:pPr>
      <w:r>
        <w:rPr>
          <w:rFonts w:cs="Segoe UI"/>
          <w:lang w:eastAsia="en-AU"/>
        </w:rPr>
        <w:fldChar w:fldCharType="begin"/>
      </w:r>
      <w:r>
        <w:rPr>
          <w:rFonts w:cs="Segoe UI"/>
          <w:lang w:eastAsia="en-AU"/>
        </w:rPr>
        <w:instrText xml:space="preserve"> REF _Ref501535275 \h </w:instrText>
      </w:r>
      <w:r>
        <w:rPr>
          <w:rFonts w:cs="Segoe UI"/>
          <w:lang w:eastAsia="en-AU"/>
        </w:rPr>
      </w:r>
      <w:r>
        <w:rPr>
          <w:rFonts w:cs="Segoe UI"/>
          <w:lang w:eastAsia="en-AU"/>
        </w:rPr>
        <w:fldChar w:fldCharType="separate"/>
      </w:r>
      <w:r w:rsidR="00EB4B02">
        <w:t xml:space="preserve">Table </w:t>
      </w:r>
      <w:r w:rsidR="00EB4B02">
        <w:rPr>
          <w:noProof/>
        </w:rPr>
        <w:t>74</w:t>
      </w:r>
      <w:r>
        <w:rPr>
          <w:rFonts w:cs="Segoe UI"/>
          <w:lang w:eastAsia="en-AU"/>
        </w:rPr>
        <w:fldChar w:fldCharType="end"/>
      </w:r>
      <w:r>
        <w:rPr>
          <w:rFonts w:cs="Segoe UI"/>
          <w:lang w:eastAsia="en-AU"/>
        </w:rPr>
        <w:t xml:space="preserve"> provides a summary of t</w:t>
      </w:r>
      <w:r w:rsidRPr="00117C96">
        <w:rPr>
          <w:rFonts w:cs="Segoe UI"/>
          <w:lang w:eastAsia="en-AU"/>
        </w:rPr>
        <w:t>he key</w:t>
      </w:r>
      <w:r>
        <w:rPr>
          <w:rFonts w:cs="Segoe UI"/>
          <w:lang w:eastAsia="en-AU"/>
        </w:rPr>
        <w:t xml:space="preserve"> driver related</w:t>
      </w:r>
      <w:r w:rsidRPr="00117C96">
        <w:rPr>
          <w:rFonts w:cs="Segoe UI"/>
          <w:lang w:eastAsia="en-AU"/>
        </w:rPr>
        <w:t xml:space="preserve"> amendments </w:t>
      </w:r>
      <w:r>
        <w:rPr>
          <w:rFonts w:cs="Segoe UI"/>
          <w:lang w:eastAsia="en-AU"/>
        </w:rPr>
        <w:t xml:space="preserve">to the </w:t>
      </w:r>
      <w:r w:rsidRPr="006A392A">
        <w:rPr>
          <w:rFonts w:cs="Segoe UI"/>
          <w:i/>
          <w:lang w:eastAsia="en-AU"/>
        </w:rPr>
        <w:t>RSA</w:t>
      </w:r>
      <w:r w:rsidRPr="00C73BCE">
        <w:rPr>
          <w:rFonts w:cs="Segoe UI"/>
          <w:i/>
          <w:lang w:eastAsia="en-AU"/>
        </w:rPr>
        <w:t xml:space="preserve"> </w:t>
      </w:r>
      <w:r>
        <w:rPr>
          <w:rFonts w:cs="Segoe UI"/>
          <w:lang w:eastAsia="en-AU"/>
        </w:rPr>
        <w:t>as enacted through</w:t>
      </w:r>
      <w:r w:rsidRPr="00117C96">
        <w:rPr>
          <w:rFonts w:cs="Segoe UI"/>
          <w:lang w:eastAsia="en-AU"/>
        </w:rPr>
        <w:t xml:space="preserve"> the </w:t>
      </w:r>
      <w:r w:rsidRPr="00117C96">
        <w:rPr>
          <w:rFonts w:cs="Segoe UI"/>
          <w:i/>
          <w:lang w:eastAsia="en-AU"/>
        </w:rPr>
        <w:t xml:space="preserve">Transport Legislation Amendment (Road Safety, Rail and Other Matters) </w:t>
      </w:r>
      <w:r>
        <w:rPr>
          <w:rFonts w:cs="Segoe UI"/>
          <w:i/>
          <w:lang w:eastAsia="en-AU"/>
        </w:rPr>
        <w:t>Act</w:t>
      </w:r>
      <w:r w:rsidRPr="00117C96">
        <w:rPr>
          <w:rFonts w:cs="Segoe UI"/>
          <w:i/>
          <w:lang w:eastAsia="en-AU"/>
        </w:rPr>
        <w:t xml:space="preserve"> </w:t>
      </w:r>
      <w:r w:rsidRPr="00E56B8D">
        <w:rPr>
          <w:rFonts w:cs="Segoe UI"/>
          <w:lang w:eastAsia="en-AU"/>
        </w:rPr>
        <w:t>2017</w:t>
      </w:r>
      <w:r>
        <w:rPr>
          <w:rFonts w:cs="Segoe UI"/>
          <w:lang w:eastAsia="en-AU"/>
        </w:rPr>
        <w:t xml:space="preserve"> and how the proposed Drivers Regulations support the </w:t>
      </w:r>
      <w:r w:rsidRPr="00206D75">
        <w:rPr>
          <w:rFonts w:cs="Segoe UI"/>
          <w:i/>
          <w:lang w:eastAsia="en-AU"/>
        </w:rPr>
        <w:t>RSA</w:t>
      </w:r>
      <w:r>
        <w:rPr>
          <w:rFonts w:cs="Segoe UI"/>
          <w:lang w:eastAsia="en-AU"/>
        </w:rPr>
        <w:t xml:space="preserve"> changes.</w:t>
      </w:r>
    </w:p>
    <w:p w14:paraId="34877382" w14:textId="368E0C6A" w:rsidR="00122C1B" w:rsidRPr="00597F8D" w:rsidRDefault="00122C1B" w:rsidP="00AA0BBA">
      <w:pPr>
        <w:pStyle w:val="Caption"/>
        <w:rPr>
          <w:lang w:eastAsia="en-AU"/>
        </w:rPr>
      </w:pPr>
      <w:bookmarkStart w:id="953" w:name="_Ref501535275"/>
      <w:bookmarkStart w:id="954" w:name="_Toc10703767"/>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74</w:t>
      </w:r>
      <w:r w:rsidR="00BC6B2E">
        <w:rPr>
          <w:noProof/>
        </w:rPr>
        <w:fldChar w:fldCharType="end"/>
      </w:r>
      <w:bookmarkEnd w:id="953"/>
      <w:r>
        <w:t xml:space="preserve"> – Amendments to </w:t>
      </w:r>
      <w:r w:rsidRPr="00DC45AE">
        <w:rPr>
          <w:i/>
        </w:rPr>
        <w:t>Road Safety Act</w:t>
      </w:r>
      <w:r>
        <w:t xml:space="preserve"> passed in 2017</w:t>
      </w:r>
      <w:bookmarkEnd w:id="954"/>
    </w:p>
    <w:tbl>
      <w:tblPr>
        <w:tblStyle w:val="RIS-Table2"/>
        <w:tblW w:w="9639" w:type="dxa"/>
        <w:tblInd w:w="-5" w:type="dxa"/>
        <w:tblLook w:val="04A0" w:firstRow="1" w:lastRow="0" w:firstColumn="1" w:lastColumn="0" w:noHBand="0" w:noVBand="1"/>
      </w:tblPr>
      <w:tblGrid>
        <w:gridCol w:w="3544"/>
        <w:gridCol w:w="3402"/>
        <w:gridCol w:w="2693"/>
      </w:tblGrid>
      <w:tr w:rsidR="00122C1B" w:rsidRPr="00117C96" w14:paraId="17277D43" w14:textId="77777777" w:rsidTr="00EA0D7F">
        <w:trPr>
          <w:cnfStyle w:val="100000000000" w:firstRow="1" w:lastRow="0" w:firstColumn="0" w:lastColumn="0" w:oddVBand="0" w:evenVBand="0" w:oddHBand="0" w:evenHBand="0" w:firstRowFirstColumn="0" w:firstRowLastColumn="0" w:lastRowFirstColumn="0" w:lastRowLastColumn="0"/>
          <w:trHeight w:val="300"/>
        </w:trPr>
        <w:tc>
          <w:tcPr>
            <w:tcW w:w="3544" w:type="dxa"/>
            <w:noWrap/>
          </w:tcPr>
          <w:p w14:paraId="4B670F41" w14:textId="77777777" w:rsidR="00122C1B" w:rsidRDefault="00122C1B" w:rsidP="00D842C2">
            <w:pPr>
              <w:pStyle w:val="TableHeaders"/>
            </w:pPr>
            <w:r w:rsidRPr="006A392A">
              <w:rPr>
                <w:i/>
              </w:rPr>
              <w:t>RSA</w:t>
            </w:r>
            <w:r>
              <w:rPr>
                <w:i/>
              </w:rPr>
              <w:t xml:space="preserve"> </w:t>
            </w:r>
            <w:r>
              <w:t>amendment</w:t>
            </w:r>
          </w:p>
        </w:tc>
        <w:tc>
          <w:tcPr>
            <w:tcW w:w="3402" w:type="dxa"/>
            <w:noWrap/>
          </w:tcPr>
          <w:p w14:paraId="4BC0FFF6" w14:textId="77777777" w:rsidR="00122C1B" w:rsidRPr="00117C96" w:rsidRDefault="00122C1B" w:rsidP="00D842C2">
            <w:pPr>
              <w:pStyle w:val="TableHeaders"/>
            </w:pPr>
            <w:r>
              <w:t xml:space="preserve">Rationale for </w:t>
            </w:r>
            <w:r w:rsidRPr="00206D75">
              <w:rPr>
                <w:i/>
              </w:rPr>
              <w:t>RSA</w:t>
            </w:r>
            <w:r>
              <w:t xml:space="preserve"> amendment</w:t>
            </w:r>
          </w:p>
        </w:tc>
        <w:tc>
          <w:tcPr>
            <w:tcW w:w="2693" w:type="dxa"/>
          </w:tcPr>
          <w:p w14:paraId="462867EB" w14:textId="77777777" w:rsidR="00122C1B" w:rsidRDefault="00122C1B" w:rsidP="00D842C2">
            <w:pPr>
              <w:pStyle w:val="TableHeaders"/>
            </w:pPr>
            <w:r>
              <w:t>Proposed Regulations</w:t>
            </w:r>
          </w:p>
        </w:tc>
      </w:tr>
      <w:tr w:rsidR="00122C1B" w:rsidRPr="00C133AC" w14:paraId="6CACBBBD" w14:textId="77777777" w:rsidTr="00C25CFD">
        <w:trPr>
          <w:trHeight w:val="300"/>
        </w:trPr>
        <w:tc>
          <w:tcPr>
            <w:tcW w:w="9639" w:type="dxa"/>
            <w:gridSpan w:val="3"/>
            <w:shd w:val="clear" w:color="auto" w:fill="DDE8F4" w:themeFill="text2" w:themeFillTint="1A"/>
            <w:noWrap/>
          </w:tcPr>
          <w:p w14:paraId="60FD337A" w14:textId="77777777" w:rsidR="00122C1B" w:rsidRPr="00C133AC" w:rsidRDefault="00122C1B" w:rsidP="00D842C2">
            <w:pPr>
              <w:pStyle w:val="TableParagraph"/>
              <w:rPr>
                <w:b/>
              </w:rPr>
            </w:pPr>
            <w:r w:rsidRPr="00C133AC">
              <w:rPr>
                <w:b/>
              </w:rPr>
              <w:t>Driver licence related amendments</w:t>
            </w:r>
          </w:p>
        </w:tc>
      </w:tr>
      <w:tr w:rsidR="00122C1B" w:rsidRPr="00117C96" w14:paraId="2B575F9D" w14:textId="77777777" w:rsidTr="00EA0D7F">
        <w:trPr>
          <w:cnfStyle w:val="000000010000" w:firstRow="0" w:lastRow="0" w:firstColumn="0" w:lastColumn="0" w:oddVBand="0" w:evenVBand="0" w:oddHBand="0" w:evenHBand="1" w:firstRowFirstColumn="0" w:firstRowLastColumn="0" w:lastRowFirstColumn="0" w:lastRowLastColumn="0"/>
          <w:trHeight w:val="300"/>
        </w:trPr>
        <w:tc>
          <w:tcPr>
            <w:tcW w:w="3544" w:type="dxa"/>
            <w:shd w:val="clear" w:color="auto" w:fill="auto"/>
            <w:noWrap/>
          </w:tcPr>
          <w:p w14:paraId="39AB3B7F" w14:textId="77777777" w:rsidR="00122C1B" w:rsidRPr="009D4829" w:rsidRDefault="00122C1B" w:rsidP="00D842C2">
            <w:pPr>
              <w:pStyle w:val="TableParagraph"/>
            </w:pPr>
            <w:r>
              <w:t>R</w:t>
            </w:r>
            <w:r w:rsidRPr="009D4829">
              <w:t>emove</w:t>
            </w:r>
            <w:r>
              <w:t>d</w:t>
            </w:r>
            <w:r w:rsidRPr="009D4829">
              <w:t xml:space="preserve"> exemptions from requirement to hold a Victorian driver licence or learner permit</w:t>
            </w:r>
            <w:r>
              <w:t xml:space="preserve"> (</w:t>
            </w:r>
            <w:r w:rsidRPr="009D4829">
              <w:t>s.18</w:t>
            </w:r>
            <w:r>
              <w:t>).</w:t>
            </w:r>
          </w:p>
        </w:tc>
        <w:tc>
          <w:tcPr>
            <w:tcW w:w="3402" w:type="dxa"/>
            <w:shd w:val="clear" w:color="auto" w:fill="auto"/>
            <w:noWrap/>
          </w:tcPr>
          <w:p w14:paraId="79163819" w14:textId="77777777" w:rsidR="00122C1B" w:rsidRPr="00117C96" w:rsidRDefault="00122C1B" w:rsidP="00AC190A">
            <w:pPr>
              <w:pStyle w:val="TableList1"/>
            </w:pPr>
            <w:r>
              <w:t>Drivers Regulations define</w:t>
            </w:r>
            <w:r w:rsidR="001F3F47">
              <w:t>d</w:t>
            </w:r>
            <w:r>
              <w:t xml:space="preserve"> exceptions to the exemptions, leading to confusion.</w:t>
            </w:r>
          </w:p>
        </w:tc>
        <w:tc>
          <w:tcPr>
            <w:tcW w:w="2693" w:type="dxa"/>
            <w:shd w:val="clear" w:color="auto" w:fill="auto"/>
          </w:tcPr>
          <w:p w14:paraId="6473036D" w14:textId="77777777" w:rsidR="00122C1B" w:rsidRPr="00117C96" w:rsidRDefault="001F3F47" w:rsidP="00D842C2">
            <w:pPr>
              <w:pStyle w:val="TableParagraph"/>
            </w:pPr>
            <w:r>
              <w:t>Refer to ‘authorisation’ rather than ‘exemption from requirements’.</w:t>
            </w:r>
          </w:p>
        </w:tc>
      </w:tr>
      <w:tr w:rsidR="00122C1B" w:rsidRPr="00117C96" w14:paraId="59068C1E" w14:textId="77777777" w:rsidTr="00EA0D7F">
        <w:trPr>
          <w:trHeight w:val="300"/>
        </w:trPr>
        <w:tc>
          <w:tcPr>
            <w:tcW w:w="3544" w:type="dxa"/>
            <w:shd w:val="clear" w:color="auto" w:fill="auto"/>
            <w:noWrap/>
          </w:tcPr>
          <w:p w14:paraId="51FBDCE8" w14:textId="77777777" w:rsidR="00122C1B" w:rsidRPr="009D4829" w:rsidRDefault="00122C1B" w:rsidP="00D842C2">
            <w:pPr>
              <w:pStyle w:val="TableParagraph"/>
            </w:pPr>
            <w:r w:rsidRPr="009D4829">
              <w:t>Allow</w:t>
            </w:r>
            <w:r>
              <w:t>ed</w:t>
            </w:r>
            <w:r w:rsidRPr="009D4829">
              <w:t xml:space="preserve"> for regulations to be made providing exemptions to the offence of driving in breach of a condition of a driver licence or learner permit, e.g. driving a manual transmission vehicle whilst licensed only for automatic transmission vehicles</w:t>
            </w:r>
            <w:r>
              <w:t>.</w:t>
            </w:r>
          </w:p>
        </w:tc>
        <w:tc>
          <w:tcPr>
            <w:tcW w:w="3402" w:type="dxa"/>
            <w:shd w:val="clear" w:color="auto" w:fill="auto"/>
            <w:noWrap/>
          </w:tcPr>
          <w:p w14:paraId="46568613" w14:textId="77777777" w:rsidR="00122C1B" w:rsidRPr="00117C96" w:rsidRDefault="00122C1B" w:rsidP="00AC190A">
            <w:pPr>
              <w:pStyle w:val="TableList1"/>
            </w:pPr>
            <w:r w:rsidRPr="006163BA">
              <w:t>Allow</w:t>
            </w:r>
            <w:r>
              <w:t>s</w:t>
            </w:r>
            <w:r w:rsidRPr="006163BA">
              <w:t xml:space="preserve"> drivers to gain the necessary experience (under defined conditions) to have a condition on their licence or permit removed</w:t>
            </w:r>
            <w:r>
              <w:t>.</w:t>
            </w:r>
          </w:p>
        </w:tc>
        <w:tc>
          <w:tcPr>
            <w:tcW w:w="2693" w:type="dxa"/>
            <w:shd w:val="clear" w:color="auto" w:fill="auto"/>
          </w:tcPr>
          <w:p w14:paraId="00625FEC" w14:textId="77777777" w:rsidR="00122C1B" w:rsidRPr="00117C96" w:rsidRDefault="00122C1B" w:rsidP="00D842C2">
            <w:pPr>
              <w:pStyle w:val="TableParagraph"/>
            </w:pPr>
            <w:r>
              <w:t>Regulate</w:t>
            </w:r>
            <w:r w:rsidRPr="006163BA">
              <w:t xml:space="preserve"> exemptions to the offence of driving in breach of a condition of a driver licence or learner permit</w:t>
            </w:r>
            <w:r>
              <w:t>.</w:t>
            </w:r>
          </w:p>
        </w:tc>
      </w:tr>
      <w:tr w:rsidR="00122C1B" w:rsidRPr="00117C96" w14:paraId="0F0C77D0" w14:textId="77777777" w:rsidTr="00EA0D7F">
        <w:trPr>
          <w:cnfStyle w:val="000000010000" w:firstRow="0" w:lastRow="0" w:firstColumn="0" w:lastColumn="0" w:oddVBand="0" w:evenVBand="0" w:oddHBand="0" w:evenHBand="1" w:firstRowFirstColumn="0" w:firstRowLastColumn="0" w:lastRowFirstColumn="0" w:lastRowLastColumn="0"/>
          <w:trHeight w:val="300"/>
        </w:trPr>
        <w:tc>
          <w:tcPr>
            <w:tcW w:w="3544" w:type="dxa"/>
            <w:shd w:val="clear" w:color="auto" w:fill="auto"/>
            <w:noWrap/>
          </w:tcPr>
          <w:p w14:paraId="6B3A3B41" w14:textId="77777777" w:rsidR="00122C1B" w:rsidRPr="009D4829" w:rsidRDefault="00122C1B" w:rsidP="00D842C2">
            <w:pPr>
              <w:pStyle w:val="TableParagraph"/>
            </w:pPr>
            <w:r w:rsidRPr="009D4829">
              <w:t>Allow</w:t>
            </w:r>
            <w:r>
              <w:t>ed</w:t>
            </w:r>
            <w:r w:rsidRPr="009D4829">
              <w:t xml:space="preserve"> people to undergo assessment or instruction while suspended or disqualified because they are unfit to drive </w:t>
            </w:r>
            <w:r>
              <w:t>(</w:t>
            </w:r>
            <w:r w:rsidRPr="009D4829">
              <w:t>e.g. in a modified vehicle</w:t>
            </w:r>
            <w:r>
              <w:t>)</w:t>
            </w:r>
            <w:r w:rsidRPr="009D4829">
              <w:t xml:space="preserve">, </w:t>
            </w:r>
            <w:r>
              <w:t xml:space="preserve">to </w:t>
            </w:r>
            <w:r w:rsidRPr="009D4829">
              <w:t>regain their driver licence</w:t>
            </w:r>
            <w:r>
              <w:t>.</w:t>
            </w:r>
          </w:p>
        </w:tc>
        <w:tc>
          <w:tcPr>
            <w:tcW w:w="3402" w:type="dxa"/>
            <w:shd w:val="clear" w:color="auto" w:fill="auto"/>
            <w:noWrap/>
          </w:tcPr>
          <w:p w14:paraId="34002B78" w14:textId="77777777" w:rsidR="00122C1B" w:rsidRPr="00117C96" w:rsidRDefault="00122C1B" w:rsidP="00AC190A">
            <w:pPr>
              <w:pStyle w:val="TableList1"/>
            </w:pPr>
            <w:r w:rsidRPr="006163BA">
              <w:t>Remove</w:t>
            </w:r>
            <w:r>
              <w:t>s</w:t>
            </w:r>
            <w:r w:rsidRPr="006163BA">
              <w:t xml:space="preserve"> unintended consequence that someone cannot undergo instruction or assessment to regain their driver licence</w:t>
            </w:r>
            <w:r>
              <w:t>.</w:t>
            </w:r>
          </w:p>
        </w:tc>
        <w:tc>
          <w:tcPr>
            <w:tcW w:w="2693" w:type="dxa"/>
            <w:shd w:val="clear" w:color="auto" w:fill="auto"/>
          </w:tcPr>
          <w:p w14:paraId="05906201" w14:textId="77777777" w:rsidR="00122C1B" w:rsidRPr="00117C96" w:rsidRDefault="00122C1B" w:rsidP="00D842C2">
            <w:pPr>
              <w:pStyle w:val="TableParagraph"/>
            </w:pPr>
            <w:r>
              <w:t>Regulate instances where persons may undergo assessment or instruction, e.g. in a modified vehicle, to regain their driver licence.</w:t>
            </w:r>
          </w:p>
        </w:tc>
      </w:tr>
      <w:tr w:rsidR="00122C1B" w:rsidRPr="00117C96" w14:paraId="59CCB886" w14:textId="77777777" w:rsidTr="00EA0D7F">
        <w:trPr>
          <w:trHeight w:val="300"/>
        </w:trPr>
        <w:tc>
          <w:tcPr>
            <w:tcW w:w="3544" w:type="dxa"/>
            <w:shd w:val="clear" w:color="auto" w:fill="auto"/>
            <w:noWrap/>
          </w:tcPr>
          <w:p w14:paraId="6C5D29EC" w14:textId="77777777" w:rsidR="00122C1B" w:rsidRPr="009D4829" w:rsidRDefault="00122C1B" w:rsidP="00D842C2">
            <w:pPr>
              <w:pStyle w:val="TableParagraph"/>
            </w:pPr>
            <w:r>
              <w:t>Amended</w:t>
            </w:r>
            <w:r w:rsidRPr="009D4829">
              <w:t xml:space="preserve"> ‘fitness to drive’ definition from “affected by a bodily infirmity, defect or incapacity” to “affected by disability, medical condition or injury”</w:t>
            </w:r>
            <w:r>
              <w:t>.</w:t>
            </w:r>
          </w:p>
        </w:tc>
        <w:tc>
          <w:tcPr>
            <w:tcW w:w="3402" w:type="dxa"/>
            <w:shd w:val="clear" w:color="auto" w:fill="auto"/>
            <w:noWrap/>
          </w:tcPr>
          <w:p w14:paraId="4D1E27E3" w14:textId="77777777" w:rsidR="00122C1B" w:rsidRPr="000E3A33" w:rsidRDefault="00122C1B" w:rsidP="00AC190A">
            <w:pPr>
              <w:pStyle w:val="TableList1"/>
            </w:pPr>
            <w:r w:rsidRPr="000E3A33">
              <w:t>Describes more accurately the range of conditions that impact on a person’s ability to drive safely, using less subjective terms than “bodily infirmity, defect or incapacity”.</w:t>
            </w:r>
          </w:p>
        </w:tc>
        <w:tc>
          <w:tcPr>
            <w:tcW w:w="2693" w:type="dxa"/>
            <w:shd w:val="clear" w:color="auto" w:fill="auto"/>
          </w:tcPr>
          <w:p w14:paraId="18ED11B3" w14:textId="77777777" w:rsidR="00122C1B" w:rsidRPr="000E3A33" w:rsidRDefault="00122C1B" w:rsidP="00D842C2">
            <w:pPr>
              <w:pStyle w:val="TableParagraph"/>
            </w:pPr>
            <w:r w:rsidRPr="000E3A33">
              <w:t>Update the regulations</w:t>
            </w:r>
            <w:r>
              <w:t xml:space="preserve"> with the </w:t>
            </w:r>
            <w:r w:rsidRPr="000E3A33">
              <w:t xml:space="preserve">same </w:t>
            </w:r>
            <w:r>
              <w:t>terminology.</w:t>
            </w:r>
          </w:p>
        </w:tc>
      </w:tr>
      <w:tr w:rsidR="00122C1B" w:rsidRPr="00C133AC" w14:paraId="46C070D5" w14:textId="77777777" w:rsidTr="00C25CFD">
        <w:trPr>
          <w:cnfStyle w:val="000000010000" w:firstRow="0" w:lastRow="0" w:firstColumn="0" w:lastColumn="0" w:oddVBand="0" w:evenVBand="0" w:oddHBand="0" w:evenHBand="1" w:firstRowFirstColumn="0" w:firstRowLastColumn="0" w:lastRowFirstColumn="0" w:lastRowLastColumn="0"/>
          <w:trHeight w:val="300"/>
        </w:trPr>
        <w:tc>
          <w:tcPr>
            <w:tcW w:w="9639" w:type="dxa"/>
            <w:gridSpan w:val="3"/>
            <w:shd w:val="clear" w:color="auto" w:fill="DDE8F4" w:themeFill="text2" w:themeFillTint="1A"/>
            <w:noWrap/>
          </w:tcPr>
          <w:p w14:paraId="1DCFC4DF" w14:textId="77777777" w:rsidR="00122C1B" w:rsidRPr="00C133AC" w:rsidRDefault="00122C1B" w:rsidP="00D842C2">
            <w:pPr>
              <w:pStyle w:val="TableParagraph"/>
              <w:ind w:left="172" w:hanging="218"/>
              <w:rPr>
                <w:b/>
              </w:rPr>
            </w:pPr>
            <w:r w:rsidRPr="00C133AC">
              <w:rPr>
                <w:b/>
              </w:rPr>
              <w:t>Demerit points scheme</w:t>
            </w:r>
          </w:p>
        </w:tc>
      </w:tr>
      <w:tr w:rsidR="00122C1B" w:rsidRPr="00117C96" w14:paraId="71B9F7D5" w14:textId="77777777" w:rsidTr="00EA0D7F">
        <w:trPr>
          <w:trHeight w:val="300"/>
        </w:trPr>
        <w:tc>
          <w:tcPr>
            <w:tcW w:w="3544" w:type="dxa"/>
            <w:shd w:val="clear" w:color="auto" w:fill="auto"/>
            <w:noWrap/>
          </w:tcPr>
          <w:p w14:paraId="5FB582B4" w14:textId="77777777" w:rsidR="00122C1B" w:rsidRPr="00117C96" w:rsidRDefault="00122C1B" w:rsidP="00D842C2">
            <w:pPr>
              <w:pStyle w:val="TableParagraph"/>
            </w:pPr>
            <w:r w:rsidRPr="009D4829">
              <w:t>Remove</w:t>
            </w:r>
            <w:r>
              <w:t>d</w:t>
            </w:r>
            <w:r w:rsidRPr="009D4829">
              <w:t xml:space="preserve"> demerit points for high-end speeding offences that incur an automatic suspension</w:t>
            </w:r>
            <w:r>
              <w:t xml:space="preserve"> and extend the suspension period. E</w:t>
            </w:r>
            <w:r w:rsidRPr="009D4829">
              <w:t xml:space="preserve">.g. </w:t>
            </w:r>
            <w:r>
              <w:t xml:space="preserve">driving more than </w:t>
            </w:r>
            <w:r w:rsidRPr="009D4829">
              <w:t xml:space="preserve">25 km/h above limit currently attracts 4 demerit points and a one-month suspension; change to </w:t>
            </w:r>
            <w:r>
              <w:t>zero</w:t>
            </w:r>
            <w:r w:rsidRPr="009D4829">
              <w:t xml:space="preserve"> demerit points and a three-month suspension</w:t>
            </w:r>
            <w:r>
              <w:t>.</w:t>
            </w:r>
          </w:p>
        </w:tc>
        <w:tc>
          <w:tcPr>
            <w:tcW w:w="3402" w:type="dxa"/>
            <w:shd w:val="clear" w:color="auto" w:fill="auto"/>
            <w:noWrap/>
          </w:tcPr>
          <w:p w14:paraId="51641FBC" w14:textId="77777777" w:rsidR="00122C1B" w:rsidRPr="009D4829" w:rsidRDefault="00122C1B" w:rsidP="00AC190A">
            <w:pPr>
              <w:pStyle w:val="TableList1"/>
            </w:pPr>
            <w:r w:rsidRPr="009D4829">
              <w:t>Align</w:t>
            </w:r>
            <w:r>
              <w:t>s</w:t>
            </w:r>
            <w:r w:rsidRPr="009D4829">
              <w:t xml:space="preserve"> suspensions for high-end speeding offences with their high crash risk</w:t>
            </w:r>
            <w:r>
              <w:t>.</w:t>
            </w:r>
          </w:p>
          <w:p w14:paraId="0922622A" w14:textId="77777777" w:rsidR="00122C1B" w:rsidRPr="00117C96" w:rsidRDefault="00122C1B" w:rsidP="00AC190A">
            <w:pPr>
              <w:pStyle w:val="TableList1"/>
            </w:pPr>
            <w:r w:rsidRPr="009D4829">
              <w:t>Avoids multiple suspensions</w:t>
            </w:r>
            <w:r>
              <w:t xml:space="preserve"> that could result from the same offence</w:t>
            </w:r>
            <w:r w:rsidRPr="009D4829">
              <w:t>, e.g. one month for the offence, and then</w:t>
            </w:r>
            <w:r>
              <w:t xml:space="preserve"> three months for accumulating more than 5 </w:t>
            </w:r>
            <w:r w:rsidRPr="009D4829">
              <w:t>demerit points</w:t>
            </w:r>
            <w:r>
              <w:t xml:space="preserve"> (accrued using demerit points from the same offence) for probationary licence holders, and similarly more than </w:t>
            </w:r>
            <w:r w:rsidRPr="009D4829">
              <w:t>12</w:t>
            </w:r>
            <w:r>
              <w:t xml:space="preserve"> demerit points for full licence holders.</w:t>
            </w:r>
          </w:p>
        </w:tc>
        <w:tc>
          <w:tcPr>
            <w:tcW w:w="2693" w:type="dxa"/>
            <w:shd w:val="clear" w:color="auto" w:fill="auto"/>
          </w:tcPr>
          <w:p w14:paraId="071CAA32" w14:textId="77777777" w:rsidR="00122C1B" w:rsidRPr="00117C96" w:rsidRDefault="00122C1B" w:rsidP="00D842C2">
            <w:pPr>
              <w:pStyle w:val="TableParagraph"/>
            </w:pPr>
            <w:r>
              <w:t>Update the list of offences that incur demerit points in Schedule 2 of the proposed Regulations to give effect to this change to the RSA.</w:t>
            </w:r>
          </w:p>
        </w:tc>
      </w:tr>
      <w:tr w:rsidR="00122C1B" w:rsidRPr="00117C96" w14:paraId="1AF0CAA7" w14:textId="77777777" w:rsidTr="00EA0D7F">
        <w:trPr>
          <w:cnfStyle w:val="000000010000" w:firstRow="0" w:lastRow="0" w:firstColumn="0" w:lastColumn="0" w:oddVBand="0" w:evenVBand="0" w:oddHBand="0" w:evenHBand="1" w:firstRowFirstColumn="0" w:firstRowLastColumn="0" w:lastRowFirstColumn="0" w:lastRowLastColumn="0"/>
          <w:trHeight w:val="300"/>
        </w:trPr>
        <w:tc>
          <w:tcPr>
            <w:tcW w:w="3544" w:type="dxa"/>
            <w:shd w:val="clear" w:color="auto" w:fill="auto"/>
            <w:noWrap/>
          </w:tcPr>
          <w:p w14:paraId="0665A503" w14:textId="77777777" w:rsidR="00122C1B" w:rsidRPr="00117C96" w:rsidRDefault="00122C1B" w:rsidP="00D842C2">
            <w:pPr>
              <w:pStyle w:val="TableParagraph"/>
            </w:pPr>
            <w:r w:rsidRPr="009D4829">
              <w:t>Allow</w:t>
            </w:r>
            <w:r>
              <w:t>ed</w:t>
            </w:r>
            <w:r w:rsidRPr="009D4829">
              <w:t xml:space="preserve"> demerit point suspensions to run concurrently with other licence sanctions</w:t>
            </w:r>
            <w:r>
              <w:t>.</w:t>
            </w:r>
          </w:p>
        </w:tc>
        <w:tc>
          <w:tcPr>
            <w:tcW w:w="3402" w:type="dxa"/>
            <w:shd w:val="clear" w:color="auto" w:fill="auto"/>
            <w:noWrap/>
          </w:tcPr>
          <w:p w14:paraId="047816AC" w14:textId="77777777" w:rsidR="00122C1B" w:rsidRPr="009D4829" w:rsidRDefault="00122C1B" w:rsidP="00AC190A">
            <w:pPr>
              <w:pStyle w:val="TableList1"/>
            </w:pPr>
            <w:r>
              <w:t xml:space="preserve">Ensures </w:t>
            </w:r>
            <w:r w:rsidRPr="009D4829">
              <w:t>consisten</w:t>
            </w:r>
            <w:r>
              <w:t>cy</w:t>
            </w:r>
            <w:r w:rsidRPr="009D4829">
              <w:t xml:space="preserve"> with driving bans and other sanctions for serious offences running concurrently</w:t>
            </w:r>
            <w:r>
              <w:t>.</w:t>
            </w:r>
          </w:p>
          <w:p w14:paraId="0E0A68E7" w14:textId="77777777" w:rsidR="00122C1B" w:rsidRPr="009D4829" w:rsidRDefault="00122C1B" w:rsidP="00AC190A">
            <w:pPr>
              <w:pStyle w:val="TableList1"/>
            </w:pPr>
            <w:r w:rsidRPr="009D4829">
              <w:t>Improve</w:t>
            </w:r>
            <w:r>
              <w:t>s</w:t>
            </w:r>
            <w:r w:rsidRPr="009D4829">
              <w:t xml:space="preserve"> consistency in sentencing</w:t>
            </w:r>
            <w:r>
              <w:t>.</w:t>
            </w:r>
          </w:p>
          <w:p w14:paraId="40672409" w14:textId="77777777" w:rsidR="00122C1B" w:rsidRPr="00117C96" w:rsidRDefault="00122C1B" w:rsidP="00265CBE">
            <w:pPr>
              <w:pStyle w:val="TableList1"/>
            </w:pPr>
            <w:r>
              <w:t xml:space="preserve">Amendment is </w:t>
            </w:r>
            <w:r w:rsidRPr="009D4829">
              <w:t>not expected to negatively impact road safety</w:t>
            </w:r>
            <w:r>
              <w:t>.</w:t>
            </w:r>
          </w:p>
        </w:tc>
        <w:tc>
          <w:tcPr>
            <w:tcW w:w="2693" w:type="dxa"/>
            <w:shd w:val="clear" w:color="auto" w:fill="auto"/>
          </w:tcPr>
          <w:p w14:paraId="4FDE3700" w14:textId="77777777" w:rsidR="00122C1B" w:rsidRPr="00117C96" w:rsidRDefault="00122C1B" w:rsidP="00D842C2">
            <w:pPr>
              <w:pStyle w:val="TableParagraph"/>
            </w:pPr>
            <w:r>
              <w:t xml:space="preserve">No regulations required to support this change to the </w:t>
            </w:r>
            <w:r w:rsidRPr="00206D75">
              <w:rPr>
                <w:i/>
              </w:rPr>
              <w:t>RSA</w:t>
            </w:r>
            <w:r>
              <w:t>.</w:t>
            </w:r>
          </w:p>
        </w:tc>
      </w:tr>
      <w:tr w:rsidR="00122C1B" w:rsidRPr="00117C96" w14:paraId="756D58C5" w14:textId="77777777" w:rsidTr="00EA0D7F">
        <w:trPr>
          <w:trHeight w:val="300"/>
        </w:trPr>
        <w:tc>
          <w:tcPr>
            <w:tcW w:w="3544" w:type="dxa"/>
            <w:shd w:val="clear" w:color="auto" w:fill="auto"/>
            <w:noWrap/>
          </w:tcPr>
          <w:p w14:paraId="229B1F5E" w14:textId="77777777" w:rsidR="00122C1B" w:rsidRPr="00117C96" w:rsidRDefault="00122C1B" w:rsidP="00D842C2">
            <w:pPr>
              <w:pStyle w:val="TableParagraph"/>
            </w:pPr>
            <w:r w:rsidRPr="009D4829">
              <w:lastRenderedPageBreak/>
              <w:t>Broaden</w:t>
            </w:r>
            <w:r>
              <w:t>ed</w:t>
            </w:r>
            <w:r w:rsidRPr="009D4829">
              <w:t xml:space="preserve"> </w:t>
            </w:r>
            <w:r>
              <w:t xml:space="preserve">the </w:t>
            </w:r>
            <w:r w:rsidRPr="009D4829">
              <w:t>range of offences that breach a 12-month extended demerit point period (“good behaviour bond”)</w:t>
            </w:r>
            <w:r>
              <w:t>.</w:t>
            </w:r>
          </w:p>
        </w:tc>
        <w:tc>
          <w:tcPr>
            <w:tcW w:w="3402" w:type="dxa"/>
            <w:shd w:val="clear" w:color="auto" w:fill="auto"/>
            <w:noWrap/>
          </w:tcPr>
          <w:p w14:paraId="340F238E" w14:textId="77777777" w:rsidR="00122C1B" w:rsidRPr="007A77E9" w:rsidRDefault="00122C1B" w:rsidP="00AC190A">
            <w:pPr>
              <w:pStyle w:val="TableList1"/>
            </w:pPr>
            <w:r w:rsidRPr="007A77E9">
              <w:t>Currently only offences that attract demerit points can breach a 12-month extended demerit point period (and therefore incur a six-month suspension).</w:t>
            </w:r>
          </w:p>
          <w:p w14:paraId="43D3C039" w14:textId="77777777" w:rsidR="00122C1B" w:rsidRPr="007A77E9" w:rsidRDefault="00122C1B" w:rsidP="00AC190A">
            <w:pPr>
              <w:pStyle w:val="TableList1"/>
            </w:pPr>
            <w:r w:rsidRPr="007A77E9">
              <w:t>Removes perverse incentive whereby high-end speeding offences do not breach extended demerit point periods</w:t>
            </w:r>
          </w:p>
        </w:tc>
        <w:tc>
          <w:tcPr>
            <w:tcW w:w="2693" w:type="dxa"/>
            <w:shd w:val="clear" w:color="auto" w:fill="auto"/>
          </w:tcPr>
          <w:p w14:paraId="2D82290B" w14:textId="77777777" w:rsidR="00122C1B" w:rsidRPr="00117C96" w:rsidRDefault="00122C1B" w:rsidP="00D842C2">
            <w:pPr>
              <w:pStyle w:val="TableParagraph"/>
            </w:pPr>
            <w:r>
              <w:t>No regulations required to support this change to the RSA.</w:t>
            </w:r>
          </w:p>
        </w:tc>
      </w:tr>
      <w:tr w:rsidR="00122C1B" w:rsidRPr="00C133AC" w14:paraId="5B8C1E93" w14:textId="77777777" w:rsidTr="00C25CFD">
        <w:trPr>
          <w:cnfStyle w:val="000000010000" w:firstRow="0" w:lastRow="0" w:firstColumn="0" w:lastColumn="0" w:oddVBand="0" w:evenVBand="0" w:oddHBand="0" w:evenHBand="1" w:firstRowFirstColumn="0" w:firstRowLastColumn="0" w:lastRowFirstColumn="0" w:lastRowLastColumn="0"/>
          <w:trHeight w:val="300"/>
        </w:trPr>
        <w:tc>
          <w:tcPr>
            <w:tcW w:w="9639" w:type="dxa"/>
            <w:gridSpan w:val="3"/>
            <w:shd w:val="clear" w:color="auto" w:fill="DDE8F4" w:themeFill="text2" w:themeFillTint="1A"/>
            <w:noWrap/>
          </w:tcPr>
          <w:p w14:paraId="7EF36C3B" w14:textId="77777777" w:rsidR="00122C1B" w:rsidRPr="00C133AC" w:rsidRDefault="00122C1B" w:rsidP="00D842C2">
            <w:pPr>
              <w:pStyle w:val="TableParagraph"/>
              <w:ind w:left="172" w:hanging="218"/>
              <w:rPr>
                <w:b/>
              </w:rPr>
            </w:pPr>
            <w:r w:rsidRPr="00C133AC">
              <w:rPr>
                <w:b/>
              </w:rPr>
              <w:t>Deemed service of notices</w:t>
            </w:r>
          </w:p>
        </w:tc>
      </w:tr>
      <w:tr w:rsidR="00122C1B" w:rsidRPr="00117C96" w14:paraId="7E603C9E" w14:textId="77777777" w:rsidTr="00EA0D7F">
        <w:trPr>
          <w:trHeight w:val="300"/>
        </w:trPr>
        <w:tc>
          <w:tcPr>
            <w:tcW w:w="3544" w:type="dxa"/>
            <w:shd w:val="clear" w:color="auto" w:fill="auto"/>
            <w:noWrap/>
          </w:tcPr>
          <w:p w14:paraId="297DD315" w14:textId="77777777" w:rsidR="00122C1B" w:rsidRPr="00117C96" w:rsidRDefault="00122C1B" w:rsidP="00D842C2">
            <w:pPr>
              <w:pStyle w:val="TableParagraph"/>
            </w:pPr>
            <w:r w:rsidRPr="00430A3C">
              <w:t>Replicate</w:t>
            </w:r>
            <w:r>
              <w:t>d</w:t>
            </w:r>
            <w:r w:rsidRPr="00430A3C">
              <w:t xml:space="preserve"> the deemed service provisions of the </w:t>
            </w:r>
            <w:r w:rsidRPr="00D74606">
              <w:rPr>
                <w:i/>
              </w:rPr>
              <w:t>Fines Reform Act 2014</w:t>
            </w:r>
            <w:r w:rsidRPr="00430A3C">
              <w:t xml:space="preserve"> and the </w:t>
            </w:r>
            <w:r w:rsidRPr="00D74606">
              <w:rPr>
                <w:i/>
              </w:rPr>
              <w:t>Infringements Act 2006</w:t>
            </w:r>
            <w:r w:rsidRPr="00430A3C">
              <w:t xml:space="preserve"> and insert them into s.93 of the </w:t>
            </w:r>
            <w:r w:rsidRPr="00D74606">
              <w:rPr>
                <w:i/>
              </w:rPr>
              <w:t>Road Safety Act 1986</w:t>
            </w:r>
            <w:r w:rsidRPr="00430A3C">
              <w:t xml:space="preserve">, so that notices under the </w:t>
            </w:r>
            <w:r w:rsidRPr="006A392A">
              <w:rPr>
                <w:i/>
              </w:rPr>
              <w:t>RSA</w:t>
            </w:r>
            <w:r w:rsidRPr="00430A3C">
              <w:t>, including notices that have been returned undelivered, shall be deemed to have been served seven days after they were sent</w:t>
            </w:r>
            <w:r>
              <w:t>.</w:t>
            </w:r>
          </w:p>
        </w:tc>
        <w:tc>
          <w:tcPr>
            <w:tcW w:w="3402" w:type="dxa"/>
            <w:vMerge w:val="restart"/>
            <w:shd w:val="clear" w:color="auto" w:fill="auto"/>
            <w:noWrap/>
          </w:tcPr>
          <w:p w14:paraId="5B1792C3" w14:textId="77777777" w:rsidR="00122C1B" w:rsidRPr="00430A3C" w:rsidRDefault="00122C1B" w:rsidP="00AC190A">
            <w:pPr>
              <w:pStyle w:val="TableList1"/>
            </w:pPr>
            <w:r w:rsidRPr="00430A3C">
              <w:t>Enable</w:t>
            </w:r>
            <w:r>
              <w:t>s</w:t>
            </w:r>
            <w:r w:rsidRPr="00430A3C">
              <w:t xml:space="preserve"> consistency with other laws relating to service of infringement notices, fines etc.</w:t>
            </w:r>
          </w:p>
          <w:p w14:paraId="32661D48" w14:textId="77777777" w:rsidR="00122C1B" w:rsidRPr="00430A3C" w:rsidRDefault="00122C1B" w:rsidP="00AC190A">
            <w:pPr>
              <w:pStyle w:val="TableList1"/>
            </w:pPr>
            <w:r w:rsidRPr="00430A3C">
              <w:t>Close</w:t>
            </w:r>
            <w:r>
              <w:t>s a</w:t>
            </w:r>
            <w:r w:rsidRPr="00430A3C">
              <w:t xml:space="preserve"> loophole whereby intended recipients can claim to have not received notices, and thereby avoid sanctions like licence suspension, registration cancellation etc.</w:t>
            </w:r>
          </w:p>
          <w:p w14:paraId="127E0FDA" w14:textId="77777777" w:rsidR="00122C1B" w:rsidRPr="00117C96" w:rsidRDefault="00122C1B" w:rsidP="00265CBE">
            <w:pPr>
              <w:pStyle w:val="TableList1"/>
            </w:pPr>
            <w:r>
              <w:t>P</w:t>
            </w:r>
            <w:r w:rsidRPr="00430A3C">
              <w:t>rovide</w:t>
            </w:r>
            <w:r>
              <w:t>s</w:t>
            </w:r>
            <w:r w:rsidRPr="00430A3C">
              <w:t xml:space="preserve"> necessary protection for people who genuinely were away from their residence or could not safely return (e.g. victims of domestic violence)</w:t>
            </w:r>
            <w:r>
              <w:t>.</w:t>
            </w:r>
          </w:p>
        </w:tc>
        <w:tc>
          <w:tcPr>
            <w:tcW w:w="2693" w:type="dxa"/>
            <w:vMerge w:val="restart"/>
            <w:shd w:val="clear" w:color="auto" w:fill="auto"/>
          </w:tcPr>
          <w:p w14:paraId="0932D69F" w14:textId="77777777" w:rsidR="00122C1B" w:rsidRPr="00117C96" w:rsidRDefault="00122C1B" w:rsidP="00D842C2">
            <w:pPr>
              <w:pStyle w:val="TableParagraph"/>
            </w:pPr>
            <w:r>
              <w:t xml:space="preserve">No regulations required to support this change to the </w:t>
            </w:r>
            <w:r w:rsidRPr="00206D75">
              <w:rPr>
                <w:i/>
              </w:rPr>
              <w:t>RSA</w:t>
            </w:r>
            <w:r>
              <w:t>.</w:t>
            </w:r>
          </w:p>
        </w:tc>
      </w:tr>
      <w:tr w:rsidR="00122C1B" w:rsidRPr="00117C96" w14:paraId="7AEE0B1A" w14:textId="77777777" w:rsidTr="00EA0D7F">
        <w:trPr>
          <w:cnfStyle w:val="000000010000" w:firstRow="0" w:lastRow="0" w:firstColumn="0" w:lastColumn="0" w:oddVBand="0" w:evenVBand="0" w:oddHBand="0" w:evenHBand="1" w:firstRowFirstColumn="0" w:firstRowLastColumn="0" w:lastRowFirstColumn="0" w:lastRowLastColumn="0"/>
          <w:trHeight w:val="300"/>
        </w:trPr>
        <w:tc>
          <w:tcPr>
            <w:tcW w:w="3544" w:type="dxa"/>
            <w:shd w:val="clear" w:color="auto" w:fill="auto"/>
            <w:noWrap/>
          </w:tcPr>
          <w:p w14:paraId="4D0275B4" w14:textId="77777777" w:rsidR="00122C1B" w:rsidRPr="00117C96" w:rsidRDefault="00122C1B" w:rsidP="00D842C2">
            <w:pPr>
              <w:pStyle w:val="TableParagraph"/>
            </w:pPr>
            <w:r w:rsidRPr="00430A3C">
              <w:t>Provide</w:t>
            </w:r>
            <w:r>
              <w:t>d</w:t>
            </w:r>
            <w:r w:rsidRPr="00430A3C">
              <w:t xml:space="preserve"> for </w:t>
            </w:r>
            <w:r>
              <w:t xml:space="preserve">the </w:t>
            </w:r>
            <w:r w:rsidRPr="00430A3C">
              <w:t>ability of persons affected by a decision, where the notice informing them of that decision was returned to VicRoads undelivered, to demonstrate that they could not reasonably be expected to have received the relevant notice</w:t>
            </w:r>
            <w:r>
              <w:t>.</w:t>
            </w:r>
          </w:p>
        </w:tc>
        <w:tc>
          <w:tcPr>
            <w:tcW w:w="3402" w:type="dxa"/>
            <w:vMerge/>
            <w:shd w:val="clear" w:color="auto" w:fill="auto"/>
            <w:noWrap/>
          </w:tcPr>
          <w:p w14:paraId="726A616A" w14:textId="77777777" w:rsidR="00122C1B" w:rsidRPr="00117C96" w:rsidRDefault="00122C1B">
            <w:pPr>
              <w:pStyle w:val="Bullet1-Black"/>
            </w:pPr>
          </w:p>
        </w:tc>
        <w:tc>
          <w:tcPr>
            <w:tcW w:w="2693" w:type="dxa"/>
            <w:vMerge/>
            <w:shd w:val="clear" w:color="auto" w:fill="auto"/>
          </w:tcPr>
          <w:p w14:paraId="76281657" w14:textId="77777777" w:rsidR="00122C1B" w:rsidRPr="00117C96" w:rsidRDefault="00122C1B">
            <w:pPr>
              <w:pStyle w:val="Bullet1-Black"/>
            </w:pPr>
          </w:p>
        </w:tc>
      </w:tr>
      <w:tr w:rsidR="00122C1B" w:rsidRPr="00117C96" w14:paraId="52A7DB18" w14:textId="77777777" w:rsidTr="00EA0D7F">
        <w:trPr>
          <w:trHeight w:val="300"/>
        </w:trPr>
        <w:tc>
          <w:tcPr>
            <w:tcW w:w="3544" w:type="dxa"/>
            <w:shd w:val="clear" w:color="auto" w:fill="auto"/>
            <w:noWrap/>
          </w:tcPr>
          <w:p w14:paraId="192CDC42" w14:textId="77777777" w:rsidR="00122C1B" w:rsidRPr="00117C96" w:rsidRDefault="00122C1B" w:rsidP="00D842C2">
            <w:pPr>
              <w:pStyle w:val="TableParagraph"/>
            </w:pPr>
            <w:r w:rsidRPr="00430A3C">
              <w:t>Enable</w:t>
            </w:r>
            <w:r>
              <w:t>d</w:t>
            </w:r>
            <w:r w:rsidRPr="00430A3C">
              <w:t xml:space="preserve"> VicRoads to update its records where a credible third party (e.g. Sheriff’s Office, Victoria Police) has a more reliable or up-to-date mailing address</w:t>
            </w:r>
            <w:r>
              <w:t>.</w:t>
            </w:r>
          </w:p>
        </w:tc>
        <w:tc>
          <w:tcPr>
            <w:tcW w:w="3402" w:type="dxa"/>
            <w:vMerge w:val="restart"/>
            <w:shd w:val="clear" w:color="auto" w:fill="auto"/>
            <w:noWrap/>
          </w:tcPr>
          <w:p w14:paraId="690A9489" w14:textId="77777777" w:rsidR="00122C1B" w:rsidRPr="00430A3C" w:rsidRDefault="00122C1B" w:rsidP="00AC190A">
            <w:pPr>
              <w:pStyle w:val="TableList1"/>
            </w:pPr>
            <w:r w:rsidRPr="00430A3C">
              <w:t>Provide</w:t>
            </w:r>
            <w:r>
              <w:t>s</w:t>
            </w:r>
            <w:r w:rsidRPr="00430A3C">
              <w:t xml:space="preserve"> VicRoads with every possible opportunity to send a notice to an intended recipient</w:t>
            </w:r>
          </w:p>
          <w:p w14:paraId="55F12D53" w14:textId="77777777" w:rsidR="00122C1B" w:rsidRPr="00117C96" w:rsidRDefault="00122C1B" w:rsidP="00AC190A">
            <w:pPr>
              <w:pStyle w:val="TableList1"/>
            </w:pPr>
            <w:r w:rsidRPr="00430A3C">
              <w:t>Provide</w:t>
            </w:r>
            <w:r>
              <w:t>s</w:t>
            </w:r>
            <w:r w:rsidRPr="00430A3C">
              <w:t xml:space="preserve"> the intended recipient every possible opportunity to receive a notice sent by VicRoads</w:t>
            </w:r>
            <w:r>
              <w:t>.</w:t>
            </w:r>
          </w:p>
        </w:tc>
        <w:tc>
          <w:tcPr>
            <w:tcW w:w="2693" w:type="dxa"/>
            <w:vMerge w:val="restart"/>
            <w:shd w:val="clear" w:color="auto" w:fill="auto"/>
          </w:tcPr>
          <w:p w14:paraId="2064B607" w14:textId="77777777" w:rsidR="00122C1B" w:rsidRPr="00117C96" w:rsidRDefault="00122C1B" w:rsidP="00D842C2">
            <w:pPr>
              <w:pStyle w:val="TableParagraph"/>
            </w:pPr>
            <w:r>
              <w:t xml:space="preserve">No regulations required to support this change to the </w:t>
            </w:r>
            <w:r w:rsidRPr="00206D75">
              <w:rPr>
                <w:i/>
              </w:rPr>
              <w:t>RSA</w:t>
            </w:r>
            <w:r>
              <w:t>.</w:t>
            </w:r>
          </w:p>
        </w:tc>
      </w:tr>
      <w:tr w:rsidR="00122C1B" w:rsidRPr="00117C96" w14:paraId="5E53C463" w14:textId="77777777" w:rsidTr="00EA0D7F">
        <w:trPr>
          <w:cnfStyle w:val="000000010000" w:firstRow="0" w:lastRow="0" w:firstColumn="0" w:lastColumn="0" w:oddVBand="0" w:evenVBand="0" w:oddHBand="0" w:evenHBand="1" w:firstRowFirstColumn="0" w:firstRowLastColumn="0" w:lastRowFirstColumn="0" w:lastRowLastColumn="0"/>
          <w:trHeight w:val="300"/>
        </w:trPr>
        <w:tc>
          <w:tcPr>
            <w:tcW w:w="3544" w:type="dxa"/>
            <w:noWrap/>
          </w:tcPr>
          <w:p w14:paraId="0C8D1C89" w14:textId="77777777" w:rsidR="00122C1B" w:rsidRPr="00117C96" w:rsidRDefault="00122C1B" w:rsidP="00D842C2">
            <w:pPr>
              <w:pStyle w:val="TableParagraph"/>
            </w:pPr>
            <w:r w:rsidRPr="00430A3C">
              <w:t>Enable</w:t>
            </w:r>
            <w:r>
              <w:t>d</w:t>
            </w:r>
            <w:r w:rsidRPr="00430A3C">
              <w:t xml:space="preserve"> notices to be sent to electronic mail addresses, in addition to mailing addresses</w:t>
            </w:r>
            <w:r>
              <w:t>.</w:t>
            </w:r>
          </w:p>
        </w:tc>
        <w:tc>
          <w:tcPr>
            <w:tcW w:w="3402" w:type="dxa"/>
            <w:vMerge/>
            <w:noWrap/>
          </w:tcPr>
          <w:p w14:paraId="1C8C6E11" w14:textId="77777777" w:rsidR="00122C1B" w:rsidRPr="00117C96" w:rsidRDefault="00122C1B">
            <w:pPr>
              <w:pStyle w:val="Bullet1-Black"/>
            </w:pPr>
          </w:p>
        </w:tc>
        <w:tc>
          <w:tcPr>
            <w:tcW w:w="2693" w:type="dxa"/>
            <w:vMerge/>
          </w:tcPr>
          <w:p w14:paraId="526741CA" w14:textId="77777777" w:rsidR="00122C1B" w:rsidRPr="00117C96" w:rsidRDefault="00122C1B" w:rsidP="00D842C2">
            <w:pPr>
              <w:pStyle w:val="TableParagraph"/>
            </w:pPr>
          </w:p>
        </w:tc>
      </w:tr>
      <w:tr w:rsidR="00122C1B" w:rsidRPr="00C133AC" w14:paraId="370B80B6" w14:textId="77777777" w:rsidTr="00C25CFD">
        <w:trPr>
          <w:trHeight w:val="300"/>
        </w:trPr>
        <w:tc>
          <w:tcPr>
            <w:tcW w:w="9639" w:type="dxa"/>
            <w:gridSpan w:val="3"/>
            <w:shd w:val="clear" w:color="auto" w:fill="DDE8F4" w:themeFill="text2" w:themeFillTint="1A"/>
            <w:noWrap/>
          </w:tcPr>
          <w:p w14:paraId="4EA1FA48" w14:textId="77777777" w:rsidR="00122C1B" w:rsidRPr="00C133AC" w:rsidRDefault="00122C1B" w:rsidP="00D842C2">
            <w:pPr>
              <w:pStyle w:val="TableParagraph"/>
              <w:ind w:left="172" w:hanging="218"/>
              <w:rPr>
                <w:b/>
              </w:rPr>
            </w:pPr>
            <w:r w:rsidRPr="00C133AC">
              <w:rPr>
                <w:b/>
              </w:rPr>
              <w:t>Probationary prohibited vehicles</w:t>
            </w:r>
          </w:p>
        </w:tc>
      </w:tr>
      <w:tr w:rsidR="00122C1B" w:rsidRPr="00117C96" w14:paraId="1DE3143D" w14:textId="77777777" w:rsidTr="00EA0D7F">
        <w:trPr>
          <w:cnfStyle w:val="000000010000" w:firstRow="0" w:lastRow="0" w:firstColumn="0" w:lastColumn="0" w:oddVBand="0" w:evenVBand="0" w:oddHBand="0" w:evenHBand="1" w:firstRowFirstColumn="0" w:firstRowLastColumn="0" w:lastRowFirstColumn="0" w:lastRowLastColumn="0"/>
          <w:trHeight w:val="300"/>
        </w:trPr>
        <w:tc>
          <w:tcPr>
            <w:tcW w:w="3544" w:type="dxa"/>
            <w:shd w:val="clear" w:color="auto" w:fill="auto"/>
            <w:noWrap/>
          </w:tcPr>
          <w:p w14:paraId="4F5596D0" w14:textId="77777777" w:rsidR="00122C1B" w:rsidRPr="009B6F09" w:rsidRDefault="00122C1B" w:rsidP="00D842C2">
            <w:pPr>
              <w:pStyle w:val="TableParagraph"/>
            </w:pPr>
            <w:r w:rsidRPr="009B6F09">
              <w:t>Enable</w:t>
            </w:r>
            <w:r>
              <w:t>d</w:t>
            </w:r>
            <w:r w:rsidRPr="009B6F09">
              <w:t xml:space="preserve"> Victoria Police, VicRoads, and </w:t>
            </w:r>
            <w:r>
              <w:t>DoT</w:t>
            </w:r>
            <w:r w:rsidRPr="009B6F09">
              <w:t xml:space="preserve"> officers to give certificate evidence indicating the power-to-mass ratio of a particular vehicle or class of vehicle</w:t>
            </w:r>
            <w:r>
              <w:t>.</w:t>
            </w:r>
          </w:p>
        </w:tc>
        <w:tc>
          <w:tcPr>
            <w:tcW w:w="3402" w:type="dxa"/>
            <w:vMerge w:val="restart"/>
            <w:shd w:val="clear" w:color="auto" w:fill="auto"/>
            <w:noWrap/>
          </w:tcPr>
          <w:p w14:paraId="21879B75" w14:textId="77777777" w:rsidR="00122C1B" w:rsidRPr="009B6F09" w:rsidRDefault="00122C1B" w:rsidP="00AC190A">
            <w:pPr>
              <w:pStyle w:val="TableList1"/>
            </w:pPr>
            <w:r w:rsidRPr="009B6F09">
              <w:t xml:space="preserve">Current standard for probationary prohibited vehicles for vehicles manufactured since 1/1/2010 is power-to-mass ratio </w:t>
            </w:r>
            <w:r>
              <w:t>greater than</w:t>
            </w:r>
            <w:r w:rsidRPr="009B6F09">
              <w:t xml:space="preserve"> 130 kW/T</w:t>
            </w:r>
          </w:p>
          <w:p w14:paraId="6A638E93" w14:textId="77777777" w:rsidR="00122C1B" w:rsidRPr="009B6F09" w:rsidRDefault="00122C1B" w:rsidP="00AC190A">
            <w:pPr>
              <w:pStyle w:val="TableList1"/>
            </w:pPr>
            <w:r w:rsidRPr="009B6F09">
              <w:t>Enable enforcement agencies to rely on online sources</w:t>
            </w:r>
            <w:r>
              <w:t>,</w:t>
            </w:r>
            <w:r w:rsidRPr="009B6F09">
              <w:t xml:space="preserve"> </w:t>
            </w:r>
            <w:r>
              <w:t>such as</w:t>
            </w:r>
            <w:r w:rsidRPr="009B6F09">
              <w:t xml:space="preserve"> NEVDIS</w:t>
            </w:r>
            <w:r>
              <w:t>,</w:t>
            </w:r>
            <w:r w:rsidRPr="009B6F09">
              <w:t xml:space="preserve"> rather than having to obtain written and/or oral evidence from the manufacturer or importer each time a prosecution is run</w:t>
            </w:r>
            <w:r>
              <w:t>.</w:t>
            </w:r>
          </w:p>
          <w:p w14:paraId="08618AA7" w14:textId="77777777" w:rsidR="00122C1B" w:rsidRPr="009B6F09" w:rsidRDefault="00122C1B" w:rsidP="00265CBE">
            <w:pPr>
              <w:pStyle w:val="TableList1"/>
            </w:pPr>
            <w:r w:rsidRPr="009B6F09">
              <w:t>Place</w:t>
            </w:r>
            <w:r>
              <w:t>s</w:t>
            </w:r>
            <w:r w:rsidRPr="009B6F09">
              <w:t xml:space="preserve"> evidential burden onto the accused to demonstrate, on the balance of probabilities, that the power-to-mass ratio specified in the evidential certificate is incorrect</w:t>
            </w:r>
            <w:r>
              <w:t>.</w:t>
            </w:r>
          </w:p>
        </w:tc>
        <w:tc>
          <w:tcPr>
            <w:tcW w:w="2693" w:type="dxa"/>
            <w:vMerge w:val="restart"/>
            <w:shd w:val="clear" w:color="auto" w:fill="auto"/>
          </w:tcPr>
          <w:p w14:paraId="2110D5B4" w14:textId="77777777" w:rsidR="00122C1B" w:rsidRPr="00117C96" w:rsidRDefault="00122C1B" w:rsidP="00D842C2">
            <w:pPr>
              <w:pStyle w:val="TableParagraph"/>
            </w:pPr>
            <w:r>
              <w:t xml:space="preserve">No regulations required to support this change to the </w:t>
            </w:r>
            <w:r w:rsidRPr="00206D75">
              <w:rPr>
                <w:i/>
              </w:rPr>
              <w:t>RSA</w:t>
            </w:r>
            <w:r>
              <w:t>.</w:t>
            </w:r>
          </w:p>
        </w:tc>
      </w:tr>
      <w:tr w:rsidR="00122C1B" w:rsidRPr="00117C96" w14:paraId="0F6E754F" w14:textId="77777777" w:rsidTr="00EA0D7F">
        <w:trPr>
          <w:trHeight w:val="300"/>
        </w:trPr>
        <w:tc>
          <w:tcPr>
            <w:tcW w:w="3544" w:type="dxa"/>
            <w:shd w:val="clear" w:color="auto" w:fill="auto"/>
            <w:noWrap/>
          </w:tcPr>
          <w:p w14:paraId="2B8C2454" w14:textId="77777777" w:rsidR="00122C1B" w:rsidRPr="00117C96" w:rsidRDefault="00122C1B" w:rsidP="00D842C2">
            <w:pPr>
              <w:pStyle w:val="TableParagraph"/>
            </w:pPr>
            <w:r w:rsidRPr="009B6F09">
              <w:t>Enable</w:t>
            </w:r>
            <w:r>
              <w:t>d</w:t>
            </w:r>
            <w:r w:rsidRPr="009B6F09">
              <w:t xml:space="preserve"> the certificate </w:t>
            </w:r>
            <w:r>
              <w:t xml:space="preserve">of </w:t>
            </w:r>
            <w:r w:rsidRPr="009B6F09">
              <w:t>evidence to be admissible in court, and, in the absence of evidence to the contrary, to be proof of the power-to-mass ratio</w:t>
            </w:r>
            <w:r>
              <w:t>.</w:t>
            </w:r>
          </w:p>
        </w:tc>
        <w:tc>
          <w:tcPr>
            <w:tcW w:w="3402" w:type="dxa"/>
            <w:vMerge/>
            <w:shd w:val="clear" w:color="auto" w:fill="auto"/>
            <w:noWrap/>
          </w:tcPr>
          <w:p w14:paraId="3A5A7EE3" w14:textId="77777777" w:rsidR="00122C1B" w:rsidRPr="00117C96" w:rsidRDefault="00122C1B">
            <w:pPr>
              <w:pStyle w:val="Bullet1-Black"/>
            </w:pPr>
          </w:p>
        </w:tc>
        <w:tc>
          <w:tcPr>
            <w:tcW w:w="2693" w:type="dxa"/>
            <w:vMerge/>
            <w:shd w:val="clear" w:color="auto" w:fill="auto"/>
          </w:tcPr>
          <w:p w14:paraId="3CC2922C" w14:textId="77777777" w:rsidR="00122C1B" w:rsidRPr="00117C96" w:rsidRDefault="00122C1B">
            <w:pPr>
              <w:pStyle w:val="Bullet1-Black"/>
            </w:pPr>
          </w:p>
        </w:tc>
      </w:tr>
      <w:tr w:rsidR="00122C1B" w:rsidRPr="00C133AC" w14:paraId="0C7D900F" w14:textId="77777777" w:rsidTr="00C25CFD">
        <w:trPr>
          <w:cnfStyle w:val="000000010000" w:firstRow="0" w:lastRow="0" w:firstColumn="0" w:lastColumn="0" w:oddVBand="0" w:evenVBand="0" w:oddHBand="0" w:evenHBand="1" w:firstRowFirstColumn="0" w:firstRowLastColumn="0" w:lastRowFirstColumn="0" w:lastRowLastColumn="0"/>
          <w:trHeight w:val="300"/>
        </w:trPr>
        <w:tc>
          <w:tcPr>
            <w:tcW w:w="9639" w:type="dxa"/>
            <w:gridSpan w:val="3"/>
            <w:shd w:val="clear" w:color="auto" w:fill="DDE8F4" w:themeFill="text2" w:themeFillTint="1A"/>
            <w:noWrap/>
          </w:tcPr>
          <w:p w14:paraId="1B970A94" w14:textId="77777777" w:rsidR="00122C1B" w:rsidRPr="00C133AC" w:rsidRDefault="00122C1B" w:rsidP="001E5839">
            <w:pPr>
              <w:pStyle w:val="TableParagraph"/>
              <w:keepNext/>
              <w:ind w:left="170" w:hanging="215"/>
              <w:rPr>
                <w:b/>
              </w:rPr>
            </w:pPr>
            <w:r w:rsidRPr="00C133AC">
              <w:rPr>
                <w:b/>
              </w:rPr>
              <w:lastRenderedPageBreak/>
              <w:t>False, fraudulent or counterfeit documents</w:t>
            </w:r>
          </w:p>
        </w:tc>
      </w:tr>
      <w:tr w:rsidR="00122C1B" w:rsidRPr="00117C96" w14:paraId="16CA426B" w14:textId="77777777" w:rsidTr="00EA0D7F">
        <w:trPr>
          <w:trHeight w:val="300"/>
        </w:trPr>
        <w:tc>
          <w:tcPr>
            <w:tcW w:w="3544" w:type="dxa"/>
            <w:shd w:val="clear" w:color="auto" w:fill="auto"/>
            <w:noWrap/>
          </w:tcPr>
          <w:p w14:paraId="480C3D15" w14:textId="77777777" w:rsidR="00122C1B" w:rsidRPr="00117C96" w:rsidRDefault="00122C1B" w:rsidP="00D842C2">
            <w:pPr>
              <w:pStyle w:val="TableParagraph"/>
            </w:pPr>
            <w:r w:rsidRPr="00430A3C">
              <w:t>Enable</w:t>
            </w:r>
            <w:r>
              <w:t>d</w:t>
            </w:r>
            <w:r w:rsidRPr="00430A3C">
              <w:t xml:space="preserve"> VicRoads to </w:t>
            </w:r>
            <w:r>
              <w:t>retain for 60 days</w:t>
            </w:r>
            <w:r w:rsidRPr="00430A3C">
              <w:t xml:space="preserve"> </w:t>
            </w:r>
            <w:r>
              <w:t xml:space="preserve">for assessment </w:t>
            </w:r>
            <w:r w:rsidRPr="00430A3C">
              <w:t>a Victorian, interstate, or overseas driver licence or learner permit that is suspected to be false</w:t>
            </w:r>
            <w:r>
              <w:t xml:space="preserve">, fraudulent or counterfeit and, to confiscate </w:t>
            </w:r>
            <w:r w:rsidRPr="00430A3C">
              <w:t>it</w:t>
            </w:r>
            <w:r>
              <w:t>, if found to be so.</w:t>
            </w:r>
          </w:p>
        </w:tc>
        <w:tc>
          <w:tcPr>
            <w:tcW w:w="3402" w:type="dxa"/>
            <w:vMerge w:val="restart"/>
            <w:shd w:val="clear" w:color="auto" w:fill="auto"/>
            <w:noWrap/>
          </w:tcPr>
          <w:p w14:paraId="189019DC" w14:textId="77777777" w:rsidR="00122C1B" w:rsidRPr="00117C96" w:rsidRDefault="00122C1B" w:rsidP="00AC190A">
            <w:pPr>
              <w:pStyle w:val="TableList1"/>
            </w:pPr>
            <w:r w:rsidRPr="00430A3C">
              <w:t>Enable</w:t>
            </w:r>
            <w:r>
              <w:t xml:space="preserve">s the investigation of </w:t>
            </w:r>
            <w:r w:rsidRPr="00430A3C">
              <w:t>suspected false, fraudulent or counterfeit driver licences and learner permits</w:t>
            </w:r>
            <w:r>
              <w:t xml:space="preserve"> and their confiscation, if they are found to be so to prevent their further use.</w:t>
            </w:r>
          </w:p>
        </w:tc>
        <w:tc>
          <w:tcPr>
            <w:tcW w:w="2693" w:type="dxa"/>
            <w:vMerge w:val="restart"/>
            <w:shd w:val="clear" w:color="auto" w:fill="auto"/>
          </w:tcPr>
          <w:p w14:paraId="6B3CCE7B" w14:textId="77777777" w:rsidR="00122C1B" w:rsidRPr="00117C96" w:rsidRDefault="00122C1B" w:rsidP="00D842C2">
            <w:pPr>
              <w:pStyle w:val="TableParagraph"/>
            </w:pPr>
            <w:r>
              <w:t xml:space="preserve">No regulations required to support this change to the </w:t>
            </w:r>
            <w:r w:rsidRPr="00206D75">
              <w:rPr>
                <w:i/>
              </w:rPr>
              <w:t>RSA</w:t>
            </w:r>
            <w:r>
              <w:t>.</w:t>
            </w:r>
          </w:p>
        </w:tc>
      </w:tr>
      <w:tr w:rsidR="00122C1B" w:rsidRPr="00117C96" w14:paraId="1EEABE41" w14:textId="77777777" w:rsidTr="00EA0D7F">
        <w:trPr>
          <w:cnfStyle w:val="000000010000" w:firstRow="0" w:lastRow="0" w:firstColumn="0" w:lastColumn="0" w:oddVBand="0" w:evenVBand="0" w:oddHBand="0" w:evenHBand="1" w:firstRowFirstColumn="0" w:firstRowLastColumn="0" w:lastRowFirstColumn="0" w:lastRowLastColumn="0"/>
          <w:trHeight w:val="300"/>
        </w:trPr>
        <w:tc>
          <w:tcPr>
            <w:tcW w:w="3544" w:type="dxa"/>
            <w:shd w:val="clear" w:color="auto" w:fill="auto"/>
            <w:noWrap/>
          </w:tcPr>
          <w:p w14:paraId="6862AE8D" w14:textId="77777777" w:rsidR="00122C1B" w:rsidRPr="00117C96" w:rsidRDefault="00122C1B" w:rsidP="00D842C2">
            <w:pPr>
              <w:pStyle w:val="TableParagraph"/>
            </w:pPr>
            <w:r>
              <w:t xml:space="preserve">Required VicRoads </w:t>
            </w:r>
            <w:r w:rsidRPr="00430A3C">
              <w:t>to provid</w:t>
            </w:r>
            <w:r>
              <w:t>e the</w:t>
            </w:r>
            <w:r w:rsidRPr="00430A3C">
              <w:t xml:space="preserve"> driver with a certified photocopy of the confiscated document and allow the driver to continue driving with the certified photocopy while investigations are underway</w:t>
            </w:r>
            <w:r>
              <w:t>.</w:t>
            </w:r>
          </w:p>
        </w:tc>
        <w:tc>
          <w:tcPr>
            <w:tcW w:w="3402" w:type="dxa"/>
            <w:vMerge/>
            <w:shd w:val="clear" w:color="auto" w:fill="auto"/>
            <w:noWrap/>
          </w:tcPr>
          <w:p w14:paraId="2CCF5375" w14:textId="77777777" w:rsidR="00122C1B" w:rsidRPr="00117C96" w:rsidRDefault="00122C1B">
            <w:pPr>
              <w:pStyle w:val="Bullet1-Black"/>
            </w:pPr>
          </w:p>
        </w:tc>
        <w:tc>
          <w:tcPr>
            <w:tcW w:w="2693" w:type="dxa"/>
            <w:vMerge/>
            <w:shd w:val="clear" w:color="auto" w:fill="auto"/>
          </w:tcPr>
          <w:p w14:paraId="28C16920" w14:textId="77777777" w:rsidR="00122C1B" w:rsidRPr="00117C96" w:rsidRDefault="00122C1B">
            <w:pPr>
              <w:pStyle w:val="Bullet1-Black"/>
            </w:pPr>
          </w:p>
        </w:tc>
      </w:tr>
      <w:tr w:rsidR="00122C1B" w:rsidRPr="00C133AC" w14:paraId="1E9AF322" w14:textId="77777777" w:rsidTr="00C25CFD">
        <w:trPr>
          <w:trHeight w:val="300"/>
        </w:trPr>
        <w:tc>
          <w:tcPr>
            <w:tcW w:w="9639" w:type="dxa"/>
            <w:gridSpan w:val="3"/>
            <w:shd w:val="clear" w:color="auto" w:fill="DDE8F4" w:themeFill="text2" w:themeFillTint="1A"/>
            <w:noWrap/>
          </w:tcPr>
          <w:p w14:paraId="2E917DFC" w14:textId="77777777" w:rsidR="00122C1B" w:rsidRPr="00C133AC" w:rsidRDefault="00122C1B" w:rsidP="00D842C2">
            <w:pPr>
              <w:pStyle w:val="TableParagraph"/>
              <w:ind w:left="172" w:hanging="218"/>
              <w:rPr>
                <w:b/>
              </w:rPr>
            </w:pPr>
            <w:r w:rsidRPr="00C133AC">
              <w:rPr>
                <w:b/>
              </w:rPr>
              <w:t>Drink/</w:t>
            </w:r>
            <w:r>
              <w:rPr>
                <w:b/>
              </w:rPr>
              <w:t>drug-driving</w:t>
            </w:r>
            <w:r w:rsidRPr="00C133AC">
              <w:rPr>
                <w:b/>
              </w:rPr>
              <w:t xml:space="preserve"> behaviour change programs</w:t>
            </w:r>
          </w:p>
        </w:tc>
      </w:tr>
      <w:tr w:rsidR="00122C1B" w:rsidRPr="00117C96" w14:paraId="1ADE24B1" w14:textId="77777777" w:rsidTr="00EA0D7F">
        <w:trPr>
          <w:cnfStyle w:val="000000010000" w:firstRow="0" w:lastRow="0" w:firstColumn="0" w:lastColumn="0" w:oddVBand="0" w:evenVBand="0" w:oddHBand="0" w:evenHBand="1" w:firstRowFirstColumn="0" w:firstRowLastColumn="0" w:lastRowFirstColumn="0" w:lastRowLastColumn="0"/>
          <w:trHeight w:val="300"/>
        </w:trPr>
        <w:tc>
          <w:tcPr>
            <w:tcW w:w="3544" w:type="dxa"/>
            <w:shd w:val="clear" w:color="auto" w:fill="auto"/>
            <w:noWrap/>
          </w:tcPr>
          <w:p w14:paraId="396E16E0" w14:textId="77777777" w:rsidR="00122C1B" w:rsidRPr="00117C96" w:rsidRDefault="00122C1B" w:rsidP="00D842C2">
            <w:pPr>
              <w:pStyle w:val="TableParagraph"/>
            </w:pPr>
            <w:r w:rsidRPr="009B6F09">
              <w:t>Extend</w:t>
            </w:r>
            <w:r>
              <w:t>ed</w:t>
            </w:r>
            <w:r w:rsidRPr="009B6F09">
              <w:t xml:space="preserve"> </w:t>
            </w:r>
            <w:r>
              <w:t xml:space="preserve">the </w:t>
            </w:r>
            <w:r w:rsidRPr="009B6F09">
              <w:t>requirement to undertake drink/</w:t>
            </w:r>
            <w:r>
              <w:t>drug-driving</w:t>
            </w:r>
            <w:r w:rsidRPr="009B6F09">
              <w:t xml:space="preserve"> behaviour change programs to offenders who committed their offences outside Victoria, prior to applying for a Victorian licence or permit.</w:t>
            </w:r>
          </w:p>
        </w:tc>
        <w:tc>
          <w:tcPr>
            <w:tcW w:w="3402" w:type="dxa"/>
            <w:vMerge w:val="restart"/>
            <w:shd w:val="clear" w:color="auto" w:fill="auto"/>
            <w:noWrap/>
          </w:tcPr>
          <w:p w14:paraId="4F7059B4" w14:textId="77777777" w:rsidR="00122C1B" w:rsidRPr="009B6F09" w:rsidRDefault="00122C1B" w:rsidP="00AC190A">
            <w:pPr>
              <w:pStyle w:val="TableList1"/>
            </w:pPr>
            <w:r w:rsidRPr="009B6F09">
              <w:t>Hold</w:t>
            </w:r>
            <w:r>
              <w:t>s</w:t>
            </w:r>
            <w:r w:rsidRPr="009B6F09">
              <w:t xml:space="preserve"> interstate drink/drug drivers moving to Victoria to the same re-licensing conditions as Victorian drink/drug drivers</w:t>
            </w:r>
            <w:r>
              <w:t>.</w:t>
            </w:r>
          </w:p>
        </w:tc>
        <w:tc>
          <w:tcPr>
            <w:tcW w:w="2693" w:type="dxa"/>
            <w:vMerge w:val="restart"/>
            <w:shd w:val="clear" w:color="auto" w:fill="auto"/>
          </w:tcPr>
          <w:p w14:paraId="242E2F6D" w14:textId="77777777" w:rsidR="00122C1B" w:rsidRPr="00117C96" w:rsidRDefault="00122C1B" w:rsidP="00D842C2">
            <w:pPr>
              <w:pStyle w:val="TableParagraph"/>
            </w:pPr>
            <w:r>
              <w:t xml:space="preserve">No regulations required to support this change to the </w:t>
            </w:r>
            <w:r w:rsidRPr="00206D75">
              <w:rPr>
                <w:i/>
              </w:rPr>
              <w:t>RSA</w:t>
            </w:r>
            <w:r>
              <w:t>.</w:t>
            </w:r>
          </w:p>
        </w:tc>
      </w:tr>
      <w:tr w:rsidR="00122C1B" w:rsidRPr="00117C96" w14:paraId="3B159EA5" w14:textId="77777777" w:rsidTr="00EA0D7F">
        <w:trPr>
          <w:trHeight w:val="300"/>
        </w:trPr>
        <w:tc>
          <w:tcPr>
            <w:tcW w:w="3544" w:type="dxa"/>
            <w:shd w:val="clear" w:color="auto" w:fill="auto"/>
            <w:noWrap/>
          </w:tcPr>
          <w:p w14:paraId="573267B3" w14:textId="77777777" w:rsidR="00122C1B" w:rsidRPr="00117C96" w:rsidRDefault="00122C1B" w:rsidP="00D842C2">
            <w:pPr>
              <w:pStyle w:val="TableParagraph"/>
            </w:pPr>
            <w:r w:rsidRPr="009B6F09">
              <w:t>Extend</w:t>
            </w:r>
            <w:r>
              <w:t>ed the</w:t>
            </w:r>
            <w:r w:rsidRPr="009B6F09">
              <w:t xml:space="preserve"> alcohol interlock licensing condition to offenders who commit their offences outside Victoria, prior to applying for a Victorian licence or permit.</w:t>
            </w:r>
          </w:p>
        </w:tc>
        <w:tc>
          <w:tcPr>
            <w:tcW w:w="3402" w:type="dxa"/>
            <w:vMerge/>
            <w:shd w:val="clear" w:color="auto" w:fill="auto"/>
            <w:noWrap/>
          </w:tcPr>
          <w:p w14:paraId="43C13038" w14:textId="77777777" w:rsidR="00122C1B" w:rsidRPr="00117C96" w:rsidRDefault="00122C1B">
            <w:pPr>
              <w:pStyle w:val="Bullet1-Black"/>
            </w:pPr>
          </w:p>
        </w:tc>
        <w:tc>
          <w:tcPr>
            <w:tcW w:w="2693" w:type="dxa"/>
            <w:vMerge/>
            <w:shd w:val="clear" w:color="auto" w:fill="auto"/>
          </w:tcPr>
          <w:p w14:paraId="6563A74A" w14:textId="77777777" w:rsidR="00122C1B" w:rsidRPr="00117C96" w:rsidRDefault="00122C1B">
            <w:pPr>
              <w:pStyle w:val="Bullet1-Black"/>
            </w:pPr>
          </w:p>
        </w:tc>
      </w:tr>
    </w:tbl>
    <w:p w14:paraId="4773F4D6" w14:textId="77777777" w:rsidR="00122C1B" w:rsidRPr="009E38BE" w:rsidRDefault="00122C1B" w:rsidP="009E38BE">
      <w:pPr>
        <w:pStyle w:val="TextPara"/>
        <w:rPr>
          <w:lang w:eastAsia="en-AU"/>
        </w:rPr>
      </w:pPr>
    </w:p>
    <w:p w14:paraId="468487DD" w14:textId="77777777" w:rsidR="00D16B90" w:rsidRDefault="00D16B90" w:rsidP="006713F9">
      <w:pPr>
        <w:pStyle w:val="Appendix1"/>
        <w:sectPr w:rsidR="00D16B90" w:rsidSect="00910C49">
          <w:headerReference w:type="even" r:id="rId87"/>
          <w:headerReference w:type="default" r:id="rId88"/>
          <w:headerReference w:type="first" r:id="rId89"/>
          <w:endnotePr>
            <w:numFmt w:val="decimal"/>
          </w:endnotePr>
          <w:pgSz w:w="11906" w:h="16838" w:code="9"/>
          <w:pgMar w:top="1418" w:right="1134" w:bottom="1418" w:left="1247" w:header="567" w:footer="397" w:gutter="0"/>
          <w:cols w:space="708"/>
          <w:docGrid w:linePitch="360"/>
        </w:sectPr>
      </w:pPr>
      <w:bookmarkStart w:id="955" w:name="_Toc527624101"/>
      <w:bookmarkStart w:id="956" w:name="_Toc527629750"/>
      <w:bookmarkStart w:id="957" w:name="_Toc527644452"/>
      <w:bookmarkStart w:id="958" w:name="_Toc529196865"/>
      <w:bookmarkStart w:id="959" w:name="_Toc529199430"/>
      <w:bookmarkStart w:id="960" w:name="_Toc529463173"/>
      <w:bookmarkStart w:id="961" w:name="_Toc527624102"/>
      <w:bookmarkStart w:id="962" w:name="_Toc527629751"/>
      <w:bookmarkStart w:id="963" w:name="_Toc527644453"/>
      <w:bookmarkStart w:id="964" w:name="_Toc529196866"/>
      <w:bookmarkStart w:id="965" w:name="_Toc529199431"/>
      <w:bookmarkStart w:id="966" w:name="_Toc529463174"/>
      <w:bookmarkStart w:id="967" w:name="_Toc527624103"/>
      <w:bookmarkStart w:id="968" w:name="_Toc527629752"/>
      <w:bookmarkStart w:id="969" w:name="_Toc527644454"/>
      <w:bookmarkStart w:id="970" w:name="_Toc529196867"/>
      <w:bookmarkStart w:id="971" w:name="_Toc529199432"/>
      <w:bookmarkStart w:id="972" w:name="_Toc529463175"/>
      <w:bookmarkStart w:id="973" w:name="_Ref506294545"/>
      <w:bookmarkEnd w:id="950"/>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655D061F" w14:textId="77777777" w:rsidR="00122C1B" w:rsidRDefault="00122C1B" w:rsidP="006713F9">
      <w:pPr>
        <w:pStyle w:val="Appendix1"/>
      </w:pPr>
      <w:bookmarkStart w:id="974" w:name="_Toc10703556"/>
      <w:r>
        <w:lastRenderedPageBreak/>
        <w:t>Relationship between regulations and legislation</w:t>
      </w:r>
      <w:bookmarkEnd w:id="973"/>
      <w:bookmarkEnd w:id="974"/>
    </w:p>
    <w:p w14:paraId="3CC0AF20" w14:textId="485FC1CB" w:rsidR="00122C1B" w:rsidRDefault="00122C1B" w:rsidP="00E42156">
      <w:pPr>
        <w:pStyle w:val="TextPara"/>
      </w:pPr>
      <w:r>
        <w:fldChar w:fldCharType="begin"/>
      </w:r>
      <w:r>
        <w:instrText xml:space="preserve"> REF _Ref502765940 \h </w:instrText>
      </w:r>
      <w:r>
        <w:fldChar w:fldCharType="separate"/>
      </w:r>
      <w:r w:rsidR="00EB4B02" w:rsidRPr="00245CBA">
        <w:t xml:space="preserve">Table </w:t>
      </w:r>
      <w:r w:rsidR="00EB4B02">
        <w:rPr>
          <w:noProof/>
        </w:rPr>
        <w:t>75</w:t>
      </w:r>
      <w:r>
        <w:fldChar w:fldCharType="end"/>
      </w:r>
      <w:r>
        <w:t xml:space="preserve"> provides a list of provisions in the </w:t>
      </w:r>
      <w:r w:rsidRPr="006A392A">
        <w:rPr>
          <w:i/>
        </w:rPr>
        <w:t>RSA</w:t>
      </w:r>
      <w:r>
        <w:t xml:space="preserve"> and other legislation that the proposed Regulations supplement and give effect to.</w:t>
      </w:r>
    </w:p>
    <w:p w14:paraId="470B2CA0" w14:textId="49EC39CC" w:rsidR="00122C1B" w:rsidRPr="00245CBA" w:rsidRDefault="00122C1B" w:rsidP="00AA0BBA">
      <w:pPr>
        <w:pStyle w:val="Caption"/>
      </w:pPr>
      <w:bookmarkStart w:id="975" w:name="_Ref502765940"/>
      <w:bookmarkStart w:id="976" w:name="_Toc10703768"/>
      <w:r w:rsidRPr="00245CBA">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75</w:t>
      </w:r>
      <w:r w:rsidR="00BC6B2E">
        <w:rPr>
          <w:noProof/>
        </w:rPr>
        <w:fldChar w:fldCharType="end"/>
      </w:r>
      <w:bookmarkEnd w:id="975"/>
      <w:r w:rsidRPr="00245CBA">
        <w:t xml:space="preserve"> – </w:t>
      </w:r>
      <w:r w:rsidRPr="00D9189A">
        <w:t xml:space="preserve">Relevant </w:t>
      </w:r>
      <w:r>
        <w:t>legislative provisions to be given effect by Road Safety (Drivers) R</w:t>
      </w:r>
      <w:r w:rsidRPr="00D9189A">
        <w:t>egulations</w:t>
      </w:r>
      <w:bookmarkEnd w:id="976"/>
      <w:r>
        <w:t xml:space="preserve"> </w:t>
      </w:r>
    </w:p>
    <w:tbl>
      <w:tblPr>
        <w:tblStyle w:val="RIS-Table2"/>
        <w:tblW w:w="9498" w:type="dxa"/>
        <w:tblInd w:w="-5" w:type="dxa"/>
        <w:tblLayout w:type="fixed"/>
        <w:tblLook w:val="04A0" w:firstRow="1" w:lastRow="0" w:firstColumn="1" w:lastColumn="0" w:noHBand="0" w:noVBand="1"/>
      </w:tblPr>
      <w:tblGrid>
        <w:gridCol w:w="1877"/>
        <w:gridCol w:w="7621"/>
      </w:tblGrid>
      <w:tr w:rsidR="00122C1B" w:rsidRPr="00117C96" w14:paraId="127DCDE4" w14:textId="77777777" w:rsidTr="003419BD">
        <w:trPr>
          <w:cnfStyle w:val="100000000000" w:firstRow="1" w:lastRow="0" w:firstColumn="0" w:lastColumn="0" w:oddVBand="0" w:evenVBand="0" w:oddHBand="0" w:evenHBand="0" w:firstRowFirstColumn="0" w:firstRowLastColumn="0" w:lastRowFirstColumn="0" w:lastRowLastColumn="0"/>
        </w:trPr>
        <w:tc>
          <w:tcPr>
            <w:tcW w:w="1877" w:type="dxa"/>
          </w:tcPr>
          <w:p w14:paraId="12BBD357" w14:textId="77777777" w:rsidR="00122C1B" w:rsidRPr="00117C96" w:rsidRDefault="00122C1B" w:rsidP="0097123E">
            <w:pPr>
              <w:pStyle w:val="TableHeaders"/>
            </w:pPr>
            <w:r w:rsidRPr="00520B53">
              <w:t>Section</w:t>
            </w:r>
          </w:p>
        </w:tc>
        <w:tc>
          <w:tcPr>
            <w:tcW w:w="7621" w:type="dxa"/>
          </w:tcPr>
          <w:p w14:paraId="4AA76295" w14:textId="77777777" w:rsidR="00122C1B" w:rsidRPr="00117C96" w:rsidRDefault="00122C1B" w:rsidP="0097123E">
            <w:pPr>
              <w:pStyle w:val="TableHeaders"/>
            </w:pPr>
            <w:r>
              <w:t>S</w:t>
            </w:r>
            <w:r w:rsidRPr="00520B53">
              <w:t>ection</w:t>
            </w:r>
            <w:r>
              <w:t xml:space="preserve"> title</w:t>
            </w:r>
          </w:p>
        </w:tc>
      </w:tr>
      <w:tr w:rsidR="00122C1B" w:rsidRPr="009220CA" w14:paraId="48FB53F4" w14:textId="77777777" w:rsidTr="00C25CFD">
        <w:tc>
          <w:tcPr>
            <w:tcW w:w="9498" w:type="dxa"/>
            <w:gridSpan w:val="2"/>
            <w:shd w:val="clear" w:color="auto" w:fill="DDE8F4" w:themeFill="text2" w:themeFillTint="1A"/>
          </w:tcPr>
          <w:p w14:paraId="7F505C8C" w14:textId="77777777" w:rsidR="00122C1B" w:rsidRPr="009220CA" w:rsidRDefault="00122C1B" w:rsidP="0097123E">
            <w:pPr>
              <w:pStyle w:val="TableParagraph"/>
              <w:rPr>
                <w:b/>
              </w:rPr>
            </w:pPr>
            <w:r w:rsidRPr="009220CA">
              <w:rPr>
                <w:b/>
              </w:rPr>
              <w:t>Road Safety Act 1986</w:t>
            </w:r>
          </w:p>
        </w:tc>
      </w:tr>
      <w:tr w:rsidR="00122C1B" w:rsidRPr="00117C96" w14:paraId="14C6DB5C"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6CD0A376" w14:textId="77777777" w:rsidR="00122C1B" w:rsidRPr="00520B53" w:rsidRDefault="00122C1B" w:rsidP="0097123E">
            <w:pPr>
              <w:pStyle w:val="TableParagraph"/>
            </w:pPr>
            <w:r>
              <w:t>3</w:t>
            </w:r>
          </w:p>
        </w:tc>
        <w:tc>
          <w:tcPr>
            <w:tcW w:w="7621" w:type="dxa"/>
            <w:shd w:val="clear" w:color="auto" w:fill="auto"/>
          </w:tcPr>
          <w:p w14:paraId="1B1BCE52" w14:textId="77777777" w:rsidR="00122C1B" w:rsidRPr="00520B53" w:rsidRDefault="00122C1B" w:rsidP="0097123E">
            <w:pPr>
              <w:pStyle w:val="TableParagraph"/>
              <w:rPr>
                <w:b/>
              </w:rPr>
            </w:pPr>
            <w:r>
              <w:t>Definitions</w:t>
            </w:r>
          </w:p>
        </w:tc>
      </w:tr>
      <w:tr w:rsidR="00122C1B" w:rsidRPr="00117C96" w14:paraId="485A51D4" w14:textId="77777777" w:rsidTr="003419BD">
        <w:tc>
          <w:tcPr>
            <w:tcW w:w="1877" w:type="dxa"/>
            <w:shd w:val="clear" w:color="auto" w:fill="auto"/>
          </w:tcPr>
          <w:p w14:paraId="2BDA1B69" w14:textId="77777777" w:rsidR="00122C1B" w:rsidRDefault="00122C1B" w:rsidP="0097123E">
            <w:pPr>
              <w:pStyle w:val="TableParagraph"/>
            </w:pPr>
            <w:r>
              <w:t>16G(3)</w:t>
            </w:r>
          </w:p>
        </w:tc>
        <w:tc>
          <w:tcPr>
            <w:tcW w:w="7621" w:type="dxa"/>
            <w:shd w:val="clear" w:color="auto" w:fill="auto"/>
          </w:tcPr>
          <w:p w14:paraId="695A4D74" w14:textId="77777777" w:rsidR="00122C1B" w:rsidRDefault="00122C1B" w:rsidP="0097123E">
            <w:pPr>
              <w:pStyle w:val="TableParagraph"/>
            </w:pPr>
            <w:r>
              <w:t>Corporation may maintain records of persons driving motor vehicles</w:t>
            </w:r>
          </w:p>
        </w:tc>
      </w:tr>
      <w:tr w:rsidR="00122C1B" w:rsidRPr="00117C96" w14:paraId="1DF9FA92"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4C020111" w14:textId="77777777" w:rsidR="00122C1B" w:rsidRDefault="00122C1B" w:rsidP="0097123E">
            <w:pPr>
              <w:pStyle w:val="TableParagraph"/>
            </w:pPr>
            <w:r>
              <w:t>18(1)(c)</w:t>
            </w:r>
          </w:p>
        </w:tc>
        <w:tc>
          <w:tcPr>
            <w:tcW w:w="7621" w:type="dxa"/>
            <w:shd w:val="clear" w:color="auto" w:fill="auto"/>
          </w:tcPr>
          <w:p w14:paraId="03EFB4DB" w14:textId="77777777" w:rsidR="00122C1B" w:rsidRDefault="00122C1B" w:rsidP="0097123E">
            <w:pPr>
              <w:pStyle w:val="TableParagraph"/>
            </w:pPr>
            <w:r>
              <w:t>Offence if driver not licensed</w:t>
            </w:r>
          </w:p>
        </w:tc>
      </w:tr>
      <w:tr w:rsidR="00122C1B" w:rsidRPr="00117C96" w14:paraId="2C4A203A" w14:textId="77777777" w:rsidTr="003419BD">
        <w:tc>
          <w:tcPr>
            <w:tcW w:w="1877" w:type="dxa"/>
            <w:shd w:val="clear" w:color="auto" w:fill="auto"/>
          </w:tcPr>
          <w:p w14:paraId="1A0E71AF" w14:textId="77777777" w:rsidR="00122C1B" w:rsidRDefault="00122C1B" w:rsidP="0097123E">
            <w:pPr>
              <w:pStyle w:val="TableParagraph"/>
            </w:pPr>
            <w:r>
              <w:t>18A</w:t>
            </w:r>
          </w:p>
        </w:tc>
        <w:tc>
          <w:tcPr>
            <w:tcW w:w="7621" w:type="dxa"/>
            <w:shd w:val="clear" w:color="auto" w:fill="auto"/>
          </w:tcPr>
          <w:p w14:paraId="372BF45B" w14:textId="77777777" w:rsidR="00122C1B" w:rsidRDefault="00122C1B" w:rsidP="0097123E">
            <w:pPr>
              <w:pStyle w:val="TableParagraph"/>
            </w:pPr>
            <w:r>
              <w:t>Issue of driver licence or learner permit to holder of licence or permit issued outside Victoria</w:t>
            </w:r>
          </w:p>
        </w:tc>
      </w:tr>
      <w:tr w:rsidR="00122C1B" w:rsidRPr="00117C96" w14:paraId="6536BE44"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32C30A64" w14:textId="77777777" w:rsidR="00122C1B" w:rsidRDefault="00122C1B" w:rsidP="0097123E">
            <w:pPr>
              <w:pStyle w:val="TableParagraph"/>
            </w:pPr>
            <w:r>
              <w:t>19</w:t>
            </w:r>
          </w:p>
        </w:tc>
        <w:tc>
          <w:tcPr>
            <w:tcW w:w="7621" w:type="dxa"/>
            <w:shd w:val="clear" w:color="auto" w:fill="auto"/>
          </w:tcPr>
          <w:p w14:paraId="7F727671" w14:textId="77777777" w:rsidR="00122C1B" w:rsidRDefault="00122C1B" w:rsidP="0097123E">
            <w:pPr>
              <w:pStyle w:val="TableParagraph"/>
            </w:pPr>
            <w:r>
              <w:t>Driver Licences</w:t>
            </w:r>
          </w:p>
        </w:tc>
      </w:tr>
      <w:tr w:rsidR="00122C1B" w:rsidRPr="00117C96" w14:paraId="33D4C736" w14:textId="77777777" w:rsidTr="003419BD">
        <w:tc>
          <w:tcPr>
            <w:tcW w:w="1877" w:type="dxa"/>
            <w:shd w:val="clear" w:color="auto" w:fill="auto"/>
          </w:tcPr>
          <w:p w14:paraId="002E223B" w14:textId="77777777" w:rsidR="00122C1B" w:rsidRDefault="00122C1B" w:rsidP="0097123E">
            <w:pPr>
              <w:pStyle w:val="TableParagraph"/>
            </w:pPr>
            <w:r>
              <w:t>20(3)</w:t>
            </w:r>
          </w:p>
        </w:tc>
        <w:tc>
          <w:tcPr>
            <w:tcW w:w="7621" w:type="dxa"/>
            <w:shd w:val="clear" w:color="auto" w:fill="auto"/>
          </w:tcPr>
          <w:p w14:paraId="04E3D7A7" w14:textId="77777777" w:rsidR="00122C1B" w:rsidRDefault="00122C1B" w:rsidP="0097123E">
            <w:pPr>
              <w:pStyle w:val="TableParagraph"/>
            </w:pPr>
            <w:r>
              <w:t>Variation of driver licences</w:t>
            </w:r>
          </w:p>
        </w:tc>
      </w:tr>
      <w:tr w:rsidR="00122C1B" w:rsidRPr="00117C96" w14:paraId="440910C5"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04EB248B" w14:textId="77777777" w:rsidR="00122C1B" w:rsidRDefault="00122C1B" w:rsidP="0097123E">
            <w:pPr>
              <w:pStyle w:val="TableParagraph"/>
            </w:pPr>
            <w:r>
              <w:t>21(1)(a), (2)(a), (6)(a)</w:t>
            </w:r>
          </w:p>
        </w:tc>
        <w:tc>
          <w:tcPr>
            <w:tcW w:w="7621" w:type="dxa"/>
            <w:shd w:val="clear" w:color="auto" w:fill="auto"/>
          </w:tcPr>
          <w:p w14:paraId="4BE5A573" w14:textId="77777777" w:rsidR="00122C1B" w:rsidRDefault="00122C1B" w:rsidP="0097123E">
            <w:pPr>
              <w:pStyle w:val="TableParagraph"/>
            </w:pPr>
            <w:r>
              <w:t>Probationary driver licences</w:t>
            </w:r>
          </w:p>
        </w:tc>
      </w:tr>
      <w:tr w:rsidR="00122C1B" w:rsidRPr="00117C96" w14:paraId="49C7751B" w14:textId="77777777" w:rsidTr="003419BD">
        <w:tc>
          <w:tcPr>
            <w:tcW w:w="1877" w:type="dxa"/>
            <w:shd w:val="clear" w:color="auto" w:fill="auto"/>
          </w:tcPr>
          <w:p w14:paraId="2AD52B96" w14:textId="77777777" w:rsidR="00122C1B" w:rsidRDefault="00122C1B" w:rsidP="0097123E">
            <w:pPr>
              <w:pStyle w:val="TableParagraph"/>
            </w:pPr>
            <w:r>
              <w:t>21A</w:t>
            </w:r>
          </w:p>
        </w:tc>
        <w:tc>
          <w:tcPr>
            <w:tcW w:w="7621" w:type="dxa"/>
            <w:shd w:val="clear" w:color="auto" w:fill="auto"/>
          </w:tcPr>
          <w:p w14:paraId="4EF5E10C" w14:textId="77777777" w:rsidR="00122C1B" w:rsidRDefault="00122C1B" w:rsidP="0097123E">
            <w:pPr>
              <w:pStyle w:val="TableParagraph"/>
            </w:pPr>
            <w:r>
              <w:t>Fee for driver licence</w:t>
            </w:r>
          </w:p>
        </w:tc>
      </w:tr>
      <w:tr w:rsidR="00122C1B" w:rsidRPr="00117C96" w14:paraId="47D9E40F"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03E46E4B" w14:textId="77777777" w:rsidR="00122C1B" w:rsidRDefault="00122C1B" w:rsidP="0097123E">
            <w:pPr>
              <w:pStyle w:val="TableParagraph"/>
            </w:pPr>
            <w:r>
              <w:t>22(4)</w:t>
            </w:r>
          </w:p>
        </w:tc>
        <w:tc>
          <w:tcPr>
            <w:tcW w:w="7621" w:type="dxa"/>
            <w:shd w:val="clear" w:color="auto" w:fill="auto"/>
          </w:tcPr>
          <w:p w14:paraId="6D67F2C8" w14:textId="77777777" w:rsidR="00122C1B" w:rsidRDefault="00122C1B" w:rsidP="0097123E">
            <w:pPr>
              <w:pStyle w:val="TableParagraph"/>
            </w:pPr>
            <w:r>
              <w:t>Learner Permits</w:t>
            </w:r>
          </w:p>
        </w:tc>
      </w:tr>
      <w:tr w:rsidR="00122C1B" w:rsidRPr="00117C96" w14:paraId="6509F708" w14:textId="77777777" w:rsidTr="003419BD">
        <w:tc>
          <w:tcPr>
            <w:tcW w:w="1877" w:type="dxa"/>
            <w:shd w:val="clear" w:color="auto" w:fill="auto"/>
          </w:tcPr>
          <w:p w14:paraId="0D0EE19A" w14:textId="77777777" w:rsidR="00122C1B" w:rsidRDefault="00122C1B" w:rsidP="0097123E">
            <w:pPr>
              <w:pStyle w:val="TableParagraph"/>
            </w:pPr>
            <w:r>
              <w:t>24</w:t>
            </w:r>
          </w:p>
        </w:tc>
        <w:tc>
          <w:tcPr>
            <w:tcW w:w="7621" w:type="dxa"/>
            <w:shd w:val="clear" w:color="auto" w:fill="auto"/>
          </w:tcPr>
          <w:p w14:paraId="0EF195BC" w14:textId="77777777" w:rsidR="00122C1B" w:rsidRDefault="00122C1B" w:rsidP="0097123E">
            <w:pPr>
              <w:pStyle w:val="TableParagraph"/>
            </w:pPr>
            <w:r>
              <w:t>Cancellation, suspension or variation of licences and permits by Corporation</w:t>
            </w:r>
          </w:p>
        </w:tc>
      </w:tr>
      <w:tr w:rsidR="00122C1B" w:rsidRPr="00117C96" w14:paraId="5E6B351B"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4A56CE6A" w14:textId="77777777" w:rsidR="00122C1B" w:rsidRDefault="00122C1B" w:rsidP="0097123E">
            <w:pPr>
              <w:pStyle w:val="TableParagraph"/>
            </w:pPr>
            <w:r>
              <w:t>26</w:t>
            </w:r>
          </w:p>
        </w:tc>
        <w:tc>
          <w:tcPr>
            <w:tcW w:w="7621" w:type="dxa"/>
            <w:shd w:val="clear" w:color="auto" w:fill="auto"/>
          </w:tcPr>
          <w:p w14:paraId="7F39908C" w14:textId="77777777" w:rsidR="00122C1B" w:rsidRDefault="00122C1B" w:rsidP="0097123E">
            <w:pPr>
              <w:pStyle w:val="TableParagraph"/>
            </w:pPr>
            <w:r>
              <w:t>Appeal to Magistrates’ Court</w:t>
            </w:r>
          </w:p>
        </w:tc>
      </w:tr>
      <w:tr w:rsidR="00122C1B" w:rsidRPr="00117C96" w14:paraId="354F3B49" w14:textId="77777777" w:rsidTr="003419BD">
        <w:tc>
          <w:tcPr>
            <w:tcW w:w="1877" w:type="dxa"/>
            <w:shd w:val="clear" w:color="auto" w:fill="auto"/>
          </w:tcPr>
          <w:p w14:paraId="51E13C87" w14:textId="77777777" w:rsidR="00122C1B" w:rsidRDefault="00122C1B" w:rsidP="0097123E">
            <w:pPr>
              <w:pStyle w:val="TableParagraph"/>
            </w:pPr>
            <w:r>
              <w:t>26A</w:t>
            </w:r>
          </w:p>
        </w:tc>
        <w:tc>
          <w:tcPr>
            <w:tcW w:w="7621" w:type="dxa"/>
            <w:shd w:val="clear" w:color="auto" w:fill="auto"/>
          </w:tcPr>
          <w:p w14:paraId="48DBDA37" w14:textId="77777777" w:rsidR="00122C1B" w:rsidRDefault="00122C1B" w:rsidP="0097123E">
            <w:pPr>
              <w:pStyle w:val="TableParagraph"/>
            </w:pPr>
            <w:r>
              <w:t>Appeal to Magistrates’ Court against police decision</w:t>
            </w:r>
          </w:p>
        </w:tc>
      </w:tr>
      <w:tr w:rsidR="00122C1B" w:rsidRPr="00117C96" w14:paraId="02A6F55E"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3BA2280D" w14:textId="77777777" w:rsidR="00122C1B" w:rsidRDefault="00122C1B" w:rsidP="0097123E">
            <w:pPr>
              <w:pStyle w:val="TableParagraph"/>
            </w:pPr>
            <w:r>
              <w:t>27</w:t>
            </w:r>
          </w:p>
        </w:tc>
        <w:tc>
          <w:tcPr>
            <w:tcW w:w="7621" w:type="dxa"/>
            <w:shd w:val="clear" w:color="auto" w:fill="auto"/>
          </w:tcPr>
          <w:p w14:paraId="56E74DF8" w14:textId="77777777" w:rsidR="00122C1B" w:rsidRDefault="00122C1B" w:rsidP="0097123E">
            <w:pPr>
              <w:pStyle w:val="TableParagraph"/>
            </w:pPr>
            <w:r>
              <w:t>Power of Corporation to require tests to be undergone</w:t>
            </w:r>
          </w:p>
        </w:tc>
      </w:tr>
      <w:tr w:rsidR="00122C1B" w:rsidRPr="00117C96" w14:paraId="38EC56CB" w14:textId="77777777" w:rsidTr="003419BD">
        <w:tc>
          <w:tcPr>
            <w:tcW w:w="1877" w:type="dxa"/>
            <w:shd w:val="clear" w:color="auto" w:fill="auto"/>
          </w:tcPr>
          <w:p w14:paraId="5A1FDB8F" w14:textId="77777777" w:rsidR="00122C1B" w:rsidRDefault="00122C1B" w:rsidP="0097123E">
            <w:pPr>
              <w:pStyle w:val="TableParagraph"/>
            </w:pPr>
            <w:r>
              <w:t>31KA</w:t>
            </w:r>
          </w:p>
        </w:tc>
        <w:tc>
          <w:tcPr>
            <w:tcW w:w="7621" w:type="dxa"/>
            <w:shd w:val="clear" w:color="auto" w:fill="auto"/>
          </w:tcPr>
          <w:p w14:paraId="1336D093" w14:textId="77777777" w:rsidR="00122C1B" w:rsidRDefault="00122C1B" w:rsidP="0097123E">
            <w:pPr>
              <w:pStyle w:val="TableParagraph"/>
            </w:pPr>
            <w:r>
              <w:t>Administrative scheme for imposing alcohol interlock condition</w:t>
            </w:r>
          </w:p>
        </w:tc>
      </w:tr>
      <w:tr w:rsidR="00122C1B" w:rsidRPr="00117C96" w14:paraId="5D234A3C"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5DCA76D9" w14:textId="77777777" w:rsidR="00122C1B" w:rsidRDefault="00122C1B" w:rsidP="0097123E">
            <w:pPr>
              <w:pStyle w:val="TableParagraph"/>
            </w:pPr>
            <w:r>
              <w:t>35(1), (2), (3)</w:t>
            </w:r>
          </w:p>
        </w:tc>
        <w:tc>
          <w:tcPr>
            <w:tcW w:w="7621" w:type="dxa"/>
            <w:shd w:val="clear" w:color="auto" w:fill="auto"/>
          </w:tcPr>
          <w:p w14:paraId="3B3E3926" w14:textId="77777777" w:rsidR="00122C1B" w:rsidRDefault="00122C1B" w:rsidP="0097123E">
            <w:pPr>
              <w:pStyle w:val="TableParagraph"/>
            </w:pPr>
            <w:r>
              <w:t>Demerits Register</w:t>
            </w:r>
          </w:p>
        </w:tc>
      </w:tr>
      <w:tr w:rsidR="00122C1B" w:rsidRPr="00117C96" w14:paraId="5C8580C7" w14:textId="77777777" w:rsidTr="003419BD">
        <w:tc>
          <w:tcPr>
            <w:tcW w:w="1877" w:type="dxa"/>
            <w:shd w:val="clear" w:color="auto" w:fill="auto"/>
          </w:tcPr>
          <w:p w14:paraId="2DE3BB10" w14:textId="77777777" w:rsidR="00122C1B" w:rsidRDefault="00122C1B" w:rsidP="0097123E">
            <w:pPr>
              <w:pStyle w:val="TableParagraph"/>
            </w:pPr>
            <w:r>
              <w:t>36</w:t>
            </w:r>
          </w:p>
        </w:tc>
        <w:tc>
          <w:tcPr>
            <w:tcW w:w="7621" w:type="dxa"/>
            <w:shd w:val="clear" w:color="auto" w:fill="auto"/>
          </w:tcPr>
          <w:p w14:paraId="148C116F" w14:textId="77777777" w:rsidR="00122C1B" w:rsidRDefault="00122C1B" w:rsidP="0097123E">
            <w:pPr>
              <w:pStyle w:val="TableParagraph"/>
            </w:pPr>
            <w:r>
              <w:t>Demerit point option notice</w:t>
            </w:r>
          </w:p>
        </w:tc>
      </w:tr>
      <w:tr w:rsidR="00122C1B" w:rsidRPr="00117C96" w14:paraId="04E37C22"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08AA27A4" w14:textId="77777777" w:rsidR="00122C1B" w:rsidRDefault="00122C1B" w:rsidP="0097123E">
            <w:pPr>
              <w:pStyle w:val="TableParagraph"/>
            </w:pPr>
            <w:r>
              <w:t>40</w:t>
            </w:r>
          </w:p>
        </w:tc>
        <w:tc>
          <w:tcPr>
            <w:tcW w:w="7621" w:type="dxa"/>
            <w:shd w:val="clear" w:color="auto" w:fill="auto"/>
          </w:tcPr>
          <w:p w14:paraId="02BF6DC9" w14:textId="77777777" w:rsidR="00122C1B" w:rsidRDefault="00122C1B" w:rsidP="0097123E">
            <w:pPr>
              <w:pStyle w:val="TableParagraph"/>
            </w:pPr>
            <w:r>
              <w:t>Person elects to extend demerit point period and incurs additional demerit points</w:t>
            </w:r>
          </w:p>
        </w:tc>
      </w:tr>
      <w:tr w:rsidR="00122C1B" w:rsidRPr="00117C96" w14:paraId="07E6366C" w14:textId="77777777" w:rsidTr="003419BD">
        <w:tc>
          <w:tcPr>
            <w:tcW w:w="1877" w:type="dxa"/>
            <w:shd w:val="clear" w:color="auto" w:fill="auto"/>
          </w:tcPr>
          <w:p w14:paraId="261DDC1A" w14:textId="77777777" w:rsidR="00122C1B" w:rsidRDefault="00122C1B" w:rsidP="0097123E">
            <w:pPr>
              <w:pStyle w:val="TableParagraph"/>
            </w:pPr>
            <w:r>
              <w:t>41</w:t>
            </w:r>
          </w:p>
        </w:tc>
        <w:tc>
          <w:tcPr>
            <w:tcW w:w="7621" w:type="dxa"/>
            <w:shd w:val="clear" w:color="auto" w:fill="auto"/>
          </w:tcPr>
          <w:p w14:paraId="6291A14F" w14:textId="77777777" w:rsidR="00122C1B" w:rsidRDefault="00122C1B" w:rsidP="0097123E">
            <w:pPr>
              <w:pStyle w:val="TableParagraph"/>
            </w:pPr>
            <w:r>
              <w:t>Person fails to elect to extend demerit point period</w:t>
            </w:r>
          </w:p>
        </w:tc>
      </w:tr>
      <w:tr w:rsidR="00122C1B" w:rsidRPr="00117C96" w14:paraId="61ADDA60"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25C27972" w14:textId="77777777" w:rsidR="00122C1B" w:rsidRDefault="00122C1B" w:rsidP="0097123E">
            <w:pPr>
              <w:pStyle w:val="TableParagraph"/>
            </w:pPr>
            <w:r>
              <w:t>46A</w:t>
            </w:r>
          </w:p>
        </w:tc>
        <w:tc>
          <w:tcPr>
            <w:tcW w:w="7621" w:type="dxa"/>
            <w:shd w:val="clear" w:color="auto" w:fill="auto"/>
          </w:tcPr>
          <w:p w14:paraId="30B9C456" w14:textId="77777777" w:rsidR="00122C1B" w:rsidRDefault="00122C1B" w:rsidP="0097123E">
            <w:pPr>
              <w:pStyle w:val="TableParagraph"/>
            </w:pPr>
            <w:r w:rsidRPr="00530060">
              <w:t>Driving disqualification notice</w:t>
            </w:r>
          </w:p>
        </w:tc>
      </w:tr>
      <w:tr w:rsidR="00122C1B" w:rsidRPr="00117C96" w14:paraId="6BE76B92" w14:textId="77777777" w:rsidTr="003419BD">
        <w:tc>
          <w:tcPr>
            <w:tcW w:w="1877" w:type="dxa"/>
            <w:shd w:val="clear" w:color="auto" w:fill="auto"/>
          </w:tcPr>
          <w:p w14:paraId="659F8B7C" w14:textId="77777777" w:rsidR="00122C1B" w:rsidRDefault="00122C1B" w:rsidP="0097123E">
            <w:pPr>
              <w:pStyle w:val="TableParagraph"/>
            </w:pPr>
            <w:r>
              <w:t>46H</w:t>
            </w:r>
          </w:p>
        </w:tc>
        <w:tc>
          <w:tcPr>
            <w:tcW w:w="7621" w:type="dxa"/>
            <w:shd w:val="clear" w:color="auto" w:fill="auto"/>
          </w:tcPr>
          <w:p w14:paraId="34B7027E" w14:textId="77777777" w:rsidR="00122C1B" w:rsidRPr="00530060" w:rsidRDefault="00122C1B" w:rsidP="0097123E">
            <w:pPr>
              <w:pStyle w:val="TableParagraph"/>
            </w:pPr>
            <w:r>
              <w:t>Appeal to Magistrates’ Court</w:t>
            </w:r>
          </w:p>
        </w:tc>
      </w:tr>
      <w:tr w:rsidR="00122C1B" w:rsidRPr="00117C96" w14:paraId="580A347F"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2816AB0A" w14:textId="77777777" w:rsidR="00122C1B" w:rsidRDefault="00122C1B" w:rsidP="0097123E">
            <w:pPr>
              <w:pStyle w:val="TableParagraph"/>
            </w:pPr>
            <w:r>
              <w:t>46I</w:t>
            </w:r>
          </w:p>
        </w:tc>
        <w:tc>
          <w:tcPr>
            <w:tcW w:w="7621" w:type="dxa"/>
            <w:shd w:val="clear" w:color="auto" w:fill="auto"/>
          </w:tcPr>
          <w:p w14:paraId="08AC60CC" w14:textId="77777777" w:rsidR="00122C1B" w:rsidRDefault="00122C1B" w:rsidP="0097123E">
            <w:pPr>
              <w:pStyle w:val="TableParagraph"/>
            </w:pPr>
            <w:r>
              <w:t>Stay of suspension or disqualification</w:t>
            </w:r>
          </w:p>
        </w:tc>
      </w:tr>
      <w:tr w:rsidR="00122C1B" w:rsidRPr="00117C96" w14:paraId="0EB17FE2" w14:textId="77777777" w:rsidTr="003419BD">
        <w:tc>
          <w:tcPr>
            <w:tcW w:w="1877" w:type="dxa"/>
            <w:shd w:val="clear" w:color="auto" w:fill="auto"/>
          </w:tcPr>
          <w:p w14:paraId="1A8CC36E" w14:textId="77777777" w:rsidR="00122C1B" w:rsidRDefault="00122C1B" w:rsidP="0097123E">
            <w:pPr>
              <w:pStyle w:val="TableParagraph"/>
            </w:pPr>
            <w:r>
              <w:t>49</w:t>
            </w:r>
          </w:p>
        </w:tc>
        <w:tc>
          <w:tcPr>
            <w:tcW w:w="7621" w:type="dxa"/>
            <w:shd w:val="clear" w:color="auto" w:fill="auto"/>
          </w:tcPr>
          <w:p w14:paraId="25321DE4" w14:textId="77777777" w:rsidR="00122C1B" w:rsidRDefault="00122C1B" w:rsidP="0097123E">
            <w:pPr>
              <w:pStyle w:val="TableParagraph"/>
            </w:pPr>
            <w:r>
              <w:t>Offences involving alcohol or other drugs</w:t>
            </w:r>
          </w:p>
        </w:tc>
      </w:tr>
      <w:tr w:rsidR="00122C1B" w:rsidRPr="00117C96" w14:paraId="3F69F2A2"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4A83C297" w14:textId="77777777" w:rsidR="00122C1B" w:rsidRDefault="00122C1B" w:rsidP="0097123E">
            <w:pPr>
              <w:pStyle w:val="TableParagraph"/>
            </w:pPr>
            <w:r>
              <w:t>50AAAB</w:t>
            </w:r>
          </w:p>
        </w:tc>
        <w:tc>
          <w:tcPr>
            <w:tcW w:w="7621" w:type="dxa"/>
            <w:shd w:val="clear" w:color="auto" w:fill="auto"/>
          </w:tcPr>
          <w:p w14:paraId="3BCCEB41" w14:textId="77777777" w:rsidR="00122C1B" w:rsidRDefault="00122C1B" w:rsidP="0097123E">
            <w:pPr>
              <w:pStyle w:val="TableParagraph"/>
            </w:pPr>
            <w:r>
              <w:t>Administrative scheme for removal of alcohol interlock condition</w:t>
            </w:r>
          </w:p>
        </w:tc>
      </w:tr>
      <w:tr w:rsidR="00122C1B" w:rsidRPr="00117C96" w14:paraId="4531B186" w14:textId="77777777" w:rsidTr="003419BD">
        <w:tc>
          <w:tcPr>
            <w:tcW w:w="1877" w:type="dxa"/>
            <w:shd w:val="clear" w:color="auto" w:fill="auto"/>
          </w:tcPr>
          <w:p w14:paraId="5E8DF868" w14:textId="77777777" w:rsidR="00122C1B" w:rsidRDefault="00122C1B" w:rsidP="0097123E">
            <w:pPr>
              <w:pStyle w:val="TableParagraph"/>
            </w:pPr>
            <w:r>
              <w:t>50AAAC</w:t>
            </w:r>
          </w:p>
        </w:tc>
        <w:tc>
          <w:tcPr>
            <w:tcW w:w="7621" w:type="dxa"/>
            <w:shd w:val="clear" w:color="auto" w:fill="auto"/>
          </w:tcPr>
          <w:p w14:paraId="077F9988" w14:textId="77777777" w:rsidR="00122C1B" w:rsidRDefault="00122C1B" w:rsidP="0097123E">
            <w:pPr>
              <w:pStyle w:val="TableParagraph"/>
            </w:pPr>
            <w:r>
              <w:t>Application to Magistrates’ Court for direction</w:t>
            </w:r>
          </w:p>
        </w:tc>
      </w:tr>
      <w:tr w:rsidR="00122C1B" w:rsidRPr="00117C96" w14:paraId="6A8C11B2"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1E744796" w14:textId="77777777" w:rsidR="00122C1B" w:rsidRDefault="00122C1B" w:rsidP="0097123E">
            <w:pPr>
              <w:pStyle w:val="TableParagraph"/>
            </w:pPr>
            <w:r>
              <w:t>50AAAD(3)(c), (3)(b)</w:t>
            </w:r>
          </w:p>
        </w:tc>
        <w:tc>
          <w:tcPr>
            <w:tcW w:w="7621" w:type="dxa"/>
            <w:shd w:val="clear" w:color="auto" w:fill="auto"/>
          </w:tcPr>
          <w:p w14:paraId="6DEAFA2A" w14:textId="77777777" w:rsidR="00122C1B" w:rsidRDefault="00122C1B" w:rsidP="0097123E">
            <w:pPr>
              <w:pStyle w:val="TableParagraph"/>
            </w:pPr>
            <w:r>
              <w:t>Exemption from, or removal of, alcohol interlock condition on medical grounds</w:t>
            </w:r>
          </w:p>
        </w:tc>
      </w:tr>
      <w:tr w:rsidR="00122C1B" w:rsidRPr="00117C96" w14:paraId="08EFA2DB" w14:textId="77777777" w:rsidTr="003419BD">
        <w:tc>
          <w:tcPr>
            <w:tcW w:w="1877" w:type="dxa"/>
            <w:shd w:val="clear" w:color="auto" w:fill="auto"/>
          </w:tcPr>
          <w:p w14:paraId="1A8FBDFF" w14:textId="77777777" w:rsidR="00122C1B" w:rsidRDefault="00122C1B" w:rsidP="0097123E">
            <w:pPr>
              <w:pStyle w:val="TableParagraph"/>
            </w:pPr>
            <w:r>
              <w:t>50AAB</w:t>
            </w:r>
          </w:p>
        </w:tc>
        <w:tc>
          <w:tcPr>
            <w:tcW w:w="7621" w:type="dxa"/>
            <w:shd w:val="clear" w:color="auto" w:fill="auto"/>
          </w:tcPr>
          <w:p w14:paraId="17789B6F" w14:textId="77777777" w:rsidR="00122C1B" w:rsidRDefault="00122C1B" w:rsidP="0097123E">
            <w:pPr>
              <w:pStyle w:val="TableParagraph"/>
            </w:pPr>
            <w:r>
              <w:t>Alcohol interlock condition removal order</w:t>
            </w:r>
          </w:p>
        </w:tc>
      </w:tr>
      <w:tr w:rsidR="00122C1B" w:rsidRPr="00117C96" w14:paraId="56D27668"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6C476181" w14:textId="77777777" w:rsidR="00122C1B" w:rsidRDefault="00122C1B" w:rsidP="0097123E">
            <w:pPr>
              <w:pStyle w:val="TableParagraph"/>
            </w:pPr>
            <w:r>
              <w:t>50AAD</w:t>
            </w:r>
          </w:p>
        </w:tc>
        <w:tc>
          <w:tcPr>
            <w:tcW w:w="7621" w:type="dxa"/>
            <w:shd w:val="clear" w:color="auto" w:fill="auto"/>
          </w:tcPr>
          <w:p w14:paraId="097489AD" w14:textId="77777777" w:rsidR="00122C1B" w:rsidRDefault="00122C1B" w:rsidP="0097123E">
            <w:pPr>
              <w:pStyle w:val="TableParagraph"/>
            </w:pPr>
            <w:r>
              <w:t>Offences and immobilisation orders</w:t>
            </w:r>
          </w:p>
        </w:tc>
      </w:tr>
      <w:tr w:rsidR="00122C1B" w:rsidRPr="00117C96" w14:paraId="3ED27C74" w14:textId="77777777" w:rsidTr="003419BD">
        <w:tc>
          <w:tcPr>
            <w:tcW w:w="1877" w:type="dxa"/>
            <w:shd w:val="clear" w:color="auto" w:fill="auto"/>
          </w:tcPr>
          <w:p w14:paraId="63155556" w14:textId="77777777" w:rsidR="00122C1B" w:rsidRDefault="00122C1B" w:rsidP="0097123E">
            <w:pPr>
              <w:pStyle w:val="TableParagraph"/>
            </w:pPr>
            <w:r>
              <w:t>50AAE</w:t>
            </w:r>
          </w:p>
        </w:tc>
        <w:tc>
          <w:tcPr>
            <w:tcW w:w="7621" w:type="dxa"/>
            <w:shd w:val="clear" w:color="auto" w:fill="auto"/>
          </w:tcPr>
          <w:p w14:paraId="4477B11D" w14:textId="77777777" w:rsidR="00122C1B" w:rsidRDefault="00122C1B" w:rsidP="0097123E">
            <w:pPr>
              <w:pStyle w:val="TableParagraph"/>
            </w:pPr>
            <w:r>
              <w:t>Approval of types of alcohol interlocks and alcohol interlock suppliers</w:t>
            </w:r>
          </w:p>
        </w:tc>
      </w:tr>
      <w:tr w:rsidR="00122C1B" w:rsidRPr="00117C96" w14:paraId="7F4C8090"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2BFD3C98" w14:textId="77777777" w:rsidR="00122C1B" w:rsidRDefault="00122C1B" w:rsidP="0097123E">
            <w:pPr>
              <w:pStyle w:val="TableParagraph"/>
            </w:pPr>
            <w:r>
              <w:t>50AAF</w:t>
            </w:r>
          </w:p>
        </w:tc>
        <w:tc>
          <w:tcPr>
            <w:tcW w:w="7621" w:type="dxa"/>
            <w:shd w:val="clear" w:color="auto" w:fill="auto"/>
          </w:tcPr>
          <w:p w14:paraId="2D0A4D84" w14:textId="77777777" w:rsidR="00122C1B" w:rsidRDefault="00122C1B" w:rsidP="0097123E">
            <w:pPr>
              <w:pStyle w:val="TableParagraph"/>
            </w:pPr>
            <w:r>
              <w:t>Conditions on approvals</w:t>
            </w:r>
          </w:p>
        </w:tc>
      </w:tr>
      <w:tr w:rsidR="00122C1B" w:rsidRPr="00117C96" w14:paraId="42963299" w14:textId="77777777" w:rsidTr="003419BD">
        <w:tc>
          <w:tcPr>
            <w:tcW w:w="1877" w:type="dxa"/>
            <w:shd w:val="clear" w:color="auto" w:fill="auto"/>
          </w:tcPr>
          <w:p w14:paraId="34ED1CAF" w14:textId="77777777" w:rsidR="00122C1B" w:rsidRDefault="00122C1B" w:rsidP="0097123E">
            <w:pPr>
              <w:pStyle w:val="TableParagraph"/>
            </w:pPr>
            <w:r>
              <w:t>50AAKA</w:t>
            </w:r>
          </w:p>
        </w:tc>
        <w:tc>
          <w:tcPr>
            <w:tcW w:w="7621" w:type="dxa"/>
            <w:shd w:val="clear" w:color="auto" w:fill="auto"/>
          </w:tcPr>
          <w:p w14:paraId="07722F88" w14:textId="77777777" w:rsidR="00122C1B" w:rsidRDefault="00122C1B" w:rsidP="0097123E">
            <w:pPr>
              <w:pStyle w:val="TableParagraph"/>
            </w:pPr>
            <w:r>
              <w:t>Cost recovery fees</w:t>
            </w:r>
          </w:p>
        </w:tc>
      </w:tr>
      <w:tr w:rsidR="00122C1B" w:rsidRPr="00117C96" w14:paraId="412B6003"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171FE848" w14:textId="77777777" w:rsidR="00122C1B" w:rsidRDefault="00122C1B" w:rsidP="0097123E">
            <w:pPr>
              <w:pStyle w:val="TableParagraph"/>
            </w:pPr>
            <w:r>
              <w:t>51</w:t>
            </w:r>
          </w:p>
        </w:tc>
        <w:tc>
          <w:tcPr>
            <w:tcW w:w="7621" w:type="dxa"/>
            <w:shd w:val="clear" w:color="auto" w:fill="auto"/>
          </w:tcPr>
          <w:p w14:paraId="3E1EDDAF" w14:textId="77777777" w:rsidR="00122C1B" w:rsidRDefault="00122C1B" w:rsidP="0097123E">
            <w:pPr>
              <w:pStyle w:val="TableParagraph"/>
            </w:pPr>
            <w:r>
              <w:t>Immediate suspension of driver licence or permit in certain circumstances</w:t>
            </w:r>
          </w:p>
        </w:tc>
      </w:tr>
      <w:tr w:rsidR="00122C1B" w:rsidRPr="00117C96" w14:paraId="3DE5E367" w14:textId="77777777" w:rsidTr="003419BD">
        <w:tc>
          <w:tcPr>
            <w:tcW w:w="1877" w:type="dxa"/>
            <w:shd w:val="clear" w:color="auto" w:fill="auto"/>
          </w:tcPr>
          <w:p w14:paraId="380F19F9" w14:textId="77777777" w:rsidR="00122C1B" w:rsidRDefault="00122C1B" w:rsidP="0097123E">
            <w:pPr>
              <w:pStyle w:val="TableParagraph"/>
            </w:pPr>
            <w:r>
              <w:lastRenderedPageBreak/>
              <w:t>52</w:t>
            </w:r>
          </w:p>
        </w:tc>
        <w:tc>
          <w:tcPr>
            <w:tcW w:w="7621" w:type="dxa"/>
            <w:shd w:val="clear" w:color="auto" w:fill="auto"/>
          </w:tcPr>
          <w:p w14:paraId="366438DA" w14:textId="77777777" w:rsidR="00122C1B" w:rsidRDefault="00122C1B" w:rsidP="0097123E">
            <w:pPr>
              <w:pStyle w:val="TableParagraph"/>
            </w:pPr>
            <w:r>
              <w:t>Zero blood or breath alcohol</w:t>
            </w:r>
          </w:p>
        </w:tc>
      </w:tr>
      <w:tr w:rsidR="00122C1B" w:rsidRPr="00117C96" w14:paraId="531B3603"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3751C8F3" w14:textId="77777777" w:rsidR="00122C1B" w:rsidRDefault="00122C1B" w:rsidP="0097123E">
            <w:pPr>
              <w:pStyle w:val="TableParagraph"/>
            </w:pPr>
            <w:r>
              <w:t>68B</w:t>
            </w:r>
          </w:p>
        </w:tc>
        <w:tc>
          <w:tcPr>
            <w:tcW w:w="7621" w:type="dxa"/>
            <w:shd w:val="clear" w:color="auto" w:fill="auto"/>
          </w:tcPr>
          <w:p w14:paraId="5796E6A5" w14:textId="77777777" w:rsidR="00122C1B" w:rsidRDefault="00122C1B" w:rsidP="0097123E">
            <w:pPr>
              <w:pStyle w:val="TableParagraph"/>
            </w:pPr>
            <w:r>
              <w:t>Deliberately or recklessly entering a level crossing when a train or tram is approaching etc.</w:t>
            </w:r>
          </w:p>
        </w:tc>
      </w:tr>
      <w:tr w:rsidR="00122C1B" w:rsidRPr="00117C96" w14:paraId="5A6DBB41" w14:textId="77777777" w:rsidTr="003419BD">
        <w:tc>
          <w:tcPr>
            <w:tcW w:w="1877" w:type="dxa"/>
            <w:shd w:val="clear" w:color="auto" w:fill="auto"/>
          </w:tcPr>
          <w:p w14:paraId="55F3E469" w14:textId="77777777" w:rsidR="00122C1B" w:rsidRDefault="00122C1B" w:rsidP="0097123E">
            <w:pPr>
              <w:pStyle w:val="TableParagraph"/>
            </w:pPr>
            <w:r>
              <w:t>71</w:t>
            </w:r>
          </w:p>
        </w:tc>
        <w:tc>
          <w:tcPr>
            <w:tcW w:w="7621" w:type="dxa"/>
            <w:shd w:val="clear" w:color="auto" w:fill="auto"/>
          </w:tcPr>
          <w:p w14:paraId="088E6963" w14:textId="77777777" w:rsidR="00122C1B" w:rsidRDefault="00122C1B" w:rsidP="0097123E">
            <w:pPr>
              <w:pStyle w:val="TableParagraph"/>
            </w:pPr>
            <w:r>
              <w:t>Obtaining licence etc. by false statements</w:t>
            </w:r>
          </w:p>
        </w:tc>
      </w:tr>
      <w:tr w:rsidR="00122C1B" w:rsidRPr="00117C96" w14:paraId="11B67E7C"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3EB5809C" w14:textId="77777777" w:rsidR="00122C1B" w:rsidRDefault="00122C1B" w:rsidP="0097123E">
            <w:pPr>
              <w:pStyle w:val="TableParagraph"/>
            </w:pPr>
            <w:r>
              <w:t>84(1)</w:t>
            </w:r>
          </w:p>
        </w:tc>
        <w:tc>
          <w:tcPr>
            <w:tcW w:w="7621" w:type="dxa"/>
            <w:shd w:val="clear" w:color="auto" w:fill="auto"/>
          </w:tcPr>
          <w:p w14:paraId="5413ABE6" w14:textId="77777777" w:rsidR="00122C1B" w:rsidRDefault="00122C1B" w:rsidP="0097123E">
            <w:pPr>
              <w:pStyle w:val="TableParagraph"/>
            </w:pPr>
            <w:r>
              <w:t>General evidentiary provisions</w:t>
            </w:r>
          </w:p>
        </w:tc>
      </w:tr>
      <w:tr w:rsidR="00122C1B" w:rsidRPr="00117C96" w14:paraId="01D63BB2" w14:textId="77777777" w:rsidTr="003419BD">
        <w:tc>
          <w:tcPr>
            <w:tcW w:w="1877" w:type="dxa"/>
            <w:shd w:val="clear" w:color="auto" w:fill="auto"/>
          </w:tcPr>
          <w:p w14:paraId="211F0C0D" w14:textId="77777777" w:rsidR="00122C1B" w:rsidRDefault="00122C1B" w:rsidP="0097123E">
            <w:pPr>
              <w:pStyle w:val="TableParagraph"/>
            </w:pPr>
            <w:r>
              <w:t>84BN(2)</w:t>
            </w:r>
          </w:p>
        </w:tc>
        <w:tc>
          <w:tcPr>
            <w:tcW w:w="7621" w:type="dxa"/>
            <w:shd w:val="clear" w:color="auto" w:fill="auto"/>
          </w:tcPr>
          <w:p w14:paraId="3F1E209F" w14:textId="77777777" w:rsidR="00122C1B" w:rsidRDefault="00122C1B" w:rsidP="0097123E">
            <w:pPr>
              <w:pStyle w:val="TableParagraph"/>
            </w:pPr>
            <w:r>
              <w:t>Failure to complete approved safe driving program</w:t>
            </w:r>
          </w:p>
        </w:tc>
      </w:tr>
      <w:tr w:rsidR="00122C1B" w:rsidRPr="00117C96" w14:paraId="65AC4626"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12BCDD87" w14:textId="77777777" w:rsidR="00122C1B" w:rsidRDefault="00122C1B" w:rsidP="0097123E">
            <w:pPr>
              <w:pStyle w:val="TableParagraph"/>
            </w:pPr>
            <w:r>
              <w:t>84BU</w:t>
            </w:r>
          </w:p>
        </w:tc>
        <w:tc>
          <w:tcPr>
            <w:tcW w:w="7621" w:type="dxa"/>
            <w:shd w:val="clear" w:color="auto" w:fill="auto"/>
          </w:tcPr>
          <w:p w14:paraId="728B50EB" w14:textId="77777777" w:rsidR="00122C1B" w:rsidRDefault="00122C1B" w:rsidP="0097123E">
            <w:pPr>
              <w:pStyle w:val="TableParagraph"/>
            </w:pPr>
            <w:r>
              <w:t>Approved provider to send fees to Corporation</w:t>
            </w:r>
          </w:p>
        </w:tc>
      </w:tr>
      <w:tr w:rsidR="00122C1B" w:rsidRPr="00117C96" w14:paraId="0DF4859F" w14:textId="77777777" w:rsidTr="003419BD">
        <w:tc>
          <w:tcPr>
            <w:tcW w:w="1877" w:type="dxa"/>
            <w:shd w:val="clear" w:color="auto" w:fill="auto"/>
          </w:tcPr>
          <w:p w14:paraId="1D0C0689" w14:textId="77777777" w:rsidR="00122C1B" w:rsidRDefault="00122C1B" w:rsidP="0097123E">
            <w:pPr>
              <w:pStyle w:val="TableParagraph"/>
            </w:pPr>
            <w:r>
              <w:t>89(4)</w:t>
            </w:r>
          </w:p>
        </w:tc>
        <w:tc>
          <w:tcPr>
            <w:tcW w:w="7621" w:type="dxa"/>
            <w:shd w:val="clear" w:color="auto" w:fill="auto"/>
          </w:tcPr>
          <w:p w14:paraId="71636A5E" w14:textId="77777777" w:rsidR="00122C1B" w:rsidRDefault="00122C1B" w:rsidP="0097123E">
            <w:pPr>
              <w:pStyle w:val="TableParagraph"/>
            </w:pPr>
            <w:r>
              <w:t>Effect of payment penalty</w:t>
            </w:r>
          </w:p>
        </w:tc>
      </w:tr>
      <w:tr w:rsidR="00122C1B" w:rsidRPr="00117C96" w14:paraId="32E89C8F"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78B6E6C5" w14:textId="77777777" w:rsidR="00122C1B" w:rsidRDefault="00122C1B" w:rsidP="0097123E">
            <w:pPr>
              <w:pStyle w:val="TableParagraph"/>
            </w:pPr>
            <w:r>
              <w:t>89A(2)</w:t>
            </w:r>
          </w:p>
        </w:tc>
        <w:tc>
          <w:tcPr>
            <w:tcW w:w="7621" w:type="dxa"/>
            <w:shd w:val="clear" w:color="auto" w:fill="auto"/>
          </w:tcPr>
          <w:p w14:paraId="1BC014BF" w14:textId="77777777" w:rsidR="00122C1B" w:rsidRDefault="00122C1B" w:rsidP="0097123E">
            <w:pPr>
              <w:pStyle w:val="TableParagraph"/>
            </w:pPr>
            <w:r>
              <w:t>Effect of drink-driving infringements, drug-driving infringements and excessive speed infringements</w:t>
            </w:r>
          </w:p>
        </w:tc>
      </w:tr>
      <w:tr w:rsidR="00122C1B" w:rsidRPr="00117C96" w14:paraId="3963A554" w14:textId="77777777" w:rsidTr="003419BD">
        <w:tc>
          <w:tcPr>
            <w:tcW w:w="1877" w:type="dxa"/>
            <w:shd w:val="clear" w:color="auto" w:fill="auto"/>
          </w:tcPr>
          <w:p w14:paraId="20CAE421" w14:textId="77777777" w:rsidR="00122C1B" w:rsidRDefault="00122C1B" w:rsidP="0097123E">
            <w:pPr>
              <w:pStyle w:val="TableParagraph"/>
            </w:pPr>
            <w:r>
              <w:t>Part 7B</w:t>
            </w:r>
          </w:p>
        </w:tc>
        <w:tc>
          <w:tcPr>
            <w:tcW w:w="7621" w:type="dxa"/>
            <w:shd w:val="clear" w:color="auto" w:fill="auto"/>
          </w:tcPr>
          <w:p w14:paraId="229E9916" w14:textId="77777777" w:rsidR="00122C1B" w:rsidRDefault="00122C1B" w:rsidP="0097123E">
            <w:pPr>
              <w:pStyle w:val="TableParagraph"/>
            </w:pPr>
            <w:r>
              <w:t>Use and disclosure of information</w:t>
            </w:r>
          </w:p>
        </w:tc>
      </w:tr>
      <w:tr w:rsidR="00122C1B" w:rsidRPr="00117C96" w14:paraId="26175F91"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3ECA542B" w14:textId="77777777" w:rsidR="00122C1B" w:rsidRDefault="00122C1B" w:rsidP="0097123E">
            <w:pPr>
              <w:pStyle w:val="TableParagraph"/>
            </w:pPr>
            <w:r>
              <w:t>96B</w:t>
            </w:r>
          </w:p>
        </w:tc>
        <w:tc>
          <w:tcPr>
            <w:tcW w:w="7621" w:type="dxa"/>
            <w:shd w:val="clear" w:color="auto" w:fill="auto"/>
          </w:tcPr>
          <w:p w14:paraId="730BC87D" w14:textId="77777777" w:rsidR="00122C1B" w:rsidRDefault="00122C1B" w:rsidP="0097123E">
            <w:pPr>
              <w:pStyle w:val="TableParagraph"/>
            </w:pPr>
            <w:r>
              <w:t>Minister may issue guidelines about testing of persons under Section 27</w:t>
            </w:r>
          </w:p>
        </w:tc>
      </w:tr>
      <w:tr w:rsidR="00122C1B" w:rsidRPr="00117C96" w14:paraId="0D09549C" w14:textId="77777777" w:rsidTr="003419BD">
        <w:tc>
          <w:tcPr>
            <w:tcW w:w="1877" w:type="dxa"/>
            <w:shd w:val="clear" w:color="auto" w:fill="auto"/>
          </w:tcPr>
          <w:p w14:paraId="69BA16C3" w14:textId="77777777" w:rsidR="00122C1B" w:rsidRDefault="00122C1B" w:rsidP="0097123E">
            <w:pPr>
              <w:pStyle w:val="TableParagraph"/>
            </w:pPr>
            <w:r>
              <w:t>Schedule 2</w:t>
            </w:r>
          </w:p>
        </w:tc>
        <w:tc>
          <w:tcPr>
            <w:tcW w:w="7621" w:type="dxa"/>
            <w:shd w:val="clear" w:color="auto" w:fill="auto"/>
          </w:tcPr>
          <w:p w14:paraId="230835EC" w14:textId="77777777" w:rsidR="00122C1B" w:rsidRDefault="00122C1B" w:rsidP="0097123E">
            <w:pPr>
              <w:pStyle w:val="TableParagraph"/>
            </w:pPr>
            <w:r>
              <w:t>Subject-matter for regulations</w:t>
            </w:r>
          </w:p>
        </w:tc>
      </w:tr>
      <w:tr w:rsidR="00122C1B" w:rsidRPr="009220CA" w14:paraId="20EF33C7" w14:textId="77777777" w:rsidTr="00C25CFD">
        <w:trPr>
          <w:cnfStyle w:val="000000010000" w:firstRow="0" w:lastRow="0" w:firstColumn="0" w:lastColumn="0" w:oddVBand="0" w:evenVBand="0" w:oddHBand="0" w:evenHBand="1" w:firstRowFirstColumn="0" w:firstRowLastColumn="0" w:lastRowFirstColumn="0" w:lastRowLastColumn="0"/>
        </w:trPr>
        <w:tc>
          <w:tcPr>
            <w:tcW w:w="9498" w:type="dxa"/>
            <w:gridSpan w:val="2"/>
            <w:shd w:val="clear" w:color="auto" w:fill="DDE8F4" w:themeFill="text2" w:themeFillTint="1A"/>
          </w:tcPr>
          <w:p w14:paraId="39FFAF27" w14:textId="77777777" w:rsidR="00122C1B" w:rsidRPr="009220CA" w:rsidRDefault="00122C1B" w:rsidP="0097123E">
            <w:pPr>
              <w:pStyle w:val="TableParagraph"/>
              <w:rPr>
                <w:b/>
              </w:rPr>
            </w:pPr>
            <w:r w:rsidRPr="009220CA">
              <w:rPr>
                <w:b/>
              </w:rPr>
              <w:t>Sentencing Act 1991</w:t>
            </w:r>
          </w:p>
        </w:tc>
      </w:tr>
      <w:tr w:rsidR="00122C1B" w:rsidRPr="00117C96" w14:paraId="6AD91600" w14:textId="77777777" w:rsidTr="003419BD">
        <w:tc>
          <w:tcPr>
            <w:tcW w:w="1877" w:type="dxa"/>
            <w:shd w:val="clear" w:color="auto" w:fill="auto"/>
          </w:tcPr>
          <w:p w14:paraId="13A20D25" w14:textId="77777777" w:rsidR="00122C1B" w:rsidRDefault="00122C1B" w:rsidP="0097123E">
            <w:pPr>
              <w:pStyle w:val="TableParagraph"/>
            </w:pPr>
            <w:r>
              <w:t>89A</w:t>
            </w:r>
          </w:p>
        </w:tc>
        <w:tc>
          <w:tcPr>
            <w:tcW w:w="7621" w:type="dxa"/>
            <w:shd w:val="clear" w:color="auto" w:fill="auto"/>
          </w:tcPr>
          <w:p w14:paraId="4ADF1297" w14:textId="77777777" w:rsidR="00122C1B" w:rsidRDefault="00122C1B" w:rsidP="0097123E">
            <w:pPr>
              <w:pStyle w:val="TableParagraph"/>
            </w:pPr>
            <w:r>
              <w:t>Suspension or cancellation of driver licence or learner permit and driver disqualification – any offence</w:t>
            </w:r>
          </w:p>
        </w:tc>
      </w:tr>
      <w:tr w:rsidR="00122C1B" w:rsidRPr="009220CA" w14:paraId="6F083372" w14:textId="77777777" w:rsidTr="00C25CFD">
        <w:trPr>
          <w:cnfStyle w:val="000000010000" w:firstRow="0" w:lastRow="0" w:firstColumn="0" w:lastColumn="0" w:oddVBand="0" w:evenVBand="0" w:oddHBand="0" w:evenHBand="1" w:firstRowFirstColumn="0" w:firstRowLastColumn="0" w:lastRowFirstColumn="0" w:lastRowLastColumn="0"/>
        </w:trPr>
        <w:tc>
          <w:tcPr>
            <w:tcW w:w="9498" w:type="dxa"/>
            <w:gridSpan w:val="2"/>
            <w:shd w:val="clear" w:color="auto" w:fill="DDE8F4" w:themeFill="text2" w:themeFillTint="1A"/>
          </w:tcPr>
          <w:p w14:paraId="252DF477" w14:textId="77777777" w:rsidR="00122C1B" w:rsidRPr="009220CA" w:rsidRDefault="00122C1B" w:rsidP="0097123E">
            <w:pPr>
              <w:pStyle w:val="TableParagraph"/>
              <w:rPr>
                <w:b/>
              </w:rPr>
            </w:pPr>
            <w:r w:rsidRPr="009220CA">
              <w:rPr>
                <w:b/>
              </w:rPr>
              <w:t>Children, Youth and Families Act 2005</w:t>
            </w:r>
          </w:p>
        </w:tc>
      </w:tr>
      <w:tr w:rsidR="00122C1B" w:rsidRPr="00117C96" w14:paraId="6246B562" w14:textId="77777777" w:rsidTr="003419BD">
        <w:tc>
          <w:tcPr>
            <w:tcW w:w="1877" w:type="dxa"/>
            <w:shd w:val="clear" w:color="auto" w:fill="auto"/>
          </w:tcPr>
          <w:p w14:paraId="28AAA1CA" w14:textId="77777777" w:rsidR="00122C1B" w:rsidRDefault="00122C1B" w:rsidP="0097123E">
            <w:pPr>
              <w:pStyle w:val="TableParagraph"/>
            </w:pPr>
            <w:r>
              <w:t>Schedule 3</w:t>
            </w:r>
          </w:p>
        </w:tc>
        <w:tc>
          <w:tcPr>
            <w:tcW w:w="7621" w:type="dxa"/>
            <w:shd w:val="clear" w:color="auto" w:fill="auto"/>
          </w:tcPr>
          <w:p w14:paraId="350D8226" w14:textId="77777777" w:rsidR="00122C1B" w:rsidRDefault="00122C1B" w:rsidP="0097123E">
            <w:pPr>
              <w:pStyle w:val="TableParagraph"/>
            </w:pPr>
            <w:r>
              <w:t>Children and young persons infringement notice system</w:t>
            </w:r>
          </w:p>
        </w:tc>
      </w:tr>
      <w:tr w:rsidR="00122C1B" w:rsidRPr="00117C96" w14:paraId="634703D2"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4DA958AD" w14:textId="77777777" w:rsidR="00122C1B" w:rsidRDefault="00122C1B" w:rsidP="0097123E">
            <w:pPr>
              <w:pStyle w:val="TableParagraph"/>
            </w:pPr>
            <w:r>
              <w:t>356D(1)</w:t>
            </w:r>
          </w:p>
        </w:tc>
        <w:tc>
          <w:tcPr>
            <w:tcW w:w="7621" w:type="dxa"/>
            <w:shd w:val="clear" w:color="auto" w:fill="auto"/>
          </w:tcPr>
          <w:p w14:paraId="74BBCA26" w14:textId="77777777" w:rsidR="00122C1B" w:rsidRDefault="00122C1B" w:rsidP="0097123E">
            <w:pPr>
              <w:pStyle w:val="TableParagraph"/>
            </w:pPr>
            <w:r>
              <w:t>Adjournment to undertake diversion program</w:t>
            </w:r>
          </w:p>
        </w:tc>
      </w:tr>
      <w:tr w:rsidR="00122C1B" w:rsidRPr="009220CA" w14:paraId="2E8043EF" w14:textId="77777777" w:rsidTr="00C25CFD">
        <w:tc>
          <w:tcPr>
            <w:tcW w:w="9498" w:type="dxa"/>
            <w:gridSpan w:val="2"/>
            <w:shd w:val="clear" w:color="auto" w:fill="DDE8F4" w:themeFill="text2" w:themeFillTint="1A"/>
          </w:tcPr>
          <w:p w14:paraId="366A7E69" w14:textId="77777777" w:rsidR="00122C1B" w:rsidRPr="009220CA" w:rsidRDefault="00122C1B" w:rsidP="0097123E">
            <w:pPr>
              <w:pStyle w:val="TableParagraph"/>
              <w:rPr>
                <w:b/>
              </w:rPr>
            </w:pPr>
            <w:r w:rsidRPr="009220CA">
              <w:rPr>
                <w:b/>
              </w:rPr>
              <w:t>Criminal Procedure Act 2009</w:t>
            </w:r>
          </w:p>
        </w:tc>
      </w:tr>
      <w:tr w:rsidR="00122C1B" w:rsidRPr="00117C96" w14:paraId="048F5670"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tcPr>
          <w:p w14:paraId="09BAEDBC" w14:textId="77777777" w:rsidR="00122C1B" w:rsidRDefault="00122C1B" w:rsidP="0097123E">
            <w:pPr>
              <w:pStyle w:val="TableParagraph"/>
            </w:pPr>
            <w:r>
              <w:t>59(2)</w:t>
            </w:r>
          </w:p>
        </w:tc>
        <w:tc>
          <w:tcPr>
            <w:tcW w:w="7621" w:type="dxa"/>
          </w:tcPr>
          <w:p w14:paraId="633F0AD4" w14:textId="77777777" w:rsidR="00122C1B" w:rsidRDefault="00122C1B" w:rsidP="0097123E">
            <w:pPr>
              <w:pStyle w:val="TableParagraph"/>
            </w:pPr>
            <w:r>
              <w:t>Adjournment to undertake diversion program</w:t>
            </w:r>
          </w:p>
        </w:tc>
      </w:tr>
      <w:tr w:rsidR="00122C1B" w:rsidRPr="009220CA" w14:paraId="66CC4855" w14:textId="77777777" w:rsidTr="00C25CFD">
        <w:tc>
          <w:tcPr>
            <w:tcW w:w="9498" w:type="dxa"/>
            <w:gridSpan w:val="2"/>
            <w:shd w:val="clear" w:color="auto" w:fill="DDE8F4" w:themeFill="text2" w:themeFillTint="1A"/>
          </w:tcPr>
          <w:p w14:paraId="09F3BDFD" w14:textId="77777777" w:rsidR="00122C1B" w:rsidRPr="009220CA" w:rsidRDefault="00122C1B" w:rsidP="0097123E">
            <w:pPr>
              <w:pStyle w:val="TableParagraph"/>
              <w:rPr>
                <w:b/>
              </w:rPr>
            </w:pPr>
            <w:r w:rsidRPr="009220CA">
              <w:rPr>
                <w:b/>
              </w:rPr>
              <w:t>Fines Reform Act 2014</w:t>
            </w:r>
          </w:p>
        </w:tc>
      </w:tr>
      <w:tr w:rsidR="00122C1B" w:rsidRPr="00117C96" w14:paraId="6C8118CE"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45FFD246" w14:textId="77777777" w:rsidR="00122C1B" w:rsidRDefault="00122C1B" w:rsidP="0097123E">
            <w:pPr>
              <w:pStyle w:val="TableParagraph"/>
            </w:pPr>
            <w:r>
              <w:t>23</w:t>
            </w:r>
          </w:p>
        </w:tc>
        <w:tc>
          <w:tcPr>
            <w:tcW w:w="7621" w:type="dxa"/>
            <w:shd w:val="clear" w:color="auto" w:fill="auto"/>
          </w:tcPr>
          <w:p w14:paraId="0232A8C4" w14:textId="77777777" w:rsidR="00122C1B" w:rsidRDefault="00122C1B" w:rsidP="0097123E">
            <w:pPr>
              <w:pStyle w:val="TableParagraph"/>
            </w:pPr>
            <w:r>
              <w:t>Notice of final demand</w:t>
            </w:r>
          </w:p>
        </w:tc>
      </w:tr>
      <w:tr w:rsidR="00122C1B" w:rsidRPr="00117C96" w14:paraId="27F3543A" w14:textId="77777777" w:rsidTr="003419BD">
        <w:tc>
          <w:tcPr>
            <w:tcW w:w="1877" w:type="dxa"/>
            <w:shd w:val="clear" w:color="auto" w:fill="auto"/>
          </w:tcPr>
          <w:p w14:paraId="2FA17A1F" w14:textId="77777777" w:rsidR="00122C1B" w:rsidRDefault="00122C1B" w:rsidP="0097123E">
            <w:pPr>
              <w:pStyle w:val="TableParagraph"/>
            </w:pPr>
            <w:r>
              <w:t>37(2)</w:t>
            </w:r>
          </w:p>
        </w:tc>
        <w:tc>
          <w:tcPr>
            <w:tcW w:w="7621" w:type="dxa"/>
            <w:shd w:val="clear" w:color="auto" w:fill="auto"/>
          </w:tcPr>
          <w:p w14:paraId="60D6B53A" w14:textId="77777777" w:rsidR="00122C1B" w:rsidRDefault="00122C1B" w:rsidP="0097123E">
            <w:pPr>
              <w:pStyle w:val="TableParagraph"/>
            </w:pPr>
            <w:r>
              <w:t>Outcome of enforcement review</w:t>
            </w:r>
          </w:p>
        </w:tc>
      </w:tr>
      <w:tr w:rsidR="00122C1B" w:rsidRPr="00117C96" w14:paraId="1C5D85A9"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shd w:val="clear" w:color="auto" w:fill="auto"/>
          </w:tcPr>
          <w:p w14:paraId="3CF30CF6" w14:textId="77777777" w:rsidR="00122C1B" w:rsidRDefault="00122C1B" w:rsidP="0097123E">
            <w:pPr>
              <w:pStyle w:val="TableParagraph"/>
            </w:pPr>
            <w:r>
              <w:t>N/A</w:t>
            </w:r>
          </w:p>
        </w:tc>
        <w:tc>
          <w:tcPr>
            <w:tcW w:w="7621" w:type="dxa"/>
            <w:shd w:val="clear" w:color="auto" w:fill="auto"/>
          </w:tcPr>
          <w:p w14:paraId="534515AE" w14:textId="77777777" w:rsidR="00122C1B" w:rsidRDefault="00122C1B" w:rsidP="0097123E">
            <w:pPr>
              <w:pStyle w:val="TableParagraph"/>
            </w:pPr>
            <w:r>
              <w:t>N/A – general reference to definition of payment arrangement and entering into such arrangement</w:t>
            </w:r>
          </w:p>
        </w:tc>
      </w:tr>
      <w:tr w:rsidR="00122C1B" w:rsidRPr="009220CA" w14:paraId="2B0D5A54" w14:textId="77777777" w:rsidTr="00C25CFD">
        <w:tc>
          <w:tcPr>
            <w:tcW w:w="9498" w:type="dxa"/>
            <w:gridSpan w:val="2"/>
            <w:shd w:val="clear" w:color="auto" w:fill="DDE8F4" w:themeFill="text2" w:themeFillTint="1A"/>
          </w:tcPr>
          <w:p w14:paraId="4ADD68E1" w14:textId="77777777" w:rsidR="00122C1B" w:rsidRPr="009220CA" w:rsidRDefault="00122C1B" w:rsidP="0097123E">
            <w:pPr>
              <w:pStyle w:val="TableParagraph"/>
              <w:rPr>
                <w:b/>
              </w:rPr>
            </w:pPr>
            <w:r w:rsidRPr="009220CA">
              <w:rPr>
                <w:b/>
              </w:rPr>
              <w:t>Infringements Act 2006</w:t>
            </w:r>
          </w:p>
        </w:tc>
      </w:tr>
      <w:tr w:rsidR="00122C1B" w:rsidRPr="00117C96" w14:paraId="0162BD86" w14:textId="77777777" w:rsidTr="003419BD">
        <w:trPr>
          <w:cnfStyle w:val="000000010000" w:firstRow="0" w:lastRow="0" w:firstColumn="0" w:lastColumn="0" w:oddVBand="0" w:evenVBand="0" w:oddHBand="0" w:evenHBand="1" w:firstRowFirstColumn="0" w:firstRowLastColumn="0" w:lastRowFirstColumn="0" w:lastRowLastColumn="0"/>
        </w:trPr>
        <w:tc>
          <w:tcPr>
            <w:tcW w:w="1877" w:type="dxa"/>
          </w:tcPr>
          <w:p w14:paraId="3A4F1325" w14:textId="77777777" w:rsidR="00122C1B" w:rsidRDefault="00122C1B" w:rsidP="0097123E">
            <w:pPr>
              <w:pStyle w:val="TableParagraph"/>
            </w:pPr>
            <w:r>
              <w:t>N/A</w:t>
            </w:r>
          </w:p>
        </w:tc>
        <w:tc>
          <w:tcPr>
            <w:tcW w:w="7621" w:type="dxa"/>
          </w:tcPr>
          <w:p w14:paraId="069E48FD" w14:textId="77777777" w:rsidR="00122C1B" w:rsidRDefault="00122C1B" w:rsidP="0097123E">
            <w:pPr>
              <w:pStyle w:val="TableParagraph"/>
            </w:pPr>
            <w:r>
              <w:t>Matters relating to fees</w:t>
            </w:r>
          </w:p>
        </w:tc>
      </w:tr>
    </w:tbl>
    <w:p w14:paraId="440D6637" w14:textId="77777777" w:rsidR="00122C1B" w:rsidRPr="008D3D1D" w:rsidRDefault="00122C1B" w:rsidP="00EC2260">
      <w:pPr>
        <w:pStyle w:val="TextPara"/>
      </w:pPr>
      <w:r w:rsidRPr="005C7CF6">
        <w:t>NOTE</w:t>
      </w:r>
      <w:r w:rsidRPr="008D3D1D">
        <w:t>:</w:t>
      </w:r>
    </w:p>
    <w:p w14:paraId="51173016" w14:textId="77777777" w:rsidR="00122C1B" w:rsidRPr="008D3D1D" w:rsidRDefault="00122C1B" w:rsidP="00EC2260">
      <w:pPr>
        <w:pStyle w:val="TextPara"/>
      </w:pPr>
      <w:r>
        <w:t xml:space="preserve">In addition to the provisions listed in the above table, demerit points listed in Schedule 3 </w:t>
      </w:r>
      <w:r w:rsidR="00455B87">
        <w:t>to</w:t>
      </w:r>
      <w:r>
        <w:t xml:space="preserve"> the proposed </w:t>
      </w:r>
      <w:r w:rsidRPr="007179C9">
        <w:t>Road Safety (Drivers) Regulations 2019</w:t>
      </w:r>
      <w:r>
        <w:rPr>
          <w:i/>
        </w:rPr>
        <w:t xml:space="preserve"> </w:t>
      </w:r>
      <w:r>
        <w:t xml:space="preserve">cover offences </w:t>
      </w:r>
      <w:r w:rsidRPr="008D3D1D">
        <w:t xml:space="preserve">committed </w:t>
      </w:r>
      <w:r>
        <w:t xml:space="preserve">under </w:t>
      </w:r>
      <w:r w:rsidRPr="008D3D1D">
        <w:t xml:space="preserve">the </w:t>
      </w:r>
      <w:r w:rsidRPr="008D3D1D">
        <w:rPr>
          <w:i/>
        </w:rPr>
        <w:t>Heavy Vehicle National Law</w:t>
      </w:r>
      <w:r>
        <w:rPr>
          <w:i/>
        </w:rPr>
        <w:t xml:space="preserve"> (Victoria)</w:t>
      </w:r>
      <w:r w:rsidRPr="008D3D1D">
        <w:t>,</w:t>
      </w:r>
      <w:r>
        <w:t xml:space="preserve"> the</w:t>
      </w:r>
      <w:r w:rsidRPr="008D3D1D">
        <w:t xml:space="preserve"> </w:t>
      </w:r>
      <w:r w:rsidRPr="008D3D1D">
        <w:rPr>
          <w:i/>
        </w:rPr>
        <w:t xml:space="preserve">Road Safety Road Rules 2017 </w:t>
      </w:r>
      <w:r>
        <w:t>and the</w:t>
      </w:r>
      <w:r w:rsidRPr="008D3D1D">
        <w:t xml:space="preserve"> </w:t>
      </w:r>
      <w:r w:rsidRPr="00187D59">
        <w:t>Road Safety (Vehicles) Regulations 2009</w:t>
      </w:r>
      <w:r w:rsidRPr="008D3D1D">
        <w:t xml:space="preserve"> </w:t>
      </w:r>
      <w:r>
        <w:t xml:space="preserve">and </w:t>
      </w:r>
      <w:r w:rsidRPr="008D3D1D">
        <w:t xml:space="preserve">offences committed interstate under </w:t>
      </w:r>
      <w:r>
        <w:t xml:space="preserve">the relevant </w:t>
      </w:r>
      <w:r w:rsidRPr="008D3D1D">
        <w:t xml:space="preserve">Acts </w:t>
      </w:r>
      <w:r>
        <w:t>of</w:t>
      </w:r>
      <w:r w:rsidRPr="008D3D1D">
        <w:t xml:space="preserve"> other jurisdictions</w:t>
      </w:r>
      <w:r>
        <w:t xml:space="preserve">, all of which require demerit points </w:t>
      </w:r>
      <w:r w:rsidR="00455B87">
        <w:t xml:space="preserve">to be </w:t>
      </w:r>
      <w:r>
        <w:t>recording</w:t>
      </w:r>
      <w:r w:rsidRPr="008D3D1D">
        <w:t>.</w:t>
      </w:r>
      <w:r w:rsidRPr="00CA5BA8">
        <w:t xml:space="preserve"> </w:t>
      </w:r>
    </w:p>
    <w:bookmarkEnd w:id="951"/>
    <w:bookmarkEnd w:id="952"/>
    <w:p w14:paraId="019C94B6" w14:textId="77777777" w:rsidR="00122C1B" w:rsidRPr="008F68D4" w:rsidRDefault="00122C1B" w:rsidP="00350FB9">
      <w:pPr>
        <w:pStyle w:val="TextPara"/>
      </w:pPr>
    </w:p>
    <w:p w14:paraId="6F01BFFD" w14:textId="77777777" w:rsidR="00122C1B" w:rsidRDefault="00122C1B" w:rsidP="00350FB9">
      <w:pPr>
        <w:pStyle w:val="TextPara"/>
        <w:sectPr w:rsidR="00122C1B" w:rsidSect="00910C49">
          <w:headerReference w:type="even" r:id="rId90"/>
          <w:headerReference w:type="default" r:id="rId91"/>
          <w:footerReference w:type="even" r:id="rId92"/>
          <w:footerReference w:type="default" r:id="rId93"/>
          <w:headerReference w:type="first" r:id="rId94"/>
          <w:footerReference w:type="first" r:id="rId95"/>
          <w:endnotePr>
            <w:numFmt w:val="decimal"/>
          </w:endnotePr>
          <w:pgSz w:w="11906" w:h="16838" w:code="9"/>
          <w:pgMar w:top="1418" w:right="1134" w:bottom="1418" w:left="1247" w:header="567" w:footer="397" w:gutter="0"/>
          <w:cols w:space="708"/>
          <w:docGrid w:linePitch="360"/>
        </w:sectPr>
      </w:pPr>
    </w:p>
    <w:p w14:paraId="312F3DC1" w14:textId="77777777" w:rsidR="00122C1B" w:rsidRDefault="00122C1B" w:rsidP="006713F9">
      <w:pPr>
        <w:pStyle w:val="Appendix1"/>
      </w:pPr>
      <w:bookmarkStart w:id="977" w:name="_Ref501556658"/>
      <w:bookmarkStart w:id="978" w:name="_Toc10703557"/>
      <w:r>
        <w:lastRenderedPageBreak/>
        <w:t xml:space="preserve">Proposed </w:t>
      </w:r>
      <w:r w:rsidRPr="002D5597">
        <w:t xml:space="preserve">Road Safety (Drivers) </w:t>
      </w:r>
      <w:r>
        <w:t>Regulations 2019</w:t>
      </w:r>
      <w:bookmarkEnd w:id="977"/>
      <w:bookmarkEnd w:id="978"/>
      <w:r>
        <w:t xml:space="preserve"> </w:t>
      </w:r>
    </w:p>
    <w:p w14:paraId="7C60E941" w14:textId="44A72035" w:rsidR="00122C1B" w:rsidRDefault="00122C1B" w:rsidP="00AA0BBA">
      <w:pPr>
        <w:pStyle w:val="Caption"/>
      </w:pPr>
      <w:bookmarkStart w:id="979" w:name="_Ref501556627"/>
      <w:bookmarkStart w:id="980" w:name="_Toc10703769"/>
      <w:r>
        <w:t xml:space="preserve">Table </w:t>
      </w:r>
      <w:r w:rsidR="00BC6B2E">
        <w:rPr>
          <w:noProof/>
        </w:rPr>
        <w:fldChar w:fldCharType="begin"/>
      </w:r>
      <w:r w:rsidR="00BC6B2E">
        <w:rPr>
          <w:noProof/>
        </w:rPr>
        <w:instrText xml:space="preserve"> SEQ Table \* ARABIC </w:instrText>
      </w:r>
      <w:r w:rsidR="00BC6B2E">
        <w:rPr>
          <w:noProof/>
        </w:rPr>
        <w:fldChar w:fldCharType="separate"/>
      </w:r>
      <w:r w:rsidR="00EB4B02">
        <w:rPr>
          <w:noProof/>
        </w:rPr>
        <w:t>76</w:t>
      </w:r>
      <w:r w:rsidR="00BC6B2E">
        <w:rPr>
          <w:noProof/>
        </w:rPr>
        <w:fldChar w:fldCharType="end"/>
      </w:r>
      <w:bookmarkEnd w:id="979"/>
      <w:r>
        <w:t xml:space="preserve"> – </w:t>
      </w:r>
      <w:r w:rsidRPr="00EA4AAA">
        <w:t>Proposed</w:t>
      </w:r>
      <w:r w:rsidRPr="00AE70A9">
        <w:t xml:space="preserve"> Road Safety (Drivers) </w:t>
      </w:r>
      <w:r>
        <w:t>Regulations 2019</w:t>
      </w:r>
      <w:bookmarkEnd w:id="980"/>
      <w:r>
        <w:t xml:space="preserve"> </w:t>
      </w:r>
    </w:p>
    <w:p w14:paraId="2CE16225" w14:textId="77777777" w:rsidR="00122C1B" w:rsidRPr="009C3111" w:rsidRDefault="00122C1B" w:rsidP="0029252B">
      <w:pPr>
        <w:pStyle w:val="TextPara"/>
        <w:spacing w:before="240"/>
        <w:ind w:left="142"/>
        <w:rPr>
          <w:b/>
          <w:i/>
          <w:color w:val="7F7F7F" w:themeColor="text1" w:themeTint="80"/>
          <w:lang w:eastAsia="en-AU"/>
        </w:rPr>
      </w:pPr>
      <w:r w:rsidRPr="008C5278">
        <w:rPr>
          <w:noProof/>
          <w:lang w:val="en-GB" w:eastAsia="en-GB"/>
        </w:rPr>
        <mc:AlternateContent>
          <mc:Choice Requires="wps">
            <w:drawing>
              <wp:anchor distT="0" distB="0" distL="114300" distR="114300" simplePos="0" relativeHeight="251632128" behindDoc="0" locked="0" layoutInCell="1" allowOverlap="1" wp14:anchorId="5ADA5D47" wp14:editId="0639650F">
                <wp:simplePos x="0" y="0"/>
                <wp:positionH relativeFrom="column">
                  <wp:posOffset>-9056</wp:posOffset>
                </wp:positionH>
                <wp:positionV relativeFrom="paragraph">
                  <wp:posOffset>44202</wp:posOffset>
                </wp:positionV>
                <wp:extent cx="9485630" cy="2289975"/>
                <wp:effectExtent l="0" t="0" r="20320" b="15240"/>
                <wp:wrapNone/>
                <wp:docPr id="7" name="Rectangle 7"/>
                <wp:cNvGraphicFramePr/>
                <a:graphic xmlns:a="http://schemas.openxmlformats.org/drawingml/2006/main">
                  <a:graphicData uri="http://schemas.microsoft.com/office/word/2010/wordprocessingShape">
                    <wps:wsp>
                      <wps:cNvSpPr/>
                      <wps:spPr>
                        <a:xfrm>
                          <a:off x="0" y="0"/>
                          <a:ext cx="9485630" cy="2289975"/>
                        </a:xfrm>
                        <a:prstGeom prst="rect">
                          <a:avLst/>
                        </a:prstGeom>
                        <a:noFill/>
                        <a:ln>
                          <a:solidFill>
                            <a:srgbClr val="0C81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5F7F" id="Rectangle 7" o:spid="_x0000_s1026" style="position:absolute;margin-left:-.7pt;margin-top:3.5pt;width:746.9pt;height:180.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" filled="f" strokecolor="#0c81bc" strokeweight="2pt"/>
            </w:pict>
          </mc:Fallback>
        </mc:AlternateContent>
      </w:r>
      <w:r w:rsidRPr="0029252B">
        <w:rPr>
          <w:b/>
          <w:i/>
          <w:lang w:eastAsia="en-AU"/>
        </w:rPr>
        <w:t>Table Legend</w:t>
      </w:r>
    </w:p>
    <w:p w14:paraId="5D7EDEE9" w14:textId="77777777" w:rsidR="00122C1B" w:rsidRDefault="00122C1B" w:rsidP="00AC190A">
      <w:pPr>
        <w:pStyle w:val="Bullet1-Black"/>
      </w:pPr>
      <w:r>
        <w:rPr>
          <w:b/>
        </w:rPr>
        <w:t>Declaratory</w:t>
      </w:r>
      <w:r>
        <w:t xml:space="preserve"> – specifies</w:t>
      </w:r>
      <w:r w:rsidRPr="00A316AA">
        <w:t xml:space="preserve"> the instances to which </w:t>
      </w:r>
      <w:r>
        <w:t>a regulation</w:t>
      </w:r>
      <w:r w:rsidRPr="00A316AA">
        <w:t xml:space="preserve"> appl</w:t>
      </w:r>
      <w:r>
        <w:t>ies</w:t>
      </w:r>
      <w:r w:rsidRPr="00A316AA">
        <w:t xml:space="preserve"> or declar</w:t>
      </w:r>
      <w:r>
        <w:t>es</w:t>
      </w:r>
      <w:r w:rsidRPr="00A316AA">
        <w:t xml:space="preserve"> the circumstances that must exist for the regulation to apply</w:t>
      </w:r>
    </w:p>
    <w:p w14:paraId="673A76B2" w14:textId="77777777" w:rsidR="00122C1B" w:rsidRDefault="00122C1B" w:rsidP="00AC190A">
      <w:pPr>
        <w:pStyle w:val="Bullet1-Black"/>
      </w:pPr>
      <w:r>
        <w:rPr>
          <w:b/>
        </w:rPr>
        <w:t>Machinery</w:t>
      </w:r>
      <w:r>
        <w:t xml:space="preserve"> – </w:t>
      </w:r>
      <w:r w:rsidRPr="00A316AA">
        <w:t>refer</w:t>
      </w:r>
      <w:r>
        <w:t>s</w:t>
      </w:r>
      <w:r w:rsidRPr="00A316AA">
        <w:t xml:space="preserve"> to ‘housekeeping’ rules that clarify a provision, without changing procedural requirements</w:t>
      </w:r>
    </w:p>
    <w:p w14:paraId="48E873A3" w14:textId="77777777" w:rsidR="00122C1B" w:rsidRPr="001301DE" w:rsidRDefault="00122C1B" w:rsidP="00265CBE">
      <w:pPr>
        <w:pStyle w:val="Bullet1-Black"/>
      </w:pPr>
      <w:r w:rsidRPr="001301DE">
        <w:rPr>
          <w:b/>
        </w:rPr>
        <w:t>NACDS</w:t>
      </w:r>
      <w:r>
        <w:t xml:space="preserve"> – National Arrangement for Consular and Diplomatic Staff managed by the Department of Foreign Affairs and Trade</w:t>
      </w:r>
      <w:r>
        <w:rPr>
          <w:rStyle w:val="EndnoteReference"/>
        </w:rPr>
        <w:endnoteReference w:id="424"/>
      </w:r>
    </w:p>
    <w:p w14:paraId="18A9206A" w14:textId="77777777" w:rsidR="005D5B53" w:rsidRPr="00BC7D4E" w:rsidRDefault="005D5B53" w:rsidP="00265CBE">
      <w:pPr>
        <w:pStyle w:val="Bullet1-Black"/>
      </w:pPr>
      <w:bookmarkStart w:id="981" w:name="_Toc484441042"/>
      <w:bookmarkStart w:id="982" w:name="_Toc484441037"/>
      <w:bookmarkStart w:id="983" w:name="_Toc500517292"/>
      <w:bookmarkStart w:id="984" w:name="_Ref501441327"/>
      <w:r>
        <w:rPr>
          <w:b/>
        </w:rPr>
        <w:t>NDH</w:t>
      </w:r>
      <w:r w:rsidRPr="00BC7D4E">
        <w:rPr>
          <w:b/>
        </w:rPr>
        <w:t>PV</w:t>
      </w:r>
      <w:r>
        <w:t xml:space="preserve"> – National definition of </w:t>
      </w:r>
      <w:r w:rsidRPr="00563449">
        <w:t xml:space="preserve">High Powered Vehicles </w:t>
      </w:r>
      <w:r>
        <w:t>(as Prohibited Probationary Vehicles were previously known) endorsed by Austroads in</w:t>
      </w:r>
      <w:r w:rsidRPr="00563449">
        <w:t xml:space="preserve"> 2012</w:t>
      </w:r>
    </w:p>
    <w:p w14:paraId="2B4D4113" w14:textId="77777777" w:rsidR="00273B6F" w:rsidRDefault="00273B6F" w:rsidP="00457BB1">
      <w:pPr>
        <w:pStyle w:val="Bullet1-Black"/>
      </w:pPr>
      <w:r w:rsidRPr="009C3111">
        <w:rPr>
          <w:b/>
        </w:rPr>
        <w:t>NDLS</w:t>
      </w:r>
      <w:r w:rsidRPr="004E7ACF">
        <w:t xml:space="preserve"> </w:t>
      </w:r>
      <w:r>
        <w:t xml:space="preserve">– </w:t>
      </w:r>
      <w:r w:rsidRPr="004E7ACF">
        <w:t xml:space="preserve">National Driver Licensing Scheme </w:t>
      </w:r>
      <w:r>
        <w:t xml:space="preserve">as defined in the </w:t>
      </w:r>
      <w:r w:rsidRPr="009C3111">
        <w:t>National Transport Commission (Road Transport Legislation—Driver Licensing) Regulations 2006</w:t>
      </w:r>
      <w:r>
        <w:br/>
      </w:r>
      <w:r w:rsidRPr="009C3111">
        <w:rPr>
          <w:b/>
        </w:rPr>
        <w:t>NDLS PP</w:t>
      </w:r>
      <w:r>
        <w:t xml:space="preserve"> – </w:t>
      </w:r>
      <w:r w:rsidRPr="004E7ACF">
        <w:t>National Driver Licensing Scheme</w:t>
      </w:r>
      <w:r>
        <w:t xml:space="preserve"> </w:t>
      </w:r>
      <w:r w:rsidRPr="009C3111">
        <w:rPr>
          <w:i/>
        </w:rPr>
        <w:t>Primary Principles</w:t>
      </w:r>
      <w:r>
        <w:t xml:space="preserve"> as defined in Schedule 1 of the 2006 Regulations</w:t>
      </w:r>
      <w:r>
        <w:br/>
      </w:r>
      <w:r w:rsidRPr="009C3111">
        <w:rPr>
          <w:b/>
        </w:rPr>
        <w:t>NDLS SP</w:t>
      </w:r>
      <w:r>
        <w:t xml:space="preserve"> – </w:t>
      </w:r>
      <w:r w:rsidRPr="004E7ACF">
        <w:t>National Driver Licensing Scheme</w:t>
      </w:r>
      <w:r>
        <w:t xml:space="preserve"> </w:t>
      </w:r>
      <w:r w:rsidRPr="009C3111">
        <w:rPr>
          <w:i/>
        </w:rPr>
        <w:t>Supporting Principles</w:t>
      </w:r>
      <w:r w:rsidRPr="00CC5739">
        <w:t xml:space="preserve"> </w:t>
      </w:r>
      <w:r>
        <w:t>as defined in Schedule 2 of the 2006 Regulations</w:t>
      </w:r>
    </w:p>
    <w:p w14:paraId="4DC64314" w14:textId="77777777" w:rsidR="007E7BD9" w:rsidRDefault="007E7BD9" w:rsidP="00457BB1">
      <w:pPr>
        <w:pStyle w:val="Bullet1-Black"/>
      </w:pPr>
      <w:r w:rsidRPr="001D7A1B">
        <w:rPr>
          <w:b/>
        </w:rPr>
        <w:t>NGLS</w:t>
      </w:r>
      <w:r w:rsidRPr="008C5278">
        <w:t xml:space="preserve"> </w:t>
      </w:r>
      <w:r>
        <w:t xml:space="preserve">– </w:t>
      </w:r>
      <w:r w:rsidRPr="008C5278">
        <w:t xml:space="preserve">National Graduated Licensing System as </w:t>
      </w:r>
      <w:r>
        <w:t>described</w:t>
      </w:r>
      <w:r w:rsidRPr="008C5278">
        <w:t xml:space="preserve"> in the </w:t>
      </w:r>
      <w:r w:rsidRPr="00CB639F">
        <w:t>National Graduated Licensing System</w:t>
      </w:r>
      <w:r w:rsidRPr="008C5278">
        <w:t xml:space="preserve"> Policy Framework</w:t>
      </w:r>
      <w:r>
        <w:t>, 2015</w:t>
      </w:r>
    </w:p>
    <w:p w14:paraId="4A08338D" w14:textId="77777777" w:rsidR="002D5597" w:rsidRDefault="001C7900" w:rsidP="00285F85">
      <w:pPr>
        <w:pStyle w:val="Bullet1-Black"/>
      </w:pPr>
      <w:r w:rsidRPr="0029252B">
        <w:rPr>
          <w:b/>
        </w:rPr>
        <w:t xml:space="preserve">NMGLS </w:t>
      </w:r>
      <w:r>
        <w:t xml:space="preserve">– National Motorcycle </w:t>
      </w:r>
      <w:r w:rsidRPr="008C5278">
        <w:t>Graduated Licensing System</w:t>
      </w:r>
      <w:r>
        <w:t xml:space="preserve"> as described in Austroads paper, 2014 </w:t>
      </w:r>
      <w:r w:rsidR="000A1CEA">
        <w:br/>
      </w:r>
      <w:r w:rsidR="00273B6F">
        <w:br/>
      </w:r>
    </w:p>
    <w:tbl>
      <w:tblPr>
        <w:tblStyle w:val="RIS-Table2"/>
        <w:tblW w:w="15000" w:type="dxa"/>
        <w:tblInd w:w="-5" w:type="dxa"/>
        <w:tblLayout w:type="fixed"/>
        <w:tblLook w:val="04A0" w:firstRow="1" w:lastRow="0" w:firstColumn="1" w:lastColumn="0" w:noHBand="0" w:noVBand="1"/>
      </w:tblPr>
      <w:tblGrid>
        <w:gridCol w:w="710"/>
        <w:gridCol w:w="5671"/>
        <w:gridCol w:w="1843"/>
        <w:gridCol w:w="2266"/>
        <w:gridCol w:w="4510"/>
      </w:tblGrid>
      <w:tr w:rsidR="00061360" w14:paraId="79FE57B2" w14:textId="77777777" w:rsidTr="008E3FD3">
        <w:trPr>
          <w:cnfStyle w:val="100000000000" w:firstRow="1" w:lastRow="0" w:firstColumn="0" w:lastColumn="0" w:oddVBand="0" w:evenVBand="0" w:oddHBand="0" w:evenHBand="0" w:firstRowFirstColumn="0" w:firstRowLastColumn="0" w:lastRowFirstColumn="0" w:lastRowLastColumn="0"/>
          <w:trHeight w:val="300"/>
        </w:trPr>
        <w:tc>
          <w:tcPr>
            <w:tcW w:w="638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AE8788" w14:textId="77777777" w:rsidR="00061360" w:rsidRDefault="00061360">
            <w:pPr>
              <w:pStyle w:val="TableHeaders"/>
            </w:pPr>
            <w:r>
              <w:t>Road Safety (Drivers) Regulations 2019</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92480B" w14:textId="77777777" w:rsidR="00061360" w:rsidRDefault="00061360">
            <w:pPr>
              <w:pStyle w:val="TableHeaders"/>
            </w:pPr>
            <w:r>
              <w:t>National Standard source provisions</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E2AD75" w14:textId="77777777" w:rsidR="00061360" w:rsidRDefault="00061360">
            <w:pPr>
              <w:pStyle w:val="TableHeaders"/>
            </w:pPr>
            <w:r>
              <w:t xml:space="preserve">Is regulation substantially </w:t>
            </w:r>
            <w:r w:rsidR="00502804">
              <w:t>aligned to</w:t>
            </w:r>
            <w:r>
              <w:t xml:space="preserve"> the National Standard?</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2524B7" w14:textId="77777777" w:rsidR="00061360" w:rsidRDefault="00EB66DF">
            <w:pPr>
              <w:pStyle w:val="TableHeaders"/>
            </w:pPr>
            <w:r>
              <w:t xml:space="preserve">Nature of </w:t>
            </w:r>
            <w:r w:rsidR="00162811">
              <w:t>Regulation</w:t>
            </w:r>
          </w:p>
        </w:tc>
      </w:tr>
      <w:tr w:rsidR="00061360" w:rsidRPr="00B52A2E" w14:paraId="50C58728" w14:textId="77777777" w:rsidTr="00C25CFD">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2D7731FD" w14:textId="77777777" w:rsidR="00061360" w:rsidRPr="00B52A2E" w:rsidRDefault="00061360">
            <w:pPr>
              <w:pStyle w:val="TableParagraph"/>
              <w:rPr>
                <w:b/>
              </w:rPr>
            </w:pPr>
            <w:r w:rsidRPr="00B52A2E">
              <w:rPr>
                <w:b/>
              </w:rPr>
              <w:t>PART 1 – PRELIMINARY</w:t>
            </w:r>
          </w:p>
        </w:tc>
      </w:tr>
      <w:tr w:rsidR="00B449E5" w14:paraId="3E1CF719"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4DEF7FA" w14:textId="77777777" w:rsidR="00B449E5" w:rsidRDefault="00B449E5" w:rsidP="00B449E5">
            <w:pPr>
              <w:pStyle w:val="TableParagraph"/>
              <w:ind w:right="113"/>
              <w:jc w:val="right"/>
            </w:pPr>
            <w:r>
              <w:t>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DC019F" w14:textId="77777777" w:rsidR="00B449E5" w:rsidRDefault="00B449E5" w:rsidP="00B449E5">
            <w:pPr>
              <w:pStyle w:val="TableParagraph"/>
            </w:pPr>
            <w:r>
              <w:t>Objectives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B36F565" w14:textId="77777777" w:rsidR="00B449E5" w:rsidRDefault="00B449E5" w:rsidP="00B449E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710C38" w14:textId="77777777" w:rsidR="00B449E5" w:rsidRDefault="00B449E5" w:rsidP="00B449E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EE82CF" w14:textId="77777777" w:rsidR="00B449E5" w:rsidRDefault="00B449E5" w:rsidP="00B449E5">
            <w:pPr>
              <w:pStyle w:val="TableParagraph"/>
            </w:pPr>
            <w:r>
              <w:t>Declaratory</w:t>
            </w:r>
          </w:p>
        </w:tc>
      </w:tr>
      <w:tr w:rsidR="00B449E5" w14:paraId="0F7C9442"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84040E3" w14:textId="77777777" w:rsidR="00B449E5" w:rsidRDefault="00B449E5" w:rsidP="00B449E5">
            <w:pPr>
              <w:pStyle w:val="TableParagraph"/>
              <w:ind w:right="113"/>
              <w:jc w:val="right"/>
            </w:pPr>
            <w:r>
              <w:t>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063741" w14:textId="77777777" w:rsidR="00B449E5" w:rsidRDefault="00B449E5" w:rsidP="00B449E5">
            <w:pPr>
              <w:pStyle w:val="TableParagraph"/>
            </w:pPr>
            <w:r>
              <w:t>Authorising provisions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D829CF2" w14:textId="77777777" w:rsidR="00B449E5" w:rsidRDefault="00B449E5" w:rsidP="00B449E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BABB4" w14:textId="77777777" w:rsidR="00B449E5" w:rsidRDefault="00B449E5" w:rsidP="00B449E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8716A5" w14:textId="77777777" w:rsidR="00B449E5" w:rsidRDefault="00B449E5" w:rsidP="00B449E5">
            <w:pPr>
              <w:pStyle w:val="TableParagraph"/>
            </w:pPr>
            <w:r>
              <w:t>Declaratory</w:t>
            </w:r>
          </w:p>
        </w:tc>
      </w:tr>
      <w:tr w:rsidR="00B449E5" w14:paraId="600489DF"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39505310" w14:textId="77777777" w:rsidR="00B449E5" w:rsidRDefault="00B449E5" w:rsidP="00B449E5">
            <w:pPr>
              <w:pStyle w:val="TableParagraph"/>
              <w:ind w:right="113"/>
              <w:jc w:val="right"/>
            </w:pPr>
            <w:r>
              <w:t>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8F514C" w14:textId="77777777" w:rsidR="00B449E5" w:rsidRDefault="00B449E5" w:rsidP="00B449E5">
            <w:pPr>
              <w:pStyle w:val="TableParagraph"/>
            </w:pPr>
            <w:r>
              <w:t>Commencement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A2EAB32" w14:textId="77777777" w:rsidR="00B449E5" w:rsidRDefault="00B449E5" w:rsidP="00B449E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6A8E29" w14:textId="77777777" w:rsidR="00B449E5" w:rsidRDefault="00B449E5" w:rsidP="00B449E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DC6B12" w14:textId="77777777" w:rsidR="00B449E5" w:rsidRDefault="00B449E5" w:rsidP="00B449E5">
            <w:pPr>
              <w:pStyle w:val="TableParagraph"/>
            </w:pPr>
            <w:r>
              <w:t>Machinery</w:t>
            </w:r>
          </w:p>
        </w:tc>
      </w:tr>
      <w:tr w:rsidR="00B449E5" w14:paraId="66E89352"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92A2547" w14:textId="77777777" w:rsidR="00B449E5" w:rsidRDefault="00B449E5" w:rsidP="00B449E5">
            <w:pPr>
              <w:pStyle w:val="TableParagraph"/>
              <w:ind w:right="113"/>
              <w:jc w:val="right"/>
            </w:pPr>
            <w:r>
              <w:t>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E4D288" w14:textId="77777777" w:rsidR="00B449E5" w:rsidRDefault="00B449E5" w:rsidP="00B449E5">
            <w:pPr>
              <w:pStyle w:val="TableParagraph"/>
            </w:pPr>
            <w:r>
              <w:t>Revocation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56D9F05" w14:textId="77777777" w:rsidR="00B449E5" w:rsidRDefault="00B449E5" w:rsidP="00B449E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7A6713" w14:textId="77777777" w:rsidR="00B449E5" w:rsidRDefault="00B449E5" w:rsidP="00B449E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D0F8E1" w14:textId="77777777" w:rsidR="00B449E5" w:rsidRDefault="00B449E5" w:rsidP="00B449E5">
            <w:pPr>
              <w:pStyle w:val="TableParagraph"/>
            </w:pPr>
            <w:r>
              <w:t>Machinery</w:t>
            </w:r>
          </w:p>
        </w:tc>
      </w:tr>
      <w:tr w:rsidR="00B449E5" w14:paraId="012AA9A5"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368AADA" w14:textId="77777777" w:rsidR="00B449E5" w:rsidRDefault="00B449E5" w:rsidP="00B449E5">
            <w:pPr>
              <w:pStyle w:val="TableParagraph"/>
              <w:ind w:right="113"/>
              <w:jc w:val="right"/>
            </w:pPr>
            <w:r>
              <w:t>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6F1C8C" w14:textId="77777777" w:rsidR="00B449E5" w:rsidRDefault="00B449E5" w:rsidP="00B449E5">
            <w:pPr>
              <w:pStyle w:val="TableParagraph"/>
            </w:pPr>
            <w:r>
              <w:t>Definitions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EA71F44" w14:textId="77777777" w:rsidR="00B449E5" w:rsidRDefault="00B449E5" w:rsidP="00B449E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676FEF" w14:textId="77777777" w:rsidR="00B449E5" w:rsidRDefault="00B449E5" w:rsidP="00B449E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3E03F5" w14:textId="77777777" w:rsidR="00B449E5" w:rsidRDefault="007F6E45" w:rsidP="00B449E5">
            <w:pPr>
              <w:pStyle w:val="TableParagraph"/>
            </w:pPr>
            <w:r>
              <w:t xml:space="preserve">This regulation </w:t>
            </w:r>
            <w:r w:rsidR="000D5D15">
              <w:t xml:space="preserve">is of a declaratory nature and </w:t>
            </w:r>
            <w:r w:rsidR="00966CAB">
              <w:t>provides the</w:t>
            </w:r>
            <w:r>
              <w:t xml:space="preserve"> definition of terms used in the Regulations, </w:t>
            </w:r>
            <w:r w:rsidR="000D5D15">
              <w:t>cross-referencing</w:t>
            </w:r>
            <w:r>
              <w:t xml:space="preserve"> related definitions in the </w:t>
            </w:r>
            <w:r w:rsidRPr="007F6E45">
              <w:rPr>
                <w:i/>
              </w:rPr>
              <w:t>RSA</w:t>
            </w:r>
            <w:r w:rsidR="000D5D15">
              <w:t xml:space="preserve">, </w:t>
            </w:r>
            <w:r w:rsidR="00966CAB">
              <w:t>the Road Rules</w:t>
            </w:r>
            <w:r w:rsidR="000D5D15">
              <w:t xml:space="preserve"> and other legislation (e.g. the </w:t>
            </w:r>
            <w:r w:rsidR="000D5D15" w:rsidRPr="000D5D15">
              <w:rPr>
                <w:i/>
              </w:rPr>
              <w:t xml:space="preserve">Transport </w:t>
            </w:r>
            <w:r w:rsidR="000D5D15" w:rsidRPr="000D5D15">
              <w:rPr>
                <w:i/>
              </w:rPr>
              <w:lastRenderedPageBreak/>
              <w:t>Integration Act 2010</w:t>
            </w:r>
            <w:r w:rsidR="000D5D15">
              <w:t xml:space="preserve"> and the </w:t>
            </w:r>
            <w:r w:rsidR="000D5D15" w:rsidRPr="000D5D15">
              <w:rPr>
                <w:i/>
              </w:rPr>
              <w:t>Victoria Police Act 2013</w:t>
            </w:r>
            <w:r w:rsidR="000D5D15">
              <w:t>)</w:t>
            </w:r>
            <w:r>
              <w:t xml:space="preserve">, where relevant. </w:t>
            </w:r>
            <w:r w:rsidR="00966CAB">
              <w:t xml:space="preserve">The definition of terms facilitates the </w:t>
            </w:r>
            <w:r w:rsidR="00D827E8">
              <w:t xml:space="preserve">efficient </w:t>
            </w:r>
            <w:r w:rsidR="00966CAB">
              <w:t>drafting</w:t>
            </w:r>
            <w:r w:rsidR="00747286">
              <w:t xml:space="preserve"> of</w:t>
            </w:r>
            <w:r w:rsidR="00966CAB">
              <w:t xml:space="preserve"> the proposed Regulations.</w:t>
            </w:r>
            <w:r w:rsidR="00111230">
              <w:t xml:space="preserve"> </w:t>
            </w:r>
          </w:p>
        </w:tc>
      </w:tr>
      <w:tr w:rsidR="00061360" w:rsidRPr="00B52A2E" w14:paraId="06FEBAD9" w14:textId="77777777" w:rsidTr="00C25CFD">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5CBAD809" w14:textId="77777777" w:rsidR="00061360" w:rsidRPr="00B52A2E" w:rsidRDefault="00061360" w:rsidP="000A1CEA">
            <w:pPr>
              <w:pStyle w:val="TableParagraph"/>
              <w:keepNext/>
              <w:rPr>
                <w:b/>
              </w:rPr>
            </w:pPr>
            <w:r w:rsidRPr="00B52A2E">
              <w:rPr>
                <w:b/>
              </w:rPr>
              <w:lastRenderedPageBreak/>
              <w:t>PART 2 – DRIVER LICENCES AND LEARNER PERMITS</w:t>
            </w:r>
          </w:p>
        </w:tc>
      </w:tr>
      <w:tr w:rsidR="00061360" w:rsidRPr="00B52A2E" w14:paraId="057B3B1D" w14:textId="77777777" w:rsidTr="00C25CFD">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7552D325" w14:textId="77777777" w:rsidR="00061360" w:rsidRPr="00B52A2E" w:rsidRDefault="00061360" w:rsidP="000A1CEA">
            <w:pPr>
              <w:pStyle w:val="TableParagraph"/>
              <w:keepNext/>
              <w:rPr>
                <w:b/>
              </w:rPr>
            </w:pPr>
            <w:r w:rsidRPr="00B52A2E">
              <w:rPr>
                <w:b/>
              </w:rPr>
              <w:t>Division 1—Authority to drive motor vehicle</w:t>
            </w:r>
            <w:r w:rsidRPr="00B52A2E">
              <w:rPr>
                <w:b/>
              </w:rPr>
              <w:tab/>
            </w:r>
          </w:p>
        </w:tc>
      </w:tr>
      <w:tr w:rsidR="00061360" w14:paraId="6DE2DBCF"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639786FF" w14:textId="77777777" w:rsidR="00061360" w:rsidRDefault="00061360" w:rsidP="00130BA5">
            <w:pPr>
              <w:pStyle w:val="TableParagraph"/>
              <w:ind w:right="113"/>
              <w:jc w:val="right"/>
            </w:pPr>
            <w:r>
              <w:t>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22DF12" w14:textId="77777777" w:rsidR="00061360" w:rsidRDefault="00061360">
            <w:pPr>
              <w:pStyle w:val="TableParagraph"/>
            </w:pPr>
            <w:r>
              <w:t>Categories of motor vehicles for licensing purposes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1FD487BD" w14:textId="77777777" w:rsidR="00061360" w:rsidRDefault="00061360">
            <w:pPr>
              <w:pStyle w:val="TableParagraph"/>
            </w:pPr>
            <w:r>
              <w:t>NDLS SP2 &amp; SP13</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681B1A" w14:textId="77777777" w:rsidR="00061360" w:rsidRDefault="00061360">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E48C30" w14:textId="77777777" w:rsidR="00061360" w:rsidRDefault="00EE5526">
            <w:pPr>
              <w:pStyle w:val="TableParagraph"/>
            </w:pPr>
            <w:r>
              <w:t>Application</w:t>
            </w:r>
            <w:r w:rsidR="004E7ACF">
              <w:t xml:space="preserve"> of the</w:t>
            </w:r>
            <w:r w:rsidR="00061360">
              <w:t xml:space="preserve"> </w:t>
            </w:r>
            <w:r w:rsidR="006C34E8">
              <w:t xml:space="preserve">NDLS </w:t>
            </w:r>
            <w:r w:rsidR="00061360">
              <w:t xml:space="preserve">National </w:t>
            </w:r>
            <w:r w:rsidR="006C34E8">
              <w:t>Regulations</w:t>
            </w:r>
          </w:p>
        </w:tc>
      </w:tr>
      <w:tr w:rsidR="00061360" w14:paraId="76024DEA"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33179441" w14:textId="77777777" w:rsidR="00061360" w:rsidRDefault="00061360" w:rsidP="00130BA5">
            <w:pPr>
              <w:pStyle w:val="TableParagraph"/>
              <w:ind w:right="113"/>
              <w:jc w:val="right"/>
            </w:pPr>
            <w:r>
              <w:t>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9F456D" w14:textId="77777777" w:rsidR="00061360" w:rsidRDefault="00061360">
            <w:pPr>
              <w:pStyle w:val="TableParagraph"/>
            </w:pPr>
            <w:r>
              <w:t>Authority given by licences and permits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3B3728D6" w14:textId="77777777" w:rsidR="00061360" w:rsidRDefault="00061360">
            <w:pPr>
              <w:pStyle w:val="TableParagraph"/>
            </w:pPr>
            <w:r>
              <w:t>NDLS SP13</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266319" w14:textId="77777777" w:rsidR="00061360" w:rsidRDefault="00061360">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B48941" w14:textId="6BD5CE5E" w:rsidR="00061360" w:rsidRDefault="00EE5526" w:rsidP="005142AA">
            <w:pPr>
              <w:pStyle w:val="TableParagraph"/>
            </w:pPr>
            <w:r>
              <w:t>Application</w:t>
            </w:r>
            <w:r w:rsidR="000A00E5">
              <w:t xml:space="preserve"> of the </w:t>
            </w:r>
            <w:r w:rsidR="006C34E8">
              <w:t xml:space="preserve">NDLS </w:t>
            </w:r>
            <w:r w:rsidR="000A00E5">
              <w:t xml:space="preserve">National </w:t>
            </w:r>
            <w:r w:rsidR="006C34E8">
              <w:t>Regulations</w:t>
            </w:r>
            <w:r w:rsidR="000A00E5">
              <w:t xml:space="preserve"> for driver licences</w:t>
            </w:r>
            <w:r w:rsidR="005142AA">
              <w:t xml:space="preserve"> and a</w:t>
            </w:r>
            <w:r w:rsidR="00FE5100">
              <w:t xml:space="preserve">pplication of learner </w:t>
            </w:r>
            <w:r w:rsidR="00061360">
              <w:t>permit</w:t>
            </w:r>
            <w:r w:rsidR="00FE5100">
              <w:t xml:space="preserve"> policy </w:t>
            </w:r>
            <w:r w:rsidR="005142AA">
              <w:t>(</w:t>
            </w:r>
            <w:r w:rsidR="000A00E5">
              <w:t xml:space="preserve">discussed in </w:t>
            </w:r>
            <w:r w:rsidR="005142AA">
              <w:t xml:space="preserve">RIS </w:t>
            </w:r>
            <w:r w:rsidR="000A00E5">
              <w:t xml:space="preserve">Section </w:t>
            </w:r>
            <w:r w:rsidR="000A00E5">
              <w:fldChar w:fldCharType="begin"/>
            </w:r>
            <w:r w:rsidR="000A00E5">
              <w:instrText xml:space="preserve"> REF _Ref527473175 \r \h </w:instrText>
            </w:r>
            <w:r w:rsidR="00394D3F">
              <w:instrText xml:space="preserve"> \* MERGEFORMAT </w:instrText>
            </w:r>
            <w:r w:rsidR="000A00E5">
              <w:fldChar w:fldCharType="separate"/>
            </w:r>
            <w:r w:rsidR="00EB4B02">
              <w:t>0</w:t>
            </w:r>
            <w:r w:rsidR="000A00E5">
              <w:fldChar w:fldCharType="end"/>
            </w:r>
            <w:r w:rsidR="005142AA">
              <w:t>)</w:t>
            </w:r>
            <w:r w:rsidR="00576BAF">
              <w:t xml:space="preserve"> </w:t>
            </w:r>
            <w:r w:rsidR="005142AA">
              <w:t>since l</w:t>
            </w:r>
            <w:r w:rsidR="00576BAF">
              <w:t>earner permit</w:t>
            </w:r>
            <w:r w:rsidR="005142AA">
              <w:t xml:space="preserve">s are </w:t>
            </w:r>
            <w:r w:rsidR="00576BAF">
              <w:t>not covered in the National Regulations</w:t>
            </w:r>
          </w:p>
        </w:tc>
      </w:tr>
      <w:tr w:rsidR="00FE5100" w14:paraId="4FB6B19C"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173F8E7" w14:textId="77777777" w:rsidR="00FE5100" w:rsidRDefault="00FE5100" w:rsidP="00FE5100">
            <w:pPr>
              <w:pStyle w:val="TableParagraph"/>
              <w:ind w:right="113"/>
              <w:jc w:val="right"/>
            </w:pPr>
            <w:r>
              <w:t>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208929" w14:textId="77777777" w:rsidR="00FE5100" w:rsidRDefault="00FE5100" w:rsidP="00FE5100">
            <w:pPr>
              <w:pStyle w:val="TableParagraph"/>
            </w:pPr>
            <w:r>
              <w:t>Category of driver licence or learner permit may be shown by code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03AE288" w14:textId="77777777" w:rsidR="00FE5100" w:rsidRDefault="00FE5100" w:rsidP="00FE5100">
            <w:pPr>
              <w:pStyle w:val="TableParagraph"/>
            </w:pPr>
            <w:r>
              <w:t>NDLS SP13</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113FD2" w14:textId="77777777" w:rsidR="00FE5100" w:rsidRDefault="00FE5100" w:rsidP="00FE5100">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CA088C" w14:textId="77777777" w:rsidR="00FE5100" w:rsidRDefault="00EE5526" w:rsidP="00FE5100">
            <w:pPr>
              <w:pStyle w:val="TableParagraph"/>
            </w:pPr>
            <w:r>
              <w:t>Application</w:t>
            </w:r>
            <w:r w:rsidR="00FE5100">
              <w:t xml:space="preserve"> of the </w:t>
            </w:r>
            <w:r w:rsidR="006C34E8">
              <w:t xml:space="preserve">NDLS </w:t>
            </w:r>
            <w:r w:rsidR="00FE5100">
              <w:t xml:space="preserve">National </w:t>
            </w:r>
            <w:r w:rsidR="006C34E8">
              <w:t>Regulations</w:t>
            </w:r>
          </w:p>
        </w:tc>
      </w:tr>
      <w:tr w:rsidR="00E30B4C" w14:paraId="72FCCEDD"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EC883D7" w14:textId="77777777" w:rsidR="00E30B4C" w:rsidRDefault="00E30B4C" w:rsidP="00E30B4C">
            <w:pPr>
              <w:pStyle w:val="TableParagraph"/>
              <w:ind w:right="113"/>
              <w:jc w:val="right"/>
            </w:pPr>
            <w:r>
              <w:t>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76A499" w14:textId="77777777" w:rsidR="00E30B4C" w:rsidRDefault="00E30B4C" w:rsidP="00E30B4C">
            <w:pPr>
              <w:pStyle w:val="TableParagraph"/>
            </w:pPr>
            <w:r>
              <w:t>Authorisation for driver under instruction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B956517" w14:textId="77777777" w:rsidR="00E30B4C" w:rsidRDefault="00E30B4C" w:rsidP="00E30B4C">
            <w:pPr>
              <w:pStyle w:val="TableParagraph"/>
            </w:pPr>
            <w:r>
              <w:t>NDLS PP25</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53DF3A" w14:textId="77777777" w:rsidR="00E30B4C" w:rsidRDefault="00E30B4C" w:rsidP="00E30B4C">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A76C91" w14:textId="77777777" w:rsidR="00E30B4C" w:rsidRDefault="00EE5526" w:rsidP="00E30B4C">
            <w:pPr>
              <w:pStyle w:val="TableParagraph"/>
            </w:pPr>
            <w:r>
              <w:t>Application</w:t>
            </w:r>
            <w:r w:rsidR="00E30B4C">
              <w:t xml:space="preserve"> of the </w:t>
            </w:r>
            <w:r w:rsidR="006C34E8">
              <w:t xml:space="preserve">NDLS </w:t>
            </w:r>
            <w:r w:rsidR="00E30B4C">
              <w:t xml:space="preserve">National </w:t>
            </w:r>
            <w:r w:rsidR="006C34E8">
              <w:t>Regulations</w:t>
            </w:r>
          </w:p>
        </w:tc>
      </w:tr>
      <w:tr w:rsidR="00E30B4C" w14:paraId="1D46F586"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6798EC78" w14:textId="77777777" w:rsidR="00E30B4C" w:rsidRDefault="00E30B4C" w:rsidP="00E30B4C">
            <w:pPr>
              <w:pStyle w:val="TableParagraph"/>
              <w:ind w:right="113"/>
              <w:jc w:val="right"/>
            </w:pPr>
            <w:r>
              <w:t>10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0B49EEB" w14:textId="77777777" w:rsidR="00E30B4C" w:rsidRDefault="00E30B4C" w:rsidP="00E30B4C">
            <w:pPr>
              <w:pStyle w:val="TableParagraph"/>
              <w:rPr>
                <w:highlight w:val="yellow"/>
              </w:rPr>
            </w:pPr>
            <w:r>
              <w:t>Authorisation for unlicensed drivers of motor vehicles (other than a motor cycle) under assessment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C4189B7" w14:textId="77777777" w:rsidR="00E30B4C" w:rsidRDefault="00E30B4C" w:rsidP="00E30B4C">
            <w:pPr>
              <w:pStyle w:val="TableParagraph"/>
            </w:pPr>
            <w:r>
              <w:t>NDLS SP30</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4D247F" w14:textId="77777777" w:rsidR="00E30B4C" w:rsidRDefault="00E30B4C" w:rsidP="00E30B4C">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7DEF01" w14:textId="77777777" w:rsidR="00E30B4C" w:rsidRDefault="00EE5526" w:rsidP="00E30B4C">
            <w:pPr>
              <w:pStyle w:val="TableParagraph"/>
            </w:pPr>
            <w:r>
              <w:t>Application</w:t>
            </w:r>
            <w:r w:rsidR="00E30B4C">
              <w:t xml:space="preserve"> of the </w:t>
            </w:r>
            <w:r w:rsidR="006C34E8">
              <w:t xml:space="preserve">NDLS </w:t>
            </w:r>
            <w:r w:rsidR="00E30B4C">
              <w:t xml:space="preserve">National </w:t>
            </w:r>
            <w:r w:rsidR="006C34E8">
              <w:t>Regulations</w:t>
            </w:r>
          </w:p>
        </w:tc>
      </w:tr>
      <w:tr w:rsidR="00E30B4C" w14:paraId="27285BDD"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645C868" w14:textId="77777777" w:rsidR="00E30B4C" w:rsidRDefault="00E30B4C" w:rsidP="00E30B4C">
            <w:pPr>
              <w:pStyle w:val="TableParagraph"/>
              <w:ind w:right="113"/>
              <w:jc w:val="right"/>
            </w:pPr>
            <w:r>
              <w:t>11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26167E" w14:textId="77777777" w:rsidR="00E30B4C" w:rsidRDefault="00E30B4C" w:rsidP="00E30B4C">
            <w:pPr>
              <w:pStyle w:val="TableParagraph"/>
              <w:rPr>
                <w:highlight w:val="yellow"/>
              </w:rPr>
            </w:pPr>
            <w:r>
              <w:t>Authorisation for unlicensed driver of motor cycle under assessment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1639E260" w14:textId="77777777" w:rsidR="00E30B4C" w:rsidRDefault="00E30B4C" w:rsidP="00E30B4C">
            <w:pPr>
              <w:pStyle w:val="TableParagraph"/>
            </w:pPr>
            <w:r>
              <w:t>NDLS SP30</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AE476E" w14:textId="77777777" w:rsidR="00E30B4C" w:rsidRDefault="00E30B4C" w:rsidP="00E30B4C">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F71689" w14:textId="77777777" w:rsidR="00E30B4C" w:rsidRDefault="00EE5526" w:rsidP="00E30B4C">
            <w:pPr>
              <w:pStyle w:val="TableParagraph"/>
            </w:pPr>
            <w:r>
              <w:t>Application</w:t>
            </w:r>
            <w:r w:rsidR="00E30B4C">
              <w:t xml:space="preserve"> of the </w:t>
            </w:r>
            <w:r w:rsidR="006C34E8">
              <w:t xml:space="preserve">NDLS </w:t>
            </w:r>
            <w:r w:rsidR="00E30B4C">
              <w:t xml:space="preserve">National </w:t>
            </w:r>
            <w:r w:rsidR="006C34E8">
              <w:t>Regulations</w:t>
            </w:r>
          </w:p>
        </w:tc>
      </w:tr>
      <w:tr w:rsidR="00CF45D9" w14:paraId="3E7196C2"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258FBCF" w14:textId="77777777" w:rsidR="00CF45D9" w:rsidRDefault="00CF45D9" w:rsidP="00CF45D9">
            <w:pPr>
              <w:pStyle w:val="TableParagraph"/>
              <w:ind w:right="113"/>
              <w:jc w:val="right"/>
            </w:pPr>
            <w:r>
              <w:t>12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C11BD3" w14:textId="77777777" w:rsidR="00CF45D9" w:rsidRDefault="00CF45D9" w:rsidP="00CF45D9">
            <w:pPr>
              <w:pStyle w:val="TableParagraph"/>
            </w:pPr>
            <w:r>
              <w:t>Authorisation for holder of non-Victorian licence or permit</w:t>
            </w:r>
            <w:r>
              <w:rPr>
                <w:sz w:val="20"/>
              </w:rPr>
              <w:t xml:space="preserve">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1D554F83" w14:textId="77777777" w:rsidR="00CF45D9" w:rsidRDefault="00CF45D9" w:rsidP="00CF45D9">
            <w:pPr>
              <w:pStyle w:val="TableParagraph"/>
            </w:pPr>
            <w:r>
              <w:t>NDLS SP31(1)</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D8109B"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01F71B" w14:textId="77777777" w:rsidR="00CF45D9" w:rsidRDefault="00CF45D9" w:rsidP="00CF45D9">
            <w:pPr>
              <w:pStyle w:val="TableParagraph"/>
            </w:pPr>
            <w:r>
              <w:t xml:space="preserve">Application of the NDLS National Regulations </w:t>
            </w:r>
          </w:p>
        </w:tc>
      </w:tr>
      <w:tr w:rsidR="00CF45D9" w14:paraId="5EFD8411"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6B1630D" w14:textId="77777777" w:rsidR="00CF45D9" w:rsidRDefault="00CF45D9" w:rsidP="00CF45D9">
            <w:pPr>
              <w:pStyle w:val="TableParagraph"/>
              <w:ind w:right="113"/>
              <w:jc w:val="right"/>
            </w:pPr>
            <w:r>
              <w:t>13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31A3A4" w14:textId="77777777" w:rsidR="00CF45D9" w:rsidRDefault="00CF45D9" w:rsidP="00CF45D9">
            <w:pPr>
              <w:pStyle w:val="TableParagraph"/>
            </w:pPr>
            <w:r>
              <w:t>Exceptions to authorisation under regulation 12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15FB414" w14:textId="77777777" w:rsidR="00CF45D9" w:rsidRDefault="00CF45D9" w:rsidP="00CF45D9">
            <w:pPr>
              <w:pStyle w:val="TableParagraph"/>
              <w:rPr>
                <w:highlight w:val="green"/>
              </w:rPr>
            </w:pPr>
            <w:r>
              <w:t>NDLS SP31(2)</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8C3383"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A11709" w14:textId="2AB1FDEA" w:rsidR="00CF45D9" w:rsidRDefault="00CF45D9" w:rsidP="00CF45D9">
            <w:pPr>
              <w:pStyle w:val="TableParagraph"/>
            </w:pPr>
            <w:r>
              <w:t xml:space="preserve">Partial application of the NDLS National Regulations and application of non-Victorian licence recognition policy which deviates from NDLS as discussed in Chapter </w:t>
            </w:r>
            <w:r>
              <w:fldChar w:fldCharType="begin"/>
            </w:r>
            <w:r>
              <w:instrText xml:space="preserve"> REF _Ref527475239 \r \h </w:instrText>
            </w:r>
            <w:r w:rsidR="00394D3F">
              <w:instrText xml:space="preserve"> \* MERGEFORMAT </w:instrText>
            </w:r>
            <w:r>
              <w:fldChar w:fldCharType="separate"/>
            </w:r>
            <w:r w:rsidR="00EB4B02">
              <w:t>0</w:t>
            </w:r>
            <w:r>
              <w:fldChar w:fldCharType="end"/>
            </w:r>
            <w:r>
              <w:t xml:space="preserve"> of this RIS</w:t>
            </w:r>
          </w:p>
        </w:tc>
      </w:tr>
      <w:tr w:rsidR="00CF45D9" w:rsidRPr="00B52A2E" w14:paraId="76DC5F82" w14:textId="77777777" w:rsidTr="00C25CFD">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3EC06B2C" w14:textId="77777777" w:rsidR="00CF45D9" w:rsidRPr="00B52A2E" w:rsidRDefault="00CF45D9" w:rsidP="00CF45D9">
            <w:pPr>
              <w:pStyle w:val="TableParagraph"/>
              <w:rPr>
                <w:b/>
              </w:rPr>
            </w:pPr>
            <w:r w:rsidRPr="00B52A2E">
              <w:rPr>
                <w:b/>
              </w:rPr>
              <w:t>Division 2—Prescribed requirements for grant or variation of driver licence</w:t>
            </w:r>
            <w:r w:rsidRPr="00B52A2E">
              <w:rPr>
                <w:b/>
              </w:rPr>
              <w:tab/>
            </w:r>
          </w:p>
        </w:tc>
      </w:tr>
      <w:tr w:rsidR="00CF45D9" w14:paraId="37127A11"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F48E6F9" w14:textId="77777777" w:rsidR="00CF45D9" w:rsidRDefault="00CF45D9" w:rsidP="00CF45D9">
            <w:pPr>
              <w:pStyle w:val="TableParagraph"/>
              <w:ind w:right="113"/>
              <w:jc w:val="right"/>
            </w:pPr>
            <w:r>
              <w:t>14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1DC43" w14:textId="77777777" w:rsidR="00CF45D9" w:rsidRDefault="00CF45D9" w:rsidP="00CF45D9">
            <w:pPr>
              <w:pStyle w:val="TableParagraph"/>
            </w:pPr>
            <w:r>
              <w:t>Prescribed requirements for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FFBCF47" w14:textId="77777777" w:rsidR="00CF45D9" w:rsidRDefault="00CF45D9" w:rsidP="00CF45D9">
            <w:pPr>
              <w:pStyle w:val="TableParagraph"/>
            </w:pPr>
            <w:r>
              <w:t xml:space="preserve">NDLS </w:t>
            </w:r>
            <w:r w:rsidRPr="000A0322">
              <w:t>PP25</w:t>
            </w:r>
            <w:r>
              <w:t xml:space="preserve"> &amp; SP3 </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4BC7F0"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42004E" w14:textId="77777777" w:rsidR="00CF45D9" w:rsidRDefault="00CF45D9" w:rsidP="00CF45D9">
            <w:pPr>
              <w:pStyle w:val="TableParagraph"/>
            </w:pPr>
            <w:r>
              <w:t>Application of the NDLS National Regulations</w:t>
            </w:r>
          </w:p>
        </w:tc>
      </w:tr>
      <w:tr w:rsidR="00CF45D9" w14:paraId="63DAB56E"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AE1ADD3" w14:textId="77777777" w:rsidR="00CF45D9" w:rsidRDefault="00CF45D9" w:rsidP="00CF45D9">
            <w:pPr>
              <w:pStyle w:val="TableParagraph"/>
              <w:ind w:right="113"/>
              <w:jc w:val="right"/>
            </w:pPr>
            <w:r>
              <w:t>15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D654B7" w14:textId="77777777" w:rsidR="00CF45D9" w:rsidRDefault="00CF45D9" w:rsidP="00CF45D9">
            <w:pPr>
              <w:pStyle w:val="TableParagraph"/>
            </w:pPr>
            <w:r>
              <w:t>Requirement for car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1F7CBAE3" w14:textId="77777777" w:rsidR="00CF45D9" w:rsidRDefault="00CF45D9" w:rsidP="00CF45D9">
            <w:pPr>
              <w:pStyle w:val="TableParagraph"/>
            </w:pPr>
            <w:r>
              <w:t>NDLS PP10 &amp; SP3; NGLS</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1A581B"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B2BBC9" w14:textId="77777777" w:rsidR="00CF45D9" w:rsidRDefault="00CF45D9" w:rsidP="00CF45D9">
            <w:pPr>
              <w:pStyle w:val="TableParagraph"/>
            </w:pPr>
            <w:r>
              <w:t>Application of the NDLS National Regulations and NGLS policy (Exemplar Stage)</w:t>
            </w:r>
          </w:p>
        </w:tc>
      </w:tr>
      <w:tr w:rsidR="00CF45D9" w14:paraId="7275FC3C"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86F2BA1" w14:textId="77777777" w:rsidR="00CF45D9" w:rsidRDefault="00CF45D9" w:rsidP="00CF45D9">
            <w:pPr>
              <w:pStyle w:val="TableParagraph"/>
              <w:ind w:right="113"/>
              <w:jc w:val="right"/>
            </w:pPr>
            <w:r>
              <w:t>16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E9AFA8" w14:textId="77777777" w:rsidR="00CF45D9" w:rsidRDefault="00CF45D9" w:rsidP="00CF45D9">
            <w:pPr>
              <w:pStyle w:val="TableParagraph"/>
            </w:pPr>
            <w:r>
              <w:t>Additional requirements for car driver licence applicant under the age of 21 years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F0496A7" w14:textId="77777777" w:rsidR="00CF45D9" w:rsidRDefault="00CF45D9" w:rsidP="00CF45D9">
            <w:pPr>
              <w:pStyle w:val="TableParagraph"/>
            </w:pPr>
            <w:r>
              <w:t>NDLS PP2(2); NGLS</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14373F"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9836AB" w14:textId="77777777" w:rsidR="00CF45D9" w:rsidRDefault="00CF45D9" w:rsidP="00CF45D9">
            <w:pPr>
              <w:pStyle w:val="TableParagraph"/>
            </w:pPr>
            <w:r>
              <w:t xml:space="preserve">Application of NGLS policy as permitted under the NDLS National Regulations, which provide that the </w:t>
            </w:r>
            <w:r>
              <w:lastRenderedPageBreak/>
              <w:t>NDLS Primary Principles do not affect State and Territory learner and probationary licensing laws</w:t>
            </w:r>
          </w:p>
        </w:tc>
      </w:tr>
      <w:tr w:rsidR="00CF45D9" w14:paraId="63A3861E"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335A79E4" w14:textId="77777777" w:rsidR="00CF45D9" w:rsidRDefault="00CF45D9" w:rsidP="00CF45D9">
            <w:pPr>
              <w:pStyle w:val="TableParagraph"/>
              <w:ind w:right="113"/>
              <w:jc w:val="right"/>
            </w:pPr>
            <w:r>
              <w:lastRenderedPageBreak/>
              <w:t>17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02EF7A" w14:textId="77777777" w:rsidR="00CF45D9" w:rsidRDefault="00CF45D9" w:rsidP="00CF45D9">
            <w:pPr>
              <w:pStyle w:val="TableParagraph"/>
            </w:pPr>
            <w:r>
              <w:t>Requirement for motor cycle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8A9F861" w14:textId="77777777" w:rsidR="00CF45D9" w:rsidRDefault="00CF45D9" w:rsidP="00CF45D9">
            <w:pPr>
              <w:pStyle w:val="TableParagraph"/>
            </w:pPr>
            <w:r>
              <w:t>NDLS PP2(2)</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AA9202"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B0185E" w14:textId="77777777" w:rsidR="00CF45D9" w:rsidRDefault="00CF45D9" w:rsidP="00CF45D9">
            <w:pPr>
              <w:pStyle w:val="TableParagraph"/>
            </w:pPr>
            <w:r>
              <w:t>Application of motorcycle licensing policy as permitted under the NDLS National Regulations, which provide that the NDLS Primary Principles PP do not affect State and Territory learner and probationary licensing laws</w:t>
            </w:r>
          </w:p>
        </w:tc>
      </w:tr>
      <w:tr w:rsidR="00CF45D9" w14:paraId="7119BA23"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135D210A" w14:textId="77777777" w:rsidR="00CF45D9" w:rsidRDefault="00CF45D9" w:rsidP="00CF45D9">
            <w:pPr>
              <w:pStyle w:val="TableParagraph"/>
              <w:ind w:right="113"/>
              <w:jc w:val="right"/>
            </w:pPr>
            <w:r>
              <w:t>18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C944F0" w14:textId="77777777" w:rsidR="00CF45D9" w:rsidRDefault="00CF45D9" w:rsidP="00CF45D9">
            <w:pPr>
              <w:pStyle w:val="TableParagraph"/>
            </w:pPr>
            <w:r>
              <w:t>Requirement for light rigid vehicle licence or medium rigid vehicle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2668FE5" w14:textId="77777777" w:rsidR="00CF45D9" w:rsidRDefault="00CF45D9" w:rsidP="00CF45D9">
            <w:pPr>
              <w:pStyle w:val="TableParagraph"/>
            </w:pPr>
            <w:r>
              <w:t xml:space="preserve">NDLS SP3(5)(a) </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AAFC76"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A42484" w14:textId="77777777" w:rsidR="00CF45D9" w:rsidRDefault="00CF45D9" w:rsidP="00CF45D9">
            <w:pPr>
              <w:pStyle w:val="TableParagraph"/>
            </w:pPr>
            <w:r>
              <w:t>Application of the NDLS National Regulations</w:t>
            </w:r>
          </w:p>
        </w:tc>
      </w:tr>
      <w:tr w:rsidR="00CF45D9" w14:paraId="72A63E89"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306B6EC" w14:textId="77777777" w:rsidR="00CF45D9" w:rsidRDefault="00CF45D9" w:rsidP="00CF45D9">
            <w:pPr>
              <w:pStyle w:val="TableParagraph"/>
              <w:ind w:right="113"/>
              <w:jc w:val="right"/>
            </w:pPr>
            <w:r>
              <w:t>19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A425EC" w14:textId="77777777" w:rsidR="00CF45D9" w:rsidRDefault="00CF45D9" w:rsidP="00CF45D9">
            <w:pPr>
              <w:pStyle w:val="TableParagraph"/>
            </w:pPr>
            <w:r>
              <w:t>Requirement for heavy rigid vehicle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3B4F8C54" w14:textId="77777777" w:rsidR="00CF45D9" w:rsidRDefault="00CF45D9" w:rsidP="00CF45D9">
            <w:pPr>
              <w:pStyle w:val="TableParagraph"/>
            </w:pPr>
            <w:r>
              <w:t>NDLS SP3(5)(b)</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C748D4"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41F6CE" w14:textId="77777777" w:rsidR="00CF45D9" w:rsidRDefault="00CF45D9" w:rsidP="00CF45D9">
            <w:pPr>
              <w:pStyle w:val="TableParagraph"/>
            </w:pPr>
            <w:r>
              <w:t>Application of the NDLS National Regulations</w:t>
            </w:r>
          </w:p>
        </w:tc>
      </w:tr>
      <w:tr w:rsidR="00CF45D9" w14:paraId="7C11F5AD"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6EB9F7CA" w14:textId="77777777" w:rsidR="00CF45D9" w:rsidRDefault="00CF45D9" w:rsidP="00CF45D9">
            <w:pPr>
              <w:pStyle w:val="TableParagraph"/>
              <w:ind w:right="113"/>
              <w:jc w:val="right"/>
            </w:pPr>
            <w:r>
              <w:t>20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64017B" w14:textId="77777777" w:rsidR="00CF45D9" w:rsidRDefault="00CF45D9" w:rsidP="00CF45D9">
            <w:pPr>
              <w:pStyle w:val="TableParagraph"/>
            </w:pPr>
            <w:r>
              <w:t>Requirement for heavy combination vehicle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6A99CAAF" w14:textId="77777777" w:rsidR="00CF45D9" w:rsidRDefault="00CF45D9" w:rsidP="00CF45D9">
            <w:pPr>
              <w:pStyle w:val="TableParagraph"/>
            </w:pPr>
            <w:r w:rsidRPr="000A0322">
              <w:t>NDLS SP3(5)(c)</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019748"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157ABA" w14:textId="77777777" w:rsidR="00CF45D9" w:rsidRDefault="00CF45D9" w:rsidP="00CF45D9">
            <w:pPr>
              <w:pStyle w:val="TableParagraph"/>
            </w:pPr>
            <w:r>
              <w:t>Application of the NDLS National Regulations</w:t>
            </w:r>
          </w:p>
        </w:tc>
      </w:tr>
      <w:tr w:rsidR="00CF45D9" w14:paraId="1EE9A894"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80AF252" w14:textId="77777777" w:rsidR="00CF45D9" w:rsidRDefault="00CF45D9" w:rsidP="00CF45D9">
            <w:pPr>
              <w:pStyle w:val="TableParagraph"/>
              <w:ind w:right="113"/>
              <w:jc w:val="right"/>
            </w:pPr>
            <w:r>
              <w:t>21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FF1306" w14:textId="77777777" w:rsidR="00CF45D9" w:rsidRDefault="00CF45D9" w:rsidP="00CF45D9">
            <w:pPr>
              <w:pStyle w:val="TableParagraph"/>
            </w:pPr>
            <w:r>
              <w:t>Requirement for multi-combination vehicle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289A1D9" w14:textId="77777777" w:rsidR="00CF45D9" w:rsidRDefault="00CF45D9" w:rsidP="00CF45D9">
            <w:pPr>
              <w:pStyle w:val="TableParagraph"/>
            </w:pPr>
            <w:r>
              <w:t>NDLS SP3(5)(d)</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12E56A"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F7D66B" w14:textId="77777777" w:rsidR="00CF45D9" w:rsidRDefault="00CF45D9" w:rsidP="00CF45D9">
            <w:pPr>
              <w:pStyle w:val="TableParagraph"/>
            </w:pPr>
            <w:r>
              <w:t>Application of the NDLS National Regulations</w:t>
            </w:r>
          </w:p>
        </w:tc>
      </w:tr>
      <w:tr w:rsidR="00CF45D9" w14:paraId="05486A3E"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4F50A37" w14:textId="77777777" w:rsidR="00CF45D9" w:rsidRDefault="00CF45D9" w:rsidP="00CF45D9">
            <w:pPr>
              <w:pStyle w:val="TableParagraph"/>
              <w:ind w:right="113"/>
              <w:jc w:val="right"/>
            </w:pPr>
            <w:r>
              <w:t>22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95884B" w14:textId="77777777" w:rsidR="00CF45D9" w:rsidRDefault="00CF45D9" w:rsidP="00CF45D9">
            <w:pPr>
              <w:pStyle w:val="TableParagraph"/>
            </w:pPr>
            <w:r>
              <w:t>Calculating periods for which a person has held a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E9A7472" w14:textId="77777777" w:rsidR="00CF45D9" w:rsidRDefault="00CF45D9" w:rsidP="00CF45D9">
            <w:pPr>
              <w:pStyle w:val="TableParagraph"/>
            </w:pPr>
            <w:r>
              <w:t>NDLS SP3(6)</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721308"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50D6AD" w14:textId="77777777" w:rsidR="00CF45D9" w:rsidRDefault="00CF45D9" w:rsidP="00CF45D9">
            <w:pPr>
              <w:pStyle w:val="TableParagraph"/>
            </w:pPr>
            <w:r>
              <w:t>Application of the NDLS National Regulations</w:t>
            </w:r>
          </w:p>
        </w:tc>
      </w:tr>
      <w:tr w:rsidR="00CF45D9" w:rsidRPr="00B52A2E" w14:paraId="65F2A7A8"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46207343" w14:textId="77777777" w:rsidR="00CF45D9" w:rsidRPr="00B52A2E" w:rsidRDefault="00CF45D9" w:rsidP="00CF45D9">
            <w:pPr>
              <w:pStyle w:val="TableParagraph"/>
              <w:rPr>
                <w:b/>
              </w:rPr>
            </w:pPr>
            <w:r w:rsidRPr="00B52A2E">
              <w:rPr>
                <w:b/>
              </w:rPr>
              <w:t>Division 3—Procedures for grant or variation of driver licence or grant of learner permit</w:t>
            </w:r>
            <w:r w:rsidRPr="00B52A2E">
              <w:rPr>
                <w:b/>
              </w:rPr>
              <w:tab/>
            </w:r>
          </w:p>
        </w:tc>
      </w:tr>
      <w:tr w:rsidR="00CF45D9" w14:paraId="49B1D87A"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916BB76" w14:textId="77777777" w:rsidR="00CF45D9" w:rsidRDefault="00CF45D9" w:rsidP="00CF45D9">
            <w:pPr>
              <w:pStyle w:val="TableParagraph"/>
              <w:ind w:right="113"/>
              <w:jc w:val="right"/>
            </w:pP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227921" w14:textId="77777777" w:rsidR="00CF45D9" w:rsidRDefault="00CF45D9" w:rsidP="00CF45D9">
            <w:pPr>
              <w:pStyle w:val="TableParagraph"/>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0D8DC9F9" w14:textId="77777777" w:rsidR="00CF45D9" w:rsidRDefault="00CF45D9" w:rsidP="00CF45D9">
            <w:pPr>
              <w:pStyle w:val="TableParagraph"/>
            </w:pP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A06EA" w14:textId="77777777" w:rsidR="00CF45D9" w:rsidRDefault="00CF45D9" w:rsidP="00CF45D9">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37EDFD" w14:textId="77777777" w:rsidR="00CF45D9" w:rsidRDefault="00CF45D9" w:rsidP="00CF45D9">
            <w:pPr>
              <w:pStyle w:val="TableParagraph"/>
            </w:pPr>
          </w:p>
        </w:tc>
      </w:tr>
      <w:tr w:rsidR="00CF45D9" w14:paraId="29B48DEF"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6CAAACB" w14:textId="77777777" w:rsidR="00CF45D9" w:rsidRDefault="00CF45D9" w:rsidP="00CF45D9">
            <w:pPr>
              <w:pStyle w:val="TableParagraph"/>
              <w:ind w:right="113"/>
              <w:jc w:val="right"/>
            </w:pPr>
            <w:r>
              <w:t>23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070BDB" w14:textId="77777777" w:rsidR="00CF45D9" w:rsidRDefault="00CF45D9" w:rsidP="00CF45D9">
            <w:pPr>
              <w:pStyle w:val="TableParagraph"/>
            </w:pPr>
            <w:r>
              <w:t>Prescribed procedures for application for the grant or variation of driver licence or learner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15EAFCA" w14:textId="77777777" w:rsidR="00CF45D9" w:rsidRDefault="00CF45D9" w:rsidP="00CF45D9">
            <w:pPr>
              <w:pStyle w:val="TableParagraph"/>
            </w:pPr>
            <w:r>
              <w:t>NDLS SP4 &amp; SP7</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8AD36A"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DD6D3C" w14:textId="77777777" w:rsidR="00CF45D9" w:rsidRDefault="00CF45D9" w:rsidP="00CF45D9">
            <w:pPr>
              <w:pStyle w:val="TableParagraph"/>
            </w:pPr>
            <w:r>
              <w:t>Application of the NDLS National Regulations</w:t>
            </w:r>
          </w:p>
        </w:tc>
      </w:tr>
      <w:tr w:rsidR="00CF45D9" w14:paraId="2D9D5E73"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EB5DC53" w14:textId="77777777" w:rsidR="00CF45D9" w:rsidRDefault="00CF45D9" w:rsidP="00CF45D9">
            <w:pPr>
              <w:pStyle w:val="TableParagraph"/>
              <w:ind w:right="113"/>
              <w:jc w:val="right"/>
            </w:pPr>
            <w:r>
              <w:t>24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D20F1A" w14:textId="77777777" w:rsidR="00CF45D9" w:rsidRDefault="00CF45D9" w:rsidP="00CF45D9">
            <w:pPr>
              <w:pStyle w:val="TableParagraph"/>
            </w:pPr>
            <w:r>
              <w:t>Car driver licence applicants under the age of 21 years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29A4611" w14:textId="77777777" w:rsidR="00CF45D9" w:rsidRDefault="00CF45D9" w:rsidP="00CF45D9">
            <w:pPr>
              <w:pStyle w:val="TableParagraph"/>
            </w:pPr>
            <w:r>
              <w:t>NGLS</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7ECA21"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1D0033" w14:textId="77777777" w:rsidR="00CF45D9" w:rsidRDefault="00CF45D9" w:rsidP="00CF45D9">
            <w:pPr>
              <w:pStyle w:val="TableParagraph"/>
            </w:pPr>
            <w:r>
              <w:t>Application of NGLS policy (Exemplar Stage)</w:t>
            </w:r>
          </w:p>
        </w:tc>
      </w:tr>
      <w:tr w:rsidR="00CF45D9" w14:paraId="481143E8"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93D24EB" w14:textId="77777777" w:rsidR="00CF45D9" w:rsidRDefault="00CF45D9" w:rsidP="00CF45D9">
            <w:pPr>
              <w:pStyle w:val="TableParagraph"/>
              <w:ind w:right="113"/>
              <w:jc w:val="right"/>
            </w:pPr>
            <w:r>
              <w:t>25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BE0C43" w14:textId="77777777" w:rsidR="00CF45D9" w:rsidRDefault="00CF45D9" w:rsidP="00CF45D9">
            <w:pPr>
              <w:pStyle w:val="TableParagraph"/>
            </w:pPr>
            <w:r>
              <w:t>Consideration of application and decision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AE9255A" w14:textId="77777777" w:rsidR="00CF45D9" w:rsidRDefault="00CF45D9" w:rsidP="00CF45D9">
            <w:pPr>
              <w:pStyle w:val="TableParagraph"/>
            </w:pPr>
            <w:r>
              <w:t>NDLS SP6 &amp; SP7</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4AE4AF"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33D221" w14:textId="77777777" w:rsidR="00CF45D9" w:rsidRDefault="00CF45D9" w:rsidP="00CF45D9">
            <w:pPr>
              <w:pStyle w:val="TableParagraph"/>
            </w:pPr>
            <w:r>
              <w:t>Application of the NDLS National Regulations</w:t>
            </w:r>
          </w:p>
        </w:tc>
      </w:tr>
      <w:tr w:rsidR="00CF45D9" w14:paraId="1E048EC1"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967084D" w14:textId="77777777" w:rsidR="00CF45D9" w:rsidRDefault="00CF45D9" w:rsidP="00CF45D9">
            <w:pPr>
              <w:pStyle w:val="TableParagraph"/>
              <w:ind w:right="113"/>
              <w:jc w:val="right"/>
            </w:pPr>
            <w:r>
              <w:t>26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B656D3" w14:textId="77777777" w:rsidR="00CF45D9" w:rsidRDefault="00CF45D9" w:rsidP="00CF45D9">
            <w:pPr>
              <w:pStyle w:val="TableParagraph"/>
            </w:pPr>
            <w:r>
              <w:t>Appointment to verify non-Victorian licence or permit</w:t>
            </w:r>
            <w:r>
              <w:rPr>
                <w:sz w:val="20"/>
              </w:rPr>
              <w:t xml:space="preserve">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E2DC939" w14:textId="77777777" w:rsidR="00CF45D9" w:rsidRDefault="00CF45D9" w:rsidP="00CF45D9">
            <w:pPr>
              <w:pStyle w:val="TableParagraph"/>
            </w:pPr>
            <w:r>
              <w:t>NDLS PP22</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8D711D"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394478" w14:textId="77777777" w:rsidR="00CF45D9" w:rsidRDefault="00CF45D9" w:rsidP="00CF45D9">
            <w:pPr>
              <w:pStyle w:val="TableParagraph"/>
            </w:pPr>
            <w:r>
              <w:t>Application of non-Victorian licence or permit</w:t>
            </w:r>
            <w:r>
              <w:rPr>
                <w:sz w:val="20"/>
              </w:rPr>
              <w:t xml:space="preserve"> verification </w:t>
            </w:r>
            <w:r>
              <w:t>policy aligned to the NDLS National Regulations which make it an offence for a person to obtain or attempts to obtain a licence by false statement, misrepresentation or other dishonest means</w:t>
            </w:r>
          </w:p>
        </w:tc>
      </w:tr>
      <w:tr w:rsidR="00CF45D9" w14:paraId="475AEF0D"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FE54FD1" w14:textId="77777777" w:rsidR="00CF45D9" w:rsidRDefault="00CF45D9" w:rsidP="00CF45D9">
            <w:pPr>
              <w:pStyle w:val="TableParagraph"/>
              <w:ind w:right="113"/>
              <w:jc w:val="right"/>
            </w:pPr>
            <w:r>
              <w:t>27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33C644" w14:textId="77777777" w:rsidR="00CF45D9" w:rsidRDefault="00CF45D9" w:rsidP="00CF45D9">
            <w:pPr>
              <w:pStyle w:val="TableParagraph"/>
            </w:pPr>
            <w:r>
              <w:t>Applicants who have a licence or permit issued outside Victoria</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C49E12A" w14:textId="77777777" w:rsidR="00CF45D9" w:rsidRDefault="00CF45D9" w:rsidP="00CF45D9">
            <w:pPr>
              <w:pStyle w:val="TableParagraph"/>
            </w:pPr>
            <w:r>
              <w:t>NDLS SP5</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4FE685"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4B4320" w14:textId="77777777" w:rsidR="00CF45D9" w:rsidRDefault="00CF45D9" w:rsidP="00CF45D9">
            <w:pPr>
              <w:pStyle w:val="TableParagraph"/>
            </w:pPr>
            <w:r>
              <w:t>Application of the NDLS National Regulations</w:t>
            </w:r>
          </w:p>
        </w:tc>
      </w:tr>
      <w:tr w:rsidR="00CF45D9" w14:paraId="7F270437"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691AA0E" w14:textId="77777777" w:rsidR="00CF45D9" w:rsidRDefault="00CF45D9" w:rsidP="00CF45D9">
            <w:pPr>
              <w:pStyle w:val="TableParagraph"/>
              <w:ind w:right="113"/>
              <w:jc w:val="right"/>
            </w:pPr>
            <w:r>
              <w:lastRenderedPageBreak/>
              <w:t>28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3596E2" w14:textId="77777777" w:rsidR="00CF45D9" w:rsidRDefault="00CF45D9" w:rsidP="00CF45D9">
            <w:pPr>
              <w:pStyle w:val="TableParagraph"/>
            </w:pPr>
            <w:r>
              <w:t>Grant of driver licence or learner permit to holder of an Australian licence or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BEA0DA1" w14:textId="77777777" w:rsidR="00CF45D9" w:rsidRDefault="00CF45D9" w:rsidP="00CF45D9">
            <w:pPr>
              <w:pStyle w:val="TableParagraph"/>
            </w:pPr>
            <w:r>
              <w:t>NDLS PP14 &amp; SP5</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19B5CD"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604AEB" w14:textId="77777777" w:rsidR="00CF45D9" w:rsidRDefault="00CF45D9" w:rsidP="00CF45D9">
            <w:pPr>
              <w:pStyle w:val="TableParagraph"/>
            </w:pPr>
            <w:r>
              <w:t>Application of the NDLS National Regulations</w:t>
            </w:r>
          </w:p>
        </w:tc>
      </w:tr>
      <w:tr w:rsidR="00CF45D9" w14:paraId="5A1E68C4"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16D9B316" w14:textId="77777777" w:rsidR="00CF45D9" w:rsidRDefault="00CF45D9" w:rsidP="00CF45D9">
            <w:pPr>
              <w:pStyle w:val="TableParagraph"/>
              <w:ind w:right="113"/>
              <w:jc w:val="right"/>
            </w:pPr>
            <w:r>
              <w:t>29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B80545" w14:textId="77777777" w:rsidR="00CF45D9" w:rsidRDefault="00CF45D9" w:rsidP="00CF45D9">
            <w:pPr>
              <w:pStyle w:val="TableParagraph"/>
            </w:pPr>
            <w:r>
              <w:t>Conditions of driver licences or learner permits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6AEFD57" w14:textId="77777777" w:rsidR="00CF45D9" w:rsidRDefault="00CF45D9" w:rsidP="00CF45D9">
            <w:pPr>
              <w:pStyle w:val="TableParagraph"/>
            </w:pPr>
            <w:r>
              <w:t>NDLS SP14 &amp; SP32</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399AD9"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F618B2" w14:textId="77777777" w:rsidR="00CF45D9" w:rsidRDefault="00CF45D9" w:rsidP="00CF45D9">
            <w:pPr>
              <w:pStyle w:val="TableParagraph"/>
            </w:pPr>
            <w:r>
              <w:t>Application of the NDLS National Regulations</w:t>
            </w:r>
          </w:p>
        </w:tc>
      </w:tr>
      <w:tr w:rsidR="00CF45D9" w14:paraId="4CEE863C"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BA5FA99" w14:textId="77777777" w:rsidR="00CF45D9" w:rsidRDefault="00CF45D9" w:rsidP="00CF45D9">
            <w:pPr>
              <w:pStyle w:val="TableParagraph"/>
              <w:ind w:right="113"/>
              <w:jc w:val="right"/>
            </w:pPr>
            <w:r w:rsidRPr="00BB015B">
              <w:t>30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8B9FCB" w14:textId="77777777" w:rsidR="00CF45D9" w:rsidRDefault="00CF45D9" w:rsidP="00CF45D9">
            <w:pPr>
              <w:pStyle w:val="TableParagraph"/>
            </w:pPr>
            <w:r>
              <w:t>Application for reduced period for which person is ineligible to be granted a driver licence or learner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C7DEAEA" w14:textId="77777777" w:rsidR="00CF45D9" w:rsidRDefault="00CF45D9" w:rsidP="00CF45D9">
            <w:pPr>
              <w:pStyle w:val="TableParagraph"/>
              <w:rPr>
                <w:highlight w:val="green"/>
              </w:rPr>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A9E761"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1E3BF2" w14:textId="77777777" w:rsidR="00CF45D9" w:rsidRDefault="00CF45D9" w:rsidP="00CF45D9">
            <w:pPr>
              <w:pStyle w:val="TableParagraph"/>
            </w:pPr>
            <w:r>
              <w:t>Machinery</w:t>
            </w:r>
          </w:p>
        </w:tc>
      </w:tr>
      <w:tr w:rsidR="00CF45D9" w:rsidRPr="00B52A2E" w14:paraId="2A1C90EC"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75A08509" w14:textId="77777777" w:rsidR="00CF45D9" w:rsidRPr="00B52A2E" w:rsidRDefault="00CF45D9" w:rsidP="00CF45D9">
            <w:pPr>
              <w:pStyle w:val="TableParagraph"/>
              <w:rPr>
                <w:b/>
              </w:rPr>
            </w:pPr>
            <w:r w:rsidRPr="00B52A2E">
              <w:rPr>
                <w:b/>
              </w:rPr>
              <w:t>Division 4—Alcohol interlocks</w:t>
            </w:r>
          </w:p>
        </w:tc>
      </w:tr>
      <w:tr w:rsidR="00CF45D9" w14:paraId="2E278F35"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4F081E1" w14:textId="77777777" w:rsidR="00CF45D9" w:rsidRDefault="00CF45D9" w:rsidP="00CF45D9">
            <w:pPr>
              <w:pStyle w:val="TableParagraph"/>
              <w:ind w:right="113"/>
              <w:jc w:val="right"/>
            </w:pPr>
            <w:r>
              <w:t>31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B36DE7" w14:textId="77777777" w:rsidR="00CF45D9" w:rsidRDefault="00CF45D9" w:rsidP="00CF45D9">
            <w:pPr>
              <w:pStyle w:val="TableParagraph"/>
            </w:pPr>
            <w:r>
              <w:t>Definition of minimum compliance period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38C169A"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4BEA10"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5F32AB" w14:textId="77777777" w:rsidR="000B12C4" w:rsidRDefault="00111230" w:rsidP="000B12C4">
            <w:pPr>
              <w:pStyle w:val="TableParagraph"/>
            </w:pPr>
            <w:r>
              <w:t>This regulation d</w:t>
            </w:r>
            <w:r w:rsidR="0061113C">
              <w:t>efines</w:t>
            </w:r>
            <w:r w:rsidR="00F61541" w:rsidRPr="00F61541">
              <w:t xml:space="preserve"> the</w:t>
            </w:r>
            <w:r w:rsidR="0061113C">
              <w:t xml:space="preserve"> </w:t>
            </w:r>
            <w:r w:rsidR="0061113C" w:rsidRPr="0061113C">
              <w:t>minimum compliance period</w:t>
            </w:r>
            <w:r w:rsidR="00F61541" w:rsidRPr="00F61541">
              <w:t xml:space="preserve"> </w:t>
            </w:r>
            <w:r w:rsidR="0061113C">
              <w:t>for which the interlock must be used</w:t>
            </w:r>
            <w:r w:rsidR="00495AE5">
              <w:t xml:space="preserve"> for rehabilitation purposes</w:t>
            </w:r>
            <w:r w:rsidR="0061113C">
              <w:t>.</w:t>
            </w:r>
            <w:r w:rsidR="008D6CAE">
              <w:t xml:space="preserve"> Depending on the seriousness of the </w:t>
            </w:r>
            <w:r w:rsidR="00C378E8">
              <w:t xml:space="preserve">drink-driving </w:t>
            </w:r>
            <w:r w:rsidR="008D6CAE">
              <w:t xml:space="preserve">offence </w:t>
            </w:r>
            <w:r w:rsidR="00C378E8">
              <w:t>(</w:t>
            </w:r>
            <w:r w:rsidR="00037133">
              <w:t xml:space="preserve">i.e. the </w:t>
            </w:r>
            <w:r w:rsidR="00CB37C7">
              <w:t>BAC</w:t>
            </w:r>
            <w:r w:rsidR="00037133">
              <w:t xml:space="preserve"> level</w:t>
            </w:r>
            <w:r w:rsidR="00C378E8">
              <w:t xml:space="preserve">) and </w:t>
            </w:r>
            <w:r w:rsidR="008D6CAE">
              <w:t xml:space="preserve">the </w:t>
            </w:r>
            <w:r w:rsidR="00C378E8">
              <w:t xml:space="preserve">driver’s </w:t>
            </w:r>
            <w:r w:rsidR="008D6CAE">
              <w:t>recidivism</w:t>
            </w:r>
            <w:r w:rsidR="00B446CA">
              <w:t>,</w:t>
            </w:r>
            <w:r w:rsidR="008D6CAE">
              <w:t xml:space="preserve"> the </w:t>
            </w:r>
            <w:r w:rsidR="00B446CA">
              <w:t xml:space="preserve">compliance </w:t>
            </w:r>
            <w:r w:rsidR="008D6CAE">
              <w:t>period</w:t>
            </w:r>
            <w:r w:rsidR="00C378E8">
              <w:t xml:space="preserve"> </w:t>
            </w:r>
            <w:r w:rsidR="00C378E8" w:rsidRPr="00C378E8">
              <w:t xml:space="preserve">ranges from </w:t>
            </w:r>
            <w:r w:rsidR="00B446CA">
              <w:t xml:space="preserve">a minimum of </w:t>
            </w:r>
            <w:r w:rsidR="00C378E8" w:rsidRPr="00C378E8">
              <w:t>6 months for a first offence to 4 years or more for serious and repeat offences</w:t>
            </w:r>
            <w:r w:rsidR="00B446CA">
              <w:t>.</w:t>
            </w:r>
            <w:r w:rsidR="0045385E">
              <w:t xml:space="preserve"> </w:t>
            </w:r>
            <w:r w:rsidR="009765A7">
              <w:t>T</w:t>
            </w:r>
            <w:r w:rsidR="0045385E" w:rsidRPr="0045385E">
              <w:t xml:space="preserve">he minimum period of 6 months is </w:t>
            </w:r>
            <w:r w:rsidR="009765A7">
              <w:t xml:space="preserve">prescribed as </w:t>
            </w:r>
            <w:r w:rsidR="0045385E" w:rsidRPr="0045385E">
              <w:t xml:space="preserve">mandatory </w:t>
            </w:r>
            <w:r w:rsidR="0045385E" w:rsidRPr="009765A7">
              <w:rPr>
                <w:i/>
              </w:rPr>
              <w:t>Schedule 1B – Alcohol interlock requirements</w:t>
            </w:r>
            <w:r w:rsidR="009765A7">
              <w:t xml:space="preserve"> to</w:t>
            </w:r>
            <w:r w:rsidR="0045385E" w:rsidRPr="0045385E">
              <w:t xml:space="preserve"> the </w:t>
            </w:r>
            <w:r w:rsidR="0045385E" w:rsidRPr="009765A7">
              <w:rPr>
                <w:i/>
              </w:rPr>
              <w:t>RSA</w:t>
            </w:r>
            <w:r w:rsidR="009765A7">
              <w:rPr>
                <w:i/>
              </w:rPr>
              <w:t>.</w:t>
            </w:r>
          </w:p>
        </w:tc>
      </w:tr>
      <w:tr w:rsidR="00CF45D9" w14:paraId="6C44007B"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3EADA9DD" w14:textId="77777777" w:rsidR="00CF45D9" w:rsidRDefault="00CF45D9" w:rsidP="00CF45D9">
            <w:pPr>
              <w:pStyle w:val="TableParagraph"/>
              <w:ind w:right="113"/>
              <w:jc w:val="right"/>
            </w:pPr>
            <w:r>
              <w:t>32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5A534F" w14:textId="77777777" w:rsidR="00CF45D9" w:rsidRDefault="00CF45D9" w:rsidP="00CF45D9">
            <w:pPr>
              <w:pStyle w:val="TableParagraph"/>
            </w:pPr>
            <w:r>
              <w:t>Prescribed alcohol interlock usage data requirements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F3AD73D"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601B53"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0502AA" w14:textId="77777777" w:rsidR="00CF45D9" w:rsidRDefault="00111230" w:rsidP="00CF45D9">
            <w:pPr>
              <w:pStyle w:val="TableParagraph"/>
            </w:pPr>
            <w:r>
              <w:t>This regulation is machinery in nature and g</w:t>
            </w:r>
            <w:r w:rsidR="0014674A">
              <w:t xml:space="preserve">ives effect to relevant </w:t>
            </w:r>
            <w:r w:rsidR="0014674A" w:rsidRPr="004866F6">
              <w:rPr>
                <w:i/>
              </w:rPr>
              <w:t>RSA</w:t>
            </w:r>
            <w:r w:rsidR="0014674A">
              <w:t xml:space="preserve"> provisions by p</w:t>
            </w:r>
            <w:r w:rsidR="00DE69D1">
              <w:t>rescrib</w:t>
            </w:r>
            <w:r w:rsidR="0014674A">
              <w:t>ing</w:t>
            </w:r>
            <w:r w:rsidR="0061113C" w:rsidRPr="00F61541">
              <w:t xml:space="preserve"> the</w:t>
            </w:r>
            <w:r w:rsidR="00DE69D1">
              <w:t xml:space="preserve"> alcohol interlock </w:t>
            </w:r>
            <w:r w:rsidR="00407B0E">
              <w:t xml:space="preserve">installation, </w:t>
            </w:r>
            <w:r w:rsidR="00DE69D1">
              <w:t xml:space="preserve">usage </w:t>
            </w:r>
            <w:r w:rsidR="00407B0E">
              <w:t xml:space="preserve">and </w:t>
            </w:r>
            <w:r w:rsidR="00DE69D1">
              <w:t>data requirements to meet compliance.</w:t>
            </w:r>
          </w:p>
        </w:tc>
      </w:tr>
      <w:tr w:rsidR="00CF45D9" w14:paraId="69732886"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7D36EE4" w14:textId="77777777" w:rsidR="00CF45D9" w:rsidRDefault="00CF45D9" w:rsidP="00CF45D9">
            <w:pPr>
              <w:pStyle w:val="TableParagraph"/>
              <w:ind w:right="113"/>
              <w:jc w:val="right"/>
            </w:pPr>
            <w:r>
              <w:t>33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51CC36" w14:textId="77777777" w:rsidR="00CF45D9" w:rsidRDefault="00CF45D9" w:rsidP="00CF45D9">
            <w:pPr>
              <w:pStyle w:val="TableParagraph"/>
            </w:pPr>
            <w:r>
              <w:t>Report to accompany application for exemption from or removal of alcohol interlock condition on medical grounds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E1413FA"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4F27ED"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BB7B3A" w14:textId="77777777" w:rsidR="00CF45D9" w:rsidRDefault="00111230" w:rsidP="00CF45D9">
            <w:pPr>
              <w:pStyle w:val="TableParagraph"/>
            </w:pPr>
            <w:r>
              <w:t>This regulation is machinery</w:t>
            </w:r>
            <w:r w:rsidR="00D411D8">
              <w:t xml:space="preserve"> in nature</w:t>
            </w:r>
            <w:r>
              <w:t xml:space="preserve"> and</w:t>
            </w:r>
            <w:r w:rsidR="00DE69D1">
              <w:t xml:space="preserve"> </w:t>
            </w:r>
            <w:r>
              <w:t xml:space="preserve">gives </w:t>
            </w:r>
            <w:r w:rsidR="0014674A">
              <w:t xml:space="preserve">effect to relevant </w:t>
            </w:r>
            <w:r w:rsidR="0014674A" w:rsidRPr="004866F6">
              <w:rPr>
                <w:i/>
              </w:rPr>
              <w:t>RSA</w:t>
            </w:r>
            <w:r w:rsidR="0014674A">
              <w:t xml:space="preserve"> provisions by </w:t>
            </w:r>
            <w:r w:rsidR="004866F6">
              <w:t>p</w:t>
            </w:r>
            <w:r w:rsidR="0014674A">
              <w:t>rescrib</w:t>
            </w:r>
            <w:r w:rsidR="004866F6">
              <w:t>ing</w:t>
            </w:r>
            <w:r w:rsidR="0014674A">
              <w:t xml:space="preserve"> the submission of</w:t>
            </w:r>
            <w:r w:rsidR="00DE69D1">
              <w:t xml:space="preserve"> a medical report to support an application for exemption or removal </w:t>
            </w:r>
            <w:r w:rsidR="0014674A">
              <w:t>of alcohol interlock condition on medical grounds.</w:t>
            </w:r>
          </w:p>
        </w:tc>
      </w:tr>
      <w:tr w:rsidR="00CF45D9" w14:paraId="7F086758" w14:textId="77777777" w:rsidTr="00394D3F">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1E68F53" w14:textId="77777777" w:rsidR="00CF45D9" w:rsidRDefault="00CF45D9" w:rsidP="00CF45D9">
            <w:pPr>
              <w:pStyle w:val="TableParagraph"/>
              <w:ind w:right="113"/>
              <w:jc w:val="right"/>
            </w:pPr>
            <w:r>
              <w:t>34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15132F" w14:textId="77777777" w:rsidR="00CF45D9" w:rsidRDefault="00CF45D9" w:rsidP="00CF45D9">
            <w:pPr>
              <w:pStyle w:val="TableParagraph"/>
            </w:pPr>
            <w:r>
              <w:t>Offences relating to alcohol interlocks and privacy of motor vehicle occupants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48DB61D"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903E4F"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B327BE" w14:textId="77777777" w:rsidR="00CF45D9" w:rsidRDefault="00D411D8" w:rsidP="00AF1D10">
            <w:pPr>
              <w:pStyle w:val="TableParagraph"/>
            </w:pPr>
            <w:r>
              <w:t>T</w:t>
            </w:r>
            <w:r w:rsidR="004866F6">
              <w:t>h</w:t>
            </w:r>
            <w:r>
              <w:t>ese</w:t>
            </w:r>
            <w:r w:rsidR="004866F6">
              <w:t xml:space="preserve"> offence</w:t>
            </w:r>
            <w:r>
              <w:t xml:space="preserve">s </w:t>
            </w:r>
            <w:r w:rsidR="00AF1D10">
              <w:t xml:space="preserve">relate to the unauthorised downloading, printing possession, publishing, transmitting or disclosing to any other person </w:t>
            </w:r>
            <w:r w:rsidR="00AF1D10" w:rsidRPr="00AF1D10">
              <w:t xml:space="preserve">an image or data recorded by a camera or other mechanism that records information about the </w:t>
            </w:r>
            <w:r w:rsidR="00AF1D10" w:rsidRPr="00AF1D10">
              <w:lastRenderedPageBreak/>
              <w:t xml:space="preserve">identity of a person starting, attempting to start or using a motor vehicle that forms part of an approved alcohol interlock installed in the motor vehicle. </w:t>
            </w:r>
            <w:r w:rsidR="00CC6485">
              <w:t xml:space="preserve">Such acts must be required or permitted under Parts 5 or 7B of the </w:t>
            </w:r>
            <w:r w:rsidR="00CC6485" w:rsidRPr="00CC6485">
              <w:rPr>
                <w:i/>
              </w:rPr>
              <w:t>RSA</w:t>
            </w:r>
            <w:r w:rsidR="00CC6485">
              <w:t xml:space="preserve"> or other law, or authorised in writing by VicRoads. These offences a</w:t>
            </w:r>
            <w:r>
              <w:t>re</w:t>
            </w:r>
            <w:r w:rsidR="004866F6">
              <w:t xml:space="preserve"> intended to protect the privacy of drivers using an alcohol interlock</w:t>
            </w:r>
            <w:r w:rsidR="003D16BA">
              <w:t>.</w:t>
            </w:r>
          </w:p>
        </w:tc>
      </w:tr>
      <w:tr w:rsidR="00CF45D9" w14:paraId="226D8E1F"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0718FD3" w14:textId="77777777" w:rsidR="00CF45D9" w:rsidRDefault="00CF45D9" w:rsidP="00CF45D9">
            <w:pPr>
              <w:pStyle w:val="TableParagraph"/>
              <w:ind w:right="113"/>
              <w:jc w:val="right"/>
            </w:pPr>
            <w:r>
              <w:lastRenderedPageBreak/>
              <w:t>35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A73C4A" w14:textId="77777777" w:rsidR="00CF45D9" w:rsidRDefault="00CF45D9" w:rsidP="00CF45D9">
            <w:pPr>
              <w:pStyle w:val="TableParagraph"/>
            </w:pPr>
            <w:r>
              <w:t>Persons authorised to prepare reports supporting application for alcohol interlock condition removal order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DC0A3EB"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5D6D31"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32A195" w14:textId="77777777" w:rsidR="00CF45D9" w:rsidRDefault="00D411D8" w:rsidP="00CF45D9">
            <w:pPr>
              <w:pStyle w:val="TableParagraph"/>
            </w:pPr>
            <w:r>
              <w:t xml:space="preserve">This regulation is machinery in nature and gives </w:t>
            </w:r>
            <w:r w:rsidR="003D16BA">
              <w:t xml:space="preserve">effect to </w:t>
            </w:r>
            <w:r w:rsidR="006E3B00" w:rsidRPr="006E3B00">
              <w:t xml:space="preserve">section 50AAB(5) </w:t>
            </w:r>
            <w:r w:rsidR="002776BE">
              <w:t>of the</w:t>
            </w:r>
            <w:r w:rsidR="003D16BA">
              <w:t xml:space="preserve"> </w:t>
            </w:r>
            <w:r w:rsidR="003D16BA" w:rsidRPr="004866F6">
              <w:rPr>
                <w:i/>
              </w:rPr>
              <w:t>RSA</w:t>
            </w:r>
            <w:r w:rsidR="003D16BA">
              <w:t xml:space="preserve"> by authori</w:t>
            </w:r>
            <w:r w:rsidR="002776BE">
              <w:t>sing</w:t>
            </w:r>
            <w:r w:rsidR="003D16BA">
              <w:t xml:space="preserve"> persons</w:t>
            </w:r>
            <w:r w:rsidR="002776BE">
              <w:t xml:space="preserve"> and bodies</w:t>
            </w:r>
            <w:r w:rsidR="003D16BA">
              <w:t xml:space="preserve"> </w:t>
            </w:r>
            <w:r w:rsidR="002139D4">
              <w:t>to prepare a report for the Magistrates’ Court for an alcohol interlock condition removal order.</w:t>
            </w:r>
            <w:r w:rsidR="003D16BA">
              <w:t xml:space="preserve"> </w:t>
            </w:r>
          </w:p>
        </w:tc>
      </w:tr>
      <w:tr w:rsidR="00CF45D9" w:rsidRPr="00B52A2E" w14:paraId="644BA1AF"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5FF20F8E" w14:textId="77777777" w:rsidR="00CF45D9" w:rsidRPr="00B52A2E" w:rsidRDefault="00CF45D9" w:rsidP="00CF45D9">
            <w:pPr>
              <w:pStyle w:val="TableParagraph"/>
              <w:rPr>
                <w:b/>
              </w:rPr>
            </w:pPr>
            <w:r w:rsidRPr="00B52A2E">
              <w:rPr>
                <w:b/>
              </w:rPr>
              <w:t>Division 5—Behaviour change program</w:t>
            </w:r>
          </w:p>
        </w:tc>
      </w:tr>
      <w:tr w:rsidR="00CF45D9" w14:paraId="7B93DCF0" w14:textId="77777777" w:rsidTr="00394D3F">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486B461" w14:textId="77777777" w:rsidR="00CF45D9" w:rsidRDefault="00CF45D9" w:rsidP="00CF45D9">
            <w:pPr>
              <w:pStyle w:val="TableParagraph"/>
              <w:ind w:right="113"/>
              <w:jc w:val="right"/>
            </w:pPr>
            <w:r>
              <w:t>36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C2C61A" w14:textId="77777777" w:rsidR="00CF45D9" w:rsidRDefault="00CF45D9" w:rsidP="00CF45D9">
            <w:pPr>
              <w:pStyle w:val="TableParagraph"/>
            </w:pPr>
            <w:r>
              <w:t>Persons not required to complete first-stage behaviour change program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136BD9F"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153F12"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218C39" w14:textId="77777777" w:rsidR="00E76EEC" w:rsidRDefault="00F36291" w:rsidP="00E76EEC">
            <w:pPr>
              <w:pStyle w:val="TableParagraph"/>
            </w:pPr>
            <w:r>
              <w:t xml:space="preserve">Division 5 </w:t>
            </w:r>
            <w:r w:rsidR="0058228F">
              <w:t xml:space="preserve">of the proposed Regulations </w:t>
            </w:r>
            <w:r>
              <w:t>g</w:t>
            </w:r>
            <w:r w:rsidR="003F0A0E">
              <w:t xml:space="preserve">ives effect to </w:t>
            </w:r>
            <w:r w:rsidR="00E82C4F">
              <w:t xml:space="preserve">Part 5A of the </w:t>
            </w:r>
            <w:r w:rsidR="003F0A0E" w:rsidRPr="004866F6">
              <w:rPr>
                <w:i/>
              </w:rPr>
              <w:t>RSA</w:t>
            </w:r>
            <w:r w:rsidR="0058228F">
              <w:t xml:space="preserve">, which </w:t>
            </w:r>
            <w:r w:rsidR="00DF7332">
              <w:t>prescribes</w:t>
            </w:r>
            <w:r w:rsidR="0058228F">
              <w:t xml:space="preserve"> the completion of the</w:t>
            </w:r>
            <w:r w:rsidR="00CF45D9">
              <w:t xml:space="preserve"> </w:t>
            </w:r>
            <w:r w:rsidR="00455B87">
              <w:t xml:space="preserve">behaviour change program </w:t>
            </w:r>
            <w:r>
              <w:t xml:space="preserve">which came into effect </w:t>
            </w:r>
            <w:r w:rsidR="00CF45D9">
              <w:t>on 30</w:t>
            </w:r>
            <w:r>
              <w:t xml:space="preserve"> April 2018.</w:t>
            </w:r>
            <w:r w:rsidR="00CF45D9">
              <w:t xml:space="preserve"> </w:t>
            </w:r>
            <w:r>
              <w:t xml:space="preserve">Part 5A </w:t>
            </w:r>
            <w:r w:rsidR="00CF45D9">
              <w:t>mandat</w:t>
            </w:r>
            <w:r>
              <w:t>es</w:t>
            </w:r>
            <w:r w:rsidR="00CF45D9">
              <w:t xml:space="preserve"> program completion by drink-driving and drug-driving offenders as a pre-condition to get their licence back at the end of their disqualification period</w:t>
            </w:r>
            <w:r w:rsidR="00E76EEC">
              <w:t>.</w:t>
            </w:r>
            <w:r w:rsidR="00981D26">
              <w:t xml:space="preserve"> </w:t>
            </w:r>
          </w:p>
          <w:p w14:paraId="600D5C1E" w14:textId="77777777" w:rsidR="003F59F5" w:rsidRDefault="004074F1" w:rsidP="00AE4299">
            <w:pPr>
              <w:pStyle w:val="TableParagraph"/>
            </w:pPr>
            <w:r>
              <w:t xml:space="preserve">This </w:t>
            </w:r>
            <w:r w:rsidR="00981D26">
              <w:t xml:space="preserve">regulation exempts from completion of a first-stage program </w:t>
            </w:r>
            <w:r w:rsidR="003158FD">
              <w:t>persons convicted of offences that would not benefit from the remedial effects of the program, being that it was not a driving offence or the offence did not involve drink or drug driving</w:t>
            </w:r>
            <w:r w:rsidR="003F59F5" w:rsidRPr="003F59F5">
              <w:t>.</w:t>
            </w:r>
          </w:p>
        </w:tc>
      </w:tr>
      <w:tr w:rsidR="00CF45D9" w14:paraId="7467683C"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8FCE8F" w14:textId="77777777" w:rsidR="00CF45D9" w:rsidRDefault="00CF45D9" w:rsidP="00CF45D9">
            <w:pPr>
              <w:pStyle w:val="TableParagraph"/>
              <w:ind w:right="113"/>
              <w:jc w:val="right"/>
            </w:pPr>
            <w:r>
              <w:t>37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F42908" w14:textId="77777777" w:rsidR="00CF45D9" w:rsidRDefault="00CF45D9" w:rsidP="00CF45D9">
            <w:pPr>
              <w:pStyle w:val="TableParagraph"/>
            </w:pPr>
            <w:r>
              <w:t>Persons required to complete second-stage behaviour change program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ED6CCBB"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78FDF1"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B308DA" w14:textId="77777777" w:rsidR="000A3C17" w:rsidRDefault="00EA6A0B" w:rsidP="00CF45D9">
            <w:pPr>
              <w:pStyle w:val="TableParagraph"/>
            </w:pPr>
            <w:r>
              <w:t xml:space="preserve">Division 5 of the proposed Regulations gives effect to Part 5A of the </w:t>
            </w:r>
            <w:r w:rsidRPr="004866F6">
              <w:rPr>
                <w:i/>
              </w:rPr>
              <w:t>RSA</w:t>
            </w:r>
            <w:r>
              <w:t xml:space="preserve">, which mandates the completion of the </w:t>
            </w:r>
            <w:r w:rsidR="006326CA">
              <w:t xml:space="preserve">second-stage </w:t>
            </w:r>
            <w:r w:rsidR="00CF45D9">
              <w:t>Behaviour Change Program</w:t>
            </w:r>
            <w:r>
              <w:rPr>
                <w:sz w:val="20"/>
              </w:rPr>
              <w:t>.</w:t>
            </w:r>
            <w:r w:rsidRPr="00EA6A0B">
              <w:t xml:space="preserve"> </w:t>
            </w:r>
            <w:r w:rsidR="00226472">
              <w:t xml:space="preserve">This </w:t>
            </w:r>
            <w:r w:rsidR="00386C8F">
              <w:t>regulation</w:t>
            </w:r>
            <w:r>
              <w:t xml:space="preserve"> defines the </w:t>
            </w:r>
            <w:r w:rsidR="000A3C17">
              <w:t>cases where</w:t>
            </w:r>
            <w:r>
              <w:t xml:space="preserve"> persons are </w:t>
            </w:r>
            <w:r w:rsidR="000A3C17">
              <w:t>required to complete</w:t>
            </w:r>
            <w:r>
              <w:t xml:space="preserve"> </w:t>
            </w:r>
            <w:r w:rsidRPr="00EA6A0B">
              <w:t>a second-stage behaviour change program before the</w:t>
            </w:r>
            <w:r>
              <w:t>y</w:t>
            </w:r>
            <w:r w:rsidRPr="00EA6A0B">
              <w:t xml:space="preserve"> may apply for the </w:t>
            </w:r>
            <w:r w:rsidRPr="00EA6A0B">
              <w:lastRenderedPageBreak/>
              <w:t>removal of an alcohol interlock condition imposed on the</w:t>
            </w:r>
            <w:r w:rsidR="000A3C17">
              <w:t xml:space="preserve">ir </w:t>
            </w:r>
            <w:r w:rsidRPr="00EA6A0B">
              <w:t>driver licence or learner permit</w:t>
            </w:r>
            <w:r w:rsidR="000A3C17">
              <w:t>.</w:t>
            </w:r>
            <w:r w:rsidR="00226472">
              <w:t xml:space="preserve"> It applies to high risk drink and drug driving offenders, such as persons convicted of a second or subsequent drink or drug (or both) driving offence or </w:t>
            </w:r>
            <w:r w:rsidR="00CE6345">
              <w:t>a first-time offender with a high BAC concentration.</w:t>
            </w:r>
            <w:r w:rsidR="00226472">
              <w:t xml:space="preserve"> </w:t>
            </w:r>
          </w:p>
        </w:tc>
      </w:tr>
      <w:tr w:rsidR="00CF45D9" w14:paraId="2C42A2FB"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16CC38" w14:textId="77777777" w:rsidR="00CF45D9" w:rsidRDefault="00CF45D9" w:rsidP="00CF45D9">
            <w:pPr>
              <w:pStyle w:val="TableParagraph"/>
              <w:ind w:right="113"/>
              <w:jc w:val="right"/>
            </w:pPr>
            <w:r>
              <w:lastRenderedPageBreak/>
              <w:t>38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A55517" w14:textId="77777777" w:rsidR="00CF45D9" w:rsidRDefault="00CF45D9" w:rsidP="00CF45D9">
            <w:pPr>
              <w:pStyle w:val="TableParagraph"/>
            </w:pPr>
            <w:r>
              <w:t>Prescribed information to be included in notification—behaviour change program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0BE178A"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99EE35"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5468BA" w14:textId="77777777" w:rsidR="00CF45D9" w:rsidRPr="000A3C17" w:rsidRDefault="000A3C17" w:rsidP="00CF45D9">
            <w:pPr>
              <w:pStyle w:val="TableParagraph"/>
            </w:pPr>
            <w:r>
              <w:t xml:space="preserve">This regulation is machinery in nature and gives effect to section 58E(2)(b) of the </w:t>
            </w:r>
            <w:r>
              <w:rPr>
                <w:i/>
              </w:rPr>
              <w:t>RSA</w:t>
            </w:r>
            <w:r>
              <w:t xml:space="preserve"> </w:t>
            </w:r>
            <w:r w:rsidR="00D2675A">
              <w:t>by prescribing what information must be included in a notice requiring a person to complete a behaviour change program.</w:t>
            </w:r>
          </w:p>
        </w:tc>
      </w:tr>
      <w:tr w:rsidR="00CF45D9" w14:paraId="535440B2"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7330E2" w14:textId="77777777" w:rsidR="00CF45D9" w:rsidRDefault="00CF45D9" w:rsidP="00CF45D9">
            <w:pPr>
              <w:pStyle w:val="TableParagraph"/>
              <w:ind w:right="113"/>
              <w:jc w:val="right"/>
            </w:pPr>
            <w:r>
              <w:t>39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26FC55" w14:textId="77777777" w:rsidR="00CF45D9" w:rsidRDefault="00CF45D9" w:rsidP="00CF45D9">
            <w:pPr>
              <w:pStyle w:val="TableParagraph"/>
            </w:pPr>
            <w:r>
              <w:t>Certificate of completion—behaviour change program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3AB257F"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CA19BB" w14:textId="77777777" w:rsidR="00CF45D9" w:rsidRDefault="00CF45D9" w:rsidP="00CF45D9">
            <w:pPr>
              <w:pStyle w:val="TableParagraph"/>
            </w:pPr>
            <w:r>
              <w:t>Not addressed in the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49F54B" w14:textId="77777777" w:rsidR="00CF45D9" w:rsidRDefault="00D2675A" w:rsidP="00CF45D9">
            <w:pPr>
              <w:pStyle w:val="TableParagraph"/>
            </w:pPr>
            <w:r>
              <w:t xml:space="preserve">This regulation is machinery in nature and gives effect to section 58R(3)(b) of the </w:t>
            </w:r>
            <w:r>
              <w:rPr>
                <w:i/>
              </w:rPr>
              <w:t>RSA</w:t>
            </w:r>
            <w:r>
              <w:t xml:space="preserve"> by prescribing that, </w:t>
            </w:r>
            <w:r w:rsidRPr="00D2675A">
              <w:t>if the person completes a behaviour change program, the approved provider of the program</w:t>
            </w:r>
            <w:r>
              <w:t xml:space="preserve"> </w:t>
            </w:r>
            <w:r w:rsidRPr="00D2675A">
              <w:t>must provide, upon request by VicRoads, a copy of a certificate of completion to VicRoads</w:t>
            </w:r>
            <w:r>
              <w:t>.</w:t>
            </w:r>
          </w:p>
        </w:tc>
      </w:tr>
      <w:tr w:rsidR="00CF45D9" w:rsidRPr="00B52A2E" w14:paraId="3824C4C2"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6242CFA4" w14:textId="77777777" w:rsidR="00CF45D9" w:rsidRPr="00B52A2E" w:rsidRDefault="00CF45D9" w:rsidP="00CF45D9">
            <w:pPr>
              <w:pStyle w:val="TableParagraph"/>
              <w:keepNext/>
              <w:rPr>
                <w:b/>
              </w:rPr>
            </w:pPr>
            <w:r w:rsidRPr="00B52A2E">
              <w:rPr>
                <w:b/>
              </w:rPr>
              <w:t>Division 6—Renewal of licence</w:t>
            </w:r>
          </w:p>
        </w:tc>
      </w:tr>
      <w:tr w:rsidR="00CF45D9" w14:paraId="3A3D4E03"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9D1BD1" w14:textId="77777777" w:rsidR="00CF45D9" w:rsidRDefault="00CF45D9" w:rsidP="00CF45D9">
            <w:pPr>
              <w:pStyle w:val="TableParagraph"/>
              <w:ind w:right="113"/>
              <w:jc w:val="right"/>
            </w:pPr>
            <w:r>
              <w:t>40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411CDC" w14:textId="77777777" w:rsidR="00CF45D9" w:rsidRDefault="00CF45D9" w:rsidP="00CF45D9">
            <w:pPr>
              <w:pStyle w:val="TableParagraph"/>
            </w:pPr>
            <w:r>
              <w:t>Renewal notice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FCE82F" w14:textId="77777777" w:rsidR="00CF45D9" w:rsidRDefault="00CF45D9" w:rsidP="00CF45D9">
            <w:pPr>
              <w:pStyle w:val="TableParagraph"/>
            </w:pPr>
            <w:r>
              <w:t>NDLS SP19</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6418C3"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16A177" w14:textId="77777777" w:rsidR="00CF45D9" w:rsidRDefault="00CF45D9" w:rsidP="00CF45D9">
            <w:pPr>
              <w:pStyle w:val="TableParagraph"/>
            </w:pPr>
            <w:r>
              <w:t>Application of the NDLS National Regulations</w:t>
            </w:r>
          </w:p>
        </w:tc>
      </w:tr>
      <w:tr w:rsidR="00CF45D9" w14:paraId="18ACFBFA"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E6A5A0" w14:textId="77777777" w:rsidR="00CF45D9" w:rsidRDefault="00CF45D9" w:rsidP="00CF45D9">
            <w:pPr>
              <w:pStyle w:val="TableParagraph"/>
              <w:ind w:right="113"/>
              <w:jc w:val="right"/>
            </w:pPr>
            <w:r>
              <w:t>41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CD17B" w14:textId="77777777" w:rsidR="00CF45D9" w:rsidRDefault="00CF45D9" w:rsidP="00CF45D9">
            <w:pPr>
              <w:pStyle w:val="TableParagraph"/>
            </w:pPr>
            <w:r>
              <w:t>Renewal of a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AD13CE" w14:textId="77777777" w:rsidR="00CF45D9" w:rsidRDefault="00CF45D9" w:rsidP="00CF45D9">
            <w:pPr>
              <w:pStyle w:val="TableParagraph"/>
            </w:pPr>
            <w:r>
              <w:t>NDLS SP20</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DDA18C"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8B5E49" w14:textId="77777777" w:rsidR="00CF45D9" w:rsidRDefault="00CF45D9" w:rsidP="00CF45D9">
            <w:pPr>
              <w:pStyle w:val="TableParagraph"/>
            </w:pPr>
            <w:r>
              <w:t>Application of the NDLS National Regulations</w:t>
            </w:r>
          </w:p>
        </w:tc>
      </w:tr>
      <w:tr w:rsidR="00CF45D9" w14:paraId="4D5D992C"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4B570C" w14:textId="77777777" w:rsidR="00CF45D9" w:rsidRDefault="00CF45D9" w:rsidP="00CF45D9">
            <w:pPr>
              <w:pStyle w:val="TableParagraph"/>
              <w:ind w:right="113"/>
              <w:jc w:val="right"/>
            </w:pPr>
            <w:r>
              <w:t>42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574E29" w14:textId="77777777" w:rsidR="00CF45D9" w:rsidRDefault="00CF45D9" w:rsidP="00CF45D9">
            <w:pPr>
              <w:pStyle w:val="TableParagraph"/>
            </w:pPr>
            <w:r>
              <w:t>Expiry date of renewed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5E5CD3" w14:textId="77777777" w:rsidR="00CF45D9" w:rsidRDefault="00CF45D9" w:rsidP="00CF45D9">
            <w:pPr>
              <w:pStyle w:val="TableParagraph"/>
            </w:pPr>
            <w:r>
              <w:t>NDLS SP18 &amp; SP20(5)</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1BF401"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6C8CAD" w14:textId="77777777" w:rsidR="00CF45D9" w:rsidRDefault="00CF45D9" w:rsidP="00CF45D9">
            <w:pPr>
              <w:pStyle w:val="TableParagraph"/>
            </w:pPr>
            <w:r>
              <w:t>Application of the NDLS National Regulations</w:t>
            </w:r>
          </w:p>
        </w:tc>
      </w:tr>
      <w:tr w:rsidR="00CF45D9" w:rsidRPr="00B52A2E" w14:paraId="51D6B0F2"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1AC9FC09" w14:textId="77777777" w:rsidR="00CF45D9" w:rsidRPr="00B52A2E" w:rsidRDefault="00CF45D9" w:rsidP="00CF45D9">
            <w:pPr>
              <w:pStyle w:val="TableParagraph"/>
              <w:rPr>
                <w:b/>
              </w:rPr>
            </w:pPr>
            <w:r w:rsidRPr="00B52A2E">
              <w:rPr>
                <w:b/>
              </w:rPr>
              <w:t>Division 7—Surrender of driver licence or learner permit</w:t>
            </w:r>
          </w:p>
        </w:tc>
      </w:tr>
      <w:tr w:rsidR="00CF45D9" w14:paraId="604C94C9"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4F1F4A" w14:textId="77777777" w:rsidR="00CF45D9" w:rsidRDefault="00CF45D9" w:rsidP="00CF45D9">
            <w:pPr>
              <w:pStyle w:val="TableParagraph"/>
              <w:ind w:right="113"/>
              <w:jc w:val="right"/>
            </w:pPr>
            <w:r>
              <w:t>43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701886" w14:textId="77777777" w:rsidR="00CF45D9" w:rsidRDefault="00CF45D9" w:rsidP="00CF45D9">
            <w:pPr>
              <w:pStyle w:val="TableParagraph"/>
            </w:pPr>
            <w:r>
              <w:t>Surrender and cancellation of driver licence or learner permit</w:t>
            </w:r>
            <w:r>
              <w:rPr>
                <w:sz w:val="20"/>
              </w:rPr>
              <w:t xml:space="preserve">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69A0D4" w14:textId="77777777" w:rsidR="00CF45D9" w:rsidRDefault="00CF45D9" w:rsidP="00CF45D9">
            <w:pPr>
              <w:pStyle w:val="TableParagraph"/>
            </w:pPr>
            <w:r>
              <w:t>NDLS SP22</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4B97D2"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0C0C9B" w14:textId="77777777" w:rsidR="00CF45D9" w:rsidRDefault="00CF45D9" w:rsidP="00CF45D9">
            <w:pPr>
              <w:pStyle w:val="TableParagraph"/>
            </w:pPr>
            <w:r>
              <w:t>Application of the NDLS National Regulations</w:t>
            </w:r>
          </w:p>
        </w:tc>
      </w:tr>
      <w:tr w:rsidR="00CF45D9" w:rsidRPr="00B52A2E" w14:paraId="6F7EED3E"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74F4D43C" w14:textId="77777777" w:rsidR="00CF45D9" w:rsidRPr="00B52A2E" w:rsidRDefault="00CF45D9" w:rsidP="00CF45D9">
            <w:pPr>
              <w:pStyle w:val="TableParagraph"/>
              <w:rPr>
                <w:b/>
              </w:rPr>
            </w:pPr>
            <w:r w:rsidRPr="00B52A2E">
              <w:rPr>
                <w:b/>
              </w:rPr>
              <w:t>Division 8—Learner drivers</w:t>
            </w:r>
          </w:p>
        </w:tc>
      </w:tr>
      <w:tr w:rsidR="00CF45D9" w14:paraId="381FFCD9"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604FA4" w14:textId="77777777" w:rsidR="00CF45D9" w:rsidRDefault="00CF45D9" w:rsidP="00CF45D9">
            <w:pPr>
              <w:pStyle w:val="TableParagraph"/>
              <w:ind w:right="113"/>
              <w:jc w:val="right"/>
            </w:pPr>
            <w:r>
              <w:t>44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DC4AFA" w14:textId="77777777" w:rsidR="00CF45D9" w:rsidRDefault="00CF45D9" w:rsidP="00CF45D9">
            <w:pPr>
              <w:pStyle w:val="TableParagraph"/>
            </w:pPr>
            <w:r>
              <w:t>Term of learner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E35312A"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ABD1A7" w14:textId="77777777" w:rsidR="00CF45D9" w:rsidRDefault="00CF45D9" w:rsidP="00CF45D9">
            <w:pPr>
              <w:pStyle w:val="TableParagraph"/>
            </w:pPr>
            <w:r>
              <w:t>Not addressed in the NDLS, NGLS or NMGLS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96D2C0" w14:textId="4869E28C" w:rsidR="00CF45D9" w:rsidRDefault="00CF45D9" w:rsidP="00CF45D9">
            <w:pPr>
              <w:pStyle w:val="TableParagraph"/>
            </w:pPr>
            <w:r>
              <w:t>Application of learner permit term</w:t>
            </w:r>
            <w:r>
              <w:rPr>
                <w:sz w:val="20"/>
              </w:rPr>
              <w:t xml:space="preserve"> </w:t>
            </w:r>
            <w:r>
              <w:t>policy</w:t>
            </w:r>
            <w:r>
              <w:br/>
              <w:t xml:space="preserve">(refer to RIS Section </w:t>
            </w:r>
            <w:r>
              <w:fldChar w:fldCharType="begin"/>
            </w:r>
            <w:r>
              <w:instrText xml:space="preserve"> REF _Ref527542935 \r \h </w:instrText>
            </w:r>
            <w:r>
              <w:fldChar w:fldCharType="separate"/>
            </w:r>
            <w:r w:rsidR="00EB4B02">
              <w:t>0</w:t>
            </w:r>
            <w:r>
              <w:fldChar w:fldCharType="end"/>
            </w:r>
            <w:r>
              <w:t xml:space="preserve"> – Learner Permit)</w:t>
            </w:r>
          </w:p>
        </w:tc>
      </w:tr>
      <w:tr w:rsidR="00CF45D9" w14:paraId="54036FB0"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33D64A" w14:textId="77777777" w:rsidR="00CF45D9" w:rsidRDefault="00CF45D9" w:rsidP="00CF45D9">
            <w:pPr>
              <w:pStyle w:val="TableParagraph"/>
              <w:ind w:right="113"/>
              <w:jc w:val="right"/>
            </w:pPr>
            <w:r>
              <w:lastRenderedPageBreak/>
              <w:t>45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B0BD55" w14:textId="77777777" w:rsidR="00CF45D9" w:rsidRDefault="00CF45D9" w:rsidP="00CF45D9">
            <w:pPr>
              <w:pStyle w:val="TableParagraph"/>
            </w:pPr>
            <w:r>
              <w:t>Surrender of learner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85C47A9"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35F9CF" w14:textId="77777777" w:rsidR="00CF45D9" w:rsidRDefault="00CF45D9" w:rsidP="00CF45D9">
            <w:pPr>
              <w:pStyle w:val="TableParagraph"/>
            </w:pPr>
            <w:r>
              <w:t>Not addressed in the NDLS, NGLS or NMGLS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BD44C2" w14:textId="21EBAEEF" w:rsidR="00CF45D9" w:rsidRDefault="00CF45D9" w:rsidP="00CF45D9">
            <w:pPr>
              <w:pStyle w:val="TableParagraph"/>
            </w:pPr>
            <w:r>
              <w:t>Application of learner permit surrender</w:t>
            </w:r>
            <w:r>
              <w:rPr>
                <w:sz w:val="20"/>
              </w:rPr>
              <w:t xml:space="preserve"> </w:t>
            </w:r>
            <w:r>
              <w:t xml:space="preserve">policy </w:t>
            </w:r>
            <w:r>
              <w:br/>
              <w:t xml:space="preserve">(refer to RIS Section </w:t>
            </w:r>
            <w:r>
              <w:fldChar w:fldCharType="begin"/>
            </w:r>
            <w:r>
              <w:instrText xml:space="preserve"> REF _Ref527542935 \r \h </w:instrText>
            </w:r>
            <w:r>
              <w:fldChar w:fldCharType="separate"/>
            </w:r>
            <w:r w:rsidR="00EB4B02">
              <w:t>0</w:t>
            </w:r>
            <w:r>
              <w:fldChar w:fldCharType="end"/>
            </w:r>
            <w:r>
              <w:t xml:space="preserve"> – Learner Permit)</w:t>
            </w:r>
          </w:p>
        </w:tc>
      </w:tr>
      <w:tr w:rsidR="00CF45D9" w14:paraId="20E95BEA"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E08908" w14:textId="77777777" w:rsidR="00CF45D9" w:rsidRDefault="00CF45D9" w:rsidP="00CF45D9">
            <w:pPr>
              <w:pStyle w:val="TableParagraph"/>
              <w:ind w:right="113"/>
              <w:jc w:val="right"/>
            </w:pPr>
            <w:r>
              <w:t>46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F5C66F" w14:textId="77777777" w:rsidR="00CF45D9" w:rsidRDefault="00CF45D9" w:rsidP="00CF45D9">
            <w:pPr>
              <w:pStyle w:val="TableParagraph"/>
            </w:pPr>
            <w:r>
              <w:t>Renewal of a car learner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1CA5196" w14:textId="77777777" w:rsidR="00CF45D9" w:rsidRDefault="00CF45D9"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A8C95A" w14:textId="77777777" w:rsidR="00CF45D9" w:rsidRDefault="00CF45D9" w:rsidP="00CF45D9">
            <w:pPr>
              <w:pStyle w:val="TableParagraph"/>
            </w:pPr>
            <w:r>
              <w:t>Not addressed in the NDLS or NGLS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413DB6" w14:textId="240B3F8D" w:rsidR="00CF45D9" w:rsidRDefault="00CF45D9" w:rsidP="00CF45D9">
            <w:pPr>
              <w:pStyle w:val="TableParagraph"/>
            </w:pPr>
            <w:r>
              <w:t>Application of learner permit renewal</w:t>
            </w:r>
            <w:r>
              <w:rPr>
                <w:sz w:val="20"/>
              </w:rPr>
              <w:t xml:space="preserve"> </w:t>
            </w:r>
            <w:r>
              <w:t xml:space="preserve">policy </w:t>
            </w:r>
            <w:r>
              <w:br/>
              <w:t xml:space="preserve">(refer to RIS Section </w:t>
            </w:r>
            <w:r>
              <w:fldChar w:fldCharType="begin"/>
            </w:r>
            <w:r>
              <w:instrText xml:space="preserve"> REF _Ref527542935 \r \h </w:instrText>
            </w:r>
            <w:r>
              <w:fldChar w:fldCharType="separate"/>
            </w:r>
            <w:r w:rsidR="00EB4B02">
              <w:t>0</w:t>
            </w:r>
            <w:r>
              <w:fldChar w:fldCharType="end"/>
            </w:r>
            <w:r>
              <w:t xml:space="preserve"> – Learner Permit)</w:t>
            </w:r>
          </w:p>
        </w:tc>
      </w:tr>
      <w:tr w:rsidR="00CF45D9" w14:paraId="34AD1F53"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77EFF5" w14:textId="77777777" w:rsidR="00CF45D9" w:rsidRDefault="00CF45D9" w:rsidP="00CF45D9">
            <w:pPr>
              <w:pStyle w:val="TableParagraph"/>
              <w:ind w:right="113"/>
              <w:jc w:val="right"/>
            </w:pPr>
            <w:r>
              <w:t>47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3D5C94" w14:textId="77777777" w:rsidR="00CF45D9" w:rsidRDefault="00CF45D9" w:rsidP="00CF45D9">
            <w:pPr>
              <w:pStyle w:val="TableParagraph"/>
            </w:pPr>
            <w:r>
              <w:t>Restrictions affecting learner drivers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1553B0" w14:textId="77777777" w:rsidR="00CF45D9" w:rsidRDefault="00CF45D9" w:rsidP="00CF45D9">
            <w:pPr>
              <w:pStyle w:val="TableParagraph"/>
            </w:pPr>
            <w:r>
              <w:t>NGLS &amp; NMGLS</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384A12"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7E8B26" w14:textId="18DC2D35" w:rsidR="00CF45D9" w:rsidRDefault="00CF45D9" w:rsidP="00CF45D9">
            <w:pPr>
              <w:pStyle w:val="TableParagraph"/>
            </w:pPr>
            <w:r>
              <w:t>Application of restrictions under NGLS policy (Exemplar Stage) and NMGLS policy</w:t>
            </w:r>
            <w:r>
              <w:br/>
              <w:t xml:space="preserve">(refer to RIS Section </w:t>
            </w:r>
            <w:r>
              <w:fldChar w:fldCharType="begin"/>
            </w:r>
            <w:r>
              <w:instrText xml:space="preserve"> REF _Ref527542935 \r \h </w:instrText>
            </w:r>
            <w:r>
              <w:fldChar w:fldCharType="separate"/>
            </w:r>
            <w:r w:rsidR="00EB4B02">
              <w:t>0</w:t>
            </w:r>
            <w:r>
              <w:fldChar w:fldCharType="end"/>
            </w:r>
            <w:r>
              <w:t xml:space="preserve"> – Learner Permit)</w:t>
            </w:r>
          </w:p>
        </w:tc>
      </w:tr>
      <w:tr w:rsidR="00CF45D9" w14:paraId="702F6C72"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9789FE" w14:textId="77777777" w:rsidR="00CF45D9" w:rsidRDefault="00CF45D9" w:rsidP="00CF45D9">
            <w:pPr>
              <w:pStyle w:val="TableParagraph"/>
              <w:ind w:right="113"/>
              <w:jc w:val="right"/>
            </w:pPr>
            <w:r>
              <w:t>48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5C31F" w14:textId="77777777" w:rsidR="00CF45D9" w:rsidRDefault="00CF45D9" w:rsidP="00CF45D9">
            <w:pPr>
              <w:pStyle w:val="TableParagraph"/>
            </w:pPr>
            <w:r>
              <w:t>Learner driver must display L plates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6B3AD5" w14:textId="77777777" w:rsidR="00CF45D9" w:rsidRDefault="00CF45D9" w:rsidP="00CF45D9">
            <w:pPr>
              <w:pStyle w:val="TableParagraph"/>
            </w:pPr>
            <w:r>
              <w:t>NDLS PP25(b)(ii); NGLS &amp; NMGLS</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BCA432"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F3D496" w14:textId="2AB37718" w:rsidR="00CF45D9" w:rsidRDefault="00CF45D9" w:rsidP="00CF45D9">
            <w:pPr>
              <w:pStyle w:val="TableParagraph"/>
            </w:pPr>
            <w:r>
              <w:t>Application of restriction under the NDLS National Regulations, NGLS policy (Exemplar Stage) and NMGLS policy</w:t>
            </w:r>
            <w:r>
              <w:br/>
              <w:t xml:space="preserve">(refer to RIS Section </w:t>
            </w:r>
            <w:r>
              <w:fldChar w:fldCharType="begin"/>
            </w:r>
            <w:r>
              <w:instrText xml:space="preserve"> REF _Ref527542935 \r \h </w:instrText>
            </w:r>
            <w:r>
              <w:fldChar w:fldCharType="separate"/>
            </w:r>
            <w:r w:rsidR="00EB4B02">
              <w:t>0</w:t>
            </w:r>
            <w:r>
              <w:fldChar w:fldCharType="end"/>
            </w:r>
            <w:r>
              <w:t xml:space="preserve"> – Learner Permit)</w:t>
            </w:r>
          </w:p>
        </w:tc>
      </w:tr>
      <w:tr w:rsidR="00CF45D9" w:rsidRPr="00B52A2E" w14:paraId="187B4853"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666053CA" w14:textId="77777777" w:rsidR="00CF45D9" w:rsidRPr="00B52A2E" w:rsidRDefault="00CF45D9" w:rsidP="009575CE">
            <w:pPr>
              <w:pStyle w:val="TableParagraph"/>
              <w:keepNext/>
              <w:rPr>
                <w:b/>
              </w:rPr>
            </w:pPr>
            <w:r w:rsidRPr="00B52A2E">
              <w:rPr>
                <w:b/>
              </w:rPr>
              <w:t>Division 9—Probationary drivers</w:t>
            </w:r>
          </w:p>
        </w:tc>
      </w:tr>
      <w:tr w:rsidR="00CF45D9" w14:paraId="16CD3824"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9246C2" w14:textId="77777777" w:rsidR="00CF45D9" w:rsidRDefault="00CF45D9" w:rsidP="00CF45D9">
            <w:pPr>
              <w:pStyle w:val="TableParagraph"/>
              <w:ind w:right="113"/>
              <w:jc w:val="right"/>
            </w:pPr>
            <w:r>
              <w:t>49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B15992" w14:textId="77777777" w:rsidR="00CF45D9" w:rsidRDefault="00CF45D9" w:rsidP="00CF45D9">
            <w:pPr>
              <w:pStyle w:val="TableParagraph"/>
            </w:pPr>
            <w:r>
              <w:t>Probationary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C5E865" w14:textId="77777777" w:rsidR="00CF45D9" w:rsidRDefault="00CF45D9" w:rsidP="00CF45D9">
            <w:pPr>
              <w:pStyle w:val="TableParagraph"/>
            </w:pPr>
            <w:r>
              <w:t xml:space="preserve">NGLS </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712091"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FB2528" w14:textId="2CF3D958" w:rsidR="00CF45D9" w:rsidRDefault="00CF45D9" w:rsidP="00CF45D9">
            <w:pPr>
              <w:pStyle w:val="TableParagraph"/>
            </w:pPr>
            <w:r>
              <w:t xml:space="preserve">Application of NGLS policy (Exemplar Stage) </w:t>
            </w:r>
            <w:r>
              <w:br/>
              <w:t xml:space="preserve">(refer to RIS Section </w:t>
            </w:r>
            <w:r>
              <w:fldChar w:fldCharType="begin"/>
            </w:r>
            <w:r>
              <w:instrText xml:space="preserve"> REF _Ref508728572 \r \h </w:instrText>
            </w:r>
            <w:r>
              <w:fldChar w:fldCharType="separate"/>
            </w:r>
            <w:r w:rsidR="00EB4B02">
              <w:t>7.4</w:t>
            </w:r>
            <w:r>
              <w:fldChar w:fldCharType="end"/>
            </w:r>
            <w:r>
              <w:t xml:space="preserve"> – Probationary Licence)</w:t>
            </w:r>
          </w:p>
        </w:tc>
      </w:tr>
      <w:tr w:rsidR="00CF45D9" w14:paraId="6F32BEFF"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EF70ED" w14:textId="77777777" w:rsidR="00CF45D9" w:rsidRDefault="00CF45D9" w:rsidP="00CF45D9">
            <w:pPr>
              <w:pStyle w:val="TableParagraph"/>
              <w:ind w:right="113"/>
              <w:jc w:val="right"/>
            </w:pPr>
            <w:r>
              <w:t>50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CC289C" w14:textId="77777777" w:rsidR="00CF45D9" w:rsidRDefault="00CF45D9" w:rsidP="00CF45D9">
            <w:pPr>
              <w:pStyle w:val="TableParagraph"/>
            </w:pPr>
            <w:r>
              <w:t>P1 probationary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3ED3D2" w14:textId="77777777" w:rsidR="00CF45D9" w:rsidRDefault="00CF45D9" w:rsidP="00CF45D9">
            <w:pPr>
              <w:pStyle w:val="TableParagraph"/>
            </w:pPr>
            <w:r>
              <w:t xml:space="preserve">NGLS </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50EF64"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FC8979" w14:textId="05D61419" w:rsidR="00CF45D9" w:rsidRDefault="00CF45D9" w:rsidP="00CF45D9">
            <w:pPr>
              <w:pStyle w:val="TableParagraph"/>
            </w:pPr>
            <w:r>
              <w:t xml:space="preserve">Application of NGLS policy (Exemplar Stage) </w:t>
            </w:r>
            <w:r>
              <w:br/>
              <w:t xml:space="preserve">(refer to RIS Section </w:t>
            </w:r>
            <w:r>
              <w:fldChar w:fldCharType="begin"/>
            </w:r>
            <w:r>
              <w:instrText xml:space="preserve"> REF _Ref508728572 \r \h </w:instrText>
            </w:r>
            <w:r>
              <w:fldChar w:fldCharType="separate"/>
            </w:r>
            <w:r w:rsidR="00EB4B02">
              <w:t>7.4</w:t>
            </w:r>
            <w:r>
              <w:fldChar w:fldCharType="end"/>
            </w:r>
            <w:r>
              <w:t xml:space="preserve"> – Probationary Licence)</w:t>
            </w:r>
          </w:p>
        </w:tc>
      </w:tr>
      <w:tr w:rsidR="00CF45D9" w14:paraId="01B94734"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D626E4" w14:textId="77777777" w:rsidR="00CF45D9" w:rsidRDefault="00CF45D9" w:rsidP="00CF45D9">
            <w:pPr>
              <w:pStyle w:val="TableParagraph"/>
              <w:ind w:right="113"/>
              <w:jc w:val="right"/>
            </w:pPr>
            <w:r>
              <w:t>51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9E9BD2" w14:textId="77777777" w:rsidR="00CF45D9" w:rsidRDefault="00CF45D9" w:rsidP="00CF45D9">
            <w:pPr>
              <w:pStyle w:val="TableParagraph"/>
            </w:pPr>
            <w:r>
              <w:t>P2 probationary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CC9A75" w14:textId="77777777" w:rsidR="00CF45D9" w:rsidRDefault="00CF45D9" w:rsidP="00CF45D9">
            <w:pPr>
              <w:pStyle w:val="TableParagraph"/>
            </w:pPr>
            <w:r>
              <w:t xml:space="preserve">NGLS </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4E6C2C"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989C84" w14:textId="6E0F870F" w:rsidR="00CF45D9" w:rsidRDefault="00CF45D9" w:rsidP="00CF45D9">
            <w:pPr>
              <w:pStyle w:val="TableParagraph"/>
            </w:pPr>
            <w:r>
              <w:t xml:space="preserve">Application of NGLS policy (Exemplar Stage) </w:t>
            </w:r>
            <w:r>
              <w:br/>
              <w:t xml:space="preserve">(refer to RIS Section </w:t>
            </w:r>
            <w:r>
              <w:fldChar w:fldCharType="begin"/>
            </w:r>
            <w:r>
              <w:instrText xml:space="preserve"> REF _Ref508728572 \r \h </w:instrText>
            </w:r>
            <w:r>
              <w:fldChar w:fldCharType="separate"/>
            </w:r>
            <w:r w:rsidR="00EB4B02">
              <w:t>7.4</w:t>
            </w:r>
            <w:r>
              <w:fldChar w:fldCharType="end"/>
            </w:r>
            <w:r>
              <w:t xml:space="preserve"> – Probationary Licence)</w:t>
            </w:r>
          </w:p>
        </w:tc>
      </w:tr>
      <w:tr w:rsidR="00CF45D9" w14:paraId="39F9B1CD"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ED41CD" w14:textId="77777777" w:rsidR="00CF45D9" w:rsidRDefault="00CF45D9" w:rsidP="00CF45D9">
            <w:pPr>
              <w:pStyle w:val="TableParagraph"/>
              <w:ind w:right="113"/>
              <w:jc w:val="right"/>
            </w:pPr>
            <w:r>
              <w:t>52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0219E3" w14:textId="77777777" w:rsidR="00CF45D9" w:rsidRDefault="00CF45D9" w:rsidP="00CF45D9">
            <w:pPr>
              <w:pStyle w:val="TableParagraph"/>
            </w:pPr>
            <w:r>
              <w:t>Transition from P1 probationary driver licence to P2 probationary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A7DDBA" w14:textId="77777777" w:rsidR="00CF45D9" w:rsidRDefault="00CF45D9" w:rsidP="00CF45D9">
            <w:pPr>
              <w:pStyle w:val="TableParagraph"/>
            </w:pPr>
            <w:r>
              <w:t xml:space="preserve">NGLS </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F1EE40"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4E0A9B" w14:textId="4BEBB121" w:rsidR="00CF45D9" w:rsidRDefault="00CF45D9" w:rsidP="00CF45D9">
            <w:pPr>
              <w:pStyle w:val="TableParagraph"/>
            </w:pPr>
            <w:r>
              <w:t xml:space="preserve">Application of NGLS policy (Exemplar Stage) </w:t>
            </w:r>
            <w:r>
              <w:br/>
              <w:t xml:space="preserve">(refer to RIS Section </w:t>
            </w:r>
            <w:r>
              <w:fldChar w:fldCharType="begin"/>
            </w:r>
            <w:r>
              <w:instrText xml:space="preserve"> REF _Ref527544080 \r \h </w:instrText>
            </w:r>
            <w:r>
              <w:fldChar w:fldCharType="separate"/>
            </w:r>
            <w:r w:rsidR="00EB4B02">
              <w:t>7.4.4</w:t>
            </w:r>
            <w:r>
              <w:fldChar w:fldCharType="end"/>
            </w:r>
            <w:r>
              <w:t xml:space="preserve"> – Progressing from P1 to P2 licence)</w:t>
            </w:r>
          </w:p>
        </w:tc>
      </w:tr>
      <w:tr w:rsidR="00CF45D9" w14:paraId="403F2900"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26E8FA" w14:textId="77777777" w:rsidR="00CF45D9" w:rsidRDefault="00CF45D9" w:rsidP="00CF45D9">
            <w:pPr>
              <w:pStyle w:val="TableParagraph"/>
              <w:ind w:right="113"/>
              <w:jc w:val="right"/>
            </w:pPr>
            <w:r>
              <w:t>53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C4A10D" w14:textId="77777777" w:rsidR="00CF45D9" w:rsidRDefault="00CF45D9" w:rsidP="00CF45D9">
            <w:pPr>
              <w:pStyle w:val="TableParagraph"/>
            </w:pPr>
            <w:r>
              <w:t>Extension of probationary driver licence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634E95" w14:textId="77777777" w:rsidR="00CF45D9" w:rsidRDefault="004A3EC5"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CA8252" w14:textId="77777777" w:rsidR="00CF45D9" w:rsidRDefault="00CF45D9" w:rsidP="00CF45D9">
            <w:pPr>
              <w:pStyle w:val="TableParagraph"/>
            </w:pPr>
            <w:r>
              <w:t>Not addressed in the NGLS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6559C" w14:textId="43439A62" w:rsidR="00CF45D9" w:rsidRDefault="00CF45D9" w:rsidP="00CF45D9">
            <w:pPr>
              <w:pStyle w:val="TableParagraph"/>
            </w:pPr>
            <w:r>
              <w:t>Application of probationary licence extension policy</w:t>
            </w:r>
            <w:r>
              <w:br/>
              <w:t xml:space="preserve">(refer to RIS Section </w:t>
            </w:r>
            <w:r w:rsidR="005A3FED">
              <w:fldChar w:fldCharType="begin"/>
            </w:r>
            <w:r w:rsidR="005A3FED">
              <w:instrText xml:space="preserve"> REF _Ref527544080 \r \h </w:instrText>
            </w:r>
            <w:r w:rsidR="005A3FED">
              <w:fldChar w:fldCharType="separate"/>
            </w:r>
            <w:r w:rsidR="00EB4B02">
              <w:t>7.4.4</w:t>
            </w:r>
            <w:r w:rsidR="005A3FED">
              <w:fldChar w:fldCharType="end"/>
            </w:r>
            <w:r>
              <w:t xml:space="preserve"> – Progressing from P2 to full licence)</w:t>
            </w:r>
          </w:p>
        </w:tc>
      </w:tr>
      <w:tr w:rsidR="00CF45D9" w14:paraId="28ACD083"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14AB0F" w14:textId="77777777" w:rsidR="00CF45D9" w:rsidRDefault="00CF45D9" w:rsidP="00CF45D9">
            <w:pPr>
              <w:pStyle w:val="TableParagraph"/>
              <w:ind w:right="113"/>
              <w:jc w:val="right"/>
            </w:pPr>
            <w:r>
              <w:t>54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F331EA" w14:textId="77777777" w:rsidR="00CF45D9" w:rsidRDefault="00CF45D9" w:rsidP="00CF45D9">
            <w:pPr>
              <w:pStyle w:val="TableParagraph"/>
            </w:pPr>
            <w:r>
              <w:t>Probationary driver must display P plates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CEEB8B" w14:textId="77777777" w:rsidR="00CF45D9" w:rsidRDefault="004A3EC5" w:rsidP="00CF45D9">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2F3859" w14:textId="77777777" w:rsidR="00CF45D9" w:rsidRDefault="00CF45D9" w:rsidP="00CF45D9">
            <w:pPr>
              <w:pStyle w:val="TableParagraph"/>
            </w:pPr>
            <w:r>
              <w:t>Not addressed in the NGLS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9163C2" w14:textId="77777777" w:rsidR="00CF45D9" w:rsidRDefault="00CF45D9" w:rsidP="00CF45D9">
            <w:pPr>
              <w:pStyle w:val="TableParagraph"/>
            </w:pPr>
            <w:r>
              <w:t>Applicati</w:t>
            </w:r>
            <w:r w:rsidR="009F632C">
              <w:t xml:space="preserve">on of P-plates display policy </w:t>
            </w:r>
          </w:p>
        </w:tc>
      </w:tr>
      <w:tr w:rsidR="00CF45D9" w14:paraId="036A0E48"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C7EC90" w14:textId="77777777" w:rsidR="00CF45D9" w:rsidRDefault="00CF45D9" w:rsidP="00CF45D9">
            <w:pPr>
              <w:pStyle w:val="TableParagraph"/>
              <w:ind w:right="113"/>
              <w:jc w:val="right"/>
            </w:pPr>
            <w:r>
              <w:lastRenderedPageBreak/>
              <w:t>55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CB01E9" w14:textId="77777777" w:rsidR="00CF45D9" w:rsidRDefault="00CF45D9" w:rsidP="00CF45D9">
            <w:pPr>
              <w:pStyle w:val="TableParagraph"/>
            </w:pPr>
            <w:r>
              <w:t>Probationary prohibited vehicles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15514A" w14:textId="77777777" w:rsidR="00CF45D9" w:rsidRDefault="00CF45D9" w:rsidP="00CF45D9">
            <w:pPr>
              <w:pStyle w:val="TableParagraph"/>
            </w:pPr>
            <w:r>
              <w:t>NDHPV</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DC5149"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27295A" w14:textId="29EF8794" w:rsidR="00CF45D9" w:rsidRDefault="00CF45D9" w:rsidP="00CF45D9">
            <w:pPr>
              <w:pStyle w:val="TableParagraph"/>
            </w:pPr>
            <w:r>
              <w:t>Application of national definition of high powered vehicles endorsed by Austroads</w:t>
            </w:r>
            <w:r>
              <w:br/>
              <w:t xml:space="preserve">(refer to RIS Section </w:t>
            </w:r>
            <w:r w:rsidR="005A3FED">
              <w:fldChar w:fldCharType="begin"/>
            </w:r>
            <w:r w:rsidR="005A3FED">
              <w:instrText xml:space="preserve"> REF _Ref532995462 \r \h </w:instrText>
            </w:r>
            <w:r w:rsidR="005A3FED">
              <w:fldChar w:fldCharType="separate"/>
            </w:r>
            <w:r w:rsidR="00EB4B02">
              <w:t>4.4.2</w:t>
            </w:r>
            <w:r w:rsidR="005A3FED">
              <w:fldChar w:fldCharType="end"/>
            </w:r>
            <w:r>
              <w:t>)</w:t>
            </w:r>
          </w:p>
        </w:tc>
      </w:tr>
      <w:tr w:rsidR="00CF45D9" w14:paraId="06C9CB56"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B2968F" w14:textId="77777777" w:rsidR="00CF45D9" w:rsidRDefault="00CF45D9" w:rsidP="00CF45D9">
            <w:pPr>
              <w:pStyle w:val="TableParagraph"/>
              <w:ind w:right="113"/>
              <w:jc w:val="right"/>
            </w:pPr>
            <w:r>
              <w:t>56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469A7A" w14:textId="77777777" w:rsidR="00CF45D9" w:rsidRDefault="00CF45D9" w:rsidP="00CF45D9">
            <w:pPr>
              <w:pStyle w:val="TableParagraph"/>
            </w:pPr>
            <w:r>
              <w:t>Offence to drive probationary prohibited vehicle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A132CF" w14:textId="77777777" w:rsidR="00CF45D9" w:rsidRDefault="00CF45D9" w:rsidP="00CF45D9">
            <w:pPr>
              <w:pStyle w:val="TableParagraph"/>
            </w:pPr>
            <w:r>
              <w:t>NDHPV</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26E5AD"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45D358" w14:textId="2228A995" w:rsidR="00CF45D9" w:rsidRDefault="00CF45D9" w:rsidP="00CF45D9">
            <w:pPr>
              <w:pStyle w:val="TableParagraph"/>
            </w:pPr>
            <w:r>
              <w:t>Application of national definition of high powered vehicles endorsed by Austroads</w:t>
            </w:r>
            <w:r>
              <w:br/>
              <w:t xml:space="preserve">(refer to RIS Section </w:t>
            </w:r>
            <w:r w:rsidR="005A3FED">
              <w:fldChar w:fldCharType="begin"/>
            </w:r>
            <w:r w:rsidR="005A3FED">
              <w:instrText xml:space="preserve"> REF _Ref532995462 \r \h </w:instrText>
            </w:r>
            <w:r w:rsidR="005A3FED">
              <w:fldChar w:fldCharType="separate"/>
            </w:r>
            <w:r w:rsidR="00EB4B02">
              <w:t>4.4.2</w:t>
            </w:r>
            <w:r w:rsidR="005A3FED">
              <w:fldChar w:fldCharType="end"/>
            </w:r>
            <w:r>
              <w:t>)</w:t>
            </w:r>
          </w:p>
        </w:tc>
      </w:tr>
      <w:tr w:rsidR="00CF45D9" w14:paraId="6B26B071"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8A592B" w14:textId="77777777" w:rsidR="00CF45D9" w:rsidRDefault="00CF45D9" w:rsidP="00CF45D9">
            <w:pPr>
              <w:pStyle w:val="TableParagraph"/>
              <w:ind w:right="113"/>
              <w:jc w:val="right"/>
            </w:pPr>
            <w:r>
              <w:t>57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8B7F92" w14:textId="77777777" w:rsidR="00CF45D9" w:rsidRDefault="00CF45D9" w:rsidP="00CF45D9">
            <w:pPr>
              <w:pStyle w:val="TableParagraph"/>
            </w:pPr>
            <w:r>
              <w:t>Restrictions affecting certain motor cycle riders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A9B94F" w14:textId="77777777" w:rsidR="00CF45D9" w:rsidRDefault="00CF45D9" w:rsidP="00CF45D9">
            <w:pPr>
              <w:pStyle w:val="TableParagraph"/>
            </w:pPr>
            <w:r>
              <w:t>NMGLS &amp; NDLS SP14</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371185"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A8050B" w14:textId="77777777" w:rsidR="00CF45D9" w:rsidRDefault="00CF45D9" w:rsidP="00CF45D9">
            <w:pPr>
              <w:pStyle w:val="TableParagraph"/>
            </w:pPr>
            <w:r>
              <w:t>Application of NMGLS policy</w:t>
            </w:r>
          </w:p>
          <w:p w14:paraId="7FD635C8" w14:textId="77777777" w:rsidR="00CF45D9" w:rsidRDefault="00CF45D9" w:rsidP="00CF45D9">
            <w:pPr>
              <w:pStyle w:val="TableParagraph"/>
            </w:pPr>
            <w:r>
              <w:t xml:space="preserve">The NDLS provides for engine capacity restrictions for a motorcycle. </w:t>
            </w:r>
          </w:p>
          <w:p w14:paraId="57DA4219" w14:textId="1C7BAFBA" w:rsidR="00CF45D9" w:rsidRDefault="00CF45D9" w:rsidP="00CF45D9">
            <w:pPr>
              <w:pStyle w:val="TableParagraph"/>
            </w:pPr>
            <w:r>
              <w:t xml:space="preserve">(refer to Section </w:t>
            </w:r>
            <w:r w:rsidR="006B1118">
              <w:fldChar w:fldCharType="begin"/>
            </w:r>
            <w:r w:rsidR="006B1118">
              <w:instrText xml:space="preserve"> REF _Ref534815892 \r \h </w:instrText>
            </w:r>
            <w:r w:rsidR="006B1118">
              <w:fldChar w:fldCharType="separate"/>
            </w:r>
            <w:r w:rsidR="00EB4B02">
              <w:t>4.3</w:t>
            </w:r>
            <w:r w:rsidR="006B1118">
              <w:fldChar w:fldCharType="end"/>
            </w:r>
            <w:r w:rsidR="008450AC">
              <w:t xml:space="preserve"> of this RIS)</w:t>
            </w:r>
          </w:p>
        </w:tc>
      </w:tr>
      <w:tr w:rsidR="00CF45D9" w14:paraId="4C82DE26"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4BC674" w14:textId="77777777" w:rsidR="00CF45D9" w:rsidRDefault="00CF45D9" w:rsidP="00CF45D9">
            <w:pPr>
              <w:pStyle w:val="TableParagraph"/>
              <w:ind w:right="113"/>
              <w:jc w:val="right"/>
            </w:pPr>
            <w:r>
              <w:t>58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091D17" w14:textId="77777777" w:rsidR="00CF45D9" w:rsidRDefault="00CF45D9" w:rsidP="00CF45D9">
            <w:pPr>
              <w:pStyle w:val="TableParagraph"/>
            </w:pPr>
            <w:r>
              <w:t>Towing of vehicles by certain drivers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ADEA19" w14:textId="77777777" w:rsidR="00CF45D9" w:rsidRDefault="00CF45D9" w:rsidP="00CF45D9">
            <w:pPr>
              <w:pStyle w:val="TableParagraph"/>
            </w:pPr>
            <w:r>
              <w:t>NGLS</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FAACC1"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C242A1" w14:textId="77777777" w:rsidR="00CF45D9" w:rsidRDefault="00CF45D9" w:rsidP="00CF45D9">
            <w:pPr>
              <w:pStyle w:val="TableParagraph"/>
            </w:pPr>
            <w:r>
              <w:t>Application of NMGLS policy (Exemplar Stage)</w:t>
            </w:r>
          </w:p>
        </w:tc>
      </w:tr>
      <w:tr w:rsidR="00CF45D9" w14:paraId="1AC6F6BB"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913278" w14:textId="77777777" w:rsidR="00CF45D9" w:rsidRDefault="00CF45D9" w:rsidP="00CF45D9">
            <w:pPr>
              <w:pStyle w:val="TableParagraph"/>
              <w:ind w:right="113"/>
              <w:jc w:val="right"/>
            </w:pPr>
            <w:r>
              <w:t>59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49F732" w14:textId="77777777" w:rsidR="00CF45D9" w:rsidRDefault="00CF45D9" w:rsidP="00CF45D9">
            <w:pPr>
              <w:pStyle w:val="TableParagraph"/>
            </w:pPr>
            <w:r>
              <w:t>Peer passenger restriction for P1 probationary drivers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9CE539" w14:textId="77777777" w:rsidR="00CF45D9" w:rsidRDefault="00CF45D9" w:rsidP="00CF45D9">
            <w:pPr>
              <w:pStyle w:val="TableParagraph"/>
            </w:pPr>
            <w:r>
              <w:t>NGLS</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128E0E"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E07A78" w14:textId="77777777" w:rsidR="00CF45D9" w:rsidRDefault="00CF45D9" w:rsidP="00CF45D9">
            <w:pPr>
              <w:pStyle w:val="TableParagraph"/>
            </w:pPr>
            <w:r>
              <w:t>Application of NMGLS policy (Exemplar Stage)</w:t>
            </w:r>
          </w:p>
        </w:tc>
      </w:tr>
      <w:tr w:rsidR="00CF45D9" w:rsidRPr="00B52A2E" w14:paraId="7C579917"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5DF4330E" w14:textId="77777777" w:rsidR="00CF45D9" w:rsidRPr="00B52A2E" w:rsidRDefault="00CF45D9" w:rsidP="00CF45D9">
            <w:pPr>
              <w:pStyle w:val="TableParagraph"/>
              <w:keepNext/>
              <w:rPr>
                <w:b/>
              </w:rPr>
            </w:pPr>
            <w:r w:rsidRPr="00B52A2E">
              <w:rPr>
                <w:b/>
              </w:rPr>
              <w:t>Division 10—Driver licence document and learner permit document</w:t>
            </w:r>
          </w:p>
        </w:tc>
      </w:tr>
      <w:tr w:rsidR="00CF45D9" w14:paraId="26896F62"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9914F8" w14:textId="77777777" w:rsidR="00CF45D9" w:rsidRDefault="00CF45D9" w:rsidP="00CF45D9">
            <w:pPr>
              <w:pStyle w:val="TableParagraph"/>
              <w:ind w:right="113"/>
              <w:jc w:val="right"/>
            </w:pPr>
            <w:r>
              <w:t>60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C6539F" w14:textId="77777777" w:rsidR="00CF45D9" w:rsidRDefault="00CF45D9" w:rsidP="00CF45D9">
            <w:pPr>
              <w:pStyle w:val="TableParagraph"/>
            </w:pPr>
            <w:r>
              <w:t>Issue of document upon grant, variation or renewal of driver licence or learner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82D953" w14:textId="77777777" w:rsidR="00CF45D9" w:rsidRDefault="00CF45D9" w:rsidP="00CF45D9">
            <w:pPr>
              <w:pStyle w:val="TableParagraph"/>
            </w:pPr>
            <w:r w:rsidRPr="000A0322">
              <w:t>NDLS SP8</w:t>
            </w:r>
            <w:r w:rsidRPr="0055608B">
              <w:t xml:space="preserve"> &amp;</w:t>
            </w:r>
            <w:r>
              <w:t xml:space="preserve"> SP9</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80178"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BD3AE6" w14:textId="77777777" w:rsidR="00CF45D9" w:rsidRDefault="00CF45D9" w:rsidP="00CF45D9">
            <w:pPr>
              <w:pStyle w:val="TableParagraph"/>
            </w:pPr>
            <w:r>
              <w:t>Application of the NDLS National Regulations</w:t>
            </w:r>
          </w:p>
        </w:tc>
      </w:tr>
      <w:tr w:rsidR="00CF45D9" w14:paraId="040FA6F3"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82D6C0" w14:textId="77777777" w:rsidR="00CF45D9" w:rsidRDefault="00CF45D9" w:rsidP="00CF45D9">
            <w:pPr>
              <w:pStyle w:val="TableParagraph"/>
              <w:ind w:right="113"/>
              <w:jc w:val="right"/>
            </w:pPr>
            <w:r>
              <w:t>61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75368E" w14:textId="77777777" w:rsidR="00CF45D9" w:rsidRDefault="00CF45D9" w:rsidP="00CF45D9">
            <w:pPr>
              <w:pStyle w:val="TableParagraph"/>
            </w:pPr>
            <w:r>
              <w:t>Form of driver licence or learner permit document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BA9EE9" w14:textId="77777777" w:rsidR="00CF45D9" w:rsidRDefault="00CF45D9" w:rsidP="00CF45D9">
            <w:pPr>
              <w:pStyle w:val="TableParagraph"/>
            </w:pPr>
            <w:r>
              <w:t xml:space="preserve">NDLS SP9 </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6F0DE7"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750A0E" w14:textId="77777777" w:rsidR="00CF45D9" w:rsidRDefault="00CF45D9" w:rsidP="00CF45D9">
            <w:pPr>
              <w:pStyle w:val="TableParagraph"/>
            </w:pPr>
            <w:r>
              <w:t>Application of the NDLS National Regulations</w:t>
            </w:r>
          </w:p>
        </w:tc>
      </w:tr>
      <w:tr w:rsidR="00CF45D9" w14:paraId="3AABE0FE"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846AB4" w14:textId="77777777" w:rsidR="00CF45D9" w:rsidRDefault="00CF45D9" w:rsidP="00CF45D9">
            <w:pPr>
              <w:pStyle w:val="TableParagraph"/>
              <w:ind w:right="113"/>
              <w:jc w:val="right"/>
            </w:pPr>
            <w:r>
              <w:t>62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E5E98" w14:textId="77777777" w:rsidR="00CF45D9" w:rsidRDefault="00CF45D9" w:rsidP="00CF45D9">
            <w:pPr>
              <w:pStyle w:val="TableParagraph"/>
            </w:pPr>
            <w:r>
              <w:t>Replacement or correction of driver licence or learner permit document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7FD9F2" w14:textId="77777777" w:rsidR="00CF45D9" w:rsidRDefault="00CF45D9" w:rsidP="00CF45D9">
            <w:pPr>
              <w:pStyle w:val="TableParagraph"/>
            </w:pPr>
            <w:r>
              <w:t xml:space="preserve">NDLS </w:t>
            </w:r>
            <w:r w:rsidRPr="000A0322">
              <w:t>SP1</w:t>
            </w:r>
            <w:r>
              <w:t>0</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D8BB87" w14:textId="77777777" w:rsidR="00CF45D9" w:rsidRDefault="00CF45D9" w:rsidP="00CF45D9">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9F2719" w14:textId="77777777" w:rsidR="00CF45D9" w:rsidRDefault="00CF45D9" w:rsidP="00CF45D9">
            <w:pPr>
              <w:pStyle w:val="TableParagraph"/>
            </w:pPr>
            <w:r>
              <w:t>Application of the NDLS National Regulations</w:t>
            </w:r>
          </w:p>
        </w:tc>
      </w:tr>
      <w:tr w:rsidR="00CF45D9" w:rsidRPr="00B52A2E" w14:paraId="2225FA9F"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6EE3544D" w14:textId="77777777" w:rsidR="00CF45D9" w:rsidRPr="00B52A2E" w:rsidRDefault="00CF45D9" w:rsidP="00CF45D9">
            <w:pPr>
              <w:pStyle w:val="TableParagraph"/>
              <w:keepNext/>
              <w:rPr>
                <w:b/>
              </w:rPr>
            </w:pPr>
            <w:r w:rsidRPr="00B52A2E">
              <w:rPr>
                <w:b/>
              </w:rPr>
              <w:t>Division 11—Miscellaneous</w:t>
            </w:r>
          </w:p>
        </w:tc>
      </w:tr>
      <w:tr w:rsidR="004A3EC5" w14:paraId="3B149824"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0C67ED" w14:textId="77777777" w:rsidR="004A3EC5" w:rsidRDefault="004A3EC5" w:rsidP="004A3EC5">
            <w:pPr>
              <w:pStyle w:val="TableParagraph"/>
              <w:ind w:right="113"/>
              <w:jc w:val="right"/>
            </w:pPr>
            <w:r>
              <w:t>63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BB17C" w14:textId="77777777" w:rsidR="004A3EC5" w:rsidRDefault="004A3EC5" w:rsidP="004A3EC5">
            <w:pPr>
              <w:pStyle w:val="TableParagraph"/>
            </w:pPr>
            <w:r>
              <w:t>Incomplete applications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6D4B958"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D70989" w14:textId="77777777" w:rsidR="004A3EC5" w:rsidRDefault="004A3EC5" w:rsidP="004A3EC5">
            <w:pPr>
              <w:pStyle w:val="TableParagraph"/>
            </w:pPr>
            <w:r>
              <w:t>Not addressed in the NDLS or NGLS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9598D3" w14:textId="77777777" w:rsidR="004A3EC5" w:rsidRDefault="004A3EC5" w:rsidP="004A3EC5">
            <w:pPr>
              <w:pStyle w:val="TableParagraph"/>
            </w:pPr>
            <w:r>
              <w:t xml:space="preserve">This regulation authorises </w:t>
            </w:r>
            <w:r w:rsidRPr="00327E18">
              <w:t xml:space="preserve">VicRoads </w:t>
            </w:r>
            <w:r>
              <w:t>to</w:t>
            </w:r>
            <w:r w:rsidRPr="00327E18">
              <w:t xml:space="preserve"> return an incomplete application for the grant or variation or renewal of a driver licence or learner permit to the applicant without processing it.</w:t>
            </w:r>
            <w:r>
              <w:t xml:space="preserve"> However, </w:t>
            </w:r>
            <w:r w:rsidRPr="004A3EC5">
              <w:t xml:space="preserve">VicRoads returning </w:t>
            </w:r>
            <w:r>
              <w:t xml:space="preserve">such </w:t>
            </w:r>
            <w:r w:rsidRPr="004A3EC5">
              <w:t>an incomplete application</w:t>
            </w:r>
            <w:r w:rsidR="00BC6023">
              <w:t xml:space="preserve"> to the applicant</w:t>
            </w:r>
            <w:r w:rsidRPr="004A3EC5">
              <w:t xml:space="preserve"> does not constitute a refusal </w:t>
            </w:r>
            <w:r w:rsidR="00BC6023">
              <w:t>of the application under regulation 64.</w:t>
            </w:r>
          </w:p>
        </w:tc>
      </w:tr>
      <w:tr w:rsidR="004A3EC5" w14:paraId="185CB25B"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1D6D7A" w14:textId="77777777" w:rsidR="004A3EC5" w:rsidRDefault="004A3EC5" w:rsidP="004A3EC5">
            <w:pPr>
              <w:pStyle w:val="TableParagraph"/>
              <w:ind w:right="113"/>
              <w:jc w:val="right"/>
            </w:pPr>
            <w:r>
              <w:t>64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DB757" w14:textId="77777777" w:rsidR="004A3EC5" w:rsidRDefault="004A3EC5" w:rsidP="004A3EC5">
            <w:pPr>
              <w:pStyle w:val="TableParagraph"/>
            </w:pPr>
            <w:r>
              <w:t>Refusal of application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6F4C29" w14:textId="77777777" w:rsidR="004A3EC5" w:rsidRDefault="004A3EC5" w:rsidP="004A3EC5">
            <w:pPr>
              <w:pStyle w:val="TableParagraph"/>
            </w:pPr>
            <w:r w:rsidRPr="000A0322">
              <w:t>NDLS SP6</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C9ACA4"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F0F10F" w14:textId="77777777" w:rsidR="004A3EC5" w:rsidRDefault="004A3EC5" w:rsidP="004A3EC5">
            <w:pPr>
              <w:pStyle w:val="TableParagraph"/>
            </w:pPr>
            <w:r>
              <w:t>Application of the NDLS National Regulations</w:t>
            </w:r>
          </w:p>
        </w:tc>
      </w:tr>
      <w:tr w:rsidR="004A3EC5" w14:paraId="187A3E58"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3301BC" w14:textId="77777777" w:rsidR="004A3EC5" w:rsidRDefault="004A3EC5" w:rsidP="004A3EC5">
            <w:pPr>
              <w:pStyle w:val="TableParagraph"/>
              <w:ind w:right="113"/>
              <w:jc w:val="right"/>
            </w:pPr>
            <w:r>
              <w:lastRenderedPageBreak/>
              <w:t>65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D6575F" w14:textId="77777777" w:rsidR="004A3EC5" w:rsidRDefault="004A3EC5" w:rsidP="004A3EC5">
            <w:pPr>
              <w:pStyle w:val="TableParagraph"/>
            </w:pPr>
            <w:r>
              <w:t>Information to be recorded by Corporation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E2BBB1" w14:textId="77777777" w:rsidR="004A3EC5" w:rsidRDefault="004A3EC5" w:rsidP="004A3EC5">
            <w:pPr>
              <w:pStyle w:val="TableParagraph"/>
            </w:pPr>
            <w:r>
              <w:t>NDLS SP11</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474985"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DC5373" w14:textId="77777777" w:rsidR="004A3EC5" w:rsidRDefault="004A3EC5" w:rsidP="004A3EC5">
            <w:pPr>
              <w:pStyle w:val="TableParagraph"/>
            </w:pPr>
            <w:r>
              <w:t>Application of the NDLS National Regulations</w:t>
            </w:r>
          </w:p>
        </w:tc>
      </w:tr>
      <w:tr w:rsidR="004A3EC5" w14:paraId="55FC56F8"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B66819" w14:textId="77777777" w:rsidR="004A3EC5" w:rsidRDefault="004A3EC5" w:rsidP="004A3EC5">
            <w:pPr>
              <w:pStyle w:val="TableParagraph"/>
              <w:ind w:right="113"/>
              <w:jc w:val="right"/>
            </w:pPr>
            <w:r>
              <w:t>66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C44E6B" w14:textId="77777777" w:rsidR="004A3EC5" w:rsidRDefault="004A3EC5" w:rsidP="004A3EC5">
            <w:pPr>
              <w:pStyle w:val="TableParagraph"/>
            </w:pPr>
            <w:r>
              <w:t>Change of personal particulars or medical condition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A010F59" w14:textId="77777777" w:rsidR="004A3EC5" w:rsidRDefault="004A3EC5" w:rsidP="004A3EC5">
            <w:pPr>
              <w:pStyle w:val="TableParagraph"/>
            </w:pPr>
            <w:r>
              <w:t>NDLS SP15</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6B72E"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9E1E47" w14:textId="77777777" w:rsidR="004A3EC5" w:rsidRDefault="004A3EC5" w:rsidP="004A3EC5">
            <w:pPr>
              <w:pStyle w:val="TableParagraph"/>
            </w:pPr>
            <w:r>
              <w:t>Application of the NDLS National Regulations</w:t>
            </w:r>
          </w:p>
        </w:tc>
      </w:tr>
      <w:tr w:rsidR="004A3EC5" w14:paraId="3CE3890A"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A14561" w14:textId="77777777" w:rsidR="004A3EC5" w:rsidRDefault="004A3EC5" w:rsidP="004A3EC5">
            <w:pPr>
              <w:pStyle w:val="TableParagraph"/>
              <w:ind w:right="113"/>
              <w:jc w:val="right"/>
            </w:pPr>
            <w:r>
              <w:t>67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F798C" w14:textId="77777777" w:rsidR="004A3EC5" w:rsidRDefault="004A3EC5" w:rsidP="004A3EC5">
            <w:pPr>
              <w:pStyle w:val="TableParagraph"/>
            </w:pPr>
            <w:r>
              <w:t>Tests and assessments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16CB7F" w14:textId="77777777" w:rsidR="004A3EC5" w:rsidRDefault="004A3EC5" w:rsidP="004A3EC5">
            <w:pPr>
              <w:pStyle w:val="TableParagraph"/>
            </w:pPr>
            <w:r>
              <w:t>NDLS SP16</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9A698"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C8FECB" w14:textId="77777777" w:rsidR="004A3EC5" w:rsidRDefault="004A3EC5" w:rsidP="004A3EC5">
            <w:pPr>
              <w:pStyle w:val="TableParagraph"/>
            </w:pPr>
            <w:r>
              <w:t>Application of the NDLS National Regulations</w:t>
            </w:r>
          </w:p>
        </w:tc>
      </w:tr>
      <w:tr w:rsidR="004A3EC5" w14:paraId="3547EEFE"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0D0F91" w14:textId="77777777" w:rsidR="004A3EC5" w:rsidRDefault="004A3EC5" w:rsidP="004A3EC5">
            <w:pPr>
              <w:pStyle w:val="TableParagraph"/>
              <w:ind w:right="113"/>
              <w:jc w:val="right"/>
            </w:pPr>
            <w:r>
              <w:t>68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1AD35E" w14:textId="77777777" w:rsidR="004A3EC5" w:rsidRDefault="004A3EC5" w:rsidP="004A3EC5">
            <w:pPr>
              <w:pStyle w:val="TableParagraph"/>
            </w:pPr>
            <w:r>
              <w:t>Verification of records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2B7EA2" w14:textId="77777777" w:rsidR="004A3EC5" w:rsidRDefault="004A3EC5" w:rsidP="004A3EC5">
            <w:pPr>
              <w:pStyle w:val="TableParagraph"/>
            </w:pPr>
            <w:r>
              <w:t>NDLS SP17 &amp; SP35</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A61145"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F1549E" w14:textId="77777777" w:rsidR="004A3EC5" w:rsidRDefault="004A3EC5" w:rsidP="004A3EC5">
            <w:pPr>
              <w:pStyle w:val="TableParagraph"/>
            </w:pPr>
            <w:r>
              <w:t>Application of the NDLS National Regulations</w:t>
            </w:r>
          </w:p>
        </w:tc>
      </w:tr>
      <w:tr w:rsidR="004A3EC5" w14:paraId="1A2576B7"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A84597" w14:textId="77777777" w:rsidR="004A3EC5" w:rsidRDefault="004A3EC5" w:rsidP="004A3EC5">
            <w:pPr>
              <w:pStyle w:val="TableParagraph"/>
              <w:ind w:right="113"/>
              <w:jc w:val="right"/>
            </w:pPr>
            <w:r>
              <w:t>69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8277FE" w14:textId="77777777" w:rsidR="004A3EC5" w:rsidRDefault="004A3EC5" w:rsidP="004A3EC5">
            <w:pPr>
              <w:pStyle w:val="TableParagraph"/>
            </w:pPr>
            <w:r>
              <w:t>Exemption for consular or diplomatic staff</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41FF59" w14:textId="77777777" w:rsidR="004A3EC5" w:rsidRDefault="004A3EC5" w:rsidP="004A3EC5">
            <w:pPr>
              <w:pStyle w:val="TableParagraph"/>
            </w:pPr>
            <w:r>
              <w:t>NACDS</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EDDC64" w14:textId="77777777" w:rsidR="004A3EC5" w:rsidRDefault="0013038D"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CA0E7" w14:textId="77777777" w:rsidR="004A3EC5" w:rsidRDefault="004A3EC5" w:rsidP="004A3EC5">
            <w:pPr>
              <w:pStyle w:val="TableParagraph"/>
            </w:pPr>
            <w:r>
              <w:t>Application of NACDS policy</w:t>
            </w:r>
          </w:p>
        </w:tc>
      </w:tr>
      <w:tr w:rsidR="004A3EC5" w:rsidRPr="00B52A2E" w14:paraId="2AD4846A"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2A48182F" w14:textId="77777777" w:rsidR="004A3EC5" w:rsidRPr="00B52A2E" w:rsidRDefault="004A3EC5" w:rsidP="004A3EC5">
            <w:pPr>
              <w:pStyle w:val="TableParagraph"/>
              <w:rPr>
                <w:b/>
              </w:rPr>
            </w:pPr>
            <w:r w:rsidRPr="00B52A2E">
              <w:rPr>
                <w:b/>
              </w:rPr>
              <w:t>PART 3 – VARIATION, SUSPENSION OR CANCELLATION OF DRIVER LICENCE OR LEARNER PERMIT</w:t>
            </w:r>
          </w:p>
        </w:tc>
      </w:tr>
      <w:tr w:rsidR="004A3EC5" w:rsidRPr="00B52A2E" w14:paraId="3741405B"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35E898F8" w14:textId="77777777" w:rsidR="004A3EC5" w:rsidRPr="00B52A2E" w:rsidRDefault="004A3EC5" w:rsidP="004A3EC5">
            <w:pPr>
              <w:pStyle w:val="TableParagraph"/>
              <w:rPr>
                <w:b/>
              </w:rPr>
            </w:pPr>
            <w:r w:rsidRPr="00B52A2E">
              <w:rPr>
                <w:b/>
              </w:rPr>
              <w:t>Division 1—Demerit points</w:t>
            </w:r>
          </w:p>
        </w:tc>
      </w:tr>
      <w:tr w:rsidR="004A3EC5" w14:paraId="06D75BB4"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4EA9DD" w14:textId="77777777" w:rsidR="004A3EC5" w:rsidRDefault="004A3EC5" w:rsidP="004A3EC5">
            <w:pPr>
              <w:pStyle w:val="TableParagraph"/>
              <w:ind w:right="113"/>
              <w:jc w:val="right"/>
            </w:pPr>
            <w:r>
              <w:t>70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D77614" w14:textId="77777777" w:rsidR="004A3EC5" w:rsidRDefault="004A3EC5" w:rsidP="004A3EC5">
            <w:pPr>
              <w:pStyle w:val="TableParagraph"/>
            </w:pPr>
            <w:r>
              <w:t>Definitions for Division 1</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D99B3B" w14:textId="77777777" w:rsidR="004A3EC5" w:rsidRDefault="004A3EC5" w:rsidP="004A3EC5">
            <w:pPr>
              <w:pStyle w:val="TableParagraph"/>
            </w:pPr>
            <w:r>
              <w:t>NDLS SP21(1)</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250897"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C760C0" w14:textId="77777777" w:rsidR="004A3EC5" w:rsidRDefault="004A3EC5" w:rsidP="003565B1">
            <w:pPr>
              <w:pStyle w:val="TableParagraph"/>
            </w:pPr>
            <w:r>
              <w:t>Application of the NDLS National Regulations</w:t>
            </w:r>
          </w:p>
        </w:tc>
      </w:tr>
      <w:tr w:rsidR="004A3EC5" w14:paraId="4028A402"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E5B37A" w14:textId="77777777" w:rsidR="004A3EC5" w:rsidRDefault="004A3EC5" w:rsidP="004A3EC5">
            <w:pPr>
              <w:pStyle w:val="TableParagraph"/>
              <w:ind w:right="113"/>
              <w:jc w:val="right"/>
            </w:pPr>
            <w:r>
              <w:t>71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2313CF" w14:textId="77777777" w:rsidR="004A3EC5" w:rsidRDefault="009A0FFD" w:rsidP="004A3EC5">
            <w:pPr>
              <w:pStyle w:val="TableParagraph"/>
            </w:pPr>
            <w:r>
              <w:t xml:space="preserve">VicRoads </w:t>
            </w:r>
            <w:r w:rsidR="004A3EC5">
              <w:t>to record demerit points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BBA06C" w14:textId="77777777" w:rsidR="004A3EC5" w:rsidRDefault="004A3EC5" w:rsidP="004A3EC5">
            <w:pPr>
              <w:pStyle w:val="TableParagraph"/>
            </w:pPr>
            <w:r>
              <w:t>NDLS PP8(3), PP13 &amp; SP21(2), (3), &amp; (4)</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064039"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DAC79E" w14:textId="77777777" w:rsidR="004A3EC5" w:rsidRDefault="004A3EC5" w:rsidP="004A3EC5">
            <w:pPr>
              <w:pStyle w:val="TableParagraph"/>
            </w:pPr>
            <w:r>
              <w:t>Application of the NDLS National Regulations</w:t>
            </w:r>
          </w:p>
        </w:tc>
      </w:tr>
      <w:tr w:rsidR="004A3EC5" w14:paraId="4B4F00E7"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28AFA0" w14:textId="77777777" w:rsidR="004A3EC5" w:rsidRDefault="004A3EC5" w:rsidP="004A3EC5">
            <w:pPr>
              <w:pStyle w:val="TableParagraph"/>
              <w:ind w:right="113"/>
              <w:jc w:val="right"/>
            </w:pPr>
            <w:r>
              <w:t>72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E6713B" w14:textId="77777777" w:rsidR="004A3EC5" w:rsidRDefault="009A0FFD" w:rsidP="004A3EC5">
            <w:pPr>
              <w:pStyle w:val="TableParagraph"/>
            </w:pPr>
            <w:r>
              <w:t xml:space="preserve">VicRoads </w:t>
            </w:r>
            <w:r w:rsidR="004A3EC5">
              <w:t>to record demerit points for relevant interstate offences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92B1B0" w14:textId="77777777" w:rsidR="004A3EC5" w:rsidRDefault="004A3EC5" w:rsidP="004A3EC5">
            <w:pPr>
              <w:pStyle w:val="TableParagraph"/>
            </w:pPr>
            <w:r>
              <w:t>NDLS PP11, PP14 &amp; SP21</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B76AD5"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8A2235" w14:textId="77777777" w:rsidR="004A3EC5" w:rsidRDefault="004A3EC5" w:rsidP="004A3EC5">
            <w:pPr>
              <w:pStyle w:val="TableParagraph"/>
            </w:pPr>
            <w:r>
              <w:t>Application of the NDLS National Regulations</w:t>
            </w:r>
          </w:p>
        </w:tc>
      </w:tr>
      <w:tr w:rsidR="004A3EC5" w14:paraId="704906E0"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E279DB" w14:textId="77777777" w:rsidR="004A3EC5" w:rsidRDefault="004A3EC5" w:rsidP="004A3EC5">
            <w:pPr>
              <w:pStyle w:val="TableParagraph"/>
              <w:ind w:right="113"/>
              <w:jc w:val="right"/>
            </w:pPr>
            <w:r>
              <w:t>73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699B86" w14:textId="77777777" w:rsidR="004A3EC5" w:rsidRDefault="004A3EC5" w:rsidP="004A3EC5">
            <w:pPr>
              <w:pStyle w:val="TableParagraph"/>
            </w:pPr>
            <w:r>
              <w:t>Record of day on which offence was committed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806323" w14:textId="77777777" w:rsidR="004A3EC5" w:rsidRDefault="004A3EC5" w:rsidP="004A3EC5">
            <w:pPr>
              <w:pStyle w:val="TableParagraph"/>
            </w:pPr>
            <w:r>
              <w:t>NDLS PP12</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67E824"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419048" w14:textId="77777777" w:rsidR="004A3EC5" w:rsidRDefault="004A3EC5" w:rsidP="004A3EC5">
            <w:pPr>
              <w:pStyle w:val="TableParagraph"/>
            </w:pPr>
            <w:r>
              <w:t>Application of the NDLS National Regulations</w:t>
            </w:r>
          </w:p>
        </w:tc>
      </w:tr>
      <w:tr w:rsidR="004A3EC5" w14:paraId="72E8B5BD"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99AEB8" w14:textId="77777777" w:rsidR="004A3EC5" w:rsidRDefault="004A3EC5" w:rsidP="004A3EC5">
            <w:pPr>
              <w:pStyle w:val="TableParagraph"/>
              <w:ind w:right="113"/>
              <w:jc w:val="right"/>
            </w:pPr>
            <w:r>
              <w:t>74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D09FAF" w14:textId="77777777" w:rsidR="004A3EC5" w:rsidRDefault="004A3EC5" w:rsidP="004A3EC5">
            <w:pPr>
              <w:pStyle w:val="TableParagraph"/>
            </w:pPr>
            <w:r>
              <w:t>Notice to be given to other jurisdictions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8AEA6B" w14:textId="77777777" w:rsidR="004A3EC5" w:rsidRDefault="004A3EC5" w:rsidP="004A3EC5">
            <w:pPr>
              <w:pStyle w:val="TableParagraph"/>
            </w:pPr>
            <w:r>
              <w:t>NDLS PP14</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4FEFCC"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F58A6" w14:textId="77777777" w:rsidR="004A3EC5" w:rsidRDefault="004A3EC5" w:rsidP="004A3EC5">
            <w:pPr>
              <w:pStyle w:val="TableParagraph"/>
            </w:pPr>
            <w:r>
              <w:t>Application of the NDLS National Regulations</w:t>
            </w:r>
          </w:p>
        </w:tc>
      </w:tr>
      <w:tr w:rsidR="004A3EC5" w14:paraId="1FA93403"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9100E7" w14:textId="77777777" w:rsidR="004A3EC5" w:rsidRDefault="004A3EC5" w:rsidP="004A3EC5">
            <w:pPr>
              <w:pStyle w:val="TableParagraph"/>
              <w:ind w:right="113"/>
              <w:jc w:val="right"/>
            </w:pPr>
            <w:r>
              <w:t>75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C97D4" w14:textId="77777777" w:rsidR="004A3EC5" w:rsidRDefault="004A3EC5" w:rsidP="004A3EC5">
            <w:pPr>
              <w:pStyle w:val="TableParagraph"/>
            </w:pPr>
            <w:r>
              <w:t>Notification of too many demerit points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B967CD" w14:textId="77777777" w:rsidR="004A3EC5" w:rsidRDefault="004A3EC5" w:rsidP="004A3EC5">
            <w:pPr>
              <w:pStyle w:val="TableParagraph"/>
            </w:pPr>
            <w:r>
              <w:t>NDLS PP12</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CFD765"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87392D" w14:textId="77777777" w:rsidR="004A3EC5" w:rsidRDefault="004A3EC5" w:rsidP="004A3EC5">
            <w:pPr>
              <w:pStyle w:val="TableParagraph"/>
            </w:pPr>
            <w:r>
              <w:t>Application of the NDLS National Regulations</w:t>
            </w:r>
          </w:p>
        </w:tc>
      </w:tr>
      <w:tr w:rsidR="004A3EC5" w14:paraId="20C65E0A"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3D2790" w14:textId="77777777" w:rsidR="004A3EC5" w:rsidRDefault="004A3EC5" w:rsidP="004A3EC5">
            <w:pPr>
              <w:pStyle w:val="TableParagraph"/>
              <w:ind w:right="113"/>
              <w:jc w:val="right"/>
            </w:pPr>
            <w:r>
              <w:t>76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239C4C" w14:textId="77777777" w:rsidR="004A3EC5" w:rsidRDefault="004A3EC5" w:rsidP="004A3EC5">
            <w:pPr>
              <w:pStyle w:val="TableParagraph"/>
            </w:pPr>
            <w:r>
              <w:t>Cancellation of demerit points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32FF969"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7FF6E8"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2FD9E1" w14:textId="77777777" w:rsidR="004A3EC5" w:rsidRDefault="00120E1A" w:rsidP="004A3EC5">
            <w:pPr>
              <w:pStyle w:val="TableParagraph"/>
            </w:pPr>
            <w:r>
              <w:t xml:space="preserve">This regulation gives effect to section 35(3)(c) of the </w:t>
            </w:r>
            <w:r w:rsidRPr="009A0FFD">
              <w:rPr>
                <w:i/>
              </w:rPr>
              <w:t>RSA</w:t>
            </w:r>
            <w:r>
              <w:t xml:space="preserve"> prescribing the circumstances in which VicRoads must cancel demerit points</w:t>
            </w:r>
            <w:r w:rsidR="009A0FFD">
              <w:t xml:space="preserve"> from the Demerits Register.</w:t>
            </w:r>
          </w:p>
        </w:tc>
      </w:tr>
      <w:tr w:rsidR="004A3EC5" w:rsidRPr="00B52A2E" w14:paraId="5C67338A"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75125C2D" w14:textId="77777777" w:rsidR="004A3EC5" w:rsidRPr="00B52A2E" w:rsidRDefault="004A3EC5" w:rsidP="004A3EC5">
            <w:pPr>
              <w:pStyle w:val="TableParagraph"/>
              <w:keepNext/>
              <w:rPr>
                <w:b/>
              </w:rPr>
            </w:pPr>
            <w:r w:rsidRPr="00B52A2E">
              <w:rPr>
                <w:b/>
              </w:rPr>
              <w:t xml:space="preserve">Division 2—Variation, suspension and cancellation by </w:t>
            </w:r>
            <w:r w:rsidR="00892617">
              <w:rPr>
                <w:b/>
              </w:rPr>
              <w:t>VicRoads</w:t>
            </w:r>
          </w:p>
        </w:tc>
      </w:tr>
      <w:tr w:rsidR="004A3EC5" w14:paraId="7C72B5DC"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312572" w14:textId="77777777" w:rsidR="004A3EC5" w:rsidRDefault="004A3EC5" w:rsidP="004A3EC5">
            <w:pPr>
              <w:pStyle w:val="TableParagraph"/>
              <w:ind w:right="113"/>
              <w:jc w:val="right"/>
            </w:pPr>
            <w:r>
              <w:t>77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769155" w14:textId="77777777" w:rsidR="004A3EC5" w:rsidRDefault="004A3EC5" w:rsidP="004A3EC5">
            <w:pPr>
              <w:pStyle w:val="TableParagraph"/>
            </w:pPr>
            <w:r>
              <w:t>Variation, suspension or cancellation of driver licence or learner permit on the ground that the person is not suitable to drive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B23AB9" w14:textId="77777777" w:rsidR="004A3EC5" w:rsidRDefault="004A3EC5" w:rsidP="004A3EC5">
            <w:pPr>
              <w:pStyle w:val="TableParagraph"/>
            </w:pPr>
            <w:r>
              <w:t>NDLS SP23</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83CB0A"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10ED77" w14:textId="77777777" w:rsidR="004A3EC5" w:rsidRDefault="004A3EC5" w:rsidP="004A3EC5">
            <w:pPr>
              <w:pStyle w:val="TableParagraph"/>
            </w:pPr>
            <w:r>
              <w:t>Application of the NDLS National Regulations</w:t>
            </w:r>
          </w:p>
        </w:tc>
      </w:tr>
      <w:tr w:rsidR="004A3EC5" w14:paraId="4F5FA907"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B7B71A" w14:textId="77777777" w:rsidR="004A3EC5" w:rsidRDefault="004A3EC5" w:rsidP="004A3EC5">
            <w:pPr>
              <w:pStyle w:val="TableParagraph"/>
              <w:ind w:right="113"/>
              <w:jc w:val="right"/>
            </w:pPr>
            <w:r>
              <w:t>78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F835CA" w14:textId="77777777" w:rsidR="004A3EC5" w:rsidRDefault="004A3EC5" w:rsidP="004A3EC5">
            <w:pPr>
              <w:pStyle w:val="TableParagraph"/>
            </w:pPr>
            <w:r>
              <w:t>Variation, suspension or cancellation of driver licence or learner permit on the grounds that the person is unfit to drive or that is dangerous for the person to drive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345BF3" w14:textId="77777777" w:rsidR="004A3EC5" w:rsidRDefault="004A3EC5" w:rsidP="004A3EC5">
            <w:pPr>
              <w:pStyle w:val="TableParagraph"/>
            </w:pPr>
            <w:r>
              <w:t>NDLS SP23</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B863C0"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79AF0" w14:textId="77777777" w:rsidR="004A3EC5" w:rsidRDefault="004A3EC5" w:rsidP="004A3EC5">
            <w:pPr>
              <w:pStyle w:val="TableParagraph"/>
            </w:pPr>
            <w:r>
              <w:t>Application of the NDLS National Regulations</w:t>
            </w:r>
          </w:p>
        </w:tc>
      </w:tr>
      <w:tr w:rsidR="004A3EC5" w14:paraId="4C254E55"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E44218" w14:textId="77777777" w:rsidR="004A3EC5" w:rsidRDefault="004A3EC5" w:rsidP="004A3EC5">
            <w:pPr>
              <w:pStyle w:val="TableParagraph"/>
              <w:ind w:right="113"/>
              <w:jc w:val="right"/>
            </w:pPr>
            <w:r>
              <w:lastRenderedPageBreak/>
              <w:t>79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C85050" w14:textId="77777777" w:rsidR="004A3EC5" w:rsidRDefault="004A3EC5" w:rsidP="004A3EC5">
            <w:pPr>
              <w:pStyle w:val="TableParagraph"/>
            </w:pPr>
            <w:r>
              <w:t>Other grounds for variation, suspension or cancellation of driver licence or learner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BDCC60" w14:textId="77777777" w:rsidR="004A3EC5" w:rsidRDefault="004A3EC5" w:rsidP="004A3EC5">
            <w:pPr>
              <w:pStyle w:val="TableParagraph"/>
            </w:pPr>
            <w:r>
              <w:t>NDLS SP23</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566B60"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61F5F3" w14:textId="77777777" w:rsidR="004A3EC5" w:rsidRDefault="004A3EC5" w:rsidP="004A3EC5">
            <w:pPr>
              <w:pStyle w:val="TableParagraph"/>
            </w:pPr>
            <w:r>
              <w:t>Application of the NDLS National Regulations</w:t>
            </w:r>
          </w:p>
        </w:tc>
      </w:tr>
      <w:tr w:rsidR="004A3EC5" w14:paraId="572D7B3F"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3AF1AA" w14:textId="77777777" w:rsidR="004A3EC5" w:rsidRDefault="004A3EC5" w:rsidP="004A3EC5">
            <w:pPr>
              <w:pStyle w:val="TableParagraph"/>
              <w:ind w:right="113"/>
              <w:jc w:val="right"/>
            </w:pPr>
            <w:r>
              <w:t>80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55D7FB" w14:textId="77777777" w:rsidR="004A3EC5" w:rsidRDefault="004A3EC5" w:rsidP="004A3EC5">
            <w:pPr>
              <w:pStyle w:val="TableParagraph"/>
            </w:pPr>
            <w:r>
              <w:t>Procedure for variation, suspension or cancellation of driver licence or learner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4B8E20" w14:textId="77777777" w:rsidR="004A3EC5" w:rsidRDefault="004A3EC5" w:rsidP="004A3EC5">
            <w:pPr>
              <w:pStyle w:val="TableParagraph"/>
            </w:pPr>
            <w:r>
              <w:t>NDLS SP24</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984893"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251F46" w14:textId="77777777" w:rsidR="004A3EC5" w:rsidRDefault="004A3EC5" w:rsidP="004A3EC5">
            <w:pPr>
              <w:pStyle w:val="TableParagraph"/>
            </w:pPr>
            <w:r>
              <w:t>Application of the NDLS National Regulations</w:t>
            </w:r>
          </w:p>
        </w:tc>
      </w:tr>
      <w:tr w:rsidR="004A3EC5" w14:paraId="52E9690A"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DE1048" w14:textId="77777777" w:rsidR="004A3EC5" w:rsidRDefault="004A3EC5" w:rsidP="004A3EC5">
            <w:pPr>
              <w:pStyle w:val="TableParagraph"/>
              <w:ind w:right="113"/>
              <w:jc w:val="right"/>
            </w:pPr>
            <w:r>
              <w:t>81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235F51" w14:textId="77777777" w:rsidR="004A3EC5" w:rsidRDefault="004A3EC5" w:rsidP="004A3EC5">
            <w:pPr>
              <w:pStyle w:val="TableParagraph"/>
            </w:pPr>
            <w:r>
              <w:t>Return of driver licence or learner permit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0C7301" w14:textId="77777777" w:rsidR="004A3EC5" w:rsidRDefault="004A3EC5" w:rsidP="004A3EC5">
            <w:pPr>
              <w:pStyle w:val="TableParagraph"/>
            </w:pPr>
            <w:r>
              <w:t>NDLS SP24(5)</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4B944"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643F9E" w14:textId="77777777" w:rsidR="004A3EC5" w:rsidRDefault="004A3EC5" w:rsidP="004A3EC5">
            <w:pPr>
              <w:pStyle w:val="TableParagraph"/>
            </w:pPr>
            <w:r>
              <w:t>Application of the NDLS National Regulations</w:t>
            </w:r>
          </w:p>
        </w:tc>
      </w:tr>
      <w:tr w:rsidR="004A3EC5" w:rsidRPr="00B52A2E" w14:paraId="52A46184"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hideMark/>
          </w:tcPr>
          <w:p w14:paraId="5F6F79E6" w14:textId="77777777" w:rsidR="004A3EC5" w:rsidRPr="00B52A2E" w:rsidRDefault="004A3EC5" w:rsidP="004A3EC5">
            <w:pPr>
              <w:pStyle w:val="TableParagraph"/>
              <w:rPr>
                <w:b/>
              </w:rPr>
            </w:pPr>
            <w:r w:rsidRPr="00B52A2E">
              <w:rPr>
                <w:b/>
              </w:rPr>
              <w:t>PART 4 – SPECIAL POWERS WITH RESPECT TO DISQUALIFICATION IN ANOTHER JURISDICTION</w:t>
            </w:r>
          </w:p>
        </w:tc>
      </w:tr>
      <w:tr w:rsidR="004A3EC5" w14:paraId="26D355E8"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3DF38D" w14:textId="77777777" w:rsidR="004A3EC5" w:rsidRDefault="004A3EC5" w:rsidP="004A3EC5">
            <w:pPr>
              <w:pStyle w:val="TableParagraph"/>
              <w:ind w:right="113"/>
              <w:jc w:val="right"/>
            </w:pPr>
            <w:r>
              <w:t>82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B51F98" w14:textId="77777777" w:rsidR="004A3EC5" w:rsidRDefault="004A3EC5" w:rsidP="004A3EC5">
            <w:pPr>
              <w:pStyle w:val="TableParagraph"/>
            </w:pPr>
            <w:r>
              <w:t>Definitions for Part 4</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589ECFA"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54F5E3"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69A861" w14:textId="77777777" w:rsidR="004A3EC5" w:rsidRDefault="00892617" w:rsidP="004A3EC5">
            <w:pPr>
              <w:pStyle w:val="TableParagraph"/>
            </w:pPr>
            <w:r>
              <w:t>This regulation is declaratory in nature.</w:t>
            </w:r>
          </w:p>
          <w:p w14:paraId="2D6D83CE" w14:textId="77777777" w:rsidR="004A3EC5" w:rsidRDefault="004A3EC5" w:rsidP="004A3EC5">
            <w:pPr>
              <w:pStyle w:val="TableParagraph"/>
            </w:pPr>
            <w:r>
              <w:t xml:space="preserve">Drivers, who commit a drink-driving offence in another jurisdiction and are not resident in that jurisdiction, are not allowed to undertake certain </w:t>
            </w:r>
            <w:r w:rsidRPr="008A0C14">
              <w:t>education or rehabilitation activities</w:t>
            </w:r>
            <w:r>
              <w:t xml:space="preserve"> in that jurisdiction. In this case, a longer disqualification or suspension period is typically imposed on them. Section 25A(2) of the </w:t>
            </w:r>
            <w:r w:rsidRPr="00B96610">
              <w:rPr>
                <w:i/>
              </w:rPr>
              <w:t>RSA</w:t>
            </w:r>
            <w:r>
              <w:t xml:space="preserve"> enables VicRoads to</w:t>
            </w:r>
            <w:r w:rsidRPr="00B96610">
              <w:t xml:space="preserve"> reduce the </w:t>
            </w:r>
            <w:r>
              <w:t xml:space="preserve">disqualification or suspension </w:t>
            </w:r>
            <w:r w:rsidRPr="00B96610">
              <w:t xml:space="preserve">period </w:t>
            </w:r>
            <w:r>
              <w:t>on</w:t>
            </w:r>
            <w:r w:rsidRPr="00B96610">
              <w:t xml:space="preserve"> the application by the </w:t>
            </w:r>
            <w:r>
              <w:t xml:space="preserve">affected driver, subject to completion of certain </w:t>
            </w:r>
            <w:r w:rsidRPr="008A0C14">
              <w:t>education or rehabilitation activities</w:t>
            </w:r>
            <w:r>
              <w:t xml:space="preserve"> and other relevant conditions.</w:t>
            </w:r>
          </w:p>
          <w:p w14:paraId="5D664542" w14:textId="77777777" w:rsidR="004A3EC5" w:rsidRDefault="004A3EC5" w:rsidP="004A3EC5">
            <w:pPr>
              <w:pStyle w:val="TableParagraph"/>
            </w:pPr>
            <w:r>
              <w:t xml:space="preserve">Part 4 gives effect to section 25A(2) of the </w:t>
            </w:r>
            <w:r w:rsidRPr="00B96610">
              <w:rPr>
                <w:i/>
              </w:rPr>
              <w:t>RSA</w:t>
            </w:r>
            <w:r>
              <w:t xml:space="preserve"> and prescribes the process for making such application. </w:t>
            </w:r>
          </w:p>
          <w:p w14:paraId="377BE37F" w14:textId="77777777" w:rsidR="004A3EC5" w:rsidRDefault="004A3EC5" w:rsidP="003565B1">
            <w:pPr>
              <w:pStyle w:val="TableParagraph"/>
            </w:pPr>
            <w:r>
              <w:t xml:space="preserve">This regulation defines terms that are used in Part 4. </w:t>
            </w:r>
          </w:p>
        </w:tc>
      </w:tr>
      <w:tr w:rsidR="004A3EC5" w14:paraId="58977C37"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49365CC" w14:textId="77777777" w:rsidR="004A3EC5" w:rsidRDefault="004A3EC5" w:rsidP="004A3EC5">
            <w:pPr>
              <w:pStyle w:val="TableParagraph"/>
              <w:ind w:right="113"/>
              <w:jc w:val="right"/>
            </w:pPr>
            <w:r>
              <w:t>83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B505A5" w14:textId="77777777" w:rsidR="004A3EC5" w:rsidRDefault="004A3EC5" w:rsidP="004A3EC5">
            <w:pPr>
              <w:pStyle w:val="TableParagraph"/>
            </w:pPr>
            <w:r>
              <w:t>Application for a reduced disqualification or suspension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CA6702C"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2A0ABF"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EB1528" w14:textId="77777777" w:rsidR="004A3EC5" w:rsidRDefault="004A3EC5" w:rsidP="004A3EC5">
            <w:pPr>
              <w:pStyle w:val="TableParagraph"/>
            </w:pPr>
            <w:r>
              <w:t>Machinery (refer to comment under Reg. 82)</w:t>
            </w:r>
          </w:p>
        </w:tc>
      </w:tr>
      <w:tr w:rsidR="004A3EC5" w14:paraId="6E62649A"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853E45" w14:textId="77777777" w:rsidR="004A3EC5" w:rsidRDefault="004A3EC5" w:rsidP="004A3EC5">
            <w:pPr>
              <w:pStyle w:val="TableParagraph"/>
              <w:ind w:right="113"/>
              <w:jc w:val="right"/>
            </w:pPr>
            <w:r>
              <w:t>84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B2B350" w14:textId="77777777" w:rsidR="004A3EC5" w:rsidRDefault="004A3EC5" w:rsidP="004A3EC5">
            <w:pPr>
              <w:pStyle w:val="TableParagraph"/>
            </w:pPr>
            <w:r>
              <w:t>Consideration of application, notification and decision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295BA29"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139648"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790FDC" w14:textId="77777777" w:rsidR="004A3EC5" w:rsidRDefault="004A3EC5" w:rsidP="004A3EC5">
            <w:pPr>
              <w:pStyle w:val="TableParagraph"/>
              <w:rPr>
                <w:rFonts w:cs="Segoe UI"/>
                <w:szCs w:val="18"/>
              </w:rPr>
            </w:pPr>
            <w:r>
              <w:t>Machinery (refer to comment under Reg. 82)</w:t>
            </w:r>
          </w:p>
        </w:tc>
      </w:tr>
      <w:tr w:rsidR="004A3EC5" w14:paraId="44AD084D"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BA678C" w14:textId="77777777" w:rsidR="004A3EC5" w:rsidRDefault="004A3EC5" w:rsidP="004A3EC5">
            <w:pPr>
              <w:pStyle w:val="TableParagraph"/>
              <w:ind w:right="113"/>
              <w:jc w:val="right"/>
            </w:pPr>
            <w:r>
              <w:t>85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234C96" w14:textId="77777777" w:rsidR="004A3EC5" w:rsidRDefault="004A3EC5" w:rsidP="004A3EC5">
            <w:pPr>
              <w:pStyle w:val="TableParagraph"/>
            </w:pPr>
            <w:r>
              <w:t>Special conditions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E3DF175"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64DC9C"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7034F9" w14:textId="77777777" w:rsidR="004A3EC5" w:rsidRDefault="004A3EC5" w:rsidP="004A3EC5">
            <w:pPr>
              <w:pStyle w:val="TableParagraph"/>
              <w:rPr>
                <w:rFonts w:cs="Segoe UI"/>
                <w:szCs w:val="18"/>
              </w:rPr>
            </w:pPr>
            <w:r>
              <w:t>Machinery (refer to comment under Reg. 82)</w:t>
            </w:r>
          </w:p>
        </w:tc>
      </w:tr>
      <w:tr w:rsidR="004A3EC5" w14:paraId="03572151"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2455A1" w14:textId="77777777" w:rsidR="004A3EC5" w:rsidRDefault="004A3EC5" w:rsidP="004A3EC5">
            <w:pPr>
              <w:pStyle w:val="TableParagraph"/>
              <w:ind w:right="113"/>
              <w:jc w:val="right"/>
            </w:pPr>
            <w:r>
              <w:t>86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F5CB4B" w14:textId="77777777" w:rsidR="004A3EC5" w:rsidRDefault="004A3EC5" w:rsidP="004A3EC5">
            <w:pPr>
              <w:pStyle w:val="TableParagraph"/>
            </w:pPr>
            <w:r>
              <w:t>Application for removal of condition imposed for minimum period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184D2DD"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9A4139"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518D9" w14:textId="77777777" w:rsidR="004A3EC5" w:rsidRDefault="004A3EC5" w:rsidP="004A3EC5">
            <w:pPr>
              <w:pStyle w:val="TableParagraph"/>
              <w:rPr>
                <w:rFonts w:cs="Segoe UI"/>
                <w:szCs w:val="18"/>
              </w:rPr>
            </w:pPr>
            <w:r>
              <w:t>Machinery (refer to comment under Reg. 82)</w:t>
            </w:r>
          </w:p>
        </w:tc>
      </w:tr>
      <w:tr w:rsidR="004A3EC5" w14:paraId="270A97A0"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A5C3DE" w14:textId="77777777" w:rsidR="004A3EC5" w:rsidRDefault="004A3EC5" w:rsidP="004A3EC5">
            <w:pPr>
              <w:pStyle w:val="TableParagraph"/>
              <w:ind w:right="113"/>
              <w:jc w:val="right"/>
            </w:pPr>
            <w:r>
              <w:t>87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57F244" w14:textId="77777777" w:rsidR="004A3EC5" w:rsidRDefault="004A3EC5" w:rsidP="004A3EC5">
            <w:pPr>
              <w:pStyle w:val="TableParagraph"/>
            </w:pPr>
            <w:r>
              <w:t>Consideration of application and decision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2F5F3A4"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90CBB8"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E43679" w14:textId="77777777" w:rsidR="004A3EC5" w:rsidRDefault="004A3EC5" w:rsidP="004A3EC5">
            <w:pPr>
              <w:pStyle w:val="TableParagraph"/>
              <w:rPr>
                <w:rFonts w:cs="Segoe UI"/>
                <w:szCs w:val="18"/>
              </w:rPr>
            </w:pPr>
            <w:r>
              <w:t>Machinery (refer to comment under Reg. 82)</w:t>
            </w:r>
          </w:p>
        </w:tc>
      </w:tr>
      <w:tr w:rsidR="004A3EC5" w:rsidRPr="00B52A2E" w14:paraId="0DECEB38"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5C679C88" w14:textId="77777777" w:rsidR="004A3EC5" w:rsidRPr="00B52A2E" w:rsidRDefault="004A3EC5" w:rsidP="004A3EC5">
            <w:pPr>
              <w:pStyle w:val="TableParagraph"/>
              <w:keepNext/>
              <w:rPr>
                <w:b/>
              </w:rPr>
            </w:pPr>
            <w:r w:rsidRPr="00B52A2E">
              <w:rPr>
                <w:b/>
              </w:rPr>
              <w:lastRenderedPageBreak/>
              <w:t>PART 5 – REVIEW AND APPEAL RIGHTS</w:t>
            </w:r>
          </w:p>
        </w:tc>
      </w:tr>
      <w:tr w:rsidR="004A3EC5" w:rsidRPr="003A3EB8" w14:paraId="43248C8B"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550886B4" w14:textId="77777777" w:rsidR="004A3EC5" w:rsidRPr="003A3EB8" w:rsidRDefault="004A3EC5" w:rsidP="004A3EC5">
            <w:pPr>
              <w:pStyle w:val="TableParagraph"/>
              <w:keepNext/>
              <w:rPr>
                <w:b/>
              </w:rPr>
            </w:pPr>
            <w:r w:rsidRPr="003A3EB8">
              <w:rPr>
                <w:b/>
              </w:rPr>
              <w:t>Division 1—Definition</w:t>
            </w:r>
          </w:p>
        </w:tc>
      </w:tr>
      <w:tr w:rsidR="004A3EC5" w14:paraId="2447EE55"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309293" w14:textId="77777777" w:rsidR="004A3EC5" w:rsidRDefault="004A3EC5" w:rsidP="004A3EC5">
            <w:pPr>
              <w:pStyle w:val="TableParagraph"/>
              <w:ind w:right="113"/>
              <w:jc w:val="right"/>
            </w:pPr>
            <w:r>
              <w:t>88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7408B1" w14:textId="77777777" w:rsidR="004A3EC5" w:rsidRDefault="004A3EC5" w:rsidP="004A3EC5">
            <w:pPr>
              <w:pStyle w:val="TableParagraph"/>
              <w:rPr>
                <w:highlight w:val="yellow"/>
              </w:rPr>
            </w:pPr>
            <w:r>
              <w:t>Definition for Part 5</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47E285E"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F9595"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7A637F" w14:textId="77777777" w:rsidR="004A3EC5" w:rsidRDefault="00F20C80" w:rsidP="004A3EC5">
            <w:pPr>
              <w:pStyle w:val="TableParagraph"/>
            </w:pPr>
            <w:r>
              <w:t xml:space="preserve">This regulation is declaratory in nature and </w:t>
            </w:r>
            <w:r w:rsidR="004A3EC5">
              <w:t>defines the term “affected person” used in Part 5</w:t>
            </w:r>
            <w:r>
              <w:t xml:space="preserve"> in the context of decisions made by VicRoads.</w:t>
            </w:r>
          </w:p>
        </w:tc>
      </w:tr>
      <w:tr w:rsidR="004A3EC5" w:rsidRPr="00B52A2E" w14:paraId="66585E00"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768EFBA2" w14:textId="77777777" w:rsidR="004A3EC5" w:rsidRPr="00B52A2E" w:rsidRDefault="004A3EC5" w:rsidP="004A3EC5">
            <w:pPr>
              <w:pStyle w:val="TableParagraph"/>
              <w:rPr>
                <w:b/>
              </w:rPr>
            </w:pPr>
            <w:r w:rsidRPr="00B52A2E">
              <w:rPr>
                <w:b/>
              </w:rPr>
              <w:t>Division 2—Review</w:t>
            </w:r>
          </w:p>
        </w:tc>
      </w:tr>
      <w:tr w:rsidR="004A3EC5" w14:paraId="436F83D8"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1B126B" w14:textId="77777777" w:rsidR="004A3EC5" w:rsidRDefault="004A3EC5" w:rsidP="004A3EC5">
            <w:pPr>
              <w:pStyle w:val="TableParagraph"/>
              <w:ind w:right="113"/>
              <w:jc w:val="right"/>
            </w:pPr>
            <w:r>
              <w:t>89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9E8CB5" w14:textId="77777777" w:rsidR="004A3EC5" w:rsidRDefault="004A3EC5" w:rsidP="004A3EC5">
            <w:pPr>
              <w:pStyle w:val="TableParagraph"/>
            </w:pPr>
            <w:r>
              <w:t>Definition for Division 2</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88BC92" w14:textId="77777777" w:rsidR="004A3EC5" w:rsidRDefault="004A3EC5" w:rsidP="004A3EC5">
            <w:pPr>
              <w:pStyle w:val="TableParagraph"/>
            </w:pPr>
            <w:r>
              <w:t>NDLS PP20, SP25, SP26 &amp; SP28</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6E517"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F51BD" w14:textId="77777777" w:rsidR="004A3EC5" w:rsidRDefault="004A3EC5" w:rsidP="004A3EC5">
            <w:pPr>
              <w:pStyle w:val="TableParagraph"/>
            </w:pPr>
            <w:r>
              <w:t>Application of the NDLS National Regulations</w:t>
            </w:r>
          </w:p>
        </w:tc>
      </w:tr>
      <w:tr w:rsidR="004A3EC5" w14:paraId="3B84191C"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21DA8C" w14:textId="77777777" w:rsidR="004A3EC5" w:rsidRDefault="004A3EC5" w:rsidP="004A3EC5">
            <w:pPr>
              <w:pStyle w:val="TableParagraph"/>
              <w:ind w:right="113"/>
              <w:jc w:val="right"/>
            </w:pPr>
            <w:r>
              <w:t>90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CA07F9" w14:textId="77777777" w:rsidR="004A3EC5" w:rsidRDefault="004A3EC5" w:rsidP="004A3EC5">
            <w:pPr>
              <w:pStyle w:val="TableParagraph"/>
            </w:pPr>
            <w:r>
              <w:t>Affected person entitled to be given reasons for relevant decision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A0B081" w14:textId="77777777" w:rsidR="004A3EC5" w:rsidRDefault="004A3EC5" w:rsidP="004A3EC5">
            <w:pPr>
              <w:pStyle w:val="TableParagraph"/>
            </w:pPr>
            <w:r>
              <w:t>NDLS SP28</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9FFE90"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F5888B" w14:textId="77777777" w:rsidR="004A3EC5" w:rsidRDefault="004A3EC5" w:rsidP="004A3EC5">
            <w:pPr>
              <w:pStyle w:val="TableParagraph"/>
            </w:pPr>
            <w:r>
              <w:t>Application of the NDLS National Regulations</w:t>
            </w:r>
          </w:p>
        </w:tc>
      </w:tr>
      <w:tr w:rsidR="004A3EC5" w14:paraId="3A8CDC5C"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C40E21" w14:textId="77777777" w:rsidR="004A3EC5" w:rsidRDefault="004A3EC5" w:rsidP="004A3EC5">
            <w:pPr>
              <w:pStyle w:val="TableParagraph"/>
              <w:ind w:right="113"/>
              <w:jc w:val="right"/>
            </w:pPr>
            <w:r>
              <w:t>91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5EE25A" w14:textId="77777777" w:rsidR="004A3EC5" w:rsidRDefault="004A3EC5" w:rsidP="004A3EC5">
            <w:pPr>
              <w:pStyle w:val="TableParagraph"/>
            </w:pPr>
            <w:r>
              <w:t>Internal review</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1E72C9" w14:textId="77777777" w:rsidR="004A3EC5" w:rsidRDefault="004A3EC5" w:rsidP="004A3EC5">
            <w:pPr>
              <w:pStyle w:val="TableParagraph"/>
            </w:pPr>
            <w:r>
              <w:t>NDLS SP26</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26458F"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477628" w14:textId="77777777" w:rsidR="004A3EC5" w:rsidRDefault="004A3EC5" w:rsidP="004A3EC5">
            <w:pPr>
              <w:pStyle w:val="TableParagraph"/>
            </w:pPr>
            <w:r>
              <w:t>Application of the NDLS National Regulations</w:t>
            </w:r>
          </w:p>
        </w:tc>
      </w:tr>
      <w:tr w:rsidR="004A3EC5" w:rsidRPr="00B64504" w14:paraId="024E56C6"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DE8F4" w:themeFill="text2" w:themeFillTint="1A"/>
            <w:noWrap/>
            <w:hideMark/>
          </w:tcPr>
          <w:p w14:paraId="48EE8AC4" w14:textId="77777777" w:rsidR="004A3EC5" w:rsidRPr="00B64504" w:rsidRDefault="004A3EC5" w:rsidP="004A3EC5">
            <w:pPr>
              <w:pStyle w:val="TableParagraph"/>
              <w:rPr>
                <w:b/>
              </w:rPr>
            </w:pPr>
            <w:r w:rsidRPr="00B64504">
              <w:rPr>
                <w:b/>
              </w:rPr>
              <w:t>Division 3—Appeals to Magistrates' Court</w:t>
            </w:r>
          </w:p>
        </w:tc>
      </w:tr>
      <w:tr w:rsidR="004A3EC5" w14:paraId="2D1221A3"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63AE0B" w14:textId="77777777" w:rsidR="004A3EC5" w:rsidRDefault="004A3EC5" w:rsidP="004A3EC5">
            <w:pPr>
              <w:pStyle w:val="TableParagraph"/>
              <w:ind w:right="113"/>
              <w:jc w:val="right"/>
            </w:pPr>
            <w:r>
              <w:t>92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1893BF" w14:textId="77777777" w:rsidR="004A3EC5" w:rsidRDefault="004A3EC5" w:rsidP="004A3EC5">
            <w:pPr>
              <w:pStyle w:val="TableParagraph"/>
            </w:pPr>
            <w:r>
              <w:t>Definition for Division 3</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AE8D642" w14:textId="77777777" w:rsidR="004A3EC5" w:rsidRDefault="004A3EC5" w:rsidP="004A3EC5">
            <w:pPr>
              <w:pStyle w:val="TableParagraph"/>
              <w:rPr>
                <w:highlight w:val="yellow"/>
              </w:rPr>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7093F2"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E86907" w14:textId="77777777" w:rsidR="004A3EC5" w:rsidRDefault="00F20C80" w:rsidP="004A3EC5">
            <w:pPr>
              <w:pStyle w:val="TableParagraph"/>
            </w:pPr>
            <w:r>
              <w:t xml:space="preserve">This regulation is declaratory in nature and defines </w:t>
            </w:r>
            <w:r w:rsidR="004A3EC5">
              <w:t>the term “relevant decision” used in Division 3</w:t>
            </w:r>
            <w:r w:rsidR="00484D69">
              <w:t xml:space="preserve"> in the context of which decisions may be </w:t>
            </w:r>
            <w:r w:rsidR="00721AED">
              <w:t>the subject of an a</w:t>
            </w:r>
            <w:r w:rsidR="00484D69">
              <w:t>ppeal to the Magistrates’ Court</w:t>
            </w:r>
            <w:r w:rsidR="004A3EC5">
              <w:t>.</w:t>
            </w:r>
          </w:p>
        </w:tc>
      </w:tr>
      <w:tr w:rsidR="004A3EC5" w14:paraId="4DF0AF60"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A14554" w14:textId="77777777" w:rsidR="004A3EC5" w:rsidRDefault="004A3EC5" w:rsidP="004A3EC5">
            <w:pPr>
              <w:pStyle w:val="TableParagraph"/>
              <w:ind w:right="113"/>
              <w:jc w:val="right"/>
            </w:pPr>
            <w:r>
              <w:t xml:space="preserve"> 93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ED7C8F" w14:textId="77777777" w:rsidR="004A3EC5" w:rsidRDefault="004A3EC5" w:rsidP="004A3EC5">
            <w:pPr>
              <w:pStyle w:val="TableParagraph"/>
            </w:pPr>
            <w:r>
              <w:t>Time for appeal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D05A03" w14:textId="77777777" w:rsidR="004A3EC5" w:rsidRDefault="004A3EC5" w:rsidP="004A3EC5">
            <w:pPr>
              <w:pStyle w:val="TableParagraph"/>
              <w:rPr>
                <w:highlight w:val="yellow"/>
              </w:rPr>
            </w:pPr>
            <w:r w:rsidRPr="00CA02FB">
              <w:t>NDLS SP27</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19D353"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CCCD66" w14:textId="77777777" w:rsidR="004A3EC5" w:rsidRDefault="004A3EC5" w:rsidP="004A3EC5">
            <w:pPr>
              <w:pStyle w:val="TableParagraph"/>
            </w:pPr>
            <w:r>
              <w:t>Application of the NDLS National Regulations</w:t>
            </w:r>
          </w:p>
        </w:tc>
      </w:tr>
      <w:tr w:rsidR="004A3EC5" w14:paraId="78B52690"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84D051" w14:textId="77777777" w:rsidR="004A3EC5" w:rsidRDefault="004A3EC5" w:rsidP="004A3EC5">
            <w:pPr>
              <w:pStyle w:val="TableParagraph"/>
              <w:ind w:right="113"/>
              <w:jc w:val="right"/>
            </w:pPr>
            <w:r>
              <w:t>94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38701D" w14:textId="77777777" w:rsidR="004A3EC5" w:rsidRDefault="004A3EC5" w:rsidP="004A3EC5">
            <w:pPr>
              <w:pStyle w:val="TableParagraph"/>
            </w:pPr>
            <w:r>
              <w:t>Appellant must give notice of appeal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320DAF" w14:textId="77777777" w:rsidR="004A3EC5" w:rsidRDefault="004A3EC5" w:rsidP="004A3EC5">
            <w:pPr>
              <w:pStyle w:val="TableParagraph"/>
              <w:rPr>
                <w:highlight w:val="yellow"/>
              </w:rPr>
            </w:pPr>
            <w:r w:rsidRPr="00CA02FB">
              <w:t>NDLS SP27</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43C3DF"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BE1EEC" w14:textId="77777777" w:rsidR="004A3EC5" w:rsidRDefault="004A3EC5" w:rsidP="004A3EC5">
            <w:pPr>
              <w:pStyle w:val="TableParagraph"/>
            </w:pPr>
            <w:r>
              <w:t>Application of the NDLS National Regulations</w:t>
            </w:r>
          </w:p>
        </w:tc>
      </w:tr>
      <w:tr w:rsidR="004A3EC5" w14:paraId="3A71FC1F"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95528E" w14:textId="77777777" w:rsidR="004A3EC5" w:rsidRDefault="004A3EC5" w:rsidP="004A3EC5">
            <w:pPr>
              <w:pStyle w:val="TableParagraph"/>
              <w:ind w:right="113"/>
              <w:jc w:val="right"/>
            </w:pPr>
            <w:r>
              <w:t>95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8CEF52" w14:textId="77777777" w:rsidR="004A3EC5" w:rsidRDefault="004A3EC5" w:rsidP="004A3EC5">
            <w:pPr>
              <w:pStyle w:val="TableParagraph"/>
            </w:pPr>
            <w:r>
              <w:t>Particulars of order to be given to Corporation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0C5FF8C" w14:textId="77777777" w:rsidR="004A3EC5" w:rsidRDefault="004A3EC5" w:rsidP="004A3EC5">
            <w:pPr>
              <w:pStyle w:val="TableParagraph"/>
              <w:rPr>
                <w:highlight w:val="yellow"/>
              </w:rPr>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E960EC"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380705" w14:textId="77777777" w:rsidR="004A3EC5" w:rsidRDefault="004A3EC5" w:rsidP="004A3EC5">
            <w:pPr>
              <w:pStyle w:val="TableParagraph"/>
            </w:pPr>
            <w:r>
              <w:t>Machinery</w:t>
            </w:r>
          </w:p>
        </w:tc>
      </w:tr>
      <w:tr w:rsidR="004A3EC5" w14:paraId="32BA60E0"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E1F8AC" w14:textId="77777777" w:rsidR="004A3EC5" w:rsidRDefault="004A3EC5" w:rsidP="004A3EC5">
            <w:pPr>
              <w:pStyle w:val="TableParagraph"/>
              <w:ind w:right="113"/>
              <w:jc w:val="right"/>
            </w:pPr>
            <w:r>
              <w:t>96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0DACF0" w14:textId="77777777" w:rsidR="004A3EC5" w:rsidRDefault="004A3EC5" w:rsidP="004A3EC5">
            <w:pPr>
              <w:pStyle w:val="TableParagraph"/>
            </w:pPr>
            <w:r>
              <w:t>Appeals about demerit points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8B02D7B" w14:textId="77777777" w:rsidR="004A3EC5" w:rsidRDefault="004A3EC5" w:rsidP="004A3EC5">
            <w:pPr>
              <w:pStyle w:val="TableParagraph"/>
              <w:rPr>
                <w:highlight w:val="yellow"/>
              </w:rPr>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CDADAA" w14:textId="77777777" w:rsidR="004A3EC5" w:rsidRDefault="004A3EC5" w:rsidP="004A3EC5">
            <w:pPr>
              <w:pStyle w:val="TableParagraph"/>
            </w:pPr>
            <w:r>
              <w:t>Not addressed in NDLS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8C0E66" w14:textId="77777777" w:rsidR="004A3EC5" w:rsidRDefault="004A3EC5" w:rsidP="004A3EC5">
            <w:pPr>
              <w:pStyle w:val="TableParagraph"/>
            </w:pPr>
            <w:r>
              <w:t xml:space="preserve">Machinery. The NDLS does not regulate appeal rights for demerit point bans Section 46H of the </w:t>
            </w:r>
            <w:r w:rsidRPr="00166122">
              <w:rPr>
                <w:i/>
              </w:rPr>
              <w:t>RSA</w:t>
            </w:r>
            <w:r>
              <w:t xml:space="preserve"> </w:t>
            </w:r>
            <w:r w:rsidR="00385A04">
              <w:t>states</w:t>
            </w:r>
            <w:r>
              <w:t xml:space="preserve"> that appeals to the Magistrates’ Court must be made in accordance with the regulations and on either or both of two grounds: </w:t>
            </w:r>
            <w:r>
              <w:br/>
              <w:t xml:space="preserve">(i) that VicRoads recorded certain demerit points other than as required by the regulations; </w:t>
            </w:r>
            <w:r>
              <w:br/>
              <w:t xml:space="preserve">(ii) that an error has been made in the addition of the </w:t>
            </w:r>
            <w:r>
              <w:lastRenderedPageBreak/>
              <w:t>number of demerit points incurred by the appellant in a relevant period.</w:t>
            </w:r>
          </w:p>
          <w:p w14:paraId="62114F5F" w14:textId="77777777" w:rsidR="004A3EC5" w:rsidRDefault="004A3EC5" w:rsidP="004A3EC5">
            <w:pPr>
              <w:pStyle w:val="TableParagraph"/>
            </w:pPr>
            <w:r>
              <w:t xml:space="preserve">Section 46I(3)(b) of the </w:t>
            </w:r>
            <w:r w:rsidRPr="00166122">
              <w:rPr>
                <w:i/>
              </w:rPr>
              <w:t>RSA</w:t>
            </w:r>
            <w:r>
              <w:t xml:space="preserve"> relates to appeals to the Magistrates’ Court for a stay of the disqualification or suspension pending the hearing of the appeal. </w:t>
            </w:r>
          </w:p>
          <w:p w14:paraId="4D1ED411" w14:textId="77777777" w:rsidR="004A3EC5" w:rsidRDefault="004A3EC5" w:rsidP="004A3EC5">
            <w:pPr>
              <w:pStyle w:val="TableParagraph"/>
            </w:pPr>
            <w:r>
              <w:t>This regulation gives effect to these RSA provisions and prescribes that a registrar-endorsed notice of appeal must be served on VicRoads under section 46H(3) and by when a notice of discontinuance of the appeal must be served.</w:t>
            </w:r>
          </w:p>
        </w:tc>
      </w:tr>
      <w:tr w:rsidR="004A3EC5" w14:paraId="325DEFAA"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233CE7" w14:textId="77777777" w:rsidR="004A3EC5" w:rsidRDefault="004A3EC5" w:rsidP="004A3EC5">
            <w:pPr>
              <w:pStyle w:val="TableParagraph"/>
              <w:ind w:right="113"/>
              <w:jc w:val="right"/>
            </w:pPr>
            <w:r>
              <w:lastRenderedPageBreak/>
              <w:t>97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E4475A" w14:textId="77777777" w:rsidR="004A3EC5" w:rsidRDefault="004A3EC5" w:rsidP="004A3EC5">
            <w:pPr>
              <w:pStyle w:val="TableParagraph"/>
            </w:pPr>
            <w:r>
              <w:t>Application for stay of demerit point suspension or disqualification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59234F0" w14:textId="77777777" w:rsidR="004A3EC5" w:rsidRDefault="004A3EC5" w:rsidP="004A3EC5">
            <w:pPr>
              <w:pStyle w:val="TableParagraph"/>
              <w:rPr>
                <w:highlight w:val="yellow"/>
              </w:rPr>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05D4F3"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C72832" w14:textId="77777777" w:rsidR="004A3EC5" w:rsidRDefault="00FF51D2" w:rsidP="004A3EC5">
            <w:pPr>
              <w:pStyle w:val="TableParagraph"/>
            </w:pPr>
            <w:r>
              <w:t xml:space="preserve">This regulation gives effect to section 46I of the </w:t>
            </w:r>
            <w:r w:rsidRPr="00BF026D">
              <w:rPr>
                <w:i/>
              </w:rPr>
              <w:t>RSA</w:t>
            </w:r>
            <w:r>
              <w:t xml:space="preserve"> requiring appellants </w:t>
            </w:r>
            <w:r w:rsidR="00BF026D">
              <w:t xml:space="preserve">to </w:t>
            </w:r>
            <w:r w:rsidR="00BF026D" w:rsidRPr="00BF026D">
              <w:t>give written notice of the application to a registrar of the Magistrates' Court, asking the registrar to endorse a copy of the application with the date on which the application is to be heard; and</w:t>
            </w:r>
            <w:r w:rsidR="00BF026D">
              <w:t xml:space="preserve"> </w:t>
            </w:r>
            <w:r w:rsidR="00BF026D" w:rsidRPr="00BF026D">
              <w:t>serve on VicRoads the endorsed copy of the notice, at least 14 days before the hearing date</w:t>
            </w:r>
            <w:r w:rsidR="00BF026D">
              <w:t>.</w:t>
            </w:r>
          </w:p>
        </w:tc>
      </w:tr>
      <w:tr w:rsidR="004A3EC5" w14:paraId="057498A1"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C01D01" w14:textId="77777777" w:rsidR="004A3EC5" w:rsidRDefault="004A3EC5" w:rsidP="004A3EC5">
            <w:pPr>
              <w:pStyle w:val="TableParagraph"/>
              <w:ind w:right="113"/>
              <w:jc w:val="right"/>
            </w:pPr>
            <w:r>
              <w:t>98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259DCE" w14:textId="77777777" w:rsidR="004A3EC5" w:rsidRDefault="004A3EC5" w:rsidP="004A3EC5">
            <w:pPr>
              <w:pStyle w:val="TableParagraph"/>
            </w:pPr>
            <w:r>
              <w:t>Particulars of order for a stay to be given to Corporation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723DE00" w14:textId="77777777" w:rsidR="004A3EC5" w:rsidRDefault="004A3EC5" w:rsidP="004A3EC5">
            <w:pPr>
              <w:pStyle w:val="TableParagraph"/>
              <w:rPr>
                <w:highlight w:val="yellow"/>
              </w:rPr>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086AA3"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EFB161" w14:textId="77777777" w:rsidR="004A3EC5" w:rsidRDefault="00BF026D" w:rsidP="004A3EC5">
            <w:pPr>
              <w:pStyle w:val="TableParagraph"/>
            </w:pPr>
            <w:r>
              <w:t xml:space="preserve">This regulation gives effect to section 46I of the </w:t>
            </w:r>
            <w:r w:rsidRPr="00BF026D">
              <w:rPr>
                <w:i/>
              </w:rPr>
              <w:t>RSA</w:t>
            </w:r>
            <w:r>
              <w:t xml:space="preserve"> requiring the Magistrates’ Court to </w:t>
            </w:r>
            <w:r w:rsidRPr="00BF026D">
              <w:t xml:space="preserve">cause particulars of an order made on an application under section 46I of the </w:t>
            </w:r>
            <w:r w:rsidRPr="00BF026D">
              <w:rPr>
                <w:i/>
              </w:rPr>
              <w:t>RSA</w:t>
            </w:r>
            <w:r w:rsidRPr="00BF026D">
              <w:t xml:space="preserve"> to be given immediately to VicRoads</w:t>
            </w:r>
          </w:p>
        </w:tc>
      </w:tr>
      <w:tr w:rsidR="004A3EC5" w:rsidRPr="00B52A2E" w14:paraId="334618CD"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6510096A" w14:textId="77777777" w:rsidR="004A3EC5" w:rsidRPr="00B52A2E" w:rsidRDefault="004A3EC5" w:rsidP="004A3EC5">
            <w:pPr>
              <w:pStyle w:val="TableParagraph"/>
              <w:rPr>
                <w:b/>
              </w:rPr>
            </w:pPr>
            <w:r w:rsidRPr="00B52A2E">
              <w:rPr>
                <w:b/>
              </w:rPr>
              <w:t>PART 6 – EXEMPTIONS</w:t>
            </w:r>
          </w:p>
        </w:tc>
      </w:tr>
      <w:tr w:rsidR="004A3EC5" w14:paraId="5CC60D82"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323C87" w14:textId="77777777" w:rsidR="004A3EC5" w:rsidRDefault="004A3EC5" w:rsidP="004A3EC5">
            <w:pPr>
              <w:pStyle w:val="TableParagraph"/>
              <w:ind w:right="113"/>
              <w:jc w:val="right"/>
            </w:pPr>
            <w:r>
              <w:t>99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48C887" w14:textId="77777777" w:rsidR="004A3EC5" w:rsidRDefault="004A3EC5" w:rsidP="004A3EC5">
            <w:pPr>
              <w:pStyle w:val="TableParagraph"/>
            </w:pPr>
            <w:r>
              <w:t>Exemption from requirement</w:t>
            </w:r>
          </w:p>
          <w:p w14:paraId="5841D9CE" w14:textId="77777777" w:rsidR="004A3EC5" w:rsidRDefault="004A3EC5" w:rsidP="004A3EC5">
            <w:pPr>
              <w:jc w:val="center"/>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14D89DA"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AE5E1D"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5D6A5C" w14:textId="77777777" w:rsidR="004A3EC5" w:rsidRDefault="004A3EC5" w:rsidP="004A3EC5">
            <w:pPr>
              <w:pStyle w:val="TableParagraph"/>
            </w:pPr>
            <w:r>
              <w:t xml:space="preserve">This regulation prescribes the process that must be followed in relation to applications for exemption from a requirement </w:t>
            </w:r>
            <w:r w:rsidRPr="00CB4ED6">
              <w:t>under Division 2 of Part 2</w:t>
            </w:r>
            <w:r>
              <w:t xml:space="preserve"> [requirements for grant or variation of driver licence] or from the </w:t>
            </w:r>
            <w:r w:rsidRPr="00CB4ED6">
              <w:t>operation of regulation 56(1)</w:t>
            </w:r>
            <w:r>
              <w:t xml:space="preserve"> [</w:t>
            </w:r>
            <w:r w:rsidRPr="002A15A1">
              <w:t>driv</w:t>
            </w:r>
            <w:r>
              <w:t>ing</w:t>
            </w:r>
            <w:r w:rsidRPr="002A15A1">
              <w:t xml:space="preserve"> probationary prohibited vehicle</w:t>
            </w:r>
            <w:r>
              <w:t>], 57(1)(a) [r</w:t>
            </w:r>
            <w:r w:rsidRPr="009F5EDF">
              <w:t>estrictions affecting certain motor cycle riders</w:t>
            </w:r>
            <w:r>
              <w:t>] or 59(1) [p</w:t>
            </w:r>
            <w:r w:rsidRPr="009F5EDF">
              <w:t>eer passenger restriction for P1 probationary drivers</w:t>
            </w:r>
            <w:r>
              <w:t xml:space="preserve">]. It </w:t>
            </w:r>
            <w:r>
              <w:lastRenderedPageBreak/>
              <w:t>also regulates how VicRoads must process such applications.</w:t>
            </w:r>
          </w:p>
        </w:tc>
      </w:tr>
      <w:tr w:rsidR="004A3EC5" w14:paraId="10902AE7"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011602" w14:textId="77777777" w:rsidR="004A3EC5" w:rsidRDefault="004A3EC5" w:rsidP="004A3EC5">
            <w:pPr>
              <w:pStyle w:val="TableParagraph"/>
              <w:ind w:right="113"/>
              <w:jc w:val="right"/>
            </w:pPr>
            <w:r>
              <w:lastRenderedPageBreak/>
              <w:t>100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B62625" w14:textId="77777777" w:rsidR="004A3EC5" w:rsidRDefault="004A3EC5" w:rsidP="004A3EC5">
            <w:pPr>
              <w:pStyle w:val="TableParagraph"/>
            </w:pPr>
            <w:r>
              <w:t>Conditions if exemption granted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7E1FDA2"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CBFF6C"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12CEB0" w14:textId="77777777" w:rsidR="004A3EC5" w:rsidRDefault="004A3EC5" w:rsidP="004A3EC5">
            <w:pPr>
              <w:pStyle w:val="TableParagraph"/>
            </w:pPr>
            <w:r>
              <w:t>This regulation enables VicRoads to impose conditions on the driver licence or learner permit of the applicant where an exemption is granted under regulation 99.</w:t>
            </w:r>
          </w:p>
        </w:tc>
      </w:tr>
      <w:tr w:rsidR="004A3EC5" w:rsidRPr="00B52A2E" w14:paraId="4AA47769"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05CAA83A" w14:textId="77777777" w:rsidR="004A3EC5" w:rsidRPr="00B52A2E" w:rsidRDefault="004A3EC5" w:rsidP="004A3EC5">
            <w:pPr>
              <w:pStyle w:val="TableParagraph"/>
              <w:rPr>
                <w:b/>
              </w:rPr>
            </w:pPr>
            <w:r w:rsidRPr="00B52A2E">
              <w:rPr>
                <w:b/>
              </w:rPr>
              <w:t>PART 7 – FEES</w:t>
            </w:r>
          </w:p>
        </w:tc>
      </w:tr>
      <w:tr w:rsidR="004A3EC5" w14:paraId="39903864"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85D5C8" w14:textId="77777777" w:rsidR="004A3EC5" w:rsidRDefault="004A3EC5" w:rsidP="004A3EC5">
            <w:pPr>
              <w:pStyle w:val="TableParagraph"/>
              <w:ind w:right="113"/>
              <w:jc w:val="right"/>
            </w:pPr>
            <w:r>
              <w:t>101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671CF2" w14:textId="77777777" w:rsidR="004A3EC5" w:rsidRDefault="004A3EC5" w:rsidP="004A3EC5">
            <w:pPr>
              <w:pStyle w:val="TableParagraph"/>
            </w:pPr>
            <w:r>
              <w:t>Definitions for Part 7</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5CE27BD"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D73D7F"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F280D" w14:textId="77777777" w:rsidR="004A3EC5" w:rsidRDefault="004A3EC5" w:rsidP="004A3EC5">
            <w:pPr>
              <w:pStyle w:val="TableParagraph"/>
            </w:pPr>
            <w:r>
              <w:t xml:space="preserve">This regulation </w:t>
            </w:r>
            <w:r w:rsidR="00BF026D">
              <w:t xml:space="preserve">is declaratory in nature and </w:t>
            </w:r>
            <w:r>
              <w:t>defines</w:t>
            </w:r>
            <w:r w:rsidR="004D5C85">
              <w:t xml:space="preserve"> the</w:t>
            </w:r>
            <w:r>
              <w:t xml:space="preserve"> terms “assessment date”, “eligible person” and “relevant offence”</w:t>
            </w:r>
            <w:r w:rsidR="00BF026D">
              <w:t xml:space="preserve"> used in Part 7</w:t>
            </w:r>
            <w:r w:rsidR="0072321A">
              <w:t>.</w:t>
            </w:r>
          </w:p>
        </w:tc>
      </w:tr>
      <w:tr w:rsidR="004A3EC5" w14:paraId="7B42606F"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D01A9C" w14:textId="77777777" w:rsidR="004A3EC5" w:rsidRDefault="004A3EC5" w:rsidP="004A3EC5">
            <w:pPr>
              <w:pStyle w:val="TableParagraph"/>
              <w:ind w:right="113"/>
              <w:jc w:val="right"/>
            </w:pPr>
            <w:r>
              <w:t>102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99BB0D" w14:textId="77777777" w:rsidR="004A3EC5" w:rsidRDefault="004A3EC5" w:rsidP="004A3EC5">
            <w:pPr>
              <w:pStyle w:val="TableParagraph"/>
            </w:pPr>
            <w:r>
              <w:t>Fees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A9963F" w14:textId="77777777" w:rsidR="004A3EC5" w:rsidRDefault="004A3EC5" w:rsidP="004A3EC5">
            <w:pPr>
              <w:pStyle w:val="TableParagraph"/>
            </w:pPr>
            <w:r>
              <w:t>NDLS PP7, PP18(2)(h) &amp; SP37</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F5D563"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082363" w14:textId="77777777" w:rsidR="004A3EC5" w:rsidRDefault="004A3EC5" w:rsidP="004A3EC5">
            <w:pPr>
              <w:pStyle w:val="TableParagraph"/>
            </w:pPr>
            <w:r>
              <w:t>Application of the NDLS National Regulations which allow for licence fees to be charged as part of the scheme</w:t>
            </w:r>
          </w:p>
        </w:tc>
      </w:tr>
      <w:tr w:rsidR="004A3EC5" w14:paraId="62997C9A"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7A6980" w14:textId="77777777" w:rsidR="004A3EC5" w:rsidRDefault="004A3EC5" w:rsidP="004A3EC5">
            <w:pPr>
              <w:pStyle w:val="TableParagraph"/>
              <w:ind w:right="113"/>
              <w:jc w:val="right"/>
            </w:pPr>
            <w:r>
              <w:t>103</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2E31FC" w14:textId="77777777" w:rsidR="004A3EC5" w:rsidRDefault="004A3EC5" w:rsidP="004A3EC5">
            <w:pPr>
              <w:pStyle w:val="TableParagraph"/>
            </w:pPr>
            <w:r>
              <w:t>Free full driver licence for good probationary drivers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406C42" w14:textId="77777777" w:rsidR="004A3EC5" w:rsidRDefault="004A3EC5" w:rsidP="004A3EC5">
            <w:pPr>
              <w:pStyle w:val="TableParagraph"/>
            </w:pPr>
            <w:r>
              <w:t>NDLS SP37 &amp; SP38</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860667"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B082DE" w14:textId="77777777" w:rsidR="004A3EC5" w:rsidRDefault="004A3EC5" w:rsidP="004A3EC5">
            <w:pPr>
              <w:pStyle w:val="TableParagraph"/>
            </w:pPr>
            <w:r>
              <w:t xml:space="preserve">Application of the NDLS National Regulations which permit the waiver of fees under certain circumstances </w:t>
            </w:r>
          </w:p>
        </w:tc>
      </w:tr>
      <w:tr w:rsidR="004A3EC5" w14:paraId="36B506E7"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4E06BF" w14:textId="77777777" w:rsidR="004A3EC5" w:rsidRDefault="004A3EC5" w:rsidP="004A3EC5">
            <w:pPr>
              <w:pStyle w:val="TableParagraph"/>
              <w:ind w:right="113"/>
              <w:jc w:val="right"/>
            </w:pPr>
            <w:r>
              <w:t>104</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65AF52" w14:textId="77777777" w:rsidR="004A3EC5" w:rsidRDefault="004A3EC5" w:rsidP="004A3EC5">
            <w:pPr>
              <w:pStyle w:val="TableParagraph"/>
            </w:pPr>
            <w:r>
              <w:t>Replacement learner log book fee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039FC7" w14:textId="77777777" w:rsidR="004A3EC5" w:rsidRDefault="004A3EC5" w:rsidP="004A3EC5">
            <w:pPr>
              <w:pStyle w:val="TableParagraph"/>
            </w:pPr>
            <w:r>
              <w:t>NDLS PP18(2)(h)</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15579B"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CEA5A1" w14:textId="77777777" w:rsidR="004A3EC5" w:rsidRDefault="004A3EC5" w:rsidP="004A3EC5">
            <w:pPr>
              <w:pStyle w:val="TableParagraph"/>
            </w:pPr>
            <w:r>
              <w:t xml:space="preserve">Application of the NDLS National Regulations which allow fees to be set and collected under the Supporting Principles </w:t>
            </w:r>
          </w:p>
        </w:tc>
      </w:tr>
      <w:tr w:rsidR="004A3EC5" w14:paraId="6B90BF31"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D697AB" w14:textId="77777777" w:rsidR="004A3EC5" w:rsidRDefault="004A3EC5" w:rsidP="004A3EC5">
            <w:pPr>
              <w:pStyle w:val="TableParagraph"/>
              <w:ind w:right="113"/>
              <w:jc w:val="right"/>
            </w:pPr>
            <w:r>
              <w:t>105</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856D77" w14:textId="77777777" w:rsidR="004A3EC5" w:rsidRDefault="004A3EC5" w:rsidP="004A3EC5">
            <w:pPr>
              <w:pStyle w:val="TableParagraph"/>
            </w:pPr>
            <w:r>
              <w:t>Search and extract fees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C528C0" w14:textId="77777777" w:rsidR="004A3EC5" w:rsidRDefault="004A3EC5" w:rsidP="004A3EC5">
            <w:pPr>
              <w:pStyle w:val="TableParagraph"/>
            </w:pPr>
            <w:r>
              <w:t>NDLS SP 11, SP12 PP18(2)(h) SP Part 10 Note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B92246"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6486B6" w14:textId="77777777" w:rsidR="004A3EC5" w:rsidRDefault="004A3EC5" w:rsidP="004A3EC5">
            <w:pPr>
              <w:pStyle w:val="TableParagraph"/>
            </w:pPr>
            <w:r>
              <w:t xml:space="preserve">Application of the NDLS National Regulations which allow fees to be set and collected under the Supporting Principles. </w:t>
            </w:r>
          </w:p>
        </w:tc>
      </w:tr>
      <w:tr w:rsidR="004A3EC5" w14:paraId="60402E1C"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03BB28" w14:textId="77777777" w:rsidR="004A3EC5" w:rsidRDefault="004A3EC5" w:rsidP="004A3EC5">
            <w:pPr>
              <w:pStyle w:val="TableParagraph"/>
              <w:ind w:right="113"/>
              <w:jc w:val="right"/>
            </w:pPr>
            <w:r>
              <w:t>106</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2FA6DA" w14:textId="77777777" w:rsidR="004A3EC5" w:rsidRDefault="004A3EC5" w:rsidP="004A3EC5">
            <w:pPr>
              <w:pStyle w:val="TableParagraph"/>
            </w:pPr>
            <w:r>
              <w:t>Cost recovery fees—alcohol interlock scheme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20D150" w14:textId="77777777" w:rsidR="004A3EC5" w:rsidRDefault="004A3EC5" w:rsidP="004A3EC5">
            <w:pPr>
              <w:pStyle w:val="TableParagraph"/>
            </w:pPr>
            <w:r>
              <w:t>NDLS PP18(2)(h)</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0AB4EB"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CB6074" w14:textId="77777777" w:rsidR="004A3EC5" w:rsidRDefault="004A3EC5" w:rsidP="004A3EC5">
            <w:pPr>
              <w:pStyle w:val="TableParagraph"/>
            </w:pPr>
            <w:r>
              <w:t xml:space="preserve">Application of the NDLS National Regulations which allow fees to be set and collected under the Supporting Principles </w:t>
            </w:r>
          </w:p>
        </w:tc>
      </w:tr>
      <w:tr w:rsidR="004A3EC5" w14:paraId="0FD65924"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35DE90" w14:textId="77777777" w:rsidR="004A3EC5" w:rsidRDefault="004A3EC5" w:rsidP="004A3EC5">
            <w:pPr>
              <w:pStyle w:val="TableParagraph"/>
              <w:ind w:right="113"/>
              <w:jc w:val="right"/>
            </w:pPr>
            <w:r>
              <w:t>107</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A7ED7D" w14:textId="77777777" w:rsidR="004A3EC5" w:rsidRDefault="004A3EC5" w:rsidP="004A3EC5">
            <w:pPr>
              <w:pStyle w:val="TableParagraph"/>
            </w:pPr>
            <w:r>
              <w:t>Application of certain fees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4EB093" w14:textId="77777777" w:rsidR="004A3EC5" w:rsidRDefault="004A3EC5" w:rsidP="004A3EC5">
            <w:pPr>
              <w:pStyle w:val="TableParagraph"/>
            </w:pPr>
            <w:r>
              <w:t>NDLS PP18(2)(h)</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D8BAEA"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876FBC" w14:textId="77777777" w:rsidR="004A3EC5" w:rsidRDefault="004A3EC5" w:rsidP="004A3EC5">
            <w:pPr>
              <w:pStyle w:val="TableParagraph"/>
            </w:pPr>
            <w:r>
              <w:t xml:space="preserve">Application of the NDLS National Regulations which allow fees to be set and collected under the Supporting Principles </w:t>
            </w:r>
          </w:p>
        </w:tc>
      </w:tr>
      <w:tr w:rsidR="004A3EC5" w14:paraId="135D2CAB"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266563" w14:textId="77777777" w:rsidR="004A3EC5" w:rsidRDefault="004A3EC5" w:rsidP="004A3EC5">
            <w:pPr>
              <w:pStyle w:val="TableParagraph"/>
              <w:ind w:right="113"/>
              <w:jc w:val="right"/>
            </w:pPr>
            <w:r>
              <w:lastRenderedPageBreak/>
              <w:t>108</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0C605B" w14:textId="77777777" w:rsidR="004A3EC5" w:rsidRDefault="004A3EC5" w:rsidP="004A3EC5">
            <w:pPr>
              <w:pStyle w:val="TableParagraph"/>
            </w:pPr>
            <w:r>
              <w:t>Refund of fees if driver licence cancelled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D95149" w14:textId="77777777" w:rsidR="004A3EC5" w:rsidRDefault="004A3EC5" w:rsidP="004A3EC5">
            <w:pPr>
              <w:pStyle w:val="TableParagraph"/>
            </w:pPr>
            <w:r>
              <w:t>NDLS SP22</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102946"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0C2E68" w14:textId="77777777" w:rsidR="004A3EC5" w:rsidRDefault="004A3EC5" w:rsidP="004A3EC5">
            <w:pPr>
              <w:pStyle w:val="TableParagraph"/>
            </w:pPr>
            <w:r>
              <w:t xml:space="preserve">Application of the NDLS National Regulations which allow fees to be set and collected under the Supporting Principles </w:t>
            </w:r>
          </w:p>
        </w:tc>
      </w:tr>
      <w:tr w:rsidR="004A3EC5" w14:paraId="21492D63"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874A46" w14:textId="77777777" w:rsidR="004A3EC5" w:rsidRDefault="004A3EC5" w:rsidP="004A3EC5">
            <w:pPr>
              <w:pStyle w:val="TableParagraph"/>
              <w:ind w:right="113"/>
              <w:jc w:val="right"/>
            </w:pPr>
            <w:r>
              <w:t>109</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395B6F" w14:textId="77777777" w:rsidR="004A3EC5" w:rsidRDefault="004A3EC5" w:rsidP="004A3EC5">
            <w:pPr>
              <w:pStyle w:val="TableParagraph"/>
            </w:pPr>
            <w:r>
              <w:t>Reduction, waiver or refund of fees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75A2D8" w14:textId="77777777" w:rsidR="004A3EC5" w:rsidRDefault="004A3EC5" w:rsidP="004A3EC5">
            <w:pPr>
              <w:pStyle w:val="TableParagraph"/>
            </w:pPr>
            <w:r>
              <w:t>NDLS SP38</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F4F323"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20682C" w14:textId="77777777" w:rsidR="004A3EC5" w:rsidRDefault="004A3EC5" w:rsidP="004A3EC5">
            <w:pPr>
              <w:pStyle w:val="TableParagraph"/>
            </w:pPr>
            <w:r>
              <w:t xml:space="preserve">Application of the NDLS National Regulations which allow fees to be set and collected under the Supporting Principles </w:t>
            </w:r>
          </w:p>
        </w:tc>
      </w:tr>
      <w:tr w:rsidR="004A3EC5" w14:paraId="4A1F8436"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5EFACC" w14:textId="77777777" w:rsidR="004A3EC5" w:rsidRDefault="004A3EC5" w:rsidP="004A3EC5">
            <w:pPr>
              <w:pStyle w:val="TableParagraph"/>
              <w:ind w:right="113"/>
              <w:jc w:val="right"/>
            </w:pPr>
            <w:r>
              <w:t>110</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810B1" w14:textId="77777777" w:rsidR="004A3EC5" w:rsidRDefault="004A3EC5" w:rsidP="004A3EC5">
            <w:pPr>
              <w:pStyle w:val="TableParagraph"/>
            </w:pPr>
            <w:r>
              <w:t>Persons eligible for concessional rates—commercial fees for alcohol interlocks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353311" w14:textId="77777777" w:rsidR="004A3EC5" w:rsidRDefault="004A3EC5" w:rsidP="004A3EC5">
            <w:pPr>
              <w:pStyle w:val="TableParagraph"/>
            </w:pPr>
            <w:r>
              <w:t>NDLS PP18(2)(h)</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F4C1B4"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B80EE0" w14:textId="77777777" w:rsidR="004A3EC5" w:rsidRDefault="004A3EC5" w:rsidP="004A3EC5">
            <w:pPr>
              <w:pStyle w:val="TableParagraph"/>
            </w:pPr>
            <w:r>
              <w:t xml:space="preserve">Application of the NDLS National Regulations which allow fees to be set and collected under the Supporting Principles </w:t>
            </w:r>
          </w:p>
        </w:tc>
      </w:tr>
      <w:tr w:rsidR="004A3EC5" w:rsidRPr="00B52A2E" w14:paraId="010027B0" w14:textId="77777777" w:rsidTr="00B64504">
        <w:trPr>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361FE77B" w14:textId="77777777" w:rsidR="004A3EC5" w:rsidRPr="00B52A2E" w:rsidRDefault="004A3EC5" w:rsidP="004A3EC5">
            <w:pPr>
              <w:pStyle w:val="TableParagraph"/>
              <w:keepNext/>
              <w:rPr>
                <w:b/>
              </w:rPr>
            </w:pPr>
            <w:r w:rsidRPr="00B52A2E">
              <w:rPr>
                <w:b/>
              </w:rPr>
              <w:t>PART 8 – TRANSITIONAL PROVISIONS</w:t>
            </w:r>
          </w:p>
        </w:tc>
      </w:tr>
      <w:tr w:rsidR="004A3EC5" w14:paraId="03B8E75C" w14:textId="77777777" w:rsidTr="008E3FD3">
        <w:trPr>
          <w:cnfStyle w:val="000000010000" w:firstRow="0" w:lastRow="0" w:firstColumn="0" w:lastColumn="0" w:oddVBand="0" w:evenVBand="0" w:oddHBand="0" w:evenHBand="1" w:firstRowFirstColumn="0" w:firstRowLastColumn="0" w:lastRowFirstColumn="0" w:lastRowLastColumn="0"/>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FF41C8" w14:textId="77777777" w:rsidR="004A3EC5" w:rsidRDefault="004A3EC5" w:rsidP="004A3EC5">
            <w:pPr>
              <w:pStyle w:val="TableParagraph"/>
              <w:ind w:right="113"/>
              <w:jc w:val="right"/>
            </w:pPr>
            <w:r>
              <w:t>111</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8B945C" w14:textId="77777777" w:rsidR="004A3EC5" w:rsidRDefault="004A3EC5" w:rsidP="004A3EC5">
            <w:pPr>
              <w:pStyle w:val="TableParagraph"/>
            </w:pPr>
            <w:r>
              <w:t>Driver licences or learner permits granted under revoked regulations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9C778CB"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71E8C0"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AE1E6" w14:textId="77777777" w:rsidR="004A3EC5" w:rsidRDefault="00885B0D" w:rsidP="004A3EC5">
            <w:pPr>
              <w:pStyle w:val="TableParagraph"/>
            </w:pPr>
            <w:r>
              <w:t>This regulation is machinery in nature and deems driver licences and learner permits in force at the time of commencement of the proposed Regulations</w:t>
            </w:r>
            <w:r w:rsidR="00EA4723">
              <w:t xml:space="preserve"> to continue to have effect for the term for which they were issued and to be renewable as though they were granted under the proposed Regulations</w:t>
            </w:r>
            <w:r w:rsidR="004A3EC5">
              <w:t>.</w:t>
            </w:r>
          </w:p>
        </w:tc>
      </w:tr>
      <w:tr w:rsidR="004A3EC5" w14:paraId="5DD56FA3"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906DBD" w14:textId="77777777" w:rsidR="004A3EC5" w:rsidRDefault="004A3EC5" w:rsidP="004A3EC5">
            <w:pPr>
              <w:pStyle w:val="TableParagraph"/>
              <w:ind w:right="113"/>
              <w:jc w:val="right"/>
            </w:pPr>
            <w:r>
              <w:t>112</w:t>
            </w: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EEA24" w14:textId="77777777" w:rsidR="004A3EC5" w:rsidRDefault="004A3EC5" w:rsidP="004A3EC5">
            <w:pPr>
              <w:pStyle w:val="TableParagraph"/>
            </w:pPr>
            <w:r>
              <w:t>Probationary Prohibited Vehicles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F931EE"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FD62E9"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C84A41" w14:textId="77777777" w:rsidR="004A3EC5" w:rsidRDefault="00C639FC" w:rsidP="004A3EC5">
            <w:pPr>
              <w:pStyle w:val="TableParagraph"/>
            </w:pPr>
            <w:r>
              <w:t xml:space="preserve">This regulation is machinery in nature and deems motor vehicle that are not PPVs under the current regulations to continue </w:t>
            </w:r>
            <w:r w:rsidRPr="00C639FC">
              <w:t xml:space="preserve">not to be a </w:t>
            </w:r>
            <w:r>
              <w:t>PPVs,</w:t>
            </w:r>
            <w:r w:rsidRPr="00C639FC">
              <w:t xml:space="preserve"> provided the</w:t>
            </w:r>
            <w:r>
              <w:t xml:space="preserve">y are being driven by </w:t>
            </w:r>
            <w:r w:rsidRPr="00C639FC">
              <w:t>person</w:t>
            </w:r>
            <w:r>
              <w:t>s</w:t>
            </w:r>
            <w:r w:rsidRPr="00C639FC">
              <w:t xml:space="preserve"> whose probationary licence was issued prior to the commencement of the</w:t>
            </w:r>
            <w:r>
              <w:t xml:space="preserve"> proposed</w:t>
            </w:r>
            <w:r w:rsidRPr="00C639FC">
              <w:t xml:space="preserve"> Regulations.</w:t>
            </w:r>
            <w:r w:rsidR="00BD0A71">
              <w:t xml:space="preserve"> It also specifies that this will continue to be the case </w:t>
            </w:r>
            <w:r w:rsidR="00BD0A71" w:rsidRPr="00BD0A71">
              <w:t>despite anything to the contrary in the</w:t>
            </w:r>
            <w:r w:rsidR="00BD0A71">
              <w:t xml:space="preserve"> propo</w:t>
            </w:r>
            <w:r w:rsidR="00BD0A71" w:rsidRPr="00BD0A71">
              <w:t>se</w:t>
            </w:r>
            <w:r w:rsidR="00BD0A71">
              <w:t>d</w:t>
            </w:r>
            <w:r w:rsidR="00BD0A71" w:rsidRPr="00BD0A71">
              <w:t xml:space="preserve"> Regulations</w:t>
            </w:r>
            <w:r w:rsidR="00BD0A71">
              <w:t>.</w:t>
            </w:r>
          </w:p>
        </w:tc>
      </w:tr>
      <w:tr w:rsidR="004A3EC5" w:rsidRPr="00B52A2E" w14:paraId="109F5D47"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602899C1" w14:textId="77777777" w:rsidR="004A3EC5" w:rsidRPr="00B52A2E" w:rsidRDefault="004A3EC5" w:rsidP="004A3EC5">
            <w:pPr>
              <w:pStyle w:val="TableParagraph"/>
              <w:rPr>
                <w:b/>
              </w:rPr>
            </w:pPr>
            <w:r w:rsidRPr="00B52A2E">
              <w:rPr>
                <w:b/>
              </w:rPr>
              <w:t>SCHEDULE 1 – REVOCATIONS</w:t>
            </w:r>
          </w:p>
        </w:tc>
      </w:tr>
      <w:tr w:rsidR="004A3EC5" w14:paraId="5D962E9A"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CCA304E" w14:textId="77777777" w:rsidR="004A3EC5" w:rsidRDefault="004A3EC5" w:rsidP="004A3EC5">
            <w:pPr>
              <w:pStyle w:val="TableParagraph"/>
            </w:pP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ABED11" w14:textId="77777777" w:rsidR="004A3EC5" w:rsidRDefault="004A3EC5" w:rsidP="004A3EC5">
            <w:pPr>
              <w:pStyle w:val="TableParagraph"/>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5B258A6"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FFD057"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E87325" w14:textId="77777777" w:rsidR="004A3EC5" w:rsidRDefault="00253CA8" w:rsidP="004A3EC5">
            <w:pPr>
              <w:pStyle w:val="TableParagraph"/>
            </w:pPr>
            <w:r>
              <w:t>This Schedule is machinery in nature and lists the regulations that are revoked with the making of the proposed Regulations.</w:t>
            </w:r>
          </w:p>
        </w:tc>
      </w:tr>
      <w:tr w:rsidR="004A3EC5" w:rsidRPr="00B52A2E" w14:paraId="7BAD4C03"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6586B3D1" w14:textId="77777777" w:rsidR="004A3EC5" w:rsidRPr="00B52A2E" w:rsidRDefault="004A3EC5" w:rsidP="00F4115C">
            <w:pPr>
              <w:pStyle w:val="TableParagraph"/>
              <w:keepNext/>
              <w:rPr>
                <w:b/>
              </w:rPr>
            </w:pPr>
            <w:r w:rsidRPr="00B52A2E">
              <w:rPr>
                <w:b/>
              </w:rPr>
              <w:lastRenderedPageBreak/>
              <w:t>SCHEDULE 2 – CODES USED TO INDICATE DRIVER LICENCES OR LEARNER PERMITS SUBJECT TO CONDITIONS</w:t>
            </w:r>
          </w:p>
        </w:tc>
      </w:tr>
      <w:tr w:rsidR="004A3EC5" w14:paraId="15C4E8AE"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24A0F4B" w14:textId="77777777" w:rsidR="004A3EC5" w:rsidRDefault="004A3EC5" w:rsidP="004A3EC5">
            <w:pPr>
              <w:pStyle w:val="TableParagraph"/>
            </w:pP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3981FF" w14:textId="77777777" w:rsidR="004A3EC5" w:rsidRDefault="004A3EC5" w:rsidP="004A3EC5">
            <w:pPr>
              <w:pStyle w:val="TableParagraph"/>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3CCDA1" w14:textId="77777777" w:rsidR="004A3EC5" w:rsidRDefault="004A3EC5" w:rsidP="004A3EC5">
            <w:pPr>
              <w:pStyle w:val="TableParagraph"/>
            </w:pPr>
            <w:r>
              <w:t>NDLS SP14</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A989F6"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1E4835" w14:textId="77777777" w:rsidR="004A3EC5" w:rsidRDefault="004A3EC5" w:rsidP="004A3EC5">
            <w:pPr>
              <w:pStyle w:val="TableParagraph"/>
            </w:pPr>
            <w:r>
              <w:t>Application of the NDLS National Regulations</w:t>
            </w:r>
          </w:p>
        </w:tc>
      </w:tr>
      <w:tr w:rsidR="004A3EC5" w:rsidRPr="00B52A2E" w14:paraId="4B9CA3EA"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3E1F235E" w14:textId="77777777" w:rsidR="004A3EC5" w:rsidRPr="00B52A2E" w:rsidRDefault="004A3EC5" w:rsidP="004A3EC5">
            <w:pPr>
              <w:pStyle w:val="TableParagraph"/>
              <w:rPr>
                <w:b/>
              </w:rPr>
            </w:pPr>
            <w:r w:rsidRPr="00B52A2E">
              <w:rPr>
                <w:b/>
              </w:rPr>
              <w:t xml:space="preserve">SCHEDULE 3 – DEMERIT POINTS </w:t>
            </w:r>
          </w:p>
        </w:tc>
      </w:tr>
      <w:tr w:rsidR="004A3EC5" w14:paraId="7CEB209E"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3492EE2" w14:textId="77777777" w:rsidR="004A3EC5" w:rsidRDefault="004A3EC5" w:rsidP="004A3EC5">
            <w:pPr>
              <w:pStyle w:val="TableParagraph"/>
            </w:pP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987D00" w14:textId="77777777" w:rsidR="004A3EC5" w:rsidRDefault="004A3EC5" w:rsidP="004A3EC5">
            <w:pPr>
              <w:pStyle w:val="TableParagraph"/>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004E3B" w14:textId="77777777" w:rsidR="004A3EC5" w:rsidRDefault="004A3EC5" w:rsidP="004A3EC5">
            <w:pPr>
              <w:pStyle w:val="TableParagraph"/>
            </w:pPr>
            <w:r>
              <w:t>NDLS SP21</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5F01E"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99A211" w14:textId="77777777" w:rsidR="004A3EC5" w:rsidRDefault="004A3EC5" w:rsidP="004A3EC5">
            <w:pPr>
              <w:pStyle w:val="TableParagraph"/>
            </w:pPr>
            <w:r>
              <w:t>Application of the NDLS National Regulations</w:t>
            </w:r>
          </w:p>
        </w:tc>
      </w:tr>
      <w:tr w:rsidR="004A3EC5" w:rsidRPr="00B52A2E" w14:paraId="728973E6"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634F4150" w14:textId="77777777" w:rsidR="004A3EC5" w:rsidRPr="00B52A2E" w:rsidRDefault="004A3EC5" w:rsidP="004A3EC5">
            <w:pPr>
              <w:pStyle w:val="TableParagraph"/>
              <w:rPr>
                <w:b/>
              </w:rPr>
            </w:pPr>
            <w:r w:rsidRPr="00B52A2E">
              <w:rPr>
                <w:b/>
              </w:rPr>
              <w:t xml:space="preserve">SCHEDULE 4 – </w:t>
            </w:r>
            <w:r w:rsidRPr="003D74B9">
              <w:rPr>
                <w:b/>
              </w:rPr>
              <w:t>DEMERIT POINTS FOR RELEVANT INTERSTATE OFFENCES</w:t>
            </w:r>
          </w:p>
        </w:tc>
      </w:tr>
      <w:tr w:rsidR="004A3EC5" w14:paraId="61AFB88A"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E303698" w14:textId="77777777" w:rsidR="004A3EC5" w:rsidRDefault="004A3EC5" w:rsidP="004A3EC5">
            <w:pPr>
              <w:pStyle w:val="TableParagraph"/>
            </w:pP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AB1865" w14:textId="77777777" w:rsidR="004A3EC5" w:rsidRDefault="004A3EC5" w:rsidP="004A3EC5">
            <w:pPr>
              <w:pStyle w:val="TableParagraph"/>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0D3B6DA" w14:textId="77777777" w:rsidR="004A3EC5" w:rsidRDefault="004A3EC5" w:rsidP="004A3EC5">
            <w:pPr>
              <w:pStyle w:val="TableParagraph"/>
            </w:pPr>
            <w:r>
              <w:t>NDLS SP21</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1AB311" w14:textId="77777777" w:rsidR="004A3EC5" w:rsidRDefault="004A3EC5" w:rsidP="004A3EC5">
            <w:pPr>
              <w:pStyle w:val="TableParagraph"/>
            </w:pPr>
            <w:r>
              <w:t>Yes</w:t>
            </w: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48644" w14:textId="77777777" w:rsidR="004A3EC5" w:rsidRDefault="004A3EC5" w:rsidP="004A3EC5">
            <w:pPr>
              <w:pStyle w:val="TableParagraph"/>
            </w:pPr>
            <w:r>
              <w:t>Application of the NDLS National Regulations</w:t>
            </w:r>
          </w:p>
        </w:tc>
      </w:tr>
      <w:tr w:rsidR="004A3EC5" w:rsidRPr="00B52A2E" w14:paraId="2AC01103"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2D477E2B" w14:textId="77777777" w:rsidR="004A3EC5" w:rsidRPr="00B52A2E" w:rsidRDefault="004A3EC5" w:rsidP="0072321A">
            <w:pPr>
              <w:pStyle w:val="TableParagraph"/>
              <w:keepNext/>
              <w:rPr>
                <w:b/>
              </w:rPr>
            </w:pPr>
            <w:r w:rsidRPr="00B52A2E">
              <w:rPr>
                <w:b/>
              </w:rPr>
              <w:t xml:space="preserve">SCHEDULE </w:t>
            </w:r>
            <w:r>
              <w:rPr>
                <w:b/>
              </w:rPr>
              <w:t>5</w:t>
            </w:r>
            <w:r w:rsidRPr="00B52A2E">
              <w:rPr>
                <w:b/>
              </w:rPr>
              <w:t xml:space="preserve"> – OFFENCES WHICH DISQUALIFY DRIVERS FROM FREE 3-YEAR FULL DRIVER LICENCE</w:t>
            </w:r>
          </w:p>
        </w:tc>
      </w:tr>
      <w:tr w:rsidR="004A3EC5" w14:paraId="064F98F5"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5596E51" w14:textId="77777777" w:rsidR="004A3EC5" w:rsidRDefault="004A3EC5" w:rsidP="004A3EC5">
            <w:pPr>
              <w:pStyle w:val="TableParagraph"/>
            </w:pP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E9E52D" w14:textId="77777777" w:rsidR="004A3EC5" w:rsidRDefault="004A3EC5" w:rsidP="004A3EC5">
            <w:pPr>
              <w:pStyle w:val="TableParagraph"/>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209E1B1"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23FDF9"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D2F58D" w14:textId="77777777" w:rsidR="00366665" w:rsidRDefault="008C6D49" w:rsidP="00366665">
            <w:pPr>
              <w:pStyle w:val="TableParagraph"/>
            </w:pPr>
            <w:r>
              <w:t>The Free Licence Scheme (FLS) was introduced t</w:t>
            </w:r>
            <w:r w:rsidR="00366665">
              <w:t xml:space="preserve">o promote good driving behaviour as an incentive for young drivers, being the highest risk group, to keep a clean driving record during their probationary period. The offer applies to drivers under 25 years when their P2 licence expires, if they held a P1 licence before they turned 21 and maintained a good driving record while on their Ps. </w:t>
            </w:r>
          </w:p>
          <w:p w14:paraId="7B22EF9F" w14:textId="77777777" w:rsidR="00366665" w:rsidRPr="008E7876" w:rsidRDefault="008C6D49" w:rsidP="00366665">
            <w:pPr>
              <w:pStyle w:val="TableParagraph"/>
            </w:pPr>
            <w:r w:rsidRPr="008E7876">
              <w:t xml:space="preserve">To be eligible to a free 3-year full licence, a </w:t>
            </w:r>
            <w:r w:rsidR="00B02CF0">
              <w:t>driver</w:t>
            </w:r>
            <w:r w:rsidRPr="008E7876">
              <w:t xml:space="preserve"> </w:t>
            </w:r>
            <w:r w:rsidR="00B02CF0">
              <w:t xml:space="preserve">must demonstrate that they have a good driving record by </w:t>
            </w:r>
            <w:r w:rsidRPr="008E7876">
              <w:t>remain</w:t>
            </w:r>
            <w:r w:rsidR="00B02CF0">
              <w:t>ing</w:t>
            </w:r>
            <w:r w:rsidRPr="008E7876">
              <w:t xml:space="preserve"> demerit point free and not </w:t>
            </w:r>
            <w:r w:rsidR="00B02CF0" w:rsidRPr="00F00480">
              <w:t>commit</w:t>
            </w:r>
            <w:r w:rsidR="00B02CF0">
              <w:t>ting</w:t>
            </w:r>
            <w:r w:rsidRPr="008E7876">
              <w:t xml:space="preserve"> any serious traffic</w:t>
            </w:r>
            <w:r w:rsidR="00B02CF0">
              <w:t>-</w:t>
            </w:r>
            <w:r w:rsidRPr="008E7876">
              <w:t>related offences</w:t>
            </w:r>
            <w:r w:rsidR="00B02CF0">
              <w:t>,</w:t>
            </w:r>
            <w:r w:rsidRPr="008E7876">
              <w:t xml:space="preserve"> including those listed in this Schedule for the whole probationary period.</w:t>
            </w:r>
          </w:p>
        </w:tc>
      </w:tr>
      <w:tr w:rsidR="004A3EC5" w:rsidRPr="00B52A2E" w14:paraId="707CA640"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36AB9B96" w14:textId="77777777" w:rsidR="004A3EC5" w:rsidRPr="00B52A2E" w:rsidRDefault="004A3EC5" w:rsidP="004A3EC5">
            <w:pPr>
              <w:pStyle w:val="TableParagraph"/>
              <w:rPr>
                <w:b/>
              </w:rPr>
            </w:pPr>
            <w:r w:rsidRPr="00B52A2E">
              <w:rPr>
                <w:b/>
              </w:rPr>
              <w:t xml:space="preserve">SCHEDULE </w:t>
            </w:r>
            <w:r>
              <w:rPr>
                <w:b/>
              </w:rPr>
              <w:t>6</w:t>
            </w:r>
            <w:r w:rsidRPr="00B52A2E">
              <w:rPr>
                <w:b/>
              </w:rPr>
              <w:t xml:space="preserve"> – FEES</w:t>
            </w:r>
          </w:p>
        </w:tc>
      </w:tr>
      <w:tr w:rsidR="004A3EC5" w14:paraId="3C39E308"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902E081" w14:textId="77777777" w:rsidR="004A3EC5" w:rsidRDefault="004A3EC5" w:rsidP="004A3EC5">
            <w:pPr>
              <w:pStyle w:val="TableParagraph"/>
            </w:pP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6BAD6B" w14:textId="77777777" w:rsidR="004A3EC5" w:rsidRDefault="004A3EC5" w:rsidP="004A3EC5">
            <w:pPr>
              <w:pStyle w:val="TableParagraph"/>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3E8EC1E" w14:textId="77777777" w:rsidR="004A3EC5" w:rsidRDefault="004A3EC5" w:rsidP="004A3EC5">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B6F352" w14:textId="77777777" w:rsidR="004A3EC5" w:rsidRDefault="004A3EC5" w:rsidP="004A3EC5">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A16204" w14:textId="77777777" w:rsidR="004A3EC5" w:rsidRDefault="00DE1634" w:rsidP="004A3EC5">
            <w:pPr>
              <w:pStyle w:val="TableParagraph"/>
            </w:pPr>
            <w:r>
              <w:t>Refer to Part 3 of this RIS.</w:t>
            </w:r>
          </w:p>
        </w:tc>
      </w:tr>
      <w:tr w:rsidR="004A3EC5" w:rsidRPr="00B52A2E" w14:paraId="6A0D116D" w14:textId="77777777" w:rsidTr="00B64504">
        <w:trPr>
          <w:cnfStyle w:val="000000010000" w:firstRow="0" w:lastRow="0" w:firstColumn="0" w:lastColumn="0" w:oddVBand="0" w:evenVBand="0" w:oddHBand="0" w:evenHBand="1" w:firstRowFirstColumn="0" w:firstRowLastColumn="0" w:lastRowFirstColumn="0" w:lastRowLastColumn="0"/>
          <w:trHeight w:val="300"/>
        </w:trPr>
        <w:tc>
          <w:tcPr>
            <w:tcW w:w="1500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C6E6" w:themeFill="text2" w:themeFillTint="40"/>
            <w:hideMark/>
          </w:tcPr>
          <w:p w14:paraId="13C790DC" w14:textId="77777777" w:rsidR="004A3EC5" w:rsidRPr="00B52A2E" w:rsidRDefault="004A3EC5" w:rsidP="004A3EC5">
            <w:pPr>
              <w:pStyle w:val="TableParagraph"/>
              <w:rPr>
                <w:b/>
              </w:rPr>
            </w:pPr>
            <w:r w:rsidRPr="00B52A2E">
              <w:rPr>
                <w:b/>
              </w:rPr>
              <w:t xml:space="preserve">SCHEDULE </w:t>
            </w:r>
            <w:r>
              <w:rPr>
                <w:b/>
              </w:rPr>
              <w:t>7</w:t>
            </w:r>
            <w:r w:rsidRPr="00B52A2E">
              <w:rPr>
                <w:b/>
              </w:rPr>
              <w:t xml:space="preserve"> – SEARCH AND EXTRACT FEES</w:t>
            </w:r>
          </w:p>
        </w:tc>
      </w:tr>
      <w:tr w:rsidR="00DE1634" w14:paraId="512D229E" w14:textId="77777777" w:rsidTr="008E3FD3">
        <w:trPr>
          <w:trHeight w:val="30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26263B5" w14:textId="77777777" w:rsidR="00DE1634" w:rsidRDefault="00DE1634" w:rsidP="00DE1634">
            <w:pPr>
              <w:pStyle w:val="TableParagraph"/>
            </w:pPr>
          </w:p>
        </w:tc>
        <w:tc>
          <w:tcPr>
            <w:tcW w:w="5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97D9D0" w14:textId="77777777" w:rsidR="00DE1634" w:rsidRDefault="00DE1634" w:rsidP="00DE1634">
            <w:pPr>
              <w:pStyle w:val="TableParagraph"/>
            </w:pP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38BF034" w14:textId="77777777" w:rsidR="00DE1634" w:rsidRDefault="00DE1634" w:rsidP="00DE1634">
            <w:pPr>
              <w:pStyle w:val="TableParagraph"/>
            </w:pPr>
            <w:r>
              <w:t>Not applicable</w:t>
            </w:r>
          </w:p>
        </w:tc>
        <w:tc>
          <w:tcPr>
            <w:tcW w:w="22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8AED75" w14:textId="77777777" w:rsidR="00DE1634" w:rsidRDefault="00DE1634" w:rsidP="00DE1634">
            <w:pPr>
              <w:pStyle w:val="TableParagraph"/>
            </w:pPr>
          </w:p>
        </w:tc>
        <w:tc>
          <w:tcPr>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C470ED" w14:textId="77777777" w:rsidR="00DE1634" w:rsidRDefault="00DE1634" w:rsidP="00DE1634">
            <w:pPr>
              <w:pStyle w:val="TableParagraph"/>
            </w:pPr>
            <w:r>
              <w:t>Refer to Part 3 of this RIS.</w:t>
            </w:r>
          </w:p>
        </w:tc>
      </w:tr>
    </w:tbl>
    <w:p w14:paraId="4B95DE3D" w14:textId="77777777" w:rsidR="00952A2F" w:rsidRPr="008E3FD3" w:rsidRDefault="00952A2F" w:rsidP="00952A2F">
      <w:pPr>
        <w:pStyle w:val="TextPara"/>
        <w:rPr>
          <w:sz w:val="8"/>
          <w:lang w:eastAsia="en-AU"/>
        </w:rPr>
      </w:pPr>
    </w:p>
    <w:p w14:paraId="4F7BB801" w14:textId="77777777" w:rsidR="00952A2F" w:rsidRPr="008E3FD3" w:rsidRDefault="00952A2F" w:rsidP="00952A2F">
      <w:pPr>
        <w:pStyle w:val="TextPara"/>
        <w:rPr>
          <w:sz w:val="8"/>
          <w:lang w:eastAsia="en-AU"/>
        </w:rPr>
        <w:sectPr w:rsidR="00952A2F" w:rsidRPr="008E3FD3" w:rsidSect="00637E6A">
          <w:headerReference w:type="even" r:id="rId96"/>
          <w:headerReference w:type="default" r:id="rId97"/>
          <w:footerReference w:type="even" r:id="rId98"/>
          <w:footerReference w:type="default" r:id="rId99"/>
          <w:headerReference w:type="first" r:id="rId100"/>
          <w:footerReference w:type="first" r:id="rId101"/>
          <w:endnotePr>
            <w:numFmt w:val="decimal"/>
          </w:endnotePr>
          <w:pgSz w:w="16838" w:h="11906" w:orient="landscape" w:code="9"/>
          <w:pgMar w:top="1418" w:right="1304" w:bottom="1418" w:left="1304" w:header="567" w:footer="397" w:gutter="0"/>
          <w:cols w:space="708"/>
          <w:docGrid w:linePitch="360"/>
        </w:sectPr>
      </w:pPr>
    </w:p>
    <w:p w14:paraId="584EE324" w14:textId="77777777" w:rsidR="0072429A" w:rsidRPr="00BD5E72" w:rsidRDefault="000E6720" w:rsidP="006713F9">
      <w:pPr>
        <w:pStyle w:val="Appendix1"/>
      </w:pPr>
      <w:bookmarkStart w:id="985" w:name="_Ref529453945"/>
      <w:bookmarkStart w:id="986" w:name="_Ref4401881"/>
      <w:bookmarkStart w:id="987" w:name="_Ref4493279"/>
      <w:bookmarkStart w:id="988" w:name="_Toc10703558"/>
      <w:r>
        <w:lastRenderedPageBreak/>
        <w:t xml:space="preserve">Overseas </w:t>
      </w:r>
      <w:r w:rsidR="00BD5E72" w:rsidRPr="00BD5E72">
        <w:t xml:space="preserve">Licence Conversion </w:t>
      </w:r>
      <w:r>
        <w:t>Process</w:t>
      </w:r>
      <w:r w:rsidR="0031116E">
        <w:t xml:space="preserve"> </w:t>
      </w:r>
      <w:bookmarkEnd w:id="985"/>
      <w:bookmarkEnd w:id="986"/>
      <w:r w:rsidR="00123FA0">
        <w:t>Map</w:t>
      </w:r>
      <w:bookmarkEnd w:id="987"/>
      <w:bookmarkEnd w:id="988"/>
    </w:p>
    <w:p w14:paraId="656CC1AE" w14:textId="77777777" w:rsidR="00D33C14" w:rsidRDefault="00F20715" w:rsidP="00A13CA1">
      <w:pPr>
        <w:jc w:val="center"/>
        <w:rPr>
          <w:sz w:val="16"/>
        </w:rPr>
      </w:pPr>
      <w:r>
        <w:object w:dxaOrig="16921" w:dyaOrig="10403" w14:anchorId="62E69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6pt;height:655.4pt" o:ole="">
            <v:imagedata r:id="rId102" o:title=""/>
          </v:shape>
          <o:OLEObject Type="Embed" ProgID="Visio.Drawing.15" ShapeID="_x0000_i1025" DrawAspect="Content" ObjectID="_1621324596" r:id="rId103"/>
        </w:object>
      </w:r>
    </w:p>
    <w:p w14:paraId="184F15BE" w14:textId="77777777" w:rsidR="00D33C14" w:rsidRPr="00A13CA1" w:rsidRDefault="00D33C14" w:rsidP="00A13CA1">
      <w:pPr>
        <w:jc w:val="center"/>
        <w:rPr>
          <w:sz w:val="16"/>
        </w:rPr>
        <w:sectPr w:rsidR="00D33C14" w:rsidRPr="00A13CA1" w:rsidSect="003B5AF8">
          <w:headerReference w:type="even" r:id="rId104"/>
          <w:headerReference w:type="default" r:id="rId105"/>
          <w:footerReference w:type="even" r:id="rId106"/>
          <w:footerReference w:type="default" r:id="rId107"/>
          <w:headerReference w:type="first" r:id="rId108"/>
          <w:footerReference w:type="first" r:id="rId109"/>
          <w:endnotePr>
            <w:numFmt w:val="decimal"/>
          </w:endnotePr>
          <w:pgSz w:w="23808" w:h="16840" w:orient="landscape" w:code="8"/>
          <w:pgMar w:top="1418" w:right="1304" w:bottom="1418" w:left="1304" w:header="567" w:footer="397" w:gutter="0"/>
          <w:cols w:space="708"/>
          <w:docGrid w:linePitch="360"/>
        </w:sectPr>
      </w:pPr>
    </w:p>
    <w:p w14:paraId="2D01D239" w14:textId="77777777" w:rsidR="00056AD9" w:rsidRDefault="00056AD9" w:rsidP="009B13B8">
      <w:pPr>
        <w:pStyle w:val="Appendix1"/>
        <w:ind w:left="851" w:hanging="851"/>
      </w:pPr>
      <w:bookmarkStart w:id="990" w:name="_Ref4083514"/>
      <w:bookmarkStart w:id="991" w:name="_Ref4083515"/>
      <w:bookmarkStart w:id="992" w:name="_Toc4084282"/>
      <w:bookmarkStart w:id="993" w:name="_Toc10703559"/>
      <w:bookmarkStart w:id="994" w:name="_Ref2765600"/>
      <w:bookmarkStart w:id="995" w:name="_Ref532910127"/>
      <w:bookmarkStart w:id="996" w:name="_Ref502240621"/>
      <w:r>
        <w:lastRenderedPageBreak/>
        <w:t xml:space="preserve">Services </w:t>
      </w:r>
      <w:r w:rsidRPr="00883C1B">
        <w:t xml:space="preserve">under </w:t>
      </w:r>
      <w:r>
        <w:t>Road Safety (</w:t>
      </w:r>
      <w:r w:rsidRPr="004B154A">
        <w:t>Vehicles</w:t>
      </w:r>
      <w:r>
        <w:t>)</w:t>
      </w:r>
      <w:r w:rsidRPr="004B154A">
        <w:t xml:space="preserve"> Regulations</w:t>
      </w:r>
      <w:bookmarkEnd w:id="990"/>
      <w:bookmarkEnd w:id="991"/>
      <w:bookmarkEnd w:id="992"/>
      <w:r w:rsidR="005F1C14">
        <w:t xml:space="preserve"> 2009</w:t>
      </w:r>
      <w:bookmarkEnd w:id="993"/>
    </w:p>
    <w:p w14:paraId="39EA9106" w14:textId="77777777" w:rsidR="00056AD9" w:rsidRPr="000455A0" w:rsidRDefault="00056AD9" w:rsidP="009B13B8">
      <w:pPr>
        <w:rPr>
          <w:rFonts w:ascii="Segoe UI" w:hAnsi="Segoe UI" w:cs="Segoe UI"/>
          <w:szCs w:val="20"/>
        </w:rPr>
      </w:pPr>
      <w:r w:rsidRPr="00030A62">
        <w:rPr>
          <w:rFonts w:ascii="Segoe UI" w:hAnsi="Segoe UI" w:cs="Segoe UI"/>
          <w:szCs w:val="20"/>
        </w:rPr>
        <w:t xml:space="preserve">The following activities are </w:t>
      </w:r>
      <w:r>
        <w:rPr>
          <w:rFonts w:ascii="Segoe UI" w:hAnsi="Segoe UI" w:cs="Segoe UI"/>
          <w:szCs w:val="20"/>
        </w:rPr>
        <w:t xml:space="preserve">NOT under review for the purposes of this RIS but are summarised to provide a complete picture of the </w:t>
      </w:r>
      <w:r w:rsidR="00973405">
        <w:rPr>
          <w:rFonts w:ascii="Segoe UI" w:hAnsi="Segoe UI" w:cs="Segoe UI"/>
          <w:szCs w:val="20"/>
        </w:rPr>
        <w:t xml:space="preserve">licensing </w:t>
      </w:r>
      <w:r>
        <w:rPr>
          <w:rFonts w:ascii="Segoe UI" w:hAnsi="Segoe UI" w:cs="Segoe UI"/>
          <w:szCs w:val="20"/>
        </w:rPr>
        <w:t xml:space="preserve">and </w:t>
      </w:r>
      <w:r w:rsidR="00973405">
        <w:rPr>
          <w:rFonts w:ascii="Segoe UI" w:hAnsi="Segoe UI" w:cs="Segoe UI"/>
          <w:szCs w:val="20"/>
        </w:rPr>
        <w:t xml:space="preserve">registration </w:t>
      </w:r>
      <w:r>
        <w:rPr>
          <w:rFonts w:ascii="Segoe UI" w:hAnsi="Segoe UI" w:cs="Segoe UI"/>
          <w:szCs w:val="20"/>
        </w:rPr>
        <w:t>activities undertaken by VicRoads with authorit</w:t>
      </w:r>
      <w:r w:rsidR="00282039">
        <w:rPr>
          <w:rFonts w:ascii="Segoe UI" w:hAnsi="Segoe UI" w:cs="Segoe UI"/>
          <w:szCs w:val="20"/>
        </w:rPr>
        <w:t>y derived</w:t>
      </w:r>
      <w:r>
        <w:rPr>
          <w:rFonts w:ascii="Segoe UI" w:hAnsi="Segoe UI" w:cs="Segoe UI"/>
          <w:szCs w:val="20"/>
        </w:rPr>
        <w:t xml:space="preserve"> from the </w:t>
      </w:r>
      <w:r w:rsidRPr="000455A0">
        <w:rPr>
          <w:rFonts w:ascii="Segoe UI" w:hAnsi="Segoe UI" w:cs="Segoe UI"/>
          <w:i/>
          <w:szCs w:val="20"/>
        </w:rPr>
        <w:t>RSA</w:t>
      </w:r>
      <w:r w:rsidR="00883C1B">
        <w:rPr>
          <w:rFonts w:ascii="Segoe UI" w:hAnsi="Segoe UI" w:cs="Segoe UI"/>
          <w:szCs w:val="20"/>
        </w:rPr>
        <w:t>.</w:t>
      </w:r>
    </w:p>
    <w:p w14:paraId="76CA757C" w14:textId="77777777" w:rsidR="00056AD9" w:rsidRPr="00117C96" w:rsidRDefault="00056AD9" w:rsidP="009B13B8">
      <w:pPr>
        <w:pStyle w:val="Appendix2"/>
        <w:spacing w:before="240" w:after="180"/>
        <w:ind w:left="851" w:hanging="851"/>
      </w:pPr>
      <w:bookmarkStart w:id="997" w:name="_Toc10703560"/>
      <w:r>
        <w:t xml:space="preserve">Services </w:t>
      </w:r>
      <w:r w:rsidRPr="006E201E">
        <w:t>Groups</w:t>
      </w:r>
      <w:bookmarkEnd w:id="997"/>
    </w:p>
    <w:p w14:paraId="5009FBE0" w14:textId="387B8F4F" w:rsidR="00056AD9" w:rsidRDefault="001C1FE4" w:rsidP="009B13B8">
      <w:pPr>
        <w:pStyle w:val="TextPara"/>
        <w:rPr>
          <w:rFonts w:cs="Segoe UI"/>
        </w:rPr>
      </w:pPr>
      <w:r>
        <w:rPr>
          <w:rFonts w:cs="Segoe UI"/>
        </w:rPr>
        <w:fldChar w:fldCharType="begin"/>
      </w:r>
      <w:r>
        <w:rPr>
          <w:rFonts w:cs="Segoe UI"/>
        </w:rPr>
        <w:instrText xml:space="preserve"> REF _Ref4576349 \h </w:instrText>
      </w:r>
      <w:r>
        <w:rPr>
          <w:rFonts w:cs="Segoe UI"/>
        </w:rPr>
      </w:r>
      <w:r>
        <w:rPr>
          <w:rFonts w:cs="Segoe UI"/>
        </w:rPr>
        <w:fldChar w:fldCharType="separate"/>
      </w:r>
      <w:r w:rsidR="00EB4B02">
        <w:t xml:space="preserve">Table </w:t>
      </w:r>
      <w:r w:rsidR="00EB4B02">
        <w:rPr>
          <w:noProof/>
        </w:rPr>
        <w:t>77</w:t>
      </w:r>
      <w:r>
        <w:rPr>
          <w:rFonts w:cs="Segoe UI"/>
        </w:rPr>
        <w:fldChar w:fldCharType="end"/>
      </w:r>
      <w:r>
        <w:rPr>
          <w:rFonts w:cs="Segoe UI"/>
        </w:rPr>
        <w:t xml:space="preserve"> </w:t>
      </w:r>
      <w:r w:rsidR="00056AD9">
        <w:rPr>
          <w:rFonts w:cs="Segoe UI"/>
        </w:rPr>
        <w:t>provides a list of S</w:t>
      </w:r>
      <w:r w:rsidR="00056AD9" w:rsidRPr="00117C96">
        <w:rPr>
          <w:rFonts w:cs="Segoe UI"/>
        </w:rPr>
        <w:t xml:space="preserve">ervice </w:t>
      </w:r>
      <w:r w:rsidR="00056AD9">
        <w:rPr>
          <w:rFonts w:cs="Segoe UI"/>
        </w:rPr>
        <w:t>G</w:t>
      </w:r>
      <w:r w:rsidR="00056AD9" w:rsidRPr="00117C96">
        <w:rPr>
          <w:rFonts w:cs="Segoe UI"/>
        </w:rPr>
        <w:t xml:space="preserve">roups </w:t>
      </w:r>
      <w:r w:rsidR="00056AD9">
        <w:rPr>
          <w:rFonts w:cs="Segoe UI"/>
        </w:rPr>
        <w:t xml:space="preserve">and the related processes that support the </w:t>
      </w:r>
      <w:r w:rsidR="00056AD9" w:rsidRPr="00583E1C">
        <w:rPr>
          <w:rFonts w:cs="Segoe UI"/>
          <w:i/>
        </w:rPr>
        <w:t>Safe Vehicles</w:t>
      </w:r>
      <w:r w:rsidR="00056AD9" w:rsidRPr="00117C96">
        <w:rPr>
          <w:rFonts w:cs="Segoe UI"/>
        </w:rPr>
        <w:t xml:space="preserve"> functions </w:t>
      </w:r>
      <w:r w:rsidR="00056AD9">
        <w:rPr>
          <w:rFonts w:cs="Segoe UI"/>
        </w:rPr>
        <w:t>shown</w:t>
      </w:r>
      <w:r w:rsidR="00056AD9" w:rsidRPr="00117C96">
        <w:rPr>
          <w:rFonts w:cs="Segoe UI"/>
        </w:rPr>
        <w:t xml:space="preserve"> </w:t>
      </w:r>
      <w:r w:rsidR="00056AD9">
        <w:rPr>
          <w:rFonts w:cs="Segoe UI"/>
        </w:rPr>
        <w:t>in the functional framework</w:t>
      </w:r>
      <w:r w:rsidR="00056AD9" w:rsidRPr="00117C96">
        <w:rPr>
          <w:rFonts w:cs="Segoe UI"/>
        </w:rPr>
        <w:t xml:space="preserve"> </w:t>
      </w:r>
      <w:r w:rsidR="00056AD9">
        <w:rPr>
          <w:rFonts w:cs="Segoe UI"/>
        </w:rPr>
        <w:t xml:space="preserve">in </w:t>
      </w:r>
      <w:r w:rsidR="00056AD9">
        <w:fldChar w:fldCharType="begin"/>
      </w:r>
      <w:r w:rsidR="00056AD9">
        <w:rPr>
          <w:rFonts w:cs="Segoe UI"/>
        </w:rPr>
        <w:instrText xml:space="preserve"> REF _Ref505071016 \h </w:instrText>
      </w:r>
      <w:r w:rsidR="00056AD9">
        <w:fldChar w:fldCharType="separate"/>
      </w:r>
      <w:r w:rsidR="00EB4B02" w:rsidRPr="00117C96">
        <w:t xml:space="preserve">Figure </w:t>
      </w:r>
      <w:r w:rsidR="00EB4B02">
        <w:rPr>
          <w:noProof/>
        </w:rPr>
        <w:t>2</w:t>
      </w:r>
      <w:r w:rsidR="00056AD9">
        <w:fldChar w:fldCharType="end"/>
      </w:r>
      <w:r w:rsidR="00056AD9">
        <w:t xml:space="preserve"> </w:t>
      </w:r>
      <w:r w:rsidR="00056AD9">
        <w:fldChar w:fldCharType="begin"/>
      </w:r>
      <w:r w:rsidR="00056AD9">
        <w:instrText xml:space="preserve"> PAGEREF _Ref505071030 \p \h </w:instrText>
      </w:r>
      <w:r w:rsidR="00056AD9">
        <w:fldChar w:fldCharType="separate"/>
      </w:r>
      <w:r w:rsidR="00EB4B02">
        <w:rPr>
          <w:noProof/>
        </w:rPr>
        <w:t>on page 31</w:t>
      </w:r>
      <w:r w:rsidR="00056AD9">
        <w:fldChar w:fldCharType="end"/>
      </w:r>
      <w:r w:rsidR="00056AD9">
        <w:t xml:space="preserve"> above</w:t>
      </w:r>
      <w:r w:rsidR="00056AD9">
        <w:rPr>
          <w:rFonts w:cs="Segoe UI"/>
        </w:rPr>
        <w:t>.</w:t>
      </w:r>
    </w:p>
    <w:p w14:paraId="2A109485" w14:textId="5C96BBEB" w:rsidR="00056AD9" w:rsidRDefault="00056AD9" w:rsidP="009B13B8">
      <w:pPr>
        <w:pStyle w:val="TextPara"/>
        <w:rPr>
          <w:rFonts w:cs="Segoe UI"/>
        </w:rPr>
      </w:pPr>
      <w:r>
        <w:rPr>
          <w:rFonts w:cs="Segoe UI"/>
          <w:szCs w:val="20"/>
        </w:rPr>
        <w:t>Whilst these services are not under review in the RIS, they provide an understanding of the total range of services provided by VicRoads for completeness. The cost of these services is accounted for in the summary financial analysis in</w:t>
      </w:r>
      <w:r>
        <w:rPr>
          <w:rFonts w:cs="Segoe UI"/>
        </w:rPr>
        <w:t xml:space="preserve"> </w:t>
      </w:r>
      <w:r w:rsidRPr="001C1FE4">
        <w:rPr>
          <w:rFonts w:cs="Segoe UI"/>
        </w:rPr>
        <w:t>Chapter</w:t>
      </w:r>
      <w:r w:rsidR="00047FC4" w:rsidRPr="001C1FE4">
        <w:rPr>
          <w:rFonts w:cs="Segoe UI"/>
        </w:rPr>
        <w:t xml:space="preserve"> </w:t>
      </w:r>
      <w:r w:rsidR="00047FC4" w:rsidRPr="001C1FE4">
        <w:rPr>
          <w:rFonts w:cs="Segoe UI"/>
        </w:rPr>
        <w:fldChar w:fldCharType="begin"/>
      </w:r>
      <w:r w:rsidR="00047FC4" w:rsidRPr="001C1FE4">
        <w:rPr>
          <w:rFonts w:cs="Segoe UI"/>
        </w:rPr>
        <w:instrText xml:space="preserve"> REF _Ref4415852 \r \h </w:instrText>
      </w:r>
      <w:r w:rsidR="00047FC4" w:rsidRPr="001C1FE4">
        <w:rPr>
          <w:rFonts w:cs="Segoe UI"/>
        </w:rPr>
      </w:r>
      <w:r w:rsidR="00047FC4" w:rsidRPr="001C1FE4">
        <w:rPr>
          <w:rFonts w:cs="Segoe UI"/>
        </w:rPr>
        <w:fldChar w:fldCharType="separate"/>
      </w:r>
      <w:r w:rsidR="00EB4B02">
        <w:rPr>
          <w:rFonts w:cs="Segoe UI"/>
        </w:rPr>
        <w:t>17</w:t>
      </w:r>
      <w:r w:rsidR="00047FC4" w:rsidRPr="001C1FE4">
        <w:rPr>
          <w:rFonts w:cs="Segoe UI"/>
        </w:rPr>
        <w:fldChar w:fldCharType="end"/>
      </w:r>
      <w:r>
        <w:rPr>
          <w:rFonts w:cs="Segoe UI"/>
        </w:rPr>
        <w:t>.</w:t>
      </w:r>
    </w:p>
    <w:p w14:paraId="591E8B7B" w14:textId="6EC604CD" w:rsidR="00056AD9" w:rsidRDefault="00056AD9" w:rsidP="009B13B8">
      <w:pPr>
        <w:pStyle w:val="Caption"/>
      </w:pPr>
      <w:bookmarkStart w:id="998" w:name="_Ref4576349"/>
      <w:bookmarkStart w:id="999" w:name="_Toc4084361"/>
      <w:bookmarkStart w:id="1000" w:name="_Toc10703770"/>
      <w:r>
        <w:t xml:space="preserve">Table </w:t>
      </w:r>
      <w:r>
        <w:rPr>
          <w:noProof/>
        </w:rPr>
        <w:fldChar w:fldCharType="begin"/>
      </w:r>
      <w:r>
        <w:rPr>
          <w:noProof/>
        </w:rPr>
        <w:instrText xml:space="preserve"> SEQ Table \* ARABIC </w:instrText>
      </w:r>
      <w:r>
        <w:rPr>
          <w:noProof/>
        </w:rPr>
        <w:fldChar w:fldCharType="separate"/>
      </w:r>
      <w:r w:rsidR="00EB4B02">
        <w:rPr>
          <w:noProof/>
        </w:rPr>
        <w:t>77</w:t>
      </w:r>
      <w:r>
        <w:rPr>
          <w:noProof/>
        </w:rPr>
        <w:fldChar w:fldCharType="end"/>
      </w:r>
      <w:bookmarkEnd w:id="998"/>
      <w:r>
        <w:t xml:space="preserve"> – </w:t>
      </w:r>
      <w:r w:rsidRPr="00D35367">
        <w:t>Vehicles Registration Service Groups</w:t>
      </w:r>
      <w:bookmarkEnd w:id="999"/>
      <w:bookmarkEnd w:id="1000"/>
      <w:r>
        <w:t xml:space="preserve"> </w:t>
      </w:r>
    </w:p>
    <w:tbl>
      <w:tblPr>
        <w:tblStyle w:val="RIS-Table2"/>
        <w:tblW w:w="0" w:type="auto"/>
        <w:tblLayout w:type="fixed"/>
        <w:tblLook w:val="04A0" w:firstRow="1" w:lastRow="0" w:firstColumn="1" w:lastColumn="0" w:noHBand="0" w:noVBand="1"/>
      </w:tblPr>
      <w:tblGrid>
        <w:gridCol w:w="2263"/>
        <w:gridCol w:w="7235"/>
      </w:tblGrid>
      <w:tr w:rsidR="00056AD9" w:rsidRPr="002A1BB4" w14:paraId="388E668F" w14:textId="77777777" w:rsidTr="009B13B8">
        <w:trPr>
          <w:cnfStyle w:val="100000000000" w:firstRow="1" w:lastRow="0" w:firstColumn="0" w:lastColumn="0" w:oddVBand="0" w:evenVBand="0" w:oddHBand="0" w:evenHBand="0" w:firstRowFirstColumn="0" w:firstRowLastColumn="0" w:lastRowFirstColumn="0" w:lastRowLastColumn="0"/>
        </w:trPr>
        <w:tc>
          <w:tcPr>
            <w:tcW w:w="2263" w:type="dxa"/>
          </w:tcPr>
          <w:p w14:paraId="03D9CD5F" w14:textId="77777777" w:rsidR="00056AD9" w:rsidRPr="002A1BB4" w:rsidRDefault="00056AD9" w:rsidP="009B13B8">
            <w:pPr>
              <w:pStyle w:val="TableHeaders"/>
            </w:pPr>
            <w:r w:rsidRPr="002A1BB4">
              <w:t>Service Group</w:t>
            </w:r>
          </w:p>
        </w:tc>
        <w:tc>
          <w:tcPr>
            <w:tcW w:w="7235" w:type="dxa"/>
          </w:tcPr>
          <w:p w14:paraId="55A86743" w14:textId="77777777" w:rsidR="00056AD9" w:rsidRPr="002A1BB4" w:rsidRDefault="00056AD9" w:rsidP="009B13B8">
            <w:pPr>
              <w:pStyle w:val="TableHeaders"/>
            </w:pPr>
            <w:r>
              <w:t>Services</w:t>
            </w:r>
          </w:p>
        </w:tc>
      </w:tr>
      <w:tr w:rsidR="00056AD9" w:rsidRPr="00EF7B9B" w14:paraId="7AD88CC2" w14:textId="77777777" w:rsidTr="009B13B8">
        <w:tc>
          <w:tcPr>
            <w:tcW w:w="2263" w:type="dxa"/>
          </w:tcPr>
          <w:p w14:paraId="4A014108" w14:textId="77777777" w:rsidR="00056AD9" w:rsidRPr="00583E1C" w:rsidRDefault="00056AD9" w:rsidP="009B13B8">
            <w:pPr>
              <w:pStyle w:val="TableParagraph"/>
              <w:rPr>
                <w:b/>
              </w:rPr>
            </w:pPr>
            <w:r>
              <w:rPr>
                <w:b/>
              </w:rPr>
              <w:t>Registration A</w:t>
            </w:r>
            <w:r w:rsidRPr="002A1BB4">
              <w:rPr>
                <w:b/>
              </w:rPr>
              <w:t>dministration</w:t>
            </w:r>
          </w:p>
        </w:tc>
        <w:tc>
          <w:tcPr>
            <w:tcW w:w="7235" w:type="dxa"/>
          </w:tcPr>
          <w:p w14:paraId="2D28BBE1" w14:textId="77777777" w:rsidR="00056AD9" w:rsidRDefault="00056AD9" w:rsidP="009B13B8">
            <w:pPr>
              <w:pStyle w:val="TableList1"/>
              <w:ind w:left="360" w:hanging="360"/>
            </w:pPr>
            <w:r>
              <w:t>Granting first registration at CSCs (trailers, modified vehicles, and privately imported vehicles)</w:t>
            </w:r>
          </w:p>
          <w:p w14:paraId="0EBC76C4" w14:textId="77777777" w:rsidR="00056AD9" w:rsidRPr="00B238CA" w:rsidRDefault="00056AD9" w:rsidP="009B13B8">
            <w:pPr>
              <w:pStyle w:val="TableList1"/>
              <w:ind w:left="360" w:hanging="360"/>
            </w:pPr>
            <w:r>
              <w:t xml:space="preserve">Assessing </w:t>
            </w:r>
            <w:r w:rsidRPr="00B238CA">
              <w:t>concession application and periodic</w:t>
            </w:r>
            <w:r>
              <w:t>ally</w:t>
            </w:r>
            <w:r w:rsidRPr="00B238CA">
              <w:t xml:space="preserve"> review</w:t>
            </w:r>
            <w:r>
              <w:t>ing</w:t>
            </w:r>
            <w:r w:rsidRPr="00B238CA">
              <w:t xml:space="preserve"> concession eligibility</w:t>
            </w:r>
          </w:p>
          <w:p w14:paraId="6F24F060" w14:textId="77777777" w:rsidR="00056AD9" w:rsidRPr="00B238CA" w:rsidRDefault="00056AD9" w:rsidP="009B13B8">
            <w:pPr>
              <w:pStyle w:val="TableList1"/>
              <w:ind w:left="360" w:hanging="360"/>
            </w:pPr>
            <w:r w:rsidRPr="00B238CA">
              <w:t>Manag</w:t>
            </w:r>
            <w:r>
              <w:t>ing</w:t>
            </w:r>
            <w:r w:rsidRPr="00B238CA">
              <w:t xml:space="preserve"> sanctions imposed </w:t>
            </w:r>
            <w:r>
              <w:t xml:space="preserve">by </w:t>
            </w:r>
            <w:r w:rsidRPr="00B238CA">
              <w:t>Fines Victoria which prevent renewal and re</w:t>
            </w:r>
            <w:r>
              <w:t>-</w:t>
            </w:r>
            <w:r w:rsidRPr="00B238CA">
              <w:t>issue of registration</w:t>
            </w:r>
          </w:p>
          <w:p w14:paraId="77269566" w14:textId="77777777" w:rsidR="00056AD9" w:rsidRPr="00B238CA" w:rsidRDefault="00056AD9" w:rsidP="009B13B8">
            <w:pPr>
              <w:pStyle w:val="TableList1"/>
              <w:ind w:left="360" w:hanging="360"/>
            </w:pPr>
            <w:r w:rsidRPr="00B238CA">
              <w:t>Provi</w:t>
            </w:r>
            <w:r>
              <w:t>ding</w:t>
            </w:r>
            <w:r w:rsidRPr="00B238CA">
              <w:t xml:space="preserve"> replacement registration certificates</w:t>
            </w:r>
          </w:p>
          <w:p w14:paraId="1E3E5415" w14:textId="77777777" w:rsidR="00056AD9" w:rsidRPr="00B238CA" w:rsidRDefault="00056AD9" w:rsidP="009B13B8">
            <w:pPr>
              <w:pStyle w:val="TableList1"/>
              <w:ind w:left="360" w:hanging="360"/>
            </w:pPr>
            <w:r w:rsidRPr="00B238CA">
              <w:t>Manag</w:t>
            </w:r>
            <w:r>
              <w:t>ing</w:t>
            </w:r>
            <w:r w:rsidRPr="00B238CA">
              <w:t xml:space="preserve"> appointments that do not require a vehicle inspection (e.g. Club Permit)</w:t>
            </w:r>
          </w:p>
          <w:p w14:paraId="582C5E01" w14:textId="77777777" w:rsidR="00056AD9" w:rsidRDefault="00056AD9" w:rsidP="009B13B8">
            <w:pPr>
              <w:pStyle w:val="TableList1"/>
              <w:ind w:left="360" w:hanging="360"/>
            </w:pPr>
            <w:r>
              <w:t xml:space="preserve">Recording </w:t>
            </w:r>
            <w:r w:rsidRPr="00B238CA">
              <w:t>name and address changes</w:t>
            </w:r>
          </w:p>
          <w:p w14:paraId="391F24EE" w14:textId="77777777" w:rsidR="00056AD9" w:rsidRPr="00491582" w:rsidRDefault="00056AD9" w:rsidP="009B13B8">
            <w:pPr>
              <w:pStyle w:val="TableList1"/>
              <w:ind w:left="360" w:hanging="360"/>
            </w:pPr>
            <w:r>
              <w:t xml:space="preserve">Managing </w:t>
            </w:r>
            <w:r w:rsidRPr="00B238CA">
              <w:t>refund</w:t>
            </w:r>
            <w:r>
              <w:t>s</w:t>
            </w:r>
          </w:p>
        </w:tc>
      </w:tr>
      <w:tr w:rsidR="00056AD9" w:rsidRPr="00EF7B9B" w14:paraId="74CAB3E8" w14:textId="77777777" w:rsidTr="009B13B8">
        <w:trPr>
          <w:cnfStyle w:val="000000010000" w:firstRow="0" w:lastRow="0" w:firstColumn="0" w:lastColumn="0" w:oddVBand="0" w:evenVBand="0" w:oddHBand="0" w:evenHBand="1" w:firstRowFirstColumn="0" w:firstRowLastColumn="0" w:lastRowFirstColumn="0" w:lastRowLastColumn="0"/>
        </w:trPr>
        <w:tc>
          <w:tcPr>
            <w:tcW w:w="2263" w:type="dxa"/>
          </w:tcPr>
          <w:p w14:paraId="609CE78F" w14:textId="77777777" w:rsidR="00056AD9" w:rsidRPr="002A1BB4" w:rsidRDefault="00056AD9" w:rsidP="009B13B8">
            <w:pPr>
              <w:pStyle w:val="TableParagraph"/>
              <w:rPr>
                <w:b/>
              </w:rPr>
            </w:pPr>
            <w:r>
              <w:rPr>
                <w:b/>
              </w:rPr>
              <w:t>Registration T</w:t>
            </w:r>
            <w:r w:rsidRPr="00583E1C">
              <w:rPr>
                <w:b/>
              </w:rPr>
              <w:t>ransfer</w:t>
            </w:r>
          </w:p>
        </w:tc>
        <w:tc>
          <w:tcPr>
            <w:tcW w:w="7235" w:type="dxa"/>
          </w:tcPr>
          <w:p w14:paraId="7E6C472A" w14:textId="77777777" w:rsidR="00056AD9" w:rsidRPr="00B238CA" w:rsidRDefault="00056AD9" w:rsidP="009B13B8">
            <w:pPr>
              <w:pStyle w:val="TableList1"/>
              <w:ind w:left="360" w:hanging="360"/>
            </w:pPr>
            <w:r w:rsidRPr="00B238CA">
              <w:t>Review</w:t>
            </w:r>
            <w:r>
              <w:t>ing</w:t>
            </w:r>
            <w:r w:rsidRPr="00B238CA">
              <w:t xml:space="preserve"> transfer documentation (including RWCs)</w:t>
            </w:r>
          </w:p>
          <w:p w14:paraId="1AF31DE1" w14:textId="77777777" w:rsidR="00056AD9" w:rsidRPr="00B238CA" w:rsidRDefault="00056AD9" w:rsidP="009B13B8">
            <w:pPr>
              <w:pStyle w:val="TableList1"/>
              <w:ind w:left="360" w:hanging="360"/>
            </w:pPr>
            <w:r>
              <w:t xml:space="preserve">Undertaking a </w:t>
            </w:r>
            <w:r w:rsidRPr="00B238CA">
              <w:t>written-off vehicle check</w:t>
            </w:r>
          </w:p>
          <w:p w14:paraId="7BCE11E2" w14:textId="77777777" w:rsidR="00056AD9" w:rsidRDefault="00056AD9" w:rsidP="009B13B8">
            <w:pPr>
              <w:pStyle w:val="TableList1"/>
              <w:ind w:left="360" w:hanging="360"/>
            </w:pPr>
            <w:r>
              <w:t xml:space="preserve">Verifying </w:t>
            </w:r>
            <w:r w:rsidRPr="00B238CA">
              <w:t>fee exemption– e.g. vehicle transfers between spouses, deceased estate transfers to spouses and partners</w:t>
            </w:r>
          </w:p>
          <w:p w14:paraId="2B910071" w14:textId="77777777" w:rsidR="00056AD9" w:rsidRPr="00491582" w:rsidRDefault="00056AD9" w:rsidP="009B13B8">
            <w:pPr>
              <w:pStyle w:val="TableList1"/>
              <w:ind w:left="360" w:hanging="360"/>
            </w:pPr>
            <w:r w:rsidRPr="00B238CA">
              <w:t>Manag</w:t>
            </w:r>
            <w:r>
              <w:t>ing</w:t>
            </w:r>
            <w:r w:rsidRPr="00B238CA">
              <w:t xml:space="preserve"> sanctions imposed </w:t>
            </w:r>
            <w:r>
              <w:t xml:space="preserve">by </w:t>
            </w:r>
            <w:r w:rsidRPr="00B238CA">
              <w:t>Fines Victoria which prevent transfer</w:t>
            </w:r>
          </w:p>
        </w:tc>
      </w:tr>
      <w:tr w:rsidR="00056AD9" w:rsidRPr="00EF7B9B" w14:paraId="2E5C926D" w14:textId="77777777" w:rsidTr="009B13B8">
        <w:tc>
          <w:tcPr>
            <w:tcW w:w="2263" w:type="dxa"/>
          </w:tcPr>
          <w:p w14:paraId="1F64C8B7" w14:textId="77777777" w:rsidR="00056AD9" w:rsidRPr="002A1BB4" w:rsidRDefault="00056AD9" w:rsidP="009B13B8">
            <w:pPr>
              <w:pStyle w:val="TableParagraph"/>
              <w:rPr>
                <w:b/>
              </w:rPr>
            </w:pPr>
            <w:r>
              <w:rPr>
                <w:b/>
              </w:rPr>
              <w:t>Vehicle I</w:t>
            </w:r>
            <w:r w:rsidRPr="002A1BB4">
              <w:rPr>
                <w:b/>
              </w:rPr>
              <w:t xml:space="preserve">nspections </w:t>
            </w:r>
          </w:p>
        </w:tc>
        <w:tc>
          <w:tcPr>
            <w:tcW w:w="7235" w:type="dxa"/>
          </w:tcPr>
          <w:p w14:paraId="7874CAA7" w14:textId="77777777" w:rsidR="00056AD9" w:rsidRPr="00B238CA" w:rsidRDefault="00056AD9" w:rsidP="009B13B8">
            <w:pPr>
              <w:pStyle w:val="TableList1"/>
              <w:ind w:left="360" w:hanging="360"/>
            </w:pPr>
            <w:r>
              <w:t xml:space="preserve">Reviewing </w:t>
            </w:r>
            <w:r w:rsidRPr="00B238CA">
              <w:t>Defect Notice</w:t>
            </w:r>
          </w:p>
          <w:p w14:paraId="338F4F05" w14:textId="77777777" w:rsidR="00056AD9" w:rsidRDefault="00056AD9" w:rsidP="009B13B8">
            <w:pPr>
              <w:pStyle w:val="TableList1"/>
              <w:ind w:left="360" w:hanging="360"/>
            </w:pPr>
            <w:r>
              <w:t xml:space="preserve">Conducting </w:t>
            </w:r>
            <w:r w:rsidRPr="00B238CA">
              <w:t>vehicle inspection to confirm rectification of the identified defects</w:t>
            </w:r>
          </w:p>
          <w:p w14:paraId="1BD75174" w14:textId="77777777" w:rsidR="00056AD9" w:rsidRPr="00491582" w:rsidRDefault="00056AD9" w:rsidP="009B13B8">
            <w:pPr>
              <w:pStyle w:val="TableList1"/>
              <w:ind w:left="360" w:hanging="360"/>
            </w:pPr>
            <w:r w:rsidRPr="00B238CA">
              <w:t>Manag</w:t>
            </w:r>
            <w:r>
              <w:t>ing</w:t>
            </w:r>
            <w:r w:rsidRPr="00B238CA">
              <w:t xml:space="preserve"> defect clearance</w:t>
            </w:r>
          </w:p>
        </w:tc>
      </w:tr>
      <w:tr w:rsidR="00056AD9" w:rsidRPr="00EF7B9B" w14:paraId="1BBA06A0" w14:textId="77777777" w:rsidTr="009B13B8">
        <w:trPr>
          <w:cnfStyle w:val="000000010000" w:firstRow="0" w:lastRow="0" w:firstColumn="0" w:lastColumn="0" w:oddVBand="0" w:evenVBand="0" w:oddHBand="0" w:evenHBand="1" w:firstRowFirstColumn="0" w:firstRowLastColumn="0" w:lastRowFirstColumn="0" w:lastRowLastColumn="0"/>
        </w:trPr>
        <w:tc>
          <w:tcPr>
            <w:tcW w:w="2263" w:type="dxa"/>
          </w:tcPr>
          <w:p w14:paraId="306A3DC9" w14:textId="77777777" w:rsidR="00056AD9" w:rsidRDefault="00056AD9" w:rsidP="009B13B8">
            <w:pPr>
              <w:pStyle w:val="TableParagraph"/>
              <w:rPr>
                <w:b/>
              </w:rPr>
            </w:pPr>
            <w:r>
              <w:rPr>
                <w:b/>
              </w:rPr>
              <w:t>Information Extracts and Reports</w:t>
            </w:r>
          </w:p>
        </w:tc>
        <w:tc>
          <w:tcPr>
            <w:tcW w:w="7235" w:type="dxa"/>
          </w:tcPr>
          <w:p w14:paraId="76D107DB" w14:textId="77777777" w:rsidR="00056AD9" w:rsidRDefault="00056AD9" w:rsidP="009B13B8">
            <w:pPr>
              <w:pStyle w:val="TableList1"/>
              <w:ind w:left="360" w:hanging="360"/>
            </w:pPr>
            <w:r w:rsidRPr="00B238CA">
              <w:t>Process</w:t>
            </w:r>
            <w:r>
              <w:t>ing</w:t>
            </w:r>
            <w:r w:rsidRPr="00B238CA">
              <w:t xml:space="preserve"> online, telephone and in-person request to generate digital or hard copy reports</w:t>
            </w:r>
          </w:p>
          <w:p w14:paraId="4C275378" w14:textId="77777777" w:rsidR="00056AD9" w:rsidRPr="00491582" w:rsidRDefault="00056AD9" w:rsidP="009B13B8">
            <w:pPr>
              <w:pStyle w:val="TableList1"/>
              <w:ind w:left="360" w:hanging="360"/>
            </w:pPr>
            <w:r w:rsidRPr="00B238CA">
              <w:t>Process</w:t>
            </w:r>
            <w:r>
              <w:t>ing</w:t>
            </w:r>
            <w:r w:rsidRPr="00B238CA">
              <w:t xml:space="preserve"> complex reports, including collection of data and manual construction of reports</w:t>
            </w:r>
          </w:p>
        </w:tc>
      </w:tr>
    </w:tbl>
    <w:p w14:paraId="4A9CEE68" w14:textId="77777777" w:rsidR="00056AD9" w:rsidRPr="006E201E" w:rsidRDefault="00056AD9" w:rsidP="009B13B8">
      <w:pPr>
        <w:pStyle w:val="Appendix2"/>
        <w:spacing w:before="240" w:after="180"/>
        <w:ind w:left="851" w:hanging="851"/>
      </w:pPr>
      <w:bookmarkStart w:id="1001" w:name="_Toc10703561"/>
      <w:r w:rsidRPr="006E201E">
        <w:t>Permissions Groups</w:t>
      </w:r>
      <w:bookmarkEnd w:id="1001"/>
    </w:p>
    <w:p w14:paraId="0172F429" w14:textId="2281E9E7" w:rsidR="00056AD9" w:rsidRDefault="00282039" w:rsidP="009B13B8">
      <w:pPr>
        <w:pStyle w:val="TextPara"/>
        <w:rPr>
          <w:rFonts w:cs="Segoe UI"/>
        </w:rPr>
      </w:pPr>
      <w:r>
        <w:rPr>
          <w:rFonts w:cs="Segoe UI"/>
        </w:rPr>
        <w:fldChar w:fldCharType="begin"/>
      </w:r>
      <w:r>
        <w:rPr>
          <w:rFonts w:cs="Segoe UI"/>
        </w:rPr>
        <w:instrText xml:space="preserve"> REF _Ref4576264 \h </w:instrText>
      </w:r>
      <w:r>
        <w:rPr>
          <w:rFonts w:cs="Segoe UI"/>
        </w:rPr>
      </w:r>
      <w:r>
        <w:rPr>
          <w:rFonts w:cs="Segoe UI"/>
        </w:rPr>
        <w:fldChar w:fldCharType="separate"/>
      </w:r>
      <w:r w:rsidR="00EB4B02">
        <w:t xml:space="preserve">Table </w:t>
      </w:r>
      <w:r w:rsidR="00EB4B02">
        <w:rPr>
          <w:noProof/>
        </w:rPr>
        <w:t>78</w:t>
      </w:r>
      <w:r>
        <w:rPr>
          <w:rFonts w:cs="Segoe UI"/>
        </w:rPr>
        <w:fldChar w:fldCharType="end"/>
      </w:r>
      <w:r>
        <w:rPr>
          <w:rFonts w:cs="Segoe UI"/>
        </w:rPr>
        <w:t xml:space="preserve"> </w:t>
      </w:r>
      <w:r w:rsidR="00056AD9">
        <w:rPr>
          <w:rFonts w:cs="Segoe UI"/>
        </w:rPr>
        <w:t>provides a list of Permissions G</w:t>
      </w:r>
      <w:r w:rsidR="00056AD9" w:rsidRPr="00117C96">
        <w:rPr>
          <w:rFonts w:cs="Segoe UI"/>
        </w:rPr>
        <w:t xml:space="preserve">roups </w:t>
      </w:r>
      <w:r w:rsidR="00056AD9">
        <w:rPr>
          <w:rFonts w:cs="Segoe UI"/>
        </w:rPr>
        <w:t xml:space="preserve">and the related processes that </w:t>
      </w:r>
      <w:r w:rsidR="00056AD9" w:rsidRPr="00117C96">
        <w:rPr>
          <w:rFonts w:cs="Segoe UI"/>
        </w:rPr>
        <w:t xml:space="preserve">support the </w:t>
      </w:r>
      <w:r w:rsidR="00056AD9" w:rsidRPr="00DC298A">
        <w:rPr>
          <w:rFonts w:cs="Segoe UI"/>
          <w:i/>
        </w:rPr>
        <w:t>Safe Vehicles</w:t>
      </w:r>
      <w:r w:rsidR="00056AD9" w:rsidRPr="00117C96">
        <w:rPr>
          <w:rFonts w:cs="Segoe UI"/>
        </w:rPr>
        <w:t xml:space="preserve"> functions </w:t>
      </w:r>
      <w:r w:rsidR="00056AD9">
        <w:rPr>
          <w:rFonts w:cs="Segoe UI"/>
        </w:rPr>
        <w:t>shown in the functional framework</w:t>
      </w:r>
      <w:r w:rsidR="00056AD9" w:rsidRPr="00117C96">
        <w:rPr>
          <w:rFonts w:cs="Segoe UI"/>
        </w:rPr>
        <w:t xml:space="preserve"> </w:t>
      </w:r>
      <w:r w:rsidR="00056AD9">
        <w:rPr>
          <w:rFonts w:cs="Segoe UI"/>
        </w:rPr>
        <w:t xml:space="preserve">in </w:t>
      </w:r>
      <w:r w:rsidR="00056AD9">
        <w:fldChar w:fldCharType="begin"/>
      </w:r>
      <w:r w:rsidR="00056AD9">
        <w:rPr>
          <w:rFonts w:cs="Segoe UI"/>
        </w:rPr>
        <w:instrText xml:space="preserve"> REF _Ref505071016 \h </w:instrText>
      </w:r>
      <w:r w:rsidR="00056AD9">
        <w:fldChar w:fldCharType="separate"/>
      </w:r>
      <w:r w:rsidR="00EB4B02" w:rsidRPr="00117C96">
        <w:t xml:space="preserve">Figure </w:t>
      </w:r>
      <w:r w:rsidR="00EB4B02">
        <w:rPr>
          <w:noProof/>
        </w:rPr>
        <w:t>2</w:t>
      </w:r>
      <w:r w:rsidR="00056AD9">
        <w:fldChar w:fldCharType="end"/>
      </w:r>
      <w:r w:rsidR="00056AD9">
        <w:t xml:space="preserve"> </w:t>
      </w:r>
      <w:r w:rsidR="00056AD9">
        <w:fldChar w:fldCharType="begin"/>
      </w:r>
      <w:r w:rsidR="00056AD9">
        <w:instrText xml:space="preserve"> PAGEREF _Ref505071030 \p \h </w:instrText>
      </w:r>
      <w:r w:rsidR="00056AD9">
        <w:fldChar w:fldCharType="separate"/>
      </w:r>
      <w:r w:rsidR="00EB4B02">
        <w:rPr>
          <w:noProof/>
        </w:rPr>
        <w:t>on page 31</w:t>
      </w:r>
      <w:r w:rsidR="00056AD9">
        <w:fldChar w:fldCharType="end"/>
      </w:r>
      <w:r w:rsidR="00056AD9">
        <w:t xml:space="preserve"> above</w:t>
      </w:r>
      <w:r w:rsidR="00056AD9">
        <w:rPr>
          <w:rFonts w:cs="Segoe UI"/>
        </w:rPr>
        <w:t>.</w:t>
      </w:r>
    </w:p>
    <w:p w14:paraId="320D7D58" w14:textId="5B8D98E2" w:rsidR="00056AD9" w:rsidRDefault="00056AD9" w:rsidP="009B13B8">
      <w:pPr>
        <w:pStyle w:val="TextPara"/>
        <w:rPr>
          <w:rFonts w:cs="Segoe UI"/>
        </w:rPr>
      </w:pPr>
      <w:r>
        <w:rPr>
          <w:rFonts w:cs="Segoe UI"/>
          <w:szCs w:val="20"/>
        </w:rPr>
        <w:t>Whilst these permissions are not under review in the RIS, they provide an understanding of the total range of services provided by VicRoads for completeness. The cost of delivering these services have been accounted for in the summary financial analysis in</w:t>
      </w:r>
      <w:r>
        <w:rPr>
          <w:rFonts w:cs="Segoe UI"/>
        </w:rPr>
        <w:t xml:space="preserve"> </w:t>
      </w:r>
      <w:r w:rsidRPr="00282039">
        <w:rPr>
          <w:rFonts w:cs="Segoe UI"/>
        </w:rPr>
        <w:t>Chapter</w:t>
      </w:r>
      <w:r w:rsidR="000537A4" w:rsidRPr="00282039">
        <w:rPr>
          <w:rFonts w:cs="Segoe UI"/>
        </w:rPr>
        <w:t xml:space="preserve"> </w:t>
      </w:r>
      <w:r w:rsidR="000537A4" w:rsidRPr="00282039">
        <w:rPr>
          <w:rFonts w:cs="Segoe UI"/>
        </w:rPr>
        <w:fldChar w:fldCharType="begin"/>
      </w:r>
      <w:r w:rsidR="000537A4" w:rsidRPr="00282039">
        <w:rPr>
          <w:rFonts w:cs="Segoe UI"/>
        </w:rPr>
        <w:instrText xml:space="preserve"> REF _Ref4415904 \r \h </w:instrText>
      </w:r>
      <w:r w:rsidR="00282039">
        <w:rPr>
          <w:rFonts w:cs="Segoe UI"/>
        </w:rPr>
        <w:instrText xml:space="preserve"> \* MERGEFORMAT </w:instrText>
      </w:r>
      <w:r w:rsidR="000537A4" w:rsidRPr="00282039">
        <w:rPr>
          <w:rFonts w:cs="Segoe UI"/>
        </w:rPr>
      </w:r>
      <w:r w:rsidR="000537A4" w:rsidRPr="00282039">
        <w:rPr>
          <w:rFonts w:cs="Segoe UI"/>
        </w:rPr>
        <w:fldChar w:fldCharType="separate"/>
      </w:r>
      <w:r w:rsidR="00EB4B02">
        <w:rPr>
          <w:rFonts w:cs="Segoe UI"/>
        </w:rPr>
        <w:t>17</w:t>
      </w:r>
      <w:r w:rsidR="000537A4" w:rsidRPr="00282039">
        <w:rPr>
          <w:rFonts w:cs="Segoe UI"/>
        </w:rPr>
        <w:fldChar w:fldCharType="end"/>
      </w:r>
      <w:r>
        <w:rPr>
          <w:rFonts w:cs="Segoe UI"/>
          <w:b/>
        </w:rPr>
        <w:t>.</w:t>
      </w:r>
    </w:p>
    <w:p w14:paraId="4A8E7881" w14:textId="289101D2" w:rsidR="00056AD9" w:rsidRDefault="00056AD9" w:rsidP="009B13B8">
      <w:pPr>
        <w:pStyle w:val="Caption"/>
      </w:pPr>
      <w:bookmarkStart w:id="1002" w:name="_Ref4576264"/>
      <w:bookmarkStart w:id="1003" w:name="_Toc4084362"/>
      <w:bookmarkStart w:id="1004" w:name="_Toc4590396"/>
      <w:bookmarkStart w:id="1005" w:name="_Toc10703771"/>
      <w:r>
        <w:lastRenderedPageBreak/>
        <w:t xml:space="preserve">Table </w:t>
      </w:r>
      <w:r>
        <w:rPr>
          <w:noProof/>
        </w:rPr>
        <w:fldChar w:fldCharType="begin"/>
      </w:r>
      <w:r>
        <w:rPr>
          <w:noProof/>
        </w:rPr>
        <w:instrText xml:space="preserve"> SEQ Table \* ARABIC </w:instrText>
      </w:r>
      <w:r>
        <w:rPr>
          <w:noProof/>
        </w:rPr>
        <w:fldChar w:fldCharType="separate"/>
      </w:r>
      <w:r w:rsidR="00EB4B02">
        <w:rPr>
          <w:noProof/>
        </w:rPr>
        <w:t>78</w:t>
      </w:r>
      <w:r>
        <w:rPr>
          <w:noProof/>
        </w:rPr>
        <w:fldChar w:fldCharType="end"/>
      </w:r>
      <w:bookmarkEnd w:id="1002"/>
      <w:r>
        <w:t xml:space="preserve"> – </w:t>
      </w:r>
      <w:r w:rsidRPr="00F71BBE">
        <w:t xml:space="preserve">Vehicles Registration </w:t>
      </w:r>
      <w:r>
        <w:t>Permission</w:t>
      </w:r>
      <w:r w:rsidRPr="00F71BBE">
        <w:t>s Groups</w:t>
      </w:r>
      <w:bookmarkEnd w:id="1003"/>
      <w:bookmarkEnd w:id="1004"/>
      <w:bookmarkEnd w:id="1005"/>
      <w:r>
        <w:t xml:space="preserve"> </w:t>
      </w:r>
    </w:p>
    <w:tbl>
      <w:tblPr>
        <w:tblStyle w:val="RIS-Table2"/>
        <w:tblW w:w="0" w:type="auto"/>
        <w:tblLayout w:type="fixed"/>
        <w:tblLook w:val="04A0" w:firstRow="1" w:lastRow="0" w:firstColumn="1" w:lastColumn="0" w:noHBand="0" w:noVBand="1"/>
      </w:tblPr>
      <w:tblGrid>
        <w:gridCol w:w="2552"/>
        <w:gridCol w:w="6804"/>
      </w:tblGrid>
      <w:tr w:rsidR="00056AD9" w:rsidRPr="00117C96" w14:paraId="03230F57" w14:textId="77777777" w:rsidTr="009B13B8">
        <w:trPr>
          <w:cnfStyle w:val="100000000000" w:firstRow="1" w:lastRow="0" w:firstColumn="0" w:lastColumn="0" w:oddVBand="0" w:evenVBand="0" w:oddHBand="0" w:evenHBand="0" w:firstRowFirstColumn="0" w:firstRowLastColumn="0" w:lastRowFirstColumn="0" w:lastRowLastColumn="0"/>
        </w:trPr>
        <w:tc>
          <w:tcPr>
            <w:tcW w:w="2552" w:type="dxa"/>
          </w:tcPr>
          <w:p w14:paraId="56B1C28B" w14:textId="77777777" w:rsidR="00056AD9" w:rsidRPr="00117C96" w:rsidRDefault="00056AD9" w:rsidP="009B13B8">
            <w:pPr>
              <w:pStyle w:val="TableHeaders"/>
            </w:pPr>
            <w:r>
              <w:t>Permissions</w:t>
            </w:r>
            <w:r w:rsidRPr="00117C96">
              <w:t xml:space="preserve"> Group</w:t>
            </w:r>
          </w:p>
        </w:tc>
        <w:tc>
          <w:tcPr>
            <w:tcW w:w="6804" w:type="dxa"/>
          </w:tcPr>
          <w:p w14:paraId="7C813033" w14:textId="77777777" w:rsidR="00056AD9" w:rsidRPr="00117C96" w:rsidRDefault="00056AD9" w:rsidP="009B13B8">
            <w:pPr>
              <w:pStyle w:val="TableHeaders"/>
            </w:pPr>
            <w:r>
              <w:t>Permissions</w:t>
            </w:r>
          </w:p>
        </w:tc>
      </w:tr>
      <w:tr w:rsidR="00056AD9" w:rsidRPr="00EF7B9B" w14:paraId="669FB4D1" w14:textId="77777777" w:rsidTr="009B13B8">
        <w:tc>
          <w:tcPr>
            <w:tcW w:w="2552" w:type="dxa"/>
          </w:tcPr>
          <w:p w14:paraId="731024FD" w14:textId="77777777" w:rsidR="00056AD9" w:rsidRPr="00583E1C" w:rsidRDefault="00056AD9" w:rsidP="009B13B8">
            <w:pPr>
              <w:pStyle w:val="TableParagraph"/>
              <w:rPr>
                <w:b/>
              </w:rPr>
            </w:pPr>
            <w:r>
              <w:rPr>
                <w:b/>
              </w:rPr>
              <w:t>Registration p</w:t>
            </w:r>
            <w:r w:rsidRPr="00583E1C">
              <w:rPr>
                <w:b/>
              </w:rPr>
              <w:t>ermits – non-standard</w:t>
            </w:r>
          </w:p>
        </w:tc>
        <w:tc>
          <w:tcPr>
            <w:tcW w:w="6804" w:type="dxa"/>
          </w:tcPr>
          <w:p w14:paraId="4D67FA71" w14:textId="77777777" w:rsidR="00056AD9" w:rsidRPr="00B238CA" w:rsidRDefault="00056AD9" w:rsidP="009B13B8">
            <w:pPr>
              <w:pStyle w:val="TableList1"/>
              <w:ind w:left="360" w:hanging="360"/>
            </w:pPr>
            <w:r w:rsidRPr="00B238CA">
              <w:t>Permission for a vehicle to be used on the road without registration for a limited time – Unregistered Vehicle Permits (UVP)</w:t>
            </w:r>
          </w:p>
          <w:p w14:paraId="28FFADA0" w14:textId="77777777" w:rsidR="00056AD9" w:rsidRPr="00B238CA" w:rsidRDefault="00056AD9" w:rsidP="009B13B8">
            <w:pPr>
              <w:pStyle w:val="TableList1"/>
              <w:ind w:left="360" w:hanging="360"/>
            </w:pPr>
            <w:r w:rsidRPr="00B238CA">
              <w:t>Permission to operate vehicles without standard registration on public roads with limited use</w:t>
            </w:r>
          </w:p>
          <w:p w14:paraId="73B48E2A" w14:textId="77777777" w:rsidR="00056AD9" w:rsidRPr="00491582" w:rsidRDefault="00056AD9" w:rsidP="009B13B8">
            <w:pPr>
              <w:pStyle w:val="TableList2"/>
            </w:pPr>
            <w:r w:rsidRPr="00B238CA">
              <w:t>Trade plates (</w:t>
            </w:r>
            <w:r>
              <w:t>used by</w:t>
            </w:r>
            <w:r w:rsidRPr="00B238CA">
              <w:t xml:space="preserve"> </w:t>
            </w:r>
            <w:r>
              <w:t xml:space="preserve">entities, such as </w:t>
            </w:r>
            <w:r w:rsidRPr="00B238CA">
              <w:t>Dealers</w:t>
            </w:r>
            <w:r>
              <w:t xml:space="preserve"> and</w:t>
            </w:r>
            <w:r w:rsidRPr="00B238CA">
              <w:t xml:space="preserve"> Motor Vehicle Repairers)</w:t>
            </w:r>
          </w:p>
          <w:p w14:paraId="70BEE68D" w14:textId="77777777" w:rsidR="00056AD9" w:rsidRPr="007C5B3C" w:rsidRDefault="00056AD9" w:rsidP="009B13B8">
            <w:pPr>
              <w:pStyle w:val="TableList2"/>
            </w:pPr>
            <w:r w:rsidRPr="00B238CA">
              <w:t>Club permits</w:t>
            </w:r>
          </w:p>
        </w:tc>
      </w:tr>
      <w:tr w:rsidR="00056AD9" w:rsidRPr="00EF7B9B" w14:paraId="26ECC939" w14:textId="77777777" w:rsidTr="009B13B8">
        <w:trPr>
          <w:cnfStyle w:val="000000010000" w:firstRow="0" w:lastRow="0" w:firstColumn="0" w:lastColumn="0" w:oddVBand="0" w:evenVBand="0" w:oddHBand="0" w:evenHBand="1" w:firstRowFirstColumn="0" w:firstRowLastColumn="0" w:lastRowFirstColumn="0" w:lastRowLastColumn="0"/>
        </w:trPr>
        <w:tc>
          <w:tcPr>
            <w:tcW w:w="2552" w:type="dxa"/>
          </w:tcPr>
          <w:p w14:paraId="17E8B109" w14:textId="77777777" w:rsidR="00056AD9" w:rsidRPr="00583E1C" w:rsidRDefault="00056AD9" w:rsidP="009B13B8">
            <w:pPr>
              <w:pStyle w:val="TableParagraph"/>
              <w:rPr>
                <w:b/>
              </w:rPr>
            </w:pPr>
            <w:r w:rsidRPr="00583E1C">
              <w:rPr>
                <w:b/>
              </w:rPr>
              <w:t xml:space="preserve">Registration </w:t>
            </w:r>
            <w:r>
              <w:rPr>
                <w:b/>
              </w:rPr>
              <w:t>i</w:t>
            </w:r>
            <w:r w:rsidRPr="00583E1C">
              <w:rPr>
                <w:b/>
              </w:rPr>
              <w:t>dentifiers</w:t>
            </w:r>
          </w:p>
        </w:tc>
        <w:tc>
          <w:tcPr>
            <w:tcW w:w="6804" w:type="dxa"/>
          </w:tcPr>
          <w:p w14:paraId="54DC6A74" w14:textId="77777777" w:rsidR="00056AD9" w:rsidRPr="00EC36DF" w:rsidRDefault="00056AD9" w:rsidP="009B13B8">
            <w:pPr>
              <w:pStyle w:val="TableList1"/>
              <w:ind w:left="360" w:hanging="360"/>
            </w:pPr>
            <w:r w:rsidRPr="00B238CA">
              <w:t>Permission for the vehicle to be uniquely identified to facilitate its operation on the road. The identification (plate) is assigned to the vehicle on first registration and remains with the vehicle (</w:t>
            </w:r>
            <w:r w:rsidRPr="002F7C42">
              <w:t>average</w:t>
            </w:r>
            <w:r w:rsidRPr="00B238CA">
              <w:t xml:space="preserve"> in excess of 15</w:t>
            </w:r>
            <w:r>
              <w:t xml:space="preserve"> years</w:t>
            </w:r>
            <w:r>
              <w:rPr>
                <w:rStyle w:val="EndnoteReference"/>
              </w:rPr>
              <w:endnoteReference w:id="425"/>
            </w:r>
            <w:r w:rsidRPr="00B238CA">
              <w:t>) for its life unless the operator chooses to replace it with another plate (e.g. custom plate or plate transfer</w:t>
            </w:r>
            <w:r>
              <w:t>red from another vehicle</w:t>
            </w:r>
            <w:r w:rsidRPr="00B238CA">
              <w:t>)</w:t>
            </w:r>
          </w:p>
        </w:tc>
      </w:tr>
    </w:tbl>
    <w:p w14:paraId="64F04474" w14:textId="77777777" w:rsidR="00056AD9" w:rsidRPr="00117C96" w:rsidRDefault="00056AD9" w:rsidP="009B13B8">
      <w:pPr>
        <w:pStyle w:val="Appendix2"/>
        <w:spacing w:before="240" w:after="180"/>
        <w:ind w:left="851" w:hanging="851"/>
      </w:pPr>
      <w:bookmarkStart w:id="1006" w:name="_Toc10703562"/>
      <w:r>
        <w:t>Servicing Agreement</w:t>
      </w:r>
      <w:r w:rsidRPr="00117C96">
        <w:t xml:space="preserve"> Groups</w:t>
      </w:r>
      <w:bookmarkEnd w:id="1006"/>
    </w:p>
    <w:p w14:paraId="707F118B" w14:textId="585C4289" w:rsidR="00056AD9" w:rsidRDefault="000537A4" w:rsidP="009B13B8">
      <w:pPr>
        <w:pStyle w:val="TextPara"/>
        <w:rPr>
          <w:rFonts w:cs="Segoe UI"/>
        </w:rPr>
      </w:pPr>
      <w:r>
        <w:rPr>
          <w:rFonts w:cs="Segoe UI"/>
        </w:rPr>
        <w:fldChar w:fldCharType="begin"/>
      </w:r>
      <w:r>
        <w:rPr>
          <w:rFonts w:cs="Segoe UI"/>
        </w:rPr>
        <w:instrText xml:space="preserve"> REF _Ref4416126 \h </w:instrText>
      </w:r>
      <w:r>
        <w:rPr>
          <w:rFonts w:cs="Segoe UI"/>
        </w:rPr>
      </w:r>
      <w:r>
        <w:rPr>
          <w:rFonts w:cs="Segoe UI"/>
        </w:rPr>
        <w:fldChar w:fldCharType="separate"/>
      </w:r>
      <w:r w:rsidR="00EB4B02">
        <w:t xml:space="preserve">Table </w:t>
      </w:r>
      <w:r w:rsidR="00EB4B02">
        <w:rPr>
          <w:noProof/>
        </w:rPr>
        <w:t>79</w:t>
      </w:r>
      <w:r>
        <w:rPr>
          <w:rFonts w:cs="Segoe UI"/>
        </w:rPr>
        <w:fldChar w:fldCharType="end"/>
      </w:r>
      <w:r>
        <w:rPr>
          <w:rFonts w:cs="Segoe UI"/>
        </w:rPr>
        <w:t xml:space="preserve"> </w:t>
      </w:r>
      <w:r w:rsidR="00056AD9">
        <w:rPr>
          <w:rFonts w:cs="Segoe UI"/>
        </w:rPr>
        <w:t>provides a list of Servicing Agreement G</w:t>
      </w:r>
      <w:r w:rsidR="00056AD9" w:rsidRPr="00117C96">
        <w:rPr>
          <w:rFonts w:cs="Segoe UI"/>
        </w:rPr>
        <w:t xml:space="preserve">roups </w:t>
      </w:r>
      <w:r w:rsidR="00056AD9">
        <w:rPr>
          <w:rFonts w:cs="Segoe UI"/>
        </w:rPr>
        <w:t xml:space="preserve">and the related processes that </w:t>
      </w:r>
      <w:r w:rsidR="00056AD9" w:rsidRPr="00117C96">
        <w:rPr>
          <w:rFonts w:cs="Segoe UI"/>
        </w:rPr>
        <w:t xml:space="preserve">support the </w:t>
      </w:r>
      <w:r w:rsidR="00056AD9" w:rsidRPr="00DC298A">
        <w:rPr>
          <w:rFonts w:cs="Segoe UI"/>
          <w:i/>
        </w:rPr>
        <w:t xml:space="preserve">Safe Vehicles </w:t>
      </w:r>
      <w:r w:rsidR="00056AD9" w:rsidRPr="00117C96">
        <w:rPr>
          <w:rFonts w:cs="Segoe UI"/>
        </w:rPr>
        <w:t xml:space="preserve">functions </w:t>
      </w:r>
      <w:r w:rsidR="00056AD9">
        <w:rPr>
          <w:rFonts w:cs="Segoe UI"/>
        </w:rPr>
        <w:t>shown in the functional framework</w:t>
      </w:r>
      <w:r w:rsidR="00056AD9" w:rsidRPr="00117C96">
        <w:rPr>
          <w:rFonts w:cs="Segoe UI"/>
        </w:rPr>
        <w:t xml:space="preserve"> </w:t>
      </w:r>
      <w:r w:rsidR="00056AD9">
        <w:rPr>
          <w:rFonts w:cs="Segoe UI"/>
        </w:rPr>
        <w:t xml:space="preserve">in </w:t>
      </w:r>
      <w:r w:rsidR="00056AD9">
        <w:fldChar w:fldCharType="begin"/>
      </w:r>
      <w:r w:rsidR="00056AD9">
        <w:rPr>
          <w:rFonts w:cs="Segoe UI"/>
        </w:rPr>
        <w:instrText xml:space="preserve"> REF _Ref505071016 \h </w:instrText>
      </w:r>
      <w:r w:rsidR="00056AD9">
        <w:fldChar w:fldCharType="separate"/>
      </w:r>
      <w:r w:rsidR="00EB4B02" w:rsidRPr="00117C96">
        <w:t xml:space="preserve">Figure </w:t>
      </w:r>
      <w:r w:rsidR="00EB4B02">
        <w:rPr>
          <w:noProof/>
        </w:rPr>
        <w:t>2</w:t>
      </w:r>
      <w:r w:rsidR="00056AD9">
        <w:fldChar w:fldCharType="end"/>
      </w:r>
      <w:r w:rsidR="00056AD9">
        <w:t xml:space="preserve"> </w:t>
      </w:r>
      <w:r w:rsidR="00056AD9">
        <w:fldChar w:fldCharType="begin"/>
      </w:r>
      <w:r w:rsidR="00056AD9">
        <w:instrText xml:space="preserve"> PAGEREF _Ref505071030 \p \h </w:instrText>
      </w:r>
      <w:r w:rsidR="00056AD9">
        <w:fldChar w:fldCharType="separate"/>
      </w:r>
      <w:r w:rsidR="00EB4B02">
        <w:rPr>
          <w:noProof/>
        </w:rPr>
        <w:t>on page 31</w:t>
      </w:r>
      <w:r w:rsidR="00056AD9">
        <w:fldChar w:fldCharType="end"/>
      </w:r>
      <w:r w:rsidR="00056AD9">
        <w:t xml:space="preserve"> above</w:t>
      </w:r>
      <w:r w:rsidR="00056AD9">
        <w:rPr>
          <w:rFonts w:cs="Segoe UI"/>
        </w:rPr>
        <w:t>.</w:t>
      </w:r>
    </w:p>
    <w:p w14:paraId="55D107EB" w14:textId="24BD6DE4" w:rsidR="00056AD9" w:rsidRDefault="00056AD9" w:rsidP="009B13B8">
      <w:pPr>
        <w:pStyle w:val="TextPara"/>
        <w:rPr>
          <w:rFonts w:cs="Segoe UI"/>
        </w:rPr>
      </w:pPr>
      <w:r>
        <w:rPr>
          <w:rFonts w:cs="Segoe UI"/>
          <w:szCs w:val="20"/>
        </w:rPr>
        <w:t xml:space="preserve">Whilst these services provided under VicRoads’ authority are not under review in this RIS, they provide an understanding of the total range of services provided by VicRoads for completeness. The cost of these services is accounted for in the summary financial analysis in </w:t>
      </w:r>
      <w:r w:rsidRPr="00981588">
        <w:rPr>
          <w:rFonts w:cs="Segoe UI"/>
        </w:rPr>
        <w:t xml:space="preserve">Chapter </w:t>
      </w:r>
      <w:r w:rsidR="000537A4" w:rsidRPr="00981588">
        <w:rPr>
          <w:rFonts w:cs="Segoe UI"/>
        </w:rPr>
        <w:fldChar w:fldCharType="begin"/>
      </w:r>
      <w:r w:rsidR="000537A4" w:rsidRPr="00981588">
        <w:rPr>
          <w:rFonts w:cs="Segoe UI"/>
        </w:rPr>
        <w:instrText xml:space="preserve"> REF _Ref4415955 \r \h </w:instrText>
      </w:r>
      <w:r w:rsidR="00981588">
        <w:rPr>
          <w:rFonts w:cs="Segoe UI"/>
        </w:rPr>
        <w:instrText xml:space="preserve"> \* MERGEFORMAT </w:instrText>
      </w:r>
      <w:r w:rsidR="000537A4" w:rsidRPr="00981588">
        <w:rPr>
          <w:rFonts w:cs="Segoe UI"/>
        </w:rPr>
      </w:r>
      <w:r w:rsidR="000537A4" w:rsidRPr="00981588">
        <w:rPr>
          <w:rFonts w:cs="Segoe UI"/>
        </w:rPr>
        <w:fldChar w:fldCharType="separate"/>
      </w:r>
      <w:r w:rsidR="00EB4B02">
        <w:rPr>
          <w:rFonts w:cs="Segoe UI"/>
        </w:rPr>
        <w:t>17</w:t>
      </w:r>
      <w:r w:rsidR="000537A4" w:rsidRPr="00981588">
        <w:rPr>
          <w:rFonts w:cs="Segoe UI"/>
        </w:rPr>
        <w:fldChar w:fldCharType="end"/>
      </w:r>
      <w:r w:rsidR="00922AF5" w:rsidRPr="00922AF5">
        <w:rPr>
          <w:rFonts w:cs="Segoe UI"/>
        </w:rPr>
        <w:t>.</w:t>
      </w:r>
    </w:p>
    <w:p w14:paraId="4F29971D" w14:textId="72940947" w:rsidR="00056AD9" w:rsidRDefault="00056AD9" w:rsidP="009B13B8">
      <w:pPr>
        <w:pStyle w:val="Caption"/>
      </w:pPr>
      <w:bookmarkStart w:id="1007" w:name="_Ref4416126"/>
      <w:bookmarkStart w:id="1008" w:name="_Toc4084363"/>
      <w:bookmarkStart w:id="1009" w:name="_Toc10703772"/>
      <w:r>
        <w:t xml:space="preserve">Table </w:t>
      </w:r>
      <w:r>
        <w:rPr>
          <w:noProof/>
        </w:rPr>
        <w:fldChar w:fldCharType="begin"/>
      </w:r>
      <w:r>
        <w:rPr>
          <w:noProof/>
        </w:rPr>
        <w:instrText xml:space="preserve"> SEQ Table \* ARABIC </w:instrText>
      </w:r>
      <w:r>
        <w:rPr>
          <w:noProof/>
        </w:rPr>
        <w:fldChar w:fldCharType="separate"/>
      </w:r>
      <w:r w:rsidR="00EB4B02">
        <w:rPr>
          <w:noProof/>
        </w:rPr>
        <w:t>79</w:t>
      </w:r>
      <w:r>
        <w:rPr>
          <w:noProof/>
        </w:rPr>
        <w:fldChar w:fldCharType="end"/>
      </w:r>
      <w:bookmarkEnd w:id="1007"/>
      <w:r>
        <w:t xml:space="preserve"> – </w:t>
      </w:r>
      <w:r w:rsidRPr="00F71BBE">
        <w:t xml:space="preserve">Vehicles </w:t>
      </w:r>
      <w:r>
        <w:t>Servicing</w:t>
      </w:r>
      <w:r w:rsidRPr="00F71BBE">
        <w:t xml:space="preserve"> </w:t>
      </w:r>
      <w:r>
        <w:t xml:space="preserve">Agreement </w:t>
      </w:r>
      <w:r w:rsidRPr="00F71BBE">
        <w:t>Groups</w:t>
      </w:r>
      <w:bookmarkEnd w:id="1008"/>
      <w:bookmarkEnd w:id="1009"/>
      <w:r>
        <w:t xml:space="preserve"> </w:t>
      </w:r>
    </w:p>
    <w:tbl>
      <w:tblPr>
        <w:tblStyle w:val="RIS-Table2"/>
        <w:tblW w:w="0" w:type="auto"/>
        <w:tblLayout w:type="fixed"/>
        <w:tblLook w:val="04A0" w:firstRow="1" w:lastRow="0" w:firstColumn="1" w:lastColumn="0" w:noHBand="0" w:noVBand="1"/>
      </w:tblPr>
      <w:tblGrid>
        <w:gridCol w:w="2552"/>
        <w:gridCol w:w="6804"/>
      </w:tblGrid>
      <w:tr w:rsidR="00056AD9" w:rsidRPr="00117C96" w14:paraId="4C442ADE" w14:textId="77777777" w:rsidTr="009B13B8">
        <w:trPr>
          <w:cnfStyle w:val="100000000000" w:firstRow="1" w:lastRow="0" w:firstColumn="0" w:lastColumn="0" w:oddVBand="0" w:evenVBand="0" w:oddHBand="0" w:evenHBand="0" w:firstRowFirstColumn="0" w:firstRowLastColumn="0" w:lastRowFirstColumn="0" w:lastRowLastColumn="0"/>
        </w:trPr>
        <w:tc>
          <w:tcPr>
            <w:tcW w:w="2552" w:type="dxa"/>
          </w:tcPr>
          <w:p w14:paraId="09971E16" w14:textId="77777777" w:rsidR="00056AD9" w:rsidRPr="00117C96" w:rsidRDefault="00056AD9" w:rsidP="009B13B8">
            <w:pPr>
              <w:pStyle w:val="TableHeaders"/>
            </w:pPr>
            <w:r>
              <w:t>Servicing Agreements</w:t>
            </w:r>
            <w:r w:rsidRPr="00117C96">
              <w:t xml:space="preserve"> </w:t>
            </w:r>
          </w:p>
        </w:tc>
        <w:tc>
          <w:tcPr>
            <w:tcW w:w="6804" w:type="dxa"/>
          </w:tcPr>
          <w:p w14:paraId="0569F0B6" w14:textId="77777777" w:rsidR="00056AD9" w:rsidRPr="00117C96" w:rsidRDefault="00056AD9" w:rsidP="009B13B8">
            <w:pPr>
              <w:pStyle w:val="TableHeaders"/>
            </w:pPr>
            <w:r>
              <w:t>Authority</w:t>
            </w:r>
          </w:p>
        </w:tc>
      </w:tr>
      <w:tr w:rsidR="00056AD9" w:rsidRPr="00EF7B9B" w14:paraId="6F37FB1F" w14:textId="77777777" w:rsidTr="009B13B8">
        <w:tc>
          <w:tcPr>
            <w:tcW w:w="2552" w:type="dxa"/>
          </w:tcPr>
          <w:p w14:paraId="6E2D5BB1" w14:textId="77777777" w:rsidR="00056AD9" w:rsidRPr="002A1BB4" w:rsidRDefault="00056AD9" w:rsidP="009B13B8">
            <w:pPr>
              <w:pStyle w:val="TableParagraph"/>
              <w:rPr>
                <w:rFonts w:cs="Segoe UI"/>
                <w:b/>
              </w:rPr>
            </w:pPr>
            <w:r>
              <w:rPr>
                <w:b/>
              </w:rPr>
              <w:t>Inspection and Testing</w:t>
            </w:r>
          </w:p>
        </w:tc>
        <w:tc>
          <w:tcPr>
            <w:tcW w:w="6804" w:type="dxa"/>
          </w:tcPr>
          <w:p w14:paraId="5D23755B" w14:textId="77777777" w:rsidR="00056AD9" w:rsidRPr="002F7C42" w:rsidRDefault="00056AD9" w:rsidP="009B13B8">
            <w:pPr>
              <w:pStyle w:val="TableList1"/>
              <w:ind w:left="360" w:hanging="360"/>
            </w:pPr>
            <w:r w:rsidRPr="00B238CA">
              <w:t xml:space="preserve">The authority </w:t>
            </w:r>
            <w:r>
              <w:t>for</w:t>
            </w:r>
            <w:r w:rsidRPr="00B238CA">
              <w:t xml:space="preserve"> </w:t>
            </w:r>
            <w:r>
              <w:t>Licens</w:t>
            </w:r>
            <w:r w:rsidRPr="00B238CA">
              <w:t>ed Testers to examine, test, and inspect vehicles for their roadworthiness</w:t>
            </w:r>
            <w:r w:rsidRPr="002F7C42">
              <w:t>, and issue certificates of roadworthiness (i.e. RWC)</w:t>
            </w:r>
          </w:p>
          <w:p w14:paraId="345A1F2B" w14:textId="77777777" w:rsidR="00056AD9" w:rsidRPr="002F7C42" w:rsidRDefault="00056AD9" w:rsidP="009B13B8">
            <w:pPr>
              <w:pStyle w:val="TableList1"/>
              <w:ind w:left="360" w:hanging="360"/>
            </w:pPr>
            <w:r w:rsidRPr="002F7C42">
              <w:t>The authority for Licensed Testers to examine, test, and inspect repairable write off vehicles and issue Vehicle Identification Validation (VIV) certificates</w:t>
            </w:r>
          </w:p>
          <w:p w14:paraId="006A78CF" w14:textId="77777777" w:rsidR="00056AD9" w:rsidRPr="002F7C42" w:rsidRDefault="00056AD9" w:rsidP="009B13B8">
            <w:pPr>
              <w:pStyle w:val="TableList1"/>
              <w:ind w:left="360" w:hanging="360"/>
            </w:pPr>
            <w:r w:rsidRPr="002F7C42">
              <w:t>The authority for Dealers (LMCTs) to inspect the identity of vehicles and register them</w:t>
            </w:r>
          </w:p>
          <w:p w14:paraId="0FA95BEB" w14:textId="77777777" w:rsidR="00056AD9" w:rsidRPr="007C5B3C" w:rsidRDefault="00056AD9" w:rsidP="009B13B8">
            <w:pPr>
              <w:pStyle w:val="TableList1"/>
              <w:ind w:left="360" w:hanging="360"/>
            </w:pPr>
            <w:r w:rsidRPr="002F7C42">
              <w:t>The authority of Dealers</w:t>
            </w:r>
            <w:r w:rsidRPr="00B238CA">
              <w:t xml:space="preserve"> (Licensed Motor Car Traders) to access and utilise VicRoads systems to register ne</w:t>
            </w:r>
            <w:r>
              <w:t>w</w:t>
            </w:r>
            <w:r w:rsidRPr="00B238CA">
              <w:t xml:space="preserve"> vehicles and transfer second hand vehicles</w:t>
            </w:r>
          </w:p>
        </w:tc>
      </w:tr>
    </w:tbl>
    <w:p w14:paraId="51A9B4CE" w14:textId="77777777" w:rsidR="00056AD9" w:rsidRDefault="00056AD9" w:rsidP="009B13B8">
      <w:pPr>
        <w:pStyle w:val="TextPara"/>
        <w:rPr>
          <w:lang w:eastAsia="en-AU"/>
        </w:rPr>
      </w:pPr>
    </w:p>
    <w:p w14:paraId="768A31A7" w14:textId="77777777" w:rsidR="00056AD9" w:rsidRDefault="00056AD9" w:rsidP="009B13B8">
      <w:pPr>
        <w:pStyle w:val="TextPara"/>
        <w:rPr>
          <w:lang w:eastAsia="en-AU"/>
        </w:rPr>
      </w:pPr>
    </w:p>
    <w:p w14:paraId="2E9FC64F" w14:textId="77777777" w:rsidR="00056AD9" w:rsidRDefault="00056AD9" w:rsidP="009B13B8">
      <w:pPr>
        <w:pStyle w:val="TextPara"/>
        <w:rPr>
          <w:lang w:eastAsia="en-AU"/>
        </w:rPr>
      </w:pPr>
    </w:p>
    <w:p w14:paraId="42879B3E" w14:textId="77777777" w:rsidR="00056AD9" w:rsidRDefault="00056AD9" w:rsidP="009B13B8">
      <w:pPr>
        <w:pStyle w:val="TextPara"/>
        <w:rPr>
          <w:lang w:eastAsia="en-AU"/>
        </w:rPr>
      </w:pPr>
    </w:p>
    <w:p w14:paraId="675B6B7E" w14:textId="77777777" w:rsidR="00056AD9" w:rsidRDefault="00056AD9" w:rsidP="009B13B8">
      <w:pPr>
        <w:pStyle w:val="TextPara"/>
        <w:rPr>
          <w:lang w:eastAsia="en-AU"/>
        </w:rPr>
      </w:pPr>
    </w:p>
    <w:p w14:paraId="3937B609" w14:textId="77777777" w:rsidR="00056AD9" w:rsidRPr="004B154A" w:rsidRDefault="00056AD9" w:rsidP="009B13B8">
      <w:pPr>
        <w:pStyle w:val="TextPara"/>
        <w:rPr>
          <w:lang w:eastAsia="en-AU"/>
        </w:rPr>
      </w:pPr>
    </w:p>
    <w:p w14:paraId="294F5B60" w14:textId="77777777" w:rsidR="00056AD9" w:rsidRDefault="00056AD9" w:rsidP="009B13B8">
      <w:pPr>
        <w:pStyle w:val="Appendix1"/>
        <w:sectPr w:rsidR="00056AD9" w:rsidSect="009B13B8">
          <w:headerReference w:type="default" r:id="rId110"/>
          <w:footerReference w:type="default" r:id="rId111"/>
          <w:endnotePr>
            <w:numFmt w:val="decimal"/>
          </w:endnotePr>
          <w:type w:val="continuous"/>
          <w:pgSz w:w="11907" w:h="16840" w:code="9"/>
          <w:pgMar w:top="1134" w:right="1304" w:bottom="1701" w:left="1304" w:header="567" w:footer="397" w:gutter="0"/>
          <w:cols w:space="708"/>
          <w:docGrid w:linePitch="360"/>
        </w:sectPr>
      </w:pPr>
    </w:p>
    <w:p w14:paraId="64713F20" w14:textId="77777777" w:rsidR="00432FA9" w:rsidRDefault="00432FA9" w:rsidP="00432FA9">
      <w:pPr>
        <w:pStyle w:val="Appendix1"/>
        <w:pageBreakBefore/>
        <w:ind w:left="851" w:hanging="851"/>
      </w:pPr>
      <w:bookmarkStart w:id="1010" w:name="_Ref4421838"/>
      <w:bookmarkStart w:id="1011" w:name="_Toc10703563"/>
      <w:r>
        <w:lastRenderedPageBreak/>
        <w:t>Demerit Points Table in Schedule 3 to proposed Regulations</w:t>
      </w:r>
      <w:bookmarkEnd w:id="994"/>
      <w:bookmarkEnd w:id="1010"/>
      <w:bookmarkEnd w:id="1011"/>
    </w:p>
    <w:p w14:paraId="678F92E1" w14:textId="64DCFAA6" w:rsidR="00432FA9" w:rsidRDefault="00D90571" w:rsidP="00D90571">
      <w:pPr>
        <w:pStyle w:val="Caption"/>
        <w:rPr>
          <w:i/>
        </w:rPr>
      </w:pPr>
      <w:bookmarkStart w:id="1012" w:name="_Toc10703773"/>
      <w:r>
        <w:t xml:space="preserve">Table </w:t>
      </w:r>
      <w:r w:rsidR="00F42E74">
        <w:rPr>
          <w:noProof/>
        </w:rPr>
        <w:fldChar w:fldCharType="begin"/>
      </w:r>
      <w:r w:rsidR="00F42E74">
        <w:rPr>
          <w:noProof/>
        </w:rPr>
        <w:instrText xml:space="preserve"> SEQ Table \* ARABIC </w:instrText>
      </w:r>
      <w:r w:rsidR="00F42E74">
        <w:rPr>
          <w:noProof/>
        </w:rPr>
        <w:fldChar w:fldCharType="separate"/>
      </w:r>
      <w:r w:rsidR="00EB4B02">
        <w:rPr>
          <w:noProof/>
        </w:rPr>
        <w:t>80</w:t>
      </w:r>
      <w:r w:rsidR="00F42E74">
        <w:rPr>
          <w:noProof/>
        </w:rPr>
        <w:fldChar w:fldCharType="end"/>
      </w:r>
      <w:r>
        <w:t xml:space="preserve"> - </w:t>
      </w:r>
      <w:r w:rsidRPr="00246B5F">
        <w:t>Demerit Points Table in Schedule 3 to proposed Regulations</w:t>
      </w:r>
      <w:bookmarkEnd w:id="1012"/>
    </w:p>
    <w:tbl>
      <w:tblPr>
        <w:tblStyle w:val="RIS-Table2"/>
        <w:tblW w:w="0" w:type="auto"/>
        <w:tblLook w:val="04A0" w:firstRow="1" w:lastRow="0" w:firstColumn="1" w:lastColumn="0" w:noHBand="0" w:noVBand="1"/>
      </w:tblPr>
      <w:tblGrid>
        <w:gridCol w:w="704"/>
        <w:gridCol w:w="3940"/>
        <w:gridCol w:w="3006"/>
        <w:gridCol w:w="1639"/>
      </w:tblGrid>
      <w:tr w:rsidR="005E5EA9" w14:paraId="6CDD032A" w14:textId="77777777" w:rsidTr="005E5EA9">
        <w:trPr>
          <w:cnfStyle w:val="100000000000" w:firstRow="1" w:lastRow="0" w:firstColumn="0" w:lastColumn="0" w:oddVBand="0" w:evenVBand="0" w:oddHBand="0" w:evenHBand="0" w:firstRowFirstColumn="0" w:firstRowLastColumn="0" w:lastRowFirstColumn="0" w:lastRowLastColumn="0"/>
        </w:trPr>
        <w:tc>
          <w:tcPr>
            <w:tcW w:w="704" w:type="dxa"/>
          </w:tcPr>
          <w:p w14:paraId="0A029CEE" w14:textId="77777777" w:rsidR="005E5EA9" w:rsidRDefault="005E5EA9" w:rsidP="005E5EA9">
            <w:pPr>
              <w:pStyle w:val="TableHeaders"/>
            </w:pPr>
            <w:r>
              <w:t>Item</w:t>
            </w:r>
          </w:p>
        </w:tc>
        <w:tc>
          <w:tcPr>
            <w:tcW w:w="3940" w:type="dxa"/>
          </w:tcPr>
          <w:p w14:paraId="214B0C1D" w14:textId="77777777" w:rsidR="005E5EA9" w:rsidRDefault="005E5EA9" w:rsidP="005E5EA9">
            <w:pPr>
              <w:pStyle w:val="TableHeaders"/>
            </w:pPr>
            <w:r>
              <w:t>Offence Description</w:t>
            </w:r>
          </w:p>
        </w:tc>
        <w:tc>
          <w:tcPr>
            <w:tcW w:w="3006" w:type="dxa"/>
          </w:tcPr>
          <w:p w14:paraId="571C6A1C" w14:textId="77777777" w:rsidR="005E5EA9" w:rsidRDefault="005E5EA9" w:rsidP="005E5EA9">
            <w:pPr>
              <w:pStyle w:val="TableHeaders"/>
            </w:pPr>
            <w:r>
              <w:t>Reference</w:t>
            </w:r>
          </w:p>
        </w:tc>
        <w:tc>
          <w:tcPr>
            <w:tcW w:w="1639" w:type="dxa"/>
          </w:tcPr>
          <w:p w14:paraId="781F8923" w14:textId="77777777" w:rsidR="005E5EA9" w:rsidRDefault="005E5EA9" w:rsidP="005E5EA9">
            <w:pPr>
              <w:pStyle w:val="TableHeaders"/>
            </w:pPr>
            <w:r>
              <w:t>Demerit Points</w:t>
            </w:r>
          </w:p>
        </w:tc>
      </w:tr>
      <w:tr w:rsidR="005E5EA9" w14:paraId="6DC81DF5" w14:textId="77777777" w:rsidTr="005E5EA9">
        <w:tc>
          <w:tcPr>
            <w:tcW w:w="704" w:type="dxa"/>
          </w:tcPr>
          <w:p w14:paraId="75CF6168" w14:textId="77777777" w:rsidR="005E5EA9" w:rsidRDefault="005E5EA9" w:rsidP="005E5EA9">
            <w:pPr>
              <w:pStyle w:val="TableParagraph"/>
              <w:jc w:val="center"/>
            </w:pPr>
            <w:r>
              <w:t>1</w:t>
            </w:r>
          </w:p>
        </w:tc>
        <w:tc>
          <w:tcPr>
            <w:tcW w:w="3940" w:type="dxa"/>
          </w:tcPr>
          <w:p w14:paraId="2FD8DC6D" w14:textId="77777777" w:rsidR="005E5EA9" w:rsidRDefault="006C6711" w:rsidP="005E5EA9">
            <w:pPr>
              <w:pStyle w:val="TableParagraph"/>
            </w:pPr>
            <w:r w:rsidRPr="006C6711">
              <w:t>Failing to stop or give way, or remain stopped, at a level crossing or unlawfully entering a level crossing</w:t>
            </w:r>
          </w:p>
        </w:tc>
        <w:tc>
          <w:tcPr>
            <w:tcW w:w="3006" w:type="dxa"/>
          </w:tcPr>
          <w:p w14:paraId="2D8D0F00" w14:textId="77777777" w:rsidR="005E5EA9" w:rsidRDefault="00205B32" w:rsidP="005E5EA9">
            <w:pPr>
              <w:pStyle w:val="TableParagraph"/>
            </w:pPr>
            <w:r w:rsidRPr="00205B32">
              <w:rPr>
                <w:i/>
              </w:rPr>
              <w:t>RSA</w:t>
            </w:r>
            <w:r w:rsidRPr="00205B32">
              <w:t xml:space="preserve"> 68B, RR 121, 122, 123, 124</w:t>
            </w:r>
          </w:p>
        </w:tc>
        <w:tc>
          <w:tcPr>
            <w:tcW w:w="1639" w:type="dxa"/>
          </w:tcPr>
          <w:p w14:paraId="17853ED5" w14:textId="77777777" w:rsidR="005E5EA9" w:rsidRDefault="0091495B" w:rsidP="0091495B">
            <w:pPr>
              <w:pStyle w:val="TableParagraph"/>
              <w:jc w:val="center"/>
            </w:pPr>
            <w:r>
              <w:t>4</w:t>
            </w:r>
          </w:p>
        </w:tc>
      </w:tr>
      <w:tr w:rsidR="005E5EA9" w14:paraId="5A7105F1"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31324321" w14:textId="77777777" w:rsidR="005E5EA9" w:rsidRDefault="005E5EA9" w:rsidP="005E5EA9">
            <w:pPr>
              <w:pStyle w:val="TableParagraph"/>
              <w:jc w:val="center"/>
            </w:pPr>
            <w:r>
              <w:t>2</w:t>
            </w:r>
          </w:p>
        </w:tc>
        <w:tc>
          <w:tcPr>
            <w:tcW w:w="3940" w:type="dxa"/>
          </w:tcPr>
          <w:p w14:paraId="70461E07" w14:textId="77777777" w:rsidR="006C6711" w:rsidRDefault="006C6711" w:rsidP="006C6711">
            <w:pPr>
              <w:pStyle w:val="TableParagraph"/>
            </w:pPr>
            <w:r>
              <w:t>Driving fatigue-regulated vehicle in contravention of maximum work requirement</w:t>
            </w:r>
          </w:p>
          <w:p w14:paraId="4CFAF8F7" w14:textId="77777777" w:rsidR="005E5EA9" w:rsidRDefault="006C6711" w:rsidP="006C6711">
            <w:pPr>
              <w:pStyle w:val="TableParagraph"/>
            </w:pPr>
            <w:r>
              <w:t>—critical risk breach</w:t>
            </w:r>
          </w:p>
        </w:tc>
        <w:tc>
          <w:tcPr>
            <w:tcW w:w="3006" w:type="dxa"/>
          </w:tcPr>
          <w:p w14:paraId="532DF079" w14:textId="77777777" w:rsidR="005E5EA9" w:rsidRDefault="00205B32" w:rsidP="005E5EA9">
            <w:pPr>
              <w:pStyle w:val="TableParagraph"/>
            </w:pPr>
            <w:r w:rsidRPr="00205B32">
              <w:t>HVNL 250(1)(a), 251(1)(a), 254(1)(a), 256(1)(a), 258(1)(a), 260(1)(a)</w:t>
            </w:r>
          </w:p>
        </w:tc>
        <w:tc>
          <w:tcPr>
            <w:tcW w:w="1639" w:type="dxa"/>
          </w:tcPr>
          <w:p w14:paraId="246F3C82" w14:textId="77777777" w:rsidR="005E5EA9" w:rsidRDefault="0091495B" w:rsidP="0091495B">
            <w:pPr>
              <w:pStyle w:val="TableParagraph"/>
              <w:jc w:val="center"/>
            </w:pPr>
            <w:r>
              <w:t>4</w:t>
            </w:r>
          </w:p>
        </w:tc>
      </w:tr>
      <w:tr w:rsidR="005E5EA9" w14:paraId="76C72EC5" w14:textId="77777777" w:rsidTr="005E5EA9">
        <w:tc>
          <w:tcPr>
            <w:tcW w:w="704" w:type="dxa"/>
          </w:tcPr>
          <w:p w14:paraId="3CFDC9AA" w14:textId="77777777" w:rsidR="005E5EA9" w:rsidRDefault="005E5EA9" w:rsidP="005E5EA9">
            <w:pPr>
              <w:pStyle w:val="TableParagraph"/>
              <w:jc w:val="center"/>
            </w:pPr>
            <w:r>
              <w:t>3</w:t>
            </w:r>
          </w:p>
        </w:tc>
        <w:tc>
          <w:tcPr>
            <w:tcW w:w="3940" w:type="dxa"/>
          </w:tcPr>
          <w:p w14:paraId="6F2E53CD" w14:textId="77777777" w:rsidR="006C6711" w:rsidRDefault="006C6711" w:rsidP="006C6711">
            <w:pPr>
              <w:pStyle w:val="TableParagraph"/>
            </w:pPr>
            <w:r>
              <w:t>Driving fatigue-regulated vehicle in contravention of minimum rest requirement</w:t>
            </w:r>
          </w:p>
          <w:p w14:paraId="5F51BF87" w14:textId="77777777" w:rsidR="005E5EA9" w:rsidRDefault="006C6711" w:rsidP="006C6711">
            <w:pPr>
              <w:pStyle w:val="TableParagraph"/>
            </w:pPr>
            <w:r>
              <w:t>—critical risk breach</w:t>
            </w:r>
          </w:p>
        </w:tc>
        <w:tc>
          <w:tcPr>
            <w:tcW w:w="3006" w:type="dxa"/>
          </w:tcPr>
          <w:p w14:paraId="5E2D9926" w14:textId="77777777" w:rsidR="005E5EA9" w:rsidRDefault="00205B32" w:rsidP="005E5EA9">
            <w:pPr>
              <w:pStyle w:val="TableParagraph"/>
            </w:pPr>
            <w:r w:rsidRPr="00205B32">
              <w:t>HVNL 250(1)(b), 251(1)(b), 254(1)(b), 256(1)(b), 258(1)(b), 260(1)(b)</w:t>
            </w:r>
          </w:p>
        </w:tc>
        <w:tc>
          <w:tcPr>
            <w:tcW w:w="1639" w:type="dxa"/>
          </w:tcPr>
          <w:p w14:paraId="1659315B" w14:textId="77777777" w:rsidR="005E5EA9" w:rsidRDefault="0091495B" w:rsidP="0091495B">
            <w:pPr>
              <w:pStyle w:val="TableParagraph"/>
              <w:jc w:val="center"/>
            </w:pPr>
            <w:r>
              <w:t>4</w:t>
            </w:r>
          </w:p>
        </w:tc>
      </w:tr>
      <w:tr w:rsidR="005E5EA9" w14:paraId="6DDF6A8B"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525A3D0B" w14:textId="77777777" w:rsidR="005E5EA9" w:rsidRDefault="005E5EA9" w:rsidP="005E5EA9">
            <w:pPr>
              <w:pStyle w:val="TableParagraph"/>
              <w:jc w:val="center"/>
            </w:pPr>
            <w:r>
              <w:t>4</w:t>
            </w:r>
          </w:p>
        </w:tc>
        <w:tc>
          <w:tcPr>
            <w:tcW w:w="3940" w:type="dxa"/>
          </w:tcPr>
          <w:p w14:paraId="6AE4A40A" w14:textId="77777777" w:rsidR="005E5EA9" w:rsidRDefault="006C6711" w:rsidP="005E5EA9">
            <w:pPr>
              <w:pStyle w:val="TableParagraph"/>
            </w:pPr>
            <w:r w:rsidRPr="006C6711">
              <w:t>Drive motor vehicle with TV or visual display unit that is visible to driver or likely to distract another driver</w:t>
            </w:r>
          </w:p>
        </w:tc>
        <w:tc>
          <w:tcPr>
            <w:tcW w:w="3006" w:type="dxa"/>
          </w:tcPr>
          <w:p w14:paraId="6075F3B0" w14:textId="77777777" w:rsidR="005E5EA9" w:rsidRDefault="00205B32" w:rsidP="005E5EA9">
            <w:pPr>
              <w:pStyle w:val="TableParagraph"/>
            </w:pPr>
            <w:r w:rsidRPr="00205B32">
              <w:t>RR 299(1)</w:t>
            </w:r>
          </w:p>
        </w:tc>
        <w:tc>
          <w:tcPr>
            <w:tcW w:w="1639" w:type="dxa"/>
          </w:tcPr>
          <w:p w14:paraId="2812A20C" w14:textId="77777777" w:rsidR="005E5EA9" w:rsidRDefault="0091495B" w:rsidP="0091495B">
            <w:pPr>
              <w:pStyle w:val="TableParagraph"/>
              <w:jc w:val="center"/>
            </w:pPr>
            <w:r>
              <w:t>4</w:t>
            </w:r>
          </w:p>
        </w:tc>
      </w:tr>
      <w:tr w:rsidR="005E5EA9" w14:paraId="14EFE08A" w14:textId="77777777" w:rsidTr="005E5EA9">
        <w:tc>
          <w:tcPr>
            <w:tcW w:w="704" w:type="dxa"/>
          </w:tcPr>
          <w:p w14:paraId="2F073B93" w14:textId="77777777" w:rsidR="005E5EA9" w:rsidRDefault="005E5EA9" w:rsidP="005E5EA9">
            <w:pPr>
              <w:pStyle w:val="TableParagraph"/>
              <w:jc w:val="center"/>
            </w:pPr>
            <w:r>
              <w:t>5</w:t>
            </w:r>
          </w:p>
        </w:tc>
        <w:tc>
          <w:tcPr>
            <w:tcW w:w="3940" w:type="dxa"/>
          </w:tcPr>
          <w:p w14:paraId="43855197" w14:textId="77777777" w:rsidR="005E5EA9" w:rsidRDefault="00F943B0" w:rsidP="005E5EA9">
            <w:pPr>
              <w:pStyle w:val="TableParagraph"/>
            </w:pPr>
            <w:r w:rsidRPr="00F943B0">
              <w:t>Using a mobile phone when prohibited from doing so</w:t>
            </w:r>
          </w:p>
        </w:tc>
        <w:tc>
          <w:tcPr>
            <w:tcW w:w="3006" w:type="dxa"/>
          </w:tcPr>
          <w:p w14:paraId="6C97E9DD" w14:textId="77777777" w:rsidR="005E5EA9" w:rsidRDefault="00205B32" w:rsidP="005E5EA9">
            <w:pPr>
              <w:pStyle w:val="TableParagraph"/>
            </w:pPr>
            <w:r w:rsidRPr="00205B32">
              <w:t>RR 300(1), 300(1A)</w:t>
            </w:r>
          </w:p>
        </w:tc>
        <w:tc>
          <w:tcPr>
            <w:tcW w:w="1639" w:type="dxa"/>
          </w:tcPr>
          <w:p w14:paraId="1AF3C597" w14:textId="77777777" w:rsidR="005E5EA9" w:rsidRDefault="0091495B" w:rsidP="0091495B">
            <w:pPr>
              <w:pStyle w:val="TableParagraph"/>
              <w:jc w:val="center"/>
            </w:pPr>
            <w:r>
              <w:t>4</w:t>
            </w:r>
          </w:p>
        </w:tc>
      </w:tr>
      <w:tr w:rsidR="00205B32" w14:paraId="4712F6AF"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5185C7D4" w14:textId="77777777" w:rsidR="00205B32" w:rsidRDefault="00205B32" w:rsidP="00205B32">
            <w:pPr>
              <w:pStyle w:val="TableParagraph"/>
              <w:jc w:val="center"/>
            </w:pPr>
            <w:r>
              <w:t>6</w:t>
            </w:r>
          </w:p>
        </w:tc>
        <w:tc>
          <w:tcPr>
            <w:tcW w:w="3940" w:type="dxa"/>
          </w:tcPr>
          <w:p w14:paraId="144FE49D" w14:textId="77777777" w:rsidR="00205B32" w:rsidRDefault="00205B32" w:rsidP="00205B32">
            <w:pPr>
              <w:pStyle w:val="TableParagraph"/>
            </w:pPr>
            <w:r w:rsidRPr="00F943B0">
              <w:t>Disobeying traffic lights, sign or traffic directions of police officer or authorised person</w:t>
            </w:r>
          </w:p>
        </w:tc>
        <w:tc>
          <w:tcPr>
            <w:tcW w:w="3006" w:type="dxa"/>
          </w:tcPr>
          <w:p w14:paraId="58021148" w14:textId="77777777" w:rsidR="00205B32" w:rsidRDefault="00205B32" w:rsidP="00205B32">
            <w:pPr>
              <w:pStyle w:val="TableParagraph"/>
            </w:pPr>
            <w:r w:rsidRPr="009C0AC8">
              <w:rPr>
                <w:i/>
              </w:rPr>
              <w:t>RSA</w:t>
            </w:r>
            <w:r w:rsidRPr="00205B32">
              <w:t xml:space="preserve"> 59(2), RR 56(1), 56(2), 57(1), 57(2), 57(3), 59(1), 60, 60A(1), 60A(2), 61(2), 61(5), 64, 65(2), 66(1), 66(4), 67(1), 68(1), 69(1), 70, 71(1), 93(1), 94, 95(1), 98(1), 100, 101(1), 101(2), 115(1), 152(1), 281, 282, 284, 286(2), 286(3), 304(1)</w:t>
            </w:r>
          </w:p>
        </w:tc>
        <w:tc>
          <w:tcPr>
            <w:tcW w:w="1639" w:type="dxa"/>
          </w:tcPr>
          <w:p w14:paraId="625DE47A" w14:textId="77777777" w:rsidR="00205B32" w:rsidRDefault="00205B32" w:rsidP="00205B32">
            <w:pPr>
              <w:pStyle w:val="TableParagraph"/>
              <w:jc w:val="center"/>
            </w:pPr>
            <w:r>
              <w:t>3</w:t>
            </w:r>
          </w:p>
        </w:tc>
      </w:tr>
      <w:tr w:rsidR="00205B32" w14:paraId="4A59C975" w14:textId="77777777" w:rsidTr="005E5EA9">
        <w:tc>
          <w:tcPr>
            <w:tcW w:w="704" w:type="dxa"/>
          </w:tcPr>
          <w:p w14:paraId="3D8E73A9" w14:textId="77777777" w:rsidR="00205B32" w:rsidRDefault="00205B32" w:rsidP="00205B32">
            <w:pPr>
              <w:pStyle w:val="TableParagraph"/>
              <w:jc w:val="center"/>
            </w:pPr>
            <w:r>
              <w:t>7</w:t>
            </w:r>
          </w:p>
        </w:tc>
        <w:tc>
          <w:tcPr>
            <w:tcW w:w="3940" w:type="dxa"/>
          </w:tcPr>
          <w:p w14:paraId="1CF7FD4D" w14:textId="77777777" w:rsidR="00205B32" w:rsidRDefault="00205B32" w:rsidP="00205B32">
            <w:pPr>
              <w:pStyle w:val="TableParagraph"/>
            </w:pPr>
            <w:r w:rsidRPr="00F943B0">
              <w:t>Failing to give way, or stop or remain stopped</w:t>
            </w:r>
          </w:p>
        </w:tc>
        <w:tc>
          <w:tcPr>
            <w:tcW w:w="3006" w:type="dxa"/>
          </w:tcPr>
          <w:p w14:paraId="70BD43D1" w14:textId="77777777" w:rsidR="00205B32" w:rsidRDefault="00205B32" w:rsidP="00205B32">
            <w:pPr>
              <w:pStyle w:val="TableParagraph"/>
            </w:pPr>
            <w:r w:rsidRPr="00205B32">
              <w:t>RR 38, 62(1), 63(2), 63(3), 72(1), 73(1), 74(1), 75(1), 77(1), 78(1), 78(2), 79(1), 80(2), 80(3), 80(4), 81(2), 82, 83, 84, 87(1), 114(1), 114(2), 115(1)</w:t>
            </w:r>
          </w:p>
        </w:tc>
        <w:tc>
          <w:tcPr>
            <w:tcW w:w="1639" w:type="dxa"/>
          </w:tcPr>
          <w:p w14:paraId="27DFA8C1" w14:textId="77777777" w:rsidR="00205B32" w:rsidRDefault="00205B32" w:rsidP="00205B32">
            <w:pPr>
              <w:pStyle w:val="TableParagraph"/>
              <w:jc w:val="center"/>
            </w:pPr>
            <w:r>
              <w:t>3</w:t>
            </w:r>
          </w:p>
        </w:tc>
      </w:tr>
      <w:tr w:rsidR="00205B32" w14:paraId="0BE58B67"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71926312" w14:textId="77777777" w:rsidR="00205B32" w:rsidRDefault="00205B32" w:rsidP="00205B32">
            <w:pPr>
              <w:pStyle w:val="TableParagraph"/>
              <w:jc w:val="center"/>
            </w:pPr>
            <w:r>
              <w:t>8</w:t>
            </w:r>
          </w:p>
        </w:tc>
        <w:tc>
          <w:tcPr>
            <w:tcW w:w="3940" w:type="dxa"/>
          </w:tcPr>
          <w:p w14:paraId="17EF9404" w14:textId="77777777" w:rsidR="00205B32" w:rsidRDefault="00205B32" w:rsidP="00205B32">
            <w:pPr>
              <w:pStyle w:val="TableParagraph"/>
            </w:pPr>
            <w:r w:rsidRPr="00F943B0">
              <w:t>Driving with unrestrained passengers under the age of 16 years</w:t>
            </w:r>
          </w:p>
        </w:tc>
        <w:tc>
          <w:tcPr>
            <w:tcW w:w="3006" w:type="dxa"/>
          </w:tcPr>
          <w:p w14:paraId="5D0E1546" w14:textId="77777777" w:rsidR="00205B32" w:rsidRDefault="009C0AC8" w:rsidP="00205B32">
            <w:pPr>
              <w:pStyle w:val="TableParagraph"/>
            </w:pPr>
            <w:r w:rsidRPr="009C0AC8">
              <w:t>RR 266(1)</w:t>
            </w:r>
          </w:p>
        </w:tc>
        <w:tc>
          <w:tcPr>
            <w:tcW w:w="1639" w:type="dxa"/>
          </w:tcPr>
          <w:p w14:paraId="005304A3" w14:textId="77777777" w:rsidR="00205B32" w:rsidRDefault="00205B32" w:rsidP="00205B32">
            <w:pPr>
              <w:pStyle w:val="TableParagraph"/>
              <w:jc w:val="center"/>
            </w:pPr>
            <w:r>
              <w:t>3</w:t>
            </w:r>
          </w:p>
        </w:tc>
      </w:tr>
      <w:tr w:rsidR="00205B32" w14:paraId="14D7A099" w14:textId="77777777" w:rsidTr="005E5EA9">
        <w:tc>
          <w:tcPr>
            <w:tcW w:w="704" w:type="dxa"/>
          </w:tcPr>
          <w:p w14:paraId="0021AC04" w14:textId="77777777" w:rsidR="00205B32" w:rsidRDefault="00205B32" w:rsidP="00205B32">
            <w:pPr>
              <w:pStyle w:val="TableParagraph"/>
              <w:jc w:val="center"/>
            </w:pPr>
            <w:r>
              <w:t>9</w:t>
            </w:r>
          </w:p>
        </w:tc>
        <w:tc>
          <w:tcPr>
            <w:tcW w:w="3940" w:type="dxa"/>
          </w:tcPr>
          <w:p w14:paraId="26D0BCC8" w14:textId="77777777" w:rsidR="00205B32" w:rsidRDefault="00205B32" w:rsidP="00205B32">
            <w:pPr>
              <w:pStyle w:val="TableParagraph"/>
            </w:pPr>
            <w:r w:rsidRPr="00F943B0">
              <w:t>Driving with unrestrained passenger 16 years old and above</w:t>
            </w:r>
          </w:p>
        </w:tc>
        <w:tc>
          <w:tcPr>
            <w:tcW w:w="3006" w:type="dxa"/>
          </w:tcPr>
          <w:p w14:paraId="30E71D1A" w14:textId="77777777" w:rsidR="00205B32" w:rsidRDefault="009C0AC8" w:rsidP="00205B32">
            <w:pPr>
              <w:pStyle w:val="TableParagraph"/>
            </w:pPr>
            <w:r w:rsidRPr="009C0AC8">
              <w:t>RR 265(4)</w:t>
            </w:r>
          </w:p>
        </w:tc>
        <w:tc>
          <w:tcPr>
            <w:tcW w:w="1639" w:type="dxa"/>
          </w:tcPr>
          <w:p w14:paraId="2D544494" w14:textId="77777777" w:rsidR="00205B32" w:rsidRDefault="00205B32" w:rsidP="00205B32">
            <w:pPr>
              <w:pStyle w:val="TableParagraph"/>
              <w:jc w:val="center"/>
            </w:pPr>
            <w:r>
              <w:t>3</w:t>
            </w:r>
          </w:p>
        </w:tc>
      </w:tr>
      <w:tr w:rsidR="00205B32" w14:paraId="01333FC5"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2F38B99B" w14:textId="77777777" w:rsidR="00205B32" w:rsidRDefault="00205B32" w:rsidP="00205B32">
            <w:pPr>
              <w:pStyle w:val="TableParagraph"/>
              <w:jc w:val="center"/>
            </w:pPr>
            <w:r>
              <w:t>10</w:t>
            </w:r>
          </w:p>
        </w:tc>
        <w:tc>
          <w:tcPr>
            <w:tcW w:w="3940" w:type="dxa"/>
          </w:tcPr>
          <w:p w14:paraId="2E352AFE" w14:textId="77777777" w:rsidR="00205B32" w:rsidRDefault="00205B32" w:rsidP="00205B32">
            <w:pPr>
              <w:pStyle w:val="TableParagraph"/>
            </w:pPr>
            <w:r w:rsidRPr="00F943B0">
              <w:t>Drive with a passenger in or on part of vehicle not designed for passengers or goods</w:t>
            </w:r>
          </w:p>
        </w:tc>
        <w:tc>
          <w:tcPr>
            <w:tcW w:w="3006" w:type="dxa"/>
          </w:tcPr>
          <w:p w14:paraId="48BF0C88" w14:textId="77777777" w:rsidR="00205B32" w:rsidRDefault="009C0AC8" w:rsidP="00205B32">
            <w:pPr>
              <w:pStyle w:val="TableParagraph"/>
            </w:pPr>
            <w:r w:rsidRPr="009C0AC8">
              <w:t>RR 268(4A), 268(4B)</w:t>
            </w:r>
          </w:p>
        </w:tc>
        <w:tc>
          <w:tcPr>
            <w:tcW w:w="1639" w:type="dxa"/>
          </w:tcPr>
          <w:p w14:paraId="64508CB7" w14:textId="77777777" w:rsidR="00205B32" w:rsidRDefault="00205B32" w:rsidP="00205B32">
            <w:pPr>
              <w:pStyle w:val="TableParagraph"/>
              <w:jc w:val="center"/>
            </w:pPr>
            <w:r>
              <w:t>3</w:t>
            </w:r>
          </w:p>
        </w:tc>
      </w:tr>
      <w:tr w:rsidR="00205B32" w14:paraId="70D8275D" w14:textId="77777777" w:rsidTr="005E5EA9">
        <w:tc>
          <w:tcPr>
            <w:tcW w:w="704" w:type="dxa"/>
          </w:tcPr>
          <w:p w14:paraId="262222A3" w14:textId="77777777" w:rsidR="00205B32" w:rsidRDefault="00205B32" w:rsidP="00205B32">
            <w:pPr>
              <w:pStyle w:val="TableParagraph"/>
              <w:jc w:val="center"/>
            </w:pPr>
            <w:r>
              <w:t>11</w:t>
            </w:r>
          </w:p>
        </w:tc>
        <w:tc>
          <w:tcPr>
            <w:tcW w:w="3940" w:type="dxa"/>
          </w:tcPr>
          <w:p w14:paraId="0697984B" w14:textId="77777777" w:rsidR="00205B32" w:rsidRDefault="00205B32" w:rsidP="00205B32">
            <w:pPr>
              <w:pStyle w:val="TableParagraph"/>
            </w:pPr>
            <w:r w:rsidRPr="00F943B0">
              <w:t>Driving in contravention of a condition of a major defect notice</w:t>
            </w:r>
          </w:p>
        </w:tc>
        <w:tc>
          <w:tcPr>
            <w:tcW w:w="3006" w:type="dxa"/>
          </w:tcPr>
          <w:p w14:paraId="00BA2265" w14:textId="77777777" w:rsidR="00205B32" w:rsidRDefault="009C0AC8" w:rsidP="00205B32">
            <w:pPr>
              <w:pStyle w:val="TableParagraph"/>
            </w:pPr>
            <w:r w:rsidRPr="009C0AC8">
              <w:t>RS(V)R 240(1), HVNL 529</w:t>
            </w:r>
          </w:p>
        </w:tc>
        <w:tc>
          <w:tcPr>
            <w:tcW w:w="1639" w:type="dxa"/>
          </w:tcPr>
          <w:p w14:paraId="7FC62DCE" w14:textId="77777777" w:rsidR="00205B32" w:rsidRDefault="00205B32" w:rsidP="00205B32">
            <w:pPr>
              <w:pStyle w:val="TableParagraph"/>
              <w:jc w:val="center"/>
            </w:pPr>
            <w:r>
              <w:t>3</w:t>
            </w:r>
          </w:p>
        </w:tc>
      </w:tr>
      <w:tr w:rsidR="00205B32" w14:paraId="4F577AEC"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2F6B2195" w14:textId="77777777" w:rsidR="00205B32" w:rsidRDefault="00205B32" w:rsidP="00205B32">
            <w:pPr>
              <w:pStyle w:val="TableParagraph"/>
              <w:jc w:val="center"/>
            </w:pPr>
            <w:r>
              <w:t>12</w:t>
            </w:r>
          </w:p>
        </w:tc>
        <w:tc>
          <w:tcPr>
            <w:tcW w:w="3940" w:type="dxa"/>
          </w:tcPr>
          <w:p w14:paraId="3BF42247" w14:textId="77777777" w:rsidR="00205B32" w:rsidRDefault="00205B32" w:rsidP="00205B32">
            <w:pPr>
              <w:pStyle w:val="TableParagraph"/>
            </w:pPr>
            <w:r w:rsidRPr="0032702B">
              <w:t>Driving on wrong side of double lines, or on wrong side of divided road</w:t>
            </w:r>
          </w:p>
        </w:tc>
        <w:tc>
          <w:tcPr>
            <w:tcW w:w="3006" w:type="dxa"/>
          </w:tcPr>
          <w:p w14:paraId="1FD3CCC5" w14:textId="77777777" w:rsidR="00205B32" w:rsidRDefault="009C0AC8" w:rsidP="00205B32">
            <w:pPr>
              <w:pStyle w:val="TableParagraph"/>
            </w:pPr>
            <w:r w:rsidRPr="009C0AC8">
              <w:t>RR 132(2), 132(2A), 135</w:t>
            </w:r>
          </w:p>
        </w:tc>
        <w:tc>
          <w:tcPr>
            <w:tcW w:w="1639" w:type="dxa"/>
          </w:tcPr>
          <w:p w14:paraId="1B636647" w14:textId="77777777" w:rsidR="00205B32" w:rsidRDefault="00205B32" w:rsidP="00205B32">
            <w:pPr>
              <w:pStyle w:val="TableParagraph"/>
              <w:jc w:val="center"/>
            </w:pPr>
            <w:r>
              <w:t>3</w:t>
            </w:r>
          </w:p>
        </w:tc>
      </w:tr>
      <w:tr w:rsidR="00205B32" w14:paraId="14FAE9D9" w14:textId="77777777" w:rsidTr="005E5EA9">
        <w:tc>
          <w:tcPr>
            <w:tcW w:w="704" w:type="dxa"/>
          </w:tcPr>
          <w:p w14:paraId="6A13945C" w14:textId="77777777" w:rsidR="00205B32" w:rsidRDefault="00205B32" w:rsidP="00205B32">
            <w:pPr>
              <w:pStyle w:val="TableParagraph"/>
              <w:jc w:val="center"/>
            </w:pPr>
            <w:r>
              <w:t>13</w:t>
            </w:r>
          </w:p>
        </w:tc>
        <w:tc>
          <w:tcPr>
            <w:tcW w:w="3940" w:type="dxa"/>
          </w:tcPr>
          <w:p w14:paraId="0C2F8B74" w14:textId="77777777" w:rsidR="00205B32" w:rsidRDefault="00205B32" w:rsidP="00205B32">
            <w:pPr>
              <w:pStyle w:val="TableParagraph"/>
            </w:pPr>
            <w:r w:rsidRPr="0032702B">
              <w:t>Driving wrong way on a one-way service road</w:t>
            </w:r>
          </w:p>
        </w:tc>
        <w:tc>
          <w:tcPr>
            <w:tcW w:w="3006" w:type="dxa"/>
          </w:tcPr>
          <w:p w14:paraId="1705A88D" w14:textId="77777777" w:rsidR="00205B32" w:rsidRDefault="009C0AC8" w:rsidP="00205B32">
            <w:pPr>
              <w:pStyle w:val="TableParagraph"/>
            </w:pPr>
            <w:r w:rsidRPr="009C0AC8">
              <w:t>RR 136</w:t>
            </w:r>
          </w:p>
        </w:tc>
        <w:tc>
          <w:tcPr>
            <w:tcW w:w="1639" w:type="dxa"/>
          </w:tcPr>
          <w:p w14:paraId="4F1FE0AB" w14:textId="77777777" w:rsidR="00205B32" w:rsidRDefault="00205B32" w:rsidP="00205B32">
            <w:pPr>
              <w:pStyle w:val="TableParagraph"/>
              <w:jc w:val="center"/>
            </w:pPr>
            <w:r>
              <w:t>3</w:t>
            </w:r>
          </w:p>
        </w:tc>
      </w:tr>
      <w:tr w:rsidR="00205B32" w14:paraId="7FD237CD"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78E9E89E" w14:textId="77777777" w:rsidR="00205B32" w:rsidRDefault="00205B32" w:rsidP="00205B32">
            <w:pPr>
              <w:pStyle w:val="TableParagraph"/>
              <w:jc w:val="center"/>
            </w:pPr>
            <w:r>
              <w:t>14</w:t>
            </w:r>
          </w:p>
        </w:tc>
        <w:tc>
          <w:tcPr>
            <w:tcW w:w="3940" w:type="dxa"/>
          </w:tcPr>
          <w:p w14:paraId="408DFDD8" w14:textId="77777777" w:rsidR="00205B32" w:rsidRDefault="00205B32" w:rsidP="00205B32">
            <w:pPr>
              <w:pStyle w:val="TableParagraph"/>
            </w:pPr>
            <w:r w:rsidRPr="0032702B">
              <w:t>Driving over double lines surrounding a painted island</w:t>
            </w:r>
          </w:p>
        </w:tc>
        <w:tc>
          <w:tcPr>
            <w:tcW w:w="3006" w:type="dxa"/>
          </w:tcPr>
          <w:p w14:paraId="22501878" w14:textId="77777777" w:rsidR="00205B32" w:rsidRDefault="009C0AC8" w:rsidP="00205B32">
            <w:pPr>
              <w:pStyle w:val="TableParagraph"/>
            </w:pPr>
            <w:r w:rsidRPr="009C0AC8">
              <w:t>RR 138</w:t>
            </w:r>
          </w:p>
        </w:tc>
        <w:tc>
          <w:tcPr>
            <w:tcW w:w="1639" w:type="dxa"/>
          </w:tcPr>
          <w:p w14:paraId="75C774A1" w14:textId="77777777" w:rsidR="00205B32" w:rsidRDefault="00205B32" w:rsidP="00205B32">
            <w:pPr>
              <w:pStyle w:val="TableParagraph"/>
              <w:jc w:val="center"/>
            </w:pPr>
            <w:r>
              <w:t>3</w:t>
            </w:r>
          </w:p>
        </w:tc>
      </w:tr>
      <w:tr w:rsidR="00205B32" w14:paraId="23FDBC89" w14:textId="77777777" w:rsidTr="005E5EA9">
        <w:tc>
          <w:tcPr>
            <w:tcW w:w="704" w:type="dxa"/>
          </w:tcPr>
          <w:p w14:paraId="3EB3A24B" w14:textId="77777777" w:rsidR="00205B32" w:rsidRDefault="00205B32" w:rsidP="00205B32">
            <w:pPr>
              <w:pStyle w:val="TableParagraph"/>
              <w:jc w:val="center"/>
            </w:pPr>
            <w:r>
              <w:t>15</w:t>
            </w:r>
          </w:p>
        </w:tc>
        <w:tc>
          <w:tcPr>
            <w:tcW w:w="3940" w:type="dxa"/>
          </w:tcPr>
          <w:p w14:paraId="0C65E39A" w14:textId="77777777" w:rsidR="00205B32" w:rsidRDefault="00205B32" w:rsidP="00205B32">
            <w:pPr>
              <w:pStyle w:val="TableParagraph"/>
            </w:pPr>
            <w:r w:rsidRPr="0032702B">
              <w:t>Using a vehicle on a highway without a properly affixed and displayed number plate</w:t>
            </w:r>
          </w:p>
        </w:tc>
        <w:tc>
          <w:tcPr>
            <w:tcW w:w="3006" w:type="dxa"/>
          </w:tcPr>
          <w:p w14:paraId="3BD941F1" w14:textId="77777777" w:rsidR="00205B32" w:rsidRDefault="009C0AC8" w:rsidP="00205B32">
            <w:pPr>
              <w:pStyle w:val="TableParagraph"/>
            </w:pPr>
            <w:r w:rsidRPr="009C0AC8">
              <w:t>RS(V)R 49</w:t>
            </w:r>
          </w:p>
        </w:tc>
        <w:tc>
          <w:tcPr>
            <w:tcW w:w="1639" w:type="dxa"/>
          </w:tcPr>
          <w:p w14:paraId="18C3A0D5" w14:textId="77777777" w:rsidR="00205B32" w:rsidRDefault="00205B32" w:rsidP="00205B32">
            <w:pPr>
              <w:pStyle w:val="TableParagraph"/>
              <w:jc w:val="center"/>
            </w:pPr>
            <w:r>
              <w:t>3</w:t>
            </w:r>
          </w:p>
        </w:tc>
      </w:tr>
      <w:tr w:rsidR="00205B32" w14:paraId="16E65FA7"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58368D3D" w14:textId="77777777" w:rsidR="00205B32" w:rsidRDefault="00205B32" w:rsidP="00205B32">
            <w:pPr>
              <w:pStyle w:val="TableParagraph"/>
              <w:jc w:val="center"/>
            </w:pPr>
            <w:r>
              <w:lastRenderedPageBreak/>
              <w:t>16</w:t>
            </w:r>
          </w:p>
        </w:tc>
        <w:tc>
          <w:tcPr>
            <w:tcW w:w="3940" w:type="dxa"/>
          </w:tcPr>
          <w:p w14:paraId="3FD54336" w14:textId="77777777" w:rsidR="00205B32" w:rsidRDefault="00205B32" w:rsidP="00205B32">
            <w:pPr>
              <w:pStyle w:val="TableParagraph"/>
            </w:pPr>
            <w:r w:rsidRPr="0032702B">
              <w:t>Driving without a seat belt</w:t>
            </w:r>
          </w:p>
        </w:tc>
        <w:tc>
          <w:tcPr>
            <w:tcW w:w="3006" w:type="dxa"/>
          </w:tcPr>
          <w:p w14:paraId="73805797" w14:textId="77777777" w:rsidR="00205B32" w:rsidRDefault="009C0AC8" w:rsidP="00205B32">
            <w:pPr>
              <w:pStyle w:val="TableParagraph"/>
            </w:pPr>
            <w:r w:rsidRPr="009C0AC8">
              <w:t>RR 264(1)</w:t>
            </w:r>
          </w:p>
        </w:tc>
        <w:tc>
          <w:tcPr>
            <w:tcW w:w="1639" w:type="dxa"/>
          </w:tcPr>
          <w:p w14:paraId="1DAD280E" w14:textId="77777777" w:rsidR="00205B32" w:rsidRDefault="00205B32" w:rsidP="00205B32">
            <w:pPr>
              <w:pStyle w:val="TableParagraph"/>
              <w:jc w:val="center"/>
            </w:pPr>
            <w:r>
              <w:t>3</w:t>
            </w:r>
          </w:p>
        </w:tc>
      </w:tr>
      <w:tr w:rsidR="00205B32" w14:paraId="1BB0AC79" w14:textId="77777777" w:rsidTr="005E5EA9">
        <w:tc>
          <w:tcPr>
            <w:tcW w:w="704" w:type="dxa"/>
          </w:tcPr>
          <w:p w14:paraId="1EF056D9" w14:textId="77777777" w:rsidR="00205B32" w:rsidRDefault="00205B32" w:rsidP="00205B32">
            <w:pPr>
              <w:pStyle w:val="TableParagraph"/>
              <w:jc w:val="center"/>
            </w:pPr>
            <w:r>
              <w:t>17</w:t>
            </w:r>
          </w:p>
        </w:tc>
        <w:tc>
          <w:tcPr>
            <w:tcW w:w="3940" w:type="dxa"/>
          </w:tcPr>
          <w:p w14:paraId="054079C2" w14:textId="77777777" w:rsidR="00205B32" w:rsidRDefault="00205B32" w:rsidP="00205B32">
            <w:pPr>
              <w:pStyle w:val="TableParagraph"/>
            </w:pPr>
            <w:r w:rsidRPr="0032702B">
              <w:t>Rider or passenger of motor bike not wearing approved motor bike helmet or improperly carrying pillion/sidecar passenger</w:t>
            </w:r>
          </w:p>
        </w:tc>
        <w:tc>
          <w:tcPr>
            <w:tcW w:w="3006" w:type="dxa"/>
          </w:tcPr>
          <w:p w14:paraId="158BC06D" w14:textId="77777777" w:rsidR="00205B32" w:rsidRDefault="009C0AC8" w:rsidP="00205B32">
            <w:pPr>
              <w:pStyle w:val="TableParagraph"/>
            </w:pPr>
            <w:r w:rsidRPr="009C0AC8">
              <w:t>RR 270(1), 271(3), 271(4), 271(5), 271(5A)</w:t>
            </w:r>
          </w:p>
        </w:tc>
        <w:tc>
          <w:tcPr>
            <w:tcW w:w="1639" w:type="dxa"/>
          </w:tcPr>
          <w:p w14:paraId="2D61CAE0" w14:textId="77777777" w:rsidR="00205B32" w:rsidRDefault="00205B32" w:rsidP="00205B32">
            <w:pPr>
              <w:pStyle w:val="TableParagraph"/>
              <w:jc w:val="center"/>
            </w:pPr>
            <w:r>
              <w:t>3</w:t>
            </w:r>
          </w:p>
        </w:tc>
      </w:tr>
      <w:tr w:rsidR="00205B32" w14:paraId="32901ECF"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63D5612A" w14:textId="77777777" w:rsidR="00205B32" w:rsidRDefault="00205B32" w:rsidP="00205B32">
            <w:pPr>
              <w:pStyle w:val="TableParagraph"/>
              <w:jc w:val="center"/>
            </w:pPr>
            <w:r>
              <w:t>18</w:t>
            </w:r>
          </w:p>
        </w:tc>
        <w:tc>
          <w:tcPr>
            <w:tcW w:w="3940" w:type="dxa"/>
          </w:tcPr>
          <w:p w14:paraId="0BFD85D7" w14:textId="77777777" w:rsidR="00205B32" w:rsidRDefault="00205B32" w:rsidP="00205B32">
            <w:pPr>
              <w:pStyle w:val="TableParagraph"/>
            </w:pPr>
            <w:r w:rsidRPr="0032702B">
              <w:t>Risk colliding with alighting, boarding or waiting tram passengers</w:t>
            </w:r>
          </w:p>
        </w:tc>
        <w:tc>
          <w:tcPr>
            <w:tcW w:w="3006" w:type="dxa"/>
          </w:tcPr>
          <w:p w14:paraId="18044D11" w14:textId="77777777" w:rsidR="00205B32" w:rsidRDefault="009C0AC8" w:rsidP="00205B32">
            <w:pPr>
              <w:pStyle w:val="TableParagraph"/>
            </w:pPr>
            <w:r w:rsidRPr="009C0AC8">
              <w:t>RR 162(1), 163(1), 164(1), 164A(1)</w:t>
            </w:r>
          </w:p>
        </w:tc>
        <w:tc>
          <w:tcPr>
            <w:tcW w:w="1639" w:type="dxa"/>
          </w:tcPr>
          <w:p w14:paraId="780D5559" w14:textId="77777777" w:rsidR="00205B32" w:rsidRDefault="00205B32" w:rsidP="00205B32">
            <w:pPr>
              <w:pStyle w:val="TableParagraph"/>
              <w:jc w:val="center"/>
            </w:pPr>
            <w:r>
              <w:t>3</w:t>
            </w:r>
          </w:p>
        </w:tc>
      </w:tr>
      <w:tr w:rsidR="00205B32" w14:paraId="509772F3" w14:textId="77777777" w:rsidTr="005E5EA9">
        <w:tc>
          <w:tcPr>
            <w:tcW w:w="704" w:type="dxa"/>
          </w:tcPr>
          <w:p w14:paraId="5DFABF31" w14:textId="77777777" w:rsidR="00205B32" w:rsidRDefault="00205B32" w:rsidP="00205B32">
            <w:pPr>
              <w:pStyle w:val="TableParagraph"/>
              <w:jc w:val="center"/>
            </w:pPr>
            <w:r>
              <w:t>19</w:t>
            </w:r>
          </w:p>
        </w:tc>
        <w:tc>
          <w:tcPr>
            <w:tcW w:w="3940" w:type="dxa"/>
          </w:tcPr>
          <w:p w14:paraId="7785AC64" w14:textId="77777777" w:rsidR="00205B32" w:rsidRDefault="00205B32" w:rsidP="00205B32">
            <w:pPr>
              <w:pStyle w:val="TableParagraph"/>
            </w:pPr>
            <w:r w:rsidRPr="0032702B">
              <w:t>Careless driving</w:t>
            </w:r>
          </w:p>
        </w:tc>
        <w:tc>
          <w:tcPr>
            <w:tcW w:w="3006" w:type="dxa"/>
          </w:tcPr>
          <w:p w14:paraId="5E336041" w14:textId="77777777" w:rsidR="00205B32" w:rsidRDefault="009C0AC8" w:rsidP="00205B32">
            <w:pPr>
              <w:pStyle w:val="TableParagraph"/>
            </w:pPr>
            <w:r w:rsidRPr="009C0AC8">
              <w:rPr>
                <w:i/>
              </w:rPr>
              <w:t>RSA</w:t>
            </w:r>
            <w:r w:rsidRPr="009C0AC8">
              <w:t xml:space="preserve"> 65</w:t>
            </w:r>
          </w:p>
        </w:tc>
        <w:tc>
          <w:tcPr>
            <w:tcW w:w="1639" w:type="dxa"/>
          </w:tcPr>
          <w:p w14:paraId="7400750D" w14:textId="77777777" w:rsidR="00205B32" w:rsidRDefault="00205B32" w:rsidP="00205B32">
            <w:pPr>
              <w:pStyle w:val="TableParagraph"/>
              <w:jc w:val="center"/>
            </w:pPr>
            <w:r>
              <w:t>3</w:t>
            </w:r>
          </w:p>
        </w:tc>
      </w:tr>
      <w:tr w:rsidR="00205B32" w14:paraId="0ADD7C3E"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5D21BE99" w14:textId="77777777" w:rsidR="00205B32" w:rsidRDefault="00205B32" w:rsidP="00205B32">
            <w:pPr>
              <w:pStyle w:val="TableParagraph"/>
              <w:jc w:val="center"/>
            </w:pPr>
            <w:r>
              <w:t>20</w:t>
            </w:r>
          </w:p>
        </w:tc>
        <w:tc>
          <w:tcPr>
            <w:tcW w:w="3940" w:type="dxa"/>
          </w:tcPr>
          <w:p w14:paraId="7299EA1E" w14:textId="77777777" w:rsidR="00205B32" w:rsidRDefault="00205B32" w:rsidP="00205B32">
            <w:pPr>
              <w:pStyle w:val="TableParagraph"/>
            </w:pPr>
            <w:r w:rsidRPr="0032702B">
              <w:t>Exceeding speed-limit by 10 km/h or more but less than 25 km/h (other than exceeding speed limit by 20km/h or more but less than 25 km/h, in circumstances where the speed limit applying to the driver is 100km/h)</w:t>
            </w:r>
          </w:p>
        </w:tc>
        <w:tc>
          <w:tcPr>
            <w:tcW w:w="3006" w:type="dxa"/>
          </w:tcPr>
          <w:p w14:paraId="15B76861" w14:textId="77777777" w:rsidR="00205B32" w:rsidRDefault="009C0AC8" w:rsidP="00205B32">
            <w:pPr>
              <w:pStyle w:val="TableParagraph"/>
            </w:pPr>
            <w:r w:rsidRPr="009C0AC8">
              <w:t>RR 20</w:t>
            </w:r>
          </w:p>
        </w:tc>
        <w:tc>
          <w:tcPr>
            <w:tcW w:w="1639" w:type="dxa"/>
          </w:tcPr>
          <w:p w14:paraId="382BFEDF" w14:textId="77777777" w:rsidR="00205B32" w:rsidRDefault="00205B32" w:rsidP="00205B32">
            <w:pPr>
              <w:pStyle w:val="TableParagraph"/>
              <w:jc w:val="center"/>
            </w:pPr>
            <w:r>
              <w:t>3</w:t>
            </w:r>
          </w:p>
        </w:tc>
      </w:tr>
      <w:tr w:rsidR="00205B32" w14:paraId="0F4175DB" w14:textId="77777777" w:rsidTr="005E5EA9">
        <w:tc>
          <w:tcPr>
            <w:tcW w:w="704" w:type="dxa"/>
          </w:tcPr>
          <w:p w14:paraId="6DF41815" w14:textId="77777777" w:rsidR="00205B32" w:rsidRDefault="00205B32" w:rsidP="00205B32">
            <w:pPr>
              <w:pStyle w:val="TableParagraph"/>
              <w:jc w:val="center"/>
            </w:pPr>
            <w:r>
              <w:t>21</w:t>
            </w:r>
          </w:p>
        </w:tc>
        <w:tc>
          <w:tcPr>
            <w:tcW w:w="3940" w:type="dxa"/>
          </w:tcPr>
          <w:p w14:paraId="484CDB5C" w14:textId="77777777" w:rsidR="00205B32" w:rsidRDefault="00205B32" w:rsidP="00205B32">
            <w:pPr>
              <w:pStyle w:val="TableParagraph"/>
            </w:pPr>
            <w:r w:rsidRPr="0032702B">
              <w:t>Learner driver driving a motor vehicle without a supervising driver sitting beside the driver</w:t>
            </w:r>
          </w:p>
        </w:tc>
        <w:tc>
          <w:tcPr>
            <w:tcW w:w="3006" w:type="dxa"/>
          </w:tcPr>
          <w:p w14:paraId="47882A78" w14:textId="77777777" w:rsidR="00205B32" w:rsidRDefault="009C0AC8" w:rsidP="00205B32">
            <w:pPr>
              <w:pStyle w:val="TableParagraph"/>
            </w:pPr>
            <w:r w:rsidRPr="009C0AC8">
              <w:t>RS(D)R 47(2)</w:t>
            </w:r>
          </w:p>
        </w:tc>
        <w:tc>
          <w:tcPr>
            <w:tcW w:w="1639" w:type="dxa"/>
          </w:tcPr>
          <w:p w14:paraId="4DD21376" w14:textId="77777777" w:rsidR="00205B32" w:rsidRDefault="00205B32" w:rsidP="00205B32">
            <w:pPr>
              <w:pStyle w:val="TableParagraph"/>
              <w:jc w:val="center"/>
            </w:pPr>
            <w:r>
              <w:t>3</w:t>
            </w:r>
          </w:p>
        </w:tc>
      </w:tr>
      <w:tr w:rsidR="00205B32" w14:paraId="1DC0B9E7"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5D52F9D2" w14:textId="77777777" w:rsidR="00205B32" w:rsidRDefault="00205B32" w:rsidP="00205B32">
            <w:pPr>
              <w:pStyle w:val="TableParagraph"/>
              <w:jc w:val="center"/>
            </w:pPr>
            <w:r>
              <w:t>22</w:t>
            </w:r>
          </w:p>
        </w:tc>
        <w:tc>
          <w:tcPr>
            <w:tcW w:w="3940" w:type="dxa"/>
          </w:tcPr>
          <w:p w14:paraId="5346CE05" w14:textId="77777777" w:rsidR="00205B32" w:rsidRDefault="00205B32" w:rsidP="00205B32">
            <w:pPr>
              <w:pStyle w:val="TableParagraph"/>
            </w:pPr>
            <w:r w:rsidRPr="0032702B">
              <w:t>Failing to display "P" plates</w:t>
            </w:r>
          </w:p>
        </w:tc>
        <w:tc>
          <w:tcPr>
            <w:tcW w:w="3006" w:type="dxa"/>
          </w:tcPr>
          <w:p w14:paraId="5E5A82C3" w14:textId="77777777" w:rsidR="00205B32" w:rsidRDefault="009C0AC8" w:rsidP="00205B32">
            <w:pPr>
              <w:pStyle w:val="TableParagraph"/>
            </w:pPr>
            <w:r w:rsidRPr="009C0AC8">
              <w:t>RS(D)R 54(1)</w:t>
            </w:r>
          </w:p>
        </w:tc>
        <w:tc>
          <w:tcPr>
            <w:tcW w:w="1639" w:type="dxa"/>
          </w:tcPr>
          <w:p w14:paraId="515750B9" w14:textId="77777777" w:rsidR="00205B32" w:rsidRDefault="00205B32" w:rsidP="00205B32">
            <w:pPr>
              <w:pStyle w:val="TableParagraph"/>
              <w:jc w:val="center"/>
            </w:pPr>
            <w:r>
              <w:t>3</w:t>
            </w:r>
          </w:p>
        </w:tc>
      </w:tr>
      <w:tr w:rsidR="00205B32" w14:paraId="006D6D95" w14:textId="77777777" w:rsidTr="005E5EA9">
        <w:tc>
          <w:tcPr>
            <w:tcW w:w="704" w:type="dxa"/>
          </w:tcPr>
          <w:p w14:paraId="05A88D97" w14:textId="77777777" w:rsidR="00205B32" w:rsidRDefault="00205B32" w:rsidP="00205B32">
            <w:pPr>
              <w:pStyle w:val="TableParagraph"/>
              <w:jc w:val="center"/>
            </w:pPr>
            <w:r>
              <w:t>23</w:t>
            </w:r>
          </w:p>
        </w:tc>
        <w:tc>
          <w:tcPr>
            <w:tcW w:w="3940" w:type="dxa"/>
          </w:tcPr>
          <w:p w14:paraId="2E4C95F3" w14:textId="77777777" w:rsidR="00205B32" w:rsidRDefault="00205B32" w:rsidP="00205B32">
            <w:pPr>
              <w:pStyle w:val="TableParagraph"/>
            </w:pPr>
            <w:r w:rsidRPr="0032702B">
              <w:t>Probationary driver driving a probationary prohibited vehicle</w:t>
            </w:r>
          </w:p>
        </w:tc>
        <w:tc>
          <w:tcPr>
            <w:tcW w:w="3006" w:type="dxa"/>
          </w:tcPr>
          <w:p w14:paraId="4B2158AE" w14:textId="77777777" w:rsidR="00205B32" w:rsidRDefault="009C0AC8" w:rsidP="00205B32">
            <w:pPr>
              <w:pStyle w:val="TableParagraph"/>
            </w:pPr>
            <w:r w:rsidRPr="009C0AC8">
              <w:t>RS(D)R 56(1)</w:t>
            </w:r>
          </w:p>
        </w:tc>
        <w:tc>
          <w:tcPr>
            <w:tcW w:w="1639" w:type="dxa"/>
          </w:tcPr>
          <w:p w14:paraId="5953D70A" w14:textId="77777777" w:rsidR="00205B32" w:rsidRDefault="00205B32" w:rsidP="00205B32">
            <w:pPr>
              <w:pStyle w:val="TableParagraph"/>
              <w:jc w:val="center"/>
            </w:pPr>
            <w:r>
              <w:t>3</w:t>
            </w:r>
          </w:p>
        </w:tc>
      </w:tr>
      <w:tr w:rsidR="00205B32" w14:paraId="1E7D9F84"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0111A388" w14:textId="77777777" w:rsidR="00205B32" w:rsidRDefault="00205B32" w:rsidP="00205B32">
            <w:pPr>
              <w:pStyle w:val="TableParagraph"/>
              <w:jc w:val="center"/>
            </w:pPr>
            <w:r>
              <w:t>24</w:t>
            </w:r>
          </w:p>
        </w:tc>
        <w:tc>
          <w:tcPr>
            <w:tcW w:w="3940" w:type="dxa"/>
          </w:tcPr>
          <w:p w14:paraId="1CBB46F1" w14:textId="77777777" w:rsidR="00205B32" w:rsidRDefault="00205B32" w:rsidP="00205B32">
            <w:pPr>
              <w:pStyle w:val="TableParagraph"/>
            </w:pPr>
            <w:r w:rsidRPr="0032702B">
              <w:t>Driving a motor cycle other than a learner approved motor cycle</w:t>
            </w:r>
          </w:p>
        </w:tc>
        <w:tc>
          <w:tcPr>
            <w:tcW w:w="3006" w:type="dxa"/>
          </w:tcPr>
          <w:p w14:paraId="579D42CF" w14:textId="77777777" w:rsidR="00205B32" w:rsidRDefault="009C0AC8" w:rsidP="00205B32">
            <w:pPr>
              <w:pStyle w:val="TableParagraph"/>
            </w:pPr>
            <w:r w:rsidRPr="009C0AC8">
              <w:t>RS(D)R 57(1)(a), 57(2)(a)</w:t>
            </w:r>
          </w:p>
        </w:tc>
        <w:tc>
          <w:tcPr>
            <w:tcW w:w="1639" w:type="dxa"/>
          </w:tcPr>
          <w:p w14:paraId="4718D3AE" w14:textId="77777777" w:rsidR="00205B32" w:rsidRDefault="00205B32" w:rsidP="00205B32">
            <w:pPr>
              <w:pStyle w:val="TableParagraph"/>
              <w:jc w:val="center"/>
            </w:pPr>
            <w:r>
              <w:t>3</w:t>
            </w:r>
          </w:p>
        </w:tc>
      </w:tr>
      <w:tr w:rsidR="00205B32" w14:paraId="034B8DBB" w14:textId="77777777" w:rsidTr="005E5EA9">
        <w:tc>
          <w:tcPr>
            <w:tcW w:w="704" w:type="dxa"/>
          </w:tcPr>
          <w:p w14:paraId="545D549B" w14:textId="77777777" w:rsidR="00205B32" w:rsidRDefault="00205B32" w:rsidP="00205B32">
            <w:pPr>
              <w:pStyle w:val="TableParagraph"/>
              <w:jc w:val="center"/>
            </w:pPr>
            <w:r>
              <w:t>25</w:t>
            </w:r>
          </w:p>
        </w:tc>
        <w:tc>
          <w:tcPr>
            <w:tcW w:w="3940" w:type="dxa"/>
          </w:tcPr>
          <w:p w14:paraId="1B83AD5B" w14:textId="77777777" w:rsidR="00205B32" w:rsidRDefault="00205B32" w:rsidP="00205B32">
            <w:pPr>
              <w:pStyle w:val="TableParagraph"/>
            </w:pPr>
            <w:r w:rsidRPr="0032702B">
              <w:t>Driving a motor cycle on which there is a pillion passenger</w:t>
            </w:r>
          </w:p>
        </w:tc>
        <w:tc>
          <w:tcPr>
            <w:tcW w:w="3006" w:type="dxa"/>
          </w:tcPr>
          <w:p w14:paraId="259E36E1" w14:textId="77777777" w:rsidR="00205B32" w:rsidRDefault="009C0AC8" w:rsidP="00205B32">
            <w:pPr>
              <w:pStyle w:val="TableParagraph"/>
            </w:pPr>
            <w:r w:rsidRPr="009C0AC8">
              <w:t>RS(D)R 57(1)(b), 57(2)(b)</w:t>
            </w:r>
          </w:p>
        </w:tc>
        <w:tc>
          <w:tcPr>
            <w:tcW w:w="1639" w:type="dxa"/>
          </w:tcPr>
          <w:p w14:paraId="41AC1FC5" w14:textId="77777777" w:rsidR="00205B32" w:rsidRDefault="00205B32" w:rsidP="00205B32">
            <w:pPr>
              <w:pStyle w:val="TableParagraph"/>
              <w:jc w:val="center"/>
            </w:pPr>
            <w:r>
              <w:t>3</w:t>
            </w:r>
          </w:p>
        </w:tc>
      </w:tr>
      <w:tr w:rsidR="00205B32" w14:paraId="62BE184A"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0488E527" w14:textId="77777777" w:rsidR="00205B32" w:rsidRDefault="00205B32" w:rsidP="00205B32">
            <w:pPr>
              <w:pStyle w:val="TableParagraph"/>
              <w:jc w:val="center"/>
            </w:pPr>
            <w:r>
              <w:t>26</w:t>
            </w:r>
          </w:p>
        </w:tc>
        <w:tc>
          <w:tcPr>
            <w:tcW w:w="3940" w:type="dxa"/>
          </w:tcPr>
          <w:p w14:paraId="12CBAEB6" w14:textId="77777777" w:rsidR="00205B32" w:rsidRDefault="00205B32" w:rsidP="00205B32">
            <w:pPr>
              <w:pStyle w:val="TableParagraph"/>
            </w:pPr>
            <w:r w:rsidRPr="0032702B">
              <w:t>P1 probationary driver or corresponding novice driver driving a motor vehicle with more than one peer passenger</w:t>
            </w:r>
          </w:p>
        </w:tc>
        <w:tc>
          <w:tcPr>
            <w:tcW w:w="3006" w:type="dxa"/>
          </w:tcPr>
          <w:p w14:paraId="2AFA46AA" w14:textId="77777777" w:rsidR="00205B32" w:rsidRDefault="009C0AC8" w:rsidP="00205B32">
            <w:pPr>
              <w:pStyle w:val="TableParagraph"/>
            </w:pPr>
            <w:r w:rsidRPr="009C0AC8">
              <w:t>RS(D)R 59(1)</w:t>
            </w:r>
          </w:p>
        </w:tc>
        <w:tc>
          <w:tcPr>
            <w:tcW w:w="1639" w:type="dxa"/>
          </w:tcPr>
          <w:p w14:paraId="5E75A815" w14:textId="77777777" w:rsidR="00205B32" w:rsidRDefault="00205B32" w:rsidP="00205B32">
            <w:pPr>
              <w:pStyle w:val="TableParagraph"/>
              <w:jc w:val="center"/>
            </w:pPr>
            <w:r>
              <w:t>3</w:t>
            </w:r>
          </w:p>
        </w:tc>
      </w:tr>
      <w:tr w:rsidR="00205B32" w14:paraId="5AB23FFC" w14:textId="77777777" w:rsidTr="005E5EA9">
        <w:tc>
          <w:tcPr>
            <w:tcW w:w="704" w:type="dxa"/>
          </w:tcPr>
          <w:p w14:paraId="31B6AB32" w14:textId="77777777" w:rsidR="00205B32" w:rsidRDefault="00205B32" w:rsidP="00205B32">
            <w:pPr>
              <w:pStyle w:val="TableParagraph"/>
              <w:jc w:val="center"/>
            </w:pPr>
            <w:r>
              <w:t>27</w:t>
            </w:r>
          </w:p>
        </w:tc>
        <w:tc>
          <w:tcPr>
            <w:tcW w:w="3940" w:type="dxa"/>
          </w:tcPr>
          <w:p w14:paraId="47D26E9C" w14:textId="77777777" w:rsidR="00205B32" w:rsidRDefault="00205B32" w:rsidP="00205B32">
            <w:pPr>
              <w:pStyle w:val="TableParagraph"/>
            </w:pPr>
            <w:r w:rsidRPr="0032702B">
              <w:t>Driving fatigue-regulated vehicle while impaired by fatigue</w:t>
            </w:r>
          </w:p>
        </w:tc>
        <w:tc>
          <w:tcPr>
            <w:tcW w:w="3006" w:type="dxa"/>
          </w:tcPr>
          <w:p w14:paraId="6EEA4184" w14:textId="77777777" w:rsidR="00205B32" w:rsidRDefault="009C0AC8" w:rsidP="00205B32">
            <w:pPr>
              <w:pStyle w:val="TableParagraph"/>
            </w:pPr>
            <w:r w:rsidRPr="009C0AC8">
              <w:t>HVNL 228(1)</w:t>
            </w:r>
          </w:p>
        </w:tc>
        <w:tc>
          <w:tcPr>
            <w:tcW w:w="1639" w:type="dxa"/>
          </w:tcPr>
          <w:p w14:paraId="2BE065E8" w14:textId="77777777" w:rsidR="00205B32" w:rsidRDefault="00205B32" w:rsidP="00205B32">
            <w:pPr>
              <w:pStyle w:val="TableParagraph"/>
              <w:jc w:val="center"/>
            </w:pPr>
            <w:r>
              <w:t>3</w:t>
            </w:r>
          </w:p>
        </w:tc>
      </w:tr>
      <w:tr w:rsidR="00205B32" w14:paraId="56B24F81"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034D8410" w14:textId="77777777" w:rsidR="00205B32" w:rsidRDefault="00205B32" w:rsidP="00205B32">
            <w:pPr>
              <w:pStyle w:val="TableParagraph"/>
              <w:jc w:val="center"/>
            </w:pPr>
            <w:r>
              <w:t>28</w:t>
            </w:r>
          </w:p>
        </w:tc>
        <w:tc>
          <w:tcPr>
            <w:tcW w:w="3940" w:type="dxa"/>
          </w:tcPr>
          <w:p w14:paraId="4FD0014D" w14:textId="77777777" w:rsidR="00205B32" w:rsidRDefault="00205B32" w:rsidP="00205B32">
            <w:pPr>
              <w:pStyle w:val="TableParagraph"/>
            </w:pPr>
            <w:r>
              <w:t>Driving fatigue-regulated vehicle in contravention of maximum work requirement</w:t>
            </w:r>
          </w:p>
          <w:p w14:paraId="79CEB63F" w14:textId="77777777" w:rsidR="00205B32" w:rsidRDefault="00205B32" w:rsidP="00205B32">
            <w:pPr>
              <w:pStyle w:val="TableParagraph"/>
            </w:pPr>
            <w:r>
              <w:t>—severe risk breach</w:t>
            </w:r>
          </w:p>
        </w:tc>
        <w:tc>
          <w:tcPr>
            <w:tcW w:w="3006" w:type="dxa"/>
          </w:tcPr>
          <w:p w14:paraId="0A32867A" w14:textId="77777777" w:rsidR="00205B32" w:rsidRDefault="009C0AC8" w:rsidP="00205B32">
            <w:pPr>
              <w:pStyle w:val="TableParagraph"/>
            </w:pPr>
            <w:r w:rsidRPr="009C0AC8">
              <w:t>HVNL 250(1)(a), 251(1)(a), 254(1)(a), 256(1)(a), 258(1)(a), 260(1)(a)</w:t>
            </w:r>
          </w:p>
        </w:tc>
        <w:tc>
          <w:tcPr>
            <w:tcW w:w="1639" w:type="dxa"/>
          </w:tcPr>
          <w:p w14:paraId="4F5DA5E6" w14:textId="77777777" w:rsidR="00205B32" w:rsidRDefault="00205B32" w:rsidP="00205B32">
            <w:pPr>
              <w:pStyle w:val="TableParagraph"/>
              <w:jc w:val="center"/>
            </w:pPr>
            <w:r>
              <w:t>3</w:t>
            </w:r>
          </w:p>
        </w:tc>
      </w:tr>
      <w:tr w:rsidR="00205B32" w14:paraId="16D60625" w14:textId="77777777" w:rsidTr="005E5EA9">
        <w:tc>
          <w:tcPr>
            <w:tcW w:w="704" w:type="dxa"/>
          </w:tcPr>
          <w:p w14:paraId="11A0F7BC" w14:textId="77777777" w:rsidR="00205B32" w:rsidRDefault="00205B32" w:rsidP="00205B32">
            <w:pPr>
              <w:pStyle w:val="TableParagraph"/>
              <w:jc w:val="center"/>
            </w:pPr>
            <w:r>
              <w:t>29</w:t>
            </w:r>
          </w:p>
        </w:tc>
        <w:tc>
          <w:tcPr>
            <w:tcW w:w="3940" w:type="dxa"/>
          </w:tcPr>
          <w:p w14:paraId="674CA20A" w14:textId="77777777" w:rsidR="00205B32" w:rsidRDefault="00205B32" w:rsidP="00205B32">
            <w:pPr>
              <w:pStyle w:val="TableParagraph"/>
            </w:pPr>
            <w:r>
              <w:t>Driving fatigue-regulated vehicle in contravention of minimum rest requirement</w:t>
            </w:r>
          </w:p>
          <w:p w14:paraId="01F14310" w14:textId="77777777" w:rsidR="00205B32" w:rsidRDefault="00205B32" w:rsidP="00205B32">
            <w:pPr>
              <w:pStyle w:val="TableParagraph"/>
            </w:pPr>
            <w:r>
              <w:t>—severe risk breach</w:t>
            </w:r>
          </w:p>
        </w:tc>
        <w:tc>
          <w:tcPr>
            <w:tcW w:w="3006" w:type="dxa"/>
          </w:tcPr>
          <w:p w14:paraId="1FA65FBB" w14:textId="77777777" w:rsidR="00205B32" w:rsidRDefault="009C0AC8" w:rsidP="00205B32">
            <w:pPr>
              <w:pStyle w:val="TableParagraph"/>
            </w:pPr>
            <w:r w:rsidRPr="009C0AC8">
              <w:t>HVNL 250(1)(b), 251(1)(b), 254(1)(b), 256(1)(b), 258(1)(b), 260(1)(b)</w:t>
            </w:r>
          </w:p>
        </w:tc>
        <w:tc>
          <w:tcPr>
            <w:tcW w:w="1639" w:type="dxa"/>
          </w:tcPr>
          <w:p w14:paraId="4CB35523" w14:textId="77777777" w:rsidR="00205B32" w:rsidRDefault="00205B32" w:rsidP="00205B32">
            <w:pPr>
              <w:pStyle w:val="TableParagraph"/>
              <w:jc w:val="center"/>
            </w:pPr>
            <w:r>
              <w:t>3</w:t>
            </w:r>
          </w:p>
        </w:tc>
      </w:tr>
      <w:tr w:rsidR="00205B32" w14:paraId="54582DD2"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2BB67888" w14:textId="77777777" w:rsidR="00205B32" w:rsidRDefault="00205B32" w:rsidP="00205B32">
            <w:pPr>
              <w:pStyle w:val="TableParagraph"/>
              <w:jc w:val="center"/>
            </w:pPr>
            <w:r>
              <w:t>30</w:t>
            </w:r>
          </w:p>
        </w:tc>
        <w:tc>
          <w:tcPr>
            <w:tcW w:w="3940" w:type="dxa"/>
          </w:tcPr>
          <w:p w14:paraId="123AD100" w14:textId="77777777" w:rsidR="00205B32" w:rsidRDefault="00205B32" w:rsidP="00205B32">
            <w:pPr>
              <w:pStyle w:val="TableParagraph"/>
            </w:pPr>
            <w:r w:rsidRPr="0032702B">
              <w:t>Improper overtaking or passing</w:t>
            </w:r>
          </w:p>
        </w:tc>
        <w:tc>
          <w:tcPr>
            <w:tcW w:w="3006" w:type="dxa"/>
          </w:tcPr>
          <w:p w14:paraId="7570AD6F" w14:textId="77777777" w:rsidR="00205B32" w:rsidRDefault="009C0AC8" w:rsidP="00205B32">
            <w:pPr>
              <w:pStyle w:val="TableParagraph"/>
            </w:pPr>
            <w:r w:rsidRPr="009C0AC8">
              <w:t>RR 141(1), 142(1), 143(1), 143(1A), 143(2), 144, 145, 148(1), 148(2), 148A, 160(2), 160(3)</w:t>
            </w:r>
          </w:p>
        </w:tc>
        <w:tc>
          <w:tcPr>
            <w:tcW w:w="1639" w:type="dxa"/>
          </w:tcPr>
          <w:p w14:paraId="7EBA839E" w14:textId="77777777" w:rsidR="00205B32" w:rsidRDefault="00205B32" w:rsidP="00205B32">
            <w:pPr>
              <w:pStyle w:val="TableParagraph"/>
              <w:jc w:val="center"/>
            </w:pPr>
            <w:r>
              <w:t>2</w:t>
            </w:r>
          </w:p>
        </w:tc>
      </w:tr>
      <w:tr w:rsidR="00205B32" w14:paraId="0D54D343" w14:textId="77777777" w:rsidTr="005E5EA9">
        <w:tc>
          <w:tcPr>
            <w:tcW w:w="704" w:type="dxa"/>
          </w:tcPr>
          <w:p w14:paraId="55E2C102" w14:textId="77777777" w:rsidR="00205B32" w:rsidRDefault="00205B32" w:rsidP="00205B32">
            <w:pPr>
              <w:pStyle w:val="TableParagraph"/>
              <w:jc w:val="center"/>
            </w:pPr>
            <w:r>
              <w:t>31</w:t>
            </w:r>
          </w:p>
        </w:tc>
        <w:tc>
          <w:tcPr>
            <w:tcW w:w="3940" w:type="dxa"/>
          </w:tcPr>
          <w:p w14:paraId="77133CE5" w14:textId="77777777" w:rsidR="00205B32" w:rsidRDefault="00205B32" w:rsidP="00205B32">
            <w:pPr>
              <w:pStyle w:val="TableParagraph"/>
            </w:pPr>
            <w:r w:rsidRPr="0032702B">
              <w:t>Turning or stopping without signalling</w:t>
            </w:r>
          </w:p>
        </w:tc>
        <w:tc>
          <w:tcPr>
            <w:tcW w:w="3006" w:type="dxa"/>
          </w:tcPr>
          <w:p w14:paraId="38140EDC" w14:textId="77777777" w:rsidR="00205B32" w:rsidRDefault="009C0AC8" w:rsidP="00205B32">
            <w:pPr>
              <w:pStyle w:val="TableParagraph"/>
            </w:pPr>
            <w:r w:rsidRPr="009C0AC8">
              <w:t>RR 46(1), 48(1), 53(1), 53(2)</w:t>
            </w:r>
          </w:p>
        </w:tc>
        <w:tc>
          <w:tcPr>
            <w:tcW w:w="1639" w:type="dxa"/>
          </w:tcPr>
          <w:p w14:paraId="748AD686" w14:textId="77777777" w:rsidR="00205B32" w:rsidRDefault="00205B32" w:rsidP="00205B32">
            <w:pPr>
              <w:pStyle w:val="TableParagraph"/>
              <w:jc w:val="center"/>
            </w:pPr>
            <w:r>
              <w:t>2</w:t>
            </w:r>
          </w:p>
        </w:tc>
      </w:tr>
      <w:tr w:rsidR="00205B32" w14:paraId="215C76C4"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0A395921" w14:textId="77777777" w:rsidR="00205B32" w:rsidRDefault="00205B32" w:rsidP="00205B32">
            <w:pPr>
              <w:pStyle w:val="TableParagraph"/>
              <w:jc w:val="center"/>
            </w:pPr>
            <w:r>
              <w:t>32</w:t>
            </w:r>
          </w:p>
        </w:tc>
        <w:tc>
          <w:tcPr>
            <w:tcW w:w="3940" w:type="dxa"/>
          </w:tcPr>
          <w:p w14:paraId="551D0BC6" w14:textId="77777777" w:rsidR="00205B32" w:rsidRDefault="00205B32" w:rsidP="00205B32">
            <w:pPr>
              <w:pStyle w:val="TableParagraph"/>
            </w:pPr>
            <w:r w:rsidRPr="0032702B">
              <w:t>Turning improperly</w:t>
            </w:r>
          </w:p>
        </w:tc>
        <w:tc>
          <w:tcPr>
            <w:tcW w:w="3006" w:type="dxa"/>
          </w:tcPr>
          <w:p w14:paraId="56597B07" w14:textId="77777777" w:rsidR="00205B32" w:rsidRDefault="009C0AC8" w:rsidP="00205B32">
            <w:pPr>
              <w:pStyle w:val="TableParagraph"/>
            </w:pPr>
            <w:r w:rsidRPr="009C0AC8">
              <w:t>RR 27(1), 28(1), 28(1A), 29, 31(1), 32(1), 33(1), 37, 92(1)</w:t>
            </w:r>
          </w:p>
        </w:tc>
        <w:tc>
          <w:tcPr>
            <w:tcW w:w="1639" w:type="dxa"/>
          </w:tcPr>
          <w:p w14:paraId="41D19C0D" w14:textId="77777777" w:rsidR="00205B32" w:rsidRDefault="00205B32" w:rsidP="00205B32">
            <w:pPr>
              <w:pStyle w:val="TableParagraph"/>
              <w:jc w:val="center"/>
            </w:pPr>
            <w:r>
              <w:t>2</w:t>
            </w:r>
          </w:p>
        </w:tc>
      </w:tr>
      <w:tr w:rsidR="00205B32" w14:paraId="4F117674" w14:textId="77777777" w:rsidTr="005E5EA9">
        <w:tc>
          <w:tcPr>
            <w:tcW w:w="704" w:type="dxa"/>
          </w:tcPr>
          <w:p w14:paraId="73450116" w14:textId="77777777" w:rsidR="00205B32" w:rsidRDefault="00205B32" w:rsidP="00205B32">
            <w:pPr>
              <w:pStyle w:val="TableParagraph"/>
              <w:jc w:val="center"/>
            </w:pPr>
            <w:r>
              <w:t>33</w:t>
            </w:r>
          </w:p>
        </w:tc>
        <w:tc>
          <w:tcPr>
            <w:tcW w:w="3940" w:type="dxa"/>
          </w:tcPr>
          <w:p w14:paraId="39479890" w14:textId="77777777" w:rsidR="00205B32" w:rsidRDefault="00205B32" w:rsidP="00205B32">
            <w:pPr>
              <w:pStyle w:val="TableParagraph"/>
            </w:pPr>
            <w:r w:rsidRPr="0091495B">
              <w:t>Failing to keep left (other than double dividing lines)</w:t>
            </w:r>
          </w:p>
        </w:tc>
        <w:tc>
          <w:tcPr>
            <w:tcW w:w="3006" w:type="dxa"/>
          </w:tcPr>
          <w:p w14:paraId="0AB491A0" w14:textId="77777777" w:rsidR="00205B32" w:rsidRDefault="009C0AC8" w:rsidP="00205B32">
            <w:pPr>
              <w:pStyle w:val="TableParagraph"/>
            </w:pPr>
            <w:r w:rsidRPr="009C0AC8">
              <w:t>RR 129(1), 130(2), 131, 132(1), 132(2), 132(2A)</w:t>
            </w:r>
          </w:p>
        </w:tc>
        <w:tc>
          <w:tcPr>
            <w:tcW w:w="1639" w:type="dxa"/>
          </w:tcPr>
          <w:p w14:paraId="4C435B46" w14:textId="77777777" w:rsidR="00205B32" w:rsidRDefault="00205B32" w:rsidP="00205B32">
            <w:pPr>
              <w:pStyle w:val="TableParagraph"/>
              <w:jc w:val="center"/>
            </w:pPr>
            <w:r>
              <w:t>2</w:t>
            </w:r>
          </w:p>
        </w:tc>
      </w:tr>
      <w:tr w:rsidR="00205B32" w14:paraId="640A0C6F"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6BFA1ACD" w14:textId="77777777" w:rsidR="00205B32" w:rsidRDefault="00205B32" w:rsidP="00205B32">
            <w:pPr>
              <w:pStyle w:val="TableParagraph"/>
              <w:jc w:val="center"/>
            </w:pPr>
            <w:r>
              <w:t>34</w:t>
            </w:r>
          </w:p>
        </w:tc>
        <w:tc>
          <w:tcPr>
            <w:tcW w:w="3940" w:type="dxa"/>
          </w:tcPr>
          <w:p w14:paraId="74E3226E" w14:textId="77777777" w:rsidR="00205B32" w:rsidRDefault="00205B32" w:rsidP="00205B32">
            <w:pPr>
              <w:pStyle w:val="TableParagraph"/>
            </w:pPr>
            <w:r w:rsidRPr="0091495B">
              <w:t>Driving in contravention of a condition of a minor defect notice</w:t>
            </w:r>
          </w:p>
        </w:tc>
        <w:tc>
          <w:tcPr>
            <w:tcW w:w="3006" w:type="dxa"/>
          </w:tcPr>
          <w:p w14:paraId="48ACCED2" w14:textId="77777777" w:rsidR="00205B32" w:rsidRDefault="009C0AC8" w:rsidP="00205B32">
            <w:pPr>
              <w:pStyle w:val="TableParagraph"/>
            </w:pPr>
            <w:r w:rsidRPr="009C0AC8">
              <w:t>RS(V)R 240(1), HVNL 529</w:t>
            </w:r>
          </w:p>
        </w:tc>
        <w:tc>
          <w:tcPr>
            <w:tcW w:w="1639" w:type="dxa"/>
          </w:tcPr>
          <w:p w14:paraId="288727AE" w14:textId="77777777" w:rsidR="00205B32" w:rsidRDefault="00205B32" w:rsidP="00205B32">
            <w:pPr>
              <w:pStyle w:val="TableParagraph"/>
              <w:jc w:val="center"/>
            </w:pPr>
            <w:r>
              <w:t>1</w:t>
            </w:r>
          </w:p>
        </w:tc>
      </w:tr>
      <w:tr w:rsidR="00205B32" w14:paraId="10D61653" w14:textId="77777777" w:rsidTr="005E5EA9">
        <w:tc>
          <w:tcPr>
            <w:tcW w:w="704" w:type="dxa"/>
          </w:tcPr>
          <w:p w14:paraId="708BF070" w14:textId="77777777" w:rsidR="00205B32" w:rsidRDefault="00205B32" w:rsidP="00205B32">
            <w:pPr>
              <w:pStyle w:val="TableParagraph"/>
              <w:jc w:val="center"/>
            </w:pPr>
            <w:r>
              <w:t>35</w:t>
            </w:r>
          </w:p>
        </w:tc>
        <w:tc>
          <w:tcPr>
            <w:tcW w:w="3940" w:type="dxa"/>
          </w:tcPr>
          <w:p w14:paraId="4393EB07" w14:textId="77777777" w:rsidR="00205B32" w:rsidRDefault="00205B32" w:rsidP="00205B32">
            <w:pPr>
              <w:pStyle w:val="TableParagraph"/>
            </w:pPr>
            <w:r w:rsidRPr="0091495B">
              <w:t>Failing to display "L" plates</w:t>
            </w:r>
          </w:p>
        </w:tc>
        <w:tc>
          <w:tcPr>
            <w:tcW w:w="3006" w:type="dxa"/>
          </w:tcPr>
          <w:p w14:paraId="1CAC4C94" w14:textId="77777777" w:rsidR="00205B32" w:rsidRDefault="009C0AC8" w:rsidP="00205B32">
            <w:pPr>
              <w:pStyle w:val="TableParagraph"/>
            </w:pPr>
            <w:r w:rsidRPr="009C0AC8">
              <w:t>RS(D)R 48(1)</w:t>
            </w:r>
          </w:p>
        </w:tc>
        <w:tc>
          <w:tcPr>
            <w:tcW w:w="1639" w:type="dxa"/>
          </w:tcPr>
          <w:p w14:paraId="190285DC" w14:textId="77777777" w:rsidR="00205B32" w:rsidRDefault="00205B32" w:rsidP="00205B32">
            <w:pPr>
              <w:pStyle w:val="TableParagraph"/>
              <w:jc w:val="center"/>
            </w:pPr>
            <w:r>
              <w:t>1</w:t>
            </w:r>
          </w:p>
        </w:tc>
      </w:tr>
      <w:tr w:rsidR="00205B32" w14:paraId="6883DC3B"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002339FC" w14:textId="77777777" w:rsidR="00205B32" w:rsidRDefault="00205B32" w:rsidP="00205B32">
            <w:pPr>
              <w:pStyle w:val="TableParagraph"/>
              <w:jc w:val="center"/>
            </w:pPr>
            <w:r>
              <w:lastRenderedPageBreak/>
              <w:t>36</w:t>
            </w:r>
          </w:p>
        </w:tc>
        <w:tc>
          <w:tcPr>
            <w:tcW w:w="3940" w:type="dxa"/>
          </w:tcPr>
          <w:p w14:paraId="62742521" w14:textId="77777777" w:rsidR="00205B32" w:rsidRDefault="00205B32" w:rsidP="00205B32">
            <w:pPr>
              <w:pStyle w:val="TableParagraph"/>
            </w:pPr>
            <w:r w:rsidRPr="0091495B">
              <w:t>Drive a motor cycle without an approved high visibility vest or jacket that is visible and is securely fitted and fastened</w:t>
            </w:r>
          </w:p>
        </w:tc>
        <w:tc>
          <w:tcPr>
            <w:tcW w:w="3006" w:type="dxa"/>
          </w:tcPr>
          <w:p w14:paraId="1CC13FC1" w14:textId="77777777" w:rsidR="00205B32" w:rsidRDefault="009C0AC8" w:rsidP="00205B32">
            <w:pPr>
              <w:pStyle w:val="TableParagraph"/>
            </w:pPr>
            <w:r w:rsidRPr="009C0AC8">
              <w:t>RS(D)R 57(2)(d)</w:t>
            </w:r>
          </w:p>
        </w:tc>
        <w:tc>
          <w:tcPr>
            <w:tcW w:w="1639" w:type="dxa"/>
          </w:tcPr>
          <w:p w14:paraId="3CB78C08" w14:textId="77777777" w:rsidR="00205B32" w:rsidRDefault="00205B32" w:rsidP="00205B32">
            <w:pPr>
              <w:pStyle w:val="TableParagraph"/>
              <w:jc w:val="center"/>
            </w:pPr>
            <w:r>
              <w:t>1</w:t>
            </w:r>
          </w:p>
        </w:tc>
      </w:tr>
      <w:tr w:rsidR="00205B32" w14:paraId="74830C73" w14:textId="77777777" w:rsidTr="005E5EA9">
        <w:tc>
          <w:tcPr>
            <w:tcW w:w="704" w:type="dxa"/>
          </w:tcPr>
          <w:p w14:paraId="25A4AEA8" w14:textId="77777777" w:rsidR="00205B32" w:rsidRDefault="00205B32" w:rsidP="00205B32">
            <w:pPr>
              <w:pStyle w:val="TableParagraph"/>
              <w:jc w:val="center"/>
            </w:pPr>
            <w:r>
              <w:t>37</w:t>
            </w:r>
          </w:p>
        </w:tc>
        <w:tc>
          <w:tcPr>
            <w:tcW w:w="3940" w:type="dxa"/>
          </w:tcPr>
          <w:p w14:paraId="39CD3A19" w14:textId="77777777" w:rsidR="00205B32" w:rsidRDefault="00205B32" w:rsidP="00205B32">
            <w:pPr>
              <w:pStyle w:val="TableParagraph"/>
            </w:pPr>
            <w:r w:rsidRPr="0091495B">
              <w:t>Failure to dip headlights</w:t>
            </w:r>
          </w:p>
        </w:tc>
        <w:tc>
          <w:tcPr>
            <w:tcW w:w="3006" w:type="dxa"/>
          </w:tcPr>
          <w:p w14:paraId="113AAD79" w14:textId="77777777" w:rsidR="00205B32" w:rsidRDefault="009C0AC8" w:rsidP="00205B32">
            <w:pPr>
              <w:pStyle w:val="TableParagraph"/>
            </w:pPr>
            <w:r w:rsidRPr="009C0AC8">
              <w:t>RR 218(1)</w:t>
            </w:r>
          </w:p>
        </w:tc>
        <w:tc>
          <w:tcPr>
            <w:tcW w:w="1639" w:type="dxa"/>
          </w:tcPr>
          <w:p w14:paraId="131DAD03" w14:textId="77777777" w:rsidR="00205B32" w:rsidRDefault="00205B32" w:rsidP="00205B32">
            <w:pPr>
              <w:pStyle w:val="TableParagraph"/>
              <w:jc w:val="center"/>
            </w:pPr>
            <w:r>
              <w:t>1</w:t>
            </w:r>
          </w:p>
        </w:tc>
      </w:tr>
      <w:tr w:rsidR="00205B32" w14:paraId="1F2C9E8F"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6281991A" w14:textId="77777777" w:rsidR="00205B32" w:rsidRDefault="00205B32" w:rsidP="00205B32">
            <w:pPr>
              <w:pStyle w:val="TableParagraph"/>
              <w:jc w:val="center"/>
            </w:pPr>
            <w:r>
              <w:t>38</w:t>
            </w:r>
          </w:p>
        </w:tc>
        <w:tc>
          <w:tcPr>
            <w:tcW w:w="3940" w:type="dxa"/>
          </w:tcPr>
          <w:p w14:paraId="20DB6811" w14:textId="77777777" w:rsidR="00205B32" w:rsidRDefault="00205B32" w:rsidP="00205B32">
            <w:pPr>
              <w:pStyle w:val="TableParagraph"/>
            </w:pPr>
            <w:r w:rsidRPr="0091495B">
              <w:t>Long vehicle failing to keep minimum distance behind another long vehicle</w:t>
            </w:r>
          </w:p>
        </w:tc>
        <w:tc>
          <w:tcPr>
            <w:tcW w:w="3006" w:type="dxa"/>
          </w:tcPr>
          <w:p w14:paraId="1C34240D" w14:textId="77777777" w:rsidR="00205B32" w:rsidRDefault="009C0AC8" w:rsidP="00205B32">
            <w:pPr>
              <w:pStyle w:val="TableParagraph"/>
            </w:pPr>
            <w:r w:rsidRPr="009C0AC8">
              <w:t>RR 127(1)</w:t>
            </w:r>
          </w:p>
        </w:tc>
        <w:tc>
          <w:tcPr>
            <w:tcW w:w="1639" w:type="dxa"/>
          </w:tcPr>
          <w:p w14:paraId="1757D254" w14:textId="77777777" w:rsidR="00205B32" w:rsidRDefault="00205B32" w:rsidP="00205B32">
            <w:pPr>
              <w:pStyle w:val="TableParagraph"/>
              <w:jc w:val="center"/>
            </w:pPr>
            <w:r>
              <w:t>1</w:t>
            </w:r>
          </w:p>
        </w:tc>
      </w:tr>
      <w:tr w:rsidR="00205B32" w14:paraId="6B4658F5" w14:textId="77777777" w:rsidTr="005E5EA9">
        <w:tc>
          <w:tcPr>
            <w:tcW w:w="704" w:type="dxa"/>
          </w:tcPr>
          <w:p w14:paraId="0DCB96B7" w14:textId="77777777" w:rsidR="00205B32" w:rsidRDefault="00205B32" w:rsidP="00205B32">
            <w:pPr>
              <w:pStyle w:val="TableParagraph"/>
              <w:jc w:val="center"/>
            </w:pPr>
            <w:r>
              <w:t>39</w:t>
            </w:r>
          </w:p>
        </w:tc>
        <w:tc>
          <w:tcPr>
            <w:tcW w:w="3940" w:type="dxa"/>
          </w:tcPr>
          <w:p w14:paraId="566197E3" w14:textId="77777777" w:rsidR="00205B32" w:rsidRDefault="00205B32" w:rsidP="00205B32">
            <w:pPr>
              <w:pStyle w:val="TableParagraph"/>
            </w:pPr>
            <w:r w:rsidRPr="0091495B">
              <w:t>Driving insufficient distance behind a vehicle</w:t>
            </w:r>
          </w:p>
        </w:tc>
        <w:tc>
          <w:tcPr>
            <w:tcW w:w="3006" w:type="dxa"/>
          </w:tcPr>
          <w:p w14:paraId="790CBC26" w14:textId="77777777" w:rsidR="00205B32" w:rsidRDefault="009C0AC8" w:rsidP="00205B32">
            <w:pPr>
              <w:pStyle w:val="TableParagraph"/>
            </w:pPr>
            <w:r w:rsidRPr="009C0AC8">
              <w:t>RR 126</w:t>
            </w:r>
          </w:p>
        </w:tc>
        <w:tc>
          <w:tcPr>
            <w:tcW w:w="1639" w:type="dxa"/>
          </w:tcPr>
          <w:p w14:paraId="789AF217" w14:textId="77777777" w:rsidR="00205B32" w:rsidRDefault="00205B32" w:rsidP="00205B32">
            <w:pPr>
              <w:pStyle w:val="TableParagraph"/>
              <w:jc w:val="center"/>
            </w:pPr>
            <w:r>
              <w:t>1</w:t>
            </w:r>
          </w:p>
        </w:tc>
      </w:tr>
      <w:tr w:rsidR="00205B32" w14:paraId="086B4575" w14:textId="77777777" w:rsidTr="005E5EA9">
        <w:trPr>
          <w:cnfStyle w:val="000000010000" w:firstRow="0" w:lastRow="0" w:firstColumn="0" w:lastColumn="0" w:oddVBand="0" w:evenVBand="0" w:oddHBand="0" w:evenHBand="1" w:firstRowFirstColumn="0" w:firstRowLastColumn="0" w:lastRowFirstColumn="0" w:lastRowLastColumn="0"/>
        </w:trPr>
        <w:tc>
          <w:tcPr>
            <w:tcW w:w="704" w:type="dxa"/>
          </w:tcPr>
          <w:p w14:paraId="04CFB1E8" w14:textId="77777777" w:rsidR="00205B32" w:rsidRDefault="00205B32" w:rsidP="00205B32">
            <w:pPr>
              <w:pStyle w:val="TableParagraph"/>
              <w:jc w:val="center"/>
            </w:pPr>
            <w:r>
              <w:t>40</w:t>
            </w:r>
          </w:p>
        </w:tc>
        <w:tc>
          <w:tcPr>
            <w:tcW w:w="3940" w:type="dxa"/>
          </w:tcPr>
          <w:p w14:paraId="2EE8D159" w14:textId="77777777" w:rsidR="00205B32" w:rsidRDefault="00205B32" w:rsidP="00205B32">
            <w:pPr>
              <w:pStyle w:val="TableParagraph"/>
            </w:pPr>
            <w:r w:rsidRPr="0091495B">
              <w:t>Driving at night or in hazardous weather conditions without headlights, tail lights, number plate lights and rear lights on, and, if fitted, without clearance lights and side marker lights on</w:t>
            </w:r>
          </w:p>
        </w:tc>
        <w:tc>
          <w:tcPr>
            <w:tcW w:w="3006" w:type="dxa"/>
          </w:tcPr>
          <w:p w14:paraId="34B4026C" w14:textId="77777777" w:rsidR="00205B32" w:rsidRDefault="009C0AC8" w:rsidP="00205B32">
            <w:pPr>
              <w:pStyle w:val="TableParagraph"/>
            </w:pPr>
            <w:r w:rsidRPr="009C0AC8">
              <w:t>RR 215(1), 216(1)</w:t>
            </w:r>
          </w:p>
        </w:tc>
        <w:tc>
          <w:tcPr>
            <w:tcW w:w="1639" w:type="dxa"/>
          </w:tcPr>
          <w:p w14:paraId="78CDC0D3" w14:textId="77777777" w:rsidR="00205B32" w:rsidRDefault="00205B32" w:rsidP="00205B32">
            <w:pPr>
              <w:pStyle w:val="TableParagraph"/>
              <w:jc w:val="center"/>
            </w:pPr>
            <w:r>
              <w:t>1</w:t>
            </w:r>
          </w:p>
        </w:tc>
      </w:tr>
      <w:tr w:rsidR="00205B32" w14:paraId="36DB0078" w14:textId="77777777" w:rsidTr="005E5EA9">
        <w:tc>
          <w:tcPr>
            <w:tcW w:w="704" w:type="dxa"/>
          </w:tcPr>
          <w:p w14:paraId="16545513" w14:textId="77777777" w:rsidR="00205B32" w:rsidRDefault="00205B32" w:rsidP="00205B32">
            <w:pPr>
              <w:pStyle w:val="TableParagraph"/>
              <w:jc w:val="center"/>
            </w:pPr>
            <w:r>
              <w:t>41</w:t>
            </w:r>
          </w:p>
        </w:tc>
        <w:tc>
          <w:tcPr>
            <w:tcW w:w="3940" w:type="dxa"/>
          </w:tcPr>
          <w:p w14:paraId="3C507CE4" w14:textId="77777777" w:rsidR="00205B32" w:rsidRDefault="00205B32" w:rsidP="00205B32">
            <w:pPr>
              <w:pStyle w:val="TableParagraph"/>
            </w:pPr>
            <w:r w:rsidRPr="0091495B">
              <w:t>Exceeding the speed-limit by less than 10 km/h</w:t>
            </w:r>
          </w:p>
        </w:tc>
        <w:tc>
          <w:tcPr>
            <w:tcW w:w="3006" w:type="dxa"/>
          </w:tcPr>
          <w:p w14:paraId="76D3F923" w14:textId="77777777" w:rsidR="00205B32" w:rsidRDefault="009C0AC8" w:rsidP="00205B32">
            <w:pPr>
              <w:pStyle w:val="TableParagraph"/>
            </w:pPr>
            <w:r w:rsidRPr="009C0AC8">
              <w:t>RR 20</w:t>
            </w:r>
          </w:p>
        </w:tc>
        <w:tc>
          <w:tcPr>
            <w:tcW w:w="1639" w:type="dxa"/>
          </w:tcPr>
          <w:p w14:paraId="3D09AA67" w14:textId="77777777" w:rsidR="00205B32" w:rsidRDefault="00205B32" w:rsidP="00205B32">
            <w:pPr>
              <w:pStyle w:val="TableParagraph"/>
              <w:jc w:val="center"/>
            </w:pPr>
            <w:r>
              <w:t>1</w:t>
            </w:r>
          </w:p>
        </w:tc>
      </w:tr>
    </w:tbl>
    <w:p w14:paraId="0AADC746" w14:textId="77777777" w:rsidR="00432FA9" w:rsidRDefault="00432FA9" w:rsidP="00F03A2C">
      <w:pPr>
        <w:pStyle w:val="TableParagraph"/>
        <w:spacing w:before="240"/>
      </w:pPr>
      <w:r>
        <w:rPr>
          <w:b/>
          <w:i/>
        </w:rPr>
        <w:t xml:space="preserve">HVNL </w:t>
      </w:r>
      <w:r>
        <w:t>means the Heavy V</w:t>
      </w:r>
      <w:r w:rsidR="006C6711">
        <w:t>ehicle National Law (Victoria)</w:t>
      </w:r>
    </w:p>
    <w:p w14:paraId="47C28D70" w14:textId="77777777" w:rsidR="00432FA9" w:rsidRDefault="00432FA9" w:rsidP="00F03A2C">
      <w:pPr>
        <w:pStyle w:val="TableParagraph"/>
      </w:pPr>
      <w:r>
        <w:rPr>
          <w:b/>
          <w:i/>
        </w:rPr>
        <w:t>RSA</w:t>
      </w:r>
      <w:r>
        <w:t xml:space="preserve"> means the </w:t>
      </w:r>
      <w:r w:rsidRPr="006C6711">
        <w:rPr>
          <w:i/>
        </w:rPr>
        <w:t>Road Safety Act 1986</w:t>
      </w:r>
    </w:p>
    <w:p w14:paraId="0DB8E6B2" w14:textId="77777777" w:rsidR="00432FA9" w:rsidRDefault="00432FA9" w:rsidP="00F03A2C">
      <w:pPr>
        <w:pStyle w:val="TableParagraph"/>
      </w:pPr>
      <w:r>
        <w:rPr>
          <w:b/>
          <w:i/>
        </w:rPr>
        <w:t xml:space="preserve">RS(D)R </w:t>
      </w:r>
      <w:r>
        <w:t>means the</w:t>
      </w:r>
      <w:r w:rsidR="006C6711">
        <w:t xml:space="preserve"> proposed Regulations</w:t>
      </w:r>
    </w:p>
    <w:p w14:paraId="0976E873" w14:textId="77777777" w:rsidR="006C6711" w:rsidRDefault="00432FA9" w:rsidP="00F03A2C">
      <w:pPr>
        <w:pStyle w:val="TableParagraph"/>
      </w:pPr>
      <w:r>
        <w:rPr>
          <w:b/>
          <w:i/>
        </w:rPr>
        <w:t>RS(V)R</w:t>
      </w:r>
      <w:r>
        <w:t xml:space="preserve"> means the Road Saf</w:t>
      </w:r>
      <w:r w:rsidR="006C6711">
        <w:t>ety (Vehicles) Regulations 2009</w:t>
      </w:r>
      <w:r>
        <w:t xml:space="preserve"> </w:t>
      </w:r>
    </w:p>
    <w:p w14:paraId="31C03694" w14:textId="77777777" w:rsidR="00432FA9" w:rsidRDefault="00432FA9" w:rsidP="00F03A2C">
      <w:pPr>
        <w:pStyle w:val="TableParagraph"/>
      </w:pPr>
      <w:r>
        <w:rPr>
          <w:b/>
          <w:i/>
        </w:rPr>
        <w:t xml:space="preserve">RR </w:t>
      </w:r>
      <w:r>
        <w:t xml:space="preserve">means the Road Safety Road Rules 2017. </w:t>
      </w:r>
    </w:p>
    <w:p w14:paraId="35FAAB73" w14:textId="77777777" w:rsidR="0027057B" w:rsidRDefault="0027057B" w:rsidP="0027057B">
      <w:pPr>
        <w:pStyle w:val="TextPara"/>
      </w:pPr>
    </w:p>
    <w:p w14:paraId="6C9032E4" w14:textId="77777777" w:rsidR="0027057B" w:rsidRDefault="0027057B" w:rsidP="0027057B">
      <w:pPr>
        <w:pStyle w:val="TextPara"/>
      </w:pPr>
    </w:p>
    <w:p w14:paraId="72FD460B" w14:textId="77777777" w:rsidR="0027057B" w:rsidRDefault="0027057B" w:rsidP="0027057B">
      <w:pPr>
        <w:pStyle w:val="TextPara"/>
        <w:sectPr w:rsidR="0027057B" w:rsidSect="00CB49F0">
          <w:headerReference w:type="default" r:id="rId112"/>
          <w:footerReference w:type="default" r:id="rId113"/>
          <w:endnotePr>
            <w:numFmt w:val="decimal"/>
          </w:endnotePr>
          <w:type w:val="continuous"/>
          <w:pgSz w:w="11907" w:h="16840" w:code="9"/>
          <w:pgMar w:top="1134" w:right="1304" w:bottom="1701" w:left="1304" w:header="567" w:footer="397" w:gutter="0"/>
          <w:cols w:space="708"/>
          <w:docGrid w:linePitch="360"/>
        </w:sectPr>
      </w:pPr>
    </w:p>
    <w:p w14:paraId="1CA752C0" w14:textId="34F5E861" w:rsidR="00290ECD" w:rsidRDefault="00290ECD" w:rsidP="0027057B">
      <w:pPr>
        <w:pStyle w:val="Appendix1"/>
        <w:pageBreakBefore/>
      </w:pPr>
      <w:bookmarkStart w:id="1013" w:name="_Toc10703564"/>
      <w:bookmarkStart w:id="1014" w:name="_Hlk9610576"/>
      <w:r>
        <w:lastRenderedPageBreak/>
        <w:t>Fee charges under the prop</w:t>
      </w:r>
      <w:r w:rsidR="003E0FC9">
        <w:t>o</w:t>
      </w:r>
      <w:r>
        <w:t>sed regulations</w:t>
      </w:r>
      <w:bookmarkEnd w:id="1013"/>
    </w:p>
    <w:p w14:paraId="58E0A30F" w14:textId="28CEAD4C" w:rsidR="003E0FC9" w:rsidRDefault="003E0FC9" w:rsidP="003E0FC9">
      <w:pPr>
        <w:pStyle w:val="TextPara"/>
        <w:rPr>
          <w:lang w:eastAsia="en-AU"/>
        </w:rPr>
      </w:pPr>
    </w:p>
    <w:p w14:paraId="1BDB019F" w14:textId="7418954E" w:rsidR="003E0FC9" w:rsidRPr="00A82F1A" w:rsidRDefault="003E0FC9" w:rsidP="003E0FC9">
      <w:pPr>
        <w:pStyle w:val="TextPara"/>
        <w:rPr>
          <w:sz w:val="18"/>
          <w:szCs w:val="18"/>
          <w:lang w:eastAsia="en-AU"/>
        </w:rPr>
      </w:pPr>
      <w:r w:rsidRPr="00A82F1A">
        <w:rPr>
          <w:sz w:val="18"/>
          <w:szCs w:val="18"/>
          <w:lang w:eastAsia="en-AU"/>
        </w:rPr>
        <w:t xml:space="preserve">The bulk </w:t>
      </w:r>
      <w:r w:rsidR="001106EE" w:rsidRPr="00A82F1A">
        <w:rPr>
          <w:sz w:val="18"/>
          <w:szCs w:val="18"/>
          <w:lang w:eastAsia="en-AU"/>
        </w:rPr>
        <w:t>of</w:t>
      </w:r>
      <w:r w:rsidRPr="00A82F1A">
        <w:rPr>
          <w:sz w:val="18"/>
          <w:szCs w:val="18"/>
          <w:lang w:eastAsia="en-AU"/>
        </w:rPr>
        <w:t xml:space="preserve"> the fees set by these regul</w:t>
      </w:r>
      <w:r w:rsidR="001106EE" w:rsidRPr="00A82F1A">
        <w:rPr>
          <w:sz w:val="18"/>
          <w:szCs w:val="18"/>
          <w:lang w:eastAsia="en-AU"/>
        </w:rPr>
        <w:t>a</w:t>
      </w:r>
      <w:r w:rsidRPr="00A82F1A">
        <w:rPr>
          <w:sz w:val="18"/>
          <w:szCs w:val="18"/>
          <w:lang w:eastAsia="en-AU"/>
        </w:rPr>
        <w:t>tion</w:t>
      </w:r>
      <w:r w:rsidR="001106EE" w:rsidRPr="00A82F1A">
        <w:rPr>
          <w:sz w:val="18"/>
          <w:szCs w:val="18"/>
          <w:lang w:eastAsia="en-AU"/>
        </w:rPr>
        <w:t>s</w:t>
      </w:r>
      <w:r w:rsidRPr="00A82F1A">
        <w:rPr>
          <w:sz w:val="18"/>
          <w:szCs w:val="18"/>
          <w:lang w:eastAsia="en-AU"/>
        </w:rPr>
        <w:t xml:space="preserve"> are de</w:t>
      </w:r>
      <w:r w:rsidR="001106EE" w:rsidRPr="00A82F1A">
        <w:rPr>
          <w:sz w:val="18"/>
          <w:szCs w:val="18"/>
          <w:lang w:eastAsia="en-AU"/>
        </w:rPr>
        <w:t>nominated</w:t>
      </w:r>
      <w:r w:rsidRPr="00A82F1A">
        <w:rPr>
          <w:sz w:val="18"/>
          <w:szCs w:val="18"/>
          <w:lang w:eastAsia="en-AU"/>
        </w:rPr>
        <w:t xml:space="preserve"> in Fee Units</w:t>
      </w:r>
      <w:r w:rsidR="001106EE" w:rsidRPr="00A82F1A">
        <w:rPr>
          <w:sz w:val="18"/>
          <w:szCs w:val="18"/>
          <w:lang w:eastAsia="en-AU"/>
        </w:rPr>
        <w:t>. They are set out in Schedule 6 of the draft Regulations, and also in</w:t>
      </w:r>
      <w:r w:rsidRPr="00A82F1A">
        <w:rPr>
          <w:sz w:val="18"/>
          <w:szCs w:val="18"/>
          <w:lang w:eastAsia="en-AU"/>
        </w:rPr>
        <w:t xml:space="preserve"> in Table </w:t>
      </w:r>
      <w:r w:rsidR="00870A4D">
        <w:rPr>
          <w:sz w:val="18"/>
          <w:szCs w:val="18"/>
          <w:lang w:eastAsia="en-AU"/>
        </w:rPr>
        <w:t>85</w:t>
      </w:r>
      <w:r w:rsidR="001106EE" w:rsidRPr="00A82F1A">
        <w:rPr>
          <w:sz w:val="18"/>
          <w:szCs w:val="18"/>
          <w:lang w:eastAsia="en-AU"/>
        </w:rPr>
        <w:t xml:space="preserve"> below. There will be no changes to the number of fee units charged for each service.</w:t>
      </w:r>
    </w:p>
    <w:p w14:paraId="776A890A" w14:textId="6FFB8E21" w:rsidR="001106EE" w:rsidRPr="00A82F1A" w:rsidRDefault="00870A4D" w:rsidP="00826EB1">
      <w:pPr>
        <w:pStyle w:val="Caption"/>
        <w:rPr>
          <w:b w:val="0"/>
          <w:lang w:eastAsia="en-AU"/>
        </w:rPr>
      </w:pPr>
      <w:r w:rsidRPr="00826EB1">
        <w:t>Table 85</w:t>
      </w:r>
      <w:r w:rsidR="002E07A7" w:rsidRPr="00826EB1">
        <w:t xml:space="preserve"> - </w:t>
      </w:r>
      <w:r w:rsidR="001106EE" w:rsidRPr="00826EB1">
        <w:t>General Fee Table in Schedule 6 to proposed Regulations</w:t>
      </w:r>
    </w:p>
    <w:tbl>
      <w:tblPr>
        <w:tblStyle w:val="RIS-Table2"/>
        <w:tblW w:w="0" w:type="auto"/>
        <w:tblLook w:val="04A0" w:firstRow="1" w:lastRow="0" w:firstColumn="1" w:lastColumn="0" w:noHBand="0" w:noVBand="1"/>
      </w:tblPr>
      <w:tblGrid>
        <w:gridCol w:w="704"/>
        <w:gridCol w:w="3940"/>
        <w:gridCol w:w="3006"/>
        <w:gridCol w:w="1639"/>
      </w:tblGrid>
      <w:tr w:rsidR="001106EE" w14:paraId="18423599" w14:textId="77777777" w:rsidTr="001A5DAB">
        <w:trPr>
          <w:cnfStyle w:val="100000000000" w:firstRow="1" w:lastRow="0" w:firstColumn="0" w:lastColumn="0" w:oddVBand="0" w:evenVBand="0" w:oddHBand="0" w:evenHBand="0" w:firstRowFirstColumn="0" w:firstRowLastColumn="0" w:lastRowFirstColumn="0" w:lastRowLastColumn="0"/>
        </w:trPr>
        <w:tc>
          <w:tcPr>
            <w:tcW w:w="704" w:type="dxa"/>
          </w:tcPr>
          <w:p w14:paraId="2A2683ED" w14:textId="77777777" w:rsidR="001106EE" w:rsidRDefault="001106EE" w:rsidP="001A5DAB">
            <w:pPr>
              <w:pStyle w:val="TableHeaders"/>
            </w:pPr>
            <w:r>
              <w:t>Item</w:t>
            </w:r>
          </w:p>
        </w:tc>
        <w:tc>
          <w:tcPr>
            <w:tcW w:w="3940" w:type="dxa"/>
          </w:tcPr>
          <w:p w14:paraId="229FD1F3" w14:textId="500D37E4" w:rsidR="001106EE" w:rsidRDefault="001106EE" w:rsidP="001106EE">
            <w:pPr>
              <w:pStyle w:val="TableHeaders"/>
              <w:jc w:val="left"/>
            </w:pPr>
            <w:r>
              <w:t xml:space="preserve"> Description of fee</w:t>
            </w:r>
          </w:p>
        </w:tc>
        <w:tc>
          <w:tcPr>
            <w:tcW w:w="3006" w:type="dxa"/>
          </w:tcPr>
          <w:p w14:paraId="68460941" w14:textId="4321E9BB" w:rsidR="001106EE" w:rsidRDefault="001106EE" w:rsidP="001A5DAB">
            <w:pPr>
              <w:pStyle w:val="TableHeaders"/>
            </w:pPr>
            <w:r>
              <w:t xml:space="preserve">Regulation </w:t>
            </w:r>
          </w:p>
        </w:tc>
        <w:tc>
          <w:tcPr>
            <w:tcW w:w="1639" w:type="dxa"/>
          </w:tcPr>
          <w:p w14:paraId="61DDE25F" w14:textId="4BF740ED" w:rsidR="001106EE" w:rsidRDefault="001106EE" w:rsidP="001A5DAB">
            <w:pPr>
              <w:pStyle w:val="TableHeaders"/>
            </w:pPr>
            <w:r>
              <w:t>Fee Units</w:t>
            </w:r>
          </w:p>
        </w:tc>
      </w:tr>
      <w:tr w:rsidR="001106EE" w14:paraId="71471BD9" w14:textId="77777777" w:rsidTr="001A5DAB">
        <w:tc>
          <w:tcPr>
            <w:tcW w:w="704" w:type="dxa"/>
          </w:tcPr>
          <w:p w14:paraId="3F0EF551" w14:textId="77777777" w:rsidR="001106EE" w:rsidRDefault="001106EE" w:rsidP="001A5DAB">
            <w:pPr>
              <w:pStyle w:val="TableParagraph"/>
              <w:jc w:val="center"/>
            </w:pPr>
            <w:r>
              <w:t>1</w:t>
            </w:r>
          </w:p>
        </w:tc>
        <w:tc>
          <w:tcPr>
            <w:tcW w:w="3940" w:type="dxa"/>
          </w:tcPr>
          <w:p w14:paraId="3BE5E9E3" w14:textId="218AD02D" w:rsidR="001106EE" w:rsidRDefault="001106EE" w:rsidP="001A5DAB">
            <w:pPr>
              <w:pStyle w:val="TableParagraph"/>
            </w:pPr>
            <w:r w:rsidRPr="001106EE">
              <w:t>Fee to make an appointment in relation to testing or assessment for a learner permit or driver licence</w:t>
            </w:r>
          </w:p>
        </w:tc>
        <w:tc>
          <w:tcPr>
            <w:tcW w:w="3006" w:type="dxa"/>
          </w:tcPr>
          <w:p w14:paraId="7E4A6B8C" w14:textId="21E78FE7" w:rsidR="001106EE" w:rsidRDefault="001106EE" w:rsidP="001A5DAB">
            <w:pPr>
              <w:pStyle w:val="TableParagraph"/>
            </w:pPr>
            <w:r>
              <w:rPr>
                <w:i/>
              </w:rPr>
              <w:t>23(2)</w:t>
            </w:r>
          </w:p>
        </w:tc>
        <w:tc>
          <w:tcPr>
            <w:tcW w:w="1639" w:type="dxa"/>
          </w:tcPr>
          <w:p w14:paraId="080CE202" w14:textId="15975C43" w:rsidR="001106EE" w:rsidRDefault="001106EE" w:rsidP="001A5DAB">
            <w:pPr>
              <w:pStyle w:val="TableParagraph"/>
              <w:jc w:val="center"/>
            </w:pPr>
            <w:r>
              <w:t>1.28</w:t>
            </w:r>
          </w:p>
        </w:tc>
      </w:tr>
      <w:tr w:rsidR="001106EE" w14:paraId="21DB5AB9" w14:textId="77777777" w:rsidTr="001A5DAB">
        <w:trPr>
          <w:cnfStyle w:val="000000010000" w:firstRow="0" w:lastRow="0" w:firstColumn="0" w:lastColumn="0" w:oddVBand="0" w:evenVBand="0" w:oddHBand="0" w:evenHBand="1" w:firstRowFirstColumn="0" w:firstRowLastColumn="0" w:lastRowFirstColumn="0" w:lastRowLastColumn="0"/>
        </w:trPr>
        <w:tc>
          <w:tcPr>
            <w:tcW w:w="704" w:type="dxa"/>
          </w:tcPr>
          <w:p w14:paraId="50044BB7" w14:textId="77777777" w:rsidR="001106EE" w:rsidRDefault="001106EE" w:rsidP="001A5DAB">
            <w:pPr>
              <w:pStyle w:val="TableParagraph"/>
              <w:jc w:val="center"/>
            </w:pPr>
            <w:r>
              <w:t>2</w:t>
            </w:r>
          </w:p>
        </w:tc>
        <w:tc>
          <w:tcPr>
            <w:tcW w:w="3940" w:type="dxa"/>
          </w:tcPr>
          <w:p w14:paraId="6A744313" w14:textId="7D2E83F9" w:rsidR="001106EE" w:rsidRDefault="001106EE" w:rsidP="001A5DAB">
            <w:pPr>
              <w:pStyle w:val="TableParagraph"/>
            </w:pPr>
            <w:r w:rsidRPr="001106EE">
              <w:t>Written or computer-based test conducted by VicRoads for a learner permit</w:t>
            </w:r>
          </w:p>
        </w:tc>
        <w:tc>
          <w:tcPr>
            <w:tcW w:w="3006" w:type="dxa"/>
          </w:tcPr>
          <w:p w14:paraId="093E2146" w14:textId="179BC1C2" w:rsidR="001106EE" w:rsidRDefault="001106EE" w:rsidP="001A5DAB">
            <w:pPr>
              <w:pStyle w:val="TableParagraph"/>
            </w:pPr>
            <w:r>
              <w:t>23(2)</w:t>
            </w:r>
          </w:p>
        </w:tc>
        <w:tc>
          <w:tcPr>
            <w:tcW w:w="1639" w:type="dxa"/>
          </w:tcPr>
          <w:p w14:paraId="2F8F2717" w14:textId="6FC4D70E" w:rsidR="001106EE" w:rsidRDefault="002E07A7" w:rsidP="001A5DAB">
            <w:pPr>
              <w:pStyle w:val="TableParagraph"/>
              <w:jc w:val="center"/>
            </w:pPr>
            <w:r>
              <w:t>1.66</w:t>
            </w:r>
          </w:p>
        </w:tc>
      </w:tr>
      <w:tr w:rsidR="001106EE" w14:paraId="609361A3" w14:textId="77777777" w:rsidTr="001A5DAB">
        <w:tc>
          <w:tcPr>
            <w:tcW w:w="704" w:type="dxa"/>
          </w:tcPr>
          <w:p w14:paraId="77343BFA" w14:textId="77777777" w:rsidR="001106EE" w:rsidRPr="00CD7386" w:rsidRDefault="001106EE" w:rsidP="001106EE">
            <w:pPr>
              <w:pStyle w:val="TableParagraph"/>
              <w:jc w:val="center"/>
              <w:rPr>
                <w:rFonts w:cs="Segoe UI"/>
                <w:szCs w:val="18"/>
              </w:rPr>
            </w:pPr>
            <w:r w:rsidRPr="00CD7386">
              <w:rPr>
                <w:rFonts w:cs="Segoe UI"/>
                <w:szCs w:val="18"/>
              </w:rPr>
              <w:t>3</w:t>
            </w:r>
          </w:p>
        </w:tc>
        <w:tc>
          <w:tcPr>
            <w:tcW w:w="3940" w:type="dxa"/>
          </w:tcPr>
          <w:p w14:paraId="33D86741" w14:textId="77777777" w:rsidR="00CD7386" w:rsidRPr="00CD7386" w:rsidRDefault="00CD7386" w:rsidP="00CD7386">
            <w:pPr>
              <w:pStyle w:val="Default"/>
              <w:rPr>
                <w:rFonts w:ascii="Segoe UI" w:hAnsi="Segoe UI" w:cs="Segoe UI"/>
                <w:sz w:val="18"/>
                <w:szCs w:val="18"/>
              </w:rPr>
            </w:pPr>
            <w:r w:rsidRPr="00CD7386">
              <w:rPr>
                <w:rFonts w:ascii="Segoe UI" w:hAnsi="Segoe UI" w:cs="Segoe UI"/>
                <w:sz w:val="18"/>
                <w:szCs w:val="18"/>
              </w:rPr>
              <w:t xml:space="preserve">Written or computer-based test conducted by VicRoads for a driver licence or driver licence variation for— </w:t>
            </w:r>
          </w:p>
          <w:p w14:paraId="0FFE0767" w14:textId="445A251B" w:rsidR="00CD7386" w:rsidRDefault="00CD7386" w:rsidP="00CD7386">
            <w:pPr>
              <w:pStyle w:val="Default"/>
              <w:rPr>
                <w:rFonts w:ascii="Segoe UI" w:hAnsi="Segoe UI" w:cs="Segoe UI"/>
                <w:sz w:val="18"/>
                <w:szCs w:val="18"/>
              </w:rPr>
            </w:pPr>
            <w:r w:rsidRPr="00CD7386">
              <w:rPr>
                <w:rFonts w:ascii="Segoe UI" w:hAnsi="Segoe UI" w:cs="Segoe UI"/>
                <w:sz w:val="18"/>
                <w:szCs w:val="18"/>
              </w:rPr>
              <w:t xml:space="preserve">(a) a heavy vehicle; </w:t>
            </w:r>
          </w:p>
          <w:p w14:paraId="514E56DF" w14:textId="77777777" w:rsidR="00CD7386" w:rsidRPr="00CD7386" w:rsidRDefault="00CD7386" w:rsidP="00CD7386">
            <w:pPr>
              <w:pStyle w:val="Default"/>
              <w:rPr>
                <w:rFonts w:ascii="Segoe UI" w:hAnsi="Segoe UI" w:cs="Segoe UI"/>
                <w:sz w:val="18"/>
                <w:szCs w:val="18"/>
              </w:rPr>
            </w:pPr>
          </w:p>
          <w:p w14:paraId="2584929A" w14:textId="75C9B953" w:rsidR="00CD7386" w:rsidRPr="00CD7386" w:rsidRDefault="00CD7386" w:rsidP="00CD7386">
            <w:pPr>
              <w:pStyle w:val="TableParagraph"/>
              <w:rPr>
                <w:rFonts w:cs="Segoe UI"/>
                <w:szCs w:val="18"/>
              </w:rPr>
            </w:pPr>
            <w:r w:rsidRPr="00CD7386">
              <w:rPr>
                <w:rFonts w:cs="Segoe UI"/>
                <w:szCs w:val="18"/>
              </w:rPr>
              <w:t xml:space="preserve">(b) other motor vehicles </w:t>
            </w:r>
          </w:p>
        </w:tc>
        <w:tc>
          <w:tcPr>
            <w:tcW w:w="3006" w:type="dxa"/>
          </w:tcPr>
          <w:p w14:paraId="69F8EC2B" w14:textId="41DA5119" w:rsidR="001106EE" w:rsidRDefault="001106EE" w:rsidP="001106EE">
            <w:pPr>
              <w:pStyle w:val="TableParagraph"/>
            </w:pPr>
            <w:r w:rsidRPr="00F914AE">
              <w:t>23(2)</w:t>
            </w:r>
          </w:p>
        </w:tc>
        <w:tc>
          <w:tcPr>
            <w:tcW w:w="1639" w:type="dxa"/>
          </w:tcPr>
          <w:p w14:paraId="2B1E3D6C" w14:textId="77777777" w:rsidR="00CD7386" w:rsidRDefault="00CD7386" w:rsidP="001106EE">
            <w:pPr>
              <w:pStyle w:val="TableParagraph"/>
              <w:jc w:val="center"/>
            </w:pPr>
          </w:p>
          <w:p w14:paraId="38D6CDAA" w14:textId="77777777" w:rsidR="00CD7386" w:rsidRDefault="00CD7386" w:rsidP="001106EE">
            <w:pPr>
              <w:pStyle w:val="TableParagraph"/>
              <w:jc w:val="center"/>
            </w:pPr>
          </w:p>
          <w:p w14:paraId="43D273EC" w14:textId="3AB1249F" w:rsidR="001106EE" w:rsidRDefault="002E07A7" w:rsidP="001106EE">
            <w:pPr>
              <w:pStyle w:val="TableParagraph"/>
              <w:jc w:val="center"/>
            </w:pPr>
            <w:r>
              <w:t>1.37</w:t>
            </w:r>
          </w:p>
          <w:p w14:paraId="16AD8D6A" w14:textId="77777777" w:rsidR="00886E61" w:rsidRDefault="00886E61" w:rsidP="001106EE">
            <w:pPr>
              <w:pStyle w:val="TableParagraph"/>
              <w:jc w:val="center"/>
            </w:pPr>
          </w:p>
          <w:p w14:paraId="0D891FBE" w14:textId="072A3E00" w:rsidR="00886E61" w:rsidRDefault="00886E61" w:rsidP="001106EE">
            <w:pPr>
              <w:pStyle w:val="TableParagraph"/>
              <w:jc w:val="center"/>
            </w:pPr>
            <w:r>
              <w:t>1.27</w:t>
            </w:r>
          </w:p>
        </w:tc>
      </w:tr>
      <w:tr w:rsidR="001106EE" w14:paraId="02D5EBE5" w14:textId="77777777" w:rsidTr="001A5DAB">
        <w:trPr>
          <w:cnfStyle w:val="000000010000" w:firstRow="0" w:lastRow="0" w:firstColumn="0" w:lastColumn="0" w:oddVBand="0" w:evenVBand="0" w:oddHBand="0" w:evenHBand="1" w:firstRowFirstColumn="0" w:firstRowLastColumn="0" w:lastRowFirstColumn="0" w:lastRowLastColumn="0"/>
        </w:trPr>
        <w:tc>
          <w:tcPr>
            <w:tcW w:w="704" w:type="dxa"/>
          </w:tcPr>
          <w:p w14:paraId="11158B1A" w14:textId="77777777" w:rsidR="001106EE" w:rsidRDefault="001106EE" w:rsidP="001106EE">
            <w:pPr>
              <w:pStyle w:val="TableParagraph"/>
              <w:jc w:val="center"/>
            </w:pPr>
            <w:r>
              <w:t>4</w:t>
            </w:r>
          </w:p>
        </w:tc>
        <w:tc>
          <w:tcPr>
            <w:tcW w:w="3940" w:type="dxa"/>
          </w:tcPr>
          <w:p w14:paraId="0286129B" w14:textId="6FAEC099" w:rsidR="001106EE" w:rsidRDefault="00CD7386" w:rsidP="001106EE">
            <w:pPr>
              <w:pStyle w:val="TableParagraph"/>
            </w:pPr>
            <w:r w:rsidRPr="00CD7386">
              <w:t>Practical test conducted by VicRoads for a driver licence or driver licence variation for any motor vehicle other than a heavy vehicle</w:t>
            </w:r>
          </w:p>
        </w:tc>
        <w:tc>
          <w:tcPr>
            <w:tcW w:w="3006" w:type="dxa"/>
          </w:tcPr>
          <w:p w14:paraId="6C847396" w14:textId="3FC88090" w:rsidR="001106EE" w:rsidRDefault="001106EE" w:rsidP="001106EE">
            <w:pPr>
              <w:pStyle w:val="TableParagraph"/>
            </w:pPr>
            <w:r w:rsidRPr="00365C0A">
              <w:t>23(2)</w:t>
            </w:r>
          </w:p>
        </w:tc>
        <w:tc>
          <w:tcPr>
            <w:tcW w:w="1639" w:type="dxa"/>
          </w:tcPr>
          <w:p w14:paraId="305332F0" w14:textId="619387CB" w:rsidR="001106EE" w:rsidRDefault="00CD7386" w:rsidP="001106EE">
            <w:pPr>
              <w:pStyle w:val="TableParagraph"/>
              <w:jc w:val="center"/>
            </w:pPr>
            <w:r>
              <w:t>3.08</w:t>
            </w:r>
          </w:p>
        </w:tc>
      </w:tr>
      <w:tr w:rsidR="001106EE" w14:paraId="25538FB1" w14:textId="77777777" w:rsidTr="001A5DAB">
        <w:tc>
          <w:tcPr>
            <w:tcW w:w="704" w:type="dxa"/>
          </w:tcPr>
          <w:p w14:paraId="63C76756" w14:textId="77777777" w:rsidR="001106EE" w:rsidRDefault="001106EE" w:rsidP="001106EE">
            <w:pPr>
              <w:pStyle w:val="TableParagraph"/>
              <w:jc w:val="center"/>
            </w:pPr>
            <w:r>
              <w:t>5</w:t>
            </w:r>
          </w:p>
        </w:tc>
        <w:tc>
          <w:tcPr>
            <w:tcW w:w="3940" w:type="dxa"/>
          </w:tcPr>
          <w:p w14:paraId="73D44275" w14:textId="777BCA24" w:rsidR="001106EE" w:rsidRDefault="00CD7386" w:rsidP="001106EE">
            <w:pPr>
              <w:pStyle w:val="TableParagraph"/>
            </w:pPr>
            <w:r w:rsidRPr="00CD7386">
              <w:t>Practical test conducted by VicRoads for a driver licence or driver licence variation for any heavy vehicle</w:t>
            </w:r>
          </w:p>
        </w:tc>
        <w:tc>
          <w:tcPr>
            <w:tcW w:w="3006" w:type="dxa"/>
          </w:tcPr>
          <w:p w14:paraId="310668C8" w14:textId="2D25C7BB" w:rsidR="001106EE" w:rsidRDefault="001106EE" w:rsidP="001106EE">
            <w:pPr>
              <w:pStyle w:val="TableParagraph"/>
            </w:pPr>
            <w:r w:rsidRPr="00365C0A">
              <w:t>23(2)</w:t>
            </w:r>
          </w:p>
        </w:tc>
        <w:tc>
          <w:tcPr>
            <w:tcW w:w="1639" w:type="dxa"/>
          </w:tcPr>
          <w:p w14:paraId="5DEE983F" w14:textId="2C22ACE0" w:rsidR="002E07A7" w:rsidRDefault="002E07A7" w:rsidP="002E07A7">
            <w:pPr>
              <w:pStyle w:val="TableParagraph"/>
              <w:jc w:val="center"/>
            </w:pPr>
            <w:r>
              <w:t>3.</w:t>
            </w:r>
            <w:r w:rsidR="00CD7386">
              <w:t>36</w:t>
            </w:r>
          </w:p>
        </w:tc>
      </w:tr>
      <w:tr w:rsidR="001106EE" w14:paraId="4136A9E3" w14:textId="77777777" w:rsidTr="001A5DAB">
        <w:trPr>
          <w:cnfStyle w:val="000000010000" w:firstRow="0" w:lastRow="0" w:firstColumn="0" w:lastColumn="0" w:oddVBand="0" w:evenVBand="0" w:oddHBand="0" w:evenHBand="1" w:firstRowFirstColumn="0" w:firstRowLastColumn="0" w:lastRowFirstColumn="0" w:lastRowLastColumn="0"/>
        </w:trPr>
        <w:tc>
          <w:tcPr>
            <w:tcW w:w="704" w:type="dxa"/>
          </w:tcPr>
          <w:p w14:paraId="11BC34DF" w14:textId="77777777" w:rsidR="001106EE" w:rsidRDefault="001106EE" w:rsidP="001106EE">
            <w:pPr>
              <w:pStyle w:val="TableParagraph"/>
              <w:jc w:val="center"/>
            </w:pPr>
            <w:r>
              <w:t>6</w:t>
            </w:r>
          </w:p>
        </w:tc>
        <w:tc>
          <w:tcPr>
            <w:tcW w:w="3940" w:type="dxa"/>
          </w:tcPr>
          <w:p w14:paraId="7C4511FF" w14:textId="6D9464B8" w:rsidR="001106EE" w:rsidRDefault="00CD7386" w:rsidP="001106EE">
            <w:pPr>
              <w:pStyle w:val="TableParagraph"/>
            </w:pPr>
            <w:r w:rsidRPr="00CD7386">
              <w:t>Fee to transfer an appointment in relation to testing or assessment for a learner permit or driver licence</w:t>
            </w:r>
          </w:p>
        </w:tc>
        <w:tc>
          <w:tcPr>
            <w:tcW w:w="3006" w:type="dxa"/>
          </w:tcPr>
          <w:p w14:paraId="00D04C51" w14:textId="3D5326B6" w:rsidR="001106EE" w:rsidRDefault="001106EE" w:rsidP="001106EE">
            <w:pPr>
              <w:pStyle w:val="TableParagraph"/>
            </w:pPr>
            <w:r w:rsidRPr="004F412F">
              <w:t>23(2)</w:t>
            </w:r>
            <w:r>
              <w:t>, 26(4)</w:t>
            </w:r>
          </w:p>
        </w:tc>
        <w:tc>
          <w:tcPr>
            <w:tcW w:w="1639" w:type="dxa"/>
          </w:tcPr>
          <w:p w14:paraId="520C6976" w14:textId="20252C45" w:rsidR="001106EE" w:rsidRDefault="00CD7386" w:rsidP="001106EE">
            <w:pPr>
              <w:pStyle w:val="TableParagraph"/>
              <w:jc w:val="center"/>
            </w:pPr>
            <w:r>
              <w:t>1.28</w:t>
            </w:r>
          </w:p>
        </w:tc>
      </w:tr>
      <w:tr w:rsidR="001106EE" w14:paraId="745314CC" w14:textId="77777777" w:rsidTr="001A5DAB">
        <w:tc>
          <w:tcPr>
            <w:tcW w:w="704" w:type="dxa"/>
          </w:tcPr>
          <w:p w14:paraId="69203C7C" w14:textId="77777777" w:rsidR="001106EE" w:rsidRDefault="001106EE" w:rsidP="001106EE">
            <w:pPr>
              <w:pStyle w:val="TableParagraph"/>
              <w:jc w:val="center"/>
            </w:pPr>
            <w:r>
              <w:t>7</w:t>
            </w:r>
          </w:p>
        </w:tc>
        <w:tc>
          <w:tcPr>
            <w:tcW w:w="3940" w:type="dxa"/>
          </w:tcPr>
          <w:p w14:paraId="14BD44C8" w14:textId="65F87ABD" w:rsidR="001106EE" w:rsidRDefault="00CD7386" w:rsidP="001106EE">
            <w:pPr>
              <w:pStyle w:val="TableParagraph"/>
            </w:pPr>
            <w:r w:rsidRPr="00CD7386">
              <w:t>Fee to make an appointment for the verification of a non-Victorian licence or permit for the purpose of an application for the grant or variation of a Victorian driver licence or learner permit</w:t>
            </w:r>
          </w:p>
        </w:tc>
        <w:tc>
          <w:tcPr>
            <w:tcW w:w="3006" w:type="dxa"/>
          </w:tcPr>
          <w:p w14:paraId="3C045711" w14:textId="7396DF71" w:rsidR="001106EE" w:rsidRDefault="001106EE" w:rsidP="001106EE">
            <w:pPr>
              <w:pStyle w:val="TableParagraph"/>
            </w:pPr>
            <w:r w:rsidRPr="004F412F">
              <w:t>2</w:t>
            </w:r>
            <w:r>
              <w:t>6</w:t>
            </w:r>
            <w:r w:rsidRPr="004F412F">
              <w:t>(</w:t>
            </w:r>
            <w:r>
              <w:t>3</w:t>
            </w:r>
            <w:r w:rsidRPr="004F412F">
              <w:t>)</w:t>
            </w:r>
          </w:p>
        </w:tc>
        <w:tc>
          <w:tcPr>
            <w:tcW w:w="1639" w:type="dxa"/>
          </w:tcPr>
          <w:p w14:paraId="0D8CF9AD" w14:textId="37AD6246" w:rsidR="001106EE" w:rsidRDefault="00CD7386" w:rsidP="001106EE">
            <w:pPr>
              <w:pStyle w:val="TableParagraph"/>
              <w:jc w:val="center"/>
            </w:pPr>
            <w:r>
              <w:t>1.28</w:t>
            </w:r>
          </w:p>
        </w:tc>
      </w:tr>
      <w:tr w:rsidR="001106EE" w14:paraId="2BDA22B4" w14:textId="77777777" w:rsidTr="001A5DAB">
        <w:trPr>
          <w:cnfStyle w:val="000000010000" w:firstRow="0" w:lastRow="0" w:firstColumn="0" w:lastColumn="0" w:oddVBand="0" w:evenVBand="0" w:oddHBand="0" w:evenHBand="1" w:firstRowFirstColumn="0" w:firstRowLastColumn="0" w:lastRowFirstColumn="0" w:lastRowLastColumn="0"/>
        </w:trPr>
        <w:tc>
          <w:tcPr>
            <w:tcW w:w="704" w:type="dxa"/>
          </w:tcPr>
          <w:p w14:paraId="3251C3BB" w14:textId="77777777" w:rsidR="001106EE" w:rsidRDefault="001106EE" w:rsidP="001A5DAB">
            <w:pPr>
              <w:pStyle w:val="TableParagraph"/>
              <w:jc w:val="center"/>
            </w:pPr>
            <w:r>
              <w:t>8</w:t>
            </w:r>
          </w:p>
        </w:tc>
        <w:tc>
          <w:tcPr>
            <w:tcW w:w="3940" w:type="dxa"/>
          </w:tcPr>
          <w:p w14:paraId="05CEACE3" w14:textId="1DE22DA3" w:rsidR="001106EE" w:rsidRDefault="00CD7386" w:rsidP="001A5DAB">
            <w:pPr>
              <w:pStyle w:val="TableParagraph"/>
            </w:pPr>
            <w:r w:rsidRPr="00CD7386">
              <w:t>Grant of a motor cycle learner permit</w:t>
            </w:r>
          </w:p>
        </w:tc>
        <w:tc>
          <w:tcPr>
            <w:tcW w:w="3006" w:type="dxa"/>
          </w:tcPr>
          <w:p w14:paraId="64CB2CAC" w14:textId="6C79E98E" w:rsidR="001106EE" w:rsidRDefault="00B41BD5" w:rsidP="001A5DAB">
            <w:pPr>
              <w:pStyle w:val="TableParagraph"/>
            </w:pPr>
            <w:r>
              <w:t>23(2), 60(2)</w:t>
            </w:r>
          </w:p>
        </w:tc>
        <w:tc>
          <w:tcPr>
            <w:tcW w:w="1639" w:type="dxa"/>
          </w:tcPr>
          <w:p w14:paraId="617DA2C4" w14:textId="54914CFB" w:rsidR="001106EE" w:rsidRDefault="00CD7386" w:rsidP="001A5DAB">
            <w:pPr>
              <w:pStyle w:val="TableParagraph"/>
              <w:jc w:val="center"/>
            </w:pPr>
            <w:r>
              <w:t>1.7</w:t>
            </w:r>
          </w:p>
        </w:tc>
      </w:tr>
      <w:tr w:rsidR="001106EE" w14:paraId="743249A2" w14:textId="77777777" w:rsidTr="001A5DAB">
        <w:tc>
          <w:tcPr>
            <w:tcW w:w="704" w:type="dxa"/>
          </w:tcPr>
          <w:p w14:paraId="6A7223A3" w14:textId="77777777" w:rsidR="001106EE" w:rsidRDefault="001106EE" w:rsidP="001A5DAB">
            <w:pPr>
              <w:pStyle w:val="TableParagraph"/>
              <w:jc w:val="center"/>
            </w:pPr>
            <w:r>
              <w:t>9</w:t>
            </w:r>
          </w:p>
        </w:tc>
        <w:tc>
          <w:tcPr>
            <w:tcW w:w="3940" w:type="dxa"/>
          </w:tcPr>
          <w:p w14:paraId="37CE12A9" w14:textId="3C39B322" w:rsidR="001106EE" w:rsidRDefault="00CD7386" w:rsidP="001A5DAB">
            <w:pPr>
              <w:pStyle w:val="TableParagraph"/>
            </w:pPr>
            <w:r w:rsidRPr="00CD7386">
              <w:t>Grant or renewal of a car learner permit</w:t>
            </w:r>
          </w:p>
        </w:tc>
        <w:tc>
          <w:tcPr>
            <w:tcW w:w="3006" w:type="dxa"/>
          </w:tcPr>
          <w:p w14:paraId="77AEAD31" w14:textId="14013F63" w:rsidR="001106EE" w:rsidRDefault="00B41BD5" w:rsidP="001A5DAB">
            <w:pPr>
              <w:pStyle w:val="TableParagraph"/>
            </w:pPr>
            <w:r w:rsidRPr="00B41BD5">
              <w:t>23(2), 60(2)</w:t>
            </w:r>
          </w:p>
        </w:tc>
        <w:tc>
          <w:tcPr>
            <w:tcW w:w="1639" w:type="dxa"/>
          </w:tcPr>
          <w:p w14:paraId="03371BCD" w14:textId="06149C01" w:rsidR="001106EE" w:rsidRDefault="00CD7386" w:rsidP="001A5DAB">
            <w:pPr>
              <w:pStyle w:val="TableParagraph"/>
              <w:jc w:val="center"/>
            </w:pPr>
            <w:r>
              <w:t>1.7</w:t>
            </w:r>
          </w:p>
        </w:tc>
      </w:tr>
      <w:tr w:rsidR="001106EE" w14:paraId="7D6CB415" w14:textId="77777777" w:rsidTr="001A5DAB">
        <w:trPr>
          <w:cnfStyle w:val="000000010000" w:firstRow="0" w:lastRow="0" w:firstColumn="0" w:lastColumn="0" w:oddVBand="0" w:evenVBand="0" w:oddHBand="0" w:evenHBand="1" w:firstRowFirstColumn="0" w:firstRowLastColumn="0" w:lastRowFirstColumn="0" w:lastRowLastColumn="0"/>
        </w:trPr>
        <w:tc>
          <w:tcPr>
            <w:tcW w:w="704" w:type="dxa"/>
          </w:tcPr>
          <w:p w14:paraId="483FB49A" w14:textId="77777777" w:rsidR="001106EE" w:rsidRDefault="001106EE" w:rsidP="001A5DAB">
            <w:pPr>
              <w:pStyle w:val="TableParagraph"/>
              <w:jc w:val="center"/>
            </w:pPr>
            <w:r>
              <w:t>10</w:t>
            </w:r>
          </w:p>
        </w:tc>
        <w:tc>
          <w:tcPr>
            <w:tcW w:w="3940" w:type="dxa"/>
          </w:tcPr>
          <w:p w14:paraId="4F006650" w14:textId="00128241" w:rsidR="001106EE" w:rsidRDefault="00CD7386" w:rsidP="001A5DAB">
            <w:pPr>
              <w:pStyle w:val="TableParagraph"/>
            </w:pPr>
            <w:r w:rsidRPr="00CD7386">
              <w:t>Variation of a driver licence or learner permit</w:t>
            </w:r>
          </w:p>
        </w:tc>
        <w:tc>
          <w:tcPr>
            <w:tcW w:w="3006" w:type="dxa"/>
          </w:tcPr>
          <w:p w14:paraId="5D61FA41" w14:textId="5444AF89" w:rsidR="001106EE" w:rsidRDefault="00B41BD5" w:rsidP="001A5DAB">
            <w:pPr>
              <w:pStyle w:val="TableParagraph"/>
            </w:pPr>
            <w:r w:rsidRPr="00B41BD5">
              <w:t>23(2), 60(2)</w:t>
            </w:r>
          </w:p>
        </w:tc>
        <w:tc>
          <w:tcPr>
            <w:tcW w:w="1639" w:type="dxa"/>
          </w:tcPr>
          <w:p w14:paraId="12CA7EBC" w14:textId="2F4BC880" w:rsidR="001106EE" w:rsidRDefault="00CD7386" w:rsidP="001A5DAB">
            <w:pPr>
              <w:pStyle w:val="TableParagraph"/>
              <w:jc w:val="center"/>
            </w:pPr>
            <w:r>
              <w:t>2.13</w:t>
            </w:r>
          </w:p>
        </w:tc>
      </w:tr>
      <w:tr w:rsidR="001106EE" w14:paraId="3EDB10A5" w14:textId="77777777" w:rsidTr="001A5DAB">
        <w:tc>
          <w:tcPr>
            <w:tcW w:w="704" w:type="dxa"/>
          </w:tcPr>
          <w:p w14:paraId="4E4575E6" w14:textId="77777777" w:rsidR="001106EE" w:rsidRDefault="001106EE" w:rsidP="001A5DAB">
            <w:pPr>
              <w:pStyle w:val="TableParagraph"/>
              <w:jc w:val="center"/>
            </w:pPr>
            <w:r>
              <w:t>11</w:t>
            </w:r>
          </w:p>
        </w:tc>
        <w:tc>
          <w:tcPr>
            <w:tcW w:w="3940" w:type="dxa"/>
          </w:tcPr>
          <w:p w14:paraId="59C8E486" w14:textId="1B8D5DD7" w:rsidR="001106EE" w:rsidRDefault="009240C8" w:rsidP="001A5DAB">
            <w:pPr>
              <w:pStyle w:val="TableParagraph"/>
            </w:pPr>
            <w:r w:rsidRPr="009240C8">
              <w:t>Issue of a replacement licence document</w:t>
            </w:r>
          </w:p>
        </w:tc>
        <w:tc>
          <w:tcPr>
            <w:tcW w:w="3006" w:type="dxa"/>
          </w:tcPr>
          <w:p w14:paraId="0AF3DF12" w14:textId="3DCF94D0" w:rsidR="001106EE" w:rsidRDefault="00C052AA" w:rsidP="001A5DAB">
            <w:pPr>
              <w:pStyle w:val="TableParagraph"/>
            </w:pPr>
            <w:r>
              <w:t>62(4)</w:t>
            </w:r>
          </w:p>
        </w:tc>
        <w:tc>
          <w:tcPr>
            <w:tcW w:w="1639" w:type="dxa"/>
          </w:tcPr>
          <w:p w14:paraId="48C168B7" w14:textId="1771D407" w:rsidR="001106EE" w:rsidRDefault="009240C8" w:rsidP="001A5DAB">
            <w:pPr>
              <w:pStyle w:val="TableParagraph"/>
              <w:jc w:val="center"/>
            </w:pPr>
            <w:r>
              <w:t>1.66</w:t>
            </w:r>
          </w:p>
        </w:tc>
      </w:tr>
      <w:tr w:rsidR="001106EE" w14:paraId="3ECA8905" w14:textId="77777777" w:rsidTr="001A5DAB">
        <w:trPr>
          <w:cnfStyle w:val="000000010000" w:firstRow="0" w:lastRow="0" w:firstColumn="0" w:lastColumn="0" w:oddVBand="0" w:evenVBand="0" w:oddHBand="0" w:evenHBand="1" w:firstRowFirstColumn="0" w:firstRowLastColumn="0" w:lastRowFirstColumn="0" w:lastRowLastColumn="0"/>
        </w:trPr>
        <w:tc>
          <w:tcPr>
            <w:tcW w:w="704" w:type="dxa"/>
          </w:tcPr>
          <w:p w14:paraId="751A4D73" w14:textId="77777777" w:rsidR="001106EE" w:rsidRDefault="001106EE" w:rsidP="001A5DAB">
            <w:pPr>
              <w:pStyle w:val="TableParagraph"/>
              <w:jc w:val="center"/>
            </w:pPr>
            <w:r>
              <w:t>12</w:t>
            </w:r>
          </w:p>
        </w:tc>
        <w:tc>
          <w:tcPr>
            <w:tcW w:w="3940" w:type="dxa"/>
          </w:tcPr>
          <w:p w14:paraId="0D1A27DF" w14:textId="60EADAE3" w:rsidR="001106EE" w:rsidRDefault="009240C8" w:rsidP="001A5DAB">
            <w:pPr>
              <w:pStyle w:val="TableParagraph"/>
            </w:pPr>
            <w:r w:rsidRPr="009240C8">
              <w:t>Issue of a replacement learner permit document</w:t>
            </w:r>
          </w:p>
        </w:tc>
        <w:tc>
          <w:tcPr>
            <w:tcW w:w="3006" w:type="dxa"/>
          </w:tcPr>
          <w:p w14:paraId="3F78497D" w14:textId="0BAF4D39" w:rsidR="001106EE" w:rsidRDefault="00C052AA" w:rsidP="001A5DAB">
            <w:pPr>
              <w:pStyle w:val="TableParagraph"/>
            </w:pPr>
            <w:r>
              <w:t>62(4)</w:t>
            </w:r>
          </w:p>
        </w:tc>
        <w:tc>
          <w:tcPr>
            <w:tcW w:w="1639" w:type="dxa"/>
          </w:tcPr>
          <w:p w14:paraId="04A81216" w14:textId="79820849" w:rsidR="001106EE" w:rsidRDefault="009240C8" w:rsidP="001A5DAB">
            <w:pPr>
              <w:pStyle w:val="TableParagraph"/>
              <w:jc w:val="center"/>
            </w:pPr>
            <w:r>
              <w:t>1.66</w:t>
            </w:r>
          </w:p>
        </w:tc>
      </w:tr>
      <w:tr w:rsidR="00C052AA" w14:paraId="2743D5C4" w14:textId="77777777" w:rsidTr="001A5DAB">
        <w:tc>
          <w:tcPr>
            <w:tcW w:w="704" w:type="dxa"/>
          </w:tcPr>
          <w:p w14:paraId="060DFC85" w14:textId="5D1C6478" w:rsidR="00C052AA" w:rsidRDefault="00C052AA" w:rsidP="001A5DAB">
            <w:pPr>
              <w:pStyle w:val="TableParagraph"/>
              <w:jc w:val="center"/>
            </w:pPr>
            <w:r>
              <w:t>13</w:t>
            </w:r>
          </w:p>
        </w:tc>
        <w:tc>
          <w:tcPr>
            <w:tcW w:w="3940" w:type="dxa"/>
          </w:tcPr>
          <w:p w14:paraId="619D3895" w14:textId="258E61AB" w:rsidR="00C052AA" w:rsidRPr="0032702B" w:rsidRDefault="009240C8" w:rsidP="001A5DAB">
            <w:pPr>
              <w:pStyle w:val="TableParagraph"/>
            </w:pPr>
            <w:r w:rsidRPr="009240C8">
              <w:t>Fee to make an application for exemption under regulation 99(2)</w:t>
            </w:r>
          </w:p>
        </w:tc>
        <w:tc>
          <w:tcPr>
            <w:tcW w:w="3006" w:type="dxa"/>
          </w:tcPr>
          <w:p w14:paraId="679083CB" w14:textId="39BFA152" w:rsidR="00C052AA" w:rsidRDefault="00C052AA" w:rsidP="001A5DAB">
            <w:pPr>
              <w:pStyle w:val="TableParagraph"/>
            </w:pPr>
            <w:r>
              <w:t>99(2)</w:t>
            </w:r>
          </w:p>
        </w:tc>
        <w:tc>
          <w:tcPr>
            <w:tcW w:w="1639" w:type="dxa"/>
          </w:tcPr>
          <w:p w14:paraId="2E1CF084" w14:textId="7BBA860D" w:rsidR="00C052AA" w:rsidRDefault="009240C8" w:rsidP="001A5DAB">
            <w:pPr>
              <w:pStyle w:val="TableParagraph"/>
              <w:jc w:val="center"/>
            </w:pPr>
            <w:r>
              <w:t>4.16</w:t>
            </w:r>
          </w:p>
        </w:tc>
      </w:tr>
      <w:tr w:rsidR="00C052AA" w14:paraId="01E8EFC4" w14:textId="77777777" w:rsidTr="001A5DAB">
        <w:trPr>
          <w:cnfStyle w:val="000000010000" w:firstRow="0" w:lastRow="0" w:firstColumn="0" w:lastColumn="0" w:oddVBand="0" w:evenVBand="0" w:oddHBand="0" w:evenHBand="1" w:firstRowFirstColumn="0" w:firstRowLastColumn="0" w:lastRowFirstColumn="0" w:lastRowLastColumn="0"/>
        </w:trPr>
        <w:tc>
          <w:tcPr>
            <w:tcW w:w="704" w:type="dxa"/>
          </w:tcPr>
          <w:p w14:paraId="706C8390" w14:textId="2B7035EB" w:rsidR="00C052AA" w:rsidRDefault="00C052AA" w:rsidP="001A5DAB">
            <w:pPr>
              <w:pStyle w:val="TableParagraph"/>
              <w:jc w:val="center"/>
            </w:pPr>
            <w:r>
              <w:t>14</w:t>
            </w:r>
          </w:p>
        </w:tc>
        <w:tc>
          <w:tcPr>
            <w:tcW w:w="3940" w:type="dxa"/>
          </w:tcPr>
          <w:p w14:paraId="0E001078" w14:textId="78507F31" w:rsidR="00C052AA" w:rsidRPr="0032702B" w:rsidRDefault="009240C8" w:rsidP="001A5DAB">
            <w:pPr>
              <w:pStyle w:val="TableParagraph"/>
            </w:pPr>
            <w:r w:rsidRPr="009240C8">
              <w:t>Issue of a replacement learner log book</w:t>
            </w:r>
          </w:p>
        </w:tc>
        <w:tc>
          <w:tcPr>
            <w:tcW w:w="3006" w:type="dxa"/>
          </w:tcPr>
          <w:p w14:paraId="33848776" w14:textId="00CFE9B2" w:rsidR="00C052AA" w:rsidRDefault="00C052AA" w:rsidP="001A5DAB">
            <w:pPr>
              <w:pStyle w:val="TableParagraph"/>
            </w:pPr>
            <w:r>
              <w:t>104</w:t>
            </w:r>
          </w:p>
        </w:tc>
        <w:tc>
          <w:tcPr>
            <w:tcW w:w="1639" w:type="dxa"/>
          </w:tcPr>
          <w:p w14:paraId="7E4D98B9" w14:textId="2D9DE4E8" w:rsidR="00C052AA" w:rsidRDefault="009240C8" w:rsidP="001A5DAB">
            <w:pPr>
              <w:pStyle w:val="TableParagraph"/>
              <w:jc w:val="center"/>
            </w:pPr>
            <w:r>
              <w:t>1.4</w:t>
            </w:r>
          </w:p>
        </w:tc>
      </w:tr>
      <w:tr w:rsidR="00C052AA" w14:paraId="7DF2B175" w14:textId="77777777" w:rsidTr="001A5DAB">
        <w:tc>
          <w:tcPr>
            <w:tcW w:w="704" w:type="dxa"/>
          </w:tcPr>
          <w:p w14:paraId="6042DDBC" w14:textId="58A9C961" w:rsidR="00C052AA" w:rsidRDefault="00C052AA" w:rsidP="001A5DAB">
            <w:pPr>
              <w:pStyle w:val="TableParagraph"/>
              <w:jc w:val="center"/>
            </w:pPr>
            <w:r>
              <w:t>15</w:t>
            </w:r>
          </w:p>
        </w:tc>
        <w:tc>
          <w:tcPr>
            <w:tcW w:w="3940" w:type="dxa"/>
          </w:tcPr>
          <w:p w14:paraId="00416399" w14:textId="5C9979E0" w:rsidR="00C052AA" w:rsidRPr="0032702B" w:rsidRDefault="009240C8" w:rsidP="001A5DAB">
            <w:pPr>
              <w:pStyle w:val="TableParagraph"/>
            </w:pPr>
            <w:r w:rsidRPr="009240C8">
              <w:t>Cost recovery fee (full fee)</w:t>
            </w:r>
          </w:p>
        </w:tc>
        <w:tc>
          <w:tcPr>
            <w:tcW w:w="3006" w:type="dxa"/>
          </w:tcPr>
          <w:p w14:paraId="67969715" w14:textId="3BE0A434" w:rsidR="00C052AA" w:rsidRDefault="00C052AA" w:rsidP="001A5DAB">
            <w:pPr>
              <w:pStyle w:val="TableParagraph"/>
            </w:pPr>
            <w:r>
              <w:t>106(1)</w:t>
            </w:r>
          </w:p>
        </w:tc>
        <w:tc>
          <w:tcPr>
            <w:tcW w:w="1639" w:type="dxa"/>
          </w:tcPr>
          <w:p w14:paraId="172EEACE" w14:textId="0E56F519" w:rsidR="00C052AA" w:rsidRDefault="009240C8" w:rsidP="001A5DAB">
            <w:pPr>
              <w:pStyle w:val="TableParagraph"/>
              <w:jc w:val="center"/>
            </w:pPr>
            <w:r>
              <w:t>2.5</w:t>
            </w:r>
          </w:p>
        </w:tc>
      </w:tr>
      <w:tr w:rsidR="00C052AA" w14:paraId="40E9FDE0" w14:textId="77777777" w:rsidTr="001A5DAB">
        <w:trPr>
          <w:cnfStyle w:val="000000010000" w:firstRow="0" w:lastRow="0" w:firstColumn="0" w:lastColumn="0" w:oddVBand="0" w:evenVBand="0" w:oddHBand="0" w:evenHBand="1" w:firstRowFirstColumn="0" w:firstRowLastColumn="0" w:lastRowFirstColumn="0" w:lastRowLastColumn="0"/>
        </w:trPr>
        <w:tc>
          <w:tcPr>
            <w:tcW w:w="704" w:type="dxa"/>
          </w:tcPr>
          <w:p w14:paraId="628EC06D" w14:textId="7FE2BFBA" w:rsidR="00C052AA" w:rsidRDefault="00C052AA" w:rsidP="001A5DAB">
            <w:pPr>
              <w:pStyle w:val="TableParagraph"/>
              <w:jc w:val="center"/>
            </w:pPr>
            <w:r>
              <w:t>16</w:t>
            </w:r>
          </w:p>
        </w:tc>
        <w:tc>
          <w:tcPr>
            <w:tcW w:w="3940" w:type="dxa"/>
          </w:tcPr>
          <w:p w14:paraId="1978F73B" w14:textId="5210D7AD" w:rsidR="00C052AA" w:rsidRPr="0032702B" w:rsidRDefault="009240C8" w:rsidP="001A5DAB">
            <w:pPr>
              <w:pStyle w:val="TableParagraph"/>
            </w:pPr>
            <w:r w:rsidRPr="009240C8">
              <w:t>Cost recovery fee (concessional fee)</w:t>
            </w:r>
          </w:p>
        </w:tc>
        <w:tc>
          <w:tcPr>
            <w:tcW w:w="3006" w:type="dxa"/>
          </w:tcPr>
          <w:p w14:paraId="50B15FE9" w14:textId="1D0B2115" w:rsidR="00C052AA" w:rsidRDefault="00C052AA" w:rsidP="001A5DAB">
            <w:pPr>
              <w:pStyle w:val="TableParagraph"/>
            </w:pPr>
            <w:r>
              <w:t>106(1)</w:t>
            </w:r>
          </w:p>
        </w:tc>
        <w:tc>
          <w:tcPr>
            <w:tcW w:w="1639" w:type="dxa"/>
          </w:tcPr>
          <w:p w14:paraId="3FB94071" w14:textId="1076D90D" w:rsidR="00C052AA" w:rsidRDefault="009240C8" w:rsidP="001A5DAB">
            <w:pPr>
              <w:pStyle w:val="TableParagraph"/>
              <w:jc w:val="center"/>
            </w:pPr>
            <w:r>
              <w:t>1.25</w:t>
            </w:r>
          </w:p>
        </w:tc>
      </w:tr>
      <w:tr w:rsidR="00C052AA" w14:paraId="0D5A089F" w14:textId="77777777" w:rsidTr="001A5DAB">
        <w:tc>
          <w:tcPr>
            <w:tcW w:w="704" w:type="dxa"/>
          </w:tcPr>
          <w:p w14:paraId="6BBD5782" w14:textId="61823684" w:rsidR="00C052AA" w:rsidRDefault="00C052AA" w:rsidP="001A5DAB">
            <w:pPr>
              <w:pStyle w:val="TableParagraph"/>
              <w:jc w:val="center"/>
            </w:pPr>
            <w:r>
              <w:lastRenderedPageBreak/>
              <w:t>17</w:t>
            </w:r>
          </w:p>
        </w:tc>
        <w:tc>
          <w:tcPr>
            <w:tcW w:w="3940" w:type="dxa"/>
          </w:tcPr>
          <w:p w14:paraId="59D30DF6" w14:textId="4488B0C6" w:rsidR="00C052AA" w:rsidRPr="0032702B" w:rsidRDefault="009240C8" w:rsidP="001A5DAB">
            <w:pPr>
              <w:pStyle w:val="TableParagraph"/>
            </w:pPr>
            <w:r w:rsidRPr="009240C8">
              <w:t>Processing a refund relating to cancellation of a driver licence</w:t>
            </w:r>
          </w:p>
        </w:tc>
        <w:tc>
          <w:tcPr>
            <w:tcW w:w="3006" w:type="dxa"/>
          </w:tcPr>
          <w:p w14:paraId="10CB7A66" w14:textId="05714756" w:rsidR="00C052AA" w:rsidRDefault="00C052AA" w:rsidP="001A5DAB">
            <w:pPr>
              <w:pStyle w:val="TableParagraph"/>
            </w:pPr>
            <w:r>
              <w:t>108(3)</w:t>
            </w:r>
          </w:p>
        </w:tc>
        <w:tc>
          <w:tcPr>
            <w:tcW w:w="1639" w:type="dxa"/>
          </w:tcPr>
          <w:p w14:paraId="69236156" w14:textId="4138276D" w:rsidR="00C052AA" w:rsidRDefault="009240C8" w:rsidP="001A5DAB">
            <w:pPr>
              <w:pStyle w:val="TableParagraph"/>
              <w:jc w:val="center"/>
            </w:pPr>
            <w:r>
              <w:t>1.28</w:t>
            </w:r>
          </w:p>
        </w:tc>
      </w:tr>
    </w:tbl>
    <w:p w14:paraId="232AEE19" w14:textId="25574252" w:rsidR="001106EE" w:rsidRDefault="001106EE" w:rsidP="003E0FC9">
      <w:pPr>
        <w:pStyle w:val="TextPara"/>
        <w:rPr>
          <w:lang w:eastAsia="en-AU"/>
        </w:rPr>
      </w:pPr>
    </w:p>
    <w:p w14:paraId="6B13045A" w14:textId="736DF6D7" w:rsidR="009240C8" w:rsidRPr="00A82F1A" w:rsidRDefault="009240C8" w:rsidP="009240C8">
      <w:pPr>
        <w:pStyle w:val="TextPara"/>
        <w:rPr>
          <w:sz w:val="18"/>
          <w:szCs w:val="18"/>
          <w:lang w:eastAsia="en-AU"/>
        </w:rPr>
      </w:pPr>
      <w:r w:rsidRPr="00A82F1A">
        <w:rPr>
          <w:sz w:val="18"/>
          <w:szCs w:val="18"/>
          <w:lang w:eastAsia="en-AU"/>
        </w:rPr>
        <w:t xml:space="preserve">In addition there are fees in the regulations that are set out in dollar amounts. These will change slightly under the remade regulations. They are set out in Schedule 7 of the draft Regulations, and also in in Table </w:t>
      </w:r>
      <w:r w:rsidR="00881375">
        <w:rPr>
          <w:sz w:val="18"/>
          <w:szCs w:val="18"/>
          <w:lang w:eastAsia="en-AU"/>
        </w:rPr>
        <w:t>86</w:t>
      </w:r>
      <w:r w:rsidRPr="00A82F1A">
        <w:rPr>
          <w:sz w:val="18"/>
          <w:szCs w:val="18"/>
          <w:lang w:eastAsia="en-AU"/>
        </w:rPr>
        <w:t xml:space="preserve"> below. The table shows the changes in fees for these </w:t>
      </w:r>
    </w:p>
    <w:p w14:paraId="539ADDCA" w14:textId="13AF3491" w:rsidR="009240C8" w:rsidRPr="00826EB1" w:rsidRDefault="009240C8" w:rsidP="00826EB1">
      <w:pPr>
        <w:pStyle w:val="Caption"/>
      </w:pPr>
      <w:r w:rsidRPr="00826EB1">
        <w:t xml:space="preserve">Table </w:t>
      </w:r>
      <w:r w:rsidR="00881375" w:rsidRPr="00826EB1">
        <w:t>86</w:t>
      </w:r>
      <w:r w:rsidRPr="00826EB1">
        <w:t xml:space="preserve"> – Search and extract Fee Table in Schedule 7 to proposed Regulations</w:t>
      </w:r>
    </w:p>
    <w:tbl>
      <w:tblPr>
        <w:tblStyle w:val="RIS-Table2"/>
        <w:tblW w:w="0" w:type="auto"/>
        <w:tblLook w:val="04A0" w:firstRow="1" w:lastRow="0" w:firstColumn="1" w:lastColumn="0" w:noHBand="0" w:noVBand="1"/>
      </w:tblPr>
      <w:tblGrid>
        <w:gridCol w:w="704"/>
        <w:gridCol w:w="3940"/>
        <w:gridCol w:w="2155"/>
        <w:gridCol w:w="2490"/>
      </w:tblGrid>
      <w:tr w:rsidR="009240C8" w14:paraId="31862024" w14:textId="77777777" w:rsidTr="00432614">
        <w:trPr>
          <w:cnfStyle w:val="100000000000" w:firstRow="1" w:lastRow="0" w:firstColumn="0" w:lastColumn="0" w:oddVBand="0" w:evenVBand="0" w:oddHBand="0" w:evenHBand="0" w:firstRowFirstColumn="0" w:firstRowLastColumn="0" w:lastRowFirstColumn="0" w:lastRowLastColumn="0"/>
        </w:trPr>
        <w:tc>
          <w:tcPr>
            <w:tcW w:w="704" w:type="dxa"/>
          </w:tcPr>
          <w:p w14:paraId="04CEEE90" w14:textId="77777777" w:rsidR="009240C8" w:rsidRDefault="009240C8" w:rsidP="001A5DAB">
            <w:pPr>
              <w:pStyle w:val="TableHeaders"/>
            </w:pPr>
            <w:r>
              <w:t>Item</w:t>
            </w:r>
          </w:p>
        </w:tc>
        <w:tc>
          <w:tcPr>
            <w:tcW w:w="3940" w:type="dxa"/>
          </w:tcPr>
          <w:p w14:paraId="11A2BDA4" w14:textId="77777777" w:rsidR="009240C8" w:rsidRDefault="009240C8" w:rsidP="001A5DAB">
            <w:pPr>
              <w:pStyle w:val="TableHeaders"/>
              <w:jc w:val="left"/>
            </w:pPr>
            <w:r>
              <w:t xml:space="preserve"> Description of fee</w:t>
            </w:r>
          </w:p>
        </w:tc>
        <w:tc>
          <w:tcPr>
            <w:tcW w:w="2155" w:type="dxa"/>
          </w:tcPr>
          <w:p w14:paraId="2B520051" w14:textId="49E9611B" w:rsidR="009240C8" w:rsidRDefault="00432614" w:rsidP="001A5DAB">
            <w:pPr>
              <w:pStyle w:val="TableHeaders"/>
            </w:pPr>
            <w:r>
              <w:t>Current Fee</w:t>
            </w:r>
          </w:p>
        </w:tc>
        <w:tc>
          <w:tcPr>
            <w:tcW w:w="2490" w:type="dxa"/>
          </w:tcPr>
          <w:p w14:paraId="03E2DEB3" w14:textId="48BA0ED8" w:rsidR="009240C8" w:rsidRDefault="00432614" w:rsidP="001A5DAB">
            <w:pPr>
              <w:pStyle w:val="TableHeaders"/>
            </w:pPr>
            <w:r>
              <w:t xml:space="preserve">Proposed fee </w:t>
            </w:r>
          </w:p>
        </w:tc>
      </w:tr>
      <w:tr w:rsidR="009240C8" w14:paraId="17C450D3" w14:textId="77777777" w:rsidTr="00432614">
        <w:tc>
          <w:tcPr>
            <w:tcW w:w="704" w:type="dxa"/>
          </w:tcPr>
          <w:p w14:paraId="018BD7E1" w14:textId="77777777" w:rsidR="009240C8" w:rsidRDefault="009240C8" w:rsidP="001A5DAB">
            <w:pPr>
              <w:pStyle w:val="TableParagraph"/>
              <w:jc w:val="center"/>
            </w:pPr>
            <w:r>
              <w:t>1</w:t>
            </w:r>
          </w:p>
        </w:tc>
        <w:tc>
          <w:tcPr>
            <w:tcW w:w="3940" w:type="dxa"/>
          </w:tcPr>
          <w:p w14:paraId="6CE57B32" w14:textId="30BB7BA7" w:rsidR="009240C8" w:rsidRDefault="00432614" w:rsidP="001A5DAB">
            <w:pPr>
              <w:pStyle w:val="TableParagraph"/>
            </w:pPr>
            <w:r w:rsidRPr="00432614">
              <w:rPr>
                <w:lang w:val="en-AU"/>
              </w:rPr>
              <w:t>Certificate under section 84(1) of the Act</w:t>
            </w:r>
          </w:p>
        </w:tc>
        <w:tc>
          <w:tcPr>
            <w:tcW w:w="2155" w:type="dxa"/>
          </w:tcPr>
          <w:p w14:paraId="3AB430AA" w14:textId="18A3924A" w:rsidR="009240C8" w:rsidRDefault="00432614" w:rsidP="00432614">
            <w:pPr>
              <w:pStyle w:val="TableParagraph"/>
              <w:jc w:val="center"/>
            </w:pPr>
            <w:r>
              <w:t>$9.30</w:t>
            </w:r>
          </w:p>
        </w:tc>
        <w:tc>
          <w:tcPr>
            <w:tcW w:w="2490" w:type="dxa"/>
          </w:tcPr>
          <w:p w14:paraId="2DBBC6BF" w14:textId="6EFC7A3A" w:rsidR="009240C8" w:rsidRDefault="00432614" w:rsidP="001A5DAB">
            <w:pPr>
              <w:pStyle w:val="TableParagraph"/>
              <w:jc w:val="center"/>
            </w:pPr>
            <w:r>
              <w:t>$9.50</w:t>
            </w:r>
          </w:p>
        </w:tc>
      </w:tr>
      <w:tr w:rsidR="009240C8" w14:paraId="6DF9F8AC" w14:textId="77777777" w:rsidTr="00432614">
        <w:trPr>
          <w:cnfStyle w:val="000000010000" w:firstRow="0" w:lastRow="0" w:firstColumn="0" w:lastColumn="0" w:oddVBand="0" w:evenVBand="0" w:oddHBand="0" w:evenHBand="1" w:firstRowFirstColumn="0" w:firstRowLastColumn="0" w:lastRowFirstColumn="0" w:lastRowLastColumn="0"/>
        </w:trPr>
        <w:tc>
          <w:tcPr>
            <w:tcW w:w="704" w:type="dxa"/>
          </w:tcPr>
          <w:p w14:paraId="615D7469" w14:textId="77777777" w:rsidR="009240C8" w:rsidRDefault="009240C8" w:rsidP="001A5DAB">
            <w:pPr>
              <w:pStyle w:val="TableParagraph"/>
              <w:jc w:val="center"/>
            </w:pPr>
            <w:r>
              <w:t>2</w:t>
            </w:r>
          </w:p>
        </w:tc>
        <w:tc>
          <w:tcPr>
            <w:tcW w:w="3940" w:type="dxa"/>
          </w:tcPr>
          <w:p w14:paraId="5947BE1A" w14:textId="5FD44141" w:rsidR="009240C8" w:rsidRDefault="00432614" w:rsidP="001A5DAB">
            <w:pPr>
              <w:pStyle w:val="TableParagraph"/>
            </w:pPr>
            <w:r w:rsidRPr="00432614">
              <w:t>Search or extract of current information</w:t>
            </w:r>
          </w:p>
        </w:tc>
        <w:tc>
          <w:tcPr>
            <w:tcW w:w="2155" w:type="dxa"/>
          </w:tcPr>
          <w:p w14:paraId="3054E31B" w14:textId="6A923E17" w:rsidR="009240C8" w:rsidRDefault="00432614" w:rsidP="00432614">
            <w:pPr>
              <w:pStyle w:val="TableParagraph"/>
              <w:jc w:val="center"/>
            </w:pPr>
            <w:r>
              <w:t>$9.30</w:t>
            </w:r>
          </w:p>
        </w:tc>
        <w:tc>
          <w:tcPr>
            <w:tcW w:w="2490" w:type="dxa"/>
          </w:tcPr>
          <w:p w14:paraId="43995FB8" w14:textId="1EC69573" w:rsidR="009240C8" w:rsidRDefault="00432614" w:rsidP="001A5DAB">
            <w:pPr>
              <w:pStyle w:val="TableParagraph"/>
              <w:jc w:val="center"/>
            </w:pPr>
            <w:r>
              <w:t>$9.50</w:t>
            </w:r>
          </w:p>
        </w:tc>
      </w:tr>
      <w:tr w:rsidR="009240C8" w14:paraId="5B1CDC39" w14:textId="77777777" w:rsidTr="00432614">
        <w:tc>
          <w:tcPr>
            <w:tcW w:w="704" w:type="dxa"/>
          </w:tcPr>
          <w:p w14:paraId="29C5CEBB" w14:textId="77777777" w:rsidR="009240C8" w:rsidRPr="00CD7386" w:rsidRDefault="009240C8" w:rsidP="001A5DAB">
            <w:pPr>
              <w:pStyle w:val="TableParagraph"/>
              <w:jc w:val="center"/>
              <w:rPr>
                <w:rFonts w:cs="Segoe UI"/>
                <w:szCs w:val="18"/>
              </w:rPr>
            </w:pPr>
            <w:r w:rsidRPr="00CD7386">
              <w:rPr>
                <w:rFonts w:cs="Segoe UI"/>
                <w:szCs w:val="18"/>
              </w:rPr>
              <w:t>3</w:t>
            </w:r>
          </w:p>
        </w:tc>
        <w:tc>
          <w:tcPr>
            <w:tcW w:w="3940" w:type="dxa"/>
          </w:tcPr>
          <w:p w14:paraId="083D5B33" w14:textId="4EA6A2A8" w:rsidR="009240C8" w:rsidRPr="00CD7386" w:rsidRDefault="00432614" w:rsidP="001A5DAB">
            <w:pPr>
              <w:pStyle w:val="TableParagraph"/>
              <w:rPr>
                <w:rFonts w:cs="Segoe UI"/>
                <w:szCs w:val="18"/>
              </w:rPr>
            </w:pPr>
            <w:r w:rsidRPr="00432614">
              <w:rPr>
                <w:rFonts w:eastAsia="Times New Roman" w:cs="Segoe UI"/>
                <w:bCs w:val="0"/>
                <w:color w:val="000000"/>
                <w:szCs w:val="18"/>
              </w:rPr>
              <w:t>Search or extract of historical information</w:t>
            </w:r>
          </w:p>
        </w:tc>
        <w:tc>
          <w:tcPr>
            <w:tcW w:w="2155" w:type="dxa"/>
          </w:tcPr>
          <w:p w14:paraId="34E0619C" w14:textId="5974BAD0" w:rsidR="009240C8" w:rsidRDefault="00432614" w:rsidP="00432614">
            <w:pPr>
              <w:pStyle w:val="TableParagraph"/>
              <w:jc w:val="center"/>
            </w:pPr>
            <w:r>
              <w:t>1.3 fee units</w:t>
            </w:r>
          </w:p>
        </w:tc>
        <w:tc>
          <w:tcPr>
            <w:tcW w:w="2490" w:type="dxa"/>
          </w:tcPr>
          <w:p w14:paraId="03AB3BAC" w14:textId="780287AA" w:rsidR="009240C8" w:rsidRDefault="00432614" w:rsidP="00432614">
            <w:pPr>
              <w:pStyle w:val="TableParagraph"/>
              <w:jc w:val="center"/>
            </w:pPr>
            <w:r>
              <w:t>1.3 fee units</w:t>
            </w:r>
          </w:p>
        </w:tc>
      </w:tr>
    </w:tbl>
    <w:p w14:paraId="5920DB66" w14:textId="77777777" w:rsidR="009240C8" w:rsidRPr="003E0FC9" w:rsidRDefault="009240C8" w:rsidP="003E0FC9">
      <w:pPr>
        <w:pStyle w:val="TextPara"/>
        <w:rPr>
          <w:lang w:eastAsia="en-AU"/>
        </w:rPr>
      </w:pPr>
    </w:p>
    <w:p w14:paraId="7974FF84" w14:textId="6613B22D" w:rsidR="006C3B47" w:rsidRDefault="00F455FA" w:rsidP="0027057B">
      <w:pPr>
        <w:pStyle w:val="Appendix1"/>
        <w:pageBreakBefore/>
      </w:pPr>
      <w:bookmarkStart w:id="1015" w:name="_Toc10703565"/>
      <w:bookmarkStart w:id="1016" w:name="_Hlk9610517"/>
      <w:bookmarkEnd w:id="1014"/>
      <w:r w:rsidRPr="00F455FA">
        <w:lastRenderedPageBreak/>
        <w:t>Abbreviations and acronyms</w:t>
      </w:r>
      <w:bookmarkEnd w:id="995"/>
      <w:bookmarkEnd w:id="1015"/>
    </w:p>
    <w:bookmarkEnd w:id="1016"/>
    <w:p w14:paraId="187B5DF9" w14:textId="77777777" w:rsidR="00BA1B36" w:rsidRPr="00BA1B36" w:rsidRDefault="00BA1B36" w:rsidP="00BA1B36">
      <w:pPr>
        <w:pStyle w:val="TextPara"/>
        <w:rPr>
          <w:lang w:eastAsia="en-AU"/>
        </w:rPr>
      </w:pPr>
    </w:p>
    <w:tbl>
      <w:tblPr>
        <w:tblStyle w:val="RIS-Table2"/>
        <w:tblW w:w="9493" w:type="dxa"/>
        <w:tblLook w:val="04A0" w:firstRow="1" w:lastRow="0" w:firstColumn="1" w:lastColumn="0" w:noHBand="0" w:noVBand="1"/>
      </w:tblPr>
      <w:tblGrid>
        <w:gridCol w:w="2122"/>
        <w:gridCol w:w="7371"/>
      </w:tblGrid>
      <w:tr w:rsidR="006C3B47" w14:paraId="1814D997" w14:textId="77777777" w:rsidTr="007D5E46">
        <w:trPr>
          <w:cnfStyle w:val="100000000000" w:firstRow="1" w:lastRow="0" w:firstColumn="0" w:lastColumn="0" w:oddVBand="0" w:evenVBand="0" w:oddHBand="0" w:evenHBand="0" w:firstRowFirstColumn="0" w:firstRowLastColumn="0" w:lastRowFirstColumn="0" w:lastRowLastColumn="0"/>
          <w:trHeight w:val="300"/>
        </w:trPr>
        <w:tc>
          <w:tcPr>
            <w:tcW w:w="2122" w:type="dxa"/>
            <w:noWrap/>
          </w:tcPr>
          <w:p w14:paraId="4FD0C60A" w14:textId="77777777" w:rsidR="006C3B47" w:rsidRPr="008E3FD3" w:rsidRDefault="006C3B47" w:rsidP="007D0F0A">
            <w:pPr>
              <w:pStyle w:val="TableHeaders"/>
            </w:pPr>
            <w:r w:rsidRPr="008E3FD3">
              <w:t>Term</w:t>
            </w:r>
          </w:p>
        </w:tc>
        <w:tc>
          <w:tcPr>
            <w:tcW w:w="7371" w:type="dxa"/>
          </w:tcPr>
          <w:p w14:paraId="174A4A66" w14:textId="77777777" w:rsidR="006C3B47" w:rsidRDefault="006C3B47" w:rsidP="007D0F0A">
            <w:pPr>
              <w:pStyle w:val="TableHeaders"/>
            </w:pPr>
            <w:r w:rsidRPr="008F68D4">
              <w:t>Description</w:t>
            </w:r>
          </w:p>
        </w:tc>
      </w:tr>
      <w:tr w:rsidR="006C3B47" w:rsidRPr="00117C96" w14:paraId="0CDB26F4" w14:textId="77777777" w:rsidTr="007D5E46">
        <w:trPr>
          <w:trHeight w:val="300"/>
        </w:trPr>
        <w:tc>
          <w:tcPr>
            <w:tcW w:w="2122" w:type="dxa"/>
            <w:shd w:val="clear" w:color="auto" w:fill="auto"/>
            <w:noWrap/>
          </w:tcPr>
          <w:p w14:paraId="72EC219C" w14:textId="77777777" w:rsidR="006C3B47" w:rsidRPr="008E3FD3" w:rsidRDefault="007D0F0A" w:rsidP="007D0F0A">
            <w:pPr>
              <w:pStyle w:val="TableParagraph"/>
              <w:rPr>
                <w:b/>
              </w:rPr>
            </w:pPr>
            <w:r w:rsidRPr="008E3FD3">
              <w:rPr>
                <w:b/>
              </w:rPr>
              <w:t>ABS</w:t>
            </w:r>
          </w:p>
        </w:tc>
        <w:tc>
          <w:tcPr>
            <w:tcW w:w="7371" w:type="dxa"/>
            <w:shd w:val="clear" w:color="auto" w:fill="auto"/>
          </w:tcPr>
          <w:p w14:paraId="67D260DF" w14:textId="77777777" w:rsidR="006C3B47" w:rsidRPr="00117C96" w:rsidRDefault="0045047E" w:rsidP="007D0F0A">
            <w:pPr>
              <w:pStyle w:val="TableParagraph"/>
            </w:pPr>
            <w:r w:rsidRPr="0045047E">
              <w:t>Australian Bureau of Statistics</w:t>
            </w:r>
          </w:p>
        </w:tc>
      </w:tr>
      <w:tr w:rsidR="007D0F0A" w:rsidRPr="00117C96" w14:paraId="3F460989"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4E720D3F" w14:textId="77777777" w:rsidR="007D0F0A" w:rsidRPr="008E3FD3" w:rsidRDefault="007D0F0A" w:rsidP="007D0F0A">
            <w:pPr>
              <w:pStyle w:val="TableParagraph"/>
              <w:rPr>
                <w:b/>
              </w:rPr>
            </w:pPr>
            <w:r w:rsidRPr="008E3FD3">
              <w:rPr>
                <w:b/>
              </w:rPr>
              <w:t>Austroads</w:t>
            </w:r>
          </w:p>
        </w:tc>
        <w:tc>
          <w:tcPr>
            <w:tcW w:w="7371" w:type="dxa"/>
            <w:shd w:val="clear" w:color="auto" w:fill="auto"/>
          </w:tcPr>
          <w:p w14:paraId="087302FB" w14:textId="3CA8EC85" w:rsidR="007D0F0A" w:rsidRPr="008F68D4" w:rsidRDefault="007D0F0A" w:rsidP="007D0F0A">
            <w:pPr>
              <w:pStyle w:val="TableParagraph"/>
            </w:pPr>
            <w:r w:rsidRPr="008F68D4">
              <w:t>Australasian association of road transport and traffic agencies across Australia and New Zealand</w:t>
            </w:r>
            <w:r>
              <w:t xml:space="preserve"> – </w:t>
            </w:r>
            <w:hyperlink r:id="rId114" w:history="1">
              <w:r w:rsidRPr="00CB4903">
                <w:rPr>
                  <w:rStyle w:val="Hyperlink"/>
                </w:rPr>
                <w:t>www.austroads.com.au</w:t>
              </w:r>
            </w:hyperlink>
            <w:r>
              <w:t xml:space="preserve"> </w:t>
            </w:r>
          </w:p>
        </w:tc>
      </w:tr>
      <w:tr w:rsidR="007D0F0A" w:rsidRPr="00117C96" w14:paraId="4EB1C602" w14:textId="77777777" w:rsidTr="007D5E46">
        <w:trPr>
          <w:trHeight w:val="300"/>
        </w:trPr>
        <w:tc>
          <w:tcPr>
            <w:tcW w:w="2122" w:type="dxa"/>
            <w:shd w:val="clear" w:color="auto" w:fill="auto"/>
            <w:noWrap/>
          </w:tcPr>
          <w:p w14:paraId="7CE8A901" w14:textId="77777777" w:rsidR="007D0F0A" w:rsidRPr="008E3FD3" w:rsidRDefault="007D0F0A" w:rsidP="007D0F0A">
            <w:pPr>
              <w:pStyle w:val="TableParagraph"/>
              <w:rPr>
                <w:b/>
              </w:rPr>
            </w:pPr>
            <w:r w:rsidRPr="008E3FD3">
              <w:rPr>
                <w:b/>
              </w:rPr>
              <w:t>BAC</w:t>
            </w:r>
          </w:p>
        </w:tc>
        <w:tc>
          <w:tcPr>
            <w:tcW w:w="7371" w:type="dxa"/>
            <w:shd w:val="clear" w:color="auto" w:fill="auto"/>
          </w:tcPr>
          <w:p w14:paraId="04A87C36" w14:textId="77777777" w:rsidR="007D0F0A" w:rsidRPr="00117C96" w:rsidRDefault="007D0F0A" w:rsidP="007D0F0A">
            <w:pPr>
              <w:pStyle w:val="TableParagraph"/>
            </w:pPr>
            <w:r w:rsidRPr="008F68D4">
              <w:t xml:space="preserve">Blood </w:t>
            </w:r>
            <w:r w:rsidR="00F83BF4">
              <w:t>(</w:t>
            </w:r>
            <w:r w:rsidR="002B41B6">
              <w:t>or Breath</w:t>
            </w:r>
            <w:r w:rsidR="00F83BF4">
              <w:t>)</w:t>
            </w:r>
            <w:r w:rsidR="002B41B6">
              <w:t xml:space="preserve"> </w:t>
            </w:r>
            <w:r w:rsidRPr="008F68D4">
              <w:t xml:space="preserve">Alcohol </w:t>
            </w:r>
            <w:r w:rsidR="00385A04">
              <w:t>Concentration</w:t>
            </w:r>
          </w:p>
        </w:tc>
      </w:tr>
      <w:tr w:rsidR="007D0F0A" w:rsidRPr="00117C96" w14:paraId="4881C0D7"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150622E1" w14:textId="77777777" w:rsidR="007D0F0A" w:rsidRPr="008E3FD3" w:rsidRDefault="007D0F0A" w:rsidP="007D0F0A">
            <w:pPr>
              <w:pStyle w:val="TableParagraph"/>
              <w:rPr>
                <w:b/>
              </w:rPr>
            </w:pPr>
            <w:r w:rsidRPr="008E3FD3">
              <w:rPr>
                <w:b/>
              </w:rPr>
              <w:t xml:space="preserve">BITRE </w:t>
            </w:r>
          </w:p>
        </w:tc>
        <w:tc>
          <w:tcPr>
            <w:tcW w:w="7371" w:type="dxa"/>
            <w:shd w:val="clear" w:color="auto" w:fill="auto"/>
          </w:tcPr>
          <w:p w14:paraId="2774D7A6" w14:textId="3786898D" w:rsidR="007D0F0A" w:rsidRPr="008F68D4" w:rsidRDefault="007D0F0A" w:rsidP="007D0F0A">
            <w:pPr>
              <w:pStyle w:val="TableParagraph"/>
            </w:pPr>
            <w:r w:rsidRPr="002845A5">
              <w:t>Bureau of Infrastructure, Transport and Regional Economics</w:t>
            </w:r>
            <w:r>
              <w:t xml:space="preserve">, which forms part of the </w:t>
            </w:r>
            <w:r w:rsidR="00A8701A">
              <w:t>Commonwealth</w:t>
            </w:r>
            <w:r>
              <w:t xml:space="preserve"> Department of </w:t>
            </w:r>
            <w:r w:rsidRPr="002845A5">
              <w:t xml:space="preserve">Infrastructure, </w:t>
            </w:r>
            <w:r>
              <w:t xml:space="preserve">Regional Development and Cities, </w:t>
            </w:r>
            <w:r w:rsidRPr="002845A5">
              <w:t>provides economic analysis, research and statistics on infrastructure, transport and regional development issues to inform both Australian Government policy development and wider community understanding</w:t>
            </w:r>
            <w:r>
              <w:t xml:space="preserve"> – </w:t>
            </w:r>
            <w:hyperlink r:id="rId115" w:history="1">
              <w:r w:rsidRPr="00CB4903">
                <w:rPr>
                  <w:rStyle w:val="Hyperlink"/>
                </w:rPr>
                <w:t>www.bitre.gov.au</w:t>
              </w:r>
            </w:hyperlink>
            <w:r>
              <w:t xml:space="preserve"> </w:t>
            </w:r>
          </w:p>
        </w:tc>
      </w:tr>
      <w:tr w:rsidR="001E1320" w:rsidRPr="00117C96" w14:paraId="1AF16660" w14:textId="77777777" w:rsidTr="007D5E46">
        <w:trPr>
          <w:trHeight w:val="300"/>
        </w:trPr>
        <w:tc>
          <w:tcPr>
            <w:tcW w:w="2122" w:type="dxa"/>
            <w:shd w:val="clear" w:color="auto" w:fill="auto"/>
            <w:noWrap/>
          </w:tcPr>
          <w:p w14:paraId="34CFC129" w14:textId="77777777" w:rsidR="001E1320" w:rsidRPr="008E3FD3" w:rsidRDefault="001E1320" w:rsidP="001E1320">
            <w:pPr>
              <w:pStyle w:val="TableParagraph"/>
              <w:rPr>
                <w:b/>
              </w:rPr>
            </w:pPr>
            <w:r w:rsidRPr="008E3FD3">
              <w:rPr>
                <w:b/>
              </w:rPr>
              <w:t>Breach suspension</w:t>
            </w:r>
          </w:p>
        </w:tc>
        <w:tc>
          <w:tcPr>
            <w:tcW w:w="7371" w:type="dxa"/>
            <w:shd w:val="clear" w:color="auto" w:fill="auto"/>
          </w:tcPr>
          <w:p w14:paraId="21321F8F" w14:textId="77777777" w:rsidR="001E1320" w:rsidRPr="002845A5" w:rsidRDefault="001E1320" w:rsidP="001E1320">
            <w:pPr>
              <w:pStyle w:val="TableParagraph"/>
            </w:pPr>
            <w:r>
              <w:t>Applies to offenders who take the 12-</w:t>
            </w:r>
            <w:r w:rsidRPr="00D23741">
              <w:t xml:space="preserve">month </w:t>
            </w:r>
            <w:r>
              <w:t>Extended Demerit Point Period (see definition of EDPP below). If the offender</w:t>
            </w:r>
            <w:r w:rsidRPr="00D23741">
              <w:t xml:space="preserve"> </w:t>
            </w:r>
            <w:r>
              <w:t xml:space="preserve">offends during the EDPP, </w:t>
            </w:r>
            <w:r w:rsidRPr="00D23741">
              <w:t>their licence</w:t>
            </w:r>
            <w:r>
              <w:t xml:space="preserve"> or learner </w:t>
            </w:r>
            <w:r w:rsidRPr="00D23741">
              <w:t xml:space="preserve">permit </w:t>
            </w:r>
            <w:r>
              <w:t>is</w:t>
            </w:r>
            <w:r w:rsidRPr="00D23741">
              <w:t xml:space="preserve"> suspended for double the amount of time </w:t>
            </w:r>
            <w:r>
              <w:t xml:space="preserve">compared with the suspension period that would have applied had they chosen </w:t>
            </w:r>
            <w:r w:rsidRPr="00D23741">
              <w:t>the demerit point</w:t>
            </w:r>
            <w:r>
              <w:t>s</w:t>
            </w:r>
            <w:r w:rsidRPr="00D23741">
              <w:t xml:space="preserve"> suspension option.</w:t>
            </w:r>
          </w:p>
        </w:tc>
      </w:tr>
      <w:tr w:rsidR="001E1320" w:rsidRPr="00117C96" w14:paraId="2AF07F01"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39F137E8" w14:textId="77777777" w:rsidR="001E1320" w:rsidRPr="008E3FD3" w:rsidRDefault="001E1320" w:rsidP="001E1320">
            <w:pPr>
              <w:pStyle w:val="TableParagraph"/>
              <w:rPr>
                <w:b/>
              </w:rPr>
            </w:pPr>
            <w:r w:rsidRPr="008E3FD3">
              <w:rPr>
                <w:b/>
              </w:rPr>
              <w:t>CPI</w:t>
            </w:r>
          </w:p>
        </w:tc>
        <w:tc>
          <w:tcPr>
            <w:tcW w:w="7371" w:type="dxa"/>
            <w:shd w:val="clear" w:color="auto" w:fill="auto"/>
          </w:tcPr>
          <w:p w14:paraId="75FAA09C" w14:textId="77777777" w:rsidR="001E1320" w:rsidRPr="008F68D4" w:rsidRDefault="001E1320" w:rsidP="001E1320">
            <w:pPr>
              <w:pStyle w:val="TableParagraph"/>
            </w:pPr>
            <w:r w:rsidRPr="008F68D4">
              <w:t>Consumer Price Index</w:t>
            </w:r>
          </w:p>
        </w:tc>
      </w:tr>
      <w:tr w:rsidR="001E1320" w:rsidRPr="00050425" w14:paraId="5447BEB0" w14:textId="77777777" w:rsidTr="007D5E46">
        <w:trPr>
          <w:trHeight w:val="300"/>
        </w:trPr>
        <w:tc>
          <w:tcPr>
            <w:tcW w:w="2122" w:type="dxa"/>
            <w:shd w:val="clear" w:color="auto" w:fill="auto"/>
            <w:noWrap/>
          </w:tcPr>
          <w:p w14:paraId="6745066E" w14:textId="77777777" w:rsidR="001E1320" w:rsidRPr="008E3FD3" w:rsidRDefault="001E1320" w:rsidP="001E1320">
            <w:pPr>
              <w:pStyle w:val="TableParagraph"/>
              <w:rPr>
                <w:b/>
              </w:rPr>
            </w:pPr>
            <w:r w:rsidRPr="008E3FD3">
              <w:rPr>
                <w:b/>
              </w:rPr>
              <w:t>CSC</w:t>
            </w:r>
          </w:p>
        </w:tc>
        <w:tc>
          <w:tcPr>
            <w:tcW w:w="7371" w:type="dxa"/>
            <w:shd w:val="clear" w:color="auto" w:fill="auto"/>
          </w:tcPr>
          <w:p w14:paraId="5E148539" w14:textId="77777777" w:rsidR="001E1320" w:rsidRPr="00050425" w:rsidRDefault="001E1320" w:rsidP="001E1320">
            <w:pPr>
              <w:pStyle w:val="TableParagraph"/>
            </w:pPr>
            <w:r w:rsidRPr="00050425">
              <w:t>Customer Service Centre</w:t>
            </w:r>
          </w:p>
        </w:tc>
      </w:tr>
      <w:tr w:rsidR="001E1320" w:rsidRPr="00117C96" w14:paraId="462B6012"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5F6B3DC0" w14:textId="77777777" w:rsidR="001E1320" w:rsidRPr="008E3FD3" w:rsidRDefault="001E1320" w:rsidP="001E1320">
            <w:pPr>
              <w:pStyle w:val="TableParagraph"/>
              <w:rPr>
                <w:b/>
              </w:rPr>
            </w:pPr>
            <w:r w:rsidRPr="008E3FD3">
              <w:rPr>
                <w:b/>
              </w:rPr>
              <w:t>Demerit Points</w:t>
            </w:r>
          </w:p>
        </w:tc>
        <w:tc>
          <w:tcPr>
            <w:tcW w:w="7371" w:type="dxa"/>
            <w:shd w:val="clear" w:color="auto" w:fill="auto"/>
          </w:tcPr>
          <w:p w14:paraId="302CEA75" w14:textId="77777777" w:rsidR="001E1320" w:rsidRPr="009F5BD2" w:rsidRDefault="001E1320" w:rsidP="001E1320">
            <w:pPr>
              <w:pStyle w:val="TableParagraph"/>
            </w:pPr>
            <w:r w:rsidRPr="009F5BD2">
              <w:t>Demerit Points Schemes are in place nationally and internationally as a road safety measure to improve driving behaviour through deterrence for drivers who commit repeat lower level road safety risk offences.</w:t>
            </w:r>
          </w:p>
        </w:tc>
      </w:tr>
      <w:tr w:rsidR="001E1320" w:rsidRPr="00117C96" w14:paraId="33F515C3" w14:textId="77777777" w:rsidTr="007D5E46">
        <w:trPr>
          <w:trHeight w:val="300"/>
        </w:trPr>
        <w:tc>
          <w:tcPr>
            <w:tcW w:w="2122" w:type="dxa"/>
            <w:shd w:val="clear" w:color="auto" w:fill="auto"/>
            <w:noWrap/>
          </w:tcPr>
          <w:p w14:paraId="09117D04" w14:textId="77777777" w:rsidR="001E1320" w:rsidRPr="008E3FD3" w:rsidRDefault="001E1320" w:rsidP="001E1320">
            <w:pPr>
              <w:pStyle w:val="TableParagraph"/>
              <w:rPr>
                <w:b/>
              </w:rPr>
            </w:pPr>
            <w:r w:rsidRPr="008E3FD3">
              <w:rPr>
                <w:b/>
              </w:rPr>
              <w:t>Demerit Points suspension</w:t>
            </w:r>
          </w:p>
        </w:tc>
        <w:tc>
          <w:tcPr>
            <w:tcW w:w="7371" w:type="dxa"/>
            <w:shd w:val="clear" w:color="auto" w:fill="auto"/>
          </w:tcPr>
          <w:p w14:paraId="7EF5BA32" w14:textId="77777777" w:rsidR="001E1320" w:rsidRPr="009F5BD2" w:rsidRDefault="001E1320" w:rsidP="001E1320">
            <w:pPr>
              <w:pStyle w:val="TableParagraph"/>
            </w:pPr>
            <w:r>
              <w:t>A licence is suspended for three months for the first 12 demerit points incurred plus one month for every additional four demerit points incurred. Learner and probationary drivers will also incur this suspension if they reach five demerit points in one year. All drivers incur a demerit points suspension, if they reach the 12 points in a three-year period. An EDPP (see definition below) is offered as an alternative to the suspension. During a suspension, the offender is disqualified from driving.</w:t>
            </w:r>
          </w:p>
        </w:tc>
      </w:tr>
      <w:tr w:rsidR="001E1320" w:rsidRPr="00117C96" w14:paraId="0FF6F5EE"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5C50AE95" w14:textId="77777777" w:rsidR="001E1320" w:rsidRPr="008E3FD3" w:rsidRDefault="001E1320" w:rsidP="001E1320">
            <w:pPr>
              <w:pStyle w:val="TableParagraph"/>
              <w:rPr>
                <w:b/>
              </w:rPr>
            </w:pPr>
            <w:r w:rsidRPr="008E3FD3">
              <w:rPr>
                <w:b/>
              </w:rPr>
              <w:t>DJ</w:t>
            </w:r>
            <w:r w:rsidR="00652D11" w:rsidRPr="008E3FD3">
              <w:rPr>
                <w:b/>
              </w:rPr>
              <w:t>CS</w:t>
            </w:r>
          </w:p>
        </w:tc>
        <w:tc>
          <w:tcPr>
            <w:tcW w:w="7371" w:type="dxa"/>
            <w:shd w:val="clear" w:color="auto" w:fill="auto"/>
          </w:tcPr>
          <w:p w14:paraId="1E4674AE" w14:textId="77777777" w:rsidR="001E1320" w:rsidRPr="009F5BD2" w:rsidRDefault="001E1320" w:rsidP="001E1320">
            <w:pPr>
              <w:pStyle w:val="TableParagraph"/>
            </w:pPr>
            <w:r>
              <w:t xml:space="preserve">Department of Justice and </w:t>
            </w:r>
            <w:r w:rsidR="00652D11" w:rsidRPr="00652D11">
              <w:t>Community Safety</w:t>
            </w:r>
          </w:p>
        </w:tc>
      </w:tr>
      <w:tr w:rsidR="00187969" w:rsidRPr="00117C96" w14:paraId="2B204F74" w14:textId="77777777" w:rsidTr="007D5E46">
        <w:trPr>
          <w:trHeight w:val="300"/>
        </w:trPr>
        <w:tc>
          <w:tcPr>
            <w:tcW w:w="2122" w:type="dxa"/>
            <w:shd w:val="clear" w:color="auto" w:fill="auto"/>
            <w:noWrap/>
          </w:tcPr>
          <w:p w14:paraId="10456037" w14:textId="77777777" w:rsidR="00187969" w:rsidRPr="008E3FD3" w:rsidRDefault="00187969" w:rsidP="001E1320">
            <w:pPr>
              <w:pStyle w:val="TableParagraph"/>
              <w:rPr>
                <w:b/>
              </w:rPr>
            </w:pPr>
            <w:r w:rsidRPr="008E3FD3">
              <w:rPr>
                <w:b/>
              </w:rPr>
              <w:t>DLS</w:t>
            </w:r>
          </w:p>
        </w:tc>
        <w:tc>
          <w:tcPr>
            <w:tcW w:w="7371" w:type="dxa"/>
            <w:shd w:val="clear" w:color="auto" w:fill="auto"/>
          </w:tcPr>
          <w:p w14:paraId="5088CCA9" w14:textId="77777777" w:rsidR="00187969" w:rsidRDefault="00187969" w:rsidP="001E1320">
            <w:pPr>
              <w:pStyle w:val="TableParagraph"/>
            </w:pPr>
            <w:r>
              <w:t>Driver Licensing System used by VicRoads to manage driver licensing</w:t>
            </w:r>
          </w:p>
        </w:tc>
      </w:tr>
      <w:tr w:rsidR="00652D11" w:rsidRPr="00117C96" w14:paraId="25378A9B"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1194E9BD" w14:textId="77777777" w:rsidR="00652D11" w:rsidRPr="008E3FD3" w:rsidRDefault="00652D11" w:rsidP="001E1320">
            <w:pPr>
              <w:pStyle w:val="TableParagraph"/>
              <w:rPr>
                <w:b/>
              </w:rPr>
            </w:pPr>
            <w:r w:rsidRPr="008E3FD3">
              <w:rPr>
                <w:b/>
              </w:rPr>
              <w:t>DoT</w:t>
            </w:r>
          </w:p>
        </w:tc>
        <w:tc>
          <w:tcPr>
            <w:tcW w:w="7371" w:type="dxa"/>
            <w:shd w:val="clear" w:color="auto" w:fill="auto"/>
          </w:tcPr>
          <w:p w14:paraId="18D7ADE9" w14:textId="77777777" w:rsidR="00652D11" w:rsidRDefault="00652D11" w:rsidP="001E1320">
            <w:pPr>
              <w:pStyle w:val="TableParagraph"/>
            </w:pPr>
            <w:r>
              <w:t>Department of Transport</w:t>
            </w:r>
          </w:p>
        </w:tc>
      </w:tr>
      <w:tr w:rsidR="001E1320" w:rsidRPr="00117C96" w14:paraId="61613BEC" w14:textId="77777777" w:rsidTr="007D5E46">
        <w:trPr>
          <w:trHeight w:val="300"/>
        </w:trPr>
        <w:tc>
          <w:tcPr>
            <w:tcW w:w="2122" w:type="dxa"/>
            <w:shd w:val="clear" w:color="auto" w:fill="auto"/>
            <w:noWrap/>
          </w:tcPr>
          <w:p w14:paraId="5ECD104F" w14:textId="77777777" w:rsidR="001E1320" w:rsidRPr="008E3FD3" w:rsidRDefault="001E1320" w:rsidP="001E1320">
            <w:pPr>
              <w:pStyle w:val="TableParagraph"/>
              <w:rPr>
                <w:b/>
              </w:rPr>
            </w:pPr>
            <w:r w:rsidRPr="008E3FD3">
              <w:rPr>
                <w:b/>
              </w:rPr>
              <w:t>DPC</w:t>
            </w:r>
          </w:p>
        </w:tc>
        <w:tc>
          <w:tcPr>
            <w:tcW w:w="7371" w:type="dxa"/>
            <w:shd w:val="clear" w:color="auto" w:fill="auto"/>
          </w:tcPr>
          <w:p w14:paraId="7BF782C8" w14:textId="77777777" w:rsidR="001E1320" w:rsidRPr="009F5BD2" w:rsidRDefault="001E1320" w:rsidP="001E1320">
            <w:pPr>
              <w:pStyle w:val="TableParagraph"/>
            </w:pPr>
            <w:r w:rsidRPr="003C719B">
              <w:t>Department of Premier and Cabinet</w:t>
            </w:r>
          </w:p>
        </w:tc>
      </w:tr>
      <w:tr w:rsidR="00D72F82" w:rsidRPr="00117C96" w14:paraId="7735026E"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6A44C3F1" w14:textId="77777777" w:rsidR="00D72F82" w:rsidRPr="008E3FD3" w:rsidRDefault="00D72F82" w:rsidP="001E1320">
            <w:pPr>
              <w:pStyle w:val="TableParagraph"/>
              <w:rPr>
                <w:b/>
              </w:rPr>
            </w:pPr>
            <w:r w:rsidRPr="008E3FD3">
              <w:rPr>
                <w:b/>
              </w:rPr>
              <w:t>DPX</w:t>
            </w:r>
          </w:p>
        </w:tc>
        <w:tc>
          <w:tcPr>
            <w:tcW w:w="7371" w:type="dxa"/>
            <w:shd w:val="clear" w:color="auto" w:fill="auto"/>
          </w:tcPr>
          <w:p w14:paraId="6B1DF460" w14:textId="77777777" w:rsidR="00D72F82" w:rsidRPr="003C719B" w:rsidRDefault="00D72F82" w:rsidP="001E1320">
            <w:pPr>
              <w:pStyle w:val="TableParagraph"/>
            </w:pPr>
            <w:r>
              <w:t xml:space="preserve">Demerit </w:t>
            </w:r>
            <w:r w:rsidR="00496990">
              <w:t>Points Exchange</w:t>
            </w:r>
          </w:p>
        </w:tc>
      </w:tr>
      <w:tr w:rsidR="001E1320" w:rsidRPr="00117C96" w14:paraId="7F07DC2D" w14:textId="77777777" w:rsidTr="007D5E46">
        <w:trPr>
          <w:trHeight w:val="300"/>
        </w:trPr>
        <w:tc>
          <w:tcPr>
            <w:tcW w:w="2122" w:type="dxa"/>
            <w:shd w:val="clear" w:color="auto" w:fill="auto"/>
            <w:noWrap/>
          </w:tcPr>
          <w:p w14:paraId="47AB2408" w14:textId="77777777" w:rsidR="001E1320" w:rsidRPr="008E3FD3" w:rsidRDefault="001E1320" w:rsidP="001E1320">
            <w:pPr>
              <w:pStyle w:val="TableParagraph"/>
              <w:rPr>
                <w:b/>
              </w:rPr>
            </w:pPr>
            <w:r w:rsidRPr="008E3FD3">
              <w:rPr>
                <w:b/>
              </w:rPr>
              <w:t>DTF</w:t>
            </w:r>
          </w:p>
        </w:tc>
        <w:tc>
          <w:tcPr>
            <w:tcW w:w="7371" w:type="dxa"/>
            <w:shd w:val="clear" w:color="auto" w:fill="auto"/>
          </w:tcPr>
          <w:p w14:paraId="0B921A4E" w14:textId="77777777" w:rsidR="001E1320" w:rsidRPr="009F5BD2" w:rsidRDefault="001E1320" w:rsidP="001E1320">
            <w:pPr>
              <w:pStyle w:val="TableParagraph"/>
            </w:pPr>
            <w:r w:rsidRPr="003C719B">
              <w:t>Department of Treasury and Finance</w:t>
            </w:r>
          </w:p>
        </w:tc>
      </w:tr>
      <w:tr w:rsidR="001E1320" w:rsidRPr="009E1E70" w14:paraId="032869D9"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6B96B33D" w14:textId="77777777" w:rsidR="001E1320" w:rsidRPr="008E3FD3" w:rsidRDefault="001E1320" w:rsidP="001E1320">
            <w:pPr>
              <w:pStyle w:val="TableParagraph"/>
              <w:rPr>
                <w:b/>
              </w:rPr>
            </w:pPr>
            <w:r w:rsidRPr="008E3FD3">
              <w:rPr>
                <w:b/>
              </w:rPr>
              <w:t>EDPP</w:t>
            </w:r>
          </w:p>
        </w:tc>
        <w:tc>
          <w:tcPr>
            <w:tcW w:w="7371" w:type="dxa"/>
            <w:shd w:val="clear" w:color="auto" w:fill="auto"/>
          </w:tcPr>
          <w:p w14:paraId="0F6725F9" w14:textId="77777777" w:rsidR="001E1320" w:rsidRPr="003C719B" w:rsidRDefault="001E1320" w:rsidP="001E1320">
            <w:pPr>
              <w:pStyle w:val="TableParagraph"/>
            </w:pPr>
            <w:r>
              <w:t>Extended Demerit Point Period is t</w:t>
            </w:r>
            <w:r w:rsidRPr="006A14ED">
              <w:t>he option given as an alternative to a demerit point suspension from the accumulation of five demerit points (learner and probationary drivers) in one year and twelve points in three years (all drivers) from all demerit point traffic offences.</w:t>
            </w:r>
          </w:p>
        </w:tc>
      </w:tr>
      <w:tr w:rsidR="001E1320" w:rsidRPr="00117C96" w14:paraId="2E30F543" w14:textId="77777777" w:rsidTr="007D5E46">
        <w:trPr>
          <w:trHeight w:val="300"/>
        </w:trPr>
        <w:tc>
          <w:tcPr>
            <w:tcW w:w="2122" w:type="dxa"/>
            <w:shd w:val="clear" w:color="auto" w:fill="auto"/>
            <w:noWrap/>
          </w:tcPr>
          <w:p w14:paraId="407159A3" w14:textId="77777777" w:rsidR="001E1320" w:rsidRPr="008E3FD3" w:rsidRDefault="001E1320" w:rsidP="001E1320">
            <w:pPr>
              <w:pStyle w:val="TableParagraph"/>
              <w:rPr>
                <w:b/>
              </w:rPr>
            </w:pPr>
            <w:r w:rsidRPr="008E3FD3">
              <w:rPr>
                <w:b/>
              </w:rPr>
              <w:t>EOI</w:t>
            </w:r>
          </w:p>
        </w:tc>
        <w:tc>
          <w:tcPr>
            <w:tcW w:w="7371" w:type="dxa"/>
            <w:shd w:val="clear" w:color="auto" w:fill="auto"/>
          </w:tcPr>
          <w:p w14:paraId="578897B6" w14:textId="77777777" w:rsidR="001E1320" w:rsidRPr="008F68D4" w:rsidRDefault="001E1320" w:rsidP="001E1320">
            <w:pPr>
              <w:pStyle w:val="TableParagraph"/>
            </w:pPr>
            <w:r>
              <w:t>Evidence of Identity</w:t>
            </w:r>
          </w:p>
        </w:tc>
      </w:tr>
      <w:tr w:rsidR="001E1320" w:rsidRPr="00117C96" w14:paraId="5A78BAF9"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273DE482" w14:textId="77777777" w:rsidR="001E1320" w:rsidRPr="008E3FD3" w:rsidRDefault="001E1320" w:rsidP="001E1320">
            <w:pPr>
              <w:pStyle w:val="TableParagraph"/>
              <w:rPr>
                <w:b/>
              </w:rPr>
            </w:pPr>
            <w:r w:rsidRPr="008E3FD3">
              <w:rPr>
                <w:b/>
              </w:rPr>
              <w:t>FSI</w:t>
            </w:r>
          </w:p>
        </w:tc>
        <w:tc>
          <w:tcPr>
            <w:tcW w:w="7371" w:type="dxa"/>
            <w:shd w:val="clear" w:color="auto" w:fill="auto"/>
          </w:tcPr>
          <w:p w14:paraId="0C74088D" w14:textId="77777777" w:rsidR="001E1320" w:rsidRPr="00117C96" w:rsidRDefault="001E1320" w:rsidP="001E1320">
            <w:pPr>
              <w:pStyle w:val="TableParagraph"/>
            </w:pPr>
            <w:r w:rsidRPr="008F68D4">
              <w:t>Fatal and serious injury</w:t>
            </w:r>
            <w:r>
              <w:t xml:space="preserve"> where a c</w:t>
            </w:r>
            <w:r w:rsidRPr="008F68D4">
              <w:t>rash</w:t>
            </w:r>
            <w:r>
              <w:t xml:space="preserve"> </w:t>
            </w:r>
            <w:r w:rsidRPr="008F68D4">
              <w:t>result</w:t>
            </w:r>
            <w:r>
              <w:t>s</w:t>
            </w:r>
            <w:r w:rsidRPr="008F68D4">
              <w:t xml:space="preserve"> in a fatality or serious injury</w:t>
            </w:r>
            <w:r>
              <w:t>.</w:t>
            </w:r>
          </w:p>
        </w:tc>
      </w:tr>
      <w:tr w:rsidR="001E1320" w:rsidRPr="00050425" w14:paraId="0DA28E70" w14:textId="77777777" w:rsidTr="007D5E46">
        <w:trPr>
          <w:trHeight w:val="300"/>
        </w:trPr>
        <w:tc>
          <w:tcPr>
            <w:tcW w:w="2122" w:type="dxa"/>
            <w:shd w:val="clear" w:color="auto" w:fill="auto"/>
            <w:noWrap/>
          </w:tcPr>
          <w:p w14:paraId="64A9D3AC" w14:textId="77777777" w:rsidR="001E1320" w:rsidRPr="008E3FD3" w:rsidRDefault="001E1320" w:rsidP="001E1320">
            <w:pPr>
              <w:pStyle w:val="TableParagraph"/>
              <w:rPr>
                <w:b/>
              </w:rPr>
            </w:pPr>
            <w:r w:rsidRPr="008E3FD3">
              <w:rPr>
                <w:b/>
              </w:rPr>
              <w:t>FY</w:t>
            </w:r>
          </w:p>
        </w:tc>
        <w:tc>
          <w:tcPr>
            <w:tcW w:w="7371" w:type="dxa"/>
            <w:shd w:val="clear" w:color="auto" w:fill="auto"/>
          </w:tcPr>
          <w:p w14:paraId="622A58EE" w14:textId="77777777" w:rsidR="001E1320" w:rsidRPr="00050425" w:rsidRDefault="001E1320" w:rsidP="001E1320">
            <w:pPr>
              <w:pStyle w:val="TableParagraph"/>
            </w:pPr>
            <w:r w:rsidRPr="00050425">
              <w:t>Financial Year</w:t>
            </w:r>
          </w:p>
        </w:tc>
      </w:tr>
      <w:tr w:rsidR="001E1320" w:rsidRPr="00050425" w14:paraId="3910A22D"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303F0859" w14:textId="77777777" w:rsidR="001E1320" w:rsidRPr="008E3FD3" w:rsidRDefault="001E1320" w:rsidP="001E1320">
            <w:pPr>
              <w:pStyle w:val="TableParagraph"/>
              <w:rPr>
                <w:b/>
              </w:rPr>
            </w:pPr>
            <w:r w:rsidRPr="008E3FD3">
              <w:rPr>
                <w:b/>
              </w:rPr>
              <w:t>GLS</w:t>
            </w:r>
          </w:p>
        </w:tc>
        <w:tc>
          <w:tcPr>
            <w:tcW w:w="7371" w:type="dxa"/>
            <w:shd w:val="clear" w:color="auto" w:fill="auto"/>
          </w:tcPr>
          <w:p w14:paraId="7D3017DE" w14:textId="77777777" w:rsidR="001E1320" w:rsidRPr="00050425" w:rsidRDefault="001E1320" w:rsidP="001E1320">
            <w:pPr>
              <w:pStyle w:val="TableParagraph"/>
            </w:pPr>
            <w:r>
              <w:t>Graduated Licensing System</w:t>
            </w:r>
          </w:p>
        </w:tc>
      </w:tr>
      <w:tr w:rsidR="00F455FA" w:rsidRPr="00050425" w14:paraId="2BDB34ED" w14:textId="77777777" w:rsidTr="007D5E46">
        <w:trPr>
          <w:trHeight w:val="300"/>
        </w:trPr>
        <w:tc>
          <w:tcPr>
            <w:tcW w:w="2122" w:type="dxa"/>
            <w:shd w:val="clear" w:color="auto" w:fill="auto"/>
            <w:noWrap/>
          </w:tcPr>
          <w:p w14:paraId="4E2A5C02" w14:textId="77777777" w:rsidR="00F455FA" w:rsidRPr="008E3FD3" w:rsidRDefault="00F455FA" w:rsidP="001E1320">
            <w:pPr>
              <w:pStyle w:val="TableParagraph"/>
              <w:rPr>
                <w:b/>
              </w:rPr>
            </w:pPr>
            <w:r w:rsidRPr="008E3FD3">
              <w:rPr>
                <w:b/>
              </w:rPr>
              <w:t>GVM</w:t>
            </w:r>
          </w:p>
        </w:tc>
        <w:tc>
          <w:tcPr>
            <w:tcW w:w="7371" w:type="dxa"/>
            <w:shd w:val="clear" w:color="auto" w:fill="auto"/>
          </w:tcPr>
          <w:p w14:paraId="4A189364" w14:textId="77777777" w:rsidR="00F455FA" w:rsidRDefault="00F455FA" w:rsidP="001E1320">
            <w:pPr>
              <w:pStyle w:val="TableParagraph"/>
            </w:pPr>
            <w:r w:rsidRPr="00F455FA">
              <w:t>Gross Vehicle Mass</w:t>
            </w:r>
          </w:p>
        </w:tc>
      </w:tr>
      <w:tr w:rsidR="001E1320" w:rsidRPr="00050425" w14:paraId="7CE58F22"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138A3A86" w14:textId="77777777" w:rsidR="001E1320" w:rsidRPr="008E3FD3" w:rsidRDefault="001E1320" w:rsidP="001E1320">
            <w:pPr>
              <w:pStyle w:val="TableParagraph"/>
              <w:rPr>
                <w:b/>
              </w:rPr>
            </w:pPr>
            <w:r w:rsidRPr="008E3FD3">
              <w:rPr>
                <w:b/>
              </w:rPr>
              <w:t>HCA</w:t>
            </w:r>
          </w:p>
        </w:tc>
        <w:tc>
          <w:tcPr>
            <w:tcW w:w="7371" w:type="dxa"/>
            <w:shd w:val="clear" w:color="auto" w:fill="auto"/>
          </w:tcPr>
          <w:p w14:paraId="38F3D2AA" w14:textId="77777777" w:rsidR="001E1320" w:rsidRDefault="001E1320" w:rsidP="001E1320">
            <w:pPr>
              <w:pStyle w:val="TableParagraph"/>
            </w:pPr>
            <w:r>
              <w:t>Human Capital Approach</w:t>
            </w:r>
          </w:p>
        </w:tc>
      </w:tr>
      <w:tr w:rsidR="001E1320" w:rsidRPr="00117C96" w14:paraId="3E5E4053" w14:textId="77777777" w:rsidTr="007D5E46">
        <w:trPr>
          <w:trHeight w:val="300"/>
        </w:trPr>
        <w:tc>
          <w:tcPr>
            <w:tcW w:w="2122" w:type="dxa"/>
            <w:shd w:val="clear" w:color="auto" w:fill="auto"/>
            <w:noWrap/>
          </w:tcPr>
          <w:p w14:paraId="0DB10138" w14:textId="77777777" w:rsidR="001E1320" w:rsidRPr="008E3FD3" w:rsidRDefault="001E1320" w:rsidP="001E1320">
            <w:pPr>
              <w:pStyle w:val="TableParagraph"/>
              <w:rPr>
                <w:b/>
              </w:rPr>
            </w:pPr>
            <w:r w:rsidRPr="008E3FD3">
              <w:rPr>
                <w:b/>
              </w:rPr>
              <w:lastRenderedPageBreak/>
              <w:t>HVNL</w:t>
            </w:r>
          </w:p>
        </w:tc>
        <w:tc>
          <w:tcPr>
            <w:tcW w:w="7371" w:type="dxa"/>
            <w:shd w:val="clear" w:color="auto" w:fill="auto"/>
          </w:tcPr>
          <w:p w14:paraId="5A886A2E" w14:textId="77777777" w:rsidR="001E1320" w:rsidRPr="008F68D4" w:rsidRDefault="001E1320" w:rsidP="001E1320">
            <w:pPr>
              <w:pStyle w:val="TableParagraph"/>
            </w:pPr>
            <w:r w:rsidRPr="008F68D4">
              <w:t>Heavy Vehicle National Law (Victoria)</w:t>
            </w:r>
          </w:p>
        </w:tc>
      </w:tr>
      <w:tr w:rsidR="001E1320" w:rsidRPr="00117C96" w14:paraId="76C4B5BE"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40D69348" w14:textId="77777777" w:rsidR="001E1320" w:rsidRPr="008E3FD3" w:rsidRDefault="001E1320" w:rsidP="001E1320">
            <w:pPr>
              <w:pStyle w:val="TableParagraph"/>
              <w:rPr>
                <w:b/>
              </w:rPr>
            </w:pPr>
            <w:r w:rsidRPr="008E3FD3">
              <w:rPr>
                <w:b/>
              </w:rPr>
              <w:t>IMES</w:t>
            </w:r>
          </w:p>
        </w:tc>
        <w:tc>
          <w:tcPr>
            <w:tcW w:w="7371" w:type="dxa"/>
            <w:shd w:val="clear" w:color="auto" w:fill="auto"/>
          </w:tcPr>
          <w:p w14:paraId="02DD16EA" w14:textId="77777777" w:rsidR="001E1320" w:rsidRPr="008F68D4" w:rsidRDefault="001E1320" w:rsidP="001E1320">
            <w:pPr>
              <w:pStyle w:val="TableParagraph"/>
            </w:pPr>
            <w:r w:rsidRPr="003C719B">
              <w:t>Infringement Management and Enforcement Services</w:t>
            </w:r>
            <w:r w:rsidR="00140256">
              <w:t xml:space="preserve"> unit of DJCS</w:t>
            </w:r>
          </w:p>
        </w:tc>
      </w:tr>
      <w:tr w:rsidR="001E1320" w:rsidRPr="009E1E70" w14:paraId="4EF1FDCB" w14:textId="77777777" w:rsidTr="007D5E46">
        <w:trPr>
          <w:trHeight w:val="300"/>
        </w:trPr>
        <w:tc>
          <w:tcPr>
            <w:tcW w:w="2122" w:type="dxa"/>
            <w:shd w:val="clear" w:color="auto" w:fill="auto"/>
            <w:noWrap/>
          </w:tcPr>
          <w:p w14:paraId="737D36B4" w14:textId="77777777" w:rsidR="001E1320" w:rsidRPr="008E3FD3" w:rsidRDefault="001E1320" w:rsidP="001E1320">
            <w:pPr>
              <w:pStyle w:val="TableParagraph"/>
              <w:rPr>
                <w:b/>
              </w:rPr>
            </w:pPr>
            <w:r w:rsidRPr="008E3FD3">
              <w:rPr>
                <w:b/>
              </w:rPr>
              <w:t>Licence ban</w:t>
            </w:r>
          </w:p>
        </w:tc>
        <w:tc>
          <w:tcPr>
            <w:tcW w:w="7371" w:type="dxa"/>
            <w:shd w:val="clear" w:color="auto" w:fill="auto"/>
          </w:tcPr>
          <w:p w14:paraId="25A891E6" w14:textId="77777777" w:rsidR="001E1320" w:rsidRPr="003C719B" w:rsidRDefault="001E1320" w:rsidP="001E1320">
            <w:pPr>
              <w:pStyle w:val="TableParagraph"/>
            </w:pPr>
            <w:r>
              <w:t xml:space="preserve">A licence ban is a sanction where a driver is not allowed to drive. A ban can be a cancellation </w:t>
            </w:r>
            <w:r w:rsidRPr="0021322B">
              <w:t xml:space="preserve">or </w:t>
            </w:r>
            <w:r>
              <w:t xml:space="preserve">a </w:t>
            </w:r>
            <w:r w:rsidRPr="0021322B">
              <w:t xml:space="preserve">suspension of the licence. </w:t>
            </w:r>
            <w:r>
              <w:t>If a driver licence was cancelled when the ban ends, payment must be made by the driver to re-instate the licence. During a licence ban the offender is disqualified from driving.</w:t>
            </w:r>
          </w:p>
        </w:tc>
      </w:tr>
      <w:tr w:rsidR="001E1320" w:rsidRPr="009E1E70" w14:paraId="3E8299F3"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34A23B66" w14:textId="77777777" w:rsidR="001E1320" w:rsidRPr="008E3FD3" w:rsidRDefault="001E1320" w:rsidP="001E1320">
            <w:pPr>
              <w:pStyle w:val="TableParagraph"/>
              <w:rPr>
                <w:b/>
              </w:rPr>
            </w:pPr>
            <w:r w:rsidRPr="008E3FD3">
              <w:rPr>
                <w:b/>
              </w:rPr>
              <w:t>Licence cancellation</w:t>
            </w:r>
          </w:p>
        </w:tc>
        <w:tc>
          <w:tcPr>
            <w:tcW w:w="7371" w:type="dxa"/>
            <w:shd w:val="clear" w:color="auto" w:fill="auto"/>
          </w:tcPr>
          <w:p w14:paraId="4ECD8C0C" w14:textId="77777777" w:rsidR="001E1320" w:rsidRPr="006A14ED" w:rsidRDefault="001E1320" w:rsidP="001E1320">
            <w:pPr>
              <w:pStyle w:val="TableParagraph"/>
            </w:pPr>
            <w:r w:rsidRPr="006A14ED">
              <w:t xml:space="preserve">The driver’s authority to drive has been cancelled by the court or VicRoads. The driver is then disqualified from driving or applying for a licence. </w:t>
            </w:r>
            <w:r w:rsidR="001E1854">
              <w:t>W</w:t>
            </w:r>
            <w:r w:rsidRPr="006A14ED">
              <w:t xml:space="preserve">hen the ban ends, </w:t>
            </w:r>
            <w:r w:rsidR="001E1854">
              <w:t xml:space="preserve">the driver must apply and make </w:t>
            </w:r>
            <w:r w:rsidRPr="006A14ED">
              <w:t>payment to re-instate the licence.</w:t>
            </w:r>
          </w:p>
        </w:tc>
      </w:tr>
      <w:tr w:rsidR="001E1320" w:rsidRPr="00117C96" w14:paraId="4DF9EEDF" w14:textId="77777777" w:rsidTr="007D5E46">
        <w:trPr>
          <w:trHeight w:val="300"/>
        </w:trPr>
        <w:tc>
          <w:tcPr>
            <w:tcW w:w="2122" w:type="dxa"/>
            <w:shd w:val="clear" w:color="auto" w:fill="auto"/>
            <w:noWrap/>
          </w:tcPr>
          <w:p w14:paraId="3358E734" w14:textId="77777777" w:rsidR="001E1320" w:rsidRPr="008E3FD3" w:rsidRDefault="001E1320" w:rsidP="001E1320">
            <w:pPr>
              <w:pStyle w:val="TableParagraph"/>
              <w:rPr>
                <w:b/>
              </w:rPr>
            </w:pPr>
            <w:r w:rsidRPr="008E3FD3">
              <w:rPr>
                <w:b/>
              </w:rPr>
              <w:t>Licence suspension</w:t>
            </w:r>
          </w:p>
        </w:tc>
        <w:tc>
          <w:tcPr>
            <w:tcW w:w="7371" w:type="dxa"/>
            <w:shd w:val="clear" w:color="auto" w:fill="auto"/>
          </w:tcPr>
          <w:p w14:paraId="74AA8D41" w14:textId="77777777" w:rsidR="001E1320" w:rsidRPr="001E1320" w:rsidRDefault="001E1320" w:rsidP="001E1320">
            <w:pPr>
              <w:pStyle w:val="TableParagraph"/>
            </w:pPr>
            <w:r w:rsidRPr="006A14ED">
              <w:t>The driver’s authority to drive has been suspended for a fixed period. At the end of that period, the licence will automatically be re-instated. During a licence suspension, the offender is disqualified from driving</w:t>
            </w:r>
            <w:r w:rsidRPr="001E1320">
              <w:t>.</w:t>
            </w:r>
          </w:p>
        </w:tc>
      </w:tr>
      <w:tr w:rsidR="001E1320" w:rsidRPr="00117C96" w14:paraId="6FD28A14"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084DCF63" w14:textId="77777777" w:rsidR="001E1320" w:rsidRPr="008E3FD3" w:rsidRDefault="001E1320" w:rsidP="001E1320">
            <w:pPr>
              <w:pStyle w:val="TableParagraph"/>
              <w:rPr>
                <w:b/>
              </w:rPr>
            </w:pPr>
            <w:r w:rsidRPr="008E3FD3">
              <w:rPr>
                <w:b/>
              </w:rPr>
              <w:t>NDLS</w:t>
            </w:r>
          </w:p>
        </w:tc>
        <w:tc>
          <w:tcPr>
            <w:tcW w:w="7371" w:type="dxa"/>
            <w:shd w:val="clear" w:color="auto" w:fill="auto"/>
          </w:tcPr>
          <w:p w14:paraId="2C19AB6F" w14:textId="77777777" w:rsidR="001E1320" w:rsidRPr="008F68D4" w:rsidRDefault="001E1320" w:rsidP="001E1320">
            <w:pPr>
              <w:pStyle w:val="TableParagraph"/>
            </w:pPr>
            <w:r w:rsidRPr="008F68D4">
              <w:t>National Driver Licensing Scheme</w:t>
            </w:r>
          </w:p>
        </w:tc>
      </w:tr>
      <w:tr w:rsidR="00502804" w:rsidRPr="00117C96" w14:paraId="7A2F6501" w14:textId="77777777" w:rsidTr="007D5E46">
        <w:trPr>
          <w:trHeight w:val="300"/>
        </w:trPr>
        <w:tc>
          <w:tcPr>
            <w:tcW w:w="2122" w:type="dxa"/>
            <w:shd w:val="clear" w:color="auto" w:fill="auto"/>
            <w:noWrap/>
          </w:tcPr>
          <w:p w14:paraId="7B08096A" w14:textId="77777777" w:rsidR="00502804" w:rsidRPr="008E3FD3" w:rsidRDefault="00502804" w:rsidP="001E1320">
            <w:pPr>
              <w:pStyle w:val="TableParagraph"/>
              <w:rPr>
                <w:b/>
              </w:rPr>
            </w:pPr>
            <w:r w:rsidRPr="008E3FD3">
              <w:rPr>
                <w:b/>
              </w:rPr>
              <w:t>NGLS</w:t>
            </w:r>
          </w:p>
        </w:tc>
        <w:tc>
          <w:tcPr>
            <w:tcW w:w="7371" w:type="dxa"/>
            <w:shd w:val="clear" w:color="auto" w:fill="auto"/>
          </w:tcPr>
          <w:p w14:paraId="7E5E13ED" w14:textId="77777777" w:rsidR="00502804" w:rsidRPr="008F68D4" w:rsidRDefault="00502804" w:rsidP="001E1320">
            <w:pPr>
              <w:pStyle w:val="TableParagraph"/>
            </w:pPr>
            <w:r>
              <w:t>National Graduated Licensing System</w:t>
            </w:r>
          </w:p>
        </w:tc>
      </w:tr>
      <w:tr w:rsidR="001E1320" w:rsidRPr="00117C96" w14:paraId="2AA474D6"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0742C596" w14:textId="77777777" w:rsidR="001E1320" w:rsidRPr="008E3FD3" w:rsidRDefault="001E1320" w:rsidP="001E1320">
            <w:pPr>
              <w:pStyle w:val="TableParagraph"/>
              <w:rPr>
                <w:b/>
              </w:rPr>
            </w:pPr>
            <w:r w:rsidRPr="008E3FD3">
              <w:rPr>
                <w:b/>
              </w:rPr>
              <w:t>NPV</w:t>
            </w:r>
          </w:p>
        </w:tc>
        <w:tc>
          <w:tcPr>
            <w:tcW w:w="7371" w:type="dxa"/>
            <w:shd w:val="clear" w:color="auto" w:fill="auto"/>
          </w:tcPr>
          <w:p w14:paraId="27A2C676" w14:textId="77777777" w:rsidR="001E1320" w:rsidRPr="008F68D4" w:rsidRDefault="001E1320" w:rsidP="001E1320">
            <w:pPr>
              <w:pStyle w:val="TableParagraph"/>
            </w:pPr>
            <w:r w:rsidRPr="008F68D4">
              <w:t>Net Present Value</w:t>
            </w:r>
          </w:p>
        </w:tc>
      </w:tr>
      <w:tr w:rsidR="001E1320" w:rsidRPr="00117C96" w14:paraId="28DC2012" w14:textId="77777777" w:rsidTr="007D5E46">
        <w:trPr>
          <w:trHeight w:val="300"/>
        </w:trPr>
        <w:tc>
          <w:tcPr>
            <w:tcW w:w="2122" w:type="dxa"/>
            <w:shd w:val="clear" w:color="auto" w:fill="auto"/>
            <w:noWrap/>
          </w:tcPr>
          <w:p w14:paraId="0222F2AA" w14:textId="77777777" w:rsidR="001E1320" w:rsidRPr="008E3FD3" w:rsidRDefault="001E1320" w:rsidP="001E1320">
            <w:pPr>
              <w:pStyle w:val="TableParagraph"/>
              <w:rPr>
                <w:b/>
              </w:rPr>
            </w:pPr>
            <w:r w:rsidRPr="008E3FD3">
              <w:rPr>
                <w:b/>
              </w:rPr>
              <w:t>NTC</w:t>
            </w:r>
          </w:p>
        </w:tc>
        <w:tc>
          <w:tcPr>
            <w:tcW w:w="7371" w:type="dxa"/>
            <w:shd w:val="clear" w:color="auto" w:fill="auto"/>
          </w:tcPr>
          <w:p w14:paraId="11C40AB9" w14:textId="3F57BAE4" w:rsidR="001E1320" w:rsidRPr="008F68D4" w:rsidRDefault="001E1320" w:rsidP="001E1320">
            <w:pPr>
              <w:pStyle w:val="TableParagraph"/>
            </w:pPr>
            <w:r w:rsidRPr="008F68D4">
              <w:t>National Transport Commission</w:t>
            </w:r>
            <w:r>
              <w:t xml:space="preserve">, </w:t>
            </w:r>
            <w:r w:rsidRPr="000B5895">
              <w:t>an independent statutory body that contributes to the achievement of national transport policy objectives by developing regulatory and operational reform of road, rail and intermodal transport</w:t>
            </w:r>
            <w:r>
              <w:t xml:space="preserve"> – </w:t>
            </w:r>
            <w:hyperlink r:id="rId116" w:history="1">
              <w:r w:rsidRPr="00CB4903">
                <w:rPr>
                  <w:rStyle w:val="Hyperlink"/>
                </w:rPr>
                <w:t>www.ntc.gov.au</w:t>
              </w:r>
            </w:hyperlink>
            <w:r>
              <w:t xml:space="preserve"> </w:t>
            </w:r>
          </w:p>
        </w:tc>
      </w:tr>
      <w:tr w:rsidR="001E1320" w:rsidRPr="00117C96" w14:paraId="17C8E87F"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1FC71A3F" w14:textId="77777777" w:rsidR="001E1320" w:rsidRPr="008E3FD3" w:rsidRDefault="001E1320" w:rsidP="001E1320">
            <w:pPr>
              <w:pStyle w:val="TableParagraph"/>
              <w:rPr>
                <w:b/>
              </w:rPr>
            </w:pPr>
            <w:r w:rsidRPr="008E3FD3">
              <w:rPr>
                <w:b/>
              </w:rPr>
              <w:t>OBPR</w:t>
            </w:r>
          </w:p>
        </w:tc>
        <w:tc>
          <w:tcPr>
            <w:tcW w:w="7371" w:type="dxa"/>
            <w:shd w:val="clear" w:color="auto" w:fill="auto"/>
          </w:tcPr>
          <w:p w14:paraId="3446B635" w14:textId="23A9A069" w:rsidR="001E1320" w:rsidRPr="008F68D4" w:rsidRDefault="001E1320" w:rsidP="001E1320">
            <w:pPr>
              <w:pStyle w:val="TableParagraph"/>
            </w:pPr>
            <w:r>
              <w:t xml:space="preserve">Office of Best Practice Regulation in the Regulatory Reform Division of the Department of Prime Minister and Cabinet administers the Regulatory Impact Analysis requirements of the Australian Government and the Council of Australian Governments (COAG) – </w:t>
            </w:r>
            <w:hyperlink r:id="rId117" w:history="1">
              <w:r w:rsidRPr="00CB4903">
                <w:rPr>
                  <w:rStyle w:val="Hyperlink"/>
                </w:rPr>
                <w:t>https://pmc.gov.au/regulation/best-practice-regulation</w:t>
              </w:r>
            </w:hyperlink>
            <w:r>
              <w:t xml:space="preserve"> </w:t>
            </w:r>
          </w:p>
        </w:tc>
      </w:tr>
      <w:tr w:rsidR="00113736" w:rsidRPr="00117C96" w14:paraId="679A0772" w14:textId="77777777" w:rsidTr="007D5E46">
        <w:trPr>
          <w:trHeight w:val="300"/>
        </w:trPr>
        <w:tc>
          <w:tcPr>
            <w:tcW w:w="2122" w:type="dxa"/>
            <w:shd w:val="clear" w:color="auto" w:fill="auto"/>
            <w:noWrap/>
          </w:tcPr>
          <w:p w14:paraId="118C106E" w14:textId="77777777" w:rsidR="00113736" w:rsidRPr="008E3FD3" w:rsidRDefault="00113736" w:rsidP="001E1320">
            <w:pPr>
              <w:pStyle w:val="TableParagraph"/>
              <w:rPr>
                <w:b/>
              </w:rPr>
            </w:pPr>
            <w:r>
              <w:rPr>
                <w:b/>
              </w:rPr>
              <w:t>OECD</w:t>
            </w:r>
          </w:p>
        </w:tc>
        <w:tc>
          <w:tcPr>
            <w:tcW w:w="7371" w:type="dxa"/>
            <w:shd w:val="clear" w:color="auto" w:fill="auto"/>
          </w:tcPr>
          <w:p w14:paraId="455EF998" w14:textId="77777777" w:rsidR="00113736" w:rsidRDefault="00113736" w:rsidP="001E1320">
            <w:pPr>
              <w:pStyle w:val="TableParagraph"/>
            </w:pPr>
            <w:r w:rsidRPr="00113736">
              <w:t>Organisation for Economic Co-operation and Development</w:t>
            </w:r>
          </w:p>
        </w:tc>
      </w:tr>
      <w:tr w:rsidR="001E1320" w:rsidRPr="00117C96" w14:paraId="1CA74A5B"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1B1C8858" w14:textId="77777777" w:rsidR="001E1320" w:rsidRPr="008E3FD3" w:rsidRDefault="001E1320" w:rsidP="001E1320">
            <w:pPr>
              <w:pStyle w:val="TableParagraph"/>
              <w:rPr>
                <w:b/>
              </w:rPr>
            </w:pPr>
            <w:r w:rsidRPr="008E3FD3">
              <w:rPr>
                <w:b/>
              </w:rPr>
              <w:t>NEVDIS</w:t>
            </w:r>
          </w:p>
        </w:tc>
        <w:tc>
          <w:tcPr>
            <w:tcW w:w="7371" w:type="dxa"/>
            <w:shd w:val="clear" w:color="auto" w:fill="auto"/>
          </w:tcPr>
          <w:p w14:paraId="30A748F9" w14:textId="77777777" w:rsidR="001E1320" w:rsidRPr="008F68D4" w:rsidRDefault="001E1320" w:rsidP="001E1320">
            <w:pPr>
              <w:pStyle w:val="TableParagraph"/>
            </w:pPr>
            <w:r w:rsidRPr="00AC1C8F">
              <w:t>National Exchange of Vehicle and Driver Information System</w:t>
            </w:r>
          </w:p>
        </w:tc>
      </w:tr>
      <w:tr w:rsidR="001E1320" w:rsidRPr="00117C96" w14:paraId="24C80198" w14:textId="77777777" w:rsidTr="007D5E46">
        <w:trPr>
          <w:trHeight w:val="300"/>
        </w:trPr>
        <w:tc>
          <w:tcPr>
            <w:tcW w:w="2122" w:type="dxa"/>
            <w:shd w:val="clear" w:color="auto" w:fill="auto"/>
            <w:noWrap/>
          </w:tcPr>
          <w:p w14:paraId="58DC4CFD" w14:textId="77777777" w:rsidR="001E1320" w:rsidRPr="008E3FD3" w:rsidRDefault="001E1320" w:rsidP="001E1320">
            <w:pPr>
              <w:pStyle w:val="TableParagraph"/>
              <w:rPr>
                <w:b/>
              </w:rPr>
            </w:pPr>
            <w:r w:rsidRPr="008E3FD3">
              <w:rPr>
                <w:b/>
              </w:rPr>
              <w:t>PMR</w:t>
            </w:r>
          </w:p>
        </w:tc>
        <w:tc>
          <w:tcPr>
            <w:tcW w:w="7371" w:type="dxa"/>
            <w:shd w:val="clear" w:color="auto" w:fill="auto"/>
          </w:tcPr>
          <w:p w14:paraId="16826E23" w14:textId="77777777" w:rsidR="001E1320" w:rsidRPr="00117C96" w:rsidRDefault="001E1320" w:rsidP="001E1320">
            <w:pPr>
              <w:pStyle w:val="TableParagraph"/>
            </w:pPr>
            <w:r w:rsidRPr="008F68D4">
              <w:t xml:space="preserve">Power-to-Mass Ratio </w:t>
            </w:r>
            <w:r w:rsidRPr="00C325D1">
              <w:t>describe</w:t>
            </w:r>
            <w:r>
              <w:t>s</w:t>
            </w:r>
            <w:r w:rsidRPr="00C325D1">
              <w:t xml:space="preserve"> the relationship between a measurement of power (usually Kilowatt units) and its ability to move and accelerate a vehicle of a particular mass.</w:t>
            </w:r>
          </w:p>
        </w:tc>
      </w:tr>
      <w:tr w:rsidR="001E1320" w:rsidRPr="00117C96" w14:paraId="45EC414C"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27F1E5A2" w14:textId="77777777" w:rsidR="001E1320" w:rsidRPr="008E3FD3" w:rsidRDefault="001E1320" w:rsidP="001E1320">
            <w:pPr>
              <w:pStyle w:val="TableParagraph"/>
              <w:rPr>
                <w:b/>
              </w:rPr>
            </w:pPr>
            <w:r w:rsidRPr="008E3FD3">
              <w:rPr>
                <w:b/>
              </w:rPr>
              <w:t>PPV</w:t>
            </w:r>
          </w:p>
        </w:tc>
        <w:tc>
          <w:tcPr>
            <w:tcW w:w="7371" w:type="dxa"/>
            <w:shd w:val="clear" w:color="auto" w:fill="auto"/>
          </w:tcPr>
          <w:p w14:paraId="06034149" w14:textId="77777777" w:rsidR="001E1320" w:rsidRPr="008F68D4" w:rsidRDefault="001E1320" w:rsidP="001E1320">
            <w:pPr>
              <w:pStyle w:val="TableParagraph"/>
            </w:pPr>
            <w:r w:rsidRPr="008F68D4">
              <w:t>Prohibited Probationary Vehicle</w:t>
            </w:r>
          </w:p>
        </w:tc>
      </w:tr>
      <w:tr w:rsidR="008E7876" w:rsidRPr="00117C96" w14:paraId="59EFF964" w14:textId="77777777" w:rsidTr="007D5E46">
        <w:trPr>
          <w:trHeight w:val="300"/>
        </w:trPr>
        <w:tc>
          <w:tcPr>
            <w:tcW w:w="2122" w:type="dxa"/>
            <w:shd w:val="clear" w:color="auto" w:fill="auto"/>
            <w:noWrap/>
          </w:tcPr>
          <w:p w14:paraId="1391C7CB" w14:textId="77777777" w:rsidR="008E7876" w:rsidRPr="008E3FD3" w:rsidRDefault="008E7876" w:rsidP="001E1320">
            <w:pPr>
              <w:pStyle w:val="TableParagraph"/>
              <w:rPr>
                <w:b/>
              </w:rPr>
            </w:pPr>
            <w:r>
              <w:rPr>
                <w:b/>
              </w:rPr>
              <w:t>PTV</w:t>
            </w:r>
          </w:p>
        </w:tc>
        <w:tc>
          <w:tcPr>
            <w:tcW w:w="7371" w:type="dxa"/>
            <w:shd w:val="clear" w:color="auto" w:fill="auto"/>
          </w:tcPr>
          <w:p w14:paraId="5AAA7FA6" w14:textId="77777777" w:rsidR="008E7876" w:rsidRPr="008F68D4" w:rsidRDefault="008E7876" w:rsidP="001E1320">
            <w:pPr>
              <w:pStyle w:val="TableParagraph"/>
            </w:pPr>
            <w:r>
              <w:t>Public Transport Victoria</w:t>
            </w:r>
          </w:p>
        </w:tc>
      </w:tr>
      <w:tr w:rsidR="001E1320" w:rsidRPr="00117C96" w14:paraId="598291C4"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663F555B" w14:textId="77777777" w:rsidR="001E1320" w:rsidRPr="008E3FD3" w:rsidRDefault="001E1320" w:rsidP="001E1320">
            <w:pPr>
              <w:pStyle w:val="TableParagraph"/>
              <w:rPr>
                <w:b/>
              </w:rPr>
            </w:pPr>
            <w:r w:rsidRPr="008E3FD3">
              <w:rPr>
                <w:b/>
              </w:rPr>
              <w:t>PV</w:t>
            </w:r>
          </w:p>
        </w:tc>
        <w:tc>
          <w:tcPr>
            <w:tcW w:w="7371" w:type="dxa"/>
            <w:shd w:val="clear" w:color="auto" w:fill="auto"/>
          </w:tcPr>
          <w:p w14:paraId="26BA70B5" w14:textId="77777777" w:rsidR="001E1320" w:rsidRPr="008F68D4" w:rsidRDefault="001E1320" w:rsidP="001E1320">
            <w:pPr>
              <w:pStyle w:val="TableParagraph"/>
            </w:pPr>
            <w:r w:rsidRPr="0090224A">
              <w:t>Present Value</w:t>
            </w:r>
          </w:p>
        </w:tc>
      </w:tr>
      <w:tr w:rsidR="001C288C" w:rsidRPr="00117C96" w14:paraId="79B5AB16" w14:textId="77777777" w:rsidTr="007D5E46">
        <w:trPr>
          <w:trHeight w:val="300"/>
        </w:trPr>
        <w:tc>
          <w:tcPr>
            <w:tcW w:w="2122" w:type="dxa"/>
            <w:shd w:val="clear" w:color="auto" w:fill="auto"/>
            <w:noWrap/>
          </w:tcPr>
          <w:p w14:paraId="011EE705" w14:textId="77777777" w:rsidR="001C288C" w:rsidRPr="008E3FD3" w:rsidRDefault="002979AF" w:rsidP="001E1320">
            <w:pPr>
              <w:pStyle w:val="TableParagraph"/>
              <w:rPr>
                <w:b/>
              </w:rPr>
            </w:pPr>
            <w:r w:rsidRPr="008E3FD3">
              <w:rPr>
                <w:b/>
              </w:rPr>
              <w:t>QMS</w:t>
            </w:r>
          </w:p>
        </w:tc>
        <w:tc>
          <w:tcPr>
            <w:tcW w:w="7371" w:type="dxa"/>
            <w:shd w:val="clear" w:color="auto" w:fill="auto"/>
          </w:tcPr>
          <w:p w14:paraId="199163FD" w14:textId="77777777" w:rsidR="001C288C" w:rsidRPr="0090224A" w:rsidRDefault="002979AF" w:rsidP="001E1320">
            <w:pPr>
              <w:pStyle w:val="TableParagraph"/>
            </w:pPr>
            <w:r>
              <w:t>Quality Management System</w:t>
            </w:r>
          </w:p>
        </w:tc>
      </w:tr>
      <w:tr w:rsidR="001E1320" w:rsidRPr="00117C96" w14:paraId="0ACF3500"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49716FF4" w14:textId="77777777" w:rsidR="001E1320" w:rsidRPr="008E3FD3" w:rsidRDefault="001E1320" w:rsidP="001E1320">
            <w:pPr>
              <w:pStyle w:val="TableParagraph"/>
              <w:rPr>
                <w:b/>
              </w:rPr>
            </w:pPr>
            <w:r w:rsidRPr="008E3FD3">
              <w:rPr>
                <w:b/>
              </w:rPr>
              <w:t>R&amp;L</w:t>
            </w:r>
          </w:p>
        </w:tc>
        <w:tc>
          <w:tcPr>
            <w:tcW w:w="7371" w:type="dxa"/>
            <w:shd w:val="clear" w:color="auto" w:fill="auto"/>
          </w:tcPr>
          <w:p w14:paraId="1FE0B6BD" w14:textId="77777777" w:rsidR="001E1320" w:rsidRPr="008F68D4" w:rsidRDefault="001E1320" w:rsidP="001E1320">
            <w:pPr>
              <w:pStyle w:val="TableParagraph"/>
            </w:pPr>
            <w:r w:rsidRPr="008F68D4">
              <w:t>Registration &amp; Licensing (</w:t>
            </w:r>
            <w:r>
              <w:t xml:space="preserve">a </w:t>
            </w:r>
            <w:r w:rsidRPr="008F68D4">
              <w:t>division of VicRoads)</w:t>
            </w:r>
          </w:p>
        </w:tc>
      </w:tr>
      <w:tr w:rsidR="006720EA" w:rsidRPr="00117C96" w14:paraId="335FC5E8" w14:textId="77777777" w:rsidTr="007D5E46">
        <w:trPr>
          <w:trHeight w:val="300"/>
        </w:trPr>
        <w:tc>
          <w:tcPr>
            <w:tcW w:w="2122" w:type="dxa"/>
            <w:shd w:val="clear" w:color="auto" w:fill="auto"/>
            <w:noWrap/>
          </w:tcPr>
          <w:p w14:paraId="4A30E74A" w14:textId="77777777" w:rsidR="006720EA" w:rsidRPr="008E3FD3" w:rsidRDefault="006720EA" w:rsidP="001E1320">
            <w:pPr>
              <w:pStyle w:val="TableParagraph"/>
              <w:rPr>
                <w:b/>
              </w:rPr>
            </w:pPr>
            <w:r>
              <w:rPr>
                <w:b/>
              </w:rPr>
              <w:t>RCIS</w:t>
            </w:r>
          </w:p>
        </w:tc>
        <w:tc>
          <w:tcPr>
            <w:tcW w:w="7371" w:type="dxa"/>
            <w:shd w:val="clear" w:color="auto" w:fill="auto"/>
          </w:tcPr>
          <w:p w14:paraId="5125D4C1" w14:textId="77777777" w:rsidR="006720EA" w:rsidRPr="008F68D4" w:rsidRDefault="006720EA" w:rsidP="001E1320">
            <w:pPr>
              <w:pStyle w:val="TableParagraph"/>
            </w:pPr>
            <w:r>
              <w:t xml:space="preserve">Road Crash Information System – </w:t>
            </w:r>
            <w:r w:rsidR="00B35A0F" w:rsidRPr="00B35A0F">
              <w:t>is an online database providing crash data from Victorian road incidents dating back to 1987. This information is sourced from Victoria Police.</w:t>
            </w:r>
            <w:r w:rsidR="00B35A0F">
              <w:t xml:space="preserve"> </w:t>
            </w:r>
            <w:r w:rsidR="00B35A0F" w:rsidRPr="00B35A0F">
              <w:t>RCIS also provides tools for analysing road crashes in Victoria.</w:t>
            </w:r>
          </w:p>
        </w:tc>
      </w:tr>
      <w:tr w:rsidR="001E1320" w:rsidRPr="00117C96" w14:paraId="5ED5E27D"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7C382E4B" w14:textId="77777777" w:rsidR="001E1320" w:rsidRPr="008E3FD3" w:rsidRDefault="001E1320" w:rsidP="001E1320">
            <w:pPr>
              <w:pStyle w:val="TableParagraph"/>
              <w:rPr>
                <w:b/>
              </w:rPr>
            </w:pPr>
            <w:r w:rsidRPr="008E3FD3">
              <w:rPr>
                <w:b/>
              </w:rPr>
              <w:t>RIS</w:t>
            </w:r>
          </w:p>
        </w:tc>
        <w:tc>
          <w:tcPr>
            <w:tcW w:w="7371" w:type="dxa"/>
            <w:shd w:val="clear" w:color="auto" w:fill="auto"/>
          </w:tcPr>
          <w:p w14:paraId="1254EB5C" w14:textId="77777777" w:rsidR="001E1320" w:rsidRPr="008F68D4" w:rsidRDefault="001E1320" w:rsidP="001E1320">
            <w:pPr>
              <w:pStyle w:val="TableParagraph"/>
            </w:pPr>
            <w:r w:rsidRPr="008F68D4">
              <w:t>Regulatory Impact Statement</w:t>
            </w:r>
          </w:p>
        </w:tc>
      </w:tr>
      <w:tr w:rsidR="001E1320" w:rsidRPr="00117C96" w14:paraId="6CF3C8EF" w14:textId="77777777" w:rsidTr="007D5E46">
        <w:trPr>
          <w:trHeight w:val="300"/>
        </w:trPr>
        <w:tc>
          <w:tcPr>
            <w:tcW w:w="2122" w:type="dxa"/>
            <w:shd w:val="clear" w:color="auto" w:fill="auto"/>
            <w:noWrap/>
          </w:tcPr>
          <w:p w14:paraId="4E5ECCD8" w14:textId="77777777" w:rsidR="001E1320" w:rsidRPr="008E3FD3" w:rsidRDefault="001E1320" w:rsidP="001E1320">
            <w:pPr>
              <w:pStyle w:val="TableParagraph"/>
              <w:rPr>
                <w:b/>
              </w:rPr>
            </w:pPr>
            <w:r w:rsidRPr="008E3FD3">
              <w:rPr>
                <w:b/>
                <w:i/>
              </w:rPr>
              <w:t>RSA</w:t>
            </w:r>
          </w:p>
        </w:tc>
        <w:tc>
          <w:tcPr>
            <w:tcW w:w="7371" w:type="dxa"/>
            <w:shd w:val="clear" w:color="auto" w:fill="auto"/>
          </w:tcPr>
          <w:p w14:paraId="25E568D7" w14:textId="77777777" w:rsidR="001E1320" w:rsidRPr="008F68D4" w:rsidRDefault="001E1320" w:rsidP="001E1320">
            <w:pPr>
              <w:pStyle w:val="TableParagraph"/>
            </w:pPr>
            <w:r w:rsidRPr="008F68D4">
              <w:t>Road Safety Act 1986</w:t>
            </w:r>
          </w:p>
        </w:tc>
      </w:tr>
      <w:tr w:rsidR="0012671E" w:rsidRPr="00117C96" w14:paraId="07034F2C"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5F7067F1" w14:textId="77777777" w:rsidR="0012671E" w:rsidRPr="008E3FD3" w:rsidRDefault="0012671E" w:rsidP="001E1320">
            <w:pPr>
              <w:pStyle w:val="TableParagraph"/>
              <w:rPr>
                <w:b/>
              </w:rPr>
            </w:pPr>
            <w:r w:rsidRPr="008E3FD3">
              <w:rPr>
                <w:b/>
              </w:rPr>
              <w:t>SCOTI</w:t>
            </w:r>
          </w:p>
        </w:tc>
        <w:tc>
          <w:tcPr>
            <w:tcW w:w="7371" w:type="dxa"/>
            <w:shd w:val="clear" w:color="auto" w:fill="auto"/>
          </w:tcPr>
          <w:p w14:paraId="765070C6" w14:textId="77777777" w:rsidR="0012671E" w:rsidRPr="008F68D4" w:rsidRDefault="0012671E" w:rsidP="001E1320">
            <w:pPr>
              <w:pStyle w:val="TableParagraph"/>
            </w:pPr>
            <w:r>
              <w:t>Standing Council on Transport and Infrastructure</w:t>
            </w:r>
          </w:p>
        </w:tc>
      </w:tr>
      <w:tr w:rsidR="00855EB9" w:rsidRPr="00117C96" w14:paraId="433938F8" w14:textId="77777777" w:rsidTr="007D5E46">
        <w:trPr>
          <w:trHeight w:val="300"/>
        </w:trPr>
        <w:tc>
          <w:tcPr>
            <w:tcW w:w="2122" w:type="dxa"/>
            <w:shd w:val="clear" w:color="auto" w:fill="auto"/>
            <w:noWrap/>
          </w:tcPr>
          <w:p w14:paraId="25010C8C" w14:textId="77777777" w:rsidR="00855EB9" w:rsidRPr="008E3FD3" w:rsidRDefault="00C74C11" w:rsidP="001E1320">
            <w:pPr>
              <w:pStyle w:val="TableParagraph"/>
              <w:rPr>
                <w:b/>
              </w:rPr>
            </w:pPr>
            <w:r>
              <w:rPr>
                <w:b/>
              </w:rPr>
              <w:t>Statistical significance</w:t>
            </w:r>
          </w:p>
        </w:tc>
        <w:tc>
          <w:tcPr>
            <w:tcW w:w="7371" w:type="dxa"/>
            <w:shd w:val="clear" w:color="auto" w:fill="auto"/>
          </w:tcPr>
          <w:p w14:paraId="344B2E3A" w14:textId="3D7B9EFB" w:rsidR="00855EB9" w:rsidRDefault="00855EB9" w:rsidP="001E1320">
            <w:pPr>
              <w:pStyle w:val="TableParagraph"/>
            </w:pPr>
            <w:r w:rsidRPr="00855EB9">
              <w:t>In statistics, a number that expresses the probability that the result of a given experiment or study could have occurred purely by chance. This number can be a margin of error (“The results of this public opinion poll are accurate to five percent”), or it can indicate a confidence level (“If this experiment were repeated, there is a probability of ninety-five percent that our conclusions would be substantiated”).</w:t>
            </w:r>
            <w:r>
              <w:t xml:space="preserve"> Dictionary.com: </w:t>
            </w:r>
            <w:hyperlink r:id="rId118" w:history="1">
              <w:r w:rsidRPr="00142983">
                <w:rPr>
                  <w:rStyle w:val="Hyperlink"/>
                </w:rPr>
                <w:t>https://www.dictionary.com/browse/statistical-significance</w:t>
              </w:r>
            </w:hyperlink>
            <w:r>
              <w:t xml:space="preserve"> </w:t>
            </w:r>
          </w:p>
        </w:tc>
      </w:tr>
      <w:tr w:rsidR="001E1320" w:rsidRPr="00117C96" w14:paraId="6F7352A8"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054B4A07" w14:textId="77777777" w:rsidR="001E1320" w:rsidRPr="008E3FD3" w:rsidRDefault="001E1320" w:rsidP="001E1320">
            <w:pPr>
              <w:pStyle w:val="TableParagraph"/>
              <w:rPr>
                <w:b/>
              </w:rPr>
            </w:pPr>
            <w:r w:rsidRPr="008E3FD3">
              <w:rPr>
                <w:b/>
              </w:rPr>
              <w:lastRenderedPageBreak/>
              <w:t>TAC</w:t>
            </w:r>
          </w:p>
        </w:tc>
        <w:tc>
          <w:tcPr>
            <w:tcW w:w="7371" w:type="dxa"/>
            <w:shd w:val="clear" w:color="auto" w:fill="auto"/>
          </w:tcPr>
          <w:p w14:paraId="3463B068" w14:textId="77777777" w:rsidR="001E1320" w:rsidRPr="008F68D4" w:rsidRDefault="001E1320" w:rsidP="001E1320">
            <w:pPr>
              <w:pStyle w:val="TableParagraph"/>
            </w:pPr>
            <w:r w:rsidRPr="008F68D4">
              <w:t>Transport Accident Commission</w:t>
            </w:r>
          </w:p>
        </w:tc>
      </w:tr>
      <w:tr w:rsidR="001E1320" w:rsidRPr="00117C96" w14:paraId="6E377DA8" w14:textId="77777777" w:rsidTr="007D5E46">
        <w:trPr>
          <w:trHeight w:val="300"/>
        </w:trPr>
        <w:tc>
          <w:tcPr>
            <w:tcW w:w="2122" w:type="dxa"/>
            <w:shd w:val="clear" w:color="auto" w:fill="auto"/>
            <w:noWrap/>
          </w:tcPr>
          <w:p w14:paraId="3636DECF" w14:textId="77777777" w:rsidR="001E1320" w:rsidRPr="008E3FD3" w:rsidRDefault="001E1320" w:rsidP="001E1320">
            <w:pPr>
              <w:pStyle w:val="TableParagraph"/>
              <w:rPr>
                <w:b/>
              </w:rPr>
            </w:pPr>
            <w:r w:rsidRPr="008E3FD3">
              <w:rPr>
                <w:b/>
              </w:rPr>
              <w:t>Temporary Visa</w:t>
            </w:r>
          </w:p>
        </w:tc>
        <w:tc>
          <w:tcPr>
            <w:tcW w:w="7371" w:type="dxa"/>
            <w:shd w:val="clear" w:color="auto" w:fill="auto"/>
          </w:tcPr>
          <w:p w14:paraId="720E74B3" w14:textId="77777777" w:rsidR="001E1320" w:rsidRDefault="001E1320" w:rsidP="00D4662C">
            <w:pPr>
              <w:pStyle w:val="TableParagraph"/>
              <w:spacing w:after="0"/>
            </w:pPr>
            <w:r>
              <w:t>Temporary entrants into Australia who hold a visa in any of the following categories:</w:t>
            </w:r>
          </w:p>
          <w:p w14:paraId="2F9FFE80" w14:textId="77777777" w:rsidR="001E1320" w:rsidRDefault="001E1320" w:rsidP="00D4662C">
            <w:pPr>
              <w:pStyle w:val="TableList1"/>
              <w:spacing w:after="0"/>
            </w:pPr>
            <w:r w:rsidRPr="006B6A64">
              <w:rPr>
                <w:i/>
              </w:rPr>
              <w:t>Student visa</w:t>
            </w:r>
            <w:r>
              <w:t xml:space="preserve"> - issued to overseas students who undertake full-time study in registered courses. The length of stay under a student visa is up to five years.</w:t>
            </w:r>
          </w:p>
          <w:p w14:paraId="27F33790" w14:textId="77777777" w:rsidR="001E1320" w:rsidRDefault="001E1320" w:rsidP="00D4662C">
            <w:pPr>
              <w:pStyle w:val="TableList1"/>
              <w:spacing w:after="0"/>
            </w:pPr>
            <w:r w:rsidRPr="006B6A64">
              <w:rPr>
                <w:i/>
              </w:rPr>
              <w:t>Working holiday maker visa</w:t>
            </w:r>
            <w:r>
              <w:t xml:space="preserve"> (subclasses 417 and 462) – issued to young adults aged b</w:t>
            </w:r>
            <w:r w:rsidRPr="00483170">
              <w:t>etween 18 and 30 years old (inclusive)</w:t>
            </w:r>
            <w:r>
              <w:t xml:space="preserve"> from countries with reciprocal bilateral agreements with Australia who holiday in Australia and undertake short</w:t>
            </w:r>
            <w:r w:rsidR="00946923">
              <w:t>-</w:t>
            </w:r>
            <w:r>
              <w:t xml:space="preserve">term work and/or study. They are </w:t>
            </w:r>
            <w:r w:rsidRPr="00C434AF">
              <w:t>permitted to stay for a period of up to 12 months from the date of initial entry to Australia</w:t>
            </w:r>
            <w:r w:rsidR="00984936" w:rsidRPr="00C434AF">
              <w:t>,</w:t>
            </w:r>
            <w:r>
              <w:t xml:space="preserve"> but the visa </w:t>
            </w:r>
            <w:r w:rsidRPr="006B6A64">
              <w:t>may be renewed for a second year under certain conditions</w:t>
            </w:r>
            <w:r>
              <w:t>.</w:t>
            </w:r>
          </w:p>
          <w:p w14:paraId="38A75898" w14:textId="77777777" w:rsidR="001E1320" w:rsidRDefault="001E1320" w:rsidP="00D4662C">
            <w:pPr>
              <w:pStyle w:val="TableList1"/>
              <w:spacing w:after="0"/>
            </w:pPr>
            <w:r w:rsidRPr="006B6A64">
              <w:rPr>
                <w:i/>
              </w:rPr>
              <w:t>Temporary skilled visa</w:t>
            </w:r>
            <w:r>
              <w:t xml:space="preserve"> (subclass 457) – issued to workers mostly recruited by Australian companies whose visa is valid for up to four years.</w:t>
            </w:r>
          </w:p>
          <w:p w14:paraId="06FE8B6D" w14:textId="77777777" w:rsidR="001E1320" w:rsidRPr="00C325D1" w:rsidRDefault="001E1320" w:rsidP="00265CBE">
            <w:pPr>
              <w:pStyle w:val="TableList1"/>
            </w:pPr>
            <w:r w:rsidRPr="006B6A64">
              <w:rPr>
                <w:i/>
              </w:rPr>
              <w:t>Temporary Graduate visa</w:t>
            </w:r>
            <w:r>
              <w:t xml:space="preserve"> (subclass 485) – issued to overseas students who wish to remain in Australia for up to 18 months to gain skilled work experience or improve their English skills.</w:t>
            </w:r>
          </w:p>
        </w:tc>
      </w:tr>
      <w:tr w:rsidR="001E1320" w:rsidRPr="00CE1230" w14:paraId="20CE0FA9"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61DC848C" w14:textId="77777777" w:rsidR="001E1320" w:rsidRPr="008E3FD3" w:rsidRDefault="001E1320" w:rsidP="001E1320">
            <w:pPr>
              <w:pStyle w:val="TableParagraph"/>
              <w:rPr>
                <w:b/>
              </w:rPr>
            </w:pPr>
            <w:r w:rsidRPr="008E3FD3">
              <w:rPr>
                <w:b/>
              </w:rPr>
              <w:t>Traffic Infringement Notice (TIN)</w:t>
            </w:r>
          </w:p>
        </w:tc>
        <w:tc>
          <w:tcPr>
            <w:tcW w:w="7371" w:type="dxa"/>
            <w:shd w:val="clear" w:color="auto" w:fill="auto"/>
          </w:tcPr>
          <w:p w14:paraId="63D5EC10" w14:textId="77777777" w:rsidR="001E1320" w:rsidRPr="00052118" w:rsidRDefault="001E1320" w:rsidP="001E1320">
            <w:pPr>
              <w:pStyle w:val="TableParagraph"/>
            </w:pPr>
            <w:r w:rsidRPr="006A14ED">
              <w:t xml:space="preserve">The penalty notice that contains the fine, demerit points (if applicable) and ban (if applicable) </w:t>
            </w:r>
            <w:r w:rsidRPr="001E1320">
              <w:t>given to a driver for an offence. This may occur via the driver being pulled over by police on the roadside or by</w:t>
            </w:r>
            <w:r w:rsidRPr="00211DF1">
              <w:t xml:space="preserve"> being caught on a speed or red-light camera.</w:t>
            </w:r>
          </w:p>
        </w:tc>
      </w:tr>
      <w:tr w:rsidR="001E1320" w:rsidRPr="00117C96" w14:paraId="160A4401" w14:textId="77777777" w:rsidTr="007D5E46">
        <w:trPr>
          <w:trHeight w:val="300"/>
        </w:trPr>
        <w:tc>
          <w:tcPr>
            <w:tcW w:w="2122" w:type="dxa"/>
            <w:shd w:val="clear" w:color="auto" w:fill="auto"/>
            <w:noWrap/>
          </w:tcPr>
          <w:p w14:paraId="1C3B84D0" w14:textId="77777777" w:rsidR="001E1320" w:rsidRPr="008E3FD3" w:rsidRDefault="001E1320" w:rsidP="001E1320">
            <w:pPr>
              <w:pStyle w:val="TableParagraph"/>
              <w:rPr>
                <w:b/>
              </w:rPr>
            </w:pPr>
            <w:r w:rsidRPr="008E3FD3">
              <w:rPr>
                <w:b/>
              </w:rPr>
              <w:t>Txns</w:t>
            </w:r>
          </w:p>
        </w:tc>
        <w:tc>
          <w:tcPr>
            <w:tcW w:w="7371" w:type="dxa"/>
            <w:shd w:val="clear" w:color="auto" w:fill="auto"/>
          </w:tcPr>
          <w:p w14:paraId="3262DECE" w14:textId="77777777" w:rsidR="001E1320" w:rsidRDefault="001E1320" w:rsidP="001E1320">
            <w:pPr>
              <w:pStyle w:val="TableParagraph"/>
            </w:pPr>
            <w:r>
              <w:t>Transactions</w:t>
            </w:r>
          </w:p>
        </w:tc>
      </w:tr>
      <w:tr w:rsidR="001E1320" w:rsidRPr="00117C96" w14:paraId="73FE25CE"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22DF9290" w14:textId="77777777" w:rsidR="001E1320" w:rsidRPr="008E3FD3" w:rsidRDefault="001E1320" w:rsidP="001E1320">
            <w:pPr>
              <w:pStyle w:val="TableParagraph"/>
              <w:rPr>
                <w:b/>
              </w:rPr>
            </w:pPr>
            <w:r w:rsidRPr="008E3FD3">
              <w:rPr>
                <w:b/>
              </w:rPr>
              <w:t>Unlicensed</w:t>
            </w:r>
          </w:p>
        </w:tc>
        <w:tc>
          <w:tcPr>
            <w:tcW w:w="7371" w:type="dxa"/>
            <w:shd w:val="clear" w:color="auto" w:fill="auto"/>
          </w:tcPr>
          <w:p w14:paraId="76065AA0" w14:textId="77777777" w:rsidR="001E1320" w:rsidRDefault="001E1320" w:rsidP="00D4662C">
            <w:pPr>
              <w:pStyle w:val="TableParagraph"/>
              <w:spacing w:after="0"/>
            </w:pPr>
            <w:r>
              <w:t>Unlicensed means one of the following:</w:t>
            </w:r>
          </w:p>
          <w:p w14:paraId="6CCFB4CB" w14:textId="77777777" w:rsidR="001E1320" w:rsidRDefault="001E1320" w:rsidP="00D4662C">
            <w:pPr>
              <w:pStyle w:val="TableList1"/>
              <w:spacing w:before="0" w:after="0"/>
              <w:ind w:left="210" w:hanging="210"/>
            </w:pPr>
            <w:r>
              <w:t>t</w:t>
            </w:r>
            <w:r w:rsidRPr="00725EF4">
              <w:t xml:space="preserve">he end date of a </w:t>
            </w:r>
            <w:r>
              <w:t xml:space="preserve">licence </w:t>
            </w:r>
            <w:r w:rsidRPr="00725EF4">
              <w:t xml:space="preserve">disqualification has passed and the </w:t>
            </w:r>
            <w:r>
              <w:t>driv</w:t>
            </w:r>
            <w:r w:rsidRPr="00725EF4">
              <w:t>er has</w:t>
            </w:r>
            <w:r>
              <w:t xml:space="preserve"> not yet obtained a new licence;</w:t>
            </w:r>
          </w:p>
          <w:p w14:paraId="7757B592" w14:textId="77777777" w:rsidR="001E1320" w:rsidRDefault="001E1320" w:rsidP="00D4662C">
            <w:pPr>
              <w:pStyle w:val="TableList1"/>
              <w:spacing w:before="0" w:after="0"/>
              <w:ind w:left="210" w:hanging="210"/>
            </w:pPr>
            <w:r w:rsidRPr="00725EF4">
              <w:t xml:space="preserve">a period of suspension has been completed and the expiry date of the licence passed during the suspension and the </w:t>
            </w:r>
            <w:r>
              <w:t>driver</w:t>
            </w:r>
            <w:r w:rsidRPr="00725EF4">
              <w:t xml:space="preserve"> has not yet obtained a new licence</w:t>
            </w:r>
            <w:r>
              <w:t>;</w:t>
            </w:r>
          </w:p>
          <w:p w14:paraId="7ADD9C8B" w14:textId="77777777" w:rsidR="001E1320" w:rsidRDefault="001E1320" w:rsidP="00D4662C">
            <w:pPr>
              <w:pStyle w:val="TableList1"/>
              <w:spacing w:before="0" w:after="0"/>
              <w:ind w:left="210" w:hanging="210"/>
            </w:pPr>
            <w:r>
              <w:t xml:space="preserve">the driver </w:t>
            </w:r>
            <w:r w:rsidR="004A6F1E">
              <w:t xml:space="preserve">has </w:t>
            </w:r>
            <w:r>
              <w:t xml:space="preserve">never obtained a licence; or </w:t>
            </w:r>
          </w:p>
          <w:p w14:paraId="22CB801A" w14:textId="77777777" w:rsidR="001E1320" w:rsidRDefault="001E1320" w:rsidP="00D4662C">
            <w:pPr>
              <w:pStyle w:val="TableList1"/>
              <w:spacing w:before="0"/>
              <w:ind w:left="210" w:hanging="210"/>
            </w:pPr>
            <w:r>
              <w:t>the driver was banned from driving or had an expired licence.</w:t>
            </w:r>
          </w:p>
        </w:tc>
      </w:tr>
      <w:tr w:rsidR="00AA1BCD" w:rsidRPr="00117C96" w14:paraId="6F6BBAE6" w14:textId="77777777" w:rsidTr="007D5E46">
        <w:trPr>
          <w:trHeight w:val="300"/>
        </w:trPr>
        <w:tc>
          <w:tcPr>
            <w:tcW w:w="2122" w:type="dxa"/>
            <w:shd w:val="clear" w:color="auto" w:fill="auto"/>
            <w:noWrap/>
          </w:tcPr>
          <w:p w14:paraId="77FD5129" w14:textId="77777777" w:rsidR="00AA1BCD" w:rsidRPr="008E3FD3" w:rsidRDefault="00AA1BCD" w:rsidP="00AA1BCD">
            <w:pPr>
              <w:pStyle w:val="TableParagraph"/>
              <w:rPr>
                <w:b/>
              </w:rPr>
            </w:pPr>
            <w:r w:rsidRPr="008E3FD3">
              <w:rPr>
                <w:b/>
              </w:rPr>
              <w:t>VicRoads</w:t>
            </w:r>
          </w:p>
        </w:tc>
        <w:tc>
          <w:tcPr>
            <w:tcW w:w="7371" w:type="dxa"/>
            <w:shd w:val="clear" w:color="auto" w:fill="auto"/>
          </w:tcPr>
          <w:p w14:paraId="4C1F7F84" w14:textId="77777777" w:rsidR="00AA1BCD" w:rsidRDefault="00AA1BCD" w:rsidP="00AA1BCD">
            <w:pPr>
              <w:pStyle w:val="TableParagraph"/>
            </w:pPr>
            <w:r>
              <w:t xml:space="preserve">VicRoads is the registered business name of the Roads Corporation. It is a Victorian statutory authority established under the </w:t>
            </w:r>
            <w:r w:rsidRPr="00AA1BCD">
              <w:rPr>
                <w:i/>
              </w:rPr>
              <w:t>Transport Act 1983</w:t>
            </w:r>
            <w:r>
              <w:t xml:space="preserve">. </w:t>
            </w:r>
            <w:r w:rsidR="00316083" w:rsidRPr="00316083">
              <w:t>VicRoads plans, develops and manages the arterial road network and delivers road safety initiatives and customer focused registration and licensing services</w:t>
            </w:r>
            <w:r w:rsidR="00316083">
              <w:t>.</w:t>
            </w:r>
            <w:r w:rsidR="00316083" w:rsidRPr="00316083">
              <w:t xml:space="preserve"> </w:t>
            </w:r>
            <w:r>
              <w:t>VicRoads is accountable to the Minister for Road Safety</w:t>
            </w:r>
            <w:r w:rsidR="00E50CA0">
              <w:t xml:space="preserve"> and the TAC</w:t>
            </w:r>
            <w:r>
              <w:t xml:space="preserve">, reporting through the Department of Transport </w:t>
            </w:r>
            <w:r w:rsidR="00E50CA0">
              <w:t>(DoT</w:t>
            </w:r>
            <w:r>
              <w:t>).</w:t>
            </w:r>
          </w:p>
        </w:tc>
      </w:tr>
      <w:tr w:rsidR="00187969" w:rsidRPr="00117C96" w14:paraId="3904108B"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12EE027E" w14:textId="77777777" w:rsidR="00187969" w:rsidRPr="008E3FD3" w:rsidRDefault="00187969" w:rsidP="00AA1BCD">
            <w:pPr>
              <w:pStyle w:val="TableParagraph"/>
              <w:rPr>
                <w:b/>
              </w:rPr>
            </w:pPr>
            <w:r w:rsidRPr="008E3FD3">
              <w:rPr>
                <w:b/>
              </w:rPr>
              <w:t>VRIS</w:t>
            </w:r>
          </w:p>
        </w:tc>
        <w:tc>
          <w:tcPr>
            <w:tcW w:w="7371" w:type="dxa"/>
            <w:shd w:val="clear" w:color="auto" w:fill="auto"/>
          </w:tcPr>
          <w:p w14:paraId="4FE255D8" w14:textId="77777777" w:rsidR="00187969" w:rsidRDefault="00A50AE8" w:rsidP="00AA1BCD">
            <w:pPr>
              <w:pStyle w:val="TableParagraph"/>
            </w:pPr>
            <w:r>
              <w:t>Vehicle Registration and Identification System used by VicRoads to manage vehicle registration</w:t>
            </w:r>
          </w:p>
        </w:tc>
      </w:tr>
      <w:tr w:rsidR="001E1320" w:rsidRPr="00050425" w14:paraId="3543CA6C" w14:textId="77777777" w:rsidTr="007D5E46">
        <w:trPr>
          <w:trHeight w:val="300"/>
        </w:trPr>
        <w:tc>
          <w:tcPr>
            <w:tcW w:w="2122" w:type="dxa"/>
            <w:shd w:val="clear" w:color="auto" w:fill="auto"/>
            <w:noWrap/>
          </w:tcPr>
          <w:p w14:paraId="6BFB6C80" w14:textId="77777777" w:rsidR="001E1320" w:rsidRPr="008E3FD3" w:rsidRDefault="001E1320" w:rsidP="001E1320">
            <w:pPr>
              <w:pStyle w:val="TableParagraph"/>
              <w:rPr>
                <w:b/>
              </w:rPr>
            </w:pPr>
            <w:r w:rsidRPr="008E3FD3">
              <w:rPr>
                <w:b/>
              </w:rPr>
              <w:t>VSL</w:t>
            </w:r>
          </w:p>
        </w:tc>
        <w:tc>
          <w:tcPr>
            <w:tcW w:w="7371" w:type="dxa"/>
            <w:shd w:val="clear" w:color="auto" w:fill="auto"/>
          </w:tcPr>
          <w:p w14:paraId="277E59B2" w14:textId="77777777" w:rsidR="001E1320" w:rsidRPr="00050425" w:rsidRDefault="001E1320" w:rsidP="001E1320">
            <w:pPr>
              <w:pStyle w:val="TableParagraph"/>
            </w:pPr>
            <w:r>
              <w:t>Value of Statistical Life</w:t>
            </w:r>
          </w:p>
        </w:tc>
      </w:tr>
      <w:tr w:rsidR="001E1320" w:rsidRPr="00050425" w14:paraId="6B58DEE3" w14:textId="77777777" w:rsidTr="007D5E46">
        <w:trPr>
          <w:cnfStyle w:val="000000010000" w:firstRow="0" w:lastRow="0" w:firstColumn="0" w:lastColumn="0" w:oddVBand="0" w:evenVBand="0" w:oddHBand="0" w:evenHBand="1" w:firstRowFirstColumn="0" w:firstRowLastColumn="0" w:lastRowFirstColumn="0" w:lastRowLastColumn="0"/>
          <w:trHeight w:val="300"/>
        </w:trPr>
        <w:tc>
          <w:tcPr>
            <w:tcW w:w="2122" w:type="dxa"/>
            <w:shd w:val="clear" w:color="auto" w:fill="auto"/>
            <w:noWrap/>
          </w:tcPr>
          <w:p w14:paraId="04B95306" w14:textId="77777777" w:rsidR="001E1320" w:rsidRPr="008E3FD3" w:rsidRDefault="001E1320" w:rsidP="001E1320">
            <w:pPr>
              <w:pStyle w:val="TableParagraph"/>
              <w:rPr>
                <w:b/>
              </w:rPr>
            </w:pPr>
            <w:r w:rsidRPr="008E3FD3">
              <w:rPr>
                <w:b/>
              </w:rPr>
              <w:t>WTP</w:t>
            </w:r>
          </w:p>
        </w:tc>
        <w:tc>
          <w:tcPr>
            <w:tcW w:w="7371" w:type="dxa"/>
            <w:shd w:val="clear" w:color="auto" w:fill="auto"/>
          </w:tcPr>
          <w:p w14:paraId="54B2D316" w14:textId="77777777" w:rsidR="001E1320" w:rsidRDefault="001E1320" w:rsidP="001E1320">
            <w:pPr>
              <w:pStyle w:val="TableParagraph"/>
            </w:pPr>
            <w:r>
              <w:t xml:space="preserve">Willingness </w:t>
            </w:r>
            <w:r w:rsidR="00B5107E">
              <w:t>to Pay</w:t>
            </w:r>
          </w:p>
        </w:tc>
      </w:tr>
      <w:bookmarkEnd w:id="981"/>
      <w:bookmarkEnd w:id="982"/>
      <w:bookmarkEnd w:id="983"/>
      <w:bookmarkEnd w:id="984"/>
      <w:bookmarkEnd w:id="996"/>
    </w:tbl>
    <w:p w14:paraId="4B6B99E2" w14:textId="77777777" w:rsidR="00122C1B" w:rsidRDefault="00122C1B">
      <w:pPr>
        <w:spacing w:after="200"/>
        <w:rPr>
          <w:rFonts w:ascii="Segoe UI" w:hAnsi="Segoe UI"/>
        </w:rPr>
      </w:pPr>
    </w:p>
    <w:p w14:paraId="79FB50D5" w14:textId="77777777" w:rsidR="00D16B90" w:rsidRDefault="00D16B90" w:rsidP="006713F9">
      <w:pPr>
        <w:pStyle w:val="Appendix1"/>
        <w:sectPr w:rsidR="00D16B90" w:rsidSect="00CB49F0">
          <w:headerReference w:type="default" r:id="rId119"/>
          <w:endnotePr>
            <w:numFmt w:val="decimal"/>
          </w:endnotePr>
          <w:type w:val="continuous"/>
          <w:pgSz w:w="11907" w:h="16840" w:code="9"/>
          <w:pgMar w:top="1134" w:right="1304" w:bottom="1701" w:left="1304" w:header="567" w:footer="397" w:gutter="0"/>
          <w:cols w:space="708"/>
          <w:docGrid w:linePitch="360"/>
        </w:sectPr>
      </w:pPr>
    </w:p>
    <w:p w14:paraId="39590480" w14:textId="77777777" w:rsidR="00122C1B" w:rsidRPr="00213EC0" w:rsidRDefault="00EF723D" w:rsidP="00213EC0">
      <w:pPr>
        <w:keepNext/>
        <w:rPr>
          <w:rFonts w:ascii="Segoe UI" w:hAnsi="Segoe UI" w:cs="Segoe UI"/>
          <w:b/>
          <w:color w:val="0C81BC"/>
          <w:sz w:val="36"/>
        </w:rPr>
      </w:pPr>
      <w:r w:rsidRPr="00213EC0">
        <w:rPr>
          <w:rFonts w:ascii="Segoe UI" w:hAnsi="Segoe UI" w:cs="Segoe UI"/>
          <w:b/>
          <w:color w:val="0C81BC"/>
          <w:sz w:val="36"/>
        </w:rPr>
        <w:lastRenderedPageBreak/>
        <w:t>Endnotes</w:t>
      </w:r>
    </w:p>
    <w:sectPr w:rsidR="00122C1B" w:rsidRPr="00213EC0" w:rsidSect="005A3FA7">
      <w:headerReference w:type="even" r:id="rId120"/>
      <w:headerReference w:type="default" r:id="rId121"/>
      <w:headerReference w:type="first" r:id="rId122"/>
      <w:endnotePr>
        <w:numFmt w:val="decimal"/>
      </w:endnotePr>
      <w:pgSz w:w="11907" w:h="16840" w:code="9"/>
      <w:pgMar w:top="1134" w:right="1304" w:bottom="1701" w:left="130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BFA80" w14:textId="77777777" w:rsidR="003C7C88" w:rsidRDefault="003C7C88"/>
  </w:endnote>
  <w:endnote w:type="continuationSeparator" w:id="0">
    <w:p w14:paraId="79D02206" w14:textId="77777777" w:rsidR="003C7C88" w:rsidRDefault="003C7C88"/>
  </w:endnote>
  <w:endnote w:type="continuationNotice" w:id="1">
    <w:p w14:paraId="28C2B8F1" w14:textId="77777777" w:rsidR="003C7C88" w:rsidRDefault="003C7C88">
      <w:pPr>
        <w:spacing w:after="0" w:line="240" w:lineRule="auto"/>
      </w:pPr>
    </w:p>
  </w:endnote>
  <w:endnote w:id="2">
    <w:p w14:paraId="34E166D4" w14:textId="77777777" w:rsidR="003C7C88" w:rsidRDefault="003C7C88" w:rsidP="00855F7F">
      <w:pPr>
        <w:pStyle w:val="Footnote"/>
        <w:ind w:left="255" w:hanging="255"/>
      </w:pPr>
      <w:r>
        <w:rPr>
          <w:rStyle w:val="EndnoteReference"/>
        </w:rPr>
        <w:endnoteRef/>
      </w:r>
      <w:r>
        <w:t xml:space="preserve">     Commissioner for Better Regulation 2016, </w:t>
      </w:r>
      <w:r w:rsidRPr="00CF44E8">
        <w:rPr>
          <w:i/>
        </w:rPr>
        <w:t>Victorian Guide to Regulation</w:t>
      </w:r>
      <w:r>
        <w:t>,  &lt;</w:t>
      </w:r>
      <w:hyperlink r:id="rId1" w:history="1">
        <w:r w:rsidRPr="00173665">
          <w:rPr>
            <w:rStyle w:val="Hyperlink"/>
          </w:rPr>
          <w:t>http://www.betterregulation.vic.gov.au/files/98181269-905c-4893-bff3-a6bb009df93c/Victorian-Guide-to-Regulation-PDF-final.pdf</w:t>
        </w:r>
      </w:hyperlink>
      <w:r>
        <w:t>&gt;.</w:t>
      </w:r>
    </w:p>
  </w:endnote>
  <w:endnote w:id="3">
    <w:p w14:paraId="46329A1F" w14:textId="77777777" w:rsidR="003C7C88" w:rsidRDefault="003C7C88" w:rsidP="00772DB2">
      <w:pPr>
        <w:pStyle w:val="Footnote"/>
      </w:pPr>
      <w:r>
        <w:rPr>
          <w:rStyle w:val="EndnoteReference"/>
        </w:rPr>
        <w:endnoteRef/>
      </w:r>
      <w:r>
        <w:t xml:space="preserve">     </w:t>
      </w:r>
      <w:r w:rsidRPr="004E7D2C">
        <w:t>Australian Bureau of Statistics</w:t>
      </w:r>
      <w:r>
        <w:t xml:space="preserve">, </w:t>
      </w:r>
      <w:r w:rsidRPr="00B51586">
        <w:t>Australian Demographic Statistics</w:t>
      </w:r>
      <w:r>
        <w:t xml:space="preserve">, June 2018, </w:t>
      </w:r>
      <w:r w:rsidRPr="00B51586">
        <w:t xml:space="preserve">3101.0, </w:t>
      </w:r>
      <w:r>
        <w:t xml:space="preserve"> &lt;</w:t>
      </w:r>
      <w:hyperlink r:id="rId2" w:history="1">
        <w:r w:rsidRPr="00AD7C57">
          <w:rPr>
            <w:rStyle w:val="Hyperlink"/>
          </w:rPr>
          <w:t>http://www.abs.gov.au/AUSSTATS/abs@.nsf/DetailsPage/3101.0Jun%202018</w:t>
        </w:r>
      </w:hyperlink>
      <w:r>
        <w:t>&gt;.</w:t>
      </w:r>
    </w:p>
  </w:endnote>
  <w:endnote w:id="4">
    <w:p w14:paraId="1E4F7F90" w14:textId="77777777" w:rsidR="003C7C88" w:rsidRPr="00562EC1" w:rsidRDefault="003C7C88" w:rsidP="00220C79">
      <w:pPr>
        <w:pStyle w:val="Footnote"/>
      </w:pPr>
      <w:r>
        <w:rPr>
          <w:rStyle w:val="EndnoteReference"/>
        </w:rPr>
        <w:endnoteRef/>
      </w:r>
      <w:r>
        <w:t xml:space="preserve">     </w:t>
      </w:r>
      <w:r w:rsidRPr="00562EC1">
        <w:t>Estimated based on the Motor Vehicle Census 1962 (0.9M registered motor vehicles in Victoria) and the Motor Vehicle Census 1976 (1.8M registered motor vehicles in Victoria) from the Australian Bureau of Statistics</w:t>
      </w:r>
    </w:p>
  </w:endnote>
  <w:endnote w:id="5">
    <w:p w14:paraId="6ADD8B28" w14:textId="77777777" w:rsidR="003C7C88" w:rsidRPr="004E7D2C" w:rsidRDefault="003C7C88" w:rsidP="00B947BE">
      <w:pPr>
        <w:pStyle w:val="Footnote"/>
      </w:pPr>
      <w:r>
        <w:rPr>
          <w:rStyle w:val="EndnoteReference"/>
        </w:rPr>
        <w:endnoteRef/>
      </w:r>
      <w:r>
        <w:t xml:space="preserve">     VicRoads, Vehicles Registration &amp; Identification System data, as at 31 December 2018. </w:t>
      </w:r>
    </w:p>
  </w:endnote>
  <w:endnote w:id="6">
    <w:p w14:paraId="5030612F" w14:textId="77777777" w:rsidR="003C7C88" w:rsidRDefault="003C7C88" w:rsidP="00855F7F">
      <w:pPr>
        <w:pStyle w:val="Footnote"/>
        <w:ind w:left="255" w:hanging="255"/>
      </w:pPr>
      <w:r>
        <w:rPr>
          <w:rStyle w:val="EndnoteReference"/>
        </w:rPr>
        <w:endnoteRef/>
      </w:r>
      <w:r>
        <w:t xml:space="preserve">     Victorian Government 2016,</w:t>
      </w:r>
      <w:r w:rsidRPr="0048482E">
        <w:rPr>
          <w:i/>
        </w:rPr>
        <w:t xml:space="preserve"> Towards Zero 2016</w:t>
      </w:r>
      <w:r>
        <w:rPr>
          <w:i/>
        </w:rPr>
        <w:t>-</w:t>
      </w:r>
      <w:r w:rsidRPr="0048482E">
        <w:rPr>
          <w:i/>
        </w:rPr>
        <w:t xml:space="preserve">2020: Victoria’s Road Safety Strategy </w:t>
      </w:r>
      <w:r>
        <w:rPr>
          <w:i/>
        </w:rPr>
        <w:t>and</w:t>
      </w:r>
      <w:r w:rsidRPr="0048482E">
        <w:rPr>
          <w:i/>
        </w:rPr>
        <w:t xml:space="preserve"> Action Plan</w:t>
      </w:r>
      <w:r>
        <w:t>, 2016, &lt;</w:t>
      </w:r>
      <w:hyperlink r:id="rId3" w:history="1">
        <w:r w:rsidRPr="0068552D">
          <w:rPr>
            <w:rStyle w:val="Hyperlink"/>
          </w:rPr>
          <w:t>https://www.towardszero.vic.gov.au/__data/assets/pdf_file/0010/183556/STU_0206_RS_STRATEGY_2016_web.pdf</w:t>
        </w:r>
      </w:hyperlink>
      <w:r>
        <w:t>&gt;.</w:t>
      </w:r>
    </w:p>
  </w:endnote>
  <w:endnote w:id="7">
    <w:p w14:paraId="6B0D3864" w14:textId="165E5705" w:rsidR="003C7C88" w:rsidRDefault="003C7C88" w:rsidP="00855F7F">
      <w:pPr>
        <w:pStyle w:val="Footnote"/>
        <w:ind w:left="255" w:hanging="255"/>
      </w:pPr>
      <w:r>
        <w:rPr>
          <w:rStyle w:val="EndnoteReference"/>
        </w:rPr>
        <w:endnoteRef/>
      </w:r>
      <w:r>
        <w:t xml:space="preserve">     Refer to </w:t>
      </w:r>
      <w:r>
        <w:fldChar w:fldCharType="begin"/>
      </w:r>
      <w:r>
        <w:instrText xml:space="preserve"> REF _Ref505071030 \h  \* MERGEFORMAT </w:instrText>
      </w:r>
      <w:r>
        <w:fldChar w:fldCharType="separate"/>
      </w:r>
      <w:r w:rsidRPr="00117C96">
        <w:t xml:space="preserve">Figure </w:t>
      </w:r>
      <w:r>
        <w:rPr>
          <w:noProof/>
        </w:rPr>
        <w:t>2</w:t>
      </w:r>
      <w:r w:rsidRPr="00117C96">
        <w:t xml:space="preserve"> –</w:t>
      </w:r>
      <w:r>
        <w:t xml:space="preserve"> </w:t>
      </w:r>
      <w:r w:rsidRPr="00B20DA8">
        <w:rPr>
          <w:i/>
        </w:rPr>
        <w:t>VicRoads functional framework</w:t>
      </w:r>
      <w:r>
        <w:fldChar w:fldCharType="end"/>
      </w:r>
      <w:r>
        <w:t xml:space="preserve"> – on page </w:t>
      </w:r>
      <w:r>
        <w:fldChar w:fldCharType="begin"/>
      </w:r>
      <w:r>
        <w:instrText xml:space="preserve"> PAGEREF _Ref505071030 \h </w:instrText>
      </w:r>
      <w:r>
        <w:fldChar w:fldCharType="separate"/>
      </w:r>
      <w:r>
        <w:rPr>
          <w:noProof/>
        </w:rPr>
        <w:t>30</w:t>
      </w:r>
      <w:r>
        <w:fldChar w:fldCharType="end"/>
      </w:r>
      <w:r>
        <w:t>..</w:t>
      </w:r>
    </w:p>
  </w:endnote>
  <w:endnote w:id="8">
    <w:p w14:paraId="753938E1" w14:textId="77777777" w:rsidR="003C7C88" w:rsidRDefault="003C7C88" w:rsidP="00855F7F">
      <w:pPr>
        <w:pStyle w:val="Footnote"/>
        <w:ind w:left="255" w:hanging="255"/>
      </w:pPr>
      <w:r>
        <w:rPr>
          <w:rStyle w:val="EndnoteReference"/>
        </w:rPr>
        <w:endnoteRef/>
      </w:r>
      <w:r>
        <w:t xml:space="preserve">     </w:t>
      </w:r>
      <w:r w:rsidRPr="004F455F">
        <w:t>VicRoads</w:t>
      </w:r>
      <w:r>
        <w:t xml:space="preserve"> 2017</w:t>
      </w:r>
      <w:r w:rsidRPr="004F455F">
        <w:t xml:space="preserve">, </w:t>
      </w:r>
      <w:r w:rsidRPr="00DD347D">
        <w:rPr>
          <w:i/>
        </w:rPr>
        <w:t>Examination of the Impact of the Graduated Licensing System on Young Novice Driver Safety, Summary Report</w:t>
      </w:r>
      <w:r w:rsidRPr="004F455F">
        <w:t>, October 2017</w:t>
      </w:r>
      <w:r>
        <w:t>,</w:t>
      </w:r>
      <w:r w:rsidRPr="000056E9">
        <w:t xml:space="preserve"> </w:t>
      </w:r>
      <w:r>
        <w:t>&lt;</w:t>
      </w:r>
      <w:hyperlink r:id="rId4" w:history="1">
        <w:r w:rsidRPr="009A1E00">
          <w:rPr>
            <w:rStyle w:val="Hyperlink"/>
          </w:rPr>
          <w:t>https://www.vicroads.vic.gov.au/~/media/files/documents/safety-and-road-rules/examination-of-the-impact-of-the-gls-on-young-drivers-oct-2017.pdf?la=en</w:t>
        </w:r>
      </w:hyperlink>
      <w:r>
        <w:t>&gt;.</w:t>
      </w:r>
    </w:p>
  </w:endnote>
  <w:endnote w:id="9">
    <w:p w14:paraId="2F4806F3" w14:textId="77777777" w:rsidR="003C7C88" w:rsidRDefault="003C7C88" w:rsidP="00C76943">
      <w:pPr>
        <w:pStyle w:val="Footnote"/>
      </w:pPr>
      <w:r w:rsidRPr="00C23537">
        <w:rPr>
          <w:rStyle w:val="EndnoteReference"/>
        </w:rPr>
        <w:endnoteRef/>
      </w:r>
      <w:r w:rsidRPr="00C23537">
        <w:t xml:space="preserve"> </w:t>
      </w:r>
      <w:r>
        <w:t xml:space="preserve">   </w:t>
      </w:r>
      <w:r w:rsidRPr="00C23537">
        <w:t xml:space="preserve">Catchpole J, Pratt K </w:t>
      </w:r>
      <w:r>
        <w:t xml:space="preserve">&amp; </w:t>
      </w:r>
      <w:r w:rsidRPr="00C23537">
        <w:t>Pyta V</w:t>
      </w:r>
      <w:r>
        <w:t xml:space="preserve"> 2014</w:t>
      </w:r>
      <w:r w:rsidRPr="00C23537">
        <w:t xml:space="preserve">, </w:t>
      </w:r>
      <w:r w:rsidRPr="00C23537">
        <w:rPr>
          <w:i/>
        </w:rPr>
        <w:t>Crash Risk of International Visitors to Victoria</w:t>
      </w:r>
      <w:r w:rsidRPr="00C23537">
        <w:t>, RACV Resea</w:t>
      </w:r>
      <w:r>
        <w:t>rch Report 2014/02, May 2014, p</w:t>
      </w:r>
      <w:r w:rsidRPr="00C23537">
        <w:t>14</w:t>
      </w:r>
    </w:p>
  </w:endnote>
  <w:endnote w:id="10">
    <w:p w14:paraId="793F71D0" w14:textId="77777777" w:rsidR="003C7C88" w:rsidRPr="00AE6712" w:rsidRDefault="003C7C88" w:rsidP="00855F7F">
      <w:pPr>
        <w:pStyle w:val="Footnote"/>
        <w:ind w:left="255" w:hanging="255"/>
      </w:pPr>
      <w:r>
        <w:rPr>
          <w:rStyle w:val="EndnoteReference"/>
        </w:rPr>
        <w:endnoteRef/>
      </w:r>
      <w:r>
        <w:t xml:space="preserve">    </w:t>
      </w:r>
      <w:r w:rsidRPr="000E6032">
        <w:t xml:space="preserve">National Transport Commission </w:t>
      </w:r>
      <w:r>
        <w:t xml:space="preserve">2006, </w:t>
      </w:r>
      <w:r w:rsidRPr="000E6032">
        <w:t xml:space="preserve">(Road </w:t>
      </w:r>
      <w:r w:rsidRPr="00AE6712">
        <w:t>Transport Legislation- Driver Licensing</w:t>
      </w:r>
      <w:r w:rsidRPr="0029252B">
        <w:t>) Regulations 2006</w:t>
      </w:r>
      <w:r w:rsidRPr="003C14B9">
        <w:t>, Australian Government, Supporting Principles, Clause 21, &lt;</w:t>
      </w:r>
      <w:hyperlink r:id="rId5" w:history="1">
        <w:r w:rsidRPr="0080231B">
          <w:rPr>
            <w:rStyle w:val="Hyperlink"/>
          </w:rPr>
          <w:t>https://www.legislation.gov.au/Details/F2016C00706</w:t>
        </w:r>
      </w:hyperlink>
      <w:r w:rsidRPr="00AE6712">
        <w:t>&gt;.</w:t>
      </w:r>
    </w:p>
  </w:endnote>
  <w:endnote w:id="11">
    <w:p w14:paraId="11FE3B17" w14:textId="77777777" w:rsidR="003C7C88" w:rsidRPr="003C14B9" w:rsidRDefault="003C7C88" w:rsidP="00855F7F">
      <w:pPr>
        <w:pStyle w:val="Footnote"/>
        <w:ind w:left="255" w:hanging="255"/>
      </w:pPr>
      <w:r w:rsidRPr="0029252B">
        <w:rPr>
          <w:rStyle w:val="EndnoteReference"/>
        </w:rPr>
        <w:endnoteRef/>
      </w:r>
      <w:r w:rsidRPr="00AE6712">
        <w:t xml:space="preserve">  </w:t>
      </w:r>
      <w:r>
        <w:t xml:space="preserve"> </w:t>
      </w:r>
      <w:r w:rsidRPr="0029252B">
        <w:t xml:space="preserve">Western Australia is the only jurisdiction that does not participate </w:t>
      </w:r>
      <w:r w:rsidRPr="003C14B9">
        <w:t xml:space="preserve">in the </w:t>
      </w:r>
      <w:r>
        <w:t>Demerit Points</w:t>
      </w:r>
      <w:r w:rsidRPr="0029252B">
        <w:t xml:space="preserve"> </w:t>
      </w:r>
      <w:r w:rsidRPr="003C14B9">
        <w:t>Exchange</w:t>
      </w:r>
      <w:r>
        <w:t xml:space="preserve"> (DPX)</w:t>
      </w:r>
      <w:r w:rsidRPr="0029252B">
        <w:t>.</w:t>
      </w:r>
    </w:p>
  </w:endnote>
  <w:endnote w:id="12">
    <w:p w14:paraId="612DA504" w14:textId="77777777" w:rsidR="003C7C88" w:rsidRPr="003C14B9" w:rsidRDefault="003C7C88" w:rsidP="00855F7F">
      <w:pPr>
        <w:pStyle w:val="Footnote"/>
        <w:ind w:left="255" w:hanging="255"/>
      </w:pPr>
      <w:r w:rsidRPr="0029252B">
        <w:rPr>
          <w:rStyle w:val="EndnoteReference"/>
        </w:rPr>
        <w:endnoteRef/>
      </w:r>
      <w:r w:rsidRPr="0029252B">
        <w:t xml:space="preserve">  </w:t>
      </w:r>
      <w:r>
        <w:t xml:space="preserve"> </w:t>
      </w:r>
      <w:r w:rsidRPr="003C14B9">
        <w:t xml:space="preserve">National Transport Commission 2006, </w:t>
      </w:r>
      <w:r w:rsidRPr="00134E0C">
        <w:t>(Road Transport Legislation- Driv</w:t>
      </w:r>
      <w:r w:rsidRPr="00727B0F">
        <w:t>er Licensing) Regulations 2006, Australian Government, Primary Principles, Clause 11(1), &lt;</w:t>
      </w:r>
      <w:hyperlink r:id="rId6" w:history="1">
        <w:r w:rsidRPr="003C14B9">
          <w:rPr>
            <w:rStyle w:val="Hyperlink"/>
          </w:rPr>
          <w:t>https://www.legislation.gov.au/Details/F2016C00706</w:t>
        </w:r>
      </w:hyperlink>
      <w:r w:rsidRPr="0029252B">
        <w:t>&gt;.</w:t>
      </w:r>
    </w:p>
  </w:endnote>
  <w:endnote w:id="13">
    <w:p w14:paraId="2F20651E" w14:textId="77777777" w:rsidR="003C7C88" w:rsidRDefault="003C7C88" w:rsidP="00855F7F">
      <w:pPr>
        <w:pStyle w:val="Footnote"/>
        <w:ind w:left="255" w:hanging="255"/>
      </w:pPr>
      <w:r>
        <w:rPr>
          <w:rStyle w:val="EndnoteReference"/>
        </w:rPr>
        <w:endnoteRef/>
      </w:r>
      <w:r>
        <w:t xml:space="preserve">   Victorian Government, ‘</w:t>
      </w:r>
      <w:r w:rsidRPr="00C10DD7">
        <w:t>Subordinate Legislation Act 1994 Guidelines</w:t>
      </w:r>
      <w:r>
        <w:t xml:space="preserve">’, </w:t>
      </w:r>
      <w:r w:rsidRPr="00C10DD7">
        <w:rPr>
          <w:i/>
        </w:rPr>
        <w:t>Victoria Government Gazette</w:t>
      </w:r>
      <w:r>
        <w:t xml:space="preserve">, </w:t>
      </w:r>
      <w:r w:rsidRPr="00BD4DEA">
        <w:t>No. G 27</w:t>
      </w:r>
      <w:r>
        <w:t>, 7 July 2016, p1808, para 280, &lt;</w:t>
      </w:r>
      <w:hyperlink r:id="rId7" w:history="1">
        <w:r w:rsidRPr="00A25A31">
          <w:rPr>
            <w:rStyle w:val="Hyperlink"/>
          </w:rPr>
          <w:t>http://www.gazette.vic.gov.au/gazette/Gazettes2016/GG2016G027.pdf</w:t>
        </w:r>
      </w:hyperlink>
      <w:r>
        <w:t>&gt;.</w:t>
      </w:r>
    </w:p>
  </w:endnote>
  <w:endnote w:id="14">
    <w:p w14:paraId="08D40180" w14:textId="77777777" w:rsidR="003C7C88" w:rsidRDefault="003C7C88" w:rsidP="00855F7F">
      <w:pPr>
        <w:pStyle w:val="Footnote"/>
        <w:ind w:left="255" w:hanging="255"/>
      </w:pPr>
      <w:r>
        <w:rPr>
          <w:rStyle w:val="EndnoteReference"/>
        </w:rPr>
        <w:endnoteRef/>
      </w:r>
      <w:r>
        <w:t xml:space="preserve">   </w:t>
      </w:r>
      <w:r w:rsidRPr="0048482E">
        <w:t>Australian Transport Council</w:t>
      </w:r>
      <w:r>
        <w:t xml:space="preserve"> 2011,</w:t>
      </w:r>
      <w:r w:rsidRPr="0048482E">
        <w:rPr>
          <w:i/>
        </w:rPr>
        <w:t xml:space="preserve"> Nati</w:t>
      </w:r>
      <w:r>
        <w:rPr>
          <w:i/>
        </w:rPr>
        <w:t>onal Road Safety Strategy</w:t>
      </w:r>
      <w:r w:rsidRPr="0048482E">
        <w:rPr>
          <w:i/>
        </w:rPr>
        <w:t xml:space="preserve"> 2011–2020</w:t>
      </w:r>
      <w:r>
        <w:rPr>
          <w:i/>
        </w:rPr>
        <w:t>,</w:t>
      </w:r>
      <w:r>
        <w:t xml:space="preserve"> p50, &lt;</w:t>
      </w:r>
      <w:hyperlink r:id="rId8" w:history="1">
        <w:r w:rsidRPr="00BE37AD">
          <w:rPr>
            <w:rStyle w:val="Hyperlink"/>
          </w:rPr>
          <w:t>http://roadsafety.gov.au/nrss/files/NRSS_2011_2020.pdf</w:t>
        </w:r>
      </w:hyperlink>
      <w:r>
        <w:t>&gt;.</w:t>
      </w:r>
    </w:p>
  </w:endnote>
  <w:endnote w:id="15">
    <w:p w14:paraId="484A378F" w14:textId="77777777" w:rsidR="003C7C88" w:rsidRDefault="003C7C88" w:rsidP="00855F7F">
      <w:pPr>
        <w:pStyle w:val="Footnote"/>
        <w:ind w:left="255" w:hanging="255"/>
      </w:pPr>
      <w:r>
        <w:rPr>
          <w:rStyle w:val="EndnoteReference"/>
        </w:rPr>
        <w:endnoteRef/>
      </w:r>
      <w:r>
        <w:t xml:space="preserve">   </w:t>
      </w:r>
      <w:r w:rsidRPr="0048482E">
        <w:t>Australian Transport Council</w:t>
      </w:r>
      <w:r>
        <w:t xml:space="preserve"> 2011,</w:t>
      </w:r>
      <w:r w:rsidRPr="0048482E">
        <w:rPr>
          <w:i/>
        </w:rPr>
        <w:t xml:space="preserve"> Nati</w:t>
      </w:r>
      <w:r>
        <w:rPr>
          <w:i/>
        </w:rPr>
        <w:t>onal Road Safety Strategy</w:t>
      </w:r>
      <w:r w:rsidRPr="0048482E">
        <w:rPr>
          <w:i/>
        </w:rPr>
        <w:t xml:space="preserve"> 2011–2020</w:t>
      </w:r>
      <w:r>
        <w:rPr>
          <w:i/>
        </w:rPr>
        <w:t>,</w:t>
      </w:r>
      <w:r>
        <w:t xml:space="preserve"> </w:t>
      </w:r>
      <w:r>
        <w:rPr>
          <w:i/>
        </w:rPr>
        <w:t>&lt;</w:t>
      </w:r>
      <w:hyperlink r:id="rId9" w:history="1">
        <w:r w:rsidRPr="0093292F">
          <w:rPr>
            <w:rStyle w:val="Hyperlink"/>
          </w:rPr>
          <w:t>http://roadsafety.gov.au/nrss/safe-system.aspx</w:t>
        </w:r>
      </w:hyperlink>
      <w:r>
        <w:t>&gt;.</w:t>
      </w:r>
    </w:p>
  </w:endnote>
  <w:endnote w:id="16">
    <w:p w14:paraId="62423B4B" w14:textId="77777777" w:rsidR="003C7C88" w:rsidRDefault="003C7C88" w:rsidP="00855F7F">
      <w:pPr>
        <w:pStyle w:val="Footnote"/>
        <w:ind w:left="255" w:hanging="255"/>
      </w:pPr>
      <w:r>
        <w:rPr>
          <w:rStyle w:val="EndnoteReference"/>
        </w:rPr>
        <w:endnoteRef/>
      </w:r>
      <w:r>
        <w:t xml:space="preserve">   </w:t>
      </w:r>
      <w:r w:rsidRPr="0048482E">
        <w:t>Australian Transport Council</w:t>
      </w:r>
      <w:r w:rsidRPr="0048482E">
        <w:rPr>
          <w:i/>
        </w:rPr>
        <w:t xml:space="preserve"> </w:t>
      </w:r>
      <w:r w:rsidRPr="00AC4EAC">
        <w:t>2011</w:t>
      </w:r>
      <w:r>
        <w:rPr>
          <w:i/>
        </w:rPr>
        <w:t xml:space="preserve">, </w:t>
      </w:r>
      <w:r w:rsidRPr="0048482E">
        <w:rPr>
          <w:i/>
        </w:rPr>
        <w:t>Nati</w:t>
      </w:r>
      <w:r>
        <w:rPr>
          <w:i/>
        </w:rPr>
        <w:t>onal Road Safety Strategy</w:t>
      </w:r>
      <w:r w:rsidRPr="0048482E">
        <w:rPr>
          <w:i/>
        </w:rPr>
        <w:t xml:space="preserve"> 2011–2020</w:t>
      </w:r>
      <w:r>
        <w:rPr>
          <w:i/>
        </w:rPr>
        <w:t>,</w:t>
      </w:r>
      <w:r>
        <w:t xml:space="preserve"> p50, </w:t>
      </w:r>
      <w:r w:rsidRPr="0048482E">
        <w:rPr>
          <w:i/>
        </w:rPr>
        <w:t xml:space="preserve"> </w:t>
      </w:r>
      <w:r>
        <w:rPr>
          <w:i/>
        </w:rPr>
        <w:t>&lt;</w:t>
      </w:r>
      <w:hyperlink r:id="rId10" w:history="1">
        <w:r w:rsidRPr="0093292F">
          <w:rPr>
            <w:rStyle w:val="Hyperlink"/>
          </w:rPr>
          <w:t>http://roadsafety.gov.au/nrss/directions.aspx</w:t>
        </w:r>
      </w:hyperlink>
      <w:r>
        <w:t>&gt;.</w:t>
      </w:r>
    </w:p>
  </w:endnote>
  <w:endnote w:id="17">
    <w:p w14:paraId="21E99DFD" w14:textId="77777777" w:rsidR="003C7C88" w:rsidRDefault="003C7C88" w:rsidP="00855F7F">
      <w:pPr>
        <w:pStyle w:val="Footnote"/>
        <w:ind w:left="255" w:hanging="255"/>
      </w:pPr>
      <w:r>
        <w:rPr>
          <w:rStyle w:val="EndnoteReference"/>
        </w:rPr>
        <w:endnoteRef/>
      </w:r>
      <w:r>
        <w:t xml:space="preserve">   Victorian Government 2016,</w:t>
      </w:r>
      <w:r>
        <w:rPr>
          <w:i/>
        </w:rPr>
        <w:t xml:space="preserve"> Towards Zero 2016-</w:t>
      </w:r>
      <w:r w:rsidRPr="0048482E">
        <w:rPr>
          <w:i/>
        </w:rPr>
        <w:t xml:space="preserve">2020: Victoria’s Road Safety Strategy </w:t>
      </w:r>
      <w:r>
        <w:rPr>
          <w:i/>
        </w:rPr>
        <w:t>and</w:t>
      </w:r>
      <w:r w:rsidRPr="0048482E">
        <w:rPr>
          <w:i/>
        </w:rPr>
        <w:t xml:space="preserve"> Action Plan</w:t>
      </w:r>
      <w:r>
        <w:t>, 2016, &lt;</w:t>
      </w:r>
      <w:hyperlink r:id="rId11" w:history="1">
        <w:r w:rsidRPr="0068552D">
          <w:rPr>
            <w:rStyle w:val="Hyperlink"/>
          </w:rPr>
          <w:t>https://www.towardszero.vic.gov.au/__data/assets/pdf_file/0010/183556/STU_0206_RS_STRATEGY_2016_web.pdf</w:t>
        </w:r>
      </w:hyperlink>
      <w:r>
        <w:t xml:space="preserve">&gt;. </w:t>
      </w:r>
    </w:p>
  </w:endnote>
  <w:endnote w:id="18">
    <w:p w14:paraId="1A5EC269" w14:textId="77777777" w:rsidR="003C7C88" w:rsidRDefault="003C7C88" w:rsidP="00855F7F">
      <w:pPr>
        <w:pStyle w:val="Footnote"/>
        <w:ind w:left="255" w:hanging="255"/>
      </w:pPr>
      <w:r>
        <w:rPr>
          <w:rStyle w:val="EndnoteReference"/>
        </w:rPr>
        <w:endnoteRef/>
      </w:r>
      <w:r>
        <w:t xml:space="preserve">   Victorian Government 2016,</w:t>
      </w:r>
      <w:r>
        <w:rPr>
          <w:i/>
        </w:rPr>
        <w:t xml:space="preserve"> Towards Zero 2016-</w:t>
      </w:r>
      <w:r w:rsidRPr="0048482E">
        <w:rPr>
          <w:i/>
        </w:rPr>
        <w:t xml:space="preserve">2020: Victoria’s Road Safety Strategy </w:t>
      </w:r>
      <w:r>
        <w:rPr>
          <w:i/>
        </w:rPr>
        <w:t>and</w:t>
      </w:r>
      <w:r w:rsidRPr="0048482E">
        <w:rPr>
          <w:i/>
        </w:rPr>
        <w:t xml:space="preserve"> Action Plan</w:t>
      </w:r>
      <w:r>
        <w:t>, 2016,  &lt;</w:t>
      </w:r>
      <w:hyperlink r:id="rId12" w:history="1">
        <w:r w:rsidRPr="00173665">
          <w:rPr>
            <w:rStyle w:val="Hyperlink"/>
          </w:rPr>
          <w:t>https://www.towardszero.vic.gov.au/making-progress/articles/vision-zero-and-swedens-approach-to-road-safety</w:t>
        </w:r>
      </w:hyperlink>
      <w:r>
        <w:t>&gt;.</w:t>
      </w:r>
    </w:p>
  </w:endnote>
  <w:endnote w:id="19">
    <w:p w14:paraId="40550545" w14:textId="77777777" w:rsidR="003C7C88" w:rsidRDefault="003C7C88" w:rsidP="00855F7F">
      <w:pPr>
        <w:pStyle w:val="Footnote"/>
        <w:ind w:left="255" w:hanging="255"/>
      </w:pPr>
      <w:r>
        <w:rPr>
          <w:rStyle w:val="EndnoteReference"/>
        </w:rPr>
        <w:endnoteRef/>
      </w:r>
      <w:r>
        <w:t xml:space="preserve">   Victorian Government 2016,</w:t>
      </w:r>
      <w:r>
        <w:rPr>
          <w:i/>
        </w:rPr>
        <w:t xml:space="preserve"> Towards Zero 2016-</w:t>
      </w:r>
      <w:r w:rsidRPr="0048482E">
        <w:rPr>
          <w:i/>
        </w:rPr>
        <w:t xml:space="preserve">2020: Victoria’s Road Safety Strategy </w:t>
      </w:r>
      <w:r>
        <w:rPr>
          <w:i/>
        </w:rPr>
        <w:t>and</w:t>
      </w:r>
      <w:r w:rsidRPr="0048482E">
        <w:rPr>
          <w:i/>
        </w:rPr>
        <w:t xml:space="preserve"> Action Plan</w:t>
      </w:r>
      <w:r>
        <w:t>, 2016, &lt;</w:t>
      </w:r>
      <w:hyperlink r:id="rId13" w:history="1">
        <w:r w:rsidRPr="0068552D">
          <w:rPr>
            <w:rStyle w:val="Hyperlink"/>
          </w:rPr>
          <w:t>https://www.towardszero.vic.gov.au/__data/assets/pdf_file/0010/183556/STU_0206_RS_STRATEGY_2016_web.pdf</w:t>
        </w:r>
      </w:hyperlink>
      <w:r>
        <w:t>&gt;.</w:t>
      </w:r>
    </w:p>
  </w:endnote>
  <w:endnote w:id="20">
    <w:p w14:paraId="18B7FAB7" w14:textId="0DFDFD8D" w:rsidR="003C7C88" w:rsidRDefault="003C7C88" w:rsidP="00855F7F">
      <w:pPr>
        <w:pStyle w:val="Footnote"/>
        <w:ind w:left="255" w:hanging="255"/>
      </w:pPr>
      <w:r>
        <w:rPr>
          <w:rStyle w:val="EndnoteReference"/>
        </w:rPr>
        <w:endnoteRef/>
      </w:r>
      <w:r>
        <w:t xml:space="preserve">   For more details on the definition of the base </w:t>
      </w:r>
      <w:r w:rsidRPr="003D56E7">
        <w:t>case</w:t>
      </w:r>
      <w:r>
        <w:t xml:space="preserve">, refer to Section </w:t>
      </w:r>
      <w:r>
        <w:fldChar w:fldCharType="begin"/>
      </w:r>
      <w:r>
        <w:instrText xml:space="preserve"> REF _Ref509482327 \r \h </w:instrText>
      </w:r>
      <w:r>
        <w:fldChar w:fldCharType="separate"/>
      </w:r>
      <w:r>
        <w:t>2.5.2</w:t>
      </w:r>
      <w:r>
        <w:fldChar w:fldCharType="end"/>
      </w:r>
      <w:r>
        <w:t xml:space="preserve"> below.</w:t>
      </w:r>
    </w:p>
  </w:endnote>
  <w:endnote w:id="21">
    <w:p w14:paraId="6519FF5E" w14:textId="77777777" w:rsidR="003C7C88" w:rsidRDefault="003C7C88" w:rsidP="00855F7F">
      <w:pPr>
        <w:pStyle w:val="Footnote"/>
        <w:ind w:left="255" w:hanging="255"/>
      </w:pPr>
      <w:r>
        <w:rPr>
          <w:rStyle w:val="EndnoteReference"/>
        </w:rPr>
        <w:endnoteRef/>
      </w:r>
      <w:r>
        <w:t xml:space="preserve">   National Road Transport Commission 2000, </w:t>
      </w:r>
      <w:r w:rsidRPr="00C9729B">
        <w:rPr>
          <w:i/>
        </w:rPr>
        <w:t>Administrative Guideline: National Driver Licensing Scheme</w:t>
      </w:r>
      <w:r>
        <w:t>, January 2000, &lt;</w:t>
      </w:r>
      <w:hyperlink r:id="rId14" w:history="1">
        <w:r w:rsidRPr="00C30ECC">
          <w:rPr>
            <w:rStyle w:val="Hyperlink"/>
          </w:rPr>
          <w:t>https://www.ntc.gov.au/Media/Reports/(57B3DBA8-7385-6F21-9B36-D88226B486B9).pdf</w:t>
        </w:r>
      </w:hyperlink>
      <w:r>
        <w:t>&gt;.</w:t>
      </w:r>
      <w:r w:rsidRPr="00740D0B">
        <w:rPr>
          <w:rFonts w:cs="Segoe UI"/>
        </w:rPr>
        <w:t xml:space="preserve"> </w:t>
      </w:r>
    </w:p>
  </w:endnote>
  <w:endnote w:id="22">
    <w:p w14:paraId="31669E87" w14:textId="77777777" w:rsidR="003C7C88" w:rsidRDefault="003C7C88" w:rsidP="00855F7F">
      <w:pPr>
        <w:pStyle w:val="Footnote"/>
        <w:ind w:left="255" w:hanging="255"/>
      </w:pPr>
      <w:r>
        <w:rPr>
          <w:rStyle w:val="EndnoteReference"/>
        </w:rPr>
        <w:endnoteRef/>
      </w:r>
      <w:r>
        <w:t xml:space="preserve">   </w:t>
      </w:r>
      <w:r w:rsidRPr="000E6032">
        <w:t xml:space="preserve">National Transport Commission </w:t>
      </w:r>
      <w:r>
        <w:t xml:space="preserve">2006, </w:t>
      </w:r>
      <w:r w:rsidRPr="000E6032">
        <w:t xml:space="preserve">(Road Transport Legislation- Driver </w:t>
      </w:r>
      <w:r w:rsidRPr="003D56E7">
        <w:t>Licensing</w:t>
      </w:r>
      <w:r w:rsidRPr="000E6032">
        <w:t>) Regulations 2006</w:t>
      </w:r>
      <w:r>
        <w:t>, Australian Government, &lt;</w:t>
      </w:r>
      <w:hyperlink r:id="rId15" w:history="1">
        <w:r w:rsidRPr="00281525">
          <w:rPr>
            <w:rStyle w:val="Hyperlink"/>
          </w:rPr>
          <w:t>https://www.legislation.gov.au/Details/F2016C00706</w:t>
        </w:r>
      </w:hyperlink>
      <w:r>
        <w:t xml:space="preserve">&gt;. </w:t>
      </w:r>
    </w:p>
  </w:endnote>
  <w:endnote w:id="23">
    <w:p w14:paraId="48DC71AA" w14:textId="77777777" w:rsidR="003C7C88" w:rsidRDefault="003C7C88" w:rsidP="00855F7F">
      <w:pPr>
        <w:pStyle w:val="Footnote"/>
        <w:ind w:left="255" w:hanging="255"/>
      </w:pPr>
      <w:r>
        <w:rPr>
          <w:rStyle w:val="EndnoteReference"/>
        </w:rPr>
        <w:endnoteRef/>
      </w:r>
      <w:r>
        <w:t xml:space="preserve">   </w:t>
      </w:r>
      <w:r w:rsidRPr="00C9729B">
        <w:rPr>
          <w:i/>
        </w:rPr>
        <w:t>2003</w:t>
      </w:r>
      <w:r>
        <w:t xml:space="preserve"> </w:t>
      </w:r>
      <w:r w:rsidRPr="00C9729B">
        <w:rPr>
          <w:i/>
        </w:rPr>
        <w:t>Inter-Governmental Agreement for Regulatory and Operational Reform in Road, Rail and Intermodal Transport</w:t>
      </w:r>
      <w:r>
        <w:rPr>
          <w:i/>
        </w:rPr>
        <w:t xml:space="preserve">, </w:t>
      </w:r>
      <w:r>
        <w:t>p10, para 12.1, &lt;(</w:t>
      </w:r>
      <w:hyperlink r:id="rId16" w:history="1">
        <w:r w:rsidRPr="00CB4367">
          <w:rPr>
            <w:rStyle w:val="Hyperlink"/>
          </w:rPr>
          <w:t>http://transportinfrastructurecouncil.gov.au/publications/files/NTC_IGA1.pdf</w:t>
        </w:r>
      </w:hyperlink>
      <w:r>
        <w:t>&gt;.</w:t>
      </w:r>
    </w:p>
  </w:endnote>
  <w:endnote w:id="24">
    <w:p w14:paraId="4C0171AE" w14:textId="77777777" w:rsidR="003C7C88" w:rsidRDefault="003C7C88" w:rsidP="00855F7F">
      <w:pPr>
        <w:pStyle w:val="Footnote"/>
        <w:ind w:left="255" w:hanging="255"/>
      </w:pPr>
      <w:r>
        <w:rPr>
          <w:rStyle w:val="EndnoteReference"/>
        </w:rPr>
        <w:endnoteRef/>
      </w:r>
      <w:r>
        <w:t xml:space="preserve">   </w:t>
      </w:r>
      <w:r w:rsidRPr="000E6032">
        <w:t>National Transport Commission (Road Transport Legislation—Driver Licensing) Regulations 2006</w:t>
      </w:r>
      <w:r>
        <w:t>, Australian Government, &lt;</w:t>
      </w:r>
      <w:hyperlink r:id="rId17" w:history="1">
        <w:r w:rsidRPr="00281525">
          <w:rPr>
            <w:rStyle w:val="Hyperlink"/>
          </w:rPr>
          <w:t>https://www.legislation.gov.au/Details/F2016C00706</w:t>
        </w:r>
      </w:hyperlink>
      <w:r>
        <w:t xml:space="preserve">&gt;. </w:t>
      </w:r>
    </w:p>
  </w:endnote>
  <w:endnote w:id="25">
    <w:p w14:paraId="6E7301C4" w14:textId="77777777" w:rsidR="003C7C88" w:rsidRDefault="003C7C88" w:rsidP="00855F7F">
      <w:pPr>
        <w:pStyle w:val="Footnote"/>
        <w:ind w:left="255" w:hanging="255"/>
      </w:pPr>
      <w:r>
        <w:rPr>
          <w:rStyle w:val="EndnoteReference"/>
        </w:rPr>
        <w:endnoteRef/>
      </w:r>
      <w:r>
        <w:t xml:space="preserve">   ibid., Part 1,</w:t>
      </w:r>
      <w:r w:rsidRPr="00CA324F">
        <w:t xml:space="preserve"> </w:t>
      </w:r>
      <w:r>
        <w:t>p6.</w:t>
      </w:r>
    </w:p>
  </w:endnote>
  <w:endnote w:id="26">
    <w:p w14:paraId="4D17A913" w14:textId="77777777" w:rsidR="003C7C88" w:rsidRDefault="003C7C88" w:rsidP="00855F7F">
      <w:pPr>
        <w:pStyle w:val="Footnote"/>
        <w:ind w:left="255" w:hanging="255"/>
      </w:pPr>
      <w:r>
        <w:rPr>
          <w:rStyle w:val="EndnoteReference"/>
        </w:rPr>
        <w:endnoteRef/>
      </w:r>
      <w:r>
        <w:t xml:space="preserve">   National Transport Commission 2006, </w:t>
      </w:r>
      <w:r w:rsidRPr="00264895">
        <w:rPr>
          <w:i/>
        </w:rPr>
        <w:t>Review of the Heavy Vehicle Registration Scheme and the National Driver Licensing Scheme</w:t>
      </w:r>
      <w:r>
        <w:t>, August 2006, Australian Government, p 27, &lt;</w:t>
      </w:r>
      <w:hyperlink r:id="rId18" w:history="1">
        <w:r w:rsidRPr="00C30ECC">
          <w:rPr>
            <w:rStyle w:val="Hyperlink"/>
          </w:rPr>
          <w:t>https://www.ntc.gov.au/Media/Reports/(88A4C04B-805C-687C-B450-0D5AB661B83D).pdf</w:t>
        </w:r>
      </w:hyperlink>
      <w:r>
        <w:t>&gt;.</w:t>
      </w:r>
    </w:p>
  </w:endnote>
  <w:endnote w:id="27">
    <w:p w14:paraId="1FBE14E5" w14:textId="77777777" w:rsidR="003C7C88" w:rsidRPr="00F13FFE" w:rsidRDefault="003C7C88" w:rsidP="00855F7F">
      <w:pPr>
        <w:pStyle w:val="Footnote"/>
        <w:ind w:left="255" w:hanging="255"/>
      </w:pPr>
      <w:r>
        <w:rPr>
          <w:rStyle w:val="EndnoteReference"/>
        </w:rPr>
        <w:endnoteRef/>
      </w:r>
      <w:r>
        <w:t xml:space="preserve">   </w:t>
      </w:r>
      <w:r w:rsidRPr="00F13FFE">
        <w:t xml:space="preserve">ACT: Road Transport (Driver Licensing) Regulation 2000, r91; NSW: Road Transport (Driver Licensing) Regulations 2017, r96; </w:t>
      </w:r>
      <w:r>
        <w:br/>
      </w:r>
      <w:r w:rsidRPr="00F13FFE">
        <w:t xml:space="preserve">NT: </w:t>
      </w:r>
      <w:r w:rsidRPr="00F13FFE">
        <w:rPr>
          <w:i/>
        </w:rPr>
        <w:t>Motor Vehicles Act</w:t>
      </w:r>
      <w:r w:rsidRPr="00F13FFE">
        <w:t>, s8A; Qld: Q</w:t>
      </w:r>
      <w:r>
        <w:t>ueensland</w:t>
      </w:r>
      <w:r w:rsidRPr="00F13FFE">
        <w:t xml:space="preserve"> - Transport Operations (Road Use Management-Driver Licensing) Regulation 201, r128; SA: </w:t>
      </w:r>
      <w:r w:rsidRPr="00F13FFE">
        <w:rPr>
          <w:i/>
        </w:rPr>
        <w:t>Motor Vehicles Act 1959</w:t>
      </w:r>
      <w:r w:rsidRPr="00F13FFE">
        <w:t>, s 97A; Tas</w:t>
      </w:r>
      <w:r>
        <w:t>mania</w:t>
      </w:r>
      <w:r w:rsidRPr="00F13FFE">
        <w:t>: Vehicle and Traffic (Driver Licensing and Vehicle Registration) Regulations 2010, r38; Vic</w:t>
      </w:r>
      <w:r>
        <w:t>toria</w:t>
      </w:r>
      <w:r w:rsidRPr="00F13FFE">
        <w:t>: Road Safety (Drivers) Regulations 2009, r18; WA: Road Traffic (Authorisation to Drive) Regulations 2014, r61.</w:t>
      </w:r>
    </w:p>
  </w:endnote>
  <w:endnote w:id="28">
    <w:p w14:paraId="5A346A9C" w14:textId="77777777" w:rsidR="003C7C88" w:rsidRDefault="003C7C88" w:rsidP="00855F7F">
      <w:pPr>
        <w:pStyle w:val="Footnote"/>
        <w:ind w:left="255" w:hanging="255"/>
      </w:pPr>
      <w:r>
        <w:rPr>
          <w:rStyle w:val="EndnoteReference"/>
        </w:rPr>
        <w:endnoteRef/>
      </w:r>
      <w:r>
        <w:t xml:space="preserve">   Austroads, List of recognised countries,</w:t>
      </w:r>
      <w:r w:rsidRPr="00074411">
        <w:t xml:space="preserve"> </w:t>
      </w:r>
      <w:r>
        <w:t>&lt;</w:t>
      </w:r>
      <w:hyperlink r:id="rId19" w:history="1">
        <w:r w:rsidRPr="0087004B">
          <w:rPr>
            <w:rStyle w:val="Hyperlink"/>
          </w:rPr>
          <w:t>http://www.austroads.com.au/drivers-vehicles/overseas-driver-licences/country-recognition</w:t>
        </w:r>
      </w:hyperlink>
      <w:r>
        <w:t>&gt;.</w:t>
      </w:r>
    </w:p>
  </w:endnote>
  <w:endnote w:id="29">
    <w:p w14:paraId="27EABF36" w14:textId="77777777" w:rsidR="003C7C88" w:rsidRDefault="003C7C88" w:rsidP="00855F7F">
      <w:pPr>
        <w:pStyle w:val="Footnote"/>
        <w:ind w:left="255" w:hanging="255"/>
      </w:pPr>
      <w:r>
        <w:rPr>
          <w:rStyle w:val="EndnoteReference"/>
        </w:rPr>
        <w:endnoteRef/>
      </w:r>
      <w:r>
        <w:t xml:space="preserve">   Austroads, List of driver-experience-recognised countries,</w:t>
      </w:r>
      <w:r w:rsidRPr="00074411">
        <w:t xml:space="preserve"> </w:t>
      </w:r>
      <w:r>
        <w:t>&lt;</w:t>
      </w:r>
      <w:hyperlink r:id="rId20" w:history="1">
        <w:r w:rsidRPr="002A388B">
          <w:rPr>
            <w:rStyle w:val="Hyperlink"/>
          </w:rPr>
          <w:t>http://www.austroads.com.au/drivers-vehicles/overseas-driver-licences/applying-for-a-licence</w:t>
        </w:r>
      </w:hyperlink>
      <w:r>
        <w:t>&gt;.</w:t>
      </w:r>
    </w:p>
  </w:endnote>
  <w:endnote w:id="30">
    <w:p w14:paraId="73B63A9A" w14:textId="77777777" w:rsidR="003C7C88" w:rsidRDefault="003C7C88" w:rsidP="00855F7F">
      <w:pPr>
        <w:pStyle w:val="Footnote"/>
        <w:ind w:left="255" w:hanging="255"/>
      </w:pPr>
      <w:r>
        <w:rPr>
          <w:rStyle w:val="EndnoteReference"/>
        </w:rPr>
        <w:endnoteRef/>
      </w:r>
      <w:r>
        <w:t xml:space="preserve">   </w:t>
      </w:r>
      <w:r w:rsidRPr="00F620B1">
        <w:t xml:space="preserve">National Transport Commission (Road Transport Legislation–Driver Licensing Regulations </w:t>
      </w:r>
      <w:r w:rsidRPr="00F04C41">
        <w:t>2006,</w:t>
      </w:r>
      <w:r w:rsidRPr="00E8000C">
        <w:t xml:space="preserve"> Schedule 1</w:t>
      </w:r>
      <w:r>
        <w:t xml:space="preserve"> Primary </w:t>
      </w:r>
      <w:r w:rsidRPr="00E8000C">
        <w:t>Principles 12-13 and Schedule 2 Supporting Principles,</w:t>
      </w:r>
      <w:r>
        <w:t xml:space="preserve"> Clause 21, &lt;</w:t>
      </w:r>
      <w:hyperlink r:id="rId21" w:history="1">
        <w:r w:rsidRPr="00C30ECC">
          <w:rPr>
            <w:rStyle w:val="Hyperlink"/>
          </w:rPr>
          <w:t>https://www.ntc.gov.au/Media/Reports/(88A4C04B-805C-687C-B450-0D5AB661B83D).pdf</w:t>
        </w:r>
      </w:hyperlink>
      <w:r>
        <w:t>&gt;.</w:t>
      </w:r>
    </w:p>
  </w:endnote>
  <w:endnote w:id="31">
    <w:p w14:paraId="34CE80CE" w14:textId="77777777" w:rsidR="003C7C88" w:rsidRDefault="003C7C88" w:rsidP="00855F7F">
      <w:pPr>
        <w:pStyle w:val="Footnote"/>
        <w:ind w:left="255" w:hanging="255"/>
      </w:pPr>
      <w:r>
        <w:rPr>
          <w:rStyle w:val="EndnoteReference"/>
        </w:rPr>
        <w:endnoteRef/>
      </w:r>
      <w:r>
        <w:t xml:space="preserve">   Christie R 2003,</w:t>
      </w:r>
      <w:r w:rsidRPr="00F9716C">
        <w:t xml:space="preserve"> </w:t>
      </w:r>
      <w:r w:rsidRPr="00F620B1">
        <w:rPr>
          <w:i/>
        </w:rPr>
        <w:t>Driver licence demerit point schemes: A review of the literature</w:t>
      </w:r>
      <w:r>
        <w:t>,</w:t>
      </w:r>
      <w:r w:rsidRPr="00F9716C">
        <w:t xml:space="preserve"> </w:t>
      </w:r>
      <w:r>
        <w:t xml:space="preserve">2003, </w:t>
      </w:r>
      <w:r w:rsidRPr="00F9716C">
        <w:t>unpublished document</w:t>
      </w:r>
      <w:r>
        <w:t>,</w:t>
      </w:r>
      <w:r w:rsidRPr="00F9716C">
        <w:t xml:space="preserve"> RCSC Services Pty Ltd</w:t>
      </w:r>
      <w:r>
        <w:t xml:space="preserve">, referred to in Catchpole J 2011, </w:t>
      </w:r>
      <w:r w:rsidRPr="00F620B1">
        <w:rPr>
          <w:i/>
        </w:rPr>
        <w:t>Road Safety Benefits of Australia’s Demerit Point Scheme</w:t>
      </w:r>
      <w:r>
        <w:t>, AARB Group, Austroads, p 4.</w:t>
      </w:r>
    </w:p>
  </w:endnote>
  <w:endnote w:id="32">
    <w:p w14:paraId="713036CD" w14:textId="3E57F6A0" w:rsidR="003C7C88" w:rsidRDefault="003C7C88" w:rsidP="00855F7F">
      <w:pPr>
        <w:pStyle w:val="Footnote"/>
        <w:ind w:left="255" w:hanging="255"/>
      </w:pPr>
      <w:r>
        <w:rPr>
          <w:rStyle w:val="EndnoteReference"/>
        </w:rPr>
        <w:endnoteRef/>
      </w:r>
      <w:r>
        <w:t xml:space="preserve">   For a discussion of these factors, see Section </w:t>
      </w:r>
      <w:r>
        <w:fldChar w:fldCharType="begin"/>
      </w:r>
      <w:r>
        <w:instrText xml:space="preserve"> REF _Ref507160512 \r \h </w:instrText>
      </w:r>
      <w:r>
        <w:fldChar w:fldCharType="separate"/>
      </w:r>
      <w:r>
        <w:t>3.1.2</w:t>
      </w:r>
      <w:r>
        <w:fldChar w:fldCharType="end"/>
      </w:r>
      <w:r>
        <w:t xml:space="preserve"> below.</w:t>
      </w:r>
    </w:p>
  </w:endnote>
  <w:endnote w:id="33">
    <w:p w14:paraId="61B339C0" w14:textId="77777777" w:rsidR="003C7C88" w:rsidRDefault="003C7C88" w:rsidP="00855F7F">
      <w:pPr>
        <w:pStyle w:val="Footnote"/>
        <w:ind w:left="255" w:hanging="255"/>
      </w:pPr>
      <w:r>
        <w:rPr>
          <w:rStyle w:val="EndnoteReference"/>
        </w:rPr>
        <w:endnoteRef/>
      </w:r>
      <w:r>
        <w:t xml:space="preserve">   Senserrick T &amp; Whelan M 2003, </w:t>
      </w:r>
      <w:r w:rsidRPr="00A66F59">
        <w:rPr>
          <w:i/>
        </w:rPr>
        <w:t>Graduated driver licensing: effectiveness of systems and individual components</w:t>
      </w:r>
      <w:r>
        <w:t>, MUARC Report 209, Monash University Accident Research Centre, Clayton, Victoria, &lt;</w:t>
      </w:r>
      <w:hyperlink r:id="rId22" w:history="1">
        <w:r>
          <w:rPr>
            <w:rStyle w:val="Hyperlink"/>
          </w:rPr>
          <w:t>https://www.monash.edu/__data/assets/-pdf_file/0007/216835/muarc209.pdf</w:t>
        </w:r>
      </w:hyperlink>
      <w:r>
        <w:t>&gt;;</w:t>
      </w:r>
      <w:r w:rsidRPr="0028558C">
        <w:t xml:space="preserve"> </w:t>
      </w:r>
      <w:r>
        <w:t xml:space="preserve">Mayhew DR &amp; Simpson HM 1990, </w:t>
      </w:r>
      <w:r w:rsidRPr="003B6BD4">
        <w:rPr>
          <w:i/>
        </w:rPr>
        <w:t>New to the road. Young drivers and novice drivers: Similar problems and solutions?</w:t>
      </w:r>
      <w:r>
        <w:rPr>
          <w:i/>
        </w:rPr>
        <w:t xml:space="preserve"> </w:t>
      </w:r>
      <w:r>
        <w:t xml:space="preserve"> Traffic Injury Research Foundation of Canada,</w:t>
      </w:r>
      <w:r w:rsidRPr="00E72C35" w:rsidDel="00FF3F00">
        <w:t xml:space="preserve"> </w:t>
      </w:r>
      <w:r>
        <w:t>Ottawa,</w:t>
      </w:r>
      <w:r w:rsidRPr="00E72C35" w:rsidDel="00FF3F00">
        <w:t xml:space="preserve"> </w:t>
      </w:r>
      <w:r w:rsidRPr="00E72C35">
        <w:t>p.123</w:t>
      </w:r>
      <w:r>
        <w:t>, &lt;</w:t>
      </w:r>
      <w:hyperlink r:id="rId23" w:history="1">
        <w:r w:rsidRPr="00281525">
          <w:rPr>
            <w:rStyle w:val="Hyperlink"/>
          </w:rPr>
          <w:t>https://trid.trb.org/view/349250</w:t>
        </w:r>
      </w:hyperlink>
      <w:r>
        <w:t>&gt;.</w:t>
      </w:r>
    </w:p>
  </w:endnote>
  <w:endnote w:id="34">
    <w:p w14:paraId="33BB6E84" w14:textId="77777777" w:rsidR="003C7C88" w:rsidRDefault="003C7C88" w:rsidP="00855F7F">
      <w:pPr>
        <w:pStyle w:val="Footnote"/>
        <w:ind w:left="255" w:hanging="255"/>
      </w:pPr>
      <w:r>
        <w:rPr>
          <w:rStyle w:val="EndnoteReference"/>
        </w:rPr>
        <w:endnoteRef/>
      </w:r>
      <w:r>
        <w:t xml:space="preserve">   Senserrick T 2009, ‘Australian graduated driver licensing systems’, </w:t>
      </w:r>
      <w:r w:rsidRPr="002B5FB8">
        <w:rPr>
          <w:i/>
        </w:rPr>
        <w:t>Journal of the Australasian College of Road Safety</w:t>
      </w:r>
      <w:r>
        <w:t>, Vol 20, pp20-26, &lt;</w:t>
      </w:r>
      <w:hyperlink r:id="rId24" w:history="1">
        <w:r w:rsidRPr="00281525">
          <w:rPr>
            <w:rStyle w:val="Hyperlink"/>
          </w:rPr>
          <w:t>https://trid.trb.org/view/926286</w:t>
        </w:r>
      </w:hyperlink>
      <w:r>
        <w:t>&gt;.</w:t>
      </w:r>
    </w:p>
  </w:endnote>
  <w:endnote w:id="35">
    <w:p w14:paraId="388B89C8" w14:textId="77777777" w:rsidR="003C7C88" w:rsidRDefault="003C7C88" w:rsidP="00855F7F">
      <w:pPr>
        <w:pStyle w:val="Footnote"/>
        <w:ind w:left="255" w:hanging="255"/>
      </w:pPr>
      <w:r>
        <w:rPr>
          <w:rStyle w:val="EndnoteReference"/>
        </w:rPr>
        <w:endnoteRef/>
      </w:r>
      <w:r>
        <w:t xml:space="preserve">   </w:t>
      </w:r>
      <w:r w:rsidRPr="00973364">
        <w:t>Haworth</w:t>
      </w:r>
      <w:r>
        <w:t xml:space="preserve"> </w:t>
      </w:r>
      <w:r w:rsidRPr="00973364">
        <w:t>N</w:t>
      </w:r>
      <w:r>
        <w:t xml:space="preserve"> 1994,</w:t>
      </w:r>
      <w:r w:rsidRPr="00973364">
        <w:t xml:space="preserve"> </w:t>
      </w:r>
      <w:r w:rsidRPr="00D73FDB">
        <w:rPr>
          <w:i/>
        </w:rPr>
        <w:t>Young Driver Research Program: Evaluation of Australian Graduated Licensing Scheme</w:t>
      </w:r>
      <w:r>
        <w:t>, Monash University Accident Research Centre, p1,</w:t>
      </w:r>
      <w:r w:rsidRPr="008A447E">
        <w:t xml:space="preserve"> </w:t>
      </w:r>
      <w:r>
        <w:t>&lt;</w:t>
      </w:r>
      <w:hyperlink r:id="rId25" w:history="1">
        <w:r w:rsidRPr="00281525">
          <w:rPr>
            <w:rStyle w:val="Hyperlink"/>
          </w:rPr>
          <w:t>https://www.monash.edu/__data/assets/pdf_file/0007/217078/atsb136.pdf</w:t>
        </w:r>
      </w:hyperlink>
      <w:r>
        <w:t>&gt;.</w:t>
      </w:r>
    </w:p>
  </w:endnote>
  <w:endnote w:id="36">
    <w:p w14:paraId="5C31909A" w14:textId="77777777" w:rsidR="003C7C88" w:rsidRDefault="003C7C88" w:rsidP="00855F7F">
      <w:pPr>
        <w:pStyle w:val="Footnote"/>
        <w:ind w:left="255" w:hanging="255"/>
      </w:pPr>
      <w:r>
        <w:rPr>
          <w:rStyle w:val="EndnoteReference"/>
        </w:rPr>
        <w:endnoteRef/>
      </w:r>
      <w:r>
        <w:t xml:space="preserve">   Walker E, </w:t>
      </w:r>
      <w:r w:rsidRPr="000A3588">
        <w:t>Howard</w:t>
      </w:r>
      <w:r>
        <w:t xml:space="preserve"> E, </w:t>
      </w:r>
      <w:r w:rsidRPr="000A3588">
        <w:t>Harris</w:t>
      </w:r>
      <w:r>
        <w:t xml:space="preserve"> A</w:t>
      </w:r>
      <w:r w:rsidRPr="000A3588">
        <w:t>, Barnes</w:t>
      </w:r>
      <w:r>
        <w:t xml:space="preserve"> B</w:t>
      </w:r>
      <w:r w:rsidRPr="000A3588">
        <w:t>, Parnella</w:t>
      </w:r>
      <w:r>
        <w:t xml:space="preserve"> H</w:t>
      </w:r>
      <w:r w:rsidRPr="000A3588">
        <w:t xml:space="preserve"> </w:t>
      </w:r>
      <w:r>
        <w:t>&amp;</w:t>
      </w:r>
      <w:r w:rsidRPr="000A3588">
        <w:t xml:space="preserve"> Hinchcliff</w:t>
      </w:r>
      <w:r>
        <w:t xml:space="preserve"> R 2015, ‘</w:t>
      </w:r>
      <w:r w:rsidRPr="00F01FD4">
        <w:t>Development of the Australian Graduated Licensing Scheme Policy Framework: a demonstration of jurisdictions taking action together to reduce road trauma</w:t>
      </w:r>
      <w:r>
        <w:t xml:space="preserve">’, </w:t>
      </w:r>
      <w:r w:rsidRPr="00A51F7A">
        <w:rPr>
          <w:i/>
        </w:rPr>
        <w:t>Proceedings of the 2015 Australasian Road Safety Conference</w:t>
      </w:r>
      <w:r>
        <w:t xml:space="preserve">, </w:t>
      </w:r>
      <w:r w:rsidRPr="00ED4903">
        <w:t>14-16 October</w:t>
      </w:r>
      <w:r>
        <w:t xml:space="preserve"> 2015, Gold Coast, Australia, </w:t>
      </w:r>
      <w:hyperlink r:id="rId26" w:history="1">
        <w:r w:rsidRPr="00281525">
          <w:rPr>
            <w:rStyle w:val="Hyperlink"/>
          </w:rPr>
          <w:t>http://acrs.org.au/files/papers/arsc/2015/WalkerE%20245%20Development%20of%20the%20Australian%20Graduated%20Licensing%20Scheme%20policy%20framework.pdf</w:t>
        </w:r>
      </w:hyperlink>
      <w:r>
        <w:t xml:space="preserve"> .</w:t>
      </w:r>
    </w:p>
  </w:endnote>
  <w:endnote w:id="37">
    <w:p w14:paraId="748540B4" w14:textId="77777777" w:rsidR="003C7C88" w:rsidRDefault="003C7C88" w:rsidP="00855F7F">
      <w:pPr>
        <w:pStyle w:val="Footnote"/>
        <w:ind w:left="255" w:hanging="255"/>
      </w:pPr>
      <w:r>
        <w:rPr>
          <w:rStyle w:val="EndnoteReference"/>
        </w:rPr>
        <w:endnoteRef/>
      </w:r>
      <w:r>
        <w:t xml:space="preserve">   </w:t>
      </w:r>
      <w:r>
        <w:rPr>
          <w:rStyle w:val="FootnoteChar"/>
        </w:rPr>
        <w:t>ibid.</w:t>
      </w:r>
      <w:r w:rsidRPr="00A51F7A">
        <w:rPr>
          <w:rStyle w:val="FootnoteChar"/>
        </w:rPr>
        <w:t>,</w:t>
      </w:r>
      <w:r>
        <w:rPr>
          <w:rStyle w:val="FootnoteChar"/>
        </w:rPr>
        <w:t xml:space="preserve"> </w:t>
      </w:r>
      <w:r>
        <w:t>p3.</w:t>
      </w:r>
    </w:p>
  </w:endnote>
  <w:endnote w:id="38">
    <w:p w14:paraId="371034A6" w14:textId="77777777" w:rsidR="003C7C88" w:rsidRDefault="003C7C88" w:rsidP="00855F7F">
      <w:pPr>
        <w:pStyle w:val="Footnote"/>
        <w:ind w:left="255" w:hanging="255"/>
      </w:pPr>
      <w:r>
        <w:rPr>
          <w:rStyle w:val="EndnoteReference"/>
        </w:rPr>
        <w:endnoteRef/>
      </w:r>
      <w:r>
        <w:t xml:space="preserve">   </w:t>
      </w:r>
      <w:r>
        <w:rPr>
          <w:rStyle w:val="FootnoteChar"/>
        </w:rPr>
        <w:t>ibid</w:t>
      </w:r>
      <w:r w:rsidRPr="00A51F7A">
        <w:rPr>
          <w:rStyle w:val="FootnoteChar"/>
        </w:rPr>
        <w:t>.,</w:t>
      </w:r>
      <w:r>
        <w:rPr>
          <w:rStyle w:val="FootnoteChar"/>
        </w:rPr>
        <w:t xml:space="preserve"> pp2-3.</w:t>
      </w:r>
    </w:p>
  </w:endnote>
  <w:endnote w:id="39">
    <w:p w14:paraId="03C09681" w14:textId="77777777" w:rsidR="003C7C88" w:rsidRDefault="003C7C88" w:rsidP="00855F7F">
      <w:pPr>
        <w:pStyle w:val="Footnote"/>
        <w:ind w:left="255" w:hanging="255"/>
      </w:pPr>
      <w:r>
        <w:rPr>
          <w:rStyle w:val="EndnoteReference"/>
        </w:rPr>
        <w:endnoteRef/>
      </w:r>
      <w:r>
        <w:t xml:space="preserve">   VicRoads 2017, </w:t>
      </w:r>
      <w:r w:rsidRPr="00272339">
        <w:rPr>
          <w:i/>
        </w:rPr>
        <w:t>The Victorian Graduated Licensing System: Outcome Evaluation 2017</w:t>
      </w:r>
      <w:r>
        <w:t>, Kew, p3, &lt;</w:t>
      </w:r>
      <w:hyperlink r:id="rId27" w:history="1">
        <w:r w:rsidRPr="009A1E00">
          <w:rPr>
            <w:rStyle w:val="Hyperlink"/>
          </w:rPr>
          <w:t>https://www.researchgate.net/publication/322307358_The_Victorian_Graduated_Licensing_System_-_Outcome_Evaluation_2017</w:t>
        </w:r>
      </w:hyperlink>
      <w:r>
        <w:t>&gt;.</w:t>
      </w:r>
    </w:p>
  </w:endnote>
  <w:endnote w:id="40">
    <w:p w14:paraId="0E5A904F" w14:textId="77777777" w:rsidR="003C7C88" w:rsidRDefault="003C7C88" w:rsidP="00855F7F">
      <w:pPr>
        <w:pStyle w:val="Footnote"/>
        <w:ind w:left="255" w:hanging="255"/>
      </w:pPr>
      <w:r>
        <w:rPr>
          <w:rStyle w:val="EndnoteReference"/>
        </w:rPr>
        <w:endnoteRef/>
      </w:r>
      <w:r>
        <w:t xml:space="preserve">   Christie R 2014, </w:t>
      </w:r>
      <w:r w:rsidRPr="00981D44">
        <w:rPr>
          <w:i/>
        </w:rPr>
        <w:t>A discussion paper on elements of a graduated licensing system for motorcycle riders</w:t>
      </w:r>
      <w:r>
        <w:t xml:space="preserve"> (AP-R469-14), Austroads, Sydney, p24, &lt;</w:t>
      </w:r>
      <w:hyperlink r:id="rId28" w:history="1">
        <w:r w:rsidRPr="00BC1030">
          <w:rPr>
            <w:rStyle w:val="Hyperlink"/>
          </w:rPr>
          <w:t>https://www.onlinepublications.austroads.com.au/items/AP-R469-14</w:t>
        </w:r>
      </w:hyperlink>
      <w:r>
        <w:t>&gt;.</w:t>
      </w:r>
    </w:p>
  </w:endnote>
  <w:endnote w:id="41">
    <w:p w14:paraId="435ED814" w14:textId="77777777" w:rsidR="003C7C88" w:rsidRDefault="003C7C88" w:rsidP="00855F7F">
      <w:pPr>
        <w:pStyle w:val="Footnote"/>
        <w:ind w:left="255" w:hanging="255"/>
      </w:pPr>
      <w:r>
        <w:rPr>
          <w:rStyle w:val="EndnoteReference"/>
        </w:rPr>
        <w:endnoteRef/>
      </w:r>
      <w:r>
        <w:t xml:space="preserve">   Christie R 2014, </w:t>
      </w:r>
      <w:r w:rsidRPr="00981D44">
        <w:rPr>
          <w:i/>
        </w:rPr>
        <w:t>A discussion paper on elements of a graduated licensing system for motorcycle riders</w:t>
      </w:r>
      <w:r>
        <w:rPr>
          <w:i/>
        </w:rPr>
        <w:t>,</w:t>
      </w:r>
      <w:r>
        <w:t xml:space="preserve"> Chapter 4 and Table 1 on </w:t>
      </w:r>
      <w:r w:rsidRPr="00AD104F">
        <w:t>p 24</w:t>
      </w:r>
      <w:r>
        <w:t>.</w:t>
      </w:r>
    </w:p>
  </w:endnote>
  <w:endnote w:id="42">
    <w:p w14:paraId="289445A4" w14:textId="77777777" w:rsidR="003C7C88" w:rsidRDefault="003C7C88" w:rsidP="00855F7F">
      <w:pPr>
        <w:pStyle w:val="Footnote"/>
        <w:ind w:left="255" w:hanging="255"/>
      </w:pPr>
      <w:r>
        <w:rPr>
          <w:rStyle w:val="EndnoteReference"/>
        </w:rPr>
        <w:endnoteRef/>
      </w:r>
      <w:r>
        <w:t xml:space="preserve">   VicRoads 2010, </w:t>
      </w:r>
      <w:r w:rsidRPr="00981D44">
        <w:rPr>
          <w:i/>
        </w:rPr>
        <w:t>Graduated Licensing for Motorcyclists – A Discussion Paper</w:t>
      </w:r>
      <w:r>
        <w:t>, &lt;</w:t>
      </w:r>
      <w:hyperlink r:id="rId29" w:history="1">
        <w:r w:rsidRPr="00BC1030">
          <w:rPr>
            <w:rStyle w:val="Hyperlink"/>
          </w:rPr>
          <w:t>https://www.vicroads.vic.gov.au/-/media/files/documents/safety-and-road-rules/motorcyclelevyglsdiscussionpaper2010.ashx</w:t>
        </w:r>
      </w:hyperlink>
      <w:r>
        <w:t xml:space="preserve">&gt;. </w:t>
      </w:r>
    </w:p>
  </w:endnote>
  <w:endnote w:id="43">
    <w:p w14:paraId="5B407E44" w14:textId="77777777" w:rsidR="003C7C88" w:rsidRDefault="003C7C88" w:rsidP="00855F7F">
      <w:pPr>
        <w:pStyle w:val="Footnote"/>
        <w:ind w:left="255" w:hanging="255"/>
      </w:pPr>
      <w:r>
        <w:rPr>
          <w:rStyle w:val="EndnoteReference"/>
        </w:rPr>
        <w:endnoteRef/>
      </w:r>
      <w:r>
        <w:t xml:space="preserve">   Austroads and National Transport Commission 2016, </w:t>
      </w:r>
      <w:r w:rsidRPr="00515D57">
        <w:rPr>
          <w:i/>
        </w:rPr>
        <w:t>Assessing Fitness to Drive – Commercial and Private Vehicle Drivers</w:t>
      </w:r>
      <w:r>
        <w:t>.</w:t>
      </w:r>
    </w:p>
  </w:endnote>
  <w:endnote w:id="44">
    <w:p w14:paraId="5438E0CD" w14:textId="77777777" w:rsidR="003C7C88" w:rsidRDefault="003C7C88" w:rsidP="00855F7F">
      <w:pPr>
        <w:pStyle w:val="Footnote"/>
        <w:ind w:left="255" w:hanging="255"/>
      </w:pPr>
      <w:r>
        <w:rPr>
          <w:rStyle w:val="EndnoteReference"/>
        </w:rPr>
        <w:endnoteRef/>
      </w:r>
      <w:r>
        <w:t xml:space="preserve">   Austroads 1995, </w:t>
      </w:r>
      <w:r w:rsidRPr="00981D44">
        <w:rPr>
          <w:i/>
        </w:rPr>
        <w:t>National Guidelines for Alcohol Ignition Interlock Programs</w:t>
      </w:r>
      <w:r>
        <w:t>, Sydney, &lt;</w:t>
      </w:r>
      <w:hyperlink r:id="rId30" w:history="1">
        <w:r w:rsidRPr="00917BC7">
          <w:rPr>
            <w:rStyle w:val="Hyperlink"/>
          </w:rPr>
          <w:t>https://www.onlinepublications.austroads.com.au/items/AP-120-95</w:t>
        </w:r>
      </w:hyperlink>
      <w:r>
        <w:t>&gt;.</w:t>
      </w:r>
    </w:p>
  </w:endnote>
  <w:endnote w:id="45">
    <w:p w14:paraId="2514FA1B" w14:textId="77777777" w:rsidR="003C7C88" w:rsidRDefault="003C7C88" w:rsidP="00855F7F">
      <w:pPr>
        <w:pStyle w:val="Footnote"/>
        <w:ind w:left="255" w:hanging="255"/>
      </w:pPr>
      <w:r>
        <w:rPr>
          <w:rStyle w:val="EndnoteReference"/>
        </w:rPr>
        <w:endnoteRef/>
      </w:r>
      <w:r>
        <w:t xml:space="preserve">   Austroads 1998, </w:t>
      </w:r>
      <w:r w:rsidRPr="00B77037">
        <w:rPr>
          <w:i/>
        </w:rPr>
        <w:t>National Guidelines for Evaluation of Alcohol Ignition Interlock Programs</w:t>
      </w:r>
      <w:r>
        <w:t>, Sydney, &lt;</w:t>
      </w:r>
      <w:hyperlink r:id="rId31" w:history="1">
        <w:r w:rsidRPr="00917BC7">
          <w:rPr>
            <w:rStyle w:val="Hyperlink"/>
          </w:rPr>
          <w:t>https://austroads.com.au/publications/road-safety/ap-132-98</w:t>
        </w:r>
      </w:hyperlink>
      <w:r>
        <w:t>&gt;.</w:t>
      </w:r>
    </w:p>
  </w:endnote>
  <w:endnote w:id="46">
    <w:p w14:paraId="30CBAB49" w14:textId="77777777" w:rsidR="003C7C88" w:rsidRDefault="003C7C88" w:rsidP="00855F7F">
      <w:pPr>
        <w:pStyle w:val="Footnote"/>
        <w:ind w:left="255" w:hanging="255"/>
      </w:pPr>
      <w:r>
        <w:rPr>
          <w:rStyle w:val="EndnoteReference"/>
        </w:rPr>
        <w:endnoteRef/>
      </w:r>
      <w:r>
        <w:t xml:space="preserve">   VicRoads 2016, </w:t>
      </w:r>
      <w:r w:rsidRPr="00B86DAF">
        <w:rPr>
          <w:i/>
        </w:rPr>
        <w:t>The Effect of Sanctions on Victorian Drink-Drivers</w:t>
      </w:r>
      <w:r>
        <w:t xml:space="preserve">, </w:t>
      </w:r>
      <w:r w:rsidRPr="00BB2154">
        <w:t>Centre for Accident Research and Road Safety – Queensland (CARRS-Q)</w:t>
      </w:r>
      <w:r>
        <w:t>,</w:t>
      </w:r>
      <w:r w:rsidRPr="00BB2154">
        <w:t xml:space="preserve"> </w:t>
      </w:r>
      <w:r>
        <w:t>September, &lt;</w:t>
      </w:r>
      <w:hyperlink r:id="rId32" w:history="1">
        <w:r w:rsidRPr="00385478">
          <w:rPr>
            <w:rStyle w:val="Hyperlink"/>
          </w:rPr>
          <w:t>https://www.researchgate.net/profile/Kelly_Imberger/publication/322750411-THE_EFFECT_OF_SANCTIONS_ON_VICTORIAN_DRINK-DRIVERS/links/5a6d64abaca2722c947df3fc/THE-EFFECT-OF-SANCTIONS-ON-VICTORIAN-DRINK-DRIVERS.</w:t>
        </w:r>
        <w:r w:rsidRPr="004E45D7">
          <w:rPr>
            <w:rStyle w:val="Hyperlink"/>
          </w:rPr>
          <w:t>pdf?origin=publication_detail</w:t>
        </w:r>
      </w:hyperlink>
      <w:r>
        <w:t>&gt;.</w:t>
      </w:r>
    </w:p>
  </w:endnote>
  <w:endnote w:id="47">
    <w:p w14:paraId="1076E252" w14:textId="77777777" w:rsidR="003C7C88" w:rsidRDefault="003C7C88" w:rsidP="00855F7F">
      <w:pPr>
        <w:pStyle w:val="Footnote"/>
        <w:ind w:left="255" w:hanging="255"/>
      </w:pPr>
      <w:r>
        <w:rPr>
          <w:rStyle w:val="EndnoteReference"/>
        </w:rPr>
        <w:endnoteRef/>
      </w:r>
      <w:r>
        <w:t xml:space="preserve">   ibid., p6. </w:t>
      </w:r>
    </w:p>
  </w:endnote>
  <w:endnote w:id="48">
    <w:p w14:paraId="3BD50C40" w14:textId="77777777" w:rsidR="003C7C88" w:rsidRDefault="003C7C88" w:rsidP="00855F7F">
      <w:pPr>
        <w:pStyle w:val="Footnote"/>
        <w:ind w:left="255" w:hanging="255"/>
      </w:pPr>
      <w:r>
        <w:rPr>
          <w:rStyle w:val="EndnoteReference"/>
        </w:rPr>
        <w:endnoteRef/>
      </w:r>
      <w:r>
        <w:t xml:space="preserve">   </w:t>
      </w:r>
      <w:r w:rsidRPr="00981D44">
        <w:rPr>
          <w:i/>
        </w:rPr>
        <w:t>Subordinate Legislation Act 1994</w:t>
      </w:r>
      <w:r>
        <w:t>, Sections 7 and 8.</w:t>
      </w:r>
    </w:p>
  </w:endnote>
  <w:endnote w:id="49">
    <w:p w14:paraId="7743D062" w14:textId="77777777" w:rsidR="003C7C88" w:rsidRDefault="003C7C88" w:rsidP="00855F7F">
      <w:pPr>
        <w:pStyle w:val="Footnote"/>
        <w:ind w:left="255" w:hanging="255"/>
      </w:pPr>
      <w:r>
        <w:rPr>
          <w:rStyle w:val="EndnoteReference"/>
        </w:rPr>
        <w:endnoteRef/>
      </w:r>
      <w:r>
        <w:t xml:space="preserve">   Victorian Government 2016,</w:t>
      </w:r>
      <w:r w:rsidRPr="0048482E">
        <w:rPr>
          <w:i/>
        </w:rPr>
        <w:t xml:space="preserve"> Towards Zero 2016/2020: Victoria’s Road Safety Strategy </w:t>
      </w:r>
      <w:r>
        <w:rPr>
          <w:i/>
        </w:rPr>
        <w:t>and</w:t>
      </w:r>
      <w:r w:rsidRPr="0048482E">
        <w:rPr>
          <w:i/>
        </w:rPr>
        <w:t xml:space="preserve"> Action Plan</w:t>
      </w:r>
      <w:r>
        <w:t>, 2016, &lt;</w:t>
      </w:r>
      <w:hyperlink r:id="rId33" w:history="1">
        <w:r w:rsidRPr="00A25A31">
          <w:rPr>
            <w:rStyle w:val="Hyperlink"/>
          </w:rPr>
          <w:t>https://www.towardszero.vic.gov.au/__data/assets/pdf_file/0010/183556/STU_0206_RS_STRATEGY_2016_web.pdf</w:t>
        </w:r>
      </w:hyperlink>
      <w:r>
        <w:t xml:space="preserve">&gt;. </w:t>
      </w:r>
    </w:p>
  </w:endnote>
  <w:endnote w:id="50">
    <w:p w14:paraId="7F9E3755" w14:textId="6CABEC7C" w:rsidR="003C7C88" w:rsidRDefault="003C7C88" w:rsidP="00855F7F">
      <w:pPr>
        <w:pStyle w:val="Footnote"/>
        <w:ind w:left="255" w:hanging="255"/>
      </w:pPr>
      <w:r>
        <w:rPr>
          <w:rStyle w:val="EndnoteReference"/>
        </w:rPr>
        <w:endnoteRef/>
      </w:r>
      <w:r>
        <w:t xml:space="preserve">   </w:t>
      </w:r>
      <w:r>
        <w:rPr>
          <w:lang w:eastAsia="en-AU"/>
        </w:rPr>
        <w:t xml:space="preserve">Refer to </w:t>
      </w:r>
      <w:r>
        <w:rPr>
          <w:lang w:eastAsia="en-AU"/>
        </w:rPr>
        <w:fldChar w:fldCharType="begin"/>
      </w:r>
      <w:r>
        <w:rPr>
          <w:lang w:eastAsia="en-AU"/>
        </w:rPr>
        <w:instrText xml:space="preserve"> REF _Ref501535275 \h </w:instrText>
      </w:r>
      <w:r>
        <w:rPr>
          <w:lang w:eastAsia="en-AU"/>
        </w:rPr>
      </w:r>
      <w:r>
        <w:rPr>
          <w:lang w:eastAsia="en-AU"/>
        </w:rPr>
        <w:fldChar w:fldCharType="separate"/>
      </w:r>
      <w:r>
        <w:t xml:space="preserve">Table </w:t>
      </w:r>
      <w:r>
        <w:rPr>
          <w:noProof/>
        </w:rPr>
        <w:t>73</w:t>
      </w:r>
      <w:r>
        <w:rPr>
          <w:lang w:eastAsia="en-AU"/>
        </w:rPr>
        <w:fldChar w:fldCharType="end"/>
      </w:r>
      <w:r>
        <w:rPr>
          <w:lang w:eastAsia="en-AU"/>
        </w:rPr>
        <w:t xml:space="preserve"> in Appendix </w:t>
      </w:r>
      <w:r>
        <w:rPr>
          <w:lang w:eastAsia="en-AU"/>
        </w:rPr>
        <w:fldChar w:fldCharType="begin"/>
      </w:r>
      <w:r>
        <w:rPr>
          <w:lang w:eastAsia="en-AU"/>
        </w:rPr>
        <w:instrText xml:space="preserve"> REF _Ref507683068 \r \h </w:instrText>
      </w:r>
      <w:r>
        <w:rPr>
          <w:lang w:eastAsia="en-AU"/>
        </w:rPr>
      </w:r>
      <w:r>
        <w:rPr>
          <w:lang w:eastAsia="en-AU"/>
        </w:rPr>
        <w:fldChar w:fldCharType="separate"/>
      </w:r>
      <w:r>
        <w:rPr>
          <w:lang w:eastAsia="en-AU"/>
        </w:rPr>
        <w:t>A</w:t>
      </w:r>
      <w:r>
        <w:rPr>
          <w:lang w:eastAsia="en-AU"/>
        </w:rPr>
        <w:fldChar w:fldCharType="end"/>
      </w:r>
      <w:r>
        <w:rPr>
          <w:lang w:eastAsia="en-AU"/>
        </w:rPr>
        <w:t xml:space="preserve"> for details of how the proposed Regulations support some of these RSA amendments.</w:t>
      </w:r>
    </w:p>
  </w:endnote>
  <w:endnote w:id="51">
    <w:p w14:paraId="73BDC245" w14:textId="796D1B6D" w:rsidR="003C7C88" w:rsidRDefault="003C7C88" w:rsidP="00855F7F">
      <w:pPr>
        <w:pStyle w:val="Footnote"/>
        <w:ind w:left="255" w:hanging="255"/>
      </w:pPr>
      <w:r>
        <w:rPr>
          <w:rStyle w:val="EndnoteReference"/>
        </w:rPr>
        <w:endnoteRef/>
      </w:r>
      <w:r>
        <w:t xml:space="preserve">   Refer to Section </w:t>
      </w:r>
      <w:r>
        <w:fldChar w:fldCharType="begin"/>
      </w:r>
      <w:r>
        <w:instrText xml:space="preserve"> REF _Ref514409000 \r \h </w:instrText>
      </w:r>
      <w:r>
        <w:fldChar w:fldCharType="separate"/>
      </w:r>
      <w:r>
        <w:t>19</w:t>
      </w:r>
      <w:r>
        <w:fldChar w:fldCharType="end"/>
      </w:r>
      <w:r>
        <w:t xml:space="preserve"> for a list of stakeholders consulted and the nature of consultation.</w:t>
      </w:r>
    </w:p>
  </w:endnote>
  <w:endnote w:id="52">
    <w:p w14:paraId="51D2BDC9" w14:textId="6566ED8E" w:rsidR="003C7C88" w:rsidRDefault="003C7C88" w:rsidP="00855F7F">
      <w:pPr>
        <w:pStyle w:val="Footnote"/>
        <w:ind w:left="255" w:hanging="255"/>
      </w:pPr>
      <w:r>
        <w:rPr>
          <w:rStyle w:val="EndnoteReference"/>
        </w:rPr>
        <w:endnoteRef/>
      </w:r>
      <w:r>
        <w:t xml:space="preserve">   Refer to Section </w:t>
      </w:r>
      <w:r>
        <w:fldChar w:fldCharType="begin"/>
      </w:r>
      <w:r>
        <w:instrText xml:space="preserve"> REF _Ref499632138 \r \h </w:instrText>
      </w:r>
      <w:r>
        <w:fldChar w:fldCharType="separate"/>
      </w:r>
      <w:r>
        <w:t>1.3.1</w:t>
      </w:r>
      <w:r>
        <w:fldChar w:fldCharType="end"/>
      </w:r>
      <w:r>
        <w:t xml:space="preserve"> above. The extent to which the proposed Regulations are substantially the same as the national standards is shown in </w:t>
      </w:r>
      <w:r>
        <w:fldChar w:fldCharType="begin"/>
      </w:r>
      <w:r>
        <w:instrText xml:space="preserve"> REF _Ref501556627 \h </w:instrText>
      </w:r>
      <w:r>
        <w:fldChar w:fldCharType="separate"/>
      </w:r>
      <w:r>
        <w:t xml:space="preserve">Table </w:t>
      </w:r>
      <w:r>
        <w:rPr>
          <w:noProof/>
        </w:rPr>
        <w:t>75</w:t>
      </w:r>
      <w:r>
        <w:fldChar w:fldCharType="end"/>
      </w:r>
      <w:r>
        <w:t xml:space="preserve"> in Appendix </w:t>
      </w:r>
      <w:r>
        <w:fldChar w:fldCharType="begin"/>
      </w:r>
      <w:r>
        <w:instrText xml:space="preserve"> REF _Ref501556658 \r \h </w:instrText>
      </w:r>
      <w:r>
        <w:fldChar w:fldCharType="separate"/>
      </w:r>
      <w:r>
        <w:t>C</w:t>
      </w:r>
      <w:r>
        <w:fldChar w:fldCharType="end"/>
      </w:r>
      <w:r>
        <w:t>.</w:t>
      </w:r>
    </w:p>
  </w:endnote>
  <w:endnote w:id="53">
    <w:p w14:paraId="1CC7B771" w14:textId="77777777" w:rsidR="003C7C88" w:rsidRDefault="003C7C88" w:rsidP="00855F7F">
      <w:pPr>
        <w:pStyle w:val="Footnote"/>
        <w:ind w:left="255" w:hanging="255"/>
      </w:pPr>
      <w:r>
        <w:rPr>
          <w:rStyle w:val="EndnoteReference"/>
        </w:rPr>
        <w:endnoteRef/>
      </w:r>
      <w:r>
        <w:t xml:space="preserve">   Victorian Government, ‘</w:t>
      </w:r>
      <w:r w:rsidRPr="00C10DD7">
        <w:t>Subordinate Legislation Act 1994 Guidelines</w:t>
      </w:r>
      <w:r>
        <w:t xml:space="preserve">’, </w:t>
      </w:r>
      <w:r w:rsidRPr="00C10DD7">
        <w:rPr>
          <w:i/>
        </w:rPr>
        <w:t>Victoria Government Gazette</w:t>
      </w:r>
      <w:r>
        <w:t>, No. G27, 7 July 2016, p1800, paras 213-214, &lt;</w:t>
      </w:r>
      <w:hyperlink r:id="rId34" w:history="1">
        <w:r w:rsidRPr="00A25A31">
          <w:rPr>
            <w:rStyle w:val="Hyperlink"/>
          </w:rPr>
          <w:t>http://www.gazette.vic.gov.au/gazette/Gazettes2016/GG2016G027.pdf</w:t>
        </w:r>
      </w:hyperlink>
      <w:r>
        <w:t>&gt;.</w:t>
      </w:r>
    </w:p>
  </w:endnote>
  <w:endnote w:id="54">
    <w:p w14:paraId="34D52159" w14:textId="77777777" w:rsidR="003C7C88" w:rsidRDefault="003C7C88" w:rsidP="00855F7F">
      <w:pPr>
        <w:pStyle w:val="Footnote"/>
        <w:ind w:left="255" w:hanging="255"/>
      </w:pPr>
      <w:r>
        <w:rPr>
          <w:rStyle w:val="EndnoteReference"/>
        </w:rPr>
        <w:endnoteRef/>
      </w:r>
      <w:r>
        <w:t xml:space="preserve">   Transport Accident Commission 2018, Speed statistics, &lt;</w:t>
      </w:r>
      <w:hyperlink r:id="rId35" w:history="1">
        <w:r w:rsidRPr="004371F5">
          <w:rPr>
            <w:rStyle w:val="Hyperlink"/>
          </w:rPr>
          <w:t>http://www.tac.vic.gov.au/road-safety/statistics/summaries/speed-statistics</w:t>
        </w:r>
      </w:hyperlink>
      <w:r>
        <w:t>&gt;.</w:t>
      </w:r>
    </w:p>
  </w:endnote>
  <w:endnote w:id="55">
    <w:p w14:paraId="6F6D2F1E" w14:textId="77777777" w:rsidR="003C7C88" w:rsidRPr="00277336" w:rsidRDefault="003C7C88" w:rsidP="00855F7F">
      <w:pPr>
        <w:pStyle w:val="Footnote"/>
        <w:ind w:left="255" w:hanging="255"/>
        <w:rPr>
          <w:lang w:val="en-US"/>
        </w:rPr>
      </w:pPr>
      <w:r w:rsidRPr="00277336">
        <w:rPr>
          <w:rStyle w:val="EndnoteReference"/>
          <w:rFonts w:ascii="Verdana" w:hAnsi="Verdana"/>
        </w:rPr>
        <w:endnoteRef/>
      </w:r>
      <w:r w:rsidRPr="00277336">
        <w:t xml:space="preserve"> </w:t>
      </w:r>
      <w:r>
        <w:t xml:space="preserve">  </w:t>
      </w:r>
      <w:r>
        <w:rPr>
          <w:lang w:val="en-US"/>
        </w:rPr>
        <w:t>Elvik</w:t>
      </w:r>
      <w:r w:rsidRPr="00277336">
        <w:rPr>
          <w:lang w:val="en-US"/>
        </w:rPr>
        <w:t xml:space="preserve"> R, Christensen P </w:t>
      </w:r>
      <w:r>
        <w:rPr>
          <w:lang w:val="en-US"/>
        </w:rPr>
        <w:t xml:space="preserve">&amp; </w:t>
      </w:r>
      <w:r w:rsidRPr="00277336">
        <w:rPr>
          <w:lang w:val="en-US"/>
        </w:rPr>
        <w:t>Amundsen A</w:t>
      </w:r>
      <w:r>
        <w:rPr>
          <w:lang w:val="en-US"/>
        </w:rPr>
        <w:t xml:space="preserve"> 2004</w:t>
      </w:r>
      <w:r w:rsidRPr="00277336">
        <w:rPr>
          <w:lang w:val="en-US"/>
        </w:rPr>
        <w:t xml:space="preserve">, </w:t>
      </w:r>
      <w:r w:rsidRPr="00A80900">
        <w:rPr>
          <w:i/>
          <w:lang w:val="en-US"/>
        </w:rPr>
        <w:t>Speed and Road Accidents</w:t>
      </w:r>
      <w:r w:rsidRPr="00277336">
        <w:rPr>
          <w:lang w:val="en-US"/>
        </w:rPr>
        <w:t>, The Institute of Transport Economics, Oslo</w:t>
      </w:r>
      <w:r>
        <w:rPr>
          <w:lang w:val="en-US"/>
        </w:rPr>
        <w:t>, &lt;</w:t>
      </w:r>
      <w:hyperlink r:id="rId36" w:history="1">
        <w:r w:rsidRPr="00A25A31">
          <w:rPr>
            <w:rStyle w:val="Hyperlink"/>
            <w:lang w:val="en-US"/>
          </w:rPr>
          <w:t>https://lib.ugent.be/fulltxt/RUG01/001/813/795/RUG01-001813795_2012_0001_AC.pdf</w:t>
        </w:r>
      </w:hyperlink>
      <w:r>
        <w:rPr>
          <w:lang w:val="en-US"/>
        </w:rPr>
        <w:t>&gt;, pp iv-v.</w:t>
      </w:r>
    </w:p>
  </w:endnote>
  <w:endnote w:id="56">
    <w:p w14:paraId="4AB57F4B" w14:textId="77777777" w:rsidR="003C7C88" w:rsidRDefault="003C7C88" w:rsidP="004929EF">
      <w:pPr>
        <w:pStyle w:val="Footnote"/>
        <w:ind w:left="255" w:hanging="255"/>
      </w:pPr>
      <w:r>
        <w:rPr>
          <w:rStyle w:val="EndnoteReference"/>
        </w:rPr>
        <w:endnoteRef/>
      </w:r>
      <w:r>
        <w:t xml:space="preserve">   </w:t>
      </w:r>
      <w:r w:rsidRPr="00E74725">
        <w:rPr>
          <w:rStyle w:val="FootnoteChar"/>
        </w:rPr>
        <w:t>Peden M</w:t>
      </w:r>
      <w:r>
        <w:rPr>
          <w:rStyle w:val="FootnoteChar"/>
        </w:rPr>
        <w:t xml:space="preserve">, </w:t>
      </w:r>
      <w:r w:rsidRPr="00FA3488">
        <w:rPr>
          <w:rStyle w:val="FootnoteChar"/>
        </w:rPr>
        <w:t>Scurfield</w:t>
      </w:r>
      <w:r>
        <w:rPr>
          <w:rStyle w:val="FootnoteChar"/>
        </w:rPr>
        <w:t xml:space="preserve"> R</w:t>
      </w:r>
      <w:r w:rsidRPr="00FA3488">
        <w:rPr>
          <w:rStyle w:val="FootnoteChar"/>
        </w:rPr>
        <w:t>, Sleet</w:t>
      </w:r>
      <w:r>
        <w:rPr>
          <w:rStyle w:val="FootnoteChar"/>
        </w:rPr>
        <w:t xml:space="preserve"> D</w:t>
      </w:r>
      <w:r w:rsidRPr="00FA3488">
        <w:rPr>
          <w:rStyle w:val="FootnoteChar"/>
        </w:rPr>
        <w:t>,</w:t>
      </w:r>
      <w:r>
        <w:rPr>
          <w:rStyle w:val="FootnoteChar"/>
        </w:rPr>
        <w:t xml:space="preserve"> Mohan D, </w:t>
      </w:r>
      <w:r w:rsidRPr="00FA3488">
        <w:rPr>
          <w:rStyle w:val="FootnoteChar"/>
        </w:rPr>
        <w:t>Hyder</w:t>
      </w:r>
      <w:r>
        <w:rPr>
          <w:rStyle w:val="FootnoteChar"/>
        </w:rPr>
        <w:t xml:space="preserve"> AA</w:t>
      </w:r>
      <w:r w:rsidRPr="00FA3488">
        <w:rPr>
          <w:rStyle w:val="FootnoteChar"/>
        </w:rPr>
        <w:t>, Jarawan</w:t>
      </w:r>
      <w:r>
        <w:rPr>
          <w:rStyle w:val="FootnoteChar"/>
        </w:rPr>
        <w:t xml:space="preserve"> E, &amp;</w:t>
      </w:r>
      <w:r w:rsidRPr="00FA3488">
        <w:rPr>
          <w:rStyle w:val="FootnoteChar"/>
        </w:rPr>
        <w:t xml:space="preserve"> Mathers</w:t>
      </w:r>
      <w:r w:rsidRPr="00E74725">
        <w:rPr>
          <w:rStyle w:val="FootnoteChar"/>
        </w:rPr>
        <w:t xml:space="preserve"> </w:t>
      </w:r>
      <w:r>
        <w:rPr>
          <w:rStyle w:val="FootnoteChar"/>
        </w:rPr>
        <w:t>C (</w:t>
      </w:r>
      <w:r w:rsidRPr="00E74725">
        <w:rPr>
          <w:rStyle w:val="FootnoteChar"/>
        </w:rPr>
        <w:t>eds</w:t>
      </w:r>
      <w:r>
        <w:rPr>
          <w:rStyle w:val="FootnoteChar"/>
        </w:rPr>
        <w:t xml:space="preserve">) 2004, </w:t>
      </w:r>
      <w:r w:rsidRPr="00032724">
        <w:rPr>
          <w:rStyle w:val="FootnoteChar"/>
          <w:i/>
        </w:rPr>
        <w:t>World report on road traffic injury prevention</w:t>
      </w:r>
      <w:r>
        <w:rPr>
          <w:rStyle w:val="FootnoteChar"/>
          <w:i/>
        </w:rPr>
        <w:t>,</w:t>
      </w:r>
      <w:r w:rsidRPr="00E74725">
        <w:rPr>
          <w:rStyle w:val="FootnoteChar"/>
        </w:rPr>
        <w:t xml:space="preserve"> World Health Organization, </w:t>
      </w:r>
      <w:r>
        <w:rPr>
          <w:rStyle w:val="FootnoteChar"/>
        </w:rPr>
        <w:t>Geneva,</w:t>
      </w:r>
      <w:r>
        <w:t xml:space="preserve"> p13, &lt;</w:t>
      </w:r>
      <w:hyperlink r:id="rId37" w:history="1">
        <w:r>
          <w:rPr>
            <w:rStyle w:val="Hyperlink"/>
          </w:rPr>
          <w:t>http://apps.who.int/iris/bitstream/handle/10665/42871/9241-562609.pdf;jsessionid=F7169D06EB9F8E2BB70E5BCEB6FFC3A4?sequence=1</w:t>
        </w:r>
      </w:hyperlink>
      <w:r>
        <w:t>&gt;.</w:t>
      </w:r>
    </w:p>
  </w:endnote>
  <w:endnote w:id="57">
    <w:p w14:paraId="2FE14194" w14:textId="77777777" w:rsidR="003C7C88" w:rsidRDefault="003C7C88" w:rsidP="006D06E5">
      <w:pPr>
        <w:pStyle w:val="Footnote"/>
      </w:pPr>
      <w:r>
        <w:rPr>
          <w:rStyle w:val="EndnoteReference"/>
        </w:rPr>
        <w:endnoteRef/>
      </w:r>
      <w:r>
        <w:t xml:space="preserve">   </w:t>
      </w:r>
      <w:r w:rsidRPr="005E2426">
        <w:t xml:space="preserve">VicRoads 2016. </w:t>
      </w:r>
      <w:r w:rsidRPr="006D06E5">
        <w:rPr>
          <w:i/>
        </w:rPr>
        <w:t>2015 Victorian Road Trauma. Analysis of Fatalities and Serious Injuries</w:t>
      </w:r>
      <w:r>
        <w:t>,</w:t>
      </w:r>
      <w:r w:rsidRPr="005E2426">
        <w:t xml:space="preserve"> Melbourne, Victoria</w:t>
      </w:r>
    </w:p>
  </w:endnote>
  <w:endnote w:id="58">
    <w:p w14:paraId="6F9DA2BB" w14:textId="77777777" w:rsidR="003C7C88" w:rsidRDefault="003C7C88" w:rsidP="004929EF">
      <w:pPr>
        <w:pStyle w:val="Footnote"/>
        <w:ind w:left="255" w:hanging="255"/>
      </w:pPr>
      <w:r>
        <w:rPr>
          <w:rStyle w:val="EndnoteReference"/>
        </w:rPr>
        <w:endnoteRef/>
      </w:r>
      <w:r>
        <w:t xml:space="preserve">   </w:t>
      </w:r>
      <w:r w:rsidRPr="00D11D18">
        <w:t>OECD/ITF 2018</w:t>
      </w:r>
      <w:r>
        <w:t>,</w:t>
      </w:r>
      <w:r w:rsidRPr="00D11D18">
        <w:t xml:space="preserve"> </w:t>
      </w:r>
      <w:r w:rsidRPr="00D11D18">
        <w:rPr>
          <w:i/>
        </w:rPr>
        <w:t>Speed and Crash Risk</w:t>
      </w:r>
      <w:r w:rsidRPr="00D11D18">
        <w:t>, International Transport Forum, International Traffic Safety Data Analysi</w:t>
      </w:r>
      <w:r>
        <w:t>s Group, Research Report, &lt;</w:t>
      </w:r>
      <w:hyperlink r:id="rId38" w:history="1">
        <w:r w:rsidRPr="000E44DC">
          <w:rPr>
            <w:rStyle w:val="Hyperlink"/>
          </w:rPr>
          <w:t>https://www.itf-oecd.org/sites/default/files/docs/speed-crash-risk.pdf</w:t>
        </w:r>
      </w:hyperlink>
      <w:r>
        <w:t>&gt;.</w:t>
      </w:r>
    </w:p>
  </w:endnote>
  <w:endnote w:id="59">
    <w:p w14:paraId="0D78C338" w14:textId="77777777" w:rsidR="003C7C88" w:rsidRDefault="003C7C88" w:rsidP="004929EF">
      <w:pPr>
        <w:pStyle w:val="Footnote"/>
        <w:ind w:left="255" w:hanging="255"/>
      </w:pPr>
      <w:r>
        <w:rPr>
          <w:rStyle w:val="EndnoteReference"/>
        </w:rPr>
        <w:endnoteRef/>
      </w:r>
      <w:r>
        <w:t xml:space="preserve">   Kloeden CN, McLean AJ, Moore VM, Ponte G 1997, </w:t>
      </w:r>
      <w:r w:rsidRPr="00591713">
        <w:rPr>
          <w:i/>
        </w:rPr>
        <w:t>Travelling Speed and the Risk of Crash Involvement. Volume 1 – Findings</w:t>
      </w:r>
      <w:r>
        <w:rPr>
          <w:i/>
        </w:rPr>
        <w:t>,</w:t>
      </w:r>
      <w:r>
        <w:t xml:space="preserve"> NHMRC Road Accident Research Unit, The University of Adelaide &lt;</w:t>
      </w:r>
      <w:hyperlink r:id="rId39" w:history="1">
        <w:r w:rsidRPr="000E44DC">
          <w:rPr>
            <w:rStyle w:val="Hyperlink"/>
          </w:rPr>
          <w:t>https://infrastructure.gov.au/roads/safety/publications/1997/pdf/Speed_Risk_1.pdf</w:t>
        </w:r>
      </w:hyperlink>
      <w:r>
        <w:t>&gt;.</w:t>
      </w:r>
    </w:p>
  </w:endnote>
  <w:endnote w:id="60">
    <w:p w14:paraId="6CE5E261" w14:textId="77777777" w:rsidR="003C7C88" w:rsidRDefault="003C7C88" w:rsidP="004929EF">
      <w:pPr>
        <w:pStyle w:val="Footnote"/>
        <w:ind w:left="255" w:hanging="255"/>
      </w:pPr>
      <w:r>
        <w:rPr>
          <w:rStyle w:val="EndnoteReference"/>
        </w:rPr>
        <w:endnoteRef/>
      </w:r>
      <w:r>
        <w:t xml:space="preserve">   Transport Accident Commission 2018, </w:t>
      </w:r>
      <w:r w:rsidRPr="00FD777D">
        <w:t>Fatigue statistics</w:t>
      </w:r>
      <w:r>
        <w:t>, &lt;</w:t>
      </w:r>
      <w:hyperlink r:id="rId40" w:history="1">
        <w:r w:rsidRPr="00B90382">
          <w:rPr>
            <w:rStyle w:val="Hyperlink"/>
          </w:rPr>
          <w:t>http://www.tac.vic.gov.au/road-safety/statistics/summaries/fatigue-statistics</w:t>
        </w:r>
      </w:hyperlink>
      <w:r>
        <w:t>&gt;.</w:t>
      </w:r>
    </w:p>
  </w:endnote>
  <w:endnote w:id="61">
    <w:p w14:paraId="4A2A956E" w14:textId="77777777" w:rsidR="003C7C88" w:rsidRDefault="003C7C88" w:rsidP="004929EF">
      <w:pPr>
        <w:pStyle w:val="Footnote"/>
        <w:ind w:left="255" w:hanging="255"/>
      </w:pPr>
      <w:r>
        <w:rPr>
          <w:rStyle w:val="EndnoteReference"/>
        </w:rPr>
        <w:endnoteRef/>
      </w:r>
      <w:r>
        <w:t xml:space="preserve">   </w:t>
      </w:r>
      <w:r w:rsidRPr="00C0593B">
        <w:t>Aus</w:t>
      </w:r>
      <w:r>
        <w:t>tralian Transport Safety Bureau 2004,</w:t>
      </w:r>
      <w:r w:rsidRPr="00C0593B">
        <w:t xml:space="preserve"> </w:t>
      </w:r>
      <w:r w:rsidRPr="00A737E4">
        <w:rPr>
          <w:i/>
        </w:rPr>
        <w:t>Road Safety in Australia: A Publication Commemorating World Health Day 2004</w:t>
      </w:r>
      <w:r>
        <w:t>, Canberra, &lt;</w:t>
      </w:r>
      <w:hyperlink r:id="rId41" w:history="1">
        <w:r w:rsidRPr="00A25A31">
          <w:rPr>
            <w:rStyle w:val="Hyperlink"/>
          </w:rPr>
          <w:t>https://infrastructure.gov.au/roads/safety/publications/2004/pdf/Safety_Aust.pdf</w:t>
        </w:r>
      </w:hyperlink>
      <w:r>
        <w:t>&gt;.</w:t>
      </w:r>
    </w:p>
  </w:endnote>
  <w:endnote w:id="62">
    <w:p w14:paraId="5EB36FE8" w14:textId="77777777" w:rsidR="003C7C88" w:rsidRDefault="003C7C88" w:rsidP="004929EF">
      <w:pPr>
        <w:pStyle w:val="Footnote"/>
        <w:ind w:left="255" w:hanging="255"/>
      </w:pPr>
      <w:r>
        <w:rPr>
          <w:rStyle w:val="EndnoteReference"/>
        </w:rPr>
        <w:endnoteRef/>
      </w:r>
      <w:r>
        <w:t xml:space="preserve">   Legislative Assembly of Queensland: Parliamentary Travelsafe Committee 2005, </w:t>
      </w:r>
      <w:r w:rsidRPr="00FE5969">
        <w:rPr>
          <w:i/>
        </w:rPr>
        <w:t>Driving on empty: Fatigue driving in Queensland</w:t>
      </w:r>
      <w:r>
        <w:t>, Report No. 43, Brisbane, &lt;</w:t>
      </w:r>
      <w:hyperlink r:id="rId42" w:history="1">
        <w:r w:rsidRPr="00A25A31">
          <w:rPr>
            <w:rStyle w:val="Hyperlink"/>
          </w:rPr>
          <w:t>http://www.parliament.qld.gov.au/documents/committees/TSAFE/2004/fatigue-crashes/fatigue-report.pdf</w:t>
        </w:r>
      </w:hyperlink>
      <w:r>
        <w:t>&gt;.</w:t>
      </w:r>
    </w:p>
  </w:endnote>
  <w:endnote w:id="63">
    <w:p w14:paraId="24D8F40B" w14:textId="77777777" w:rsidR="003C7C88" w:rsidRDefault="003C7C88" w:rsidP="004929EF">
      <w:pPr>
        <w:pStyle w:val="Footnote"/>
        <w:ind w:left="255" w:hanging="255"/>
      </w:pPr>
      <w:r>
        <w:rPr>
          <w:rStyle w:val="EndnoteReference"/>
        </w:rPr>
        <w:endnoteRef/>
      </w:r>
      <w:r>
        <w:t xml:space="preserve">   Transport Accident Commission 2018, </w:t>
      </w:r>
      <w:r w:rsidRPr="00F4115C">
        <w:rPr>
          <w:i/>
        </w:rPr>
        <w:t>Fatigue statistics</w:t>
      </w:r>
      <w:r>
        <w:t>, &lt;</w:t>
      </w:r>
      <w:hyperlink r:id="rId43" w:history="1">
        <w:r w:rsidRPr="00B90382">
          <w:rPr>
            <w:rStyle w:val="Hyperlink"/>
          </w:rPr>
          <w:t>http://www.tac.vic.gov.au/road-safety/statistics/summaries/fatigue-statistics</w:t>
        </w:r>
      </w:hyperlink>
      <w:r>
        <w:t>&gt;.</w:t>
      </w:r>
    </w:p>
  </w:endnote>
  <w:endnote w:id="64">
    <w:p w14:paraId="32171EE4" w14:textId="77777777" w:rsidR="003C7C88" w:rsidRDefault="003C7C88" w:rsidP="004929EF">
      <w:pPr>
        <w:pStyle w:val="Footnote"/>
        <w:ind w:left="255" w:hanging="255"/>
      </w:pPr>
      <w:r>
        <w:rPr>
          <w:rStyle w:val="EndnoteReference"/>
        </w:rPr>
        <w:endnoteRef/>
      </w:r>
      <w:r>
        <w:t xml:space="preserve">   </w:t>
      </w:r>
      <w:r w:rsidRPr="006E5BD0">
        <w:t xml:space="preserve">Hurst PM, Harte D, </w:t>
      </w:r>
      <w:r>
        <w:t xml:space="preserve">&amp; </w:t>
      </w:r>
      <w:r w:rsidRPr="006E5BD0">
        <w:t>Frith WJ</w:t>
      </w:r>
      <w:r>
        <w:t xml:space="preserve"> 1994, ‘</w:t>
      </w:r>
      <w:r w:rsidRPr="00FF5375">
        <w:t>The Grand Rapids dip revisited</w:t>
      </w:r>
      <w:r>
        <w:t>’,</w:t>
      </w:r>
      <w:r w:rsidRPr="00FF5375">
        <w:t xml:space="preserve"> </w:t>
      </w:r>
      <w:r w:rsidRPr="006D1A7E">
        <w:rPr>
          <w:i/>
        </w:rPr>
        <w:t>Accident Analysis and Prevention</w:t>
      </w:r>
      <w:r w:rsidRPr="006E5BD0">
        <w:t>, 26:647–654</w:t>
      </w:r>
      <w:r>
        <w:t xml:space="preserve">; </w:t>
      </w:r>
      <w:r w:rsidRPr="006E5BD0">
        <w:t>Compton RP</w:t>
      </w:r>
      <w:r>
        <w:t>, Blomberg RD, Moskowitz H, Burns M, Peck RC &amp; Fiorentino D 2002,</w:t>
      </w:r>
      <w:r w:rsidRPr="006E5BD0">
        <w:t xml:space="preserve"> </w:t>
      </w:r>
      <w:r w:rsidRPr="00397CC8">
        <w:t>‘Crash risk of alcohol impaired driving’ in</w:t>
      </w:r>
      <w:r w:rsidRPr="006E5BD0">
        <w:t xml:space="preserve"> Mayhew DR, Dussault C, </w:t>
      </w:r>
      <w:r>
        <w:t>(</w:t>
      </w:r>
      <w:r w:rsidRPr="006E5BD0">
        <w:t>eds</w:t>
      </w:r>
      <w:r>
        <w:t>),</w:t>
      </w:r>
      <w:r w:rsidRPr="006E5BD0">
        <w:t xml:space="preserve"> </w:t>
      </w:r>
      <w:r w:rsidRPr="00397CC8">
        <w:rPr>
          <w:i/>
        </w:rPr>
        <w:t>Proceedings of the 16th International Conference on Alcohol, Drugs and Traffic Safety</w:t>
      </w:r>
      <w:r>
        <w:t>, Montreal, August 2002,</w:t>
      </w:r>
      <w:r w:rsidRPr="006E5BD0">
        <w:t xml:space="preserve"> Société de l’assurance automobile du Québec, 2002:39–44</w:t>
      </w:r>
      <w:r>
        <w:t>, &lt;</w:t>
      </w:r>
      <w:hyperlink r:id="rId44" w:history="1">
        <w:r w:rsidRPr="00A25A31">
          <w:rPr>
            <w:rStyle w:val="Hyperlink"/>
          </w:rPr>
          <w:t>http://www.icadtsinternational.com/files/documents/2002_048.pdf</w:t>
        </w:r>
      </w:hyperlink>
      <w:r>
        <w:t>&gt;.</w:t>
      </w:r>
    </w:p>
  </w:endnote>
  <w:endnote w:id="65">
    <w:p w14:paraId="3C08E2F3" w14:textId="77777777" w:rsidR="003C7C88" w:rsidRDefault="003C7C88" w:rsidP="004929EF">
      <w:pPr>
        <w:pStyle w:val="Footnote"/>
        <w:ind w:left="255" w:hanging="255"/>
      </w:pPr>
      <w:r>
        <w:rPr>
          <w:rStyle w:val="EndnoteReference"/>
        </w:rPr>
        <w:endnoteRef/>
      </w:r>
      <w:r>
        <w:t xml:space="preserve">   </w:t>
      </w:r>
      <w:r w:rsidRPr="00555CC6">
        <w:rPr>
          <w:rStyle w:val="FootnoteChar"/>
        </w:rPr>
        <w:t>Transport Accident Commission</w:t>
      </w:r>
      <w:r>
        <w:rPr>
          <w:rStyle w:val="FootnoteChar"/>
        </w:rPr>
        <w:t xml:space="preserve"> 2018</w:t>
      </w:r>
      <w:r w:rsidRPr="00555CC6">
        <w:rPr>
          <w:rStyle w:val="FootnoteChar"/>
        </w:rPr>
        <w:t>,</w:t>
      </w:r>
      <w:r>
        <w:rPr>
          <w:rStyle w:val="FootnoteChar"/>
        </w:rPr>
        <w:t xml:space="preserve"> </w:t>
      </w:r>
      <w:r w:rsidRPr="00F4115C">
        <w:rPr>
          <w:rStyle w:val="FootnoteChar"/>
          <w:i/>
        </w:rPr>
        <w:t>Drink driving</w:t>
      </w:r>
      <w:r>
        <w:rPr>
          <w:rStyle w:val="FootnoteChar"/>
        </w:rPr>
        <w:t>,</w:t>
      </w:r>
      <w:r w:rsidRPr="00DC66A1">
        <w:rPr>
          <w:rStyle w:val="FootnoteChar"/>
        </w:rPr>
        <w:t xml:space="preserve"> </w:t>
      </w:r>
      <w:r>
        <w:rPr>
          <w:rStyle w:val="FootnoteChar"/>
        </w:rPr>
        <w:t>&lt;</w:t>
      </w:r>
      <w:hyperlink r:id="rId45" w:history="1">
        <w:r w:rsidRPr="000E44DC">
          <w:rPr>
            <w:rStyle w:val="Hyperlink"/>
          </w:rPr>
          <w:t>https://www.tac.vic.gov.au/road-safety/tac-campaigns/drink-driving</w:t>
        </w:r>
      </w:hyperlink>
      <w:r>
        <w:rPr>
          <w:rStyle w:val="FootnoteChar"/>
        </w:rPr>
        <w:t>&gt;.</w:t>
      </w:r>
    </w:p>
  </w:endnote>
  <w:endnote w:id="66">
    <w:p w14:paraId="3BF7611D" w14:textId="77777777" w:rsidR="003C7C88" w:rsidRDefault="003C7C88" w:rsidP="004929EF">
      <w:pPr>
        <w:pStyle w:val="Footnote"/>
        <w:ind w:left="255" w:hanging="255"/>
      </w:pPr>
      <w:r>
        <w:rPr>
          <w:rStyle w:val="EndnoteReference"/>
        </w:rPr>
        <w:endnoteRef/>
      </w:r>
      <w:r>
        <w:t xml:space="preserve">   </w:t>
      </w:r>
      <w:r w:rsidRPr="00F63569">
        <w:t>Coroners Prevention Unit</w:t>
      </w:r>
      <w:r>
        <w:t xml:space="preserve"> 2013</w:t>
      </w:r>
      <w:r w:rsidRPr="00F63569">
        <w:t xml:space="preserve">, </w:t>
      </w:r>
      <w:r w:rsidRPr="00C25509">
        <w:rPr>
          <w:i/>
        </w:rPr>
        <w:t>Presence of alcohol and drugs amongst deaths from on-road transport crashes in Victoria 2008–2011</w:t>
      </w:r>
      <w:r>
        <w:t>,</w:t>
      </w:r>
      <w:r w:rsidRPr="00F63569">
        <w:t xml:space="preserve"> Coroners Court of Victoria</w:t>
      </w:r>
      <w:r>
        <w:t>, cited in Watson A, Imberger K, Cavallo A, Healy D, Freeman J, Filtness A, Wilson H &amp; Catchpole J 2015, ‘</w:t>
      </w:r>
      <w:r w:rsidRPr="000C74AC">
        <w:t>The impact of safety measures on the re-offence and crash rates of drink-driving offenders in Victoria</w:t>
      </w:r>
      <w:r>
        <w:t xml:space="preserve">’, </w:t>
      </w:r>
      <w:r w:rsidRPr="000C74AC">
        <w:rPr>
          <w:i/>
        </w:rPr>
        <w:t>Proceedings of the 2015 Australasian Road Safety Conference</w:t>
      </w:r>
      <w:r>
        <w:t>, 14-</w:t>
      </w:r>
      <w:r w:rsidRPr="000C74AC">
        <w:t>16 October, Gold Coast, Australia</w:t>
      </w:r>
      <w:r>
        <w:t>.</w:t>
      </w:r>
    </w:p>
  </w:endnote>
  <w:endnote w:id="67">
    <w:p w14:paraId="1C557166" w14:textId="77777777" w:rsidR="003C7C88" w:rsidRDefault="003C7C88" w:rsidP="004929EF">
      <w:pPr>
        <w:pStyle w:val="Footnote"/>
        <w:ind w:left="255" w:hanging="255"/>
      </w:pPr>
      <w:r>
        <w:rPr>
          <w:rStyle w:val="EndnoteReference"/>
        </w:rPr>
        <w:endnoteRef/>
      </w:r>
      <w:r>
        <w:t xml:space="preserve">   </w:t>
      </w:r>
      <w:r w:rsidRPr="00F72338">
        <w:t>Compton RP &amp; Bernin</w:t>
      </w:r>
      <w:r>
        <w:t>g A 2015,</w:t>
      </w:r>
      <w:r w:rsidRPr="00F72338">
        <w:t xml:space="preserve"> </w:t>
      </w:r>
      <w:r w:rsidRPr="00F72338">
        <w:rPr>
          <w:i/>
        </w:rPr>
        <w:t>Drug and alcohol crash risk</w:t>
      </w:r>
      <w:r>
        <w:t xml:space="preserve">, </w:t>
      </w:r>
      <w:r w:rsidRPr="00F72338">
        <w:t>Traffic Safety Facts Research Note</w:t>
      </w:r>
      <w:r>
        <w:t>, DOT HS 812 117,</w:t>
      </w:r>
      <w:r w:rsidRPr="00F72338">
        <w:t xml:space="preserve"> Washington, DC: National Highway Traffic Safety Administration</w:t>
      </w:r>
      <w:r>
        <w:t>, &lt;</w:t>
      </w:r>
      <w:hyperlink r:id="rId46" w:history="1">
        <w:r w:rsidRPr="000E44DC">
          <w:rPr>
            <w:rStyle w:val="Hyperlink"/>
          </w:rPr>
          <w:t>http://www.trb.org/Main/Blurbs/172120.aspx</w:t>
        </w:r>
      </w:hyperlink>
      <w:r>
        <w:t>&gt;.</w:t>
      </w:r>
    </w:p>
  </w:endnote>
  <w:endnote w:id="68">
    <w:p w14:paraId="14EC240F" w14:textId="77777777" w:rsidR="003C7C88" w:rsidRDefault="003C7C88" w:rsidP="004929EF">
      <w:pPr>
        <w:pStyle w:val="Footnote"/>
        <w:ind w:left="255" w:hanging="255"/>
      </w:pPr>
      <w:r>
        <w:rPr>
          <w:rStyle w:val="EndnoteReference"/>
        </w:rPr>
        <w:endnoteRef/>
      </w:r>
      <w:r>
        <w:t xml:space="preserve">   </w:t>
      </w:r>
      <w:r w:rsidRPr="00555CC6">
        <w:rPr>
          <w:rStyle w:val="FootnoteChar"/>
        </w:rPr>
        <w:t>Transport Accident Commission</w:t>
      </w:r>
      <w:r>
        <w:rPr>
          <w:rStyle w:val="FootnoteChar"/>
        </w:rPr>
        <w:t xml:space="preserve"> 2018, </w:t>
      </w:r>
      <w:r w:rsidRPr="00F4115C">
        <w:rPr>
          <w:rStyle w:val="FootnoteChar"/>
          <w:i/>
        </w:rPr>
        <w:t>Drug Driving</w:t>
      </w:r>
      <w:r>
        <w:rPr>
          <w:rStyle w:val="FootnoteChar"/>
        </w:rPr>
        <w:t>,</w:t>
      </w:r>
      <w:r>
        <w:t xml:space="preserve"> </w:t>
      </w:r>
      <w:r>
        <w:rPr>
          <w:rStyle w:val="FootnoteChar"/>
        </w:rPr>
        <w:t>&lt;</w:t>
      </w:r>
      <w:hyperlink r:id="rId47" w:history="1">
        <w:r w:rsidRPr="00B54608">
          <w:rPr>
            <w:rStyle w:val="Hyperlink"/>
          </w:rPr>
          <w:t>https://www.tac.vic.gov.au/road-safety/tac-campaigns/drug-driving</w:t>
        </w:r>
      </w:hyperlink>
      <w:r>
        <w:t>&gt;.</w:t>
      </w:r>
    </w:p>
  </w:endnote>
  <w:endnote w:id="69">
    <w:p w14:paraId="42300A4C" w14:textId="77777777" w:rsidR="003C7C88" w:rsidRDefault="003C7C88" w:rsidP="004929EF">
      <w:pPr>
        <w:pStyle w:val="Footnote"/>
        <w:ind w:left="255" w:hanging="255"/>
      </w:pPr>
      <w:r>
        <w:rPr>
          <w:rStyle w:val="EndnoteReference"/>
        </w:rPr>
        <w:endnoteRef/>
      </w:r>
      <w:r>
        <w:t xml:space="preserve">   ABC News, </w:t>
      </w:r>
      <w:r w:rsidRPr="00196702">
        <w:rPr>
          <w:i/>
        </w:rPr>
        <w:t>Drugs causing as many road deaths, injuries as alcohol in Victoria, police figures reveal</w:t>
      </w:r>
      <w:r>
        <w:t>, 7 January 2016, &lt;</w:t>
      </w:r>
      <w:hyperlink r:id="rId48" w:history="1">
        <w:r w:rsidRPr="00A42A08">
          <w:rPr>
            <w:rStyle w:val="Hyperlink"/>
          </w:rPr>
          <w:t>http://www.abc.net.au/news/2016-01-07/drugged-driving-on-par-with-alcohol-for-road-deaths/7072648</w:t>
        </w:r>
      </w:hyperlink>
      <w:r>
        <w:t>&gt;.</w:t>
      </w:r>
    </w:p>
  </w:endnote>
  <w:endnote w:id="70">
    <w:p w14:paraId="4807DDF3" w14:textId="77777777" w:rsidR="003C7C88" w:rsidRDefault="003C7C88" w:rsidP="004929EF">
      <w:pPr>
        <w:pStyle w:val="Footnote"/>
        <w:ind w:left="255" w:hanging="255"/>
      </w:pPr>
      <w:r>
        <w:rPr>
          <w:rStyle w:val="EndnoteReference"/>
        </w:rPr>
        <w:endnoteRef/>
      </w:r>
      <w:r>
        <w:t xml:space="preserve">   </w:t>
      </w:r>
      <w:r w:rsidRPr="005546CD">
        <w:t>Victoria Police</w:t>
      </w:r>
      <w:r>
        <w:t xml:space="preserve"> 2007, </w:t>
      </w:r>
      <w:r w:rsidRPr="000B485B">
        <w:rPr>
          <w:i/>
        </w:rPr>
        <w:t>Drug Driving in Victoria</w:t>
      </w:r>
      <w:r>
        <w:t xml:space="preserve">, </w:t>
      </w:r>
      <w:r w:rsidRPr="005546CD">
        <w:t xml:space="preserve">Submission to the Federal Parliamentary Inquiry into the </w:t>
      </w:r>
      <w:r w:rsidRPr="009F124D">
        <w:t>effect</w:t>
      </w:r>
      <w:r w:rsidRPr="005546CD">
        <w:t xml:space="preserve"> of illicit drugs on families</w:t>
      </w:r>
      <w:r>
        <w:t xml:space="preserve">, &lt; </w:t>
      </w:r>
      <w:hyperlink r:id="rId49" w:history="1">
        <w:r w:rsidRPr="00A45865">
          <w:rPr>
            <w:rStyle w:val="Hyperlink"/>
          </w:rPr>
          <w:t>http://www.aphref.aph.gov.au/house/committee/fhs/illicitdrugs/subs/sub175.pdf</w:t>
        </w:r>
      </w:hyperlink>
      <w:r>
        <w:t>&gt;.</w:t>
      </w:r>
    </w:p>
  </w:endnote>
  <w:endnote w:id="71">
    <w:p w14:paraId="70DA9308" w14:textId="77777777" w:rsidR="003C7C88" w:rsidRDefault="003C7C88" w:rsidP="004929EF">
      <w:pPr>
        <w:pStyle w:val="Footnote"/>
        <w:ind w:left="255" w:hanging="255"/>
      </w:pPr>
      <w:r>
        <w:rPr>
          <w:rStyle w:val="EndnoteReference"/>
        </w:rPr>
        <w:endnoteRef/>
      </w:r>
      <w:r>
        <w:t xml:space="preserve">   Queensland Department of Transport and Main Roads, figures based on the crashes validated in the Queensland Road Crash Information System from 1 January 2007 –to 31 December 2011. Report reference number: rqC19729. Data extracted 23/02/2015.</w:t>
      </w:r>
    </w:p>
  </w:endnote>
  <w:endnote w:id="72">
    <w:p w14:paraId="0C479F5B" w14:textId="77777777" w:rsidR="003C7C88" w:rsidRDefault="003C7C88" w:rsidP="004929EF">
      <w:pPr>
        <w:pStyle w:val="Footnote"/>
        <w:ind w:left="255" w:hanging="255"/>
      </w:pPr>
      <w:r>
        <w:rPr>
          <w:rStyle w:val="EndnoteReference"/>
        </w:rPr>
        <w:endnoteRef/>
      </w:r>
      <w:r>
        <w:t xml:space="preserve">   CARRS-Q Seat Belt fact sheet 2016, Queensland University of Technology, October 2016, p1, &lt;</w:t>
      </w:r>
      <w:hyperlink r:id="rId50" w:history="1">
        <w:r w:rsidRPr="00434E52">
          <w:rPr>
            <w:rStyle w:val="Hyperlink"/>
          </w:rPr>
          <w:t>https://research.qut.edu.au/carrsq/wp-content/uploads/sites/45/2017/04/Seat-belts-screen.pdf</w:t>
        </w:r>
      </w:hyperlink>
      <w:r>
        <w:t>&gt;.</w:t>
      </w:r>
    </w:p>
  </w:endnote>
  <w:endnote w:id="73">
    <w:p w14:paraId="32B92CDE" w14:textId="77777777" w:rsidR="003C7C88" w:rsidRDefault="003C7C88" w:rsidP="004929EF">
      <w:pPr>
        <w:pStyle w:val="Footnote"/>
        <w:ind w:left="255" w:hanging="255"/>
      </w:pPr>
      <w:r>
        <w:rPr>
          <w:rStyle w:val="EndnoteReference"/>
        </w:rPr>
        <w:endnoteRef/>
      </w:r>
      <w:r>
        <w:t xml:space="preserve">   Transport Accident Commission, </w:t>
      </w:r>
      <w:r w:rsidRPr="00F4115C">
        <w:rPr>
          <w:i/>
        </w:rPr>
        <w:t>Seat Belt Statistics 2018</w:t>
      </w:r>
      <w:r>
        <w:t>, &lt;</w:t>
      </w:r>
      <w:hyperlink r:id="rId51" w:history="1">
        <w:r w:rsidRPr="003E515B">
          <w:rPr>
            <w:rStyle w:val="Hyperlink"/>
          </w:rPr>
          <w:t>http://www.tac.vic.gov.au/road-safety/statistics/summaries/</w:t>
        </w:r>
        <w:r>
          <w:rPr>
            <w:rStyle w:val="Hyperlink"/>
          </w:rPr>
          <w:t>seat belt</w:t>
        </w:r>
        <w:r w:rsidRPr="003E515B">
          <w:rPr>
            <w:rStyle w:val="Hyperlink"/>
          </w:rPr>
          <w:t>-statistics</w:t>
        </w:r>
      </w:hyperlink>
      <w:r>
        <w:t>&gt;.</w:t>
      </w:r>
    </w:p>
  </w:endnote>
  <w:endnote w:id="74">
    <w:p w14:paraId="04FB0D14" w14:textId="77777777" w:rsidR="003C7C88" w:rsidRDefault="003C7C88" w:rsidP="004929EF">
      <w:pPr>
        <w:pStyle w:val="Footnote"/>
        <w:ind w:left="255" w:hanging="255"/>
      </w:pPr>
      <w:r>
        <w:rPr>
          <w:rStyle w:val="EndnoteReference"/>
        </w:rPr>
        <w:endnoteRef/>
      </w:r>
      <w:r>
        <w:t xml:space="preserve">   Road Safety Observatory 2013, </w:t>
      </w:r>
      <w:r w:rsidRPr="00F4115C">
        <w:rPr>
          <w:i/>
        </w:rPr>
        <w:t>Seat Belts</w:t>
      </w:r>
      <w:r>
        <w:t>, UK, &lt;</w:t>
      </w:r>
      <w:hyperlink r:id="rId52" w:history="1">
        <w:r w:rsidRPr="00434E52">
          <w:rPr>
            <w:rStyle w:val="Hyperlink"/>
          </w:rPr>
          <w:t>http://www.roadsafetyobservatory.com/KeyFacts/vehicles/seat-belts</w:t>
        </w:r>
      </w:hyperlink>
      <w:r>
        <w:t>&gt;.</w:t>
      </w:r>
    </w:p>
  </w:endnote>
  <w:endnote w:id="75">
    <w:p w14:paraId="2E31763C" w14:textId="77777777" w:rsidR="003C7C88" w:rsidRDefault="003C7C88" w:rsidP="004929EF">
      <w:pPr>
        <w:pStyle w:val="Footnote"/>
        <w:ind w:left="255" w:hanging="255"/>
      </w:pPr>
      <w:r>
        <w:rPr>
          <w:rStyle w:val="EndnoteReference"/>
        </w:rPr>
        <w:endnoteRef/>
      </w:r>
      <w:r>
        <w:t xml:space="preserve">   </w:t>
      </w:r>
      <w:r w:rsidRPr="00945690">
        <w:t>W</w:t>
      </w:r>
      <w:r>
        <w:t xml:space="preserve">orld </w:t>
      </w:r>
      <w:r w:rsidRPr="00945690">
        <w:t>H</w:t>
      </w:r>
      <w:r>
        <w:t xml:space="preserve">ealth </w:t>
      </w:r>
      <w:r w:rsidRPr="00945690">
        <w:t>O</w:t>
      </w:r>
      <w:r>
        <w:t xml:space="preserve">rganisation </w:t>
      </w:r>
      <w:r w:rsidRPr="00945690">
        <w:t xml:space="preserve">2011. </w:t>
      </w:r>
      <w:r w:rsidRPr="008D045C">
        <w:rPr>
          <w:i/>
        </w:rPr>
        <w:t>Mobile phone use: A growing problem of driver distraction</w:t>
      </w:r>
      <w:r w:rsidRPr="00945690">
        <w:t>. Geneva, Switzerland</w:t>
      </w:r>
      <w:r>
        <w:t>, &lt;</w:t>
      </w:r>
      <w:hyperlink r:id="rId53" w:history="1">
        <w:r w:rsidRPr="00877477">
          <w:rPr>
            <w:rStyle w:val="Hyperlink"/>
          </w:rPr>
          <w:t>http://www.who.int/violence_injury_prevention/publications/road_traffic/distracted_driving_en.pdf?ua=1</w:t>
        </w:r>
      </w:hyperlink>
      <w:r>
        <w:t>&gt;.</w:t>
      </w:r>
    </w:p>
  </w:endnote>
  <w:endnote w:id="76">
    <w:p w14:paraId="3A919797" w14:textId="77777777" w:rsidR="003C7C88" w:rsidRDefault="003C7C88" w:rsidP="004929EF">
      <w:pPr>
        <w:pStyle w:val="Footnote"/>
        <w:ind w:left="255" w:hanging="255"/>
      </w:pPr>
      <w:r>
        <w:rPr>
          <w:rStyle w:val="EndnoteReference"/>
        </w:rPr>
        <w:endnoteRef/>
      </w:r>
      <w:r>
        <w:t xml:space="preserve">   Regan M 2007, ‘Driver distraction: Reflections on the past, present and future’, in Faulks IJ et al, eds. </w:t>
      </w:r>
      <w:r w:rsidRPr="008D045C">
        <w:rPr>
          <w:i/>
        </w:rPr>
        <w:t>Distracted driving</w:t>
      </w:r>
      <w:r>
        <w:t>, Sydney, Australasian College of Road Safety, 2007, 29–73.</w:t>
      </w:r>
    </w:p>
  </w:endnote>
  <w:endnote w:id="77">
    <w:p w14:paraId="7E7153BE" w14:textId="77777777" w:rsidR="003C7C88" w:rsidRDefault="003C7C88" w:rsidP="004929EF">
      <w:pPr>
        <w:pStyle w:val="Footnote"/>
        <w:ind w:left="255" w:hanging="255"/>
      </w:pPr>
      <w:r>
        <w:rPr>
          <w:rStyle w:val="EndnoteReference"/>
        </w:rPr>
        <w:endnoteRef/>
      </w:r>
      <w:r>
        <w:t xml:space="preserve">   </w:t>
      </w:r>
      <w:r w:rsidRPr="00AB62A0">
        <w:t xml:space="preserve">Beanland V, Fitzharris M, Young KL </w:t>
      </w:r>
      <w:r>
        <w:t>&amp;</w:t>
      </w:r>
      <w:r w:rsidRPr="00AB62A0">
        <w:t xml:space="preserve"> Lenne MG</w:t>
      </w:r>
      <w:r>
        <w:t>,</w:t>
      </w:r>
      <w:r w:rsidRPr="00AB62A0">
        <w:t xml:space="preserve"> 2013, ‘Driver inattention and driver distraction in serious casualty crashes: Data from the Australian National Crash In-depth Study’, </w:t>
      </w:r>
      <w:r w:rsidRPr="003229C0">
        <w:rPr>
          <w:i/>
        </w:rPr>
        <w:t xml:space="preserve">Accident Analysis </w:t>
      </w:r>
      <w:r>
        <w:rPr>
          <w:i/>
        </w:rPr>
        <w:t>and</w:t>
      </w:r>
      <w:r w:rsidRPr="003229C0">
        <w:rPr>
          <w:i/>
        </w:rPr>
        <w:t xml:space="preserve"> Prevention</w:t>
      </w:r>
      <w:r w:rsidRPr="00AB62A0">
        <w:t>, vol. 54, pp. 99-107.</w:t>
      </w:r>
    </w:p>
  </w:endnote>
  <w:endnote w:id="78">
    <w:p w14:paraId="5CA6A2B2" w14:textId="77777777" w:rsidR="003C7C88" w:rsidRDefault="003C7C88" w:rsidP="004929EF">
      <w:pPr>
        <w:pStyle w:val="Footnote"/>
        <w:ind w:left="255" w:hanging="255"/>
      </w:pPr>
      <w:r>
        <w:rPr>
          <w:rStyle w:val="EndnoteReference"/>
        </w:rPr>
        <w:endnoteRef/>
      </w:r>
      <w:r>
        <w:t xml:space="preserve">   </w:t>
      </w:r>
      <w:r w:rsidRPr="00ED50D2">
        <w:t xml:space="preserve">Dingus TA, Guo F, Lee S, Antin JF, Perez M, Buchanan-King M </w:t>
      </w:r>
      <w:r>
        <w:t>&amp;</w:t>
      </w:r>
      <w:r w:rsidRPr="00ED50D2">
        <w:t xml:space="preserve"> Hankey J 2016, ‘Driver crash risk factors and prevalence evaluation using naturalistic driving data’, </w:t>
      </w:r>
      <w:r w:rsidRPr="00DF595D">
        <w:rPr>
          <w:i/>
        </w:rPr>
        <w:t>Proceedings of the National Academy of Sciences of the United States of America</w:t>
      </w:r>
      <w:r w:rsidRPr="00ED50D2">
        <w:t>, vol. 113, no. 10, pp.2636-41.</w:t>
      </w:r>
    </w:p>
  </w:endnote>
  <w:endnote w:id="79">
    <w:p w14:paraId="7FBC7E79" w14:textId="77777777" w:rsidR="003C7C88" w:rsidRDefault="003C7C88" w:rsidP="004929EF">
      <w:pPr>
        <w:pStyle w:val="Footnote"/>
        <w:ind w:left="255" w:hanging="255"/>
      </w:pPr>
      <w:r>
        <w:rPr>
          <w:rStyle w:val="EndnoteReference"/>
        </w:rPr>
        <w:endnoteRef/>
      </w:r>
      <w:r>
        <w:t xml:space="preserve">   </w:t>
      </w:r>
      <w:r w:rsidRPr="00ED5B41">
        <w:t>Guo F, Klauer</w:t>
      </w:r>
      <w:r>
        <w:t xml:space="preserve"> </w:t>
      </w:r>
      <w:r w:rsidRPr="00ED5B41">
        <w:t xml:space="preserve">SG, Fang Y, Hankey JM, Antin JF, Perez MA, Lee SE </w:t>
      </w:r>
      <w:r>
        <w:t>&amp;</w:t>
      </w:r>
      <w:r w:rsidRPr="00ED5B41">
        <w:t xml:space="preserve"> Dingus TA </w:t>
      </w:r>
      <w:r>
        <w:t>2017</w:t>
      </w:r>
      <w:r w:rsidRPr="00ED5B41">
        <w:t xml:space="preserve">, ‘The effects of age on crash risk associated with driver distraction’, </w:t>
      </w:r>
      <w:r w:rsidRPr="00DF595D">
        <w:rPr>
          <w:i/>
        </w:rPr>
        <w:t>International Journal of Epidemiology</w:t>
      </w:r>
      <w:r w:rsidRPr="00ED5B41">
        <w:t xml:space="preserve">, </w:t>
      </w:r>
      <w:r>
        <w:t>2017</w:t>
      </w:r>
      <w:r w:rsidRPr="00ED5B41">
        <w:t>, pp.</w:t>
      </w:r>
      <w:r w:rsidRPr="00B82787">
        <w:t xml:space="preserve"> </w:t>
      </w:r>
      <w:r>
        <w:t>258</w:t>
      </w:r>
      <w:r w:rsidRPr="00ED5B41">
        <w:t>-</w:t>
      </w:r>
      <w:r>
        <w:t>265</w:t>
      </w:r>
      <w:r w:rsidRPr="00ED5B41">
        <w:t>.</w:t>
      </w:r>
    </w:p>
  </w:endnote>
  <w:endnote w:id="80">
    <w:p w14:paraId="7D4CD2CD" w14:textId="77777777" w:rsidR="003C7C88" w:rsidRDefault="003C7C88" w:rsidP="004929EF">
      <w:pPr>
        <w:pStyle w:val="Footnote"/>
        <w:ind w:left="255" w:hanging="255"/>
      </w:pPr>
      <w:r>
        <w:rPr>
          <w:rStyle w:val="EndnoteReference"/>
        </w:rPr>
        <w:endnoteRef/>
      </w:r>
      <w:r>
        <w:t xml:space="preserve">   </w:t>
      </w:r>
      <w:r w:rsidRPr="00943877">
        <w:t xml:space="preserve">Victor T, Dozza M, Bärgman J, Boda CN, Engström J, Flannagan C, Lee JD </w:t>
      </w:r>
      <w:r>
        <w:t>&amp;</w:t>
      </w:r>
      <w:r w:rsidRPr="00943877">
        <w:t xml:space="preserve"> Markkula G</w:t>
      </w:r>
      <w:r>
        <w:t>,</w:t>
      </w:r>
      <w:r w:rsidRPr="00943877">
        <w:t xml:space="preserve"> 2015, </w:t>
      </w:r>
      <w:r w:rsidRPr="00DF595D">
        <w:rPr>
          <w:i/>
        </w:rPr>
        <w:t>Analysis of Naturalistic Driving Study Data: Safer Glances, Driver Inattention, and Crash Risk</w:t>
      </w:r>
      <w:r w:rsidRPr="00943877">
        <w:t xml:space="preserve">, The Second Strategic Highway Research Program, report S2-S08A-RW-1, Transportation Research Board, Washington, DC, </w:t>
      </w:r>
      <w:r>
        <w:t>&lt;</w:t>
      </w:r>
      <w:hyperlink r:id="rId54" w:history="1">
        <w:r w:rsidRPr="00C30ECC">
          <w:rPr>
            <w:rStyle w:val="Hyperlink"/>
          </w:rPr>
          <w:t>http://onlinepubs.trb.org/onlinepubs/shrp2/SHRP2prepubS08AReport.pdf</w:t>
        </w:r>
      </w:hyperlink>
      <w:r>
        <w:t>&gt;.</w:t>
      </w:r>
    </w:p>
  </w:endnote>
  <w:endnote w:id="81">
    <w:p w14:paraId="07400394" w14:textId="77777777" w:rsidR="003C7C88" w:rsidRDefault="003C7C88" w:rsidP="004929EF">
      <w:pPr>
        <w:pStyle w:val="Footnote"/>
        <w:ind w:left="255" w:hanging="255"/>
      </w:pPr>
      <w:r>
        <w:rPr>
          <w:rStyle w:val="EndnoteReference"/>
        </w:rPr>
        <w:endnoteRef/>
      </w:r>
      <w:r>
        <w:t xml:space="preserve">   Young KL, Osborne R, Koppel S, Charlton JL, Grzebieta R, Williamson A, Haworth N, Woolley J &amp; Senserrick T 2018, ‘What are Australian drivers doing behind the wheel? An overview of secondary task data from the Australian Naturalistic Driving Study’, </w:t>
      </w:r>
      <w:r w:rsidRPr="00F24C4C">
        <w:rPr>
          <w:i/>
        </w:rPr>
        <w:t>Journal of the Australasian College of Road Safety</w:t>
      </w:r>
      <w:r>
        <w:t>, October 2018, In Print.</w:t>
      </w:r>
    </w:p>
  </w:endnote>
  <w:endnote w:id="82">
    <w:p w14:paraId="3DD5F70B" w14:textId="77777777" w:rsidR="003C7C88" w:rsidRDefault="003C7C88" w:rsidP="004929EF">
      <w:pPr>
        <w:pStyle w:val="Footnote"/>
        <w:ind w:left="255" w:hanging="255"/>
      </w:pPr>
      <w:r>
        <w:rPr>
          <w:rStyle w:val="EndnoteReference"/>
        </w:rPr>
        <w:endnoteRef/>
      </w:r>
      <w:r>
        <w:t xml:space="preserve">   VicRoads, 2018, </w:t>
      </w:r>
      <w:r w:rsidRPr="00214DF2">
        <w:rPr>
          <w:i/>
        </w:rPr>
        <w:t>Distraction Short Fact Sheet</w:t>
      </w:r>
      <w:r>
        <w:t>, March 2018, p1</w:t>
      </w:r>
    </w:p>
  </w:endnote>
  <w:endnote w:id="83">
    <w:p w14:paraId="54733643" w14:textId="77777777" w:rsidR="003C7C88" w:rsidRDefault="003C7C88" w:rsidP="004929EF">
      <w:pPr>
        <w:pStyle w:val="Footnote"/>
        <w:ind w:left="255" w:hanging="255"/>
      </w:pPr>
      <w:r>
        <w:rPr>
          <w:rStyle w:val="EndnoteReference"/>
        </w:rPr>
        <w:endnoteRef/>
      </w:r>
      <w:r>
        <w:t xml:space="preserve">   Transport Accident Commission 2018, </w:t>
      </w:r>
      <w:r w:rsidRPr="00F4115C">
        <w:rPr>
          <w:i/>
        </w:rPr>
        <w:t>Seat Belt Statistics</w:t>
      </w:r>
      <w:r>
        <w:t>, &lt;</w:t>
      </w:r>
      <w:hyperlink r:id="rId55" w:history="1">
        <w:r w:rsidRPr="003E515B">
          <w:rPr>
            <w:rStyle w:val="Hyperlink"/>
          </w:rPr>
          <w:t>http://www.tac.vic.gov.au/road-safety/statistics/summaries/</w:t>
        </w:r>
        <w:r>
          <w:rPr>
            <w:rStyle w:val="Hyperlink"/>
          </w:rPr>
          <w:t>seat belt</w:t>
        </w:r>
        <w:r w:rsidRPr="003E515B">
          <w:rPr>
            <w:rStyle w:val="Hyperlink"/>
          </w:rPr>
          <w:t>-statistics</w:t>
        </w:r>
      </w:hyperlink>
      <w:r>
        <w:t>&gt;.</w:t>
      </w:r>
    </w:p>
  </w:endnote>
  <w:endnote w:id="84">
    <w:p w14:paraId="62F59D4D" w14:textId="77777777" w:rsidR="003C7C88" w:rsidRDefault="003C7C88" w:rsidP="004929EF">
      <w:pPr>
        <w:pStyle w:val="Footnote"/>
        <w:ind w:left="255" w:hanging="255"/>
      </w:pPr>
      <w:r>
        <w:rPr>
          <w:rStyle w:val="EndnoteReference"/>
        </w:rPr>
        <w:endnoteRef/>
      </w:r>
      <w:r>
        <w:t xml:space="preserve">   Deloitte 2015, </w:t>
      </w:r>
      <w:r w:rsidRPr="00880140">
        <w:t>Mobile Consumer Survey Report 2015</w:t>
      </w:r>
    </w:p>
  </w:endnote>
  <w:endnote w:id="85">
    <w:p w14:paraId="03A08192" w14:textId="77777777" w:rsidR="003C7C88" w:rsidRDefault="003C7C88" w:rsidP="004929EF">
      <w:pPr>
        <w:pStyle w:val="Footnote"/>
        <w:ind w:left="255" w:hanging="255"/>
      </w:pPr>
      <w:r>
        <w:rPr>
          <w:rStyle w:val="EndnoteReference"/>
        </w:rPr>
        <w:endnoteRef/>
      </w:r>
      <w:r>
        <w:t xml:space="preserve">   Deloitte 2018, </w:t>
      </w:r>
      <w:r w:rsidRPr="00BE5C2C">
        <w:rPr>
          <w:i/>
        </w:rPr>
        <w:t>Mobile Consumer Survey Report 2017 – The Australian Cut</w:t>
      </w:r>
      <w:r>
        <w:t>,</w:t>
      </w:r>
      <w:r w:rsidRPr="00BE5C2C">
        <w:t xml:space="preserve"> </w:t>
      </w:r>
      <w:r>
        <w:t>p4, &lt;</w:t>
      </w:r>
      <w:hyperlink r:id="rId56" w:history="1">
        <w:r w:rsidRPr="00C30ECC">
          <w:rPr>
            <w:rStyle w:val="Hyperlink"/>
          </w:rPr>
          <w:t>http://images.content.deloitte.com.au/Web/DELOITTEAUSTRALIA/%7B4b9662b3-d737-44fa-b5c4-babb6f673704%7D_20180822-tel-inbound-mobile-consumer-survey-2017-report.pdf</w:t>
        </w:r>
      </w:hyperlink>
      <w:r>
        <w:t>&gt;.</w:t>
      </w:r>
    </w:p>
  </w:endnote>
  <w:endnote w:id="86">
    <w:p w14:paraId="3F977569" w14:textId="77777777" w:rsidR="003C7C88" w:rsidRDefault="003C7C88" w:rsidP="004929EF">
      <w:pPr>
        <w:pStyle w:val="Footnote"/>
        <w:ind w:left="255" w:hanging="255"/>
      </w:pPr>
      <w:r>
        <w:rPr>
          <w:rStyle w:val="EndnoteReference"/>
        </w:rPr>
        <w:endnoteRef/>
      </w:r>
      <w:r>
        <w:t xml:space="preserve">   </w:t>
      </w:r>
      <w:r w:rsidRPr="00ED50D2">
        <w:t>Dingus TA, Guo F, Lee S, Antin JF</w:t>
      </w:r>
      <w:r>
        <w:t>,</w:t>
      </w:r>
      <w:r w:rsidRPr="00ED50D2">
        <w:t xml:space="preserve"> Perez M, Buchanan-King M </w:t>
      </w:r>
      <w:r>
        <w:t>&amp;</w:t>
      </w:r>
      <w:r w:rsidRPr="00ED50D2">
        <w:t xml:space="preserve"> Hankey J 2016, ‘Driver crash risk factors and prevalence evaluation using naturalistic driving data’, </w:t>
      </w:r>
      <w:r w:rsidRPr="00F123AC">
        <w:rPr>
          <w:i/>
        </w:rPr>
        <w:t>Proceedings of the National Academy of Sciences of the United States of America</w:t>
      </w:r>
      <w:r w:rsidRPr="00ED50D2">
        <w:t>, vol. 113, no. 10, pp</w:t>
      </w:r>
      <w:r>
        <w:t xml:space="preserve"> </w:t>
      </w:r>
      <w:r w:rsidRPr="00ED50D2">
        <w:t>2636-41</w:t>
      </w:r>
      <w:r>
        <w:t>, &lt;</w:t>
      </w:r>
      <w:hyperlink r:id="rId57" w:history="1">
        <w:r w:rsidRPr="00EA04CB">
          <w:rPr>
            <w:rStyle w:val="Hyperlink"/>
          </w:rPr>
          <w:t>http://www.pnas.org/content/113/10/2636.long</w:t>
        </w:r>
      </w:hyperlink>
      <w:r>
        <w:t>&gt;</w:t>
      </w:r>
      <w:r w:rsidRPr="00ED50D2">
        <w:t>.</w:t>
      </w:r>
    </w:p>
  </w:endnote>
  <w:endnote w:id="87">
    <w:p w14:paraId="30801FE7" w14:textId="77777777" w:rsidR="003C7C88" w:rsidRDefault="003C7C88" w:rsidP="004929EF">
      <w:pPr>
        <w:pStyle w:val="Footnote"/>
        <w:ind w:left="255" w:hanging="255"/>
      </w:pPr>
      <w:r>
        <w:rPr>
          <w:rStyle w:val="EndnoteReference"/>
        </w:rPr>
        <w:endnoteRef/>
      </w:r>
      <w:r>
        <w:t xml:space="preserve">   </w:t>
      </w:r>
      <w:r w:rsidRPr="00A51D83">
        <w:t xml:space="preserve">Simmons SM, Hicks A </w:t>
      </w:r>
      <w:r>
        <w:t>&amp;</w:t>
      </w:r>
      <w:r w:rsidRPr="00A51D83">
        <w:t xml:space="preserve"> Caird JK 2016, ‘Safety-critical event risk associated with cell phone tasks as measured</w:t>
      </w:r>
      <w:r>
        <w:t xml:space="preserve"> </w:t>
      </w:r>
      <w:r w:rsidRPr="00A51D83">
        <w:t xml:space="preserve">in naturalistic driving studies: A systematic review and meta-analysis’, </w:t>
      </w:r>
      <w:r w:rsidRPr="00F123AC">
        <w:rPr>
          <w:i/>
        </w:rPr>
        <w:t xml:space="preserve">Accident Analysis </w:t>
      </w:r>
      <w:r>
        <w:rPr>
          <w:i/>
        </w:rPr>
        <w:t>and</w:t>
      </w:r>
      <w:r w:rsidRPr="00F123AC">
        <w:rPr>
          <w:i/>
        </w:rPr>
        <w:t xml:space="preserve"> Prevention</w:t>
      </w:r>
      <w:r w:rsidRPr="00A51D83">
        <w:t>, vol. 87, pp. 161-69</w:t>
      </w:r>
      <w:r>
        <w:t>, &lt;</w:t>
      </w:r>
      <w:hyperlink r:id="rId58" w:history="1">
        <w:r w:rsidRPr="00EA04CB">
          <w:rPr>
            <w:rStyle w:val="Hyperlink"/>
          </w:rPr>
          <w:t>https://www.sciencedirect.com/science/article/pii/S0001457515301305?via%3Dihub</w:t>
        </w:r>
      </w:hyperlink>
      <w:r>
        <w:t>&gt;</w:t>
      </w:r>
      <w:r w:rsidRPr="00A51D83">
        <w:t>.</w:t>
      </w:r>
    </w:p>
  </w:endnote>
  <w:endnote w:id="88">
    <w:p w14:paraId="3E54A3D4" w14:textId="77777777" w:rsidR="003C7C88" w:rsidRDefault="003C7C88" w:rsidP="004929EF">
      <w:pPr>
        <w:pStyle w:val="Footnote"/>
        <w:ind w:left="255" w:hanging="255"/>
      </w:pPr>
      <w:r>
        <w:rPr>
          <w:rStyle w:val="EndnoteReference"/>
        </w:rPr>
        <w:endnoteRef/>
      </w:r>
      <w:r>
        <w:t xml:space="preserve">   </w:t>
      </w:r>
      <w:r w:rsidRPr="00B8692E">
        <w:t xml:space="preserve">Fitch GM, Hanowski RJ </w:t>
      </w:r>
      <w:r>
        <w:t>&amp;</w:t>
      </w:r>
      <w:r w:rsidRPr="00B8692E">
        <w:t xml:space="preserve"> Guo F 2015, ‘The risk of a safety-critical event associated with mobile device use in specific driving contexts’, </w:t>
      </w:r>
      <w:r w:rsidRPr="00F123AC">
        <w:rPr>
          <w:i/>
        </w:rPr>
        <w:t>Traffic Injury Prevention</w:t>
      </w:r>
      <w:r w:rsidRPr="00B8692E">
        <w:t>, vol. 16, no. 2, pp. 124-32</w:t>
      </w:r>
      <w:r>
        <w:t>, &lt;</w:t>
      </w:r>
      <w:hyperlink r:id="rId59" w:history="1">
        <w:r w:rsidRPr="00EA04CB">
          <w:rPr>
            <w:rStyle w:val="Hyperlink"/>
          </w:rPr>
          <w:t>https://www.tandfonline.com/doi/full/10.1080/15389588.2014.923566?scroll=top&amp;needAccess=true</w:t>
        </w:r>
      </w:hyperlink>
      <w:r>
        <w:t>&gt;</w:t>
      </w:r>
      <w:r w:rsidRPr="00B8692E">
        <w:t>.</w:t>
      </w:r>
    </w:p>
  </w:endnote>
  <w:endnote w:id="89">
    <w:p w14:paraId="501DDDB9" w14:textId="77777777" w:rsidR="003C7C88" w:rsidRDefault="003C7C88" w:rsidP="004929EF">
      <w:pPr>
        <w:pStyle w:val="Footnote"/>
        <w:ind w:left="255" w:hanging="255"/>
      </w:pPr>
      <w:r>
        <w:rPr>
          <w:rStyle w:val="EndnoteReference"/>
        </w:rPr>
        <w:endnoteRef/>
      </w:r>
      <w:r>
        <w:t xml:space="preserve">   Young KL, Osborne R, Koppel S, Charlton JL, Grzebieta R, Williamson A, Haworth N, Woolley J &amp; Senserrick T 2018, ‘What are Australian drivers doing behind the wheel? An overview of secondary task data from the Australian Naturalistic Driving Study’, </w:t>
      </w:r>
      <w:r w:rsidRPr="00F24C4C">
        <w:rPr>
          <w:i/>
        </w:rPr>
        <w:t>Journal of the Australasian College of Road Safety</w:t>
      </w:r>
      <w:r>
        <w:t>, October 2018, In Print.</w:t>
      </w:r>
    </w:p>
  </w:endnote>
  <w:endnote w:id="90">
    <w:p w14:paraId="24CFD6A7" w14:textId="77777777" w:rsidR="003C7C88" w:rsidRDefault="003C7C88" w:rsidP="004929EF">
      <w:pPr>
        <w:pStyle w:val="Footnote"/>
        <w:ind w:left="255" w:hanging="255"/>
      </w:pPr>
      <w:r>
        <w:rPr>
          <w:rStyle w:val="EndnoteReference"/>
        </w:rPr>
        <w:endnoteRef/>
      </w:r>
      <w:r>
        <w:t xml:space="preserve">   Transport Accident Commission 2017, </w:t>
      </w:r>
      <w:r w:rsidRPr="0087344E">
        <w:rPr>
          <w:i/>
        </w:rPr>
        <w:t>TAC Road Safety Monitor 2017</w:t>
      </w:r>
      <w:r>
        <w:t xml:space="preserve">, </w:t>
      </w:r>
      <w:r w:rsidRPr="0087344E">
        <w:t xml:space="preserve">Wallis Market and Social Research </w:t>
      </w:r>
      <w:r>
        <w:t>(confidential report), Victoria, &lt;</w:t>
      </w:r>
      <w:hyperlink r:id="rId60" w:history="1">
        <w:r w:rsidRPr="00EA04CB">
          <w:rPr>
            <w:rStyle w:val="Hyperlink"/>
          </w:rPr>
          <w:t>http://www.tac.vic.gov.au/__data/assets/pdf_file/0007/274471/RSM-Annual-Report_V4.pdf</w:t>
        </w:r>
      </w:hyperlink>
      <w:r>
        <w:t>&gt;.</w:t>
      </w:r>
    </w:p>
  </w:endnote>
  <w:endnote w:id="91">
    <w:p w14:paraId="546A9357" w14:textId="77777777" w:rsidR="003C7C88" w:rsidRDefault="003C7C88" w:rsidP="004929EF">
      <w:pPr>
        <w:pStyle w:val="Footnote"/>
        <w:ind w:left="255" w:hanging="255"/>
      </w:pPr>
      <w:r>
        <w:rPr>
          <w:rStyle w:val="EndnoteReference"/>
        </w:rPr>
        <w:endnoteRef/>
      </w:r>
      <w:r>
        <w:t xml:space="preserve">   VicRoads, 2018, </w:t>
      </w:r>
      <w:r w:rsidRPr="00214DF2">
        <w:rPr>
          <w:i/>
        </w:rPr>
        <w:t>Distraction Short Fact Sheet</w:t>
      </w:r>
      <w:r>
        <w:t>, March 2018, p3.</w:t>
      </w:r>
    </w:p>
  </w:endnote>
  <w:endnote w:id="92">
    <w:p w14:paraId="17A3662C" w14:textId="77777777" w:rsidR="003C7C88" w:rsidRDefault="003C7C88" w:rsidP="004929EF">
      <w:pPr>
        <w:pStyle w:val="Footnote"/>
        <w:ind w:left="255" w:hanging="255"/>
      </w:pPr>
      <w:r>
        <w:rPr>
          <w:rStyle w:val="EndnoteReference"/>
        </w:rPr>
        <w:endnoteRef/>
      </w:r>
      <w:r>
        <w:t xml:space="preserve">   Transport Accident Commission 2018, </w:t>
      </w:r>
      <w:r w:rsidRPr="0014002B">
        <w:t>Night Driving Facts</w:t>
      </w:r>
      <w:r>
        <w:t>, &lt;</w:t>
      </w:r>
      <w:hyperlink r:id="rId61" w:history="1">
        <w:r w:rsidRPr="003E515B">
          <w:rPr>
            <w:rStyle w:val="Hyperlink"/>
          </w:rPr>
          <w:t>http://www.tac.vic.gov.au/road-safety/safe-driving/parents/helping-p-plate-drivers/night-driving/night-driving-facts</w:t>
        </w:r>
      </w:hyperlink>
      <w:r>
        <w:t>&gt;.</w:t>
      </w:r>
    </w:p>
  </w:endnote>
  <w:endnote w:id="93">
    <w:p w14:paraId="7293593C" w14:textId="77777777" w:rsidR="003C7C88" w:rsidRDefault="003C7C88" w:rsidP="004929EF">
      <w:pPr>
        <w:pStyle w:val="Footnote"/>
        <w:ind w:left="255" w:hanging="255"/>
      </w:pPr>
      <w:r>
        <w:rPr>
          <w:rStyle w:val="EndnoteReference"/>
        </w:rPr>
        <w:endnoteRef/>
      </w:r>
      <w:r>
        <w:t xml:space="preserve">   </w:t>
      </w:r>
      <w:r w:rsidRPr="00F0292F">
        <w:t>Plainis</w:t>
      </w:r>
      <w:r>
        <w:t xml:space="preserve"> S</w:t>
      </w:r>
      <w:r w:rsidRPr="00F0292F">
        <w:t>, Murray</w:t>
      </w:r>
      <w:r>
        <w:t xml:space="preserve"> IJ</w:t>
      </w:r>
      <w:r w:rsidRPr="00F0292F">
        <w:t xml:space="preserve">, </w:t>
      </w:r>
      <w:r>
        <w:t xml:space="preserve">&amp; </w:t>
      </w:r>
      <w:r w:rsidRPr="00F0292F">
        <w:t>Pallikaris</w:t>
      </w:r>
      <w:r>
        <w:t xml:space="preserve"> IG, 2006, ‘Road traffic casualties: understanding the night-time death toll’, </w:t>
      </w:r>
      <w:r w:rsidRPr="00F0292F">
        <w:rPr>
          <w:i/>
        </w:rPr>
        <w:t>Injury Prevention</w:t>
      </w:r>
      <w:r w:rsidRPr="00F0292F">
        <w:t xml:space="preserve"> 2006;12:12</w:t>
      </w:r>
      <w:r>
        <w:t>7, &lt;</w:t>
      </w:r>
      <w:hyperlink r:id="rId62" w:history="1">
        <w:r w:rsidRPr="00EA04CB">
          <w:rPr>
            <w:rStyle w:val="Hyperlink"/>
          </w:rPr>
          <w:t>https://www.ncbi.nlm.nih.gov/pmc/articles/PMC2564438/</w:t>
        </w:r>
      </w:hyperlink>
      <w:r>
        <w:t>&gt;.</w:t>
      </w:r>
    </w:p>
  </w:endnote>
  <w:endnote w:id="94">
    <w:p w14:paraId="19D335EE" w14:textId="77777777" w:rsidR="003C7C88" w:rsidRDefault="003C7C88" w:rsidP="004929EF">
      <w:pPr>
        <w:pStyle w:val="Footnote"/>
        <w:ind w:left="255" w:hanging="255"/>
      </w:pPr>
      <w:r>
        <w:rPr>
          <w:rStyle w:val="EndnoteReference"/>
        </w:rPr>
        <w:endnoteRef/>
      </w:r>
      <w:r>
        <w:t xml:space="preserve">   </w:t>
      </w:r>
      <w:r w:rsidRPr="002845A5">
        <w:t>Bureau of Infrastructure, Transport and Regional Economics</w:t>
      </w:r>
      <w:r w:rsidRPr="00117C96">
        <w:t xml:space="preserve"> </w:t>
      </w:r>
      <w:r>
        <w:t>(BITR</w:t>
      </w:r>
      <w:r w:rsidRPr="00117C96">
        <w:t>E</w:t>
      </w:r>
      <w:r>
        <w:t>) 2018,</w:t>
      </w:r>
      <w:r w:rsidRPr="00117C96">
        <w:t xml:space="preserve"> Aus</w:t>
      </w:r>
      <w:r>
        <w:t>tralian Road Death Database 2018, data current to January 2018, &lt;</w:t>
      </w:r>
      <w:hyperlink r:id="rId63" w:history="1">
        <w:r w:rsidRPr="00B54608">
          <w:rPr>
            <w:rStyle w:val="Hyperlink"/>
            <w:rFonts w:cs="Segoe UI"/>
          </w:rPr>
          <w:t>https://bitre.gov.au/statistics/safety/fatal_road_crash_database.aspx</w:t>
        </w:r>
      </w:hyperlink>
      <w:r>
        <w:t>&gt;.</w:t>
      </w:r>
    </w:p>
  </w:endnote>
  <w:endnote w:id="95">
    <w:p w14:paraId="56C8AAED" w14:textId="77777777" w:rsidR="003C7C88" w:rsidRDefault="003C7C88" w:rsidP="004929EF">
      <w:pPr>
        <w:pStyle w:val="Footnote"/>
        <w:ind w:left="255" w:hanging="255"/>
      </w:pPr>
      <w:r>
        <w:rPr>
          <w:rStyle w:val="EndnoteReference"/>
        </w:rPr>
        <w:endnoteRef/>
      </w:r>
      <w:r>
        <w:t xml:space="preserve">   VicRoads 2018, </w:t>
      </w:r>
      <w:r w:rsidRPr="00F4115C">
        <w:rPr>
          <w:i/>
        </w:rPr>
        <w:t>Typical Hourly Traffic Volume</w:t>
      </w:r>
      <w:r>
        <w:t>, &lt;</w:t>
      </w:r>
      <w:hyperlink r:id="rId64" w:history="1">
        <w:r w:rsidRPr="00937697">
          <w:rPr>
            <w:rStyle w:val="Hyperlink"/>
          </w:rPr>
          <w:t>https://www.data.vic.gov.au/data/dataset/typical-hourly-traffic-volume</w:t>
        </w:r>
      </w:hyperlink>
      <w:r>
        <w:t>&gt;.</w:t>
      </w:r>
    </w:p>
  </w:endnote>
  <w:endnote w:id="96">
    <w:p w14:paraId="6B521A2A" w14:textId="77777777" w:rsidR="003C7C88" w:rsidRPr="00CE5D2F" w:rsidRDefault="003C7C88" w:rsidP="00510F74">
      <w:pPr>
        <w:pStyle w:val="Footnote"/>
        <w:ind w:left="255" w:hanging="255"/>
        <w:rPr>
          <w:color w:val="20662A"/>
          <w:u w:val="single"/>
        </w:rPr>
      </w:pPr>
      <w:r>
        <w:rPr>
          <w:rStyle w:val="EndnoteReference"/>
        </w:rPr>
        <w:endnoteRef/>
      </w:r>
      <w:r>
        <w:t xml:space="preserve">   Department of Infrastructure and Regional Development, Australian Government 2014, </w:t>
      </w:r>
      <w:r w:rsidRPr="00CE5D2F">
        <w:rPr>
          <w:i/>
        </w:rPr>
        <w:t>Road safety of older Australians: recent statistics</w:t>
      </w:r>
      <w:r>
        <w:rPr>
          <w:i/>
        </w:rPr>
        <w:t>,</w:t>
      </w:r>
      <w:r>
        <w:t xml:space="preserve"> Canberra, ACT, &lt;</w:t>
      </w:r>
      <w:hyperlink r:id="rId65" w:history="1">
        <w:r w:rsidRPr="009034B6">
          <w:rPr>
            <w:rStyle w:val="Hyperlink"/>
          </w:rPr>
          <w:t>https://bitre.gov.au/publications/2014/is_050.aspx</w:t>
        </w:r>
      </w:hyperlink>
      <w:r>
        <w:t>&gt;.</w:t>
      </w:r>
      <w:r>
        <w:rPr>
          <w:rStyle w:val="Hyperlink"/>
        </w:rPr>
        <w:t xml:space="preserve"> </w:t>
      </w:r>
    </w:p>
  </w:endnote>
  <w:endnote w:id="97">
    <w:p w14:paraId="47C2B5D1" w14:textId="77777777" w:rsidR="003C7C88" w:rsidRDefault="003C7C88" w:rsidP="00510F74">
      <w:pPr>
        <w:pStyle w:val="Footnote"/>
        <w:ind w:left="255" w:hanging="255"/>
      </w:pPr>
      <w:r>
        <w:rPr>
          <w:rStyle w:val="EndnoteReference"/>
        </w:rPr>
        <w:endnoteRef/>
      </w:r>
      <w:r>
        <w:t xml:space="preserve">   Baldock M, </w:t>
      </w:r>
      <w:r w:rsidRPr="007B2BB9">
        <w:t>Thompson</w:t>
      </w:r>
      <w:r>
        <w:t xml:space="preserve"> J, </w:t>
      </w:r>
      <w:r w:rsidRPr="007B2BB9">
        <w:t>Dutschke</w:t>
      </w:r>
      <w:r>
        <w:t xml:space="preserve"> J, </w:t>
      </w:r>
      <w:r w:rsidRPr="007B2BB9">
        <w:t>Kloeden</w:t>
      </w:r>
      <w:r>
        <w:t xml:space="preserve"> C, </w:t>
      </w:r>
      <w:r w:rsidRPr="007B2BB9">
        <w:t>Lindsay</w:t>
      </w:r>
      <w:r>
        <w:t xml:space="preserve"> T &amp; </w:t>
      </w:r>
      <w:r w:rsidRPr="007B2BB9">
        <w:t>Woolley</w:t>
      </w:r>
      <w:r>
        <w:t xml:space="preserve"> J 2016, </w:t>
      </w:r>
      <w:r w:rsidRPr="00CE5D2F">
        <w:rPr>
          <w:i/>
        </w:rPr>
        <w:t>Older Road Users: Emerging Trends</w:t>
      </w:r>
      <w:r>
        <w:t>. Centre for Automotive Safety Research, University of Adelaide, Austroads, Sydney, Australia,</w:t>
      </w:r>
      <w:r w:rsidRPr="00C23D33">
        <w:t xml:space="preserve"> </w:t>
      </w:r>
      <w:r>
        <w:t>&lt;</w:t>
      </w:r>
      <w:hyperlink r:id="rId66" w:history="1">
        <w:r>
          <w:rPr>
            <w:rStyle w:val="Hyperlink"/>
          </w:rPr>
          <w:t>https://austroads.com.au/resources/documents/supporting-documents/webinars/Austroads_Webinar-Older_Road_Users-Emerging_Trends.pdf</w:t>
        </w:r>
      </w:hyperlink>
      <w:r>
        <w:t>.</w:t>
      </w:r>
    </w:p>
  </w:endnote>
  <w:endnote w:id="98">
    <w:p w14:paraId="13C5F6CF" w14:textId="77777777" w:rsidR="003C7C88" w:rsidRDefault="003C7C88" w:rsidP="00510F74">
      <w:pPr>
        <w:pStyle w:val="Footnote"/>
        <w:ind w:left="255" w:hanging="255"/>
      </w:pPr>
      <w:r>
        <w:rPr>
          <w:rStyle w:val="EndnoteReference"/>
        </w:rPr>
        <w:endnoteRef/>
      </w:r>
      <w:r>
        <w:t xml:space="preserve">   </w:t>
      </w:r>
      <w:r w:rsidRPr="00E3194A">
        <w:rPr>
          <w:noProof/>
          <w:lang w:val="en-US"/>
        </w:rPr>
        <w:t>Li G, Braver ER</w:t>
      </w:r>
      <w:r>
        <w:rPr>
          <w:noProof/>
          <w:lang w:val="en-US"/>
        </w:rPr>
        <w:t xml:space="preserve"> &amp;</w:t>
      </w:r>
      <w:r w:rsidRPr="00E3194A">
        <w:rPr>
          <w:noProof/>
          <w:lang w:val="en-US"/>
        </w:rPr>
        <w:t xml:space="preserve"> Chen L</w:t>
      </w:r>
      <w:r>
        <w:rPr>
          <w:noProof/>
          <w:lang w:val="en-US"/>
        </w:rPr>
        <w:t xml:space="preserve"> </w:t>
      </w:r>
      <w:r w:rsidRPr="00E3194A">
        <w:rPr>
          <w:noProof/>
          <w:lang w:val="en-US"/>
        </w:rPr>
        <w:t>2003</w:t>
      </w:r>
      <w:r>
        <w:rPr>
          <w:noProof/>
          <w:lang w:val="en-US"/>
        </w:rPr>
        <w:t>,</w:t>
      </w:r>
      <w:r w:rsidRPr="00E3194A">
        <w:rPr>
          <w:noProof/>
          <w:lang w:val="en-US"/>
        </w:rPr>
        <w:t xml:space="preserve"> </w:t>
      </w:r>
      <w:r>
        <w:rPr>
          <w:noProof/>
          <w:lang w:val="en-US"/>
        </w:rPr>
        <w:t>‘</w:t>
      </w:r>
      <w:r w:rsidRPr="00E3194A">
        <w:rPr>
          <w:noProof/>
          <w:lang w:val="en-US"/>
        </w:rPr>
        <w:t>Fragility versus excessive crash involvement as determinants of high death rates per vehicle-mile of travel among older drivers</w:t>
      </w:r>
      <w:r>
        <w:rPr>
          <w:noProof/>
          <w:lang w:val="en-US"/>
        </w:rPr>
        <w:t>’,</w:t>
      </w:r>
      <w:r w:rsidRPr="00E3194A">
        <w:rPr>
          <w:noProof/>
          <w:lang w:val="en-US"/>
        </w:rPr>
        <w:t xml:space="preserve"> </w:t>
      </w:r>
      <w:r w:rsidRPr="00E3194A">
        <w:rPr>
          <w:i/>
          <w:noProof/>
          <w:lang w:val="en-US"/>
        </w:rPr>
        <w:t>Accident Analysis &amp; Prevention, 35</w:t>
      </w:r>
      <w:r w:rsidRPr="00E3194A">
        <w:rPr>
          <w:noProof/>
          <w:lang w:val="en-US"/>
        </w:rPr>
        <w:t xml:space="preserve">, 227-235. </w:t>
      </w:r>
    </w:p>
  </w:endnote>
  <w:endnote w:id="99">
    <w:p w14:paraId="2C9A1B8C" w14:textId="77777777" w:rsidR="003C7C88" w:rsidRDefault="003C7C88" w:rsidP="00510F74">
      <w:pPr>
        <w:pStyle w:val="Footnote"/>
        <w:ind w:left="255" w:hanging="255"/>
      </w:pPr>
      <w:r>
        <w:rPr>
          <w:rStyle w:val="EndnoteReference"/>
        </w:rPr>
        <w:endnoteRef/>
      </w:r>
      <w:r>
        <w:t xml:space="preserve">   </w:t>
      </w:r>
      <w:r w:rsidRPr="003F7DF1">
        <w:t>Langford</w:t>
      </w:r>
      <w:r>
        <w:t xml:space="preserve"> J, </w:t>
      </w:r>
      <w:r w:rsidRPr="00751F39">
        <w:t xml:space="preserve">Methorst </w:t>
      </w:r>
      <w:r>
        <w:t>R &amp;</w:t>
      </w:r>
      <w:r w:rsidRPr="00751F39">
        <w:t xml:space="preserve"> Hakamies-Blomqvist</w:t>
      </w:r>
      <w:r>
        <w:t xml:space="preserve"> L 2006 ‘Older drivers do not have a high crash risk—A replication of low mileage bias’, </w:t>
      </w:r>
      <w:r w:rsidRPr="00D0470B">
        <w:rPr>
          <w:i/>
        </w:rPr>
        <w:t>Accident Analysis and Prevention</w:t>
      </w:r>
      <w:r>
        <w:rPr>
          <w:i/>
        </w:rPr>
        <w:t>,</w:t>
      </w:r>
      <w:r w:rsidRPr="00D0470B">
        <w:rPr>
          <w:i/>
        </w:rPr>
        <w:t xml:space="preserve"> </w:t>
      </w:r>
      <w:r w:rsidRPr="00D0470B">
        <w:t>38 (2006) 574–578</w:t>
      </w:r>
      <w:r>
        <w:t>, &lt;</w:t>
      </w:r>
      <w:hyperlink r:id="rId67" w:history="1">
        <w:r w:rsidRPr="00EA04CB">
          <w:rPr>
            <w:rStyle w:val="Hyperlink"/>
          </w:rPr>
          <w:t>https://www.sciencedirect.com/science/article/pii/S0001457505002046</w:t>
        </w:r>
      </w:hyperlink>
      <w:r>
        <w:t>&gt;.</w:t>
      </w:r>
    </w:p>
  </w:endnote>
  <w:endnote w:id="100">
    <w:p w14:paraId="2F1F941D" w14:textId="77777777" w:rsidR="003C7C88" w:rsidRDefault="003C7C88" w:rsidP="00510F74">
      <w:pPr>
        <w:pStyle w:val="Footnote"/>
        <w:ind w:left="255" w:hanging="255"/>
      </w:pPr>
      <w:r>
        <w:rPr>
          <w:rStyle w:val="EndnoteReference"/>
        </w:rPr>
        <w:endnoteRef/>
      </w:r>
      <w:r>
        <w:t xml:space="preserve">  </w:t>
      </w:r>
      <w:r w:rsidRPr="00E3194A">
        <w:rPr>
          <w:noProof/>
          <w:lang w:val="en-US"/>
        </w:rPr>
        <w:t>Marshall S 2008</w:t>
      </w:r>
      <w:r>
        <w:rPr>
          <w:noProof/>
          <w:lang w:val="en-US"/>
        </w:rPr>
        <w:t>,</w:t>
      </w:r>
      <w:r w:rsidRPr="00E3194A">
        <w:rPr>
          <w:noProof/>
          <w:lang w:val="en-US"/>
        </w:rPr>
        <w:t xml:space="preserve"> </w:t>
      </w:r>
      <w:r>
        <w:rPr>
          <w:noProof/>
          <w:lang w:val="en-US"/>
        </w:rPr>
        <w:t>‘</w:t>
      </w:r>
      <w:r w:rsidRPr="00E3194A">
        <w:rPr>
          <w:noProof/>
          <w:lang w:val="en-US"/>
        </w:rPr>
        <w:t>The role of reduced fitness to drive due to medical impairments in explaining crashes involving older drivers</w:t>
      </w:r>
      <w:r>
        <w:rPr>
          <w:noProof/>
          <w:lang w:val="en-US"/>
        </w:rPr>
        <w:t>’,</w:t>
      </w:r>
      <w:r w:rsidRPr="00E3194A">
        <w:rPr>
          <w:noProof/>
          <w:lang w:val="en-US"/>
        </w:rPr>
        <w:t xml:space="preserve"> </w:t>
      </w:r>
      <w:r w:rsidRPr="00E3194A">
        <w:rPr>
          <w:i/>
          <w:noProof/>
          <w:lang w:val="en-US"/>
        </w:rPr>
        <w:t>Traffic Injury Prevention, 9</w:t>
      </w:r>
      <w:r w:rsidRPr="00E3194A">
        <w:rPr>
          <w:noProof/>
          <w:lang w:val="en-US"/>
        </w:rPr>
        <w:t>(4), 291-298</w:t>
      </w:r>
      <w:r>
        <w:rPr>
          <w:noProof/>
          <w:lang w:val="en-US"/>
        </w:rPr>
        <w:t>, &lt;</w:t>
      </w:r>
      <w:hyperlink r:id="rId68" w:history="1">
        <w:r w:rsidRPr="00CE5D2F">
          <w:rPr>
            <w:rStyle w:val="Hyperlink"/>
          </w:rPr>
          <w:t>https://www.tandfonline.com/doi/pdf/10.1080/15389580801895244</w:t>
        </w:r>
      </w:hyperlink>
      <w:r>
        <w:rPr>
          <w:noProof/>
          <w:lang w:val="en-US"/>
        </w:rPr>
        <w:t>&gt;.</w:t>
      </w:r>
    </w:p>
  </w:endnote>
  <w:endnote w:id="101">
    <w:p w14:paraId="6981F699" w14:textId="77777777" w:rsidR="003C7C88" w:rsidRDefault="003C7C88" w:rsidP="00510F74">
      <w:pPr>
        <w:pStyle w:val="Footnote"/>
        <w:ind w:left="255" w:hanging="255"/>
      </w:pPr>
      <w:r>
        <w:rPr>
          <w:rStyle w:val="EndnoteReference"/>
        </w:rPr>
        <w:endnoteRef/>
      </w:r>
      <w:r>
        <w:t xml:space="preserve">  Charlton J, Koppel S, Odell M, Devlin A, Langford J, O’Hare M, Kopinathan C, Andrea D, Smith G, Khodr B, Edquist J, Muir C &amp; Scully M 2010, </w:t>
      </w:r>
      <w:r w:rsidRPr="00CE5D2F">
        <w:rPr>
          <w:i/>
        </w:rPr>
        <w:t>Influence of chronic illness on crash involvement of motor vehicle drivers</w:t>
      </w:r>
      <w:r>
        <w:t>, 2nd edition, Melbourne, Victoria: Monash University Accident Research Centre, &lt;</w:t>
      </w:r>
      <w:hyperlink r:id="rId69" w:history="1">
        <w:r w:rsidRPr="00434E52">
          <w:rPr>
            <w:rStyle w:val="Hyperlink"/>
          </w:rPr>
          <w:t>https://www.monash.edu/__data/assets/pdf_file/0008/216386/muarc300.pdf</w:t>
        </w:r>
      </w:hyperlink>
      <w:r>
        <w:t>&gt;.</w:t>
      </w:r>
    </w:p>
  </w:endnote>
  <w:endnote w:id="102">
    <w:p w14:paraId="39DE3229" w14:textId="77777777" w:rsidR="003C7C88" w:rsidRDefault="003C7C88" w:rsidP="00510F74">
      <w:pPr>
        <w:pStyle w:val="Footnote"/>
        <w:ind w:left="255" w:hanging="255"/>
      </w:pPr>
      <w:r>
        <w:rPr>
          <w:rStyle w:val="EndnoteReference"/>
        </w:rPr>
        <w:endnoteRef/>
      </w:r>
      <w:r>
        <w:t xml:space="preserve">  </w:t>
      </w:r>
      <w:r w:rsidRPr="003332A6">
        <w:t>Austroads</w:t>
      </w:r>
      <w:r>
        <w:t xml:space="preserve">, </w:t>
      </w:r>
      <w:r w:rsidRPr="003332A6">
        <w:t>2016</w:t>
      </w:r>
      <w:r>
        <w:t xml:space="preserve">, </w:t>
      </w:r>
      <w:r w:rsidRPr="00CE5D2F">
        <w:rPr>
          <w:i/>
        </w:rPr>
        <w:t>Assessing Fitness to drive for commercial and private vehicle drivers</w:t>
      </w:r>
      <w:r>
        <w:t>, Fifth Edition, Sydney, NSW, &lt;</w:t>
      </w:r>
      <w:hyperlink r:id="rId70" w:history="1">
        <w:r w:rsidRPr="00434E52">
          <w:rPr>
            <w:rStyle w:val="Hyperlink"/>
          </w:rPr>
          <w:t>https://austroads.com.au/__data/assets/pdf_file/0022/104197/AP-G56-17_Assessing_fitness_to_drive_2016_amended_Aug2017.pdf</w:t>
        </w:r>
      </w:hyperlink>
      <w:r>
        <w:t>&gt;.</w:t>
      </w:r>
    </w:p>
  </w:endnote>
  <w:endnote w:id="103">
    <w:p w14:paraId="1C371BEC" w14:textId="77777777" w:rsidR="003C7C88" w:rsidRDefault="003C7C88" w:rsidP="00510F74">
      <w:pPr>
        <w:pStyle w:val="Footnote"/>
        <w:ind w:left="255" w:hanging="255"/>
      </w:pPr>
      <w:r>
        <w:rPr>
          <w:rStyle w:val="EndnoteReference"/>
        </w:rPr>
        <w:endnoteRef/>
      </w:r>
      <w:r>
        <w:t xml:space="preserve">  Richard</w:t>
      </w:r>
      <w:r w:rsidRPr="00462894">
        <w:t xml:space="preserve"> CM, Magee K, Bacon-Abdelmoteleb P, </w:t>
      </w:r>
      <w:r>
        <w:t xml:space="preserve">&amp; </w:t>
      </w:r>
      <w:r w:rsidRPr="00462894">
        <w:t>Brown JL 2018</w:t>
      </w:r>
      <w:r>
        <w:t>,</w:t>
      </w:r>
      <w:r w:rsidRPr="00462894">
        <w:t xml:space="preserve"> </w:t>
      </w:r>
      <w:r w:rsidRPr="00462894">
        <w:rPr>
          <w:i/>
          <w:iCs/>
        </w:rPr>
        <w:t xml:space="preserve">Countermeasures that work: A highway safety countermeasure guide for State Highway Safety Offices, </w:t>
      </w:r>
      <w:r w:rsidRPr="00CE5D2F">
        <w:rPr>
          <w:iCs/>
        </w:rPr>
        <w:t>Ninth edition</w:t>
      </w:r>
      <w:r w:rsidRPr="00462894">
        <w:rPr>
          <w:i/>
          <w:iCs/>
        </w:rPr>
        <w:t xml:space="preserve"> </w:t>
      </w:r>
      <w:r>
        <w:t>(Report No. DOT HS 812 478),</w:t>
      </w:r>
      <w:r w:rsidRPr="00462894">
        <w:t xml:space="preserve"> April </w:t>
      </w:r>
      <w:r>
        <w:t xml:space="preserve">2018, </w:t>
      </w:r>
      <w:r w:rsidRPr="00462894">
        <w:t>National Highwa</w:t>
      </w:r>
      <w:r>
        <w:t>y Traffic Safety Administration,</w:t>
      </w:r>
      <w:r w:rsidRPr="00462894">
        <w:t xml:space="preserve"> </w:t>
      </w:r>
      <w:r>
        <w:t>Washington, DC, &lt;</w:t>
      </w:r>
      <w:hyperlink r:id="rId71" w:history="1">
        <w:r>
          <w:rPr>
            <w:rStyle w:val="Hyperlink"/>
          </w:rPr>
          <w:t>https://www.nhtsa.gov/sites/nhtsa.dot.gov/files/documents/812478-countermeasures-that-work-a-highway-safety-countermeasures-guide-.pdf</w:t>
        </w:r>
      </w:hyperlink>
      <w:r>
        <w:t xml:space="preserve">&gt;; Deary IJ, Corley J, Gow AJ, Harris SE, Houlihan LM, Marioni RE, Penke L, Rafnsson SB and Starr JM 2009, Age-associated cognitive decline, </w:t>
      </w:r>
      <w:r w:rsidRPr="00CE5D2F">
        <w:rPr>
          <w:i/>
        </w:rPr>
        <w:t>British Medical Bulletin</w:t>
      </w:r>
      <w:r>
        <w:t>, 92, 1, 135–152,</w:t>
      </w:r>
      <w:r w:rsidRPr="000953EC">
        <w:t xml:space="preserve"> </w:t>
      </w:r>
      <w:r>
        <w:t>&lt;</w:t>
      </w:r>
      <w:hyperlink r:id="rId72" w:history="1">
        <w:r w:rsidRPr="009034B6">
          <w:rPr>
            <w:rStyle w:val="Hyperlink"/>
          </w:rPr>
          <w:t>https://academic.oup.com/bmb/article/92/1/135/332828</w:t>
        </w:r>
      </w:hyperlink>
      <w:r>
        <w:t>&gt;.</w:t>
      </w:r>
    </w:p>
  </w:endnote>
  <w:endnote w:id="104">
    <w:p w14:paraId="0936FC16" w14:textId="77777777" w:rsidR="003C7C88" w:rsidRDefault="003C7C88" w:rsidP="00510F74">
      <w:pPr>
        <w:pStyle w:val="Footnote"/>
        <w:ind w:left="255" w:hanging="255"/>
      </w:pPr>
      <w:r>
        <w:rPr>
          <w:rStyle w:val="EndnoteReference"/>
        </w:rPr>
        <w:endnoteRef/>
      </w:r>
      <w:r>
        <w:t xml:space="preserve">  Molnar LJ, Charlton JL, Eby DW, Langford J, Koppel S, Kolenic GE &amp; Marshall S 2014, ‘Factors affecting self-regulatory driving practices among older adults’, </w:t>
      </w:r>
      <w:r w:rsidRPr="00CE5D2F">
        <w:rPr>
          <w:i/>
        </w:rPr>
        <w:t>Traffic Injury Prevention</w:t>
      </w:r>
      <w:r>
        <w:t>, 15, 3, pp 262 – 272, &lt;</w:t>
      </w:r>
      <w:hyperlink r:id="rId73" w:history="1">
        <w:r w:rsidRPr="00434E52">
          <w:rPr>
            <w:rStyle w:val="Hyperlink"/>
          </w:rPr>
          <w:t>https://www.tandfonline.com/doi/pdf/10.1080/15389588.2013.808742?needAccess=true</w:t>
        </w:r>
      </w:hyperlink>
      <w:r>
        <w:t>&gt;.</w:t>
      </w:r>
    </w:p>
  </w:endnote>
  <w:endnote w:id="105">
    <w:p w14:paraId="1D71992F" w14:textId="77777777" w:rsidR="003C7C88" w:rsidRDefault="003C7C88" w:rsidP="00510F74">
      <w:pPr>
        <w:pStyle w:val="Footnote"/>
        <w:ind w:left="255" w:hanging="255"/>
      </w:pPr>
      <w:r>
        <w:rPr>
          <w:rStyle w:val="EndnoteReference"/>
        </w:rPr>
        <w:endnoteRef/>
      </w:r>
      <w:r>
        <w:t xml:space="preserve">  </w:t>
      </w:r>
      <w:r>
        <w:rPr>
          <w:lang w:val="en"/>
        </w:rPr>
        <w:t xml:space="preserve">Charlton J, Oxley J, Fildes B, Oxley P, Newstead S, O'Hare M &amp; Koppel S 2003, </w:t>
      </w:r>
      <w:hyperlink r:id="rId74" w:history="1">
        <w:r w:rsidRPr="00CE5D2F">
          <w:t>An investigation of self-regulatory behaviours of older drivers</w:t>
        </w:r>
      </w:hyperlink>
      <w:r w:rsidRPr="00CE5D2F">
        <w:t>,</w:t>
      </w:r>
      <w:r>
        <w:t xml:space="preserve"> </w:t>
      </w:r>
      <w:r>
        <w:rPr>
          <w:lang w:val="en"/>
        </w:rPr>
        <w:t>Monash University Accident Research Centre, Report No. 208, &lt;</w:t>
      </w:r>
      <w:hyperlink r:id="rId75" w:history="1">
        <w:r w:rsidRPr="00434E52">
          <w:rPr>
            <w:rStyle w:val="Hyperlink"/>
            <w:lang w:val="en"/>
          </w:rPr>
          <w:t>https://www.monash.edu/__data/assets/pdf_file/0011/216587/muarc208.pdf</w:t>
        </w:r>
      </w:hyperlink>
      <w:r>
        <w:rPr>
          <w:lang w:val="en"/>
        </w:rPr>
        <w:t>&gt;.</w:t>
      </w:r>
    </w:p>
  </w:endnote>
  <w:endnote w:id="106">
    <w:p w14:paraId="2A0E549A" w14:textId="77777777" w:rsidR="003C7C88" w:rsidRDefault="003C7C88" w:rsidP="004929EF">
      <w:pPr>
        <w:pStyle w:val="Footnote"/>
        <w:ind w:left="255" w:hanging="255"/>
      </w:pPr>
      <w:r>
        <w:rPr>
          <w:rStyle w:val="EndnoteReference"/>
        </w:rPr>
        <w:endnoteRef/>
      </w:r>
      <w:r>
        <w:t xml:space="preserve">  </w:t>
      </w:r>
      <w:r w:rsidRPr="000E0640">
        <w:t>Charlton</w:t>
      </w:r>
      <w:r>
        <w:t xml:space="preserve"> J, Koppel S, Odell M, Devlin A, Langford J, O’Hare M, Kolinatham, C, Andrea D, Smith G, Khodr B, Edquist J, Muir C &amp; Scully M, 2010,</w:t>
      </w:r>
      <w:r w:rsidRPr="000E0640">
        <w:t xml:space="preserve"> </w:t>
      </w:r>
      <w:r>
        <w:t xml:space="preserve">2nd Edition, </w:t>
      </w:r>
      <w:r w:rsidRPr="000E0640">
        <w:t>Influence of chronic illness on crash involvement of motor vehicle drivers 2nd edition</w:t>
      </w:r>
      <w:r>
        <w:t xml:space="preserve">, </w:t>
      </w:r>
      <w:r w:rsidRPr="000E0640">
        <w:t>MUARC</w:t>
      </w:r>
      <w:r>
        <w:t xml:space="preserve"> Report No. 300, p554, &lt;</w:t>
      </w:r>
      <w:hyperlink r:id="rId76" w:history="1">
        <w:r>
          <w:rPr>
            <w:rStyle w:val="Hyperlink"/>
          </w:rPr>
          <w:t>https://www.monash.edu/muarc/our-publications/muarc300</w:t>
        </w:r>
      </w:hyperlink>
    </w:p>
  </w:endnote>
  <w:endnote w:id="107">
    <w:p w14:paraId="02D05817" w14:textId="77777777" w:rsidR="003C7C88" w:rsidRDefault="003C7C88" w:rsidP="004929EF">
      <w:pPr>
        <w:pStyle w:val="Footnote"/>
        <w:ind w:left="255" w:hanging="255"/>
      </w:pPr>
      <w:r>
        <w:rPr>
          <w:rStyle w:val="EndnoteReference"/>
        </w:rPr>
        <w:endnoteRef/>
      </w:r>
      <w:r>
        <w:t xml:space="preserve">  The data regarding the prevalence of chronic illnesses in the Australian population referred to in the study was sourced from National Health Survey 2004-05 conducted by the Australian Bureau of Statistics, from August 2004 to June 2005. About 25,900 people from all States and Territories and across all age groups were included. &lt;</w:t>
      </w:r>
      <w:hyperlink r:id="rId77" w:history="1">
        <w:r>
          <w:rPr>
            <w:rStyle w:val="Hyperlink"/>
          </w:rPr>
          <w:t>http://www.ausstats.abs.gov.au/Ausstats/Subscri-ber.Nsf/0/3b1917236618a042ca25711f00185526/%24File/43640_2004-05.Pdf</w:t>
        </w:r>
      </w:hyperlink>
      <w:r>
        <w:t>&gt;</w:t>
      </w:r>
    </w:p>
  </w:endnote>
  <w:endnote w:id="108">
    <w:p w14:paraId="0DD00A0E" w14:textId="77777777" w:rsidR="003C7C88" w:rsidRDefault="003C7C88" w:rsidP="00F26F52">
      <w:pPr>
        <w:pStyle w:val="Footnote"/>
        <w:ind w:left="255" w:hanging="255"/>
      </w:pPr>
      <w:r>
        <w:rPr>
          <w:rStyle w:val="EndnoteReference"/>
        </w:rPr>
        <w:endnoteRef/>
      </w:r>
      <w:r>
        <w:t xml:space="preserve">  Transport Accident Commission 2018, </w:t>
      </w:r>
      <w:r w:rsidRPr="00F4115C">
        <w:rPr>
          <w:i/>
        </w:rPr>
        <w:t>Motorcycle Safety</w:t>
      </w:r>
      <w:r>
        <w:t>,</w:t>
      </w:r>
      <w:r w:rsidRPr="00065ED5">
        <w:t xml:space="preserve"> </w:t>
      </w:r>
      <w:r>
        <w:t>&lt;</w:t>
      </w:r>
      <w:hyperlink r:id="rId78" w:history="1">
        <w:r w:rsidRPr="00EA2D5C">
          <w:rPr>
            <w:rStyle w:val="Hyperlink"/>
            <w:rFonts w:cs="Segoe UI"/>
          </w:rPr>
          <w:t>http://www.tac.vic.gov.au/road-safety/safe-driving/motorcycle-safety</w:t>
        </w:r>
      </w:hyperlink>
      <w:r>
        <w:t>&gt;.</w:t>
      </w:r>
    </w:p>
  </w:endnote>
  <w:endnote w:id="109">
    <w:p w14:paraId="011E6833" w14:textId="77777777" w:rsidR="003C7C88" w:rsidRDefault="003C7C88" w:rsidP="00F26F52">
      <w:pPr>
        <w:pStyle w:val="Footnote"/>
        <w:ind w:left="255" w:hanging="255"/>
      </w:pPr>
      <w:r>
        <w:rPr>
          <w:rStyle w:val="EndnoteReference"/>
        </w:rPr>
        <w:endnoteRef/>
      </w:r>
      <w:r>
        <w:t xml:space="preserve">  McCartt AT, Mayhew DR, Braitman KA, Ferguson SA and Simpson HM 2009, ‘Effects of age and experience on young driver crashes: review of recent literature’, </w:t>
      </w:r>
      <w:r w:rsidRPr="00154A00">
        <w:rPr>
          <w:i/>
        </w:rPr>
        <w:t>Traffic Injury Prevention</w:t>
      </w:r>
      <w:r>
        <w:t>, (2009), 10: 209-219.</w:t>
      </w:r>
    </w:p>
  </w:endnote>
  <w:endnote w:id="110">
    <w:p w14:paraId="06901DFC" w14:textId="77777777" w:rsidR="003C7C88" w:rsidRDefault="003C7C88" w:rsidP="00F26F52">
      <w:pPr>
        <w:pStyle w:val="Footnote"/>
        <w:ind w:left="255" w:hanging="255"/>
      </w:pPr>
      <w:r>
        <w:rPr>
          <w:rStyle w:val="EndnoteReference"/>
        </w:rPr>
        <w:endnoteRef/>
      </w:r>
      <w:r>
        <w:t xml:space="preserve">  Ehsani JP, </w:t>
      </w:r>
      <w:r w:rsidRPr="003F2D70">
        <w:t xml:space="preserve">Klauerb </w:t>
      </w:r>
      <w:r>
        <w:t>SG,</w:t>
      </w:r>
      <w:r w:rsidRPr="003F2D70">
        <w:t xml:space="preserve"> Zhuc</w:t>
      </w:r>
      <w:r>
        <w:t xml:space="preserve"> C, </w:t>
      </w:r>
      <w:r w:rsidRPr="003F2D70">
        <w:t>Gershon</w:t>
      </w:r>
      <w:r>
        <w:t xml:space="preserve"> P,</w:t>
      </w:r>
      <w:r w:rsidRPr="003F2D70">
        <w:t xml:space="preserve"> Dingus </w:t>
      </w:r>
      <w:r>
        <w:t xml:space="preserve">TA &amp; </w:t>
      </w:r>
      <w:r w:rsidRPr="003F2D70">
        <w:t>Simons-Morton</w:t>
      </w:r>
      <w:r>
        <w:t xml:space="preserve"> BG 2017, ‘</w:t>
      </w:r>
      <w:r w:rsidRPr="003F2D70">
        <w:t>Naturalistic assessment of the learner license period</w:t>
      </w:r>
      <w:r>
        <w:t xml:space="preserve">, </w:t>
      </w:r>
      <w:r w:rsidRPr="003F2D70">
        <w:rPr>
          <w:i/>
        </w:rPr>
        <w:t>Accident Analysis and Prevention</w:t>
      </w:r>
      <w:r w:rsidRPr="003F2D70">
        <w:t xml:space="preserve"> 106 (2017) 275–284</w:t>
      </w:r>
      <w:r>
        <w:t>, &lt;</w:t>
      </w:r>
      <w:hyperlink r:id="rId79" w:history="1">
        <w:r w:rsidRPr="008B61B4">
          <w:rPr>
            <w:rStyle w:val="Hyperlink"/>
          </w:rPr>
          <w:t>https://www.sciencedirect.com/science/article/pii/S0001457517302282?via%3Dihub</w:t>
        </w:r>
      </w:hyperlink>
      <w:r>
        <w:t>&gt;.</w:t>
      </w:r>
    </w:p>
  </w:endnote>
  <w:endnote w:id="111">
    <w:p w14:paraId="61DAFB87" w14:textId="77777777" w:rsidR="003C7C88" w:rsidRDefault="003C7C88" w:rsidP="00F26F52">
      <w:pPr>
        <w:pStyle w:val="Footnote"/>
        <w:ind w:left="255" w:hanging="255"/>
      </w:pPr>
      <w:r>
        <w:rPr>
          <w:rStyle w:val="EndnoteReference"/>
        </w:rPr>
        <w:endnoteRef/>
      </w:r>
      <w:r>
        <w:t xml:space="preserve">  Perri Klass MD, ‘</w:t>
      </w:r>
      <w:r w:rsidRPr="00A9117E">
        <w:t>What Helps a New Driver? More Driving</w:t>
      </w:r>
      <w:r>
        <w:t>’,</w:t>
      </w:r>
      <w:r w:rsidRPr="001F5BD1">
        <w:t xml:space="preserve"> </w:t>
      </w:r>
      <w:r w:rsidRPr="00A9117E">
        <w:rPr>
          <w:i/>
        </w:rPr>
        <w:t>New York Times</w:t>
      </w:r>
      <w:r>
        <w:t>, 19 February 2018, &lt;</w:t>
      </w:r>
      <w:hyperlink r:id="rId80" w:history="1">
        <w:r w:rsidRPr="00B259B8">
          <w:rPr>
            <w:rStyle w:val="Hyperlink"/>
          </w:rPr>
          <w:t>https://www.nytimes.com/2018/02/19/well/family/teenage-drivers-cars-safety.html</w:t>
        </w:r>
      </w:hyperlink>
      <w:r>
        <w:t>&gt;.</w:t>
      </w:r>
    </w:p>
  </w:endnote>
  <w:endnote w:id="112">
    <w:p w14:paraId="28F04B1C" w14:textId="77777777" w:rsidR="003C7C88" w:rsidRDefault="003C7C88" w:rsidP="00F26F52">
      <w:pPr>
        <w:pStyle w:val="Footnote"/>
        <w:ind w:left="255" w:hanging="255"/>
      </w:pPr>
      <w:r>
        <w:rPr>
          <w:rStyle w:val="EndnoteReference"/>
        </w:rPr>
        <w:endnoteRef/>
      </w:r>
      <w:r>
        <w:t xml:space="preserve">  Gregersen, NP, </w:t>
      </w:r>
      <w:r w:rsidRPr="008F4AE7">
        <w:rPr>
          <w:i/>
        </w:rPr>
        <w:t>Evaluation of 16-years age limit for driver training: First report</w:t>
      </w:r>
      <w:r>
        <w:rPr>
          <w:i/>
        </w:rPr>
        <w:t>,</w:t>
      </w:r>
      <w:r>
        <w:t xml:space="preserve"> VTI Report 418A,</w:t>
      </w:r>
      <w:r w:rsidRPr="00A60653">
        <w:t xml:space="preserve"> </w:t>
      </w:r>
      <w:r>
        <w:t>1997, Swedish National Road and Transport Research Institute, Link</w:t>
      </w:r>
      <w:r>
        <w:rPr>
          <w:rFonts w:cs="Segoe UI"/>
        </w:rPr>
        <w:t>ö</w:t>
      </w:r>
      <w:r>
        <w:t>ping, Sweden; Murray A 2000, ‘</w:t>
      </w:r>
      <w:r w:rsidRPr="00DD0AB4">
        <w:t>Decreasing number of young licence holders and reduced number of accidents: A description of trends in Sweden</w:t>
      </w:r>
      <w:r>
        <w:t xml:space="preserve">’, </w:t>
      </w:r>
      <w:r w:rsidRPr="004A53B5">
        <w:rPr>
          <w:i/>
        </w:rPr>
        <w:t>Accident Analysis &amp; Prevention</w:t>
      </w:r>
      <w:r>
        <w:t>, Vol 35 Issue 6, 841-850, &lt;</w:t>
      </w:r>
      <w:hyperlink r:id="rId81" w:history="1">
        <w:r w:rsidRPr="008B61B4">
          <w:rPr>
            <w:rStyle w:val="Hyperlink"/>
          </w:rPr>
          <w:t>https://www.sciencedirect.com/science/article/pii/S0001457502000891</w:t>
        </w:r>
      </w:hyperlink>
      <w:r>
        <w:t>&gt;.</w:t>
      </w:r>
    </w:p>
  </w:endnote>
  <w:endnote w:id="113">
    <w:p w14:paraId="257E3C54" w14:textId="77777777" w:rsidR="003C7C88" w:rsidRDefault="003C7C88">
      <w:pPr>
        <w:pStyle w:val="Footnote"/>
      </w:pPr>
      <w:r>
        <w:rPr>
          <w:rStyle w:val="EndnoteReference"/>
        </w:rPr>
        <w:endnoteRef/>
      </w:r>
      <w:r>
        <w:t xml:space="preserve">  Johnson SB &amp; Jones VC 2011, ‘Adolescent development and risk of injury: using developmental science to improve interventions’, </w:t>
      </w:r>
      <w:r w:rsidRPr="008A7F46">
        <w:rPr>
          <w:i/>
        </w:rPr>
        <w:t>Injury Prevention</w:t>
      </w:r>
      <w:r>
        <w:t>, 17: 50-54, &lt;</w:t>
      </w:r>
      <w:hyperlink r:id="rId82" w:history="1">
        <w:r w:rsidRPr="00EA04CB">
          <w:rPr>
            <w:rStyle w:val="Hyperlink"/>
          </w:rPr>
          <w:t>https://www.ncbi.nlm.nih.gov/pmc/articles/PMC4405033/</w:t>
        </w:r>
      </w:hyperlink>
      <w:r>
        <w:t>&gt;..</w:t>
      </w:r>
    </w:p>
  </w:endnote>
  <w:endnote w:id="114">
    <w:p w14:paraId="76DD1D1B" w14:textId="77777777" w:rsidR="003C7C88" w:rsidRDefault="003C7C88">
      <w:pPr>
        <w:pStyle w:val="Footnote"/>
      </w:pPr>
      <w:r>
        <w:rPr>
          <w:rStyle w:val="EndnoteReference"/>
        </w:rPr>
        <w:endnoteRef/>
      </w:r>
      <w:r>
        <w:t xml:space="preserve">  Giedd JN 2004, ‘Structural magnetic resonance imaging of the adolescent brain’, </w:t>
      </w:r>
      <w:r w:rsidRPr="00C60C38">
        <w:rPr>
          <w:i/>
        </w:rPr>
        <w:t>Annals of the New York Academy of Sciences</w:t>
      </w:r>
      <w:r>
        <w:t>, 1021, 77-85, &lt;</w:t>
      </w:r>
      <w:r w:rsidRPr="008101AA">
        <w:t xml:space="preserve"> </w:t>
      </w:r>
      <w:hyperlink r:id="rId83" w:history="1">
        <w:r w:rsidRPr="00EA04CB">
          <w:rPr>
            <w:rStyle w:val="Hyperlink"/>
          </w:rPr>
          <w:t>https://nyaspubs.onlinelibrary.wiley.com/doi/abs/10.1196/annals.1308.009</w:t>
        </w:r>
      </w:hyperlink>
      <w:r>
        <w:t xml:space="preserve">&gt;; Gogtay N, Giedd J, Lusk, L, </w:t>
      </w:r>
      <w:r w:rsidRPr="00EC5DAE">
        <w:t>Hayashi</w:t>
      </w:r>
      <w:r>
        <w:t xml:space="preserve"> KM</w:t>
      </w:r>
      <w:r w:rsidRPr="00EC5DAE">
        <w:t>, Greenstein</w:t>
      </w:r>
      <w:r>
        <w:t xml:space="preserve"> D</w:t>
      </w:r>
      <w:r w:rsidRPr="00EC5DAE">
        <w:t>, Vaituzis</w:t>
      </w:r>
      <w:r>
        <w:t xml:space="preserve"> AC</w:t>
      </w:r>
      <w:r w:rsidRPr="00EC5DAE">
        <w:t>, Nugent</w:t>
      </w:r>
      <w:r>
        <w:t xml:space="preserve"> TF</w:t>
      </w:r>
      <w:r w:rsidRPr="00EC5DAE">
        <w:t xml:space="preserve"> III, Herman</w:t>
      </w:r>
      <w:r>
        <w:t xml:space="preserve"> DH</w:t>
      </w:r>
      <w:r w:rsidRPr="00EC5DAE">
        <w:t>, Clasen</w:t>
      </w:r>
      <w:r>
        <w:t xml:space="preserve"> LS</w:t>
      </w:r>
      <w:r w:rsidRPr="00EC5DAE">
        <w:t>, Toga</w:t>
      </w:r>
      <w:r>
        <w:t xml:space="preserve"> AW</w:t>
      </w:r>
      <w:r w:rsidRPr="00EC5DAE">
        <w:t>, Rapoport</w:t>
      </w:r>
      <w:r>
        <w:t xml:space="preserve"> JL</w:t>
      </w:r>
      <w:r w:rsidRPr="00EC5DAE">
        <w:t xml:space="preserve"> </w:t>
      </w:r>
      <w:r>
        <w:t>&amp;</w:t>
      </w:r>
      <w:r w:rsidRPr="00EC5DAE">
        <w:t xml:space="preserve"> Thompson</w:t>
      </w:r>
      <w:r>
        <w:t xml:space="preserve"> PM, 2004, ‘Dynamic mapping of human cortical development during childhood through early adulthood’, </w:t>
      </w:r>
      <w:r w:rsidRPr="00B43964">
        <w:rPr>
          <w:i/>
        </w:rPr>
        <w:t>Proceedings of the National Academy of Sciences</w:t>
      </w:r>
      <w:r>
        <w:t>, Washington DC, USA, 101(21), 8174-8179, &lt;</w:t>
      </w:r>
      <w:hyperlink r:id="rId84" w:history="1">
        <w:r w:rsidRPr="00EA04CB">
          <w:rPr>
            <w:rStyle w:val="Hyperlink"/>
          </w:rPr>
          <w:t>http://www.pnas.org/content/101/21/8174</w:t>
        </w:r>
      </w:hyperlink>
      <w:r>
        <w:t>&gt;;</w:t>
      </w:r>
      <w:r w:rsidRPr="00C55BD3">
        <w:t xml:space="preserve"> </w:t>
      </w:r>
      <w:r>
        <w:t xml:space="preserve"> Lewis-Evans B 2010, ‘Crash involvement during the different phases of the New Zealand Graduated Driver Licensing System (GDLS)’, </w:t>
      </w:r>
      <w:r w:rsidRPr="00B43964">
        <w:rPr>
          <w:i/>
        </w:rPr>
        <w:t>Journal of Safety Research</w:t>
      </w:r>
      <w:r>
        <w:t>,</w:t>
      </w:r>
      <w:r w:rsidRPr="00B43964">
        <w:t xml:space="preserve"> </w:t>
      </w:r>
      <w:r>
        <w:t>41, 359–365, &lt;</w:t>
      </w:r>
      <w:hyperlink r:id="rId85" w:history="1">
        <w:r w:rsidRPr="00EA04CB">
          <w:rPr>
            <w:rStyle w:val="Hyperlink"/>
          </w:rPr>
          <w:t>https://www.sciencedirect.com/science/article/pii/S0022437510000654?via%3Dihub</w:t>
        </w:r>
      </w:hyperlink>
      <w:r>
        <w:t>&gt;.</w:t>
      </w:r>
    </w:p>
  </w:endnote>
  <w:endnote w:id="115">
    <w:p w14:paraId="1BB296A9" w14:textId="77777777" w:rsidR="003C7C88" w:rsidRDefault="003C7C88">
      <w:pPr>
        <w:pStyle w:val="Footnote"/>
      </w:pPr>
      <w:r>
        <w:rPr>
          <w:rStyle w:val="EndnoteReference"/>
        </w:rPr>
        <w:endnoteRef/>
      </w:r>
      <w:r>
        <w:t xml:space="preserve">  Gogtay, N et al. 2004, ‘Dynamic mapping of human cortical development during childhood through early adulthood’, </w:t>
      </w:r>
      <w:r w:rsidRPr="00B43964">
        <w:rPr>
          <w:i/>
        </w:rPr>
        <w:t>Proceedings of the National Academy of Sciences</w:t>
      </w:r>
      <w:r>
        <w:t>, Washington DC, USA, 101(21), 8174-8179, &lt;</w:t>
      </w:r>
      <w:hyperlink r:id="rId86" w:history="1">
        <w:r w:rsidRPr="00EA04CB">
          <w:rPr>
            <w:rStyle w:val="Hyperlink"/>
          </w:rPr>
          <w:t>http://www.pnas.org/content/101/21/8174</w:t>
        </w:r>
      </w:hyperlink>
      <w:r>
        <w:t>&gt;.</w:t>
      </w:r>
    </w:p>
  </w:endnote>
  <w:endnote w:id="116">
    <w:p w14:paraId="2D4AA2FE" w14:textId="77777777" w:rsidR="003C7C88" w:rsidRDefault="003C7C88">
      <w:pPr>
        <w:pStyle w:val="Footnote"/>
      </w:pPr>
      <w:r>
        <w:rPr>
          <w:rStyle w:val="EndnoteReference"/>
        </w:rPr>
        <w:endnoteRef/>
      </w:r>
      <w:r>
        <w:t xml:space="preserve">  Gregersen N-P 1996, ‘Young drivers’ overestimation of their own skill—an experiment on the relation between training strategy and skill’, </w:t>
      </w:r>
      <w:r w:rsidRPr="00B16C8A">
        <w:rPr>
          <w:i/>
        </w:rPr>
        <w:t xml:space="preserve">Accident Analysis </w:t>
      </w:r>
      <w:r>
        <w:rPr>
          <w:i/>
        </w:rPr>
        <w:t>and</w:t>
      </w:r>
      <w:r w:rsidRPr="00B16C8A">
        <w:rPr>
          <w:i/>
        </w:rPr>
        <w:t xml:space="preserve"> Prevention</w:t>
      </w:r>
      <w:r>
        <w:t>, 28, 243–250.</w:t>
      </w:r>
    </w:p>
  </w:endnote>
  <w:endnote w:id="117">
    <w:p w14:paraId="235BBCB2" w14:textId="77777777" w:rsidR="003C7C88" w:rsidRDefault="003C7C88">
      <w:pPr>
        <w:pStyle w:val="Footnote"/>
      </w:pPr>
      <w:r>
        <w:rPr>
          <w:rStyle w:val="EndnoteReference"/>
        </w:rPr>
        <w:endnoteRef/>
      </w:r>
      <w:r>
        <w:t xml:space="preserve">  Carskadon, MA 2011, ‘Sleep in adolescents: the perfect storm’, </w:t>
      </w:r>
      <w:r w:rsidRPr="00151127">
        <w:rPr>
          <w:i/>
        </w:rPr>
        <w:t>Pediatric Clinics of North America</w:t>
      </w:r>
      <w:r>
        <w:t>, 58: 637-647.</w:t>
      </w:r>
    </w:p>
  </w:endnote>
  <w:endnote w:id="118">
    <w:p w14:paraId="1162CB03" w14:textId="77777777" w:rsidR="003C7C88" w:rsidRDefault="003C7C88">
      <w:pPr>
        <w:pStyle w:val="Footnote"/>
      </w:pPr>
      <w:r>
        <w:rPr>
          <w:rStyle w:val="EndnoteReference"/>
        </w:rPr>
        <w:endnoteRef/>
      </w:r>
      <w:r w:rsidRPr="005F4131">
        <w:t xml:space="preserve"> </w:t>
      </w:r>
      <w:r>
        <w:t xml:space="preserve"> Senserrick T &amp; Williams AF 2015, </w:t>
      </w:r>
      <w:r w:rsidRPr="00CD124D">
        <w:rPr>
          <w:i/>
        </w:rPr>
        <w:t>Summary of Literature of the Effective Components of Graduated Driver Licensing Systems</w:t>
      </w:r>
      <w:r>
        <w:t>, Austroads</w:t>
      </w:r>
      <w:r w:rsidRPr="00CD124D">
        <w:rPr>
          <w:lang w:eastAsia="en-AU"/>
        </w:rPr>
        <w:t xml:space="preserve"> </w:t>
      </w:r>
      <w:r w:rsidRPr="009033E4">
        <w:rPr>
          <w:lang w:eastAsia="en-AU"/>
        </w:rPr>
        <w:t>Project SS1707</w:t>
      </w:r>
      <w:r>
        <w:rPr>
          <w:lang w:eastAsia="en-AU"/>
        </w:rPr>
        <w:t>,</w:t>
      </w:r>
      <w:r w:rsidRPr="0089229A">
        <w:rPr>
          <w:lang w:eastAsia="en-AU"/>
        </w:rPr>
        <w:t xml:space="preserve"> </w:t>
      </w:r>
      <w:r>
        <w:rPr>
          <w:lang w:eastAsia="en-AU"/>
        </w:rPr>
        <w:t xml:space="preserve">February </w:t>
      </w:r>
      <w:r w:rsidRPr="00691BB7">
        <w:rPr>
          <w:lang w:eastAsia="en-AU"/>
        </w:rPr>
        <w:t>201</w:t>
      </w:r>
      <w:r>
        <w:rPr>
          <w:lang w:eastAsia="en-AU"/>
        </w:rPr>
        <w:t>5</w:t>
      </w:r>
      <w:r>
        <w:t>, p2,</w:t>
      </w:r>
      <w:r>
        <w:rPr>
          <w:lang w:eastAsia="en-AU"/>
        </w:rPr>
        <w:t xml:space="preserve"> &lt;</w:t>
      </w:r>
      <w:hyperlink r:id="rId87" w:history="1">
        <w:r w:rsidRPr="008B61B4">
          <w:rPr>
            <w:rStyle w:val="Hyperlink"/>
            <w:lang w:eastAsia="en-AU"/>
          </w:rPr>
          <w:t>https://www.parliament.vic.gov.au/images/Attachment_to_Submission_no._75_-_Literature_Review_of_Effective_Components_of_Graduated_Licensing_Schemes.pdf</w:t>
        </w:r>
      </w:hyperlink>
      <w:r>
        <w:t>&gt;.</w:t>
      </w:r>
    </w:p>
  </w:endnote>
  <w:endnote w:id="119">
    <w:p w14:paraId="1612FD78" w14:textId="77777777" w:rsidR="003C7C88" w:rsidRDefault="003C7C88">
      <w:pPr>
        <w:pStyle w:val="Footnote"/>
      </w:pPr>
      <w:r>
        <w:rPr>
          <w:rStyle w:val="EndnoteReference"/>
        </w:rPr>
        <w:endnoteRef/>
      </w:r>
      <w:r>
        <w:t xml:space="preserve">  Gregersen NP 1996, ‘Young drivers’ overestimation of their own skill—an experiment on the relation between training strategy and skill’, </w:t>
      </w:r>
      <w:r w:rsidRPr="00B16C8A">
        <w:rPr>
          <w:i/>
        </w:rPr>
        <w:t xml:space="preserve">Accident Analysis </w:t>
      </w:r>
      <w:r>
        <w:rPr>
          <w:i/>
        </w:rPr>
        <w:t>and</w:t>
      </w:r>
      <w:r w:rsidRPr="00B16C8A">
        <w:rPr>
          <w:i/>
        </w:rPr>
        <w:t xml:space="preserve"> Prevention</w:t>
      </w:r>
      <w:r>
        <w:t>, 28, 243–250, &lt;</w:t>
      </w:r>
      <w:hyperlink r:id="rId88" w:history="1">
        <w:r>
          <w:rPr>
            <w:rStyle w:val="Hyperlink"/>
          </w:rPr>
          <w:t>https://www.sciencedirect.com/science/article/pii/0001457595000666?via%3Dihub</w:t>
        </w:r>
      </w:hyperlink>
      <w:r>
        <w:t>&gt;.</w:t>
      </w:r>
    </w:p>
  </w:endnote>
  <w:endnote w:id="120">
    <w:p w14:paraId="7192B417" w14:textId="77777777" w:rsidR="003C7C88" w:rsidRDefault="003C7C88">
      <w:pPr>
        <w:pStyle w:val="Footnote"/>
      </w:pPr>
      <w:r>
        <w:rPr>
          <w:rStyle w:val="EndnoteReference"/>
        </w:rPr>
        <w:endnoteRef/>
      </w:r>
      <w:r>
        <w:t xml:space="preserve">  Oxley J, Charlton J, Starkey N &amp; Isler R 2014, </w:t>
      </w:r>
      <w:r w:rsidRPr="00B16C8A">
        <w:rPr>
          <w:i/>
        </w:rPr>
        <w:t>Understanding novice driver behaviour - Review of Literature</w:t>
      </w:r>
      <w:r w:rsidRPr="00B16C8A">
        <w:t>,</w:t>
      </w:r>
      <w:r>
        <w:t xml:space="preserve"> </w:t>
      </w:r>
      <w:r w:rsidRPr="00B16C8A">
        <w:t>Monash University Accident Research Centre</w:t>
      </w:r>
      <w:r>
        <w:t xml:space="preserve">, </w:t>
      </w:r>
      <w:r w:rsidRPr="00B16C8A">
        <w:t>Monash Injury Research Institute</w:t>
      </w:r>
      <w:r>
        <w:t>, and University of Waikato, New Zealand, p8.</w:t>
      </w:r>
    </w:p>
  </w:endnote>
  <w:endnote w:id="121">
    <w:p w14:paraId="2413CBD8" w14:textId="77777777" w:rsidR="003C7C88" w:rsidRDefault="003C7C88">
      <w:pPr>
        <w:pStyle w:val="Footnote"/>
      </w:pPr>
      <w:r>
        <w:rPr>
          <w:rStyle w:val="EndnoteReference"/>
        </w:rPr>
        <w:endnoteRef/>
      </w:r>
      <w:r>
        <w:t xml:space="preserve">  National Research Council 2007, </w:t>
      </w:r>
      <w:r w:rsidRPr="00B62158">
        <w:rPr>
          <w:i/>
        </w:rPr>
        <w:t>Preventing Teen Motor Crashes: Contributions from the Behavioral and Social Sciences: Workshop Report</w:t>
      </w:r>
      <w:r>
        <w:t xml:space="preserve">, </w:t>
      </w:r>
      <w:r w:rsidRPr="00B62158">
        <w:t>National Academy of Sciences</w:t>
      </w:r>
      <w:r>
        <w:t>, Washington DC, USA, Chapter 3, p19.</w:t>
      </w:r>
    </w:p>
  </w:endnote>
  <w:endnote w:id="122">
    <w:p w14:paraId="267FF01E" w14:textId="77777777" w:rsidR="003C7C88" w:rsidRDefault="003C7C88">
      <w:pPr>
        <w:pStyle w:val="Footnote"/>
      </w:pPr>
      <w:r>
        <w:rPr>
          <w:rStyle w:val="EndnoteReference"/>
        </w:rPr>
        <w:endnoteRef/>
      </w:r>
      <w:r>
        <w:t xml:space="preserve">  Allen JP, Porter MR, McFarland CF, Marsh PA &amp; McElhaney KB 2005, The two faces of adolescents’ success with peers: Adolescent popularity, social adaptation, and deviant behavior. </w:t>
      </w:r>
      <w:r w:rsidRPr="00B62158">
        <w:rPr>
          <w:i/>
        </w:rPr>
        <w:t>Child Development</w:t>
      </w:r>
      <w:r>
        <w:t>, 76, 747-760.</w:t>
      </w:r>
    </w:p>
  </w:endnote>
  <w:endnote w:id="123">
    <w:p w14:paraId="152B6FCA" w14:textId="77777777" w:rsidR="003C7C88" w:rsidRDefault="003C7C88">
      <w:pPr>
        <w:pStyle w:val="Footnote"/>
      </w:pPr>
      <w:r>
        <w:rPr>
          <w:rStyle w:val="EndnoteReference"/>
        </w:rPr>
        <w:endnoteRef/>
      </w:r>
      <w:r>
        <w:t xml:space="preserve">  National Research Council 2007, </w:t>
      </w:r>
      <w:r w:rsidRPr="00B62158">
        <w:rPr>
          <w:i/>
        </w:rPr>
        <w:t>Preventing Teen Motor Crashes: Contributions from the Behavioral and Social Sciences: Workshop Report</w:t>
      </w:r>
      <w:r>
        <w:t xml:space="preserve">, </w:t>
      </w:r>
      <w:r w:rsidRPr="00B62158">
        <w:t>National Academy of Sciences</w:t>
      </w:r>
      <w:r>
        <w:t>, Washington DC, USA, Chapter 3, p20.</w:t>
      </w:r>
    </w:p>
  </w:endnote>
  <w:endnote w:id="124">
    <w:p w14:paraId="3E6C5766" w14:textId="77777777" w:rsidR="003C7C88" w:rsidRDefault="003C7C88">
      <w:pPr>
        <w:pStyle w:val="Footnote"/>
      </w:pPr>
      <w:r>
        <w:rPr>
          <w:rStyle w:val="EndnoteReference"/>
        </w:rPr>
        <w:endnoteRef/>
      </w:r>
      <w:r>
        <w:t xml:space="preserve">  ibid., p20-21.</w:t>
      </w:r>
    </w:p>
  </w:endnote>
  <w:endnote w:id="125">
    <w:p w14:paraId="5D61B4AD" w14:textId="77777777" w:rsidR="003C7C88" w:rsidRDefault="003C7C88">
      <w:pPr>
        <w:pStyle w:val="Footnote"/>
      </w:pPr>
      <w:r>
        <w:rPr>
          <w:rStyle w:val="EndnoteReference"/>
        </w:rPr>
        <w:endnoteRef/>
      </w:r>
      <w:r>
        <w:t xml:space="preserve">  Dahl R 2008, ‘Biological, developmental, and neurobehavioral factors relevant to adolescent driving risks’, </w:t>
      </w:r>
      <w:r w:rsidRPr="002213BA">
        <w:rPr>
          <w:i/>
        </w:rPr>
        <w:t>American Journal of Preventative Medicine</w:t>
      </w:r>
      <w:r>
        <w:t>, 35 (3S), S278-284.</w:t>
      </w:r>
    </w:p>
  </w:endnote>
  <w:endnote w:id="126">
    <w:p w14:paraId="085D3BC6" w14:textId="77777777" w:rsidR="003C7C88" w:rsidRDefault="003C7C88">
      <w:pPr>
        <w:pStyle w:val="Footnote"/>
      </w:pPr>
      <w:r>
        <w:rPr>
          <w:rStyle w:val="EndnoteReference"/>
        </w:rPr>
        <w:endnoteRef/>
      </w:r>
      <w:r>
        <w:t xml:space="preserve">  Mokdad AH, Marks JS, Stroup, DF &amp; Gerberding JL 2000, ‘Actual causes of death in the United States’, </w:t>
      </w:r>
      <w:r w:rsidRPr="00CF28ED">
        <w:rPr>
          <w:i/>
        </w:rPr>
        <w:t>Journal of the American Medical Association</w:t>
      </w:r>
      <w:r>
        <w:t xml:space="preserve">, 291(10), 1238-1245, referred to in National Research Council 2007, </w:t>
      </w:r>
      <w:r w:rsidRPr="00B62158">
        <w:rPr>
          <w:i/>
        </w:rPr>
        <w:t>Preventing Teen Motor Crashes: Contributions from the Behavioral and Social Sciences: Workshop Report</w:t>
      </w:r>
      <w:r>
        <w:t xml:space="preserve">, </w:t>
      </w:r>
      <w:r w:rsidRPr="00B62158">
        <w:t>National Academy of Sciences</w:t>
      </w:r>
      <w:r>
        <w:t>, Washington DC, USA, Chapter 3, p20.</w:t>
      </w:r>
    </w:p>
  </w:endnote>
  <w:endnote w:id="127">
    <w:p w14:paraId="7BCAD61F" w14:textId="77777777" w:rsidR="003C7C88" w:rsidRDefault="003C7C88">
      <w:pPr>
        <w:pStyle w:val="Footnote"/>
      </w:pPr>
      <w:r>
        <w:rPr>
          <w:rStyle w:val="EndnoteReference"/>
        </w:rPr>
        <w:endnoteRef/>
      </w:r>
      <w:r>
        <w:t xml:space="preserve">  </w:t>
      </w:r>
      <w:r w:rsidRPr="003E31EF">
        <w:t>Australian Institute of Family Studies</w:t>
      </w:r>
      <w:r>
        <w:t xml:space="preserve"> 2010, </w:t>
      </w:r>
      <w:r w:rsidRPr="00483FEE">
        <w:rPr>
          <w:i/>
        </w:rPr>
        <w:t>In The Drivers Seat II – Beyond The Early Driving Years</w:t>
      </w:r>
      <w:r>
        <w:t>, &lt;</w:t>
      </w:r>
      <w:hyperlink r:id="rId89" w:history="1">
        <w:r w:rsidRPr="004371F5">
          <w:rPr>
            <w:rStyle w:val="Hyperlink"/>
          </w:rPr>
          <w:t>https://aifs.gov.au/publications/drivers-seat-ii</w:t>
        </w:r>
      </w:hyperlink>
      <w:r>
        <w:t>&gt;.</w:t>
      </w:r>
    </w:p>
  </w:endnote>
  <w:endnote w:id="128">
    <w:p w14:paraId="2F855022" w14:textId="77777777" w:rsidR="003C7C88" w:rsidRDefault="003C7C88">
      <w:pPr>
        <w:pStyle w:val="Footnote"/>
      </w:pPr>
      <w:r>
        <w:rPr>
          <w:rStyle w:val="EndnoteReference"/>
        </w:rPr>
        <w:endnoteRef/>
      </w:r>
      <w:r>
        <w:t xml:space="preserve">  Delhomme P, Chaurand</w:t>
      </w:r>
      <w:r>
        <w:rPr>
          <w:rFonts w:ascii="Cambria Math" w:hAnsi="Cambria Math" w:cs="Cambria Math"/>
        </w:rPr>
        <w:t xml:space="preserve"> N</w:t>
      </w:r>
      <w:r>
        <w:t xml:space="preserve">, &amp; Paran F 2012, ‘Personality predictors of speeding in young drivers: Anger vs. sensation seeking’, </w:t>
      </w:r>
      <w:r w:rsidRPr="00493AD4">
        <w:rPr>
          <w:i/>
        </w:rPr>
        <w:t>Transportation Research Part F: Traffic Psychology and Behaviour</w:t>
      </w:r>
      <w:r>
        <w:t>,</w:t>
      </w:r>
      <w:r w:rsidRPr="00493AD4">
        <w:t xml:space="preserve"> 15</w:t>
      </w:r>
      <w:r>
        <w:t>,</w:t>
      </w:r>
      <w:r w:rsidRPr="00493AD4">
        <w:t xml:space="preserve"> 654–666</w:t>
      </w:r>
      <w:r>
        <w:t xml:space="preserve"> at 664.</w:t>
      </w:r>
    </w:p>
  </w:endnote>
  <w:endnote w:id="129">
    <w:p w14:paraId="285FFF58" w14:textId="77777777" w:rsidR="003C7C88" w:rsidRDefault="003C7C88">
      <w:pPr>
        <w:pStyle w:val="Footnote"/>
      </w:pPr>
      <w:r>
        <w:rPr>
          <w:rStyle w:val="EndnoteReference"/>
        </w:rPr>
        <w:endnoteRef/>
      </w:r>
      <w:r>
        <w:t xml:space="preserve">  Waylen A &amp; McKenna F 2002, </w:t>
      </w:r>
      <w:r w:rsidRPr="00F22C6B">
        <w:t>Cradle attitudes – grave consequences: the development of gender differences in risky attitudes and behaviour in road use</w:t>
      </w:r>
      <w:r>
        <w:t xml:space="preserve">, AA Foundation for Road Safety Research, </w:t>
      </w:r>
      <w:r w:rsidRPr="008604B2">
        <w:t>Basingstoke, Ha</w:t>
      </w:r>
      <w:r>
        <w:t>mp</w:t>
      </w:r>
      <w:r w:rsidRPr="008604B2">
        <w:t>s</w:t>
      </w:r>
      <w:r>
        <w:t>hire,</w:t>
      </w:r>
      <w:r w:rsidRPr="008604B2">
        <w:t xml:space="preserve"> United Kingdom</w:t>
      </w:r>
      <w:r>
        <w:t>, &lt;</w:t>
      </w:r>
      <w:hyperlink r:id="rId90" w:history="1">
        <w:r w:rsidRPr="00B259B8">
          <w:rPr>
            <w:rStyle w:val="Hyperlink"/>
          </w:rPr>
          <w:t>https://trid.trb.org/view.aspx?id=719776</w:t>
        </w:r>
      </w:hyperlink>
      <w:r>
        <w:t>&gt;.</w:t>
      </w:r>
    </w:p>
  </w:endnote>
  <w:endnote w:id="130">
    <w:p w14:paraId="05D3A864" w14:textId="77777777" w:rsidR="003C7C88" w:rsidRDefault="003C7C88">
      <w:pPr>
        <w:pStyle w:val="Footnote"/>
      </w:pPr>
      <w:r>
        <w:rPr>
          <w:rStyle w:val="EndnoteReference"/>
        </w:rPr>
        <w:endnoteRef/>
      </w:r>
      <w:r>
        <w:t xml:space="preserve">  Zuckerman M 1994</w:t>
      </w:r>
      <w:r w:rsidRPr="00F22C6B">
        <w:t>, Impulsive unsocialized sensation seeking: the biological foundations of a</w:t>
      </w:r>
      <w:r>
        <w:t xml:space="preserve"> basic dimension of personality, </w:t>
      </w:r>
      <w:r>
        <w:br/>
        <w:t xml:space="preserve">in </w:t>
      </w:r>
      <w:r w:rsidRPr="00FF05A6">
        <w:t xml:space="preserve">Bates </w:t>
      </w:r>
      <w:r>
        <w:t xml:space="preserve">JE &amp; </w:t>
      </w:r>
      <w:r w:rsidRPr="00FF05A6">
        <w:t>Wachs</w:t>
      </w:r>
      <w:r>
        <w:t xml:space="preserve"> TD</w:t>
      </w:r>
      <w:r w:rsidRPr="00FF05A6">
        <w:t xml:space="preserve"> (</w:t>
      </w:r>
      <w:r>
        <w:t>e</w:t>
      </w:r>
      <w:r w:rsidRPr="00FF05A6">
        <w:t>ds</w:t>
      </w:r>
      <w:r>
        <w:t>.</w:t>
      </w:r>
      <w:r w:rsidRPr="00FF05A6">
        <w:t xml:space="preserve">), </w:t>
      </w:r>
      <w:r w:rsidRPr="00FF05A6">
        <w:rPr>
          <w:i/>
          <w:iCs/>
        </w:rPr>
        <w:t>APA science Vols. Temperament: Individual differences at the interface of biology and behavior</w:t>
      </w:r>
      <w:r w:rsidRPr="00FF05A6">
        <w:t xml:space="preserve"> </w:t>
      </w:r>
      <w:r>
        <w:br/>
        <w:t>(pp. 219-255),</w:t>
      </w:r>
      <w:r w:rsidRPr="00FF05A6">
        <w:t xml:space="preserve"> American Psychological Association</w:t>
      </w:r>
      <w:r>
        <w:t>,</w:t>
      </w:r>
      <w:r w:rsidRPr="00FF05A6">
        <w:t xml:space="preserve"> Washington, DC, US</w:t>
      </w:r>
      <w:r>
        <w:t>A, &lt;</w:t>
      </w:r>
      <w:hyperlink r:id="rId91" w:history="1">
        <w:r w:rsidRPr="00B259B8">
          <w:rPr>
            <w:rStyle w:val="Hyperlink"/>
          </w:rPr>
          <w:t>http://psycnet.apa.org/doi/10.1037/10149-008</w:t>
        </w:r>
      </w:hyperlink>
      <w:r>
        <w:t>&gt;.</w:t>
      </w:r>
    </w:p>
  </w:endnote>
  <w:endnote w:id="131">
    <w:p w14:paraId="23EFBA81" w14:textId="77777777" w:rsidR="003C7C88" w:rsidRDefault="003C7C88">
      <w:pPr>
        <w:pStyle w:val="Footnote"/>
      </w:pPr>
      <w:r>
        <w:rPr>
          <w:rStyle w:val="EndnoteReference"/>
        </w:rPr>
        <w:endnoteRef/>
      </w:r>
      <w:r>
        <w:t xml:space="preserve">  Jacobsohn L, Garcia-Espana JF, Durbin DR, </w:t>
      </w:r>
      <w:r w:rsidRPr="009509C5">
        <w:t>Erkoboni</w:t>
      </w:r>
      <w:r>
        <w:t xml:space="preserve"> D</w:t>
      </w:r>
      <w:r w:rsidRPr="009509C5">
        <w:t xml:space="preserve"> </w:t>
      </w:r>
      <w:r>
        <w:t xml:space="preserve">&amp; </w:t>
      </w:r>
      <w:r w:rsidRPr="009509C5">
        <w:t>Winston</w:t>
      </w:r>
      <w:r>
        <w:t xml:space="preserve"> FK 2012, ‘Adult-supervised practice driving for adolescent learners: The current state and directions for interventions’, </w:t>
      </w:r>
      <w:r w:rsidRPr="00A84A46">
        <w:rPr>
          <w:i/>
        </w:rPr>
        <w:t>Journal of Safety Research</w:t>
      </w:r>
      <w:r>
        <w:t>, 2012, 43(1), 21-28, &lt;</w:t>
      </w:r>
      <w:hyperlink r:id="rId92" w:history="1">
        <w:r w:rsidRPr="00B259B8">
          <w:rPr>
            <w:rStyle w:val="Hyperlink"/>
          </w:rPr>
          <w:t>https://www.sciencedirect.com/science/article/pii/S0022437511001605?via%3Dihub</w:t>
        </w:r>
      </w:hyperlink>
      <w:r>
        <w:t>&gt;.</w:t>
      </w:r>
    </w:p>
  </w:endnote>
  <w:endnote w:id="132">
    <w:p w14:paraId="3ED2A6DA" w14:textId="77777777" w:rsidR="003C7C88" w:rsidRDefault="003C7C88">
      <w:pPr>
        <w:pStyle w:val="Footnote"/>
      </w:pPr>
      <w:r>
        <w:rPr>
          <w:rStyle w:val="EndnoteReference"/>
        </w:rPr>
        <w:endnoteRef/>
      </w:r>
      <w:r>
        <w:t xml:space="preserve">  Young Driver Factbase 2017, &lt;</w:t>
      </w:r>
      <w:hyperlink r:id="rId93" w:history="1">
        <w:r w:rsidRPr="00A2324A">
          <w:rPr>
            <w:rStyle w:val="Hyperlink"/>
          </w:rPr>
          <w:t>https://www.youngdriverfactbase.com/key-statistics</w:t>
        </w:r>
      </w:hyperlink>
      <w:r>
        <w:t>&gt;.</w:t>
      </w:r>
    </w:p>
  </w:endnote>
  <w:endnote w:id="133">
    <w:p w14:paraId="3257D7AE" w14:textId="77777777" w:rsidR="003C7C88" w:rsidRDefault="003C7C88">
      <w:pPr>
        <w:pStyle w:val="Footnote"/>
      </w:pPr>
      <w:r>
        <w:rPr>
          <w:rStyle w:val="EndnoteReference"/>
        </w:rPr>
        <w:endnoteRef/>
      </w:r>
      <w:r>
        <w:t xml:space="preserve">  Forsyth E, Maycock G &amp; Sexton B 1995. </w:t>
      </w:r>
      <w:r w:rsidRPr="00FC7BF4">
        <w:t>Cohort Study of Learner and Novice Drivers: Part 3 – Accidents, offences and driving experience in the first three years of driving</w:t>
      </w:r>
      <w:r>
        <w:t>, Project Report 111, Transport Research Laboratory, Crowthorne, UK.</w:t>
      </w:r>
    </w:p>
  </w:endnote>
  <w:endnote w:id="134">
    <w:p w14:paraId="6EFA09EC" w14:textId="77777777" w:rsidR="003C7C88" w:rsidRDefault="003C7C88">
      <w:pPr>
        <w:pStyle w:val="Footnote"/>
      </w:pPr>
      <w:r>
        <w:rPr>
          <w:rStyle w:val="EndnoteReference"/>
        </w:rPr>
        <w:endnoteRef/>
      </w:r>
      <w:r>
        <w:t xml:space="preserve">  Pack AI, Pack AM, Rodgman E, Cucchiara A, Dinges DF, &amp; Schwab CW 1995, ‘Characteristics of crashes attributed to the driver having fallen asleep’, </w:t>
      </w:r>
      <w:r w:rsidRPr="00C33C99">
        <w:rPr>
          <w:i/>
        </w:rPr>
        <w:t>Accid</w:t>
      </w:r>
      <w:r>
        <w:rPr>
          <w:i/>
        </w:rPr>
        <w:t>ent</w:t>
      </w:r>
      <w:r w:rsidRPr="00C33C99">
        <w:rPr>
          <w:i/>
        </w:rPr>
        <w:t xml:space="preserve"> Anal</w:t>
      </w:r>
      <w:r>
        <w:rPr>
          <w:i/>
        </w:rPr>
        <w:t>ysis and</w:t>
      </w:r>
      <w:r w:rsidRPr="00C33C99">
        <w:rPr>
          <w:i/>
        </w:rPr>
        <w:t xml:space="preserve"> Prev</w:t>
      </w:r>
      <w:r>
        <w:rPr>
          <w:i/>
        </w:rPr>
        <w:t>ention</w:t>
      </w:r>
      <w:r>
        <w:t>, 27(6), 769–775, &lt;</w:t>
      </w:r>
      <w:hyperlink r:id="rId94" w:history="1">
        <w:r w:rsidRPr="00B259B8">
          <w:rPr>
            <w:rStyle w:val="Hyperlink"/>
          </w:rPr>
          <w:t>https://pdfs.semanticscholar.org/4033/95a2b55be1269f17745c7436f1746d402645.pdf</w:t>
        </w:r>
      </w:hyperlink>
      <w:r>
        <w:t xml:space="preserve">&gt;; Wang J, Knipling R &amp; Goodman M 1996, </w:t>
      </w:r>
      <w:r w:rsidRPr="00C33C99">
        <w:rPr>
          <w:i/>
        </w:rPr>
        <w:t>The role of driver inattention in crashes: new statistics from the 1995 crashworthiness data system</w:t>
      </w:r>
      <w:r>
        <w:t>, 40th Annual Proceedings, 7-9 October, Association for the Advancement of Automotive Medicine, Vancouver, British Columbia, Canada, pp. 377–392, &lt;</w:t>
      </w:r>
      <w:hyperlink r:id="rId95" w:history="1">
        <w:r w:rsidRPr="00B259B8">
          <w:rPr>
            <w:rStyle w:val="Hyperlink"/>
          </w:rPr>
          <w:t>https://pdfs.semanticscholar.org/2595/7ca410f731767658dfe6d5d56e40d9e69a1e.pdf</w:t>
        </w:r>
      </w:hyperlink>
      <w:r>
        <w:t>&gt;.</w:t>
      </w:r>
    </w:p>
  </w:endnote>
  <w:endnote w:id="135">
    <w:p w14:paraId="095B892A" w14:textId="77777777" w:rsidR="003C7C88" w:rsidRDefault="003C7C88">
      <w:pPr>
        <w:pStyle w:val="Footnote"/>
      </w:pPr>
      <w:r>
        <w:rPr>
          <w:rStyle w:val="EndnoteReference"/>
        </w:rPr>
        <w:endnoteRef/>
      </w:r>
      <w:r>
        <w:t xml:space="preserve">  Groeger J 2006, ‘Youthfulness, inexperience and sleep loss: the problems young drivers face and those they pose for us’, </w:t>
      </w:r>
      <w:r w:rsidRPr="00975893">
        <w:rPr>
          <w:i/>
        </w:rPr>
        <w:t>Injury Prevention</w:t>
      </w:r>
      <w:r>
        <w:t>, 12(1), i19–i24, &lt;</w:t>
      </w:r>
      <w:hyperlink r:id="rId96" w:history="1">
        <w:r w:rsidRPr="00B259B8">
          <w:rPr>
            <w:rStyle w:val="Hyperlink"/>
          </w:rPr>
          <w:t>https://injuryprevention.bmj.com/content/12/suppl_1/i19.full</w:t>
        </w:r>
      </w:hyperlink>
      <w:r>
        <w:t>&gt;.</w:t>
      </w:r>
    </w:p>
  </w:endnote>
  <w:endnote w:id="136">
    <w:p w14:paraId="17A9CF6D" w14:textId="77777777" w:rsidR="003C7C88" w:rsidRDefault="003C7C88">
      <w:pPr>
        <w:pStyle w:val="Footnote"/>
      </w:pPr>
      <w:r>
        <w:rPr>
          <w:rStyle w:val="EndnoteReference"/>
        </w:rPr>
        <w:endnoteRef/>
      </w:r>
      <w:r>
        <w:t xml:space="preserve">  Oxley J, Charlton J, Starkey N, &amp; Isler R 2014, </w:t>
      </w:r>
      <w:r w:rsidRPr="00B16C8A">
        <w:rPr>
          <w:i/>
        </w:rPr>
        <w:t>Understanding novice driver behaviour - Review of Literature</w:t>
      </w:r>
      <w:r w:rsidRPr="00B16C8A">
        <w:t>,</w:t>
      </w:r>
      <w:r>
        <w:t xml:space="preserve"> </w:t>
      </w:r>
      <w:r w:rsidRPr="00B16C8A">
        <w:t>Monash University Accident Research Centre</w:t>
      </w:r>
      <w:r>
        <w:t xml:space="preserve">, </w:t>
      </w:r>
      <w:r w:rsidRPr="00B16C8A">
        <w:t>Monash Injury Research Institute</w:t>
      </w:r>
      <w:r>
        <w:t>, and University of Waikato, New Zealand, p11.</w:t>
      </w:r>
    </w:p>
  </w:endnote>
  <w:endnote w:id="137">
    <w:p w14:paraId="688740CB" w14:textId="77777777" w:rsidR="003C7C88" w:rsidRDefault="003C7C88">
      <w:pPr>
        <w:pStyle w:val="Footnote"/>
      </w:pPr>
      <w:r>
        <w:rPr>
          <w:rStyle w:val="EndnoteReference"/>
        </w:rPr>
        <w:endnoteRef/>
      </w:r>
      <w:r>
        <w:t xml:space="preserve">  ibid, p9.</w:t>
      </w:r>
    </w:p>
  </w:endnote>
  <w:endnote w:id="138">
    <w:p w14:paraId="27CD8E6E" w14:textId="77777777" w:rsidR="003C7C88" w:rsidRDefault="003C7C88">
      <w:pPr>
        <w:pStyle w:val="Footnote"/>
      </w:pPr>
      <w:r>
        <w:rPr>
          <w:rStyle w:val="EndnoteReference"/>
        </w:rPr>
        <w:endnoteRef/>
      </w:r>
      <w:r>
        <w:t xml:space="preserve">  Dahl R 2008, ‘Biological, developmental, and neurobehavioral factors relevant to adolescent driving risks, </w:t>
      </w:r>
      <w:r w:rsidRPr="00604D6B">
        <w:rPr>
          <w:i/>
        </w:rPr>
        <w:t>American Journal of Preventative Medicine</w:t>
      </w:r>
      <w:r>
        <w:t>, 35 (3S), S278-284, &lt;</w:t>
      </w:r>
      <w:hyperlink r:id="rId97" w:history="1">
        <w:r w:rsidRPr="00B259B8">
          <w:rPr>
            <w:rStyle w:val="Hyperlink"/>
          </w:rPr>
          <w:t>https://www.sciencedirect.com/science/article/pii/S0749379708005175?via%3Dihub</w:t>
        </w:r>
      </w:hyperlink>
      <w:r>
        <w:t>&gt;.</w:t>
      </w:r>
    </w:p>
  </w:endnote>
  <w:endnote w:id="139">
    <w:p w14:paraId="13DDCDE8" w14:textId="77777777" w:rsidR="003C7C88" w:rsidRDefault="003C7C88">
      <w:pPr>
        <w:pStyle w:val="Footnote"/>
      </w:pPr>
      <w:r>
        <w:rPr>
          <w:rStyle w:val="EndnoteReference"/>
        </w:rPr>
        <w:endnoteRef/>
      </w:r>
      <w:r>
        <w:t xml:space="preserve">  Oxley J, Charlton J, Starkey N, &amp; Isler R 2014, </w:t>
      </w:r>
      <w:r w:rsidRPr="00B16C8A">
        <w:rPr>
          <w:i/>
        </w:rPr>
        <w:t>Understanding novice driver behaviour - Review of Literature</w:t>
      </w:r>
      <w:r w:rsidRPr="00B16C8A">
        <w:t>,</w:t>
      </w:r>
      <w:r>
        <w:t xml:space="preserve"> </w:t>
      </w:r>
      <w:r w:rsidRPr="00B16C8A">
        <w:t>Monash University Accident Research Centre</w:t>
      </w:r>
      <w:r>
        <w:t xml:space="preserve">, </w:t>
      </w:r>
      <w:r w:rsidRPr="00B16C8A">
        <w:t>Monash Injury Research Institute</w:t>
      </w:r>
      <w:r>
        <w:t>, and University of Waikato, New Zealand, p9-10.</w:t>
      </w:r>
    </w:p>
  </w:endnote>
  <w:endnote w:id="140">
    <w:p w14:paraId="3F30FCBF" w14:textId="77777777" w:rsidR="003C7C88" w:rsidRDefault="003C7C88">
      <w:pPr>
        <w:pStyle w:val="Footnote"/>
      </w:pPr>
      <w:r>
        <w:rPr>
          <w:rStyle w:val="EndnoteReference"/>
        </w:rPr>
        <w:endnoteRef/>
      </w:r>
      <w:r>
        <w:t xml:space="preserve">  Ferguson S 2003, ‘Other high</w:t>
      </w:r>
      <w:r>
        <w:rPr>
          <w:rFonts w:ascii="Cambria Math" w:hAnsi="Cambria Math" w:cs="Cambria Math"/>
        </w:rPr>
        <w:t>‐</w:t>
      </w:r>
      <w:r>
        <w:t xml:space="preserve">risk factors for young drivers </w:t>
      </w:r>
      <w:r>
        <w:rPr>
          <w:rFonts w:ascii="Arial" w:hAnsi="Arial" w:cs="Arial"/>
        </w:rPr>
        <w:t>–</w:t>
      </w:r>
      <w:r>
        <w:t xml:space="preserve"> how graduated licensing does, doesn’t, or could address them’, </w:t>
      </w:r>
      <w:r w:rsidRPr="00D32908">
        <w:rPr>
          <w:i/>
        </w:rPr>
        <w:t>Journal of Safety Research</w:t>
      </w:r>
      <w:r>
        <w:t>, 34 (2003), 71</w:t>
      </w:r>
      <w:r>
        <w:rPr>
          <w:rFonts w:ascii="Cambria Math" w:hAnsi="Cambria Math" w:cs="Cambria Math"/>
        </w:rPr>
        <w:t>‐</w:t>
      </w:r>
      <w:r>
        <w:t>77, &lt;</w:t>
      </w:r>
      <w:hyperlink r:id="rId98" w:history="1">
        <w:r w:rsidRPr="00B259B8">
          <w:rPr>
            <w:rStyle w:val="Hyperlink"/>
          </w:rPr>
          <w:t>https://www.sciencedirect.com/science/article/pii/S0022437502000828</w:t>
        </w:r>
      </w:hyperlink>
      <w:r>
        <w:t>&gt;.</w:t>
      </w:r>
    </w:p>
  </w:endnote>
  <w:endnote w:id="141">
    <w:p w14:paraId="555CFF75" w14:textId="77777777" w:rsidR="003C7C88" w:rsidRDefault="003C7C88">
      <w:pPr>
        <w:pStyle w:val="Footnote"/>
      </w:pPr>
      <w:r>
        <w:rPr>
          <w:rStyle w:val="EndnoteReference"/>
        </w:rPr>
        <w:endnoteRef/>
      </w:r>
      <w:r>
        <w:t xml:space="preserve">  Horne JA &amp; Reyner LA 1995, ‘Sleep related vehicle accidents’, </w:t>
      </w:r>
      <w:r w:rsidRPr="00E22620">
        <w:rPr>
          <w:i/>
        </w:rPr>
        <w:t>British Medical Journal</w:t>
      </w:r>
      <w:r>
        <w:t>, 6979, 565, 567, &lt;</w:t>
      </w:r>
      <w:hyperlink r:id="rId99" w:history="1">
        <w:r w:rsidRPr="00B259B8">
          <w:rPr>
            <w:rStyle w:val="Hyperlink"/>
          </w:rPr>
          <w:t>https://www.bmj.com/content/310/6979/565</w:t>
        </w:r>
      </w:hyperlink>
      <w:r>
        <w:t>&gt;.</w:t>
      </w:r>
    </w:p>
  </w:endnote>
  <w:endnote w:id="142">
    <w:p w14:paraId="6BC0FDB3" w14:textId="77777777" w:rsidR="003C7C88" w:rsidRDefault="003C7C88">
      <w:pPr>
        <w:pStyle w:val="Footnote"/>
      </w:pPr>
      <w:r>
        <w:rPr>
          <w:rStyle w:val="EndnoteReference"/>
        </w:rPr>
        <w:endnoteRef/>
      </w:r>
      <w:r>
        <w:t xml:space="preserve">  Smith S, Carrington M &amp; Trinder J 2005, ‘Subjective and predicted sleepiness while driving in young adults’, </w:t>
      </w:r>
      <w:r w:rsidRPr="00E22620">
        <w:rPr>
          <w:i/>
        </w:rPr>
        <w:t>Accident Analysis</w:t>
      </w:r>
      <w:r>
        <w:rPr>
          <w:i/>
        </w:rPr>
        <w:t xml:space="preserve"> and</w:t>
      </w:r>
      <w:r w:rsidRPr="00E22620">
        <w:rPr>
          <w:i/>
        </w:rPr>
        <w:t xml:space="preserve"> Prev</w:t>
      </w:r>
      <w:r>
        <w:rPr>
          <w:i/>
        </w:rPr>
        <w:t>ention</w:t>
      </w:r>
      <w:r>
        <w:t>, (2005), 37, 1066‐1073, &lt;</w:t>
      </w:r>
      <w:hyperlink r:id="rId100" w:history="1">
        <w:r w:rsidRPr="00B259B8">
          <w:rPr>
            <w:rStyle w:val="Hyperlink"/>
          </w:rPr>
          <w:t>https://www.sciencedirect.com/science/article/pii/S0001457505001016?via%3Dihub</w:t>
        </w:r>
      </w:hyperlink>
      <w:r>
        <w:t>&gt;.</w:t>
      </w:r>
    </w:p>
  </w:endnote>
  <w:endnote w:id="143">
    <w:p w14:paraId="65D19FD4" w14:textId="77777777" w:rsidR="003C7C88" w:rsidRDefault="003C7C88">
      <w:pPr>
        <w:pStyle w:val="Footnote"/>
      </w:pPr>
      <w:r>
        <w:rPr>
          <w:rStyle w:val="EndnoteReference"/>
        </w:rPr>
        <w:endnoteRef/>
      </w:r>
      <w:r>
        <w:t xml:space="preserve">  </w:t>
      </w:r>
      <w:r w:rsidRPr="00E74725">
        <w:rPr>
          <w:rStyle w:val="FootnoteChar"/>
        </w:rPr>
        <w:t>Peden M</w:t>
      </w:r>
      <w:r>
        <w:rPr>
          <w:rStyle w:val="FootnoteChar"/>
        </w:rPr>
        <w:t xml:space="preserve">, </w:t>
      </w:r>
      <w:r w:rsidRPr="00FA3488">
        <w:rPr>
          <w:rStyle w:val="FootnoteChar"/>
        </w:rPr>
        <w:t>Scurfield</w:t>
      </w:r>
      <w:r>
        <w:rPr>
          <w:rStyle w:val="FootnoteChar"/>
        </w:rPr>
        <w:t xml:space="preserve"> R</w:t>
      </w:r>
      <w:r w:rsidRPr="00FA3488">
        <w:rPr>
          <w:rStyle w:val="FootnoteChar"/>
        </w:rPr>
        <w:t>, Sleet</w:t>
      </w:r>
      <w:r>
        <w:rPr>
          <w:rStyle w:val="FootnoteChar"/>
        </w:rPr>
        <w:t xml:space="preserve"> D</w:t>
      </w:r>
      <w:r w:rsidRPr="00FA3488">
        <w:rPr>
          <w:rStyle w:val="FootnoteChar"/>
        </w:rPr>
        <w:t>,</w:t>
      </w:r>
      <w:r>
        <w:rPr>
          <w:rStyle w:val="FootnoteChar"/>
        </w:rPr>
        <w:t xml:space="preserve"> Mohan D, </w:t>
      </w:r>
      <w:r w:rsidRPr="00FA3488">
        <w:rPr>
          <w:rStyle w:val="FootnoteChar"/>
        </w:rPr>
        <w:t>Hyder</w:t>
      </w:r>
      <w:r>
        <w:rPr>
          <w:rStyle w:val="FootnoteChar"/>
        </w:rPr>
        <w:t xml:space="preserve"> AA</w:t>
      </w:r>
      <w:r w:rsidRPr="00FA3488">
        <w:rPr>
          <w:rStyle w:val="FootnoteChar"/>
        </w:rPr>
        <w:t>, Jarawan</w:t>
      </w:r>
      <w:r>
        <w:rPr>
          <w:rStyle w:val="FootnoteChar"/>
        </w:rPr>
        <w:t xml:space="preserve"> E, &amp;</w:t>
      </w:r>
      <w:r w:rsidRPr="00FA3488">
        <w:rPr>
          <w:rStyle w:val="FootnoteChar"/>
        </w:rPr>
        <w:t xml:space="preserve"> Mathers</w:t>
      </w:r>
      <w:r w:rsidRPr="00E74725">
        <w:rPr>
          <w:rStyle w:val="FootnoteChar"/>
        </w:rPr>
        <w:t xml:space="preserve"> </w:t>
      </w:r>
      <w:r>
        <w:rPr>
          <w:rStyle w:val="FootnoteChar"/>
        </w:rPr>
        <w:t>C (</w:t>
      </w:r>
      <w:r w:rsidRPr="00E74725">
        <w:rPr>
          <w:rStyle w:val="FootnoteChar"/>
        </w:rPr>
        <w:t>eds</w:t>
      </w:r>
      <w:r>
        <w:rPr>
          <w:rStyle w:val="FootnoteChar"/>
        </w:rPr>
        <w:t xml:space="preserve">) 2004, </w:t>
      </w:r>
      <w:r w:rsidRPr="00032724">
        <w:rPr>
          <w:rStyle w:val="FootnoteChar"/>
          <w:i/>
        </w:rPr>
        <w:t>World report on road traffic injury prevention</w:t>
      </w:r>
      <w:r>
        <w:rPr>
          <w:rStyle w:val="FootnoteChar"/>
          <w:i/>
        </w:rPr>
        <w:t>,</w:t>
      </w:r>
      <w:r w:rsidRPr="00E74725">
        <w:rPr>
          <w:rStyle w:val="FootnoteChar"/>
        </w:rPr>
        <w:t xml:space="preserve"> World Health Organization, </w:t>
      </w:r>
      <w:r>
        <w:rPr>
          <w:rStyle w:val="FootnoteChar"/>
        </w:rPr>
        <w:t>Geneva,</w:t>
      </w:r>
      <w:r w:rsidRPr="00E74725">
        <w:rPr>
          <w:rStyle w:val="FootnoteChar"/>
        </w:rPr>
        <w:t xml:space="preserve"> </w:t>
      </w:r>
      <w:r>
        <w:rPr>
          <w:rStyle w:val="FootnoteChar"/>
        </w:rPr>
        <w:t>&lt;</w:t>
      </w:r>
      <w:hyperlink r:id="rId101" w:history="1">
        <w:r>
          <w:rPr>
            <w:rStyle w:val="Hyperlink"/>
            <w:szCs w:val="16"/>
          </w:rPr>
          <w:t>www.who.int/violence_injury_prevention/publications/road-traffic/world_report/en/index.html</w:t>
        </w:r>
      </w:hyperlink>
      <w:r>
        <w:rPr>
          <w:rStyle w:val="FootnoteChar"/>
        </w:rPr>
        <w:t xml:space="preserve">,&gt;; </w:t>
      </w:r>
      <w:r w:rsidRPr="00E74725">
        <w:rPr>
          <w:rStyle w:val="FootnoteChar"/>
        </w:rPr>
        <w:t>Zador PL</w:t>
      </w:r>
      <w:r>
        <w:rPr>
          <w:rStyle w:val="FootnoteChar"/>
        </w:rPr>
        <w:t xml:space="preserve"> 1991,</w:t>
      </w:r>
      <w:r w:rsidRPr="00FA3488">
        <w:rPr>
          <w:rStyle w:val="FootnoteChar"/>
        </w:rPr>
        <w:t xml:space="preserve"> </w:t>
      </w:r>
      <w:r>
        <w:rPr>
          <w:rStyle w:val="FootnoteChar"/>
        </w:rPr>
        <w:t>‘</w:t>
      </w:r>
      <w:r w:rsidRPr="00FA3488">
        <w:rPr>
          <w:rStyle w:val="FootnoteChar"/>
        </w:rPr>
        <w:t>Alcohol-related relative risk of fatal driver injuries in relation to driver age and sex</w:t>
      </w:r>
      <w:r>
        <w:rPr>
          <w:rStyle w:val="FootnoteChar"/>
        </w:rPr>
        <w:t>’,</w:t>
      </w:r>
      <w:r w:rsidRPr="00E74725">
        <w:rPr>
          <w:rStyle w:val="FootnoteChar"/>
        </w:rPr>
        <w:t xml:space="preserve"> </w:t>
      </w:r>
      <w:r w:rsidRPr="00FA3488">
        <w:rPr>
          <w:rStyle w:val="FootnoteChar"/>
          <w:i/>
        </w:rPr>
        <w:t>Journal of Studies on Alcohol</w:t>
      </w:r>
      <w:r>
        <w:rPr>
          <w:rStyle w:val="FootnoteChar"/>
          <w:i/>
        </w:rPr>
        <w:t xml:space="preserve"> and Drugs</w:t>
      </w:r>
      <w:r w:rsidRPr="00E74725">
        <w:rPr>
          <w:rStyle w:val="FootnoteChar"/>
        </w:rPr>
        <w:t>, 1991, 52:302–310</w:t>
      </w:r>
      <w:r>
        <w:rPr>
          <w:rStyle w:val="FootnoteChar"/>
        </w:rPr>
        <w:t>.</w:t>
      </w:r>
    </w:p>
  </w:endnote>
  <w:endnote w:id="144">
    <w:p w14:paraId="35ED861F" w14:textId="77777777" w:rsidR="003C7C88" w:rsidRDefault="003C7C88">
      <w:pPr>
        <w:pStyle w:val="Footnote"/>
      </w:pPr>
      <w:r>
        <w:rPr>
          <w:rStyle w:val="EndnoteReference"/>
        </w:rPr>
        <w:endnoteRef/>
      </w:r>
      <w:r>
        <w:t xml:space="preserve">  </w:t>
      </w:r>
      <w:r w:rsidRPr="00E74725">
        <w:rPr>
          <w:rStyle w:val="FootnoteChar"/>
        </w:rPr>
        <w:t>Peden M</w:t>
      </w:r>
      <w:r>
        <w:rPr>
          <w:rStyle w:val="FootnoteChar"/>
        </w:rPr>
        <w:t xml:space="preserve"> &amp; others</w:t>
      </w:r>
      <w:r w:rsidRPr="00E74725">
        <w:rPr>
          <w:rStyle w:val="FootnoteChar"/>
        </w:rPr>
        <w:t xml:space="preserve"> </w:t>
      </w:r>
      <w:r>
        <w:rPr>
          <w:rStyle w:val="FootnoteChar"/>
        </w:rPr>
        <w:t>(</w:t>
      </w:r>
      <w:r w:rsidRPr="00E74725">
        <w:rPr>
          <w:rStyle w:val="FootnoteChar"/>
        </w:rPr>
        <w:t>eds</w:t>
      </w:r>
      <w:r>
        <w:rPr>
          <w:rStyle w:val="FootnoteChar"/>
        </w:rPr>
        <w:t>)</w:t>
      </w:r>
      <w:r w:rsidRPr="00E74725">
        <w:rPr>
          <w:rStyle w:val="FootnoteChar"/>
        </w:rPr>
        <w:t xml:space="preserve"> 2004</w:t>
      </w:r>
      <w:r>
        <w:rPr>
          <w:rStyle w:val="FootnoteChar"/>
        </w:rPr>
        <w:t xml:space="preserve">, </w:t>
      </w:r>
      <w:r w:rsidRPr="00D32908">
        <w:rPr>
          <w:rStyle w:val="FootnoteChar"/>
        </w:rPr>
        <w:t>op.cit</w:t>
      </w:r>
      <w:r>
        <w:rPr>
          <w:rStyle w:val="FootnoteChar"/>
        </w:rPr>
        <w:t>.</w:t>
      </w:r>
      <w:r w:rsidRPr="00D32908">
        <w:t>,</w:t>
      </w:r>
      <w:r>
        <w:t xml:space="preserve"> p16.</w:t>
      </w:r>
    </w:p>
  </w:endnote>
  <w:endnote w:id="145">
    <w:p w14:paraId="743F21A2" w14:textId="77777777" w:rsidR="003C7C88" w:rsidRDefault="003C7C88" w:rsidP="00E576A9">
      <w:pPr>
        <w:pStyle w:val="Footnote"/>
      </w:pPr>
      <w:r>
        <w:rPr>
          <w:rStyle w:val="EndnoteReference"/>
        </w:rPr>
        <w:endnoteRef/>
      </w:r>
      <w:r>
        <w:t xml:space="preserve">  Bingham CR, Shope JT, Parow JE &amp; Raghunathan TE 2009, ‘Crash types: markers of increased risk of alcohol-involved crashes among </w:t>
      </w:r>
      <w:r w:rsidRPr="00E576A9">
        <w:t>teen</w:t>
      </w:r>
      <w:r>
        <w:t xml:space="preserve"> drivers’, </w:t>
      </w:r>
      <w:r w:rsidRPr="00EE27ED">
        <w:rPr>
          <w:i/>
        </w:rPr>
        <w:t>Journal of Studies on Alcohol and Drugs</w:t>
      </w:r>
      <w:r>
        <w:t>, July, 70(4): 528-535, &lt;</w:t>
      </w:r>
      <w:hyperlink r:id="rId102" w:history="1">
        <w:r w:rsidRPr="00B259B8">
          <w:rPr>
            <w:rStyle w:val="Hyperlink"/>
          </w:rPr>
          <w:t>https://www.ncbi.nlm.nih.gov/pmc/articles/PMC2696293/</w:t>
        </w:r>
      </w:hyperlink>
      <w:r>
        <w:t>&gt;.</w:t>
      </w:r>
    </w:p>
  </w:endnote>
  <w:endnote w:id="146">
    <w:p w14:paraId="34FA43E8" w14:textId="77777777" w:rsidR="003C7C88" w:rsidRDefault="003C7C88">
      <w:pPr>
        <w:pStyle w:val="Footnote"/>
      </w:pPr>
      <w:r>
        <w:rPr>
          <w:rStyle w:val="EndnoteReference"/>
        </w:rPr>
        <w:endnoteRef/>
      </w:r>
      <w:r>
        <w:t xml:space="preserve">  TAC statistics 2011, cited in Oxley J, Charlton J, Starkey N, &amp; Isler R 2014, </w:t>
      </w:r>
      <w:r w:rsidRPr="00B16C8A">
        <w:rPr>
          <w:i/>
        </w:rPr>
        <w:t>Understanding novice driver behaviour - Review of Literature</w:t>
      </w:r>
      <w:r w:rsidRPr="00B16C8A">
        <w:t>,</w:t>
      </w:r>
      <w:r>
        <w:t xml:space="preserve"> </w:t>
      </w:r>
      <w:r w:rsidRPr="00B16C8A">
        <w:t>Monash University Accident Research Centre</w:t>
      </w:r>
      <w:r>
        <w:t xml:space="preserve">, </w:t>
      </w:r>
      <w:r w:rsidRPr="00B16C8A">
        <w:t>Monash Injury Research Institute</w:t>
      </w:r>
      <w:r>
        <w:t>, and University of Waikato, New Zealand, p21.</w:t>
      </w:r>
    </w:p>
  </w:endnote>
  <w:endnote w:id="147">
    <w:p w14:paraId="000BDF18" w14:textId="77777777" w:rsidR="003C7C88" w:rsidRDefault="003C7C88" w:rsidP="009F124D">
      <w:pPr>
        <w:pStyle w:val="Footnote"/>
      </w:pPr>
      <w:r>
        <w:rPr>
          <w:rStyle w:val="EndnoteReference"/>
        </w:rPr>
        <w:endnoteRef/>
      </w:r>
      <w:r>
        <w:t xml:space="preserve">  </w:t>
      </w:r>
      <w:r w:rsidRPr="005546CD">
        <w:t>Victoria Police</w:t>
      </w:r>
      <w:r>
        <w:t xml:space="preserve"> 2007, </w:t>
      </w:r>
      <w:r w:rsidRPr="000B485B">
        <w:rPr>
          <w:i/>
        </w:rPr>
        <w:t>Drug Driving in Victoria</w:t>
      </w:r>
      <w:r>
        <w:t xml:space="preserve">, </w:t>
      </w:r>
      <w:r w:rsidRPr="005546CD">
        <w:t xml:space="preserve">Submission to the Federal Parliamentary Inquiry into the </w:t>
      </w:r>
      <w:r w:rsidRPr="009F124D">
        <w:t>effect</w:t>
      </w:r>
      <w:r w:rsidRPr="005546CD">
        <w:t xml:space="preserve"> of illicit drugs on families</w:t>
      </w:r>
      <w:r>
        <w:t xml:space="preserve">, &lt; </w:t>
      </w:r>
      <w:hyperlink r:id="rId103" w:history="1">
        <w:r w:rsidRPr="00A45865">
          <w:rPr>
            <w:rStyle w:val="Hyperlink"/>
          </w:rPr>
          <w:t>http://www.aphref.aph.gov.au/house/committee/fhs/illicitdrugs/subs/sub175.pdf</w:t>
        </w:r>
      </w:hyperlink>
      <w:r>
        <w:t>&gt;.</w:t>
      </w:r>
    </w:p>
  </w:endnote>
  <w:endnote w:id="148">
    <w:p w14:paraId="627A5DF4" w14:textId="77777777" w:rsidR="003C7C88" w:rsidRDefault="003C7C88">
      <w:pPr>
        <w:pStyle w:val="Footnote"/>
      </w:pPr>
      <w:r>
        <w:rPr>
          <w:rStyle w:val="EndnoteReference"/>
        </w:rPr>
        <w:endnoteRef/>
      </w:r>
      <w:r>
        <w:t xml:space="preserve">  </w:t>
      </w:r>
      <w:r w:rsidRPr="00F7168D">
        <w:t>Lee JD</w:t>
      </w:r>
      <w:r>
        <w:t xml:space="preserve"> 2007,</w:t>
      </w:r>
      <w:r w:rsidRPr="00F7168D">
        <w:t xml:space="preserve"> </w:t>
      </w:r>
      <w:r>
        <w:t>‘</w:t>
      </w:r>
      <w:r w:rsidRPr="00F7168D">
        <w:t>Technology and teen drivers</w:t>
      </w:r>
      <w:r>
        <w:t>’,</w:t>
      </w:r>
      <w:r w:rsidRPr="00F7168D">
        <w:t xml:space="preserve"> </w:t>
      </w:r>
      <w:r w:rsidRPr="00F7168D">
        <w:rPr>
          <w:i/>
        </w:rPr>
        <w:t>Journal of Safety Research</w:t>
      </w:r>
      <w:r w:rsidRPr="00F7168D">
        <w:t>,</w:t>
      </w:r>
      <w:r>
        <w:t xml:space="preserve"> </w:t>
      </w:r>
      <w:r w:rsidRPr="00F7168D">
        <w:t>38, 203–213</w:t>
      </w:r>
      <w:r>
        <w:t>, &lt;</w:t>
      </w:r>
      <w:hyperlink r:id="rId104" w:history="1">
        <w:r w:rsidRPr="00B259B8">
          <w:rPr>
            <w:rStyle w:val="Hyperlink"/>
          </w:rPr>
          <w:t>https://www.sciencedirect.com/science/article/pii/S0022437507000308</w:t>
        </w:r>
      </w:hyperlink>
      <w:r>
        <w:t>&gt;.</w:t>
      </w:r>
    </w:p>
  </w:endnote>
  <w:endnote w:id="149">
    <w:p w14:paraId="0B73495D" w14:textId="77777777" w:rsidR="003C7C88" w:rsidRDefault="003C7C88">
      <w:pPr>
        <w:pStyle w:val="Footnote"/>
      </w:pPr>
      <w:r>
        <w:rPr>
          <w:rStyle w:val="EndnoteReference"/>
        </w:rPr>
        <w:endnoteRef/>
      </w:r>
      <w:r>
        <w:t xml:space="preserve">  Young, K &amp; Lenné, M 2010, ‘Driver engagement in distracting activities and the strategies used to minimise risk’, </w:t>
      </w:r>
      <w:r w:rsidRPr="00C75BC4">
        <w:rPr>
          <w:i/>
        </w:rPr>
        <w:t>Safety Science</w:t>
      </w:r>
      <w:r>
        <w:t>,  48(3), 326–332,</w:t>
      </w:r>
      <w:r w:rsidRPr="0079716C">
        <w:t xml:space="preserve"> </w:t>
      </w:r>
      <w:r>
        <w:t>&lt;</w:t>
      </w:r>
      <w:hyperlink r:id="rId105" w:history="1">
        <w:r w:rsidRPr="00B259B8">
          <w:rPr>
            <w:rStyle w:val="Hyperlink"/>
          </w:rPr>
          <w:t>https://www.sciencedirect.com/science/article/pii/S0925753509001891?via%3Dihub</w:t>
        </w:r>
      </w:hyperlink>
      <w:r>
        <w:t xml:space="preserve">&gt;. </w:t>
      </w:r>
    </w:p>
  </w:endnote>
  <w:endnote w:id="150">
    <w:p w14:paraId="60D22F3A" w14:textId="77777777" w:rsidR="003C7C88" w:rsidRDefault="003C7C88">
      <w:pPr>
        <w:pStyle w:val="Footnote"/>
      </w:pPr>
      <w:r>
        <w:rPr>
          <w:rStyle w:val="EndnoteReference"/>
        </w:rPr>
        <w:endnoteRef/>
      </w:r>
      <w:r>
        <w:t xml:space="preserve">  Drummond A 2003, </w:t>
      </w:r>
      <w:r w:rsidRPr="008F32EB">
        <w:rPr>
          <w:i/>
        </w:rPr>
        <w:t>Driving around Melbourne</w:t>
      </w:r>
      <w:r>
        <w:t>, R&amp;D report, no. 783, Kew, Victoria, VicRoads.</w:t>
      </w:r>
    </w:p>
  </w:endnote>
  <w:endnote w:id="151">
    <w:p w14:paraId="7A6AB7FB" w14:textId="77777777" w:rsidR="003C7C88" w:rsidRDefault="003C7C88">
      <w:pPr>
        <w:pStyle w:val="Footnote"/>
      </w:pPr>
      <w:r>
        <w:rPr>
          <w:rStyle w:val="EndnoteReference"/>
        </w:rPr>
        <w:endnoteRef/>
      </w:r>
      <w:r>
        <w:t xml:space="preserve">  </w:t>
      </w:r>
      <w:bookmarkStart w:id="118" w:name="_Hlk525564095"/>
      <w:r>
        <w:t xml:space="preserve">VicRoads 2005, </w:t>
      </w:r>
      <w:r w:rsidRPr="00FC1243">
        <w:rPr>
          <w:i/>
        </w:rPr>
        <w:t>Young Driver Safety and Graduated Licensing Discussion Paper</w:t>
      </w:r>
      <w:r w:rsidRPr="008F32EB">
        <w:t>, VicRoads, August 2005</w:t>
      </w:r>
      <w:r>
        <w:t>, p7, &lt;</w:t>
      </w:r>
      <w:hyperlink r:id="rId106" w:history="1">
        <w:r w:rsidRPr="000405E0">
          <w:rPr>
            <w:rStyle w:val="Hyperlink"/>
          </w:rPr>
          <w:t>http://apo.org.au/system/files/1893/apo-nid1893-149321.pdf</w:t>
        </w:r>
      </w:hyperlink>
      <w:r>
        <w:t xml:space="preserve"> &gt;.</w:t>
      </w:r>
    </w:p>
    <w:bookmarkEnd w:id="118"/>
  </w:endnote>
  <w:endnote w:id="152">
    <w:p w14:paraId="6B21184F" w14:textId="77777777" w:rsidR="003C7C88" w:rsidRDefault="003C7C88">
      <w:pPr>
        <w:pStyle w:val="Footnote"/>
      </w:pPr>
      <w:r>
        <w:rPr>
          <w:rStyle w:val="EndnoteReference"/>
        </w:rPr>
        <w:endnoteRef/>
      </w:r>
      <w:r>
        <w:t xml:space="preserve">  Senserrick T &amp; Whelan M 2003, </w:t>
      </w:r>
      <w:r w:rsidRPr="00A66F59">
        <w:rPr>
          <w:i/>
        </w:rPr>
        <w:t>Graduated driver licensing: effectiveness of systems and individual components</w:t>
      </w:r>
      <w:r>
        <w:t>, MUARC Report 209, Monash University Accident Research Centre, Clayton, Victoria, &lt;</w:t>
      </w:r>
      <w:hyperlink r:id="rId107" w:history="1">
        <w:r w:rsidRPr="009A1E00">
          <w:rPr>
            <w:rStyle w:val="Hyperlink"/>
          </w:rPr>
          <w:t>https://www.monash.edu/__data/assets/pdf_file/0007/216835/muarc209.pdf</w:t>
        </w:r>
      </w:hyperlink>
      <w:r>
        <w:t>&gt;.</w:t>
      </w:r>
    </w:p>
  </w:endnote>
  <w:endnote w:id="153">
    <w:p w14:paraId="6FAE7FEA" w14:textId="77777777" w:rsidR="003C7C88" w:rsidRDefault="003C7C88">
      <w:pPr>
        <w:pStyle w:val="Footnote"/>
      </w:pPr>
      <w:r>
        <w:rPr>
          <w:rStyle w:val="EndnoteReference"/>
        </w:rPr>
        <w:endnoteRef/>
      </w:r>
      <w:r>
        <w:t xml:space="preserve">  Oxley J, Charlton J, Starkey N, &amp; Isler R 2014, </w:t>
      </w:r>
      <w:r w:rsidRPr="00B16C8A">
        <w:rPr>
          <w:i/>
        </w:rPr>
        <w:t>Understanding novice driver behaviour - Review of Literature</w:t>
      </w:r>
      <w:r w:rsidRPr="00B16C8A">
        <w:t>,</w:t>
      </w:r>
      <w:r>
        <w:t xml:space="preserve"> </w:t>
      </w:r>
      <w:r w:rsidRPr="00B16C8A">
        <w:t>Monash University Accident Research Centre</w:t>
      </w:r>
      <w:r>
        <w:t xml:space="preserve">, </w:t>
      </w:r>
      <w:r w:rsidRPr="00B16C8A">
        <w:t>Monash Injury Research Institute</w:t>
      </w:r>
      <w:r>
        <w:t xml:space="preserve">, and University of Waikato, New Zealand, </w:t>
      </w:r>
      <w:r w:rsidRPr="00C3594C">
        <w:t>p</w:t>
      </w:r>
      <w:r>
        <w:t>27.</w:t>
      </w:r>
    </w:p>
  </w:endnote>
  <w:endnote w:id="154">
    <w:p w14:paraId="146E1F88" w14:textId="77777777" w:rsidR="003C7C88" w:rsidRDefault="003C7C88">
      <w:pPr>
        <w:pStyle w:val="Footnote"/>
      </w:pPr>
      <w:r>
        <w:rPr>
          <w:rStyle w:val="EndnoteReference"/>
        </w:rPr>
        <w:endnoteRef/>
      </w:r>
      <w:r>
        <w:t xml:space="preserve">  Hosking SG, Young KL &amp; Regan MA 2009, ‘The Effects of Text Messaging on Young Drivers’, </w:t>
      </w:r>
      <w:r w:rsidRPr="003804BB">
        <w:rPr>
          <w:i/>
        </w:rPr>
        <w:t>Human Factors</w:t>
      </w:r>
      <w:r>
        <w:t>, 2009, 51(4), 582–592, &lt;</w:t>
      </w:r>
      <w:hyperlink r:id="rId108" w:history="1">
        <w:r w:rsidRPr="00B259B8">
          <w:rPr>
            <w:rStyle w:val="Hyperlink"/>
          </w:rPr>
          <w:t>http://journals.sagepub.com/doi/abs/10.1177/0018720809341575</w:t>
        </w:r>
      </w:hyperlink>
      <w:r>
        <w:t>&gt;.</w:t>
      </w:r>
    </w:p>
  </w:endnote>
  <w:endnote w:id="155">
    <w:p w14:paraId="5FBC710E" w14:textId="77777777" w:rsidR="003C7C88" w:rsidRDefault="003C7C88">
      <w:pPr>
        <w:pStyle w:val="Footnote"/>
      </w:pPr>
      <w:r>
        <w:rPr>
          <w:rStyle w:val="EndnoteReference"/>
        </w:rPr>
        <w:endnoteRef/>
      </w:r>
      <w:r>
        <w:t xml:space="preserve">  </w:t>
      </w:r>
      <w:r w:rsidRPr="00ED5B41">
        <w:t>Guo F, Klauer</w:t>
      </w:r>
      <w:r>
        <w:t xml:space="preserve"> </w:t>
      </w:r>
      <w:r w:rsidRPr="00ED5B41">
        <w:t xml:space="preserve">SG, Fang Y, Hankey JM, Antin JF, Perez MA, Lee SE </w:t>
      </w:r>
      <w:r>
        <w:t>&amp;</w:t>
      </w:r>
      <w:r w:rsidRPr="00ED5B41">
        <w:t xml:space="preserve"> Dingus TA</w:t>
      </w:r>
      <w:r>
        <w:t>,</w:t>
      </w:r>
      <w:r w:rsidRPr="00ED5B41">
        <w:t xml:space="preserve"> 201</w:t>
      </w:r>
      <w:r>
        <w:t>7</w:t>
      </w:r>
      <w:r w:rsidRPr="00ED5B41">
        <w:t xml:space="preserve">, ‘The effects of age on crash risk associated with driver distraction’, </w:t>
      </w:r>
      <w:r w:rsidRPr="00DF595D">
        <w:rPr>
          <w:i/>
        </w:rPr>
        <w:t>International Journal of Epidemiology</w:t>
      </w:r>
      <w:r w:rsidRPr="00ED5B41">
        <w:t xml:space="preserve">, </w:t>
      </w:r>
      <w:r>
        <w:t>2017</w:t>
      </w:r>
      <w:r w:rsidRPr="00ED5B41">
        <w:t xml:space="preserve"> pp.</w:t>
      </w:r>
      <w:r>
        <w:t>258</w:t>
      </w:r>
      <w:r w:rsidRPr="00ED5B41">
        <w:t>-</w:t>
      </w:r>
      <w:r>
        <w:t>265</w:t>
      </w:r>
      <w:r w:rsidRPr="00ED5B41">
        <w:t>.</w:t>
      </w:r>
    </w:p>
  </w:endnote>
  <w:endnote w:id="156">
    <w:p w14:paraId="5B4A1F52" w14:textId="77777777" w:rsidR="003C7C88" w:rsidRDefault="003C7C88">
      <w:pPr>
        <w:pStyle w:val="Footnote"/>
      </w:pPr>
      <w:r>
        <w:rPr>
          <w:rStyle w:val="EndnoteReference"/>
        </w:rPr>
        <w:endnoteRef/>
      </w:r>
      <w:r>
        <w:t xml:space="preserve">  Starkey N, Wilson N, Charlton S, Thomson G &amp; Group B1 (medical students) 2013, </w:t>
      </w:r>
      <w:r w:rsidRPr="00936067">
        <w:rPr>
          <w:i/>
        </w:rPr>
        <w:t>Mobile phone use while driving after a new national law in New Zealand</w:t>
      </w:r>
      <w:r>
        <w:t xml:space="preserve">, </w:t>
      </w:r>
      <w:r w:rsidRPr="00936067">
        <w:t xml:space="preserve">Proceedings of the 2013 Australasian Road Safety Research, Policing </w:t>
      </w:r>
      <w:r>
        <w:t>and</w:t>
      </w:r>
      <w:r w:rsidRPr="00936067">
        <w:t xml:space="preserve"> Education Conference</w:t>
      </w:r>
      <w:r>
        <w:t>, 28-30 August, Brisbane, &lt;</w:t>
      </w:r>
      <w:hyperlink r:id="rId109" w:history="1">
        <w:r w:rsidRPr="00A42A08">
          <w:rPr>
            <w:rStyle w:val="Hyperlink"/>
            <w:szCs w:val="16"/>
          </w:rPr>
          <w:t>http://acrs.org.au/files/arsrpe/Paper%2084%20-%20Starkey%20-%20Driver%20inattention.pdf</w:t>
        </w:r>
      </w:hyperlink>
      <w:r>
        <w:t>&gt;.</w:t>
      </w:r>
    </w:p>
  </w:endnote>
  <w:endnote w:id="157">
    <w:p w14:paraId="45A06295" w14:textId="77777777" w:rsidR="003C7C88" w:rsidRDefault="003C7C88">
      <w:pPr>
        <w:pStyle w:val="Footnote"/>
      </w:pPr>
      <w:r>
        <w:rPr>
          <w:rStyle w:val="EndnoteReference"/>
        </w:rPr>
        <w:endnoteRef/>
      </w:r>
      <w:r>
        <w:t xml:space="preserve">  </w:t>
      </w:r>
      <w:r w:rsidRPr="008F32EB">
        <w:t>VicRoads</w:t>
      </w:r>
      <w:r>
        <w:t xml:space="preserve"> 2005</w:t>
      </w:r>
      <w:r w:rsidRPr="008F32EB">
        <w:t xml:space="preserve">, </w:t>
      </w:r>
      <w:r w:rsidRPr="006A1677">
        <w:rPr>
          <w:i/>
        </w:rPr>
        <w:t>Young Driver Safety and Graduated Licensing Discussion Paper</w:t>
      </w:r>
      <w:r w:rsidRPr="008F32EB">
        <w:t>, VicRoads, August 2005</w:t>
      </w:r>
      <w:r>
        <w:t>, p10.</w:t>
      </w:r>
    </w:p>
  </w:endnote>
  <w:endnote w:id="158">
    <w:p w14:paraId="34F2C725" w14:textId="77777777" w:rsidR="003C7C88" w:rsidRDefault="003C7C88">
      <w:pPr>
        <w:pStyle w:val="Footnote"/>
      </w:pPr>
      <w:r>
        <w:rPr>
          <w:rStyle w:val="EndnoteReference"/>
        </w:rPr>
        <w:endnoteRef/>
      </w:r>
      <w:r>
        <w:t xml:space="preserve">  Oxley J, Charlton J, Starkey N, &amp; Isler R 2014, </w:t>
      </w:r>
      <w:r w:rsidRPr="00B16C8A">
        <w:rPr>
          <w:i/>
        </w:rPr>
        <w:t>Understanding novice driver behaviour - Review of Literature</w:t>
      </w:r>
      <w:r w:rsidRPr="00B16C8A">
        <w:t>,</w:t>
      </w:r>
      <w:r>
        <w:t xml:space="preserve"> </w:t>
      </w:r>
      <w:r w:rsidRPr="00B16C8A">
        <w:t>Monash University Accident Research Centre</w:t>
      </w:r>
      <w:r>
        <w:t xml:space="preserve">, </w:t>
      </w:r>
      <w:r w:rsidRPr="00B16C8A">
        <w:t>Monash Injury Research Institute</w:t>
      </w:r>
      <w:r>
        <w:t>, and University of Waikato, New Zealand, p26.</w:t>
      </w:r>
    </w:p>
  </w:endnote>
  <w:endnote w:id="159">
    <w:p w14:paraId="60CEA830" w14:textId="77777777" w:rsidR="003C7C88" w:rsidRDefault="003C7C88">
      <w:pPr>
        <w:pStyle w:val="Footnote"/>
      </w:pPr>
      <w:r>
        <w:rPr>
          <w:rStyle w:val="EndnoteReference"/>
        </w:rPr>
        <w:endnoteRef/>
      </w:r>
      <w:r>
        <w:t xml:space="preserve">  Whelan M, Scully J &amp; Newstead S 2009, </w:t>
      </w:r>
      <w:r w:rsidRPr="004A6BD0">
        <w:t>Vehicle safety and young drivers stages 2 and 3: Analysis of young driver crash types and vehicle choice optimisation</w:t>
      </w:r>
      <w:r>
        <w:t>,</w:t>
      </w:r>
      <w:r w:rsidRPr="00D733A1">
        <w:t xml:space="preserve"> </w:t>
      </w:r>
      <w:r>
        <w:t>Clayton: Monash University, &lt;</w:t>
      </w:r>
      <w:hyperlink r:id="rId110" w:history="1">
        <w:r w:rsidRPr="00B259B8">
          <w:rPr>
            <w:rStyle w:val="Hyperlink"/>
          </w:rPr>
          <w:t>https://www.monash.edu/__data/assets/pdf_file/0006/216915/muarc292.pdf</w:t>
        </w:r>
      </w:hyperlink>
      <w:r>
        <w:t>&gt;.</w:t>
      </w:r>
    </w:p>
  </w:endnote>
  <w:endnote w:id="160">
    <w:p w14:paraId="731719CB" w14:textId="77777777" w:rsidR="003C7C88" w:rsidRDefault="003C7C88">
      <w:pPr>
        <w:pStyle w:val="Footnote"/>
      </w:pPr>
      <w:r>
        <w:rPr>
          <w:rStyle w:val="EndnoteReference"/>
        </w:rPr>
        <w:endnoteRef/>
      </w:r>
      <w:r>
        <w:t xml:space="preserve">  McKnight AJ &amp; Peck RC 2002, ‘Graduated driver licensing: what works?’ </w:t>
      </w:r>
      <w:r w:rsidRPr="00243B73">
        <w:rPr>
          <w:i/>
        </w:rPr>
        <w:t>Injury Prevention</w:t>
      </w:r>
      <w:r>
        <w:t>, 2002, 8 (Suppl. II) : 32–38, &lt;</w:t>
      </w:r>
      <w:hyperlink r:id="rId111" w:history="1">
        <w:r w:rsidRPr="00B259B8">
          <w:rPr>
            <w:rStyle w:val="Hyperlink"/>
          </w:rPr>
          <w:t>https://injuryprevention.bmj.com/content/8/suppl_2/ii32</w:t>
        </w:r>
      </w:hyperlink>
      <w:r>
        <w:t>&gt;.</w:t>
      </w:r>
    </w:p>
  </w:endnote>
  <w:endnote w:id="161">
    <w:p w14:paraId="58457136" w14:textId="77777777" w:rsidR="003C7C88" w:rsidRDefault="003C7C88">
      <w:pPr>
        <w:pStyle w:val="Footnote"/>
      </w:pPr>
      <w:r>
        <w:rPr>
          <w:rStyle w:val="EndnoteReference"/>
        </w:rPr>
        <w:endnoteRef/>
      </w:r>
      <w:r>
        <w:t xml:space="preserve">  Based on Police reported crash data from VicRoads Road Crash Information System (RCIS) and driver licensing data from the VicRoads Driver Licensing System (DLS) for 2011-2013.</w:t>
      </w:r>
    </w:p>
  </w:endnote>
  <w:endnote w:id="162">
    <w:p w14:paraId="7B15172E" w14:textId="77777777" w:rsidR="003C7C88" w:rsidRDefault="003C7C88">
      <w:pPr>
        <w:pStyle w:val="Footnote"/>
      </w:pPr>
      <w:r>
        <w:rPr>
          <w:rStyle w:val="EndnoteReference"/>
        </w:rPr>
        <w:endnoteRef/>
      </w:r>
      <w:r>
        <w:t xml:space="preserve">  Oxley J, Charlton J, Starkey N, &amp; Isler R 2014, </w:t>
      </w:r>
      <w:r w:rsidRPr="00B16C8A">
        <w:rPr>
          <w:i/>
        </w:rPr>
        <w:t>Understanding novice driver behaviour - Review of Literature</w:t>
      </w:r>
      <w:r w:rsidRPr="00B16C8A">
        <w:t>,</w:t>
      </w:r>
      <w:r>
        <w:t xml:space="preserve"> </w:t>
      </w:r>
      <w:r w:rsidRPr="00B16C8A">
        <w:t>Monash University Accident Research Centre</w:t>
      </w:r>
      <w:r>
        <w:t xml:space="preserve">, </w:t>
      </w:r>
      <w:r w:rsidRPr="00B16C8A">
        <w:t>Monash Injury Research Institute</w:t>
      </w:r>
      <w:r>
        <w:t>, and University of Waikato, New Zealand, p25.</w:t>
      </w:r>
    </w:p>
  </w:endnote>
  <w:endnote w:id="163">
    <w:p w14:paraId="7327357F" w14:textId="77777777" w:rsidR="003C7C88" w:rsidRDefault="003C7C88">
      <w:pPr>
        <w:pStyle w:val="Footnote"/>
      </w:pPr>
      <w:r>
        <w:rPr>
          <w:rStyle w:val="EndnoteReference"/>
        </w:rPr>
        <w:endnoteRef/>
      </w:r>
      <w:r>
        <w:t xml:space="preserve">  </w:t>
      </w:r>
      <w:r w:rsidRPr="008F32EB">
        <w:t>VicRoads</w:t>
      </w:r>
      <w:r>
        <w:t xml:space="preserve"> 2005</w:t>
      </w:r>
      <w:r w:rsidRPr="008F32EB">
        <w:t xml:space="preserve">, </w:t>
      </w:r>
      <w:r w:rsidRPr="006A1677">
        <w:rPr>
          <w:i/>
        </w:rPr>
        <w:t>Young Driver Safety and Graduated Licensing Discussion Paper</w:t>
      </w:r>
      <w:r w:rsidRPr="008F32EB">
        <w:t>, August 2005</w:t>
      </w:r>
      <w:r>
        <w:t>, p7.</w:t>
      </w:r>
    </w:p>
  </w:endnote>
  <w:endnote w:id="164">
    <w:p w14:paraId="423C37A8" w14:textId="77777777" w:rsidR="003C7C88" w:rsidRDefault="003C7C88">
      <w:pPr>
        <w:pStyle w:val="Footnote"/>
      </w:pPr>
      <w:r>
        <w:rPr>
          <w:rStyle w:val="EndnoteReference"/>
        </w:rPr>
        <w:endnoteRef/>
      </w:r>
      <w:r>
        <w:t xml:space="preserve"> </w:t>
      </w:r>
      <w:bookmarkStart w:id="121" w:name="_Hlk508270997"/>
      <w:r>
        <w:t xml:space="preserve"> </w:t>
      </w:r>
      <w:bookmarkEnd w:id="121"/>
      <w:r>
        <w:t>ibid., p10.</w:t>
      </w:r>
    </w:p>
  </w:endnote>
  <w:endnote w:id="165">
    <w:p w14:paraId="1B2FFEE0" w14:textId="77777777" w:rsidR="003C7C88" w:rsidRDefault="003C7C88">
      <w:pPr>
        <w:pStyle w:val="Footnote"/>
      </w:pPr>
      <w:r>
        <w:rPr>
          <w:rStyle w:val="EndnoteReference"/>
        </w:rPr>
        <w:endnoteRef/>
      </w:r>
      <w:r>
        <w:t xml:space="preserve">  </w:t>
      </w:r>
      <w:r w:rsidRPr="00DF13B9">
        <w:t>VicRoads</w:t>
      </w:r>
      <w:r>
        <w:t xml:space="preserve"> 2017</w:t>
      </w:r>
      <w:r w:rsidRPr="00DF13B9">
        <w:t xml:space="preserve">, </w:t>
      </w:r>
      <w:r w:rsidRPr="00F0296F">
        <w:rPr>
          <w:i/>
        </w:rPr>
        <w:t>Examination of the Impact of the Graduated Licensing System on Young Novice Driver Safety</w:t>
      </w:r>
      <w:r w:rsidRPr="00C64FFF">
        <w:t>, Summary Report</w:t>
      </w:r>
      <w:r w:rsidRPr="00DF13B9">
        <w:t>, October 2017, p5</w:t>
      </w:r>
      <w:r>
        <w:t>,</w:t>
      </w:r>
      <w:r w:rsidRPr="000D1AB3">
        <w:t xml:space="preserve"> </w:t>
      </w:r>
      <w:r>
        <w:t>&lt;</w:t>
      </w:r>
      <w:hyperlink r:id="rId112" w:history="1">
        <w:r w:rsidRPr="00B259B8">
          <w:rPr>
            <w:rStyle w:val="Hyperlink"/>
          </w:rPr>
          <w:t>https://www.vicroads.vic.gov.au/-/media/files/documents/safety-and-road-rules/examination-of-the-impact-of-the-gls-on-young-drivers-oct-2017.ashx?la=en&amp;hash=754BE85D31B21177ECB951296587038B</w:t>
        </w:r>
      </w:hyperlink>
      <w:r>
        <w:t>&gt;.</w:t>
      </w:r>
    </w:p>
  </w:endnote>
  <w:endnote w:id="166">
    <w:p w14:paraId="1B519EDC" w14:textId="77777777" w:rsidR="003C7C88" w:rsidRDefault="003C7C88">
      <w:pPr>
        <w:pStyle w:val="Footnote"/>
      </w:pPr>
      <w:r>
        <w:rPr>
          <w:rStyle w:val="EndnoteReference"/>
        </w:rPr>
        <w:endnoteRef/>
      </w:r>
      <w:r>
        <w:t xml:space="preserve">  Baldock M &amp; Hutchinson T 2010, </w:t>
      </w:r>
      <w:r w:rsidRPr="004C7C53">
        <w:rPr>
          <w:i/>
        </w:rPr>
        <w:t>Motorcycling in South Australia: Knowledge gaps for research</w:t>
      </w:r>
      <w:r>
        <w:t>, Centre for Automotive Safety Research, p7, &lt;</w:t>
      </w:r>
      <w:hyperlink r:id="rId113" w:history="1">
        <w:r w:rsidRPr="00B259B8">
          <w:rPr>
            <w:rStyle w:val="Hyperlink"/>
          </w:rPr>
          <w:t>https://www.researchgate.net/publication/265534525_Motorcycling_in_South_Australia_Knowledge_gaps_for_research</w:t>
        </w:r>
      </w:hyperlink>
      <w:r>
        <w:t>&gt;.</w:t>
      </w:r>
    </w:p>
  </w:endnote>
  <w:endnote w:id="167">
    <w:p w14:paraId="25481C57" w14:textId="77777777" w:rsidR="003C7C88" w:rsidRDefault="003C7C88">
      <w:pPr>
        <w:pStyle w:val="Footnote"/>
      </w:pPr>
      <w:r>
        <w:rPr>
          <w:rStyle w:val="EndnoteReference"/>
        </w:rPr>
        <w:endnoteRef/>
      </w:r>
      <w:r>
        <w:t xml:space="preserve">  Lin M &amp; Kraus J 2009, ‘A review of risk factors and patterns of motorcycle injuries’, </w:t>
      </w:r>
      <w:r w:rsidRPr="007F373D">
        <w:rPr>
          <w:i/>
        </w:rPr>
        <w:t>Accident Analysis and Prevention</w:t>
      </w:r>
      <w:r>
        <w:t>, vol. 41, pp710-722, &lt;</w:t>
      </w:r>
      <w:hyperlink r:id="rId114" w:history="1">
        <w:r w:rsidRPr="00B259B8">
          <w:rPr>
            <w:rStyle w:val="Hyperlink"/>
          </w:rPr>
          <w:t>https://www.sciencedirect.com/science/article/pii/S0001457509000578</w:t>
        </w:r>
      </w:hyperlink>
      <w:r>
        <w:t>&gt;.</w:t>
      </w:r>
    </w:p>
  </w:endnote>
  <w:endnote w:id="168">
    <w:p w14:paraId="5A73F4D8" w14:textId="77777777" w:rsidR="003C7C88" w:rsidRDefault="003C7C88">
      <w:pPr>
        <w:pStyle w:val="Footnote"/>
      </w:pPr>
      <w:r>
        <w:rPr>
          <w:rStyle w:val="EndnoteReference"/>
        </w:rPr>
        <w:endnoteRef/>
      </w:r>
      <w:r>
        <w:t xml:space="preserve">  de Rome L et al, ‘Motorcycle protective clothing: Protection from injury or just weather?’, </w:t>
      </w:r>
      <w:r w:rsidRPr="007F373D">
        <w:rPr>
          <w:i/>
        </w:rPr>
        <w:t>Accident Analysis</w:t>
      </w:r>
      <w:r>
        <w:rPr>
          <w:i/>
        </w:rPr>
        <w:t xml:space="preserve"> and</w:t>
      </w:r>
      <w:r w:rsidRPr="007F373D">
        <w:rPr>
          <w:i/>
        </w:rPr>
        <w:t xml:space="preserve"> Prevention</w:t>
      </w:r>
      <w:r>
        <w:rPr>
          <w:i/>
        </w:rPr>
        <w:t xml:space="preserve"> </w:t>
      </w:r>
      <w:r>
        <w:t>43 (2011) 1893-1900, &lt;</w:t>
      </w:r>
      <w:hyperlink r:id="rId115" w:history="1">
        <w:r w:rsidRPr="00E52283">
          <w:rPr>
            <w:rStyle w:val="Hyperlink"/>
          </w:rPr>
          <w:t>https://doi.org/10.1016/j.aap.2011.04.027</w:t>
        </w:r>
      </w:hyperlink>
      <w:r>
        <w:t xml:space="preserve">&gt;. </w:t>
      </w:r>
    </w:p>
  </w:endnote>
  <w:endnote w:id="169">
    <w:p w14:paraId="2D84E7FF" w14:textId="77777777" w:rsidR="003C7C88" w:rsidRDefault="003C7C88">
      <w:pPr>
        <w:pStyle w:val="Footnote"/>
      </w:pPr>
      <w:r>
        <w:rPr>
          <w:rStyle w:val="EndnoteReference"/>
        </w:rPr>
        <w:endnoteRef/>
      </w:r>
      <w:r>
        <w:t xml:space="preserve">  Transport Accident Commission 2010, </w:t>
      </w:r>
      <w:r w:rsidRPr="007F373D">
        <w:rPr>
          <w:i/>
        </w:rPr>
        <w:t>Motorcycle Tracking</w:t>
      </w:r>
      <w:r>
        <w:t>, May 2010, Sweeney ref No 18680.</w:t>
      </w:r>
    </w:p>
  </w:endnote>
  <w:endnote w:id="170">
    <w:p w14:paraId="5EC50032" w14:textId="77777777" w:rsidR="003C7C88" w:rsidRDefault="003C7C88">
      <w:pPr>
        <w:pStyle w:val="Footnote"/>
      </w:pPr>
      <w:r>
        <w:rPr>
          <w:rStyle w:val="EndnoteReference"/>
        </w:rPr>
        <w:endnoteRef/>
      </w:r>
      <w:r>
        <w:t xml:space="preserve">  Transport Accident Commission 2013, </w:t>
      </w:r>
      <w:r w:rsidRPr="007F373D">
        <w:rPr>
          <w:i/>
        </w:rPr>
        <w:t xml:space="preserve">Motorcycle </w:t>
      </w:r>
      <w:r>
        <w:rPr>
          <w:i/>
        </w:rPr>
        <w:t>Safety Campaign Monitor – Wave 5</w:t>
      </w:r>
      <w:r>
        <w:t>, May 2013, Wallis Strategic Market &amp; Social Research, &lt;</w:t>
      </w:r>
      <w:hyperlink r:id="rId116" w:history="1">
        <w:r w:rsidRPr="00B259B8">
          <w:rPr>
            <w:rStyle w:val="Hyperlink"/>
          </w:rPr>
          <w:t>http://www.tac.vic.gov.au/__data/assets/pdf_file/0019/59230/TAC-Motorcycle-Tracking-Wave-5-Final-Report-29th-July.pdf</w:t>
        </w:r>
      </w:hyperlink>
      <w:r>
        <w:t>&gt;.</w:t>
      </w:r>
    </w:p>
  </w:endnote>
  <w:endnote w:id="171">
    <w:p w14:paraId="46A560D8" w14:textId="77777777" w:rsidR="003C7C88" w:rsidRDefault="003C7C88">
      <w:pPr>
        <w:pStyle w:val="Footnote"/>
      </w:pPr>
      <w:r>
        <w:rPr>
          <w:rStyle w:val="EndnoteReference"/>
        </w:rPr>
        <w:endnoteRef/>
      </w:r>
      <w:r>
        <w:t xml:space="preserve">  Baldock M &amp; Hutchinson T 2010, </w:t>
      </w:r>
      <w:r w:rsidRPr="004C7C53">
        <w:rPr>
          <w:i/>
        </w:rPr>
        <w:t>Motorcycling in South Australia: Knowledge gaps for research</w:t>
      </w:r>
      <w:r>
        <w:t>, Centre for Automotive Safety Research, p20.</w:t>
      </w:r>
    </w:p>
  </w:endnote>
  <w:endnote w:id="172">
    <w:p w14:paraId="518120C6" w14:textId="77777777" w:rsidR="003C7C88" w:rsidRDefault="003C7C88" w:rsidP="001A53D8">
      <w:pPr>
        <w:pStyle w:val="Footnote"/>
      </w:pPr>
      <w:r>
        <w:rPr>
          <w:rStyle w:val="EndnoteReference"/>
        </w:rPr>
        <w:endnoteRef/>
      </w:r>
      <w:r>
        <w:t xml:space="preserve">  </w:t>
      </w:r>
      <w:r w:rsidRPr="004E7D2C">
        <w:t>Australian Bureau of Statistics</w:t>
      </w:r>
      <w:r>
        <w:t xml:space="preserve">, </w:t>
      </w:r>
      <w:r w:rsidRPr="00B51586">
        <w:t>Australian Demographic Statistics</w:t>
      </w:r>
      <w:r>
        <w:t>, Jun 2018, 3101.0, &lt;</w:t>
      </w:r>
      <w:hyperlink r:id="rId117" w:history="1">
        <w:r w:rsidRPr="00AD7C57">
          <w:rPr>
            <w:rStyle w:val="Hyperlink"/>
          </w:rPr>
          <w:t>http://www.abs.gov.au/AUSSTATS/abs@.nsf/DetailsPage/3101.0Jun%202018</w:t>
        </w:r>
      </w:hyperlink>
      <w:r>
        <w:t>&gt;.</w:t>
      </w:r>
    </w:p>
  </w:endnote>
  <w:endnote w:id="173">
    <w:p w14:paraId="61D331C1" w14:textId="77777777" w:rsidR="003C7C88" w:rsidRPr="00562EC1" w:rsidRDefault="003C7C88" w:rsidP="001A53D8">
      <w:pPr>
        <w:pStyle w:val="Footnote"/>
      </w:pPr>
      <w:r>
        <w:rPr>
          <w:rStyle w:val="EndnoteReference"/>
        </w:rPr>
        <w:endnoteRef/>
      </w:r>
      <w:r>
        <w:t xml:space="preserve">  </w:t>
      </w:r>
      <w:r w:rsidRPr="00562EC1">
        <w:t>Estimated based on the Motor Vehicle Census 1962 (0.9M registered motor vehicles in Victoria) and the Motor Vehicle Census 1976 (1.8M registered motor vehicles in Victoria) from the Australian Bureau of Statistics</w:t>
      </w:r>
    </w:p>
  </w:endnote>
  <w:endnote w:id="174">
    <w:p w14:paraId="7E28B38B" w14:textId="77777777" w:rsidR="003C7C88" w:rsidRPr="004E7D2C" w:rsidRDefault="003C7C88" w:rsidP="001A53D8">
      <w:pPr>
        <w:pStyle w:val="Footnote"/>
      </w:pPr>
      <w:r>
        <w:rPr>
          <w:rStyle w:val="EndnoteReference"/>
        </w:rPr>
        <w:endnoteRef/>
      </w:r>
      <w:r>
        <w:t xml:space="preserve">  VicRoads, Vehicles Registration &amp; Identification System data, as at 31 December 2018. </w:t>
      </w:r>
    </w:p>
  </w:endnote>
  <w:endnote w:id="175">
    <w:p w14:paraId="7A7CD40D" w14:textId="77777777" w:rsidR="003C7C88" w:rsidRDefault="003C7C88" w:rsidP="006F4499">
      <w:pPr>
        <w:pStyle w:val="Footnote"/>
      </w:pPr>
      <w:r>
        <w:rPr>
          <w:rStyle w:val="EndnoteReference"/>
        </w:rPr>
        <w:endnoteRef/>
      </w:r>
      <w:r>
        <w:t xml:space="preserve">  VicRoads, 2019, Road Crash Information System (RCIS)</w:t>
      </w:r>
    </w:p>
  </w:endnote>
  <w:endnote w:id="176">
    <w:p w14:paraId="21E000F8" w14:textId="77777777" w:rsidR="003C7C88" w:rsidRPr="003C2B47" w:rsidRDefault="003C7C88" w:rsidP="00F00216">
      <w:pPr>
        <w:pStyle w:val="Footnote"/>
        <w:rPr>
          <w:rFonts w:cs="Segoe UI"/>
          <w:szCs w:val="16"/>
        </w:rPr>
      </w:pPr>
      <w:r w:rsidRPr="003C2B47">
        <w:rPr>
          <w:rStyle w:val="EndnoteReference"/>
          <w:rFonts w:cs="Segoe UI"/>
          <w:szCs w:val="16"/>
        </w:rPr>
        <w:endnoteRef/>
      </w:r>
      <w:r w:rsidRPr="003C2B47">
        <w:rPr>
          <w:rFonts w:cs="Segoe UI"/>
          <w:szCs w:val="16"/>
        </w:rPr>
        <w:t xml:space="preserve"> </w:t>
      </w:r>
      <w:r>
        <w:rPr>
          <w:rFonts w:cs="Segoe UI"/>
          <w:szCs w:val="16"/>
        </w:rPr>
        <w:t xml:space="preserve"> Government of Victoria 2016, </w:t>
      </w:r>
      <w:r w:rsidRPr="000D1AB3">
        <w:rPr>
          <w:rFonts w:cs="Segoe UI"/>
          <w:i/>
          <w:szCs w:val="16"/>
        </w:rPr>
        <w:t>Vision Zero and Sweden’s approach to road safety</w:t>
      </w:r>
      <w:r>
        <w:rPr>
          <w:rFonts w:cs="Segoe UI"/>
          <w:szCs w:val="16"/>
        </w:rPr>
        <w:t xml:space="preserve">, </w:t>
      </w:r>
      <w:r>
        <w:t>&lt;</w:t>
      </w:r>
      <w:hyperlink r:id="rId118" w:history="1">
        <w:r w:rsidRPr="00A45865">
          <w:rPr>
            <w:rStyle w:val="Hyperlink"/>
          </w:rPr>
          <w:t>https://www.towardszero.vic.gov.au/news/articles/vision-zero-and-swedens-approach-to-road-safety</w:t>
        </w:r>
      </w:hyperlink>
      <w:r>
        <w:t xml:space="preserve">&gt;; </w:t>
      </w:r>
      <w:r>
        <w:rPr>
          <w:rFonts w:cs="Segoe UI"/>
          <w:szCs w:val="16"/>
        </w:rPr>
        <w:t xml:space="preserve">Commonwealth Government 2018, </w:t>
      </w:r>
      <w:r w:rsidRPr="002A4CED">
        <w:rPr>
          <w:rFonts w:cs="Segoe UI"/>
          <w:szCs w:val="16"/>
        </w:rPr>
        <w:t>State and territory road safety strategies</w:t>
      </w:r>
      <w:r>
        <w:rPr>
          <w:rFonts w:cs="Segoe UI"/>
          <w:szCs w:val="16"/>
        </w:rPr>
        <w:t xml:space="preserve">, </w:t>
      </w:r>
      <w:r>
        <w:t>&lt;</w:t>
      </w:r>
      <w:hyperlink r:id="rId119" w:history="1">
        <w:r w:rsidRPr="00A45865">
          <w:rPr>
            <w:rStyle w:val="Hyperlink"/>
          </w:rPr>
          <w:t>http://roadsafety.gov.au/rsa/state-territories.aspx</w:t>
        </w:r>
      </w:hyperlink>
      <w:r>
        <w:rPr>
          <w:rFonts w:cs="Segoe UI"/>
          <w:szCs w:val="16"/>
        </w:rPr>
        <w:t>&gt;.</w:t>
      </w:r>
    </w:p>
  </w:endnote>
  <w:endnote w:id="177">
    <w:p w14:paraId="2991E284" w14:textId="77777777" w:rsidR="003C7C88" w:rsidRPr="00DE534C" w:rsidRDefault="003C7C88" w:rsidP="00F00216">
      <w:pPr>
        <w:pStyle w:val="Footnote"/>
      </w:pPr>
      <w:r w:rsidRPr="00DE534C">
        <w:rPr>
          <w:rStyle w:val="EndnoteReference"/>
          <w:rFonts w:cs="Segoe UI"/>
          <w:szCs w:val="16"/>
        </w:rPr>
        <w:endnoteRef/>
      </w:r>
      <w:r w:rsidRPr="00DE534C">
        <w:t xml:space="preserve"> </w:t>
      </w:r>
      <w:r>
        <w:t xml:space="preserve"> </w:t>
      </w:r>
      <w:r w:rsidRPr="00DE534C">
        <w:t xml:space="preserve">Bureau of Infrastructure, Transport and Regional Economics, </w:t>
      </w:r>
      <w:r w:rsidRPr="001C6124">
        <w:rPr>
          <w:i/>
        </w:rPr>
        <w:t>Road Deaths Australia – Monthly Bulletin</w:t>
      </w:r>
      <w:r>
        <w:t>, Dec 2017, &lt;</w:t>
      </w:r>
      <w:hyperlink r:id="rId120" w:history="1">
        <w:r w:rsidRPr="0060353F">
          <w:rPr>
            <w:rStyle w:val="Hyperlink"/>
            <w:rFonts w:cs="Segoe UI"/>
            <w:szCs w:val="16"/>
          </w:rPr>
          <w:t>https://bitre.gov.au/publications/ongoing/rda/files/RDA_Dec_2017.pdf</w:t>
        </w:r>
      </w:hyperlink>
      <w:r>
        <w:t>&gt;.</w:t>
      </w:r>
    </w:p>
  </w:endnote>
  <w:endnote w:id="178">
    <w:p w14:paraId="5CABB32D" w14:textId="77777777" w:rsidR="003C7C88" w:rsidRPr="00DE534C" w:rsidRDefault="003C7C88" w:rsidP="00F00216">
      <w:pPr>
        <w:pStyle w:val="Footnote"/>
      </w:pPr>
      <w:r w:rsidRPr="00DE534C">
        <w:rPr>
          <w:rStyle w:val="EndnoteReference"/>
          <w:rFonts w:cs="Segoe UI"/>
          <w:szCs w:val="16"/>
        </w:rPr>
        <w:endnoteRef/>
      </w:r>
      <w:r w:rsidRPr="00DE534C">
        <w:t xml:space="preserve"> </w:t>
      </w:r>
      <w:r>
        <w:t xml:space="preserve"> </w:t>
      </w:r>
      <w:r w:rsidRPr="00DE534C">
        <w:t xml:space="preserve">Australian Bureau of Statistics, </w:t>
      </w:r>
      <w:r w:rsidRPr="001C6124">
        <w:rPr>
          <w:i/>
        </w:rPr>
        <w:t>3101.0 – Australian Demographic Statistics</w:t>
      </w:r>
      <w:r w:rsidRPr="00DE534C">
        <w:t xml:space="preserve">, Jun 2017: </w:t>
      </w:r>
      <w:hyperlink r:id="rId121" w:history="1">
        <w:r w:rsidRPr="00DE534C">
          <w:rPr>
            <w:rStyle w:val="Hyperlink"/>
            <w:rFonts w:cs="Segoe UI"/>
            <w:szCs w:val="16"/>
          </w:rPr>
          <w:t>http://www.abs.gov.au/AUSSTATS/abs@.nsf/mf/3101.0</w:t>
        </w:r>
      </w:hyperlink>
      <w:r w:rsidRPr="00DE534C">
        <w:t xml:space="preserve"> </w:t>
      </w:r>
    </w:p>
  </w:endnote>
  <w:endnote w:id="179">
    <w:p w14:paraId="42059B4A" w14:textId="77777777" w:rsidR="003C7C88" w:rsidRPr="006F040A" w:rsidRDefault="003C7C88" w:rsidP="00F00216">
      <w:pPr>
        <w:pStyle w:val="Footnote"/>
        <w:rPr>
          <w:rFonts w:cs="Segoe UI"/>
          <w:szCs w:val="16"/>
        </w:rPr>
      </w:pPr>
      <w:r w:rsidRPr="006F040A">
        <w:rPr>
          <w:rStyle w:val="EndnoteReference"/>
          <w:rFonts w:cs="Segoe UI"/>
          <w:szCs w:val="16"/>
        </w:rPr>
        <w:endnoteRef/>
      </w:r>
      <w:r w:rsidRPr="006F040A">
        <w:rPr>
          <w:rFonts w:cs="Segoe UI"/>
          <w:szCs w:val="16"/>
        </w:rPr>
        <w:t xml:space="preserve"> </w:t>
      </w:r>
      <w:r>
        <w:rPr>
          <w:rFonts w:cs="Segoe UI"/>
          <w:szCs w:val="16"/>
        </w:rPr>
        <w:t xml:space="preserve"> Government of Victoria 2016, </w:t>
      </w:r>
      <w:r w:rsidRPr="006F15CB">
        <w:rPr>
          <w:rFonts w:cs="Segoe UI"/>
          <w:i/>
          <w:szCs w:val="16"/>
        </w:rPr>
        <w:t>Towards Zero 2016-2020 Road Safety Strategy and Plan</w:t>
      </w:r>
      <w:r>
        <w:rPr>
          <w:rFonts w:cs="Segoe UI"/>
          <w:szCs w:val="16"/>
        </w:rPr>
        <w:t xml:space="preserve">, </w:t>
      </w:r>
      <w:r>
        <w:t xml:space="preserve"> &lt;</w:t>
      </w:r>
      <w:hyperlink r:id="rId122" w:history="1">
        <w:r w:rsidRPr="00255E82">
          <w:rPr>
            <w:rStyle w:val="Hyperlink"/>
            <w:rFonts w:cs="Segoe UI"/>
            <w:szCs w:val="16"/>
          </w:rPr>
          <w:t>https://www.towardszero.vic.gov.au/what-is-towards-zero/road-safety-action-plan</w:t>
        </w:r>
      </w:hyperlink>
      <w:r>
        <w:rPr>
          <w:rFonts w:cs="Segoe UI"/>
          <w:szCs w:val="16"/>
        </w:rPr>
        <w:t>&gt;.</w:t>
      </w:r>
    </w:p>
  </w:endnote>
  <w:endnote w:id="180">
    <w:p w14:paraId="6C234CD5" w14:textId="77777777" w:rsidR="003C7C88" w:rsidRPr="006F040A" w:rsidRDefault="003C7C88" w:rsidP="00F00216">
      <w:pPr>
        <w:pStyle w:val="Footnote"/>
      </w:pPr>
      <w:r w:rsidRPr="006F040A">
        <w:rPr>
          <w:rStyle w:val="EndnoteReference"/>
          <w:rFonts w:cs="Segoe UI"/>
          <w:szCs w:val="16"/>
        </w:rPr>
        <w:endnoteRef/>
      </w:r>
      <w:r w:rsidRPr="006F040A">
        <w:t xml:space="preserve"> </w:t>
      </w:r>
      <w:r>
        <w:t xml:space="preserve"> </w:t>
      </w:r>
      <w:r w:rsidRPr="006F040A">
        <w:t xml:space="preserve">Australian Bureau of Statistics, 3222.0 </w:t>
      </w:r>
      <w:r w:rsidRPr="00BE7248">
        <w:rPr>
          <w:i/>
        </w:rPr>
        <w:t>Population Projections, Australia</w:t>
      </w:r>
      <w:r w:rsidRPr="006F040A">
        <w:t xml:space="preserve">, 2012 (base) to 2101: </w:t>
      </w:r>
      <w:hyperlink r:id="rId123" w:history="1">
        <w:r w:rsidRPr="006F040A">
          <w:rPr>
            <w:rStyle w:val="Hyperlink"/>
            <w:rFonts w:cs="Segoe UI"/>
            <w:szCs w:val="16"/>
          </w:rPr>
          <w:t>http://www.abs.gov.au/ausstats/abs@.nsf/mf/3222.0</w:t>
        </w:r>
      </w:hyperlink>
      <w:r w:rsidRPr="006F040A">
        <w:t xml:space="preserve"> </w:t>
      </w:r>
    </w:p>
  </w:endnote>
  <w:endnote w:id="181">
    <w:p w14:paraId="21477740" w14:textId="77777777" w:rsidR="003C7C88" w:rsidRPr="00DE534C" w:rsidRDefault="003C7C88" w:rsidP="00F00216">
      <w:pPr>
        <w:pStyle w:val="Footnote"/>
      </w:pPr>
      <w:r w:rsidRPr="00DE534C">
        <w:rPr>
          <w:rStyle w:val="EndnoteReference"/>
          <w:rFonts w:cs="Segoe UI"/>
          <w:szCs w:val="16"/>
        </w:rPr>
        <w:endnoteRef/>
      </w:r>
      <w:r w:rsidRPr="00DE534C">
        <w:t xml:space="preserve"> </w:t>
      </w:r>
      <w:r>
        <w:t xml:space="preserve"> </w:t>
      </w:r>
      <w:r w:rsidRPr="00DE534C">
        <w:t xml:space="preserve">Australian Bureau of Statistics, </w:t>
      </w:r>
      <w:r>
        <w:rPr>
          <w:i/>
        </w:rPr>
        <w:t>9309.0</w:t>
      </w:r>
      <w:r w:rsidRPr="001C6124">
        <w:rPr>
          <w:i/>
        </w:rPr>
        <w:t xml:space="preserve"> – </w:t>
      </w:r>
      <w:r>
        <w:rPr>
          <w:i/>
        </w:rPr>
        <w:t>Motor Vehicle Census, Australia</w:t>
      </w:r>
      <w:r w:rsidRPr="00DE534C">
        <w:t>, J</w:t>
      </w:r>
      <w:r>
        <w:t>an 2017,  &lt;</w:t>
      </w:r>
      <w:hyperlink r:id="rId124" w:history="1">
        <w:r w:rsidRPr="000C4F2C">
          <w:rPr>
            <w:rStyle w:val="Hyperlink"/>
            <w:rFonts w:cs="Segoe UI"/>
            <w:szCs w:val="16"/>
          </w:rPr>
          <w:t>http://www.abs.gov.au/ausstats/abs@.nsf/mf/9309.0</w:t>
        </w:r>
      </w:hyperlink>
      <w:r>
        <w:t>&gt;.</w:t>
      </w:r>
    </w:p>
  </w:endnote>
  <w:endnote w:id="182">
    <w:p w14:paraId="4DB68D11" w14:textId="77777777" w:rsidR="003C7C88" w:rsidRPr="00C4643F" w:rsidRDefault="003C7C88" w:rsidP="00F00216">
      <w:pPr>
        <w:pStyle w:val="Footnote"/>
      </w:pPr>
      <w:r w:rsidRPr="00C4643F">
        <w:rPr>
          <w:rStyle w:val="EndnoteReference"/>
          <w:rFonts w:cs="Segoe UI"/>
          <w:szCs w:val="16"/>
        </w:rPr>
        <w:endnoteRef/>
      </w:r>
      <w:r w:rsidRPr="00C4643F">
        <w:t xml:space="preserve"> </w:t>
      </w:r>
      <w:r>
        <w:t xml:space="preserve"> </w:t>
      </w:r>
      <w:r w:rsidRPr="00C4643F">
        <w:t xml:space="preserve">2012-2017 annual growth rate </w:t>
      </w:r>
      <w:r>
        <w:t xml:space="preserve">of </w:t>
      </w:r>
      <w:r w:rsidRPr="00C4643F">
        <w:t xml:space="preserve">2.3% </w:t>
      </w:r>
      <w:r>
        <w:t xml:space="preserve">extrapolated </w:t>
      </w:r>
      <w:r w:rsidRPr="00C4643F">
        <w:t>to 2020</w:t>
      </w:r>
      <w:r>
        <w:t>.</w:t>
      </w:r>
    </w:p>
  </w:endnote>
  <w:endnote w:id="183">
    <w:p w14:paraId="6F4EB591" w14:textId="77777777" w:rsidR="003C7C88" w:rsidRPr="00DE534C" w:rsidRDefault="003C7C88" w:rsidP="00F00216">
      <w:pPr>
        <w:pStyle w:val="Footnote"/>
      </w:pPr>
      <w:r w:rsidRPr="00DE534C">
        <w:rPr>
          <w:rStyle w:val="EndnoteReference"/>
          <w:rFonts w:cs="Segoe UI"/>
          <w:szCs w:val="16"/>
        </w:rPr>
        <w:endnoteRef/>
      </w:r>
      <w:r w:rsidRPr="00DE534C">
        <w:t xml:space="preserve"> </w:t>
      </w:r>
      <w:r>
        <w:t xml:space="preserve"> </w:t>
      </w:r>
      <w:r w:rsidRPr="00DE534C">
        <w:t xml:space="preserve">Bureau of Infrastructure, Transport and Regional Economics, </w:t>
      </w:r>
      <w:r w:rsidRPr="001C6124">
        <w:rPr>
          <w:i/>
        </w:rPr>
        <w:t>Road Deaths Australia – Monthly Bulletin</w:t>
      </w:r>
      <w:r>
        <w:t xml:space="preserve">, Dec 2017: </w:t>
      </w:r>
      <w:hyperlink r:id="rId125" w:history="1">
        <w:r w:rsidRPr="0060353F">
          <w:rPr>
            <w:rStyle w:val="Hyperlink"/>
            <w:rFonts w:cs="Segoe UI"/>
            <w:szCs w:val="16"/>
          </w:rPr>
          <w:t>https://bitre.gov.au/publications/ongoing/rda/files/RDA_Dec_2017.pdf</w:t>
        </w:r>
      </w:hyperlink>
      <w:r>
        <w:t xml:space="preserve"> </w:t>
      </w:r>
    </w:p>
  </w:endnote>
  <w:endnote w:id="184">
    <w:p w14:paraId="39986733" w14:textId="77777777" w:rsidR="003C7C88" w:rsidRPr="00DE534C" w:rsidRDefault="003C7C88" w:rsidP="00F00216">
      <w:pPr>
        <w:pStyle w:val="Footnote"/>
      </w:pPr>
      <w:r w:rsidRPr="00DE534C">
        <w:rPr>
          <w:rStyle w:val="EndnoteReference"/>
          <w:rFonts w:cs="Segoe UI"/>
          <w:szCs w:val="16"/>
        </w:rPr>
        <w:endnoteRef/>
      </w:r>
      <w:r w:rsidRPr="00DE534C">
        <w:t xml:space="preserve"> </w:t>
      </w:r>
      <w:r>
        <w:t xml:space="preserve"> </w:t>
      </w:r>
      <w:r w:rsidRPr="00DE534C">
        <w:t xml:space="preserve">Australian Bureau of Statistics, </w:t>
      </w:r>
      <w:r>
        <w:rPr>
          <w:i/>
        </w:rPr>
        <w:t>9208.0</w:t>
      </w:r>
      <w:r w:rsidRPr="001C6124">
        <w:rPr>
          <w:i/>
        </w:rPr>
        <w:t xml:space="preserve"> – </w:t>
      </w:r>
      <w:r>
        <w:rPr>
          <w:i/>
        </w:rPr>
        <w:t>Survey of Motor Vehicle Use, Australia, 12 months ended 30m Jun 2016</w:t>
      </w:r>
      <w:r w:rsidRPr="00DE534C">
        <w:t xml:space="preserve">, </w:t>
      </w:r>
      <w:r>
        <w:t xml:space="preserve">Mar 2017: </w:t>
      </w:r>
      <w:hyperlink r:id="rId126" w:history="1">
        <w:r w:rsidRPr="000C4F2C">
          <w:rPr>
            <w:rStyle w:val="Hyperlink"/>
            <w:rFonts w:cs="Segoe UI"/>
            <w:szCs w:val="16"/>
          </w:rPr>
          <w:t>http://www.abs.gov.au/ausstats/abs@.nsf/mf/9208.0</w:t>
        </w:r>
      </w:hyperlink>
      <w:r>
        <w:t xml:space="preserve"> </w:t>
      </w:r>
    </w:p>
  </w:endnote>
  <w:endnote w:id="185">
    <w:p w14:paraId="26BBDC2E" w14:textId="77777777" w:rsidR="003C7C88" w:rsidRPr="00255E82" w:rsidRDefault="003C7C88" w:rsidP="00F00216">
      <w:pPr>
        <w:pStyle w:val="Footnote"/>
        <w:rPr>
          <w:rFonts w:cs="Segoe UI"/>
          <w:szCs w:val="16"/>
        </w:rPr>
      </w:pPr>
      <w:r w:rsidRPr="00255E82">
        <w:rPr>
          <w:rStyle w:val="EndnoteReference"/>
          <w:rFonts w:cs="Segoe UI"/>
          <w:szCs w:val="16"/>
        </w:rPr>
        <w:endnoteRef/>
      </w:r>
      <w:r w:rsidRPr="00255E82">
        <w:rPr>
          <w:rFonts w:cs="Segoe UI"/>
          <w:szCs w:val="16"/>
        </w:rPr>
        <w:t xml:space="preserve"> </w:t>
      </w:r>
      <w:r>
        <w:rPr>
          <w:rFonts w:cs="Segoe UI"/>
          <w:szCs w:val="16"/>
        </w:rPr>
        <w:t xml:space="preserve"> Government of Victoria 2016, </w:t>
      </w:r>
      <w:r w:rsidRPr="006F15CB">
        <w:rPr>
          <w:rFonts w:cs="Segoe UI"/>
          <w:i/>
          <w:szCs w:val="16"/>
        </w:rPr>
        <w:t>Towards Zero 2016-2020 Road Safety Strategy and Plan</w:t>
      </w:r>
      <w:r>
        <w:rPr>
          <w:rFonts w:cs="Segoe UI"/>
          <w:szCs w:val="16"/>
        </w:rPr>
        <w:t xml:space="preserve">, </w:t>
      </w:r>
      <w:r>
        <w:t>&lt;</w:t>
      </w:r>
      <w:hyperlink r:id="rId127" w:history="1">
        <w:r w:rsidRPr="00255E82">
          <w:rPr>
            <w:rStyle w:val="Hyperlink"/>
            <w:rFonts w:cs="Segoe UI"/>
            <w:szCs w:val="16"/>
          </w:rPr>
          <w:t>https://www.towardszero.vic.gov.au/what-is-towards-zero/road-safety-action-plan</w:t>
        </w:r>
      </w:hyperlink>
      <w:r>
        <w:rPr>
          <w:rFonts w:cs="Segoe UI"/>
          <w:szCs w:val="16"/>
        </w:rPr>
        <w:t>&gt;.</w:t>
      </w:r>
    </w:p>
  </w:endnote>
  <w:endnote w:id="186">
    <w:p w14:paraId="0FFAA396" w14:textId="77777777" w:rsidR="003C7C88" w:rsidRPr="00C4643F" w:rsidRDefault="003C7C88" w:rsidP="00F00216">
      <w:pPr>
        <w:pStyle w:val="Footnote"/>
      </w:pPr>
      <w:r w:rsidRPr="00C4643F">
        <w:rPr>
          <w:rStyle w:val="EndnoteReference"/>
          <w:rFonts w:cs="Segoe UI"/>
          <w:szCs w:val="16"/>
        </w:rPr>
        <w:endnoteRef/>
      </w:r>
      <w:r w:rsidRPr="00C4643F">
        <w:t xml:space="preserve"> </w:t>
      </w:r>
      <w:r>
        <w:t xml:space="preserve"> </w:t>
      </w:r>
      <w:r w:rsidRPr="00C4643F">
        <w:t xml:space="preserve">2007-2016 annual growth rate </w:t>
      </w:r>
      <w:r>
        <w:t xml:space="preserve">of </w:t>
      </w:r>
      <w:r w:rsidRPr="00C4643F">
        <w:t xml:space="preserve">1.6% </w:t>
      </w:r>
      <w:r>
        <w:t xml:space="preserve">extrapolated </w:t>
      </w:r>
      <w:r w:rsidRPr="00C4643F">
        <w:t>to 2020</w:t>
      </w:r>
      <w:r>
        <w:t>.</w:t>
      </w:r>
    </w:p>
  </w:endnote>
  <w:endnote w:id="187">
    <w:p w14:paraId="1D6260ED" w14:textId="77777777" w:rsidR="003C7C88" w:rsidRPr="001773AC" w:rsidRDefault="003C7C88">
      <w:pPr>
        <w:pStyle w:val="Footnote"/>
      </w:pPr>
      <w:r>
        <w:rPr>
          <w:rStyle w:val="EndnoteReference"/>
        </w:rPr>
        <w:endnoteRef/>
      </w:r>
      <w:r>
        <w:t xml:space="preserve">  Viscusi, W.K &amp; Aldy, J E, "The Value of a Statistical Life: A Critical Review of Market Estimates Throughout the World" (2002). </w:t>
      </w:r>
      <w:r>
        <w:rPr>
          <w:i/>
          <w:iCs/>
        </w:rPr>
        <w:t xml:space="preserve">Harvard Law School John M. Olin Center for Law, Economics and Business Discussion Paper Series. </w:t>
      </w:r>
      <w:r>
        <w:t>Paper 392, p1,  &lt;</w:t>
      </w:r>
      <w:r>
        <w:rPr>
          <w:rStyle w:val="Hyperlink"/>
        </w:rPr>
        <w:t>http://lsr.nellco.org/harvard_olin/392</w:t>
      </w:r>
      <w:r>
        <w:rPr>
          <w:iCs/>
        </w:rPr>
        <w:t>&gt;.</w:t>
      </w:r>
    </w:p>
  </w:endnote>
  <w:endnote w:id="188">
    <w:p w14:paraId="622D16BF" w14:textId="77777777" w:rsidR="003C7C88" w:rsidRPr="00552F2D" w:rsidRDefault="003C7C88">
      <w:pPr>
        <w:pStyle w:val="Footnote"/>
      </w:pPr>
      <w:r w:rsidRPr="00552F2D">
        <w:rPr>
          <w:rStyle w:val="EndnoteReference"/>
          <w:rFonts w:cs="Segoe UI"/>
          <w:szCs w:val="16"/>
        </w:rPr>
        <w:endnoteRef/>
      </w:r>
      <w:r>
        <w:t xml:space="preserve">  Department of Prime Minister &amp; Cabinet 2014, </w:t>
      </w:r>
      <w:r>
        <w:rPr>
          <w:i/>
        </w:rPr>
        <w:t>Best Practice Regulation Guidance Note – Value of statistical life</w:t>
      </w:r>
      <w:r>
        <w:t>, Dec 2014, p.1, &lt;</w:t>
      </w:r>
      <w:hyperlink r:id="rId128" w:history="1">
        <w:r w:rsidRPr="00552F2D">
          <w:rPr>
            <w:rStyle w:val="Hyperlink"/>
            <w:rFonts w:cs="Segoe UI"/>
            <w:szCs w:val="16"/>
          </w:rPr>
          <w:t>https://www.pmc.gov.au/sites/default/files/publications/Value_of_Statistical_Life_guidance_note.pdf</w:t>
        </w:r>
      </w:hyperlink>
      <w:r w:rsidRPr="00F4115C">
        <w:rPr>
          <w:rStyle w:val="Hyperlink"/>
          <w:rFonts w:cs="Segoe UI"/>
          <w:szCs w:val="16"/>
          <w:u w:val="none"/>
        </w:rPr>
        <w:t>&gt;.</w:t>
      </w:r>
    </w:p>
  </w:endnote>
  <w:endnote w:id="189">
    <w:p w14:paraId="76CE957E" w14:textId="77777777" w:rsidR="003C7C88" w:rsidRPr="0061606D" w:rsidRDefault="003C7C88" w:rsidP="00377E7C">
      <w:pPr>
        <w:pStyle w:val="Footnote"/>
      </w:pPr>
      <w:r w:rsidRPr="0061606D">
        <w:rPr>
          <w:rStyle w:val="EndnoteReference"/>
          <w:rFonts w:cs="Segoe UI"/>
          <w:szCs w:val="16"/>
        </w:rPr>
        <w:endnoteRef/>
      </w:r>
      <w:r w:rsidRPr="0061606D">
        <w:t xml:space="preserve"> </w:t>
      </w:r>
      <w:r>
        <w:t xml:space="preserve"> </w:t>
      </w:r>
      <w:r w:rsidRPr="0061606D">
        <w:t xml:space="preserve">Bureau of Infrastructure, Transport and Regional Economics, </w:t>
      </w:r>
      <w:r w:rsidRPr="0061606D">
        <w:rPr>
          <w:i/>
        </w:rPr>
        <w:t>Cost of road crashes in Australia 2006</w:t>
      </w:r>
      <w:r w:rsidRPr="0061606D">
        <w:t xml:space="preserve">, Research Report 118, Jan 2009: </w:t>
      </w:r>
      <w:hyperlink r:id="rId129" w:history="1">
        <w:r w:rsidRPr="0061606D">
          <w:rPr>
            <w:rStyle w:val="Hyperlink"/>
            <w:rFonts w:cs="Segoe UI"/>
            <w:szCs w:val="16"/>
          </w:rPr>
          <w:t>https://bitre.gov.au/publications/2010/files/report_118.pdf</w:t>
        </w:r>
      </w:hyperlink>
    </w:p>
  </w:endnote>
  <w:endnote w:id="190">
    <w:p w14:paraId="6E4A097E" w14:textId="77777777" w:rsidR="003C7C88" w:rsidRPr="003B1544" w:rsidRDefault="003C7C88" w:rsidP="00377E7C">
      <w:pPr>
        <w:pStyle w:val="Footnote"/>
      </w:pPr>
      <w:r w:rsidRPr="003B1544">
        <w:rPr>
          <w:rStyle w:val="EndnoteReference"/>
          <w:rFonts w:cs="Segoe UI"/>
          <w:szCs w:val="16"/>
        </w:rPr>
        <w:endnoteRef/>
      </w:r>
      <w:r w:rsidRPr="003B1544">
        <w:t xml:space="preserve"> </w:t>
      </w:r>
      <w:r>
        <w:t xml:space="preserve"> </w:t>
      </w:r>
      <w:r w:rsidRPr="003B1544">
        <w:t>Average annual</w:t>
      </w:r>
      <w:r>
        <w:t>ised</w:t>
      </w:r>
      <w:r w:rsidRPr="003B1544">
        <w:t xml:space="preserve"> inflation rate</w:t>
      </w:r>
      <w:r>
        <w:t xml:space="preserve"> for 2006-18</w:t>
      </w:r>
      <w:r w:rsidRPr="003B1544">
        <w:t xml:space="preserve"> </w:t>
      </w:r>
      <w:r>
        <w:t>= 2.3</w:t>
      </w:r>
      <w:r w:rsidRPr="003B1544">
        <w:t>%</w:t>
      </w:r>
      <w:r>
        <w:t xml:space="preserve"> - Reserve Bank of Australia, </w:t>
      </w:r>
      <w:r w:rsidRPr="0003513A">
        <w:rPr>
          <w:i/>
        </w:rPr>
        <w:t>Measures of Consumer Price Inflation</w:t>
      </w:r>
      <w:r>
        <w:t xml:space="preserve">: </w:t>
      </w:r>
      <w:hyperlink r:id="rId130" w:history="1">
        <w:r w:rsidRPr="003B72FD">
          <w:rPr>
            <w:rStyle w:val="Hyperlink"/>
            <w:rFonts w:cs="Segoe UI"/>
            <w:szCs w:val="16"/>
          </w:rPr>
          <w:t>https://www.rba.gov.au/inflation/measures-cpi.html</w:t>
        </w:r>
      </w:hyperlink>
      <w:r>
        <w:t xml:space="preserve"> </w:t>
      </w:r>
    </w:p>
  </w:endnote>
  <w:endnote w:id="191">
    <w:p w14:paraId="295B1764" w14:textId="77777777" w:rsidR="003C7C88" w:rsidRDefault="003C7C88" w:rsidP="00377E7C">
      <w:pPr>
        <w:pStyle w:val="Footnote"/>
      </w:pPr>
      <w:r>
        <w:rPr>
          <w:rStyle w:val="EndnoteReference"/>
        </w:rPr>
        <w:endnoteRef/>
      </w:r>
      <w:r>
        <w:t xml:space="preserve">  Reserve Bank of Australia 2018, </w:t>
      </w:r>
      <w:r w:rsidRPr="0003513A">
        <w:rPr>
          <w:i/>
        </w:rPr>
        <w:t>Measures of Consumer Price Inflation</w:t>
      </w:r>
      <w:r>
        <w:rPr>
          <w:i/>
        </w:rPr>
        <w:t>,</w:t>
      </w:r>
      <w:r w:rsidRPr="008F07ED">
        <w:t xml:space="preserve"> </w:t>
      </w:r>
      <w:r w:rsidRPr="003B1544">
        <w:t>Average annual</w:t>
      </w:r>
      <w:r>
        <w:t>ised</w:t>
      </w:r>
      <w:r w:rsidRPr="003B1544">
        <w:t xml:space="preserve"> inflation rate</w:t>
      </w:r>
      <w:r>
        <w:t xml:space="preserve"> for 2006-17</w:t>
      </w:r>
      <w:r w:rsidRPr="003B1544">
        <w:t xml:space="preserve"> </w:t>
      </w:r>
      <w:r>
        <w:t>= 2.4</w:t>
      </w:r>
      <w:r w:rsidRPr="003B1544">
        <w:t>%</w:t>
      </w:r>
      <w:r>
        <w:t>,  &lt;</w:t>
      </w:r>
      <w:hyperlink r:id="rId131" w:history="1">
        <w:r w:rsidRPr="003B72FD">
          <w:rPr>
            <w:rStyle w:val="Hyperlink"/>
            <w:rFonts w:cs="Segoe UI"/>
            <w:szCs w:val="16"/>
          </w:rPr>
          <w:t>https://www.rba.gov.au/inflation/measures-cpi.html</w:t>
        </w:r>
      </w:hyperlink>
      <w:r>
        <w:t>&gt;.</w:t>
      </w:r>
    </w:p>
  </w:endnote>
  <w:endnote w:id="192">
    <w:p w14:paraId="269D3178" w14:textId="77777777" w:rsidR="003C7C88" w:rsidRPr="00552F2D" w:rsidRDefault="003C7C88">
      <w:pPr>
        <w:pStyle w:val="Footnote"/>
      </w:pPr>
      <w:r w:rsidRPr="00552F2D">
        <w:rPr>
          <w:rStyle w:val="EndnoteReference"/>
          <w:rFonts w:cs="Segoe UI"/>
          <w:szCs w:val="16"/>
        </w:rPr>
        <w:endnoteRef/>
      </w:r>
      <w:r w:rsidRPr="00552F2D">
        <w:t xml:space="preserve"> </w:t>
      </w:r>
      <w:r>
        <w:t xml:space="preserve"> Transport Accident Commission 2017, </w:t>
      </w:r>
      <w:r w:rsidRPr="00C0105E">
        <w:rPr>
          <w:i/>
        </w:rPr>
        <w:t>Annual lives lost</w:t>
      </w:r>
      <w:r>
        <w:t>, (calendar year), &lt;</w:t>
      </w:r>
      <w:hyperlink r:id="rId132" w:history="1">
        <w:r w:rsidRPr="00A45865">
          <w:rPr>
            <w:rStyle w:val="Hyperlink"/>
          </w:rPr>
          <w:t>http://www.tac.vic.gov.au/road-safety/statistics/lives-lost-annual</w:t>
        </w:r>
      </w:hyperlink>
      <w:r>
        <w:t>&gt;.</w:t>
      </w:r>
    </w:p>
  </w:endnote>
  <w:endnote w:id="193">
    <w:p w14:paraId="777F8FC6" w14:textId="77777777" w:rsidR="003C7C88" w:rsidRPr="00552F2D" w:rsidRDefault="003C7C88">
      <w:pPr>
        <w:pStyle w:val="Footnote"/>
      </w:pPr>
      <w:r w:rsidRPr="00552F2D">
        <w:rPr>
          <w:rStyle w:val="EndnoteReference"/>
          <w:rFonts w:cs="Segoe UI"/>
          <w:szCs w:val="16"/>
        </w:rPr>
        <w:endnoteRef/>
      </w:r>
      <w:r w:rsidRPr="00552F2D">
        <w:t xml:space="preserve"> </w:t>
      </w:r>
      <w:r>
        <w:t xml:space="preserve"> Bureau of Infrastructure, Transport and Regional Economics 2009, </w:t>
      </w:r>
      <w:r>
        <w:rPr>
          <w:i/>
        </w:rPr>
        <w:t>Cost of road crashes in Australia 2006</w:t>
      </w:r>
      <w:r>
        <w:t>, (calendar year), Research Report 118, Jan 2009, p11, &lt;</w:t>
      </w:r>
      <w:hyperlink r:id="rId133" w:history="1">
        <w:r w:rsidRPr="00552F2D">
          <w:rPr>
            <w:rStyle w:val="Hyperlink"/>
            <w:rFonts w:cs="Segoe UI"/>
            <w:szCs w:val="16"/>
          </w:rPr>
          <w:t>https://bitre.gov.au/publications/2010/files/report_118.pdf</w:t>
        </w:r>
      </w:hyperlink>
      <w:r>
        <w:t>&gt;.</w:t>
      </w:r>
    </w:p>
  </w:endnote>
  <w:endnote w:id="194">
    <w:p w14:paraId="73BB8E32" w14:textId="77777777" w:rsidR="003C7C88" w:rsidRPr="00552F2D" w:rsidRDefault="003C7C88">
      <w:pPr>
        <w:pStyle w:val="Footnote"/>
      </w:pPr>
      <w:r w:rsidRPr="00552F2D">
        <w:rPr>
          <w:rStyle w:val="EndnoteReference"/>
          <w:rFonts w:cs="Segoe UI"/>
          <w:szCs w:val="16"/>
        </w:rPr>
        <w:endnoteRef/>
      </w:r>
      <w:r w:rsidRPr="00552F2D">
        <w:t xml:space="preserve"> </w:t>
      </w:r>
      <w:r>
        <w:t xml:space="preserve"> Transport Accident Commission, TAC Hospitalisation Reports, &lt;</w:t>
      </w:r>
      <w:hyperlink r:id="rId134" w:history="1">
        <w:r w:rsidRPr="003B72FD">
          <w:rPr>
            <w:rStyle w:val="Hyperlink"/>
            <w:rFonts w:cs="Segoe UI"/>
            <w:szCs w:val="16"/>
          </w:rPr>
          <w:t>http://www.tac.vic.gov.au/road-safety/statistics/tac-hospitalisation-reports/rolling-12-month</w:t>
        </w:r>
      </w:hyperlink>
      <w:r>
        <w:t xml:space="preserve"> (Jul 2017 - Jun 2018)&gt;.</w:t>
      </w:r>
    </w:p>
  </w:endnote>
  <w:endnote w:id="195">
    <w:p w14:paraId="7D4B0A53" w14:textId="77777777" w:rsidR="003C7C88" w:rsidRPr="00552F2D" w:rsidRDefault="003C7C88">
      <w:pPr>
        <w:pStyle w:val="Footnote"/>
      </w:pPr>
      <w:r w:rsidRPr="00552F2D">
        <w:rPr>
          <w:rStyle w:val="EndnoteReference"/>
          <w:rFonts w:cs="Segoe UI"/>
          <w:szCs w:val="16"/>
        </w:rPr>
        <w:endnoteRef/>
      </w:r>
      <w:r>
        <w:t xml:space="preserve">  $4.2 million in 2014 dollars (</w:t>
      </w:r>
      <w:r w:rsidRPr="000F5514">
        <w:t>adjusted</w:t>
      </w:r>
      <w:r w:rsidRPr="00552F2D">
        <w:t xml:space="preserve"> </w:t>
      </w:r>
      <w:r>
        <w:t>by</w:t>
      </w:r>
      <w:r w:rsidRPr="00552F2D">
        <w:t xml:space="preserve"> </w:t>
      </w:r>
      <w:r>
        <w:t>1.64% average annualised inflation rate for 2014-18),</w:t>
      </w:r>
      <w:r>
        <w:br/>
        <w:t xml:space="preserve">Department of Prime Minister &amp; Cabinet 2014, </w:t>
      </w:r>
      <w:r>
        <w:rPr>
          <w:i/>
        </w:rPr>
        <w:t>Best Practice Regulation Guidance Note – Value of statistical life</w:t>
      </w:r>
      <w:r>
        <w:t>, Dec 2014, &lt;</w:t>
      </w:r>
      <w:hyperlink r:id="rId135" w:history="1">
        <w:r w:rsidRPr="00552F2D">
          <w:rPr>
            <w:rStyle w:val="Hyperlink"/>
            <w:rFonts w:cs="Segoe UI"/>
            <w:szCs w:val="16"/>
          </w:rPr>
          <w:t>https://www.pmc.gov.au/sites/default/files/publications/Value_of_Statistical_Life_guidance_note.pdf</w:t>
        </w:r>
      </w:hyperlink>
      <w:r>
        <w:t>&gt; U</w:t>
      </w:r>
      <w:r w:rsidRPr="00552F2D">
        <w:t xml:space="preserve">sed </w:t>
      </w:r>
      <w:r>
        <w:t xml:space="preserve">the </w:t>
      </w:r>
      <w:r w:rsidRPr="00552F2D">
        <w:t xml:space="preserve">VSL </w:t>
      </w:r>
      <w:r>
        <w:t xml:space="preserve">figure </w:t>
      </w:r>
      <w:r w:rsidRPr="00552F2D">
        <w:t>for 2014</w:t>
      </w:r>
      <w:r>
        <w:t xml:space="preserve"> </w:t>
      </w:r>
      <w:r w:rsidRPr="00552F2D">
        <w:t xml:space="preserve">adjusted </w:t>
      </w:r>
      <w:r>
        <w:t>by</w:t>
      </w:r>
      <w:r w:rsidRPr="00552F2D">
        <w:t xml:space="preserve"> </w:t>
      </w:r>
      <w:r>
        <w:t>1.47% average annualised inflation rate for 2014-17.</w:t>
      </w:r>
    </w:p>
  </w:endnote>
  <w:endnote w:id="196">
    <w:p w14:paraId="42D7FD3A" w14:textId="77777777" w:rsidR="003C7C88" w:rsidRPr="00B1563C" w:rsidRDefault="003C7C88">
      <w:pPr>
        <w:pStyle w:val="Footnote"/>
      </w:pPr>
      <w:r w:rsidRPr="00B1563C">
        <w:rPr>
          <w:rStyle w:val="EndnoteReference"/>
          <w:rFonts w:cs="Segoe UI"/>
          <w:szCs w:val="16"/>
        </w:rPr>
        <w:endnoteRef/>
      </w:r>
      <w:r w:rsidRPr="00B1563C">
        <w:t xml:space="preserve"> </w:t>
      </w:r>
      <w:r>
        <w:t xml:space="preserve"> </w:t>
      </w:r>
      <w:r w:rsidRPr="00B1563C">
        <w:t>$</w:t>
      </w:r>
      <w:r>
        <w:t>675 million</w:t>
      </w:r>
      <w:r w:rsidRPr="00B1563C">
        <w:t xml:space="preserve"> in 2006 dollars</w:t>
      </w:r>
      <w:r>
        <w:t xml:space="preserve"> (adjusted by 2.3% average annualised inflation rate for 2006-18),</w:t>
      </w:r>
      <w:r>
        <w:br/>
        <w:t xml:space="preserve">Transport Accident Commission 2006, </w:t>
      </w:r>
      <w:r w:rsidRPr="00EA4683">
        <w:rPr>
          <w:i/>
        </w:rPr>
        <w:t>Financial Report 2005/06</w:t>
      </w:r>
      <w:r>
        <w:t xml:space="preserve">: </w:t>
      </w:r>
      <w:r w:rsidRPr="00B1563C">
        <w:t>$</w:t>
      </w:r>
      <w:r>
        <w:t>675 million</w:t>
      </w:r>
      <w:r w:rsidRPr="00B1563C">
        <w:t xml:space="preserve"> in 2006 dollars</w:t>
      </w:r>
      <w:r>
        <w:t xml:space="preserve"> (financial year), p5, &lt;</w:t>
      </w:r>
      <w:hyperlink r:id="rId136" w:history="1">
        <w:r w:rsidRPr="003B72FD">
          <w:rPr>
            <w:rStyle w:val="Hyperlink"/>
            <w:rFonts w:cs="Segoe UI"/>
            <w:szCs w:val="16"/>
          </w:rPr>
          <w:t>http://www.tac.vic.gov.au/about-the-tac/media-room/annual-reports/tac_ar_financials.pdf</w:t>
        </w:r>
      </w:hyperlink>
      <w:r>
        <w:t>&gt;.</w:t>
      </w:r>
    </w:p>
  </w:endnote>
  <w:endnote w:id="197">
    <w:p w14:paraId="731A6346" w14:textId="77777777" w:rsidR="003C7C88" w:rsidRPr="00142AB5" w:rsidRDefault="003C7C88">
      <w:pPr>
        <w:pStyle w:val="Footnote"/>
      </w:pPr>
      <w:r w:rsidRPr="00142AB5">
        <w:rPr>
          <w:rStyle w:val="EndnoteReference"/>
          <w:rFonts w:cs="Segoe UI"/>
          <w:szCs w:val="16"/>
        </w:rPr>
        <w:endnoteRef/>
      </w:r>
      <w:r w:rsidRPr="00142AB5">
        <w:t xml:space="preserve"> </w:t>
      </w:r>
      <w:r>
        <w:t xml:space="preserve"> Transport Accident Commission</w:t>
      </w:r>
      <w:r w:rsidRPr="00142AB5">
        <w:t xml:space="preserve"> </w:t>
      </w:r>
      <w:r w:rsidRPr="000B475D">
        <w:rPr>
          <w:i/>
        </w:rPr>
        <w:t>Annual Report 201</w:t>
      </w:r>
      <w:r>
        <w:rPr>
          <w:i/>
        </w:rPr>
        <w:t>7</w:t>
      </w:r>
      <w:r w:rsidRPr="000B475D">
        <w:rPr>
          <w:i/>
        </w:rPr>
        <w:t>/1</w:t>
      </w:r>
      <w:r>
        <w:rPr>
          <w:i/>
        </w:rPr>
        <w:t>8</w:t>
      </w:r>
      <w:r w:rsidRPr="000B475D">
        <w:rPr>
          <w:i/>
        </w:rPr>
        <w:t>,</w:t>
      </w:r>
      <w:r>
        <w:t xml:space="preserve"> 19 Sep 2018, p.44, &lt;</w:t>
      </w:r>
      <w:r w:rsidRPr="00D12630">
        <w:rPr>
          <w:rStyle w:val="Hyperlink"/>
          <w:rFonts w:cs="Segoe UI"/>
          <w:szCs w:val="16"/>
        </w:rPr>
        <w:t>https://www.tac.vic.gov.au/__data/assets/pdf_file/0009/298629/2017-18-TAC-Annual-Report.pdf</w:t>
      </w:r>
      <w:r>
        <w:rPr>
          <w:rStyle w:val="Hyperlink"/>
          <w:rFonts w:cs="Segoe UI"/>
          <w:szCs w:val="16"/>
        </w:rPr>
        <w:t>&gt;</w:t>
      </w:r>
      <w:r>
        <w:t>.</w:t>
      </w:r>
    </w:p>
  </w:endnote>
  <w:endnote w:id="198">
    <w:p w14:paraId="565F6007" w14:textId="77777777" w:rsidR="003C7C88" w:rsidRDefault="003C7C88" w:rsidP="00D63E26">
      <w:pPr>
        <w:pStyle w:val="Footnote"/>
      </w:pPr>
      <w:r>
        <w:rPr>
          <w:rStyle w:val="EndnoteReference"/>
        </w:rPr>
        <w:endnoteRef/>
      </w:r>
      <w:r>
        <w:t xml:space="preserve">  Engstroem I, Gregersen NP, Hernetkoski K, Keskinen E &amp; Nyberg A 2003, </w:t>
      </w:r>
      <w:r w:rsidRPr="006E4CDA">
        <w:t>Young Novice Driver Education and Training, Literature Review</w:t>
      </w:r>
      <w:r>
        <w:t>, Swedish National Road and Transport Research institute, Linkoeping, Sweden, &lt;</w:t>
      </w:r>
      <w:hyperlink r:id="rId137" w:history="1">
        <w:r w:rsidRPr="009A1E00">
          <w:rPr>
            <w:rStyle w:val="Hyperlink"/>
          </w:rPr>
          <w:t>http://citeseerx.ist.psu.edu/viewdoc/download;jsessionid=07FF34650C37D4A3F8221AB5275E7B81?doi=10.1.1.610.2534&amp;rep=rep1&amp;type=pdf</w:t>
        </w:r>
      </w:hyperlink>
      <w:r>
        <w:t xml:space="preserve">&gt;; Heinrich et al 1994, Driver </w:t>
      </w:r>
      <w:r w:rsidRPr="006E4CDA">
        <w:t>Training Systems in Europe: results of a Survey Carried out in 27 Countries</w:t>
      </w:r>
      <w:r>
        <w:t>, Bundesanstalt f</w:t>
      </w:r>
      <w:r>
        <w:rPr>
          <w:rFonts w:cs="Segoe UI"/>
        </w:rPr>
        <w:t>ü</w:t>
      </w:r>
      <w:r>
        <w:t xml:space="preserve">r Strassenwesen (BASt), Germany; Lynam, D &amp; Twisk, DAM 1995, </w:t>
      </w:r>
      <w:r w:rsidRPr="006E4CDA">
        <w:t>Car Driver Training and Licensing Systems in Europe</w:t>
      </w:r>
      <w:r>
        <w:t xml:space="preserve">, Transport Research Laboratory, Department of Transport, Crawthorne, UK, </w:t>
      </w:r>
      <w:hyperlink r:id="rId138" w:history="1">
        <w:r w:rsidRPr="009A1E00">
          <w:rPr>
            <w:rStyle w:val="Hyperlink"/>
          </w:rPr>
          <w:t>https://www.researchgate.net/profile/Divera_Twisk/publication/251880440_Car_driver_training_and_licensing_systems_in_Europe_report_prepared_by_members_of_Forum_of_European_Road_Safety_Research_Institutes_FERSI_and_supported_by_European_Commission_Transport_Directorate_DG_/links/57666a4008ae1658e2f6fe6c/Car-driver-training-and-licensing-systems-in-Europe-report-prepared-by-members-of-Forum-of-European-Road-Safety-Research-Institutes-FERSI-and-supported-by-European-Commission-Transport-Directorate-D.pdf</w:t>
        </w:r>
      </w:hyperlink>
      <w:r>
        <w:t xml:space="preserve"> .</w:t>
      </w:r>
    </w:p>
  </w:endnote>
  <w:endnote w:id="199">
    <w:p w14:paraId="23F3C017" w14:textId="77777777" w:rsidR="003C7C88" w:rsidRPr="00F2541E" w:rsidRDefault="003C7C88" w:rsidP="00D63E26">
      <w:pPr>
        <w:pStyle w:val="Footnote"/>
      </w:pPr>
      <w:r>
        <w:rPr>
          <w:rStyle w:val="EndnoteReference"/>
        </w:rPr>
        <w:endnoteRef/>
      </w:r>
      <w:r>
        <w:t xml:space="preserve">  </w:t>
      </w:r>
      <w:r w:rsidRPr="00F2541E">
        <w:t>Christie R 2001, The effectiveness of driver training as a road safety measure, RACV, Melbourne, &lt;</w:t>
      </w:r>
      <w:hyperlink r:id="rId139" w:history="1">
        <w:r w:rsidRPr="00F2541E">
          <w:rPr>
            <w:rStyle w:val="Hyperlink"/>
          </w:rPr>
          <w:t>http://acrs.org.au/files/arsrpe/RS010018.pdf</w:t>
        </w:r>
      </w:hyperlink>
      <w:r w:rsidRPr="00F2541E">
        <w:t xml:space="preserve">&gt;; Ferguson SA, Williams AF, Leaf WA, Preusser DF </w:t>
      </w:r>
      <w:r>
        <w:t>&amp;</w:t>
      </w:r>
      <w:r w:rsidRPr="00F2541E">
        <w:t xml:space="preserve"> Farmer CM 2001, ‘Views of parents and teenagers about graduation licensing after experience with the laws’, </w:t>
      </w:r>
      <w:r w:rsidRPr="00F4115C">
        <w:rPr>
          <w:i/>
        </w:rPr>
        <w:t>Journal of Crash Prevention and Injury Control</w:t>
      </w:r>
      <w:r w:rsidRPr="00F2541E">
        <w:t>, Vol 2, No.3, pp221-227, &lt;</w:t>
      </w:r>
      <w:hyperlink r:id="rId140" w:history="1">
        <w:r w:rsidRPr="009A1E00">
          <w:rPr>
            <w:rStyle w:val="Hyperlink"/>
          </w:rPr>
          <w:t>https://www.tandfonline.com/doi/abs/10.1080/10286580108902566</w:t>
        </w:r>
      </w:hyperlink>
      <w:r w:rsidRPr="00F2541E">
        <w:t>&gt;; Gregersen N</w:t>
      </w:r>
      <w:r>
        <w:t>P</w:t>
      </w:r>
      <w:r w:rsidRPr="00F2541E">
        <w:t>, Berg H</w:t>
      </w:r>
      <w:r>
        <w:t>Y</w:t>
      </w:r>
      <w:r w:rsidRPr="00F2541E">
        <w:t xml:space="preserve">, Engstrom I, Nolen S, Nyberg A </w:t>
      </w:r>
      <w:r>
        <w:t>&amp;</w:t>
      </w:r>
      <w:r w:rsidRPr="00F2541E">
        <w:t xml:space="preserve"> Rimmo P</w:t>
      </w:r>
      <w:r>
        <w:t>A 2000</w:t>
      </w:r>
      <w:r w:rsidRPr="00F2541E">
        <w:t xml:space="preserve">, ‘Sixteen years age limit for learner drivers in Sweden - an evaluation of safety effects’. </w:t>
      </w:r>
      <w:r w:rsidRPr="00F27728">
        <w:rPr>
          <w:i/>
        </w:rPr>
        <w:t>Accident Analysis and Prevention</w:t>
      </w:r>
      <w:r w:rsidRPr="00F2541E">
        <w:t>, 32, 25-35</w:t>
      </w:r>
      <w:r>
        <w:t>, &lt;</w:t>
      </w:r>
      <w:hyperlink r:id="rId141" w:history="1">
        <w:r w:rsidRPr="009A1E00">
          <w:rPr>
            <w:rStyle w:val="Hyperlink"/>
          </w:rPr>
          <w:t>https://www.sciencedirect.com/science/article/pii/S0001457599000457</w:t>
        </w:r>
      </w:hyperlink>
      <w:r>
        <w:t>&gt;</w:t>
      </w:r>
      <w:r w:rsidRPr="00F2541E">
        <w:t>.</w:t>
      </w:r>
    </w:p>
  </w:endnote>
  <w:endnote w:id="200">
    <w:p w14:paraId="591CFA23" w14:textId="77777777" w:rsidR="003C7C88" w:rsidRDefault="003C7C88" w:rsidP="00D63E26">
      <w:pPr>
        <w:pStyle w:val="Footnote"/>
      </w:pPr>
      <w:r>
        <w:rPr>
          <w:rStyle w:val="EndnoteReference"/>
        </w:rPr>
        <w:endnoteRef/>
      </w:r>
      <w:r>
        <w:t xml:space="preserve">  Williams AF 1994, ‘Restrictive measures for young, beginning drivers.’ </w:t>
      </w:r>
      <w:r w:rsidRPr="007F373D">
        <w:rPr>
          <w:i/>
        </w:rPr>
        <w:t>Proceedings of the first Interdisciplinary Conference on Young Drivers, Cologne</w:t>
      </w:r>
      <w:r>
        <w:t>, Germany, December 1994, &lt;</w:t>
      </w:r>
      <w:hyperlink r:id="rId142" w:history="1">
        <w:r w:rsidRPr="009A1E00">
          <w:rPr>
            <w:rStyle w:val="Hyperlink"/>
          </w:rPr>
          <w:t>https://files.eric.ed.gov/fulltext/ED391119.pdf</w:t>
        </w:r>
      </w:hyperlink>
      <w:r>
        <w:t>&gt;.</w:t>
      </w:r>
    </w:p>
  </w:endnote>
  <w:endnote w:id="201">
    <w:p w14:paraId="47B4EB01" w14:textId="77777777" w:rsidR="003C7C88" w:rsidRDefault="003C7C88" w:rsidP="00D63E26">
      <w:pPr>
        <w:pStyle w:val="Footnote"/>
      </w:pPr>
      <w:r>
        <w:rPr>
          <w:rStyle w:val="EndnoteReference"/>
        </w:rPr>
        <w:endnoteRef/>
      </w:r>
      <w:r>
        <w:t xml:space="preserve">  </w:t>
      </w:r>
      <w:r w:rsidRPr="006E4CDA">
        <w:rPr>
          <w:rStyle w:val="FootnoteChar"/>
        </w:rPr>
        <w:t>Simpson HM</w:t>
      </w:r>
      <w:r>
        <w:rPr>
          <w:rStyle w:val="FootnoteChar"/>
        </w:rPr>
        <w:t xml:space="preserve"> 2003</w:t>
      </w:r>
      <w:r w:rsidRPr="006E4CDA">
        <w:rPr>
          <w:rStyle w:val="FootnoteChar"/>
        </w:rPr>
        <w:t xml:space="preserve">, ‘The Evolution and Effectiveness of Graduated Licensing’, </w:t>
      </w:r>
      <w:r w:rsidRPr="00CE5D1D">
        <w:rPr>
          <w:rStyle w:val="FootnoteChar"/>
          <w:i/>
        </w:rPr>
        <w:t>Journal of Safety Research</w:t>
      </w:r>
      <w:r w:rsidRPr="006E4CDA">
        <w:rPr>
          <w:rStyle w:val="FootnoteChar"/>
        </w:rPr>
        <w:t xml:space="preserve">, 2003, Vol </w:t>
      </w:r>
      <w:r w:rsidRPr="00AB27F9">
        <w:rPr>
          <w:rStyle w:val="FootnoteChar"/>
        </w:rPr>
        <w:t xml:space="preserve">34 No 1, </w:t>
      </w:r>
      <w:r>
        <w:t xml:space="preserve">25-34, </w:t>
      </w:r>
      <w:r w:rsidRPr="00AB27F9">
        <w:rPr>
          <w:rStyle w:val="FootnoteChar"/>
        </w:rPr>
        <w:t>p</w:t>
      </w:r>
      <w:r w:rsidRPr="006E4CDA">
        <w:rPr>
          <w:rStyle w:val="FootnoteChar"/>
        </w:rPr>
        <w:t>2</w:t>
      </w:r>
      <w:r>
        <w:rPr>
          <w:rStyle w:val="FootnoteChar"/>
        </w:rPr>
        <w:t>7, &lt;</w:t>
      </w:r>
      <w:hyperlink r:id="rId143" w:history="1">
        <w:r w:rsidRPr="009A1E00">
          <w:rPr>
            <w:rStyle w:val="Hyperlink"/>
          </w:rPr>
          <w:t>https://www.sciencedirect.com/science/article/pii/S0022437502000774</w:t>
        </w:r>
      </w:hyperlink>
      <w:r>
        <w:rPr>
          <w:rStyle w:val="FootnoteChar"/>
        </w:rPr>
        <w:t>&gt;.</w:t>
      </w:r>
    </w:p>
  </w:endnote>
  <w:endnote w:id="202">
    <w:p w14:paraId="02A85A7C" w14:textId="77777777" w:rsidR="003C7C88" w:rsidRDefault="003C7C88" w:rsidP="00D63E26">
      <w:pPr>
        <w:pStyle w:val="Footnote"/>
      </w:pPr>
      <w:r>
        <w:rPr>
          <w:rStyle w:val="EndnoteReference"/>
        </w:rPr>
        <w:endnoteRef/>
      </w:r>
      <w:r>
        <w:t xml:space="preserve">  Simpson HM 2003, ‘The </w:t>
      </w:r>
      <w:r w:rsidRPr="006E4CDA">
        <w:rPr>
          <w:rStyle w:val="FootnoteChar"/>
        </w:rPr>
        <w:t>Evolution and Effectiveness of Graduated Licensing’</w:t>
      </w:r>
      <w:r>
        <w:t xml:space="preserve">; </w:t>
      </w:r>
      <w:r w:rsidRPr="00625260">
        <w:t>Preus</w:t>
      </w:r>
      <w:r>
        <w:t>ser</w:t>
      </w:r>
      <w:r w:rsidRPr="00625260">
        <w:t xml:space="preserve"> DF</w:t>
      </w:r>
      <w:r>
        <w:t xml:space="preserve"> &amp; Leaf W</w:t>
      </w:r>
      <w:r w:rsidRPr="00625260">
        <w:t>A</w:t>
      </w:r>
      <w:r>
        <w:t xml:space="preserve"> 2003,</w:t>
      </w:r>
      <w:r w:rsidRPr="00625260">
        <w:t xml:space="preserve"> </w:t>
      </w:r>
      <w:r>
        <w:t>‘</w:t>
      </w:r>
      <w:r w:rsidRPr="00625260">
        <w:t>Provisional license</w:t>
      </w:r>
      <w:r>
        <w:t>’,</w:t>
      </w:r>
      <w:r w:rsidRPr="00625260">
        <w:t xml:space="preserve"> </w:t>
      </w:r>
      <w:r w:rsidRPr="007F373D">
        <w:rPr>
          <w:i/>
        </w:rPr>
        <w:t>Journal of Safety Research</w:t>
      </w:r>
      <w:r>
        <w:t>, 34, 45-49, &lt;</w:t>
      </w:r>
      <w:hyperlink r:id="rId144" w:history="1">
        <w:r w:rsidRPr="009A1E00">
          <w:rPr>
            <w:rStyle w:val="Hyperlink"/>
          </w:rPr>
          <w:t>https://www.sciencedirect.com/science/article/pii/S0022437502000798</w:t>
        </w:r>
      </w:hyperlink>
      <w:r>
        <w:t>&gt;.</w:t>
      </w:r>
    </w:p>
  </w:endnote>
  <w:endnote w:id="203">
    <w:p w14:paraId="0FA407B7" w14:textId="77777777" w:rsidR="003C7C88" w:rsidRDefault="003C7C88" w:rsidP="00D63E26">
      <w:pPr>
        <w:pStyle w:val="Footnote"/>
      </w:pPr>
      <w:r>
        <w:rPr>
          <w:rStyle w:val="EndnoteReference"/>
        </w:rPr>
        <w:endnoteRef/>
      </w:r>
      <w:r>
        <w:t xml:space="preserve">  Senserrick T &amp; Whelan M 2003, </w:t>
      </w:r>
      <w:r w:rsidRPr="00A66F59">
        <w:rPr>
          <w:i/>
        </w:rPr>
        <w:t>Graduated driver licensing: effectiveness of systems and individual components</w:t>
      </w:r>
      <w:r>
        <w:t>, MUARC Report 209, Monash University Accident Research Centre, Clayton, Victoria, p31, &lt;</w:t>
      </w:r>
      <w:hyperlink r:id="rId145" w:history="1">
        <w:r w:rsidRPr="009A1E00">
          <w:rPr>
            <w:rStyle w:val="Hyperlink"/>
          </w:rPr>
          <w:t>https://www.monash.edu/__data/assets/pdf_file/0007/216835/muarc209.pdf</w:t>
        </w:r>
      </w:hyperlink>
      <w:r>
        <w:t>&gt;.</w:t>
      </w:r>
    </w:p>
  </w:endnote>
  <w:endnote w:id="204">
    <w:p w14:paraId="22C8A198" w14:textId="77777777" w:rsidR="003C7C88" w:rsidRDefault="003C7C88" w:rsidP="004E45D7">
      <w:pPr>
        <w:pStyle w:val="Footnote"/>
      </w:pPr>
      <w:r>
        <w:rPr>
          <w:rStyle w:val="EndnoteReference"/>
        </w:rPr>
        <w:endnoteRef/>
      </w:r>
      <w:r>
        <w:t xml:space="preserve">  VicRoads 2017, </w:t>
      </w:r>
      <w:r w:rsidRPr="00272339">
        <w:rPr>
          <w:i/>
        </w:rPr>
        <w:t>The Victorian Graduated Licensing System: Outcome Evaluation 2017</w:t>
      </w:r>
      <w:r>
        <w:t>, Kew, p2, &lt;</w:t>
      </w:r>
      <w:hyperlink r:id="rId146" w:history="1">
        <w:r w:rsidRPr="009A1E00">
          <w:rPr>
            <w:rStyle w:val="Hyperlink"/>
          </w:rPr>
          <w:t>https://www.researchgate.net/publication/322307358_The_Victorian_Graduated_Licensing_System_-_Outcome_Evaluation_2017</w:t>
        </w:r>
      </w:hyperlink>
      <w:r>
        <w:t>&gt;.</w:t>
      </w:r>
    </w:p>
  </w:endnote>
  <w:endnote w:id="205">
    <w:p w14:paraId="05EC11D9" w14:textId="78937257" w:rsidR="003C7C88" w:rsidRDefault="003C7C88" w:rsidP="00474A5B">
      <w:pPr>
        <w:pStyle w:val="Footnote"/>
      </w:pPr>
      <w:r>
        <w:rPr>
          <w:rStyle w:val="EndnoteReference"/>
        </w:rPr>
        <w:endnoteRef/>
      </w:r>
      <w:r>
        <w:t xml:space="preserve">  Refer to RIS Section </w:t>
      </w:r>
      <w:r>
        <w:fldChar w:fldCharType="begin"/>
      </w:r>
      <w:r>
        <w:instrText xml:space="preserve"> REF _Ref517944377 \r \h </w:instrText>
      </w:r>
      <w:r>
        <w:fldChar w:fldCharType="separate"/>
      </w:r>
      <w:r>
        <w:t>4.2.2</w:t>
      </w:r>
      <w:r>
        <w:fldChar w:fldCharType="end"/>
      </w:r>
      <w:r>
        <w:t xml:space="preserve"> for more details of this review.</w:t>
      </w:r>
    </w:p>
  </w:endnote>
  <w:endnote w:id="206">
    <w:p w14:paraId="4C756C33" w14:textId="77777777" w:rsidR="003C7C88" w:rsidRDefault="003C7C88" w:rsidP="00D63E26">
      <w:pPr>
        <w:pStyle w:val="Footnote"/>
      </w:pPr>
      <w:r>
        <w:rPr>
          <w:rStyle w:val="EndnoteReference"/>
        </w:rPr>
        <w:endnoteRef/>
      </w:r>
      <w:r>
        <w:t xml:space="preserve">  Cavallo A &amp; Oh s 2008, </w:t>
      </w:r>
      <w:r w:rsidRPr="00DD4E02">
        <w:t>An overview of Victoria’s new drive test: The GLS context and summary of results</w:t>
      </w:r>
      <w:r>
        <w:t xml:space="preserve">’, </w:t>
      </w:r>
      <w:r w:rsidRPr="00DD4E02">
        <w:t>2008 Australasian Road Safety Research, Policing and Education Conference</w:t>
      </w:r>
      <w:r>
        <w:t>, Adelaide, South Australia.</w:t>
      </w:r>
    </w:p>
  </w:endnote>
  <w:endnote w:id="207">
    <w:p w14:paraId="4FC4CD79" w14:textId="77777777" w:rsidR="003C7C88" w:rsidRDefault="003C7C88" w:rsidP="00D63E26">
      <w:pPr>
        <w:pStyle w:val="Footnote"/>
      </w:pPr>
      <w:r>
        <w:rPr>
          <w:rStyle w:val="EndnoteReference"/>
        </w:rPr>
        <w:endnoteRef/>
      </w:r>
      <w:r>
        <w:t xml:space="preserve">  </w:t>
      </w:r>
      <w:r w:rsidRPr="00DD4E02">
        <w:t>Christie R</w:t>
      </w:r>
      <w:r>
        <w:t>,</w:t>
      </w:r>
      <w:r w:rsidRPr="00DD4E02">
        <w:t xml:space="preserve"> Cavallo A</w:t>
      </w:r>
      <w:r>
        <w:t xml:space="preserve">, </w:t>
      </w:r>
      <w:r w:rsidRPr="00DD4E02">
        <w:t xml:space="preserve">Oh S </w:t>
      </w:r>
      <w:r>
        <w:t xml:space="preserve">&amp; </w:t>
      </w:r>
      <w:r w:rsidRPr="00DD4E02">
        <w:t>Johnston D</w:t>
      </w:r>
      <w:r>
        <w:t xml:space="preserve"> 2008, ‘</w:t>
      </w:r>
      <w:r w:rsidRPr="00DD4E02">
        <w:t>Victoria’s new Drive Test: From the drawing board to operational test</w:t>
      </w:r>
      <w:r>
        <w:t xml:space="preserve">’, </w:t>
      </w:r>
      <w:r w:rsidRPr="00DD4E02">
        <w:t>2008 Australasian Road Safety Research, Policing and Education Conference, Adelaide, South Australia</w:t>
      </w:r>
      <w:r>
        <w:t>.</w:t>
      </w:r>
    </w:p>
  </w:endnote>
  <w:endnote w:id="208">
    <w:p w14:paraId="4C0B78D7" w14:textId="77777777" w:rsidR="003C7C88" w:rsidRDefault="003C7C88" w:rsidP="001C3A9F">
      <w:pPr>
        <w:pStyle w:val="Footnote"/>
      </w:pPr>
      <w:r>
        <w:rPr>
          <w:rStyle w:val="EndnoteReference"/>
        </w:rPr>
        <w:endnoteRef/>
      </w:r>
      <w:r>
        <w:t xml:space="preserve">  </w:t>
      </w:r>
      <w:r w:rsidRPr="004F455F">
        <w:t>VicRoads</w:t>
      </w:r>
      <w:r>
        <w:t xml:space="preserve"> 2017</w:t>
      </w:r>
      <w:r w:rsidRPr="004F455F">
        <w:t xml:space="preserve">, </w:t>
      </w:r>
      <w:r w:rsidRPr="00DD347D">
        <w:rPr>
          <w:i/>
        </w:rPr>
        <w:t>Examination of the Impact of the Graduated Licensing System on Young Novice Driver Safety, Summary Report</w:t>
      </w:r>
      <w:r w:rsidRPr="004F455F">
        <w:t>, October 2017</w:t>
      </w:r>
      <w:r>
        <w:t>, Overview, &lt;</w:t>
      </w:r>
      <w:hyperlink r:id="rId147" w:history="1">
        <w:r w:rsidRPr="009A1E00">
          <w:rPr>
            <w:rStyle w:val="Hyperlink"/>
          </w:rPr>
          <w:t>https://www.vicroads.vic.gov.au/~/media/files/documents/safety-and-road-rules/examination-of-the-impact-of-the-gls-on-young-drivers-oct-2017.pdf?la=en</w:t>
        </w:r>
      </w:hyperlink>
      <w:r>
        <w:t>&gt;.</w:t>
      </w:r>
    </w:p>
  </w:endnote>
  <w:endnote w:id="209">
    <w:p w14:paraId="6F27C0CC" w14:textId="77777777" w:rsidR="003C7C88" w:rsidRDefault="003C7C88" w:rsidP="001C3A9F">
      <w:pPr>
        <w:pStyle w:val="Footnote"/>
      </w:pPr>
      <w:r>
        <w:rPr>
          <w:rStyle w:val="EndnoteReference"/>
        </w:rPr>
        <w:endnoteRef/>
      </w:r>
      <w:r>
        <w:t xml:space="preserve">  ibid., p 7</w:t>
      </w:r>
    </w:p>
  </w:endnote>
  <w:endnote w:id="210">
    <w:p w14:paraId="631C3324" w14:textId="18F37BD0" w:rsidR="003C7C88" w:rsidRDefault="003C7C88" w:rsidP="001C3A9F">
      <w:pPr>
        <w:pStyle w:val="Footnote"/>
      </w:pPr>
      <w:r>
        <w:rPr>
          <w:rStyle w:val="EndnoteReference"/>
        </w:rPr>
        <w:endnoteRef/>
      </w:r>
      <w:r>
        <w:t xml:space="preserve">  Refer to </w:t>
      </w:r>
      <w:r>
        <w:fldChar w:fldCharType="begin"/>
      </w:r>
      <w:r>
        <w:instrText xml:space="preserve"> REF _Ref501383173 \h  \* MERGEFORMAT </w:instrText>
      </w:r>
      <w:r>
        <w:fldChar w:fldCharType="separate"/>
      </w:r>
      <w:r>
        <w:t xml:space="preserve">Figure </w:t>
      </w:r>
      <w:r>
        <w:rPr>
          <w:noProof/>
        </w:rPr>
        <w:t>10</w:t>
      </w:r>
      <w:r>
        <w:fldChar w:fldCharType="end"/>
      </w:r>
      <w:r>
        <w:t xml:space="preserve"> on page </w:t>
      </w:r>
      <w:r>
        <w:fldChar w:fldCharType="begin"/>
      </w:r>
      <w:r>
        <w:instrText xml:space="preserve"> PAGEREF _Ref518987936 \h </w:instrText>
      </w:r>
      <w:r>
        <w:fldChar w:fldCharType="separate"/>
      </w:r>
      <w:r>
        <w:rPr>
          <w:noProof/>
        </w:rPr>
        <w:t>67</w:t>
      </w:r>
      <w:r>
        <w:fldChar w:fldCharType="end"/>
      </w:r>
      <w:r>
        <w:t xml:space="preserve"> of this RIS.</w:t>
      </w:r>
    </w:p>
  </w:endnote>
  <w:endnote w:id="211">
    <w:p w14:paraId="4BE2CE9C" w14:textId="77777777" w:rsidR="003C7C88" w:rsidRDefault="003C7C88" w:rsidP="001C3A9F">
      <w:pPr>
        <w:pStyle w:val="Footnote"/>
      </w:pPr>
      <w:r>
        <w:rPr>
          <w:rStyle w:val="EndnoteReference"/>
        </w:rPr>
        <w:endnoteRef/>
      </w:r>
      <w:r>
        <w:t xml:space="preserve">  </w:t>
      </w:r>
      <w:r w:rsidRPr="004F455F">
        <w:t>VicRoads</w:t>
      </w:r>
      <w:r>
        <w:t xml:space="preserve"> 2017</w:t>
      </w:r>
      <w:r w:rsidRPr="004F455F">
        <w:t xml:space="preserve">, </w:t>
      </w:r>
      <w:r w:rsidRPr="00DD347D">
        <w:rPr>
          <w:i/>
        </w:rPr>
        <w:t>Examination of the Impact of the Graduated Licensing System on Young Novice Driver Safety, Summary Report</w:t>
      </w:r>
      <w:r w:rsidRPr="004F455F">
        <w:t>, October 2017</w:t>
      </w:r>
      <w:r>
        <w:t>, pp 32-33</w:t>
      </w:r>
    </w:p>
  </w:endnote>
  <w:endnote w:id="212">
    <w:p w14:paraId="571D0B0A" w14:textId="77777777" w:rsidR="003C7C88" w:rsidRPr="00F86B5E" w:rsidRDefault="003C7C88" w:rsidP="001C3A9F">
      <w:pPr>
        <w:pStyle w:val="Footnote"/>
      </w:pPr>
      <w:r>
        <w:rPr>
          <w:rStyle w:val="EndnoteReference"/>
        </w:rPr>
        <w:endnoteRef/>
      </w:r>
      <w:r>
        <w:t xml:space="preserve">  Refer to</w:t>
      </w:r>
      <w:r w:rsidRPr="00117C96">
        <w:t xml:space="preserve"> Figure </w:t>
      </w:r>
      <w:r>
        <w:t>8</w:t>
      </w:r>
      <w:r w:rsidRPr="00117C96">
        <w:t xml:space="preserve"> on page </w:t>
      </w:r>
      <w:r w:rsidRPr="00117C96">
        <w:fldChar w:fldCharType="begin"/>
      </w:r>
      <w:r w:rsidRPr="00117C96">
        <w:instrText xml:space="preserve"> PAGEREF _Ref500760270 \h </w:instrText>
      </w:r>
      <w:r w:rsidRPr="00117C96">
        <w:fldChar w:fldCharType="separate"/>
      </w:r>
      <w:r>
        <w:rPr>
          <w:noProof/>
        </w:rPr>
        <w:t>58</w:t>
      </w:r>
      <w:r w:rsidRPr="00117C96">
        <w:fldChar w:fldCharType="end"/>
      </w:r>
      <w:r>
        <w:t xml:space="preserve"> of this RIS</w:t>
      </w:r>
    </w:p>
  </w:endnote>
  <w:endnote w:id="213">
    <w:p w14:paraId="103D6CB5" w14:textId="77777777" w:rsidR="003C7C88" w:rsidRDefault="003C7C88" w:rsidP="001E61DD">
      <w:pPr>
        <w:pStyle w:val="Footnote"/>
      </w:pPr>
      <w:r>
        <w:rPr>
          <w:rStyle w:val="EndnoteReference"/>
        </w:rPr>
        <w:endnoteRef/>
      </w:r>
      <w:r>
        <w:t xml:space="preserve">  These percentages are based on crash involvement rates being the numbers of crash involvements divided by 10,000 driver years licensed. This measure best controls for differences in crash exposure between drivers. An experienced driver comparison group was compared with the young driver group. An increase in young driver crash or offence rates, refers to an increase in relation to the comparison group. </w:t>
      </w:r>
      <w:r w:rsidRPr="000C3D97">
        <w:t>For example, if the</w:t>
      </w:r>
      <w:r>
        <w:t xml:space="preserve"> </w:t>
      </w:r>
      <w:r w:rsidRPr="000C3D97">
        <w:t xml:space="preserve">overall crash rates decreased for both the young driver group and the comparison group, but the rate decreased more for the comparison group, an increase in the young driver crash rate </w:t>
      </w:r>
      <w:r>
        <w:t xml:space="preserve">would </w:t>
      </w:r>
      <w:r w:rsidRPr="000C3D97">
        <w:t>be reported overall.</w:t>
      </w:r>
    </w:p>
  </w:endnote>
  <w:endnote w:id="214">
    <w:p w14:paraId="1F8008B7" w14:textId="77777777" w:rsidR="003C7C88" w:rsidRDefault="003C7C88" w:rsidP="001E7D19">
      <w:pPr>
        <w:pStyle w:val="Footnote"/>
      </w:pPr>
      <w:r>
        <w:rPr>
          <w:rStyle w:val="EndnoteReference"/>
        </w:rPr>
        <w:endnoteRef/>
      </w:r>
      <w:r>
        <w:t xml:space="preserve">  Statistical significance refers to </w:t>
      </w:r>
      <w:r w:rsidRPr="00C74C11">
        <w:t>a number that expresses the probability that the result of a given experiment or study could have occurred purely by chance. This number can be a margin of error (</w:t>
      </w:r>
      <w:r>
        <w:t xml:space="preserve">e.g. </w:t>
      </w:r>
      <w:r w:rsidRPr="00C74C11">
        <w:t>“</w:t>
      </w:r>
      <w:r>
        <w:t xml:space="preserve">the result is </w:t>
      </w:r>
      <w:r w:rsidRPr="00C74C11">
        <w:t xml:space="preserve">accurate to </w:t>
      </w:r>
      <w:r>
        <w:t xml:space="preserve">within </w:t>
      </w:r>
      <w:r w:rsidRPr="00C74C11">
        <w:t>five percent”), or it can indicate a confidence level (</w:t>
      </w:r>
      <w:r>
        <w:t xml:space="preserve">e.g. </w:t>
      </w:r>
      <w:r w:rsidRPr="00C74C11">
        <w:t xml:space="preserve">“If this experiment were repeated, there is a probability of ninety-five percent that our conclusions would be substantiated”). </w:t>
      </w:r>
      <w:r w:rsidRPr="00F832FE">
        <w:t xml:space="preserve">When interpreting </w:t>
      </w:r>
      <w:r>
        <w:t xml:space="preserve">and relying on </w:t>
      </w:r>
      <w:r w:rsidRPr="00F832FE">
        <w:t xml:space="preserve">survey results, one needs to bear in mind the weaknesses in this data gathering method, </w:t>
      </w:r>
      <w:r>
        <w:t>such as</w:t>
      </w:r>
      <w:r w:rsidRPr="00F832FE">
        <w:t xml:space="preserve"> inaccurate self-reporting</w:t>
      </w:r>
      <w:r>
        <w:t>,</w:t>
      </w:r>
      <w:r w:rsidRPr="00F832FE">
        <w:t xml:space="preserve"> which can be caused by recall bias, social desirability bias and errors in self-observation</w:t>
      </w:r>
      <w:r>
        <w:t>,</w:t>
      </w:r>
      <w:r w:rsidRPr="00F832FE">
        <w:t xml:space="preserve"> and over-estimation bias and poor recall. Hence, it is important to ensure that the survey results are </w:t>
      </w:r>
      <w:r w:rsidRPr="00E57196">
        <w:rPr>
          <w:i/>
        </w:rPr>
        <w:t>statistically significant</w:t>
      </w:r>
      <w:r>
        <w:t>, which means the results are unlikely to be due to chance</w:t>
      </w:r>
      <w:r w:rsidRPr="00F832FE">
        <w:t>.</w:t>
      </w:r>
      <w:r>
        <w:t xml:space="preserve"> (see </w:t>
      </w:r>
      <w:r w:rsidRPr="00190DFE">
        <w:t xml:space="preserve">Oxley J, Charlton J, Starkey N, Isler R, </w:t>
      </w:r>
      <w:r w:rsidRPr="00190DFE">
        <w:rPr>
          <w:i/>
        </w:rPr>
        <w:t>Understanding novice driver behaviour - Review of Literature</w:t>
      </w:r>
      <w:r w:rsidRPr="00190DFE">
        <w:t>, Monash University Accident Research Centre, Monash Injury Research Institute, and University of Waikato, NZ, 2014, p</w:t>
      </w:r>
      <w:r>
        <w:t>43, Section 5.1.2, &lt;</w:t>
      </w:r>
      <w:hyperlink r:id="rId148" w:history="1">
        <w:r w:rsidRPr="009A1E00">
          <w:rPr>
            <w:rStyle w:val="Hyperlink"/>
          </w:rPr>
          <w:t>https://www.monash.edu/__data/assets/pdf_file/0006/465558/Review-of-Literature-Young-Drivers.pdf</w:t>
        </w:r>
      </w:hyperlink>
      <w:r>
        <w:t>&gt;).</w:t>
      </w:r>
    </w:p>
  </w:endnote>
  <w:endnote w:id="215">
    <w:p w14:paraId="0DDB075C" w14:textId="77777777" w:rsidR="003C7C88" w:rsidRPr="00F86B5E" w:rsidRDefault="003C7C88" w:rsidP="001C3A9F">
      <w:pPr>
        <w:pStyle w:val="Footnote"/>
      </w:pPr>
      <w:r>
        <w:rPr>
          <w:rStyle w:val="EndnoteReference"/>
        </w:rPr>
        <w:endnoteRef/>
      </w:r>
      <w:r>
        <w:t xml:space="preserve">  A series of surveys were undertaken to assess the effects of the GLS requirements on self-reported probationary driver behaviour, before and after the enhanced GLS. A combination of cross-section surveys (a series of four independent samples of drivers) and longitudinal surveys following a cohort of young drivers licensed under the former GLS and a cohort of young drivers licensed under the enhanced GLS (post cohort) were undertaken. Comparisons pre- and post-GLS were statistically tested. </w:t>
      </w:r>
      <w:r w:rsidRPr="00F832FE">
        <w:t>The use of self-reporting surveys enables the gathering of information on respondents’ own views directly and provides access to phenomenological data, i.e., respondents’ perceptions of themselves and their world, which are unobtainable in any other way. Surveys are also useful as a tool with which to gather data on social, situational, behavioural and attitudinal factors.</w:t>
      </w:r>
    </w:p>
  </w:endnote>
  <w:endnote w:id="216">
    <w:p w14:paraId="26B614B6" w14:textId="77777777" w:rsidR="003C7C88" w:rsidRDefault="003C7C88" w:rsidP="001C3A9F">
      <w:pPr>
        <w:pStyle w:val="Footnote"/>
      </w:pPr>
      <w:r>
        <w:rPr>
          <w:rStyle w:val="EndnoteReference"/>
        </w:rPr>
        <w:endnoteRef/>
      </w:r>
      <w:r>
        <w:t xml:space="preserve">  </w:t>
      </w:r>
      <w:r w:rsidRPr="00BA21E4">
        <w:t xml:space="preserve">McKnight AJ </w:t>
      </w:r>
      <w:r>
        <w:t>&amp;</w:t>
      </w:r>
      <w:r w:rsidRPr="00BA21E4">
        <w:t xml:space="preserve"> Peck RC</w:t>
      </w:r>
      <w:r>
        <w:t xml:space="preserve"> 2003,</w:t>
      </w:r>
      <w:r w:rsidRPr="00BA21E4">
        <w:t xml:space="preserve"> </w:t>
      </w:r>
      <w:r>
        <w:t>‘</w:t>
      </w:r>
      <w:r w:rsidRPr="00BA21E4">
        <w:t>Graduated driver licensing</w:t>
      </w:r>
      <w:r>
        <w:t xml:space="preserve"> and safer driving’, </w:t>
      </w:r>
      <w:r>
        <w:rPr>
          <w:i/>
        </w:rPr>
        <w:t>Journal of Safety Research</w:t>
      </w:r>
      <w:r>
        <w:t xml:space="preserve"> 34 (2003), p87,  &lt;</w:t>
      </w:r>
      <w:hyperlink r:id="rId149" w:history="1">
        <w:r w:rsidRPr="009A1E00">
          <w:rPr>
            <w:rStyle w:val="Hyperlink"/>
          </w:rPr>
          <w:t>http://citeseerx.ist.psu.edu/viewdoc/download?doi=10.1.1.598.921&amp;rep=rep1&amp;type=pdf</w:t>
        </w:r>
      </w:hyperlink>
      <w:r>
        <w:t>&gt;.</w:t>
      </w:r>
    </w:p>
  </w:endnote>
  <w:endnote w:id="217">
    <w:p w14:paraId="32455E1D" w14:textId="77777777" w:rsidR="003C7C88" w:rsidRDefault="003C7C88" w:rsidP="001C3A9F">
      <w:pPr>
        <w:pStyle w:val="Footnote"/>
      </w:pPr>
      <w:r w:rsidRPr="002C770F">
        <w:rPr>
          <w:rStyle w:val="EndnoteReference"/>
        </w:rPr>
        <w:endnoteRef/>
      </w:r>
      <w:r>
        <w:t xml:space="preserve">  McKnight AJ, Hyde P &amp; Albrecht L 1983, </w:t>
      </w:r>
      <w:r>
        <w:rPr>
          <w:i/>
        </w:rPr>
        <w:t>Youth licens</w:t>
      </w:r>
      <w:r w:rsidRPr="001B75A6">
        <w:rPr>
          <w:i/>
        </w:rPr>
        <w:t>e control demonstration project</w:t>
      </w:r>
      <w:r>
        <w:t xml:space="preserve">, 1983, Springfield VA, National Technical Information Service, p87 </w:t>
      </w:r>
    </w:p>
  </w:endnote>
  <w:endnote w:id="218">
    <w:p w14:paraId="2A3849C4" w14:textId="77777777" w:rsidR="003C7C88" w:rsidRDefault="003C7C88" w:rsidP="001C3A9F">
      <w:pPr>
        <w:pStyle w:val="Footnote"/>
      </w:pPr>
      <w:r>
        <w:rPr>
          <w:rStyle w:val="EndnoteReference"/>
        </w:rPr>
        <w:endnoteRef/>
      </w:r>
      <w:r>
        <w:t xml:space="preserve">  Australasian College of Road Safety 2016, </w:t>
      </w:r>
      <w:r w:rsidRPr="00C33A34">
        <w:rPr>
          <w:i/>
        </w:rPr>
        <w:t>ACRS Submission to Victorian Law Reform, Road and Community Safety Commission Inquiry into lowering the licensing age in Victoria to 17 years</w:t>
      </w:r>
      <w:r>
        <w:t>, 30 May 2016, p5 and p14,  &gt;</w:t>
      </w:r>
      <w:hyperlink r:id="rId150" w:history="1">
        <w:r w:rsidRPr="0067683E">
          <w:rPr>
            <w:rStyle w:val="Hyperlink"/>
          </w:rPr>
          <w:t>https://www.parliament.vic.gov.au/images/88._30.05.2016_-_Submission__Australiasian_College_of_Road_Safety.pdf</w:t>
        </w:r>
      </w:hyperlink>
      <w:r>
        <w:t xml:space="preserve">&gt;; </w:t>
      </w:r>
      <w:r w:rsidRPr="002407C8">
        <w:t>Parliament of Victoria</w:t>
      </w:r>
      <w:r>
        <w:t xml:space="preserve"> 2017, </w:t>
      </w:r>
      <w:r w:rsidRPr="00C33A34">
        <w:rPr>
          <w:i/>
        </w:rPr>
        <w:t>Inquiry into lowering the probationary driving age in Victoria to seventeen</w:t>
      </w:r>
      <w:r>
        <w:t xml:space="preserve">, </w:t>
      </w:r>
      <w:r w:rsidRPr="002407C8">
        <w:t>Law Reform, Road and Community Safety Committee</w:t>
      </w:r>
      <w:r>
        <w:t xml:space="preserve">, March 2017, p33,  </w:t>
      </w:r>
      <w:hyperlink r:id="rId151" w:history="1">
        <w:r w:rsidRPr="009A1E00">
          <w:rPr>
            <w:rStyle w:val="Hyperlink"/>
          </w:rPr>
          <w:t>https://www.parliament.vic.gov.au/images/stories/committees/lrrcsc/Probationary_Age/Final_Report_-_Lowering_the_Probationary_Driving_Age.pdf</w:t>
        </w:r>
      </w:hyperlink>
      <w:r>
        <w:t xml:space="preserve"> ;</w:t>
      </w:r>
      <w:r w:rsidRPr="00782484">
        <w:t xml:space="preserve"> </w:t>
      </w:r>
      <w:r w:rsidRPr="00BC735D">
        <w:t>Professor Rebecca Ivers, The George Institute for Global Health, Transcript of evidence, 24 October 2016, p. 27</w:t>
      </w:r>
      <w:r>
        <w:t>8, &lt;</w:t>
      </w:r>
      <w:hyperlink r:id="rId152" w:history="1">
        <w:r w:rsidRPr="009A1E00">
          <w:rPr>
            <w:rStyle w:val="Hyperlink"/>
          </w:rPr>
          <w:t>https://www.parliament.vic.gov.au/images/stories/committees/lrrcsc/Probationary_Age/Transcripts/2016.10.24_-_TRANSCRIPT_-_George_Institute_for_Global_Health.pdf</w:t>
        </w:r>
      </w:hyperlink>
      <w:r>
        <w:t xml:space="preserve">&gt;. </w:t>
      </w:r>
    </w:p>
  </w:endnote>
  <w:endnote w:id="219">
    <w:p w14:paraId="3B9DD7A0" w14:textId="24073B74" w:rsidR="003C7C88" w:rsidRDefault="003C7C88">
      <w:pPr>
        <w:pStyle w:val="EndnoteText"/>
      </w:pPr>
      <w:r w:rsidRPr="00790C54">
        <w:rPr>
          <w:rStyle w:val="EndnoteReference"/>
          <w:rFonts w:ascii="Segoe UI" w:hAnsi="Segoe UI" w:cs="Segoe UI"/>
          <w:sz w:val="16"/>
          <w:szCs w:val="16"/>
        </w:rPr>
        <w:endnoteRef/>
      </w:r>
      <w:r>
        <w:rPr>
          <w:vertAlign w:val="superscript"/>
        </w:rPr>
        <w:t xml:space="preserve"> </w:t>
      </w:r>
      <w:r w:rsidRPr="00F65BFE">
        <w:rPr>
          <w:rFonts w:ascii="Segoe UI" w:hAnsi="Segoe UI" w:cs="Segoe UI"/>
          <w:sz w:val="16"/>
          <w:szCs w:val="16"/>
        </w:rPr>
        <w:t>Austroads2014, A Discussion Paper on Elements of Graduated Licensing Systems for Motorcycle Riders &lt;</w:t>
      </w:r>
      <w:hyperlink r:id="rId153" w:history="1">
        <w:r w:rsidRPr="00F65BFE">
          <w:rPr>
            <w:rStyle w:val="Hyperlink"/>
            <w:rFonts w:ascii="Segoe UI" w:hAnsi="Segoe UI" w:cs="Segoe UI"/>
            <w:sz w:val="16"/>
            <w:szCs w:val="16"/>
          </w:rPr>
          <w:t>https://austroads.com.au/publications/road-safety/ap-r469-14</w:t>
        </w:r>
      </w:hyperlink>
      <w:r w:rsidRPr="00F65BFE">
        <w:rPr>
          <w:rFonts w:ascii="Segoe UI" w:hAnsi="Segoe UI" w:cs="Segoe UI"/>
          <w:sz w:val="16"/>
          <w:szCs w:val="16"/>
        </w:rPr>
        <w:t>&gt;</w:t>
      </w:r>
    </w:p>
  </w:endnote>
  <w:endnote w:id="220">
    <w:p w14:paraId="4C72A5C4" w14:textId="77777777" w:rsidR="003C7C88" w:rsidRPr="007649BF" w:rsidRDefault="003C7C88" w:rsidP="007E6977">
      <w:pPr>
        <w:pStyle w:val="Footnote"/>
        <w:rPr>
          <w:lang w:eastAsia="en-AU"/>
        </w:rPr>
      </w:pPr>
      <w:r>
        <w:rPr>
          <w:rStyle w:val="EndnoteReference"/>
        </w:rPr>
        <w:endnoteRef/>
      </w:r>
      <w:r>
        <w:t xml:space="preserve">  VicRoads 2010, </w:t>
      </w:r>
      <w:r w:rsidRPr="00C33701">
        <w:rPr>
          <w:i/>
        </w:rPr>
        <w:t>Graduated Licensing for Motorcyclists – A Discussion Paper 2010,</w:t>
      </w:r>
      <w:r>
        <w:t xml:space="preserve"> &lt;</w:t>
      </w:r>
      <w:hyperlink r:id="rId154" w:history="1">
        <w:r w:rsidRPr="00DC09E8">
          <w:rPr>
            <w:rStyle w:val="Hyperlink"/>
            <w:lang w:eastAsia="en-AU"/>
          </w:rPr>
          <w:t>https://www.vicroads.vic.gov.au/~/media/files/documents/safety-and-road-rules/motorcyclelevyglsdiscussionpaper2010.pdf?la=en</w:t>
        </w:r>
      </w:hyperlink>
      <w:r>
        <w:t>&gt;.</w:t>
      </w:r>
    </w:p>
  </w:endnote>
  <w:endnote w:id="221">
    <w:p w14:paraId="654E2791" w14:textId="77777777" w:rsidR="003C7C88" w:rsidRDefault="003C7C88" w:rsidP="007E6977">
      <w:pPr>
        <w:pStyle w:val="Footnote"/>
      </w:pPr>
      <w:r>
        <w:rPr>
          <w:rStyle w:val="EndnoteReference"/>
        </w:rPr>
        <w:endnoteRef/>
      </w:r>
      <w:r>
        <w:t xml:space="preserve">  Parliament of Victoria, Road Safety Committee, </w:t>
      </w:r>
      <w:r w:rsidRPr="00164AC6">
        <w:rPr>
          <w:i/>
        </w:rPr>
        <w:t>Inquiry into Motorcycle Safety</w:t>
      </w:r>
      <w:r>
        <w:t>, December 2012,  &lt;</w:t>
      </w:r>
      <w:hyperlink r:id="rId155" w:history="1">
        <w:r w:rsidRPr="00DC09E8">
          <w:rPr>
            <w:rStyle w:val="Hyperlink"/>
            <w:lang w:eastAsia="en-AU"/>
          </w:rPr>
          <w:t>https://www.parliament.vic.gov.au/file_uploads/Inquiry_into_Motorcycle_Safety_-_Report_dTgJ7nbQ.pdf</w:t>
        </w:r>
      </w:hyperlink>
      <w:r>
        <w:t>&gt;.</w:t>
      </w:r>
    </w:p>
  </w:endnote>
  <w:endnote w:id="222">
    <w:p w14:paraId="0250DDF1" w14:textId="77777777" w:rsidR="003C7C88" w:rsidRPr="0093637F" w:rsidRDefault="003C7C88" w:rsidP="007E6977">
      <w:pPr>
        <w:pStyle w:val="Footnote"/>
        <w:rPr>
          <w:lang w:eastAsia="en-AU"/>
        </w:rPr>
      </w:pPr>
      <w:r>
        <w:rPr>
          <w:rStyle w:val="EndnoteReference"/>
        </w:rPr>
        <w:endnoteRef/>
      </w:r>
      <w:r>
        <w:t xml:space="preserve">  Victorian Government, </w:t>
      </w:r>
      <w:r w:rsidRPr="00725C45">
        <w:rPr>
          <w:i/>
        </w:rPr>
        <w:t>Victoria’s Road Safety and Transport Strategic Action Plan for Powered Two Wheelers 2009–2013</w:t>
      </w:r>
      <w:r>
        <w:t>, &lt;</w:t>
      </w:r>
      <w:hyperlink r:id="rId156" w:history="1">
        <w:r w:rsidRPr="00DC09E8">
          <w:rPr>
            <w:rStyle w:val="Hyperlink"/>
            <w:lang w:eastAsia="en-AU"/>
          </w:rPr>
          <w:t>https://www.vicroads.vic.gov.au/~/media/files/documents/safety-and-road-rules/powered-two-wheelers-action-plan20092013.pdf?la=en</w:t>
        </w:r>
      </w:hyperlink>
      <w:r>
        <w:t>&gt;.</w:t>
      </w:r>
    </w:p>
  </w:endnote>
  <w:endnote w:id="223">
    <w:p w14:paraId="735F081E" w14:textId="77777777" w:rsidR="003C7C88" w:rsidRDefault="003C7C88" w:rsidP="007E6977">
      <w:pPr>
        <w:pStyle w:val="Footnote"/>
      </w:pPr>
      <w:r>
        <w:rPr>
          <w:rStyle w:val="EndnoteReference"/>
        </w:rPr>
        <w:endnoteRef/>
      </w:r>
      <w:r>
        <w:t xml:space="preserve">  Senserrick T, </w:t>
      </w:r>
      <w:r w:rsidRPr="00B432BB">
        <w:t>Russell</w:t>
      </w:r>
      <w:r>
        <w:t xml:space="preserve"> M</w:t>
      </w:r>
      <w:r w:rsidRPr="00B432BB">
        <w:t>, McRae</w:t>
      </w:r>
      <w:r>
        <w:t xml:space="preserve"> D</w:t>
      </w:r>
      <w:r w:rsidRPr="00B432BB">
        <w:t>, Wallace</w:t>
      </w:r>
      <w:r>
        <w:t xml:space="preserve"> P</w:t>
      </w:r>
      <w:r w:rsidRPr="00B432BB">
        <w:t xml:space="preserve">, Blythe </w:t>
      </w:r>
      <w:r>
        <w:t>R</w:t>
      </w:r>
      <w:r w:rsidRPr="00B432BB">
        <w:t>, Mitsopoulos-Rubens</w:t>
      </w:r>
      <w:r>
        <w:t xml:space="preserve"> E</w:t>
      </w:r>
      <w:r w:rsidRPr="00B432BB">
        <w:t>, de Rome</w:t>
      </w:r>
      <w:r>
        <w:t>L</w:t>
      </w:r>
      <w:r w:rsidRPr="00B432BB">
        <w:t>, Rees</w:t>
      </w:r>
      <w:r>
        <w:t xml:space="preserve"> P</w:t>
      </w:r>
      <w:r w:rsidRPr="00B432BB">
        <w:t xml:space="preserve"> </w:t>
      </w:r>
      <w:r>
        <w:t>&amp;</w:t>
      </w:r>
      <w:r w:rsidRPr="00B432BB">
        <w:t xml:space="preserve"> Williamson</w:t>
      </w:r>
      <w:r w:rsidRPr="00B432BB" w:rsidDel="00B432BB">
        <w:t xml:space="preserve"> </w:t>
      </w:r>
      <w:r>
        <w:t xml:space="preserve">A 2017, </w:t>
      </w:r>
      <w:r w:rsidRPr="007F373D">
        <w:rPr>
          <w:i/>
        </w:rPr>
        <w:t>Development of Victoria’s new Motorcycle Graduated Licensing System</w:t>
      </w:r>
      <w:r>
        <w:t xml:space="preserve">, Paper presented at the 2017 </w:t>
      </w:r>
      <w:r w:rsidRPr="003503E5">
        <w:t>Australasian</w:t>
      </w:r>
      <w:r>
        <w:t xml:space="preserve"> Road Safety Conference, October 2017 in Perth, WA.</w:t>
      </w:r>
    </w:p>
  </w:endnote>
  <w:endnote w:id="224">
    <w:p w14:paraId="1FC74F21" w14:textId="77777777" w:rsidR="003C7C88" w:rsidRDefault="003C7C88" w:rsidP="007E6977">
      <w:pPr>
        <w:pStyle w:val="Footnote"/>
      </w:pPr>
      <w:r>
        <w:rPr>
          <w:rStyle w:val="EndnoteReference"/>
        </w:rPr>
        <w:endnoteRef/>
      </w:r>
      <w:r>
        <w:t xml:space="preserve">  Hatakka M, Keskinen E, Gregersen NP, Glad A &amp; Hernetkoski K 2002, ‘From control of the vehicle to personal self-control: broadening the perspectives to driver education’, Transportation Research Part F: </w:t>
      </w:r>
      <w:r w:rsidRPr="003F318F">
        <w:rPr>
          <w:i/>
        </w:rPr>
        <w:t>Traffic Psychology and Behaviour</w:t>
      </w:r>
      <w:r>
        <w:t>, 5, 201-215,  &lt;</w:t>
      </w:r>
      <w:hyperlink r:id="rId157" w:history="1">
        <w:r w:rsidRPr="009A1E00">
          <w:rPr>
            <w:rStyle w:val="Hyperlink"/>
          </w:rPr>
          <w:t>https://www.sciencedirect.com/science/article/pii/S1369847802000189</w:t>
        </w:r>
      </w:hyperlink>
      <w:r>
        <w:t>&gt;</w:t>
      </w:r>
      <w:r w:rsidRPr="001C74EC">
        <w:t>.</w:t>
      </w:r>
    </w:p>
  </w:endnote>
  <w:endnote w:id="225">
    <w:p w14:paraId="3C336281" w14:textId="77777777" w:rsidR="003C7C88" w:rsidRDefault="003C7C88" w:rsidP="00FF7E9F">
      <w:pPr>
        <w:pStyle w:val="Footnote"/>
      </w:pPr>
      <w:r>
        <w:rPr>
          <w:rStyle w:val="EndnoteReference"/>
        </w:rPr>
        <w:endnoteRef/>
      </w:r>
      <w:r>
        <w:t xml:space="preserve">  ibid.</w:t>
      </w:r>
    </w:p>
  </w:endnote>
  <w:endnote w:id="226">
    <w:p w14:paraId="1A56CD93" w14:textId="77777777" w:rsidR="003C7C88" w:rsidRDefault="003C7C88" w:rsidP="00A6402E">
      <w:pPr>
        <w:pStyle w:val="Footnote"/>
      </w:pPr>
      <w:r>
        <w:rPr>
          <w:rStyle w:val="EndnoteReference"/>
        </w:rPr>
        <w:endnoteRef/>
      </w:r>
      <w:r>
        <w:t xml:space="preserve">  National Highway Traffic Safety Administration 1998, </w:t>
      </w:r>
      <w:r w:rsidRPr="00D67D04">
        <w:rPr>
          <w:i/>
        </w:rPr>
        <w:t>Saving teenage lives: the case for graduated licensing</w:t>
      </w:r>
      <w:r>
        <w:t>, US Department of Transportation, p9, &lt;</w:t>
      </w:r>
      <w:hyperlink r:id="rId158" w:history="1">
        <w:r w:rsidRPr="00A45865">
          <w:rPr>
            <w:rStyle w:val="Hyperlink"/>
          </w:rPr>
          <w:t>https://files.eric.ed.gov/fulltext/ED435858.pdf</w:t>
        </w:r>
      </w:hyperlink>
      <w:r>
        <w:t>&gt;.</w:t>
      </w:r>
    </w:p>
  </w:endnote>
  <w:endnote w:id="227">
    <w:p w14:paraId="0F194AA9" w14:textId="13C7FA0B" w:rsidR="003C7C88" w:rsidRDefault="003C7C88" w:rsidP="00492CF1">
      <w:pPr>
        <w:pStyle w:val="Footnote"/>
      </w:pPr>
      <w:r>
        <w:rPr>
          <w:rStyle w:val="EndnoteReference"/>
        </w:rPr>
        <w:endnoteRef/>
      </w:r>
      <w:r>
        <w:t xml:space="preserve">  Refer to </w:t>
      </w:r>
      <w:r w:rsidRPr="00306479">
        <w:t xml:space="preserve">in </w:t>
      </w:r>
      <w:r w:rsidRPr="00306479">
        <w:fldChar w:fldCharType="begin"/>
      </w:r>
      <w:r w:rsidRPr="00306479">
        <w:instrText xml:space="preserve"> REF _Ref499566105 \h  \* MERGEFORMAT </w:instrText>
      </w:r>
      <w:r w:rsidRPr="00306479">
        <w:fldChar w:fldCharType="separate"/>
      </w:r>
      <w:r w:rsidRPr="00117C96">
        <w:t xml:space="preserve">Figure </w:t>
      </w:r>
      <w:r>
        <w:rPr>
          <w:noProof/>
        </w:rPr>
        <w:t>1</w:t>
      </w:r>
      <w:r w:rsidRPr="00306479">
        <w:fldChar w:fldCharType="end"/>
      </w:r>
      <w:r w:rsidRPr="00306479">
        <w:t xml:space="preserve"> on page </w:t>
      </w:r>
      <w:r>
        <w:t>4.</w:t>
      </w:r>
    </w:p>
  </w:endnote>
  <w:endnote w:id="228">
    <w:p w14:paraId="5851E918" w14:textId="77777777" w:rsidR="003C7C88" w:rsidRDefault="003C7C88" w:rsidP="00A13441">
      <w:pPr>
        <w:pStyle w:val="Footnote"/>
      </w:pPr>
      <w:r>
        <w:rPr>
          <w:rStyle w:val="EndnoteReference"/>
        </w:rPr>
        <w:endnoteRef/>
      </w:r>
      <w:r>
        <w:t xml:space="preserve">  McCartt AT, Teoh ER, Fields M, Braitman KA &amp; Hellinga LA, 2010, ‘Graduated licensing laws and fatal crashes of teenage drivers: a national study’, </w:t>
      </w:r>
      <w:r w:rsidRPr="00A13441">
        <w:rPr>
          <w:i/>
        </w:rPr>
        <w:t>Traffic Injury Prevention</w:t>
      </w:r>
      <w:r>
        <w:t>, 11: 240-248 &lt;</w:t>
      </w:r>
      <w:hyperlink r:id="rId159" w:history="1">
        <w:r w:rsidRPr="009201A7">
          <w:rPr>
            <w:rStyle w:val="Hyperlink"/>
          </w:rPr>
          <w:t>https://www.tandfonline.com/doi/pdf/10.1080/15389580903578854</w:t>
        </w:r>
      </w:hyperlink>
      <w:r>
        <w:t>&gt;.</w:t>
      </w:r>
    </w:p>
  </w:endnote>
  <w:endnote w:id="229">
    <w:p w14:paraId="5968244B" w14:textId="77777777" w:rsidR="003C7C88" w:rsidRDefault="003C7C88" w:rsidP="00A13441">
      <w:pPr>
        <w:pStyle w:val="Footnote"/>
      </w:pPr>
      <w:r>
        <w:rPr>
          <w:rStyle w:val="EndnoteReference"/>
        </w:rPr>
        <w:endnoteRef/>
      </w:r>
      <w:r>
        <w:t xml:space="preserve">  Masten SV, Foss RD &amp; Marshall SW, 2013, ‘Graduated driver licensing program component calibrations and their association with fatal crash involvement’, </w:t>
      </w:r>
      <w:r w:rsidRPr="00A13441">
        <w:rPr>
          <w:i/>
        </w:rPr>
        <w:t>Accident Analysis and Prevention</w:t>
      </w:r>
      <w:r>
        <w:t>, 57: 105-113, &lt;</w:t>
      </w:r>
      <w:hyperlink r:id="rId160" w:history="1">
        <w:r w:rsidRPr="009201A7">
          <w:rPr>
            <w:rStyle w:val="Hyperlink"/>
          </w:rPr>
          <w:t>https://www.sciencedirect.com/science/article/pii/S0001457513001486?via%3Dihub</w:t>
        </w:r>
      </w:hyperlink>
      <w:r>
        <w:t>&gt;.</w:t>
      </w:r>
    </w:p>
  </w:endnote>
  <w:endnote w:id="230">
    <w:p w14:paraId="0B4544A4" w14:textId="77777777" w:rsidR="003C7C88" w:rsidRDefault="003C7C88" w:rsidP="00A13441">
      <w:pPr>
        <w:pStyle w:val="Footnote"/>
      </w:pPr>
      <w:r>
        <w:rPr>
          <w:rStyle w:val="EndnoteReference"/>
        </w:rPr>
        <w:endnoteRef/>
      </w:r>
      <w:r>
        <w:t xml:space="preserve">  VicRoads, 2005, </w:t>
      </w:r>
      <w:r w:rsidRPr="00A13441">
        <w:rPr>
          <w:i/>
        </w:rPr>
        <w:t>Young driver safety and graduated driver licensing: Discussion paper</w:t>
      </w:r>
      <w:r>
        <w:t>, Victorian Government, Kew VIC; August.</w:t>
      </w:r>
    </w:p>
  </w:endnote>
  <w:endnote w:id="231">
    <w:p w14:paraId="7B66F090" w14:textId="77777777" w:rsidR="003C7C88" w:rsidRDefault="003C7C88" w:rsidP="00A13441">
      <w:pPr>
        <w:pStyle w:val="Footnote"/>
      </w:pPr>
      <w:r>
        <w:rPr>
          <w:rStyle w:val="EndnoteReference"/>
        </w:rPr>
        <w:endnoteRef/>
      </w:r>
      <w:r>
        <w:t xml:space="preserve">  Roads and Traffic Authority of NSW 2008, Evaluation of the driver qualification test, RTA Internal document, Sydney NSW, cited in Senserrick TM &amp; Williams AF, 2015, Summary of Literature of the Effective Components of Graduated Driver Licensing Systems, Austroads, p30.</w:t>
      </w:r>
    </w:p>
  </w:endnote>
  <w:endnote w:id="232">
    <w:p w14:paraId="3727ABDD" w14:textId="77777777" w:rsidR="003C7C88" w:rsidRDefault="003C7C88" w:rsidP="00A13441">
      <w:pPr>
        <w:pStyle w:val="Footnote"/>
      </w:pPr>
      <w:r>
        <w:rPr>
          <w:rStyle w:val="EndnoteReference"/>
        </w:rPr>
        <w:endnoteRef/>
      </w:r>
      <w:r>
        <w:t xml:space="preserve">  Boufous S, Senserrick TM, Stevenson M &amp; Ivers R, 2011, ‘The effects of the practical on-road driving test and hazard perception test on the risk of traffic crashes in young drivers’, </w:t>
      </w:r>
      <w:r w:rsidRPr="00A13441">
        <w:rPr>
          <w:i/>
        </w:rPr>
        <w:t>Traffic Injury Prevention</w:t>
      </w:r>
      <w:r>
        <w:t>, 12: 475-482, &lt;</w:t>
      </w:r>
      <w:hyperlink r:id="rId161" w:history="1">
        <w:r w:rsidRPr="009201A7">
          <w:rPr>
            <w:rStyle w:val="Hyperlink"/>
          </w:rPr>
          <w:t>https://www.tandfonline.com/doi/full/10.1080/15389588.2011.591856</w:t>
        </w:r>
      </w:hyperlink>
      <w:r>
        <w:t xml:space="preserve">&gt;.  </w:t>
      </w:r>
    </w:p>
  </w:endnote>
  <w:endnote w:id="233">
    <w:p w14:paraId="07F91854" w14:textId="77777777" w:rsidR="003C7C88" w:rsidRDefault="003C7C88" w:rsidP="00A6357E">
      <w:pPr>
        <w:pStyle w:val="Footnote"/>
      </w:pPr>
      <w:r>
        <w:rPr>
          <w:rStyle w:val="EndnoteReference"/>
        </w:rPr>
        <w:endnoteRef/>
      </w:r>
      <w:r>
        <w:t xml:space="preserve">  Wells P, Tong S, Sexton B, Grayson G, Jones E, 2008, </w:t>
      </w:r>
      <w:r w:rsidRPr="00CB2814">
        <w:rPr>
          <w:i/>
        </w:rPr>
        <w:t xml:space="preserve">Cohort II: a study of learner and new drivers </w:t>
      </w:r>
      <w:r>
        <w:t xml:space="preserve">– </w:t>
      </w:r>
      <w:r w:rsidRPr="00CB2814">
        <w:rPr>
          <w:i/>
        </w:rPr>
        <w:t>volume 1</w:t>
      </w:r>
      <w:r>
        <w:t xml:space="preserve"> – </w:t>
      </w:r>
      <w:r w:rsidRPr="00CB2814">
        <w:rPr>
          <w:i/>
        </w:rPr>
        <w:t>main report</w:t>
      </w:r>
      <w:r>
        <w:t>, Road Safety Research Report No. 81, Transport Research Laboratory, Department for Transport, London, UK, &lt;</w:t>
      </w:r>
      <w:hyperlink r:id="rId162" w:history="1">
        <w:r w:rsidRPr="009201A7">
          <w:rPr>
            <w:rStyle w:val="Hyperlink"/>
          </w:rPr>
          <w:t>https://webarchive.nationalarchives.gov.uk/+/http://www.dft.gov.uk/pgr/roadsafety/research/rsrr/theme2/cohort2/cohrtiimainreport.pdf</w:t>
        </w:r>
      </w:hyperlink>
      <w:r>
        <w:t>&gt;.</w:t>
      </w:r>
    </w:p>
  </w:endnote>
  <w:endnote w:id="234">
    <w:p w14:paraId="7A26F639" w14:textId="77777777" w:rsidR="003C7C88" w:rsidRDefault="003C7C88" w:rsidP="00A13441">
      <w:pPr>
        <w:pStyle w:val="Footnote"/>
      </w:pPr>
      <w:r>
        <w:rPr>
          <w:rStyle w:val="EndnoteReference"/>
        </w:rPr>
        <w:endnoteRef/>
      </w:r>
      <w:r>
        <w:t xml:space="preserve">  Baughan C &amp; Sexton B, 2001, </w:t>
      </w:r>
      <w:r w:rsidRPr="00A13441">
        <w:rPr>
          <w:i/>
        </w:rPr>
        <w:t>Driving tests: Reliability and the relationship between test errors and accidents</w:t>
      </w:r>
      <w:r>
        <w:t>, Proceedings of the International Driving Symposium on Human Factors in Driver Assessment, Training and Vehicle Design, Aspen, Colorado, p264-269, &lt;</w:t>
      </w:r>
      <w:hyperlink r:id="rId163" w:history="1">
        <w:r w:rsidRPr="009201A7">
          <w:rPr>
            <w:rStyle w:val="Hyperlink"/>
          </w:rPr>
          <w:t>https://ir.uiowa.edu/cgi/viewcontent.cgi?article=1053&amp;context=drivingassessment</w:t>
        </w:r>
      </w:hyperlink>
      <w:r>
        <w:t>&gt;.</w:t>
      </w:r>
    </w:p>
  </w:endnote>
  <w:endnote w:id="235">
    <w:p w14:paraId="43C0F340" w14:textId="77777777" w:rsidR="003C7C88" w:rsidRDefault="003C7C88" w:rsidP="00A13441">
      <w:pPr>
        <w:pStyle w:val="Footnote"/>
      </w:pPr>
      <w:r>
        <w:rPr>
          <w:rStyle w:val="EndnoteReference"/>
        </w:rPr>
        <w:endnoteRef/>
      </w:r>
      <w:r>
        <w:t xml:space="preserve">  Sexton B &amp; Grayson G, 2010, </w:t>
      </w:r>
      <w:r w:rsidRPr="00A13441">
        <w:rPr>
          <w:i/>
        </w:rPr>
        <w:t>The accident history and behaviours of new drivers who pass their first practical driving test</w:t>
      </w:r>
      <w:r>
        <w:t>, Transport Research Laboratory TRL, Crowthorne, Berkshire UK, &lt;</w:t>
      </w:r>
      <w:hyperlink r:id="rId164" w:history="1">
        <w:r w:rsidRPr="009201A7">
          <w:rPr>
            <w:rStyle w:val="Hyperlink"/>
          </w:rPr>
          <w:t>https://trl.co.uk/sites/default/files/PPR427.pdf</w:t>
        </w:r>
      </w:hyperlink>
      <w:r>
        <w:t>&gt;.</w:t>
      </w:r>
    </w:p>
  </w:endnote>
  <w:endnote w:id="236">
    <w:p w14:paraId="5C40B28B" w14:textId="77777777" w:rsidR="003C7C88" w:rsidRDefault="003C7C88" w:rsidP="00A13441">
      <w:pPr>
        <w:pStyle w:val="Footnote"/>
      </w:pPr>
      <w:r>
        <w:rPr>
          <w:rStyle w:val="EndnoteReference"/>
        </w:rPr>
        <w:endnoteRef/>
      </w:r>
      <w:r>
        <w:t xml:space="preserve">  Zwerling C &amp; Jones P, 1999, ‘Evaluation of the effectiveness of low blood alcohol concentration laws for younger drivers’, </w:t>
      </w:r>
      <w:r w:rsidRPr="00A13441">
        <w:rPr>
          <w:i/>
        </w:rPr>
        <w:t>American Journal of Preventative Medicine</w:t>
      </w:r>
      <w:r>
        <w:t>, 16: 76-80, &lt;</w:t>
      </w:r>
      <w:hyperlink r:id="rId165" w:history="1">
        <w:r w:rsidRPr="009201A7">
          <w:rPr>
            <w:rStyle w:val="Hyperlink"/>
          </w:rPr>
          <w:t>https://www.sciencedirect.com/science/article/pii/S0749379798001147?via%3Dihub</w:t>
        </w:r>
      </w:hyperlink>
      <w:r>
        <w:t>&gt;.</w:t>
      </w:r>
    </w:p>
  </w:endnote>
  <w:endnote w:id="237">
    <w:p w14:paraId="390E6599" w14:textId="77777777" w:rsidR="003C7C88" w:rsidRDefault="003C7C88" w:rsidP="00A13441">
      <w:pPr>
        <w:pStyle w:val="Footnote"/>
      </w:pPr>
      <w:r>
        <w:rPr>
          <w:rStyle w:val="EndnoteReference"/>
        </w:rPr>
        <w:endnoteRef/>
      </w:r>
      <w:r>
        <w:t xml:space="preserve">  Keall MD, Frith WJ &amp; Patterson TL, 2001, ‘A case-control study of the effect of alcohol on the risk of driver fatal injury in New Zealand’, </w:t>
      </w:r>
      <w:r w:rsidRPr="00A13441">
        <w:rPr>
          <w:i/>
        </w:rPr>
        <w:t>Road Safety: Research,</w:t>
      </w:r>
      <w:r>
        <w:t xml:space="preserve"> </w:t>
      </w:r>
      <w:r w:rsidRPr="00A13441">
        <w:rPr>
          <w:i/>
        </w:rPr>
        <w:t>Policing &amp; Education Conference Proceedings</w:t>
      </w:r>
      <w:r>
        <w:t>, Melbourne, &lt;</w:t>
      </w:r>
      <w:hyperlink r:id="rId166" w:history="1">
        <w:r w:rsidRPr="009201A7">
          <w:rPr>
            <w:rStyle w:val="Hyperlink"/>
          </w:rPr>
          <w:t>http://acrs.org.au/files/arsrpe/RS010034.pdf</w:t>
        </w:r>
      </w:hyperlink>
      <w:r>
        <w:t>&gt;.</w:t>
      </w:r>
    </w:p>
  </w:endnote>
  <w:endnote w:id="238">
    <w:p w14:paraId="785C7605" w14:textId="77777777" w:rsidR="003C7C88" w:rsidRDefault="003C7C88" w:rsidP="008F0F63">
      <w:pPr>
        <w:pStyle w:val="Footnote"/>
      </w:pPr>
      <w:r>
        <w:rPr>
          <w:rStyle w:val="EndnoteReference"/>
        </w:rPr>
        <w:endnoteRef/>
      </w:r>
      <w:r>
        <w:t xml:space="preserve">  </w:t>
      </w:r>
      <w:r w:rsidRPr="004F455F">
        <w:t>VicRoads</w:t>
      </w:r>
      <w:r>
        <w:t xml:space="preserve"> 2017</w:t>
      </w:r>
      <w:r w:rsidRPr="004F455F">
        <w:t xml:space="preserve">, </w:t>
      </w:r>
      <w:r w:rsidRPr="00DD347D">
        <w:rPr>
          <w:i/>
        </w:rPr>
        <w:t>Examination of the Impact of the Graduated Licensing System on Young Novice Driver Safety, Summary Report</w:t>
      </w:r>
      <w:r w:rsidRPr="004F455F">
        <w:t>, October 2017</w:t>
      </w:r>
      <w:r>
        <w:t>, p 23</w:t>
      </w:r>
    </w:p>
  </w:endnote>
  <w:endnote w:id="239">
    <w:p w14:paraId="0E289D0C" w14:textId="77777777" w:rsidR="003C7C88" w:rsidRDefault="003C7C88" w:rsidP="00A13441">
      <w:pPr>
        <w:pStyle w:val="Footnote"/>
      </w:pPr>
      <w:r>
        <w:rPr>
          <w:rStyle w:val="EndnoteReference"/>
        </w:rPr>
        <w:endnoteRef/>
      </w:r>
      <w:r>
        <w:t xml:space="preserve">  Chamberlain E &amp; Solomon R, 2002, ‘The case for a 0.05% criminal law blood alcohol concentration limit for driving’, </w:t>
      </w:r>
      <w:r w:rsidRPr="00A13441">
        <w:rPr>
          <w:i/>
        </w:rPr>
        <w:t>Injury Prevention</w:t>
      </w:r>
      <w:r>
        <w:t>, Suppl. 3: iii1-iii7, &lt;</w:t>
      </w:r>
      <w:hyperlink r:id="rId167" w:history="1">
        <w:r w:rsidRPr="009201A7">
          <w:rPr>
            <w:rStyle w:val="Hyperlink"/>
          </w:rPr>
          <w:t>http://citeseerx.ist.psu.edu/viewdoc/download?doi=10.1.1.852.7459&amp;rep=rep1&amp;type=pdf</w:t>
        </w:r>
      </w:hyperlink>
      <w:r>
        <w:t>&gt;.</w:t>
      </w:r>
    </w:p>
  </w:endnote>
  <w:endnote w:id="240">
    <w:p w14:paraId="471D9952" w14:textId="77777777" w:rsidR="003C7C88" w:rsidRDefault="003C7C88" w:rsidP="00A13441">
      <w:pPr>
        <w:pStyle w:val="Footnote"/>
      </w:pPr>
      <w:r>
        <w:rPr>
          <w:rStyle w:val="EndnoteReference"/>
        </w:rPr>
        <w:endnoteRef/>
      </w:r>
      <w:r>
        <w:t xml:space="preserve">  Peck RC, Gebers MA, Voas RB &amp; Romano E, 2008, ‘The relationship between blood alcohol concentration (BAC), age, and crash risk’, </w:t>
      </w:r>
      <w:r w:rsidRPr="00A13441">
        <w:rPr>
          <w:i/>
        </w:rPr>
        <w:t>Journal of Safety Research</w:t>
      </w:r>
      <w:r>
        <w:t>, 39: 311-9, &lt;</w:t>
      </w:r>
      <w:hyperlink r:id="rId168" w:history="1">
        <w:r w:rsidRPr="009201A7">
          <w:rPr>
            <w:rStyle w:val="Hyperlink"/>
          </w:rPr>
          <w:t>https://www.sciencedirect.com/science/article/pii/S0022437508000509?via%3Dihub</w:t>
        </w:r>
      </w:hyperlink>
      <w:r>
        <w:t>&gt;.</w:t>
      </w:r>
    </w:p>
  </w:endnote>
  <w:endnote w:id="241">
    <w:p w14:paraId="558FAEF6" w14:textId="77777777" w:rsidR="003C7C88" w:rsidRDefault="003C7C88" w:rsidP="00A15880">
      <w:pPr>
        <w:pStyle w:val="Footnote"/>
      </w:pPr>
      <w:r>
        <w:rPr>
          <w:rStyle w:val="EndnoteReference"/>
        </w:rPr>
        <w:endnoteRef/>
      </w:r>
      <w:r>
        <w:t xml:space="preserve">   </w:t>
      </w:r>
      <w:r w:rsidRPr="008F32EB">
        <w:t>VicRoads</w:t>
      </w:r>
      <w:r>
        <w:t xml:space="preserve"> 2005</w:t>
      </w:r>
      <w:r w:rsidRPr="008F32EB">
        <w:t xml:space="preserve">, </w:t>
      </w:r>
      <w:r w:rsidRPr="006A1677">
        <w:rPr>
          <w:i/>
        </w:rPr>
        <w:t>Young Driver Safety and Graduated Licensing Discussion Paper</w:t>
      </w:r>
      <w:r w:rsidRPr="008F32EB">
        <w:t>, VicRoads, August 2005</w:t>
      </w:r>
      <w:r>
        <w:t>, p10.</w:t>
      </w:r>
    </w:p>
  </w:endnote>
  <w:endnote w:id="242">
    <w:p w14:paraId="0437FAD9" w14:textId="77777777" w:rsidR="003C7C88" w:rsidRDefault="003C7C88" w:rsidP="00F4115C">
      <w:pPr>
        <w:pStyle w:val="Footnote"/>
      </w:pPr>
      <w:r>
        <w:rPr>
          <w:rStyle w:val="EndnoteReference"/>
        </w:rPr>
        <w:endnoteRef/>
      </w:r>
      <w:r>
        <w:t xml:space="preserve">   Senserrick T &amp; Williams AF 2015, </w:t>
      </w:r>
      <w:r w:rsidRPr="00CD124D">
        <w:rPr>
          <w:i/>
        </w:rPr>
        <w:t>Summary of Literature of the Effective Components of Graduated Driver Licensing Systems</w:t>
      </w:r>
      <w:r>
        <w:t>, Austroads</w:t>
      </w:r>
      <w:r w:rsidRPr="00CD124D">
        <w:rPr>
          <w:lang w:eastAsia="en-AU"/>
        </w:rPr>
        <w:t xml:space="preserve"> </w:t>
      </w:r>
      <w:r w:rsidRPr="009033E4">
        <w:rPr>
          <w:lang w:eastAsia="en-AU"/>
        </w:rPr>
        <w:t>Project SS1707</w:t>
      </w:r>
      <w:r>
        <w:rPr>
          <w:lang w:eastAsia="en-AU"/>
        </w:rPr>
        <w:t>,</w:t>
      </w:r>
      <w:r w:rsidRPr="0089229A">
        <w:rPr>
          <w:lang w:eastAsia="en-AU"/>
        </w:rPr>
        <w:t xml:space="preserve"> </w:t>
      </w:r>
      <w:r>
        <w:rPr>
          <w:lang w:eastAsia="en-AU"/>
        </w:rPr>
        <w:t xml:space="preserve">February </w:t>
      </w:r>
      <w:r w:rsidRPr="00691BB7">
        <w:rPr>
          <w:lang w:eastAsia="en-AU"/>
        </w:rPr>
        <w:t>201</w:t>
      </w:r>
      <w:r>
        <w:rPr>
          <w:lang w:eastAsia="en-AU"/>
        </w:rPr>
        <w:t>5</w:t>
      </w:r>
      <w:r>
        <w:t>, p41,</w:t>
      </w:r>
      <w:r w:rsidRPr="009B7E5A">
        <w:rPr>
          <w:lang w:eastAsia="en-AU"/>
        </w:rPr>
        <w:t xml:space="preserve"> </w:t>
      </w:r>
      <w:r>
        <w:rPr>
          <w:lang w:eastAsia="en-AU"/>
        </w:rPr>
        <w:t>&lt;</w:t>
      </w:r>
      <w:hyperlink r:id="rId169" w:history="1">
        <w:r w:rsidRPr="008B61B4">
          <w:rPr>
            <w:rStyle w:val="Hyperlink"/>
            <w:lang w:eastAsia="en-AU"/>
          </w:rPr>
          <w:t>https://www.parliament.vic.gov.au/images/Attachment_to_Submission_no._75_-_Literature_Review_of_Effective_Components_of_Graduated_Licensing_Schemes.pdf</w:t>
        </w:r>
      </w:hyperlink>
      <w:r>
        <w:rPr>
          <w:lang w:eastAsia="en-AU"/>
        </w:rPr>
        <w:t>&gt;</w:t>
      </w:r>
      <w:r>
        <w:t>.</w:t>
      </w:r>
    </w:p>
  </w:endnote>
  <w:endnote w:id="243">
    <w:p w14:paraId="729F0463" w14:textId="77777777" w:rsidR="003C7C88" w:rsidRDefault="003C7C88" w:rsidP="00F4115C">
      <w:pPr>
        <w:pStyle w:val="Footnote"/>
      </w:pPr>
      <w:r>
        <w:rPr>
          <w:rStyle w:val="EndnoteReference"/>
        </w:rPr>
        <w:endnoteRef/>
      </w:r>
      <w:r>
        <w:t xml:space="preserve">   </w:t>
      </w:r>
      <w:r w:rsidRPr="00F3180C">
        <w:t>In December 2018 VicRoads launched a smartphone app called myLearners that provides comprehensive functionality for log book recording and supervising driver approval of entries. The app is available for download from the App Store and Google Play.</w:t>
      </w:r>
    </w:p>
  </w:endnote>
  <w:endnote w:id="244">
    <w:p w14:paraId="59783496" w14:textId="77777777" w:rsidR="003C7C88" w:rsidRDefault="003C7C88" w:rsidP="000A4124">
      <w:pPr>
        <w:pStyle w:val="Footnote"/>
      </w:pPr>
      <w:r>
        <w:rPr>
          <w:rStyle w:val="EndnoteReference"/>
        </w:rPr>
        <w:endnoteRef/>
      </w:r>
      <w:r>
        <w:t xml:space="preserve">   Gregersen NP 1997, </w:t>
      </w:r>
      <w:r w:rsidRPr="008F4AE7">
        <w:rPr>
          <w:i/>
        </w:rPr>
        <w:t>Evaluation of 16-years age limit for driver training: First report</w:t>
      </w:r>
      <w:r>
        <w:rPr>
          <w:i/>
        </w:rPr>
        <w:t>,</w:t>
      </w:r>
      <w:r>
        <w:t xml:space="preserve"> VTI Report 418A,</w:t>
      </w:r>
      <w:r w:rsidRPr="00A60653">
        <w:t xml:space="preserve"> </w:t>
      </w:r>
      <w:r>
        <w:t>Swedish National Road and Transport Research Institute, Link</w:t>
      </w:r>
      <w:r>
        <w:rPr>
          <w:rFonts w:cs="Segoe UI"/>
        </w:rPr>
        <w:t>ö</w:t>
      </w:r>
      <w:r>
        <w:t>ping, Sweden, &lt;</w:t>
      </w:r>
      <w:hyperlink r:id="rId170" w:history="1">
        <w:r w:rsidRPr="009A1E00">
          <w:rPr>
            <w:rStyle w:val="Hyperlink"/>
          </w:rPr>
          <w:t>https://trid.trb.org/view/635267</w:t>
        </w:r>
      </w:hyperlink>
      <w:r>
        <w:t>&gt;.</w:t>
      </w:r>
    </w:p>
  </w:endnote>
  <w:endnote w:id="245">
    <w:p w14:paraId="73864A9C" w14:textId="77777777" w:rsidR="003C7C88" w:rsidRDefault="003C7C88" w:rsidP="00096B9B">
      <w:pPr>
        <w:pStyle w:val="Footnote"/>
      </w:pPr>
      <w:r>
        <w:rPr>
          <w:rStyle w:val="EndnoteReference"/>
        </w:rPr>
        <w:endnoteRef/>
      </w:r>
      <w:r>
        <w:t xml:space="preserve">   Willmes-Lenz, G, Prucher F &amp; Grosmann H, 2010, Evaluation of the novice driver training models ‘Accompanied driving from 17’ and ‘Voluntary further training seminars for holders of probationary driving licences’, Results up to November 2009, Bergisch Gladbach, German Federal Highway Research Institute, Section U4 “Driver Training, Driver Improvement”; ‘Potential of an extended learning period and increased driving experience to reduce the crash of novice drivers. Experiences in Norway; in: BASt (ed.), Zweite internationale Konferenz “Junge Fahrer und Fahrerinnen”, Berichte der Bundesanstalt für Straßenwesen, </w:t>
      </w:r>
      <w:r w:rsidRPr="00766B00">
        <w:rPr>
          <w:i/>
        </w:rPr>
        <w:t>Mensch und Sicherheit</w:t>
      </w:r>
      <w:r>
        <w:t xml:space="preserve">, Heft M 143, Wirtschaftsverlag, Bremerhaven; Sagberg F 2002, </w:t>
      </w:r>
      <w:r w:rsidRPr="00766B00">
        <w:rPr>
          <w:i/>
        </w:rPr>
        <w:t>Summary: Driver training, driving experience, and crash risk</w:t>
      </w:r>
      <w:r>
        <w:t xml:space="preserve"> (English summary of report in Norwegian), Oslo: Institute for Transport Economics.</w:t>
      </w:r>
    </w:p>
  </w:endnote>
  <w:endnote w:id="246">
    <w:p w14:paraId="01E94700" w14:textId="77777777" w:rsidR="003C7C88" w:rsidRDefault="003C7C88" w:rsidP="00096B9B">
      <w:pPr>
        <w:pStyle w:val="Footnote"/>
      </w:pPr>
      <w:r>
        <w:rPr>
          <w:rStyle w:val="EndnoteReference"/>
        </w:rPr>
        <w:endnoteRef/>
      </w:r>
      <w:r>
        <w:t xml:space="preserve">   Durbin DR, Mirman JH, Curry AE, Wenli W, Fisher Thiel MC, Shultheis M &amp; Winston FK, 2014, ‘Driving errors of learner teens: Frequency, nature and their association with practice’, </w:t>
      </w:r>
      <w:r w:rsidRPr="00766B00">
        <w:rPr>
          <w:i/>
        </w:rPr>
        <w:t>Accident Analysis and Prevention</w:t>
      </w:r>
      <w:r>
        <w:t>, 72, 433-439,  &lt;</w:t>
      </w:r>
      <w:hyperlink r:id="rId171" w:history="1">
        <w:r w:rsidRPr="009A1E00">
          <w:rPr>
            <w:rStyle w:val="Hyperlink"/>
          </w:rPr>
          <w:t>https://www.sciencedirect.com/journal/accident-analysis-and-prevention/vol/72</w:t>
        </w:r>
      </w:hyperlink>
      <w:r>
        <w:t xml:space="preserve">&gt; </w:t>
      </w:r>
    </w:p>
  </w:endnote>
  <w:endnote w:id="247">
    <w:p w14:paraId="6D557615" w14:textId="77777777" w:rsidR="003C7C88" w:rsidRDefault="003C7C88" w:rsidP="00096B9B">
      <w:pPr>
        <w:pStyle w:val="Footnote"/>
      </w:pPr>
      <w:r>
        <w:rPr>
          <w:rStyle w:val="EndnoteReference"/>
        </w:rPr>
        <w:endnoteRef/>
      </w:r>
      <w:r>
        <w:t xml:space="preserve">   </w:t>
      </w:r>
      <w:r w:rsidRPr="00691BB7">
        <w:rPr>
          <w:lang w:eastAsia="en-AU"/>
        </w:rPr>
        <w:t>Senserrick</w:t>
      </w:r>
      <w:r>
        <w:rPr>
          <w:lang w:eastAsia="en-AU"/>
        </w:rPr>
        <w:t xml:space="preserve"> T</w:t>
      </w:r>
      <w:r w:rsidRPr="00691BB7">
        <w:rPr>
          <w:lang w:eastAsia="en-AU"/>
        </w:rPr>
        <w:t xml:space="preserve"> </w:t>
      </w:r>
      <w:r>
        <w:rPr>
          <w:lang w:eastAsia="en-AU"/>
        </w:rPr>
        <w:t>&amp;</w:t>
      </w:r>
      <w:r w:rsidRPr="00691BB7">
        <w:rPr>
          <w:lang w:eastAsia="en-AU"/>
        </w:rPr>
        <w:t xml:space="preserve"> Williams</w:t>
      </w:r>
      <w:r>
        <w:rPr>
          <w:lang w:eastAsia="en-AU"/>
        </w:rPr>
        <w:t xml:space="preserve"> A, 2015</w:t>
      </w:r>
      <w:r w:rsidRPr="00691BB7">
        <w:rPr>
          <w:lang w:eastAsia="en-AU"/>
        </w:rPr>
        <w:t xml:space="preserve">, </w:t>
      </w:r>
      <w:r w:rsidRPr="00A85DE8">
        <w:rPr>
          <w:i/>
          <w:lang w:eastAsia="en-AU"/>
        </w:rPr>
        <w:t>Summary of Literature of the Effective Components of Graduated Licensing Schemes for Car Drivers</w:t>
      </w:r>
      <w:r w:rsidRPr="009033E4">
        <w:rPr>
          <w:lang w:eastAsia="en-AU"/>
        </w:rPr>
        <w:t>, Austroads Project SS1707</w:t>
      </w:r>
      <w:r>
        <w:rPr>
          <w:lang w:eastAsia="en-AU"/>
        </w:rPr>
        <w:t xml:space="preserve">, February </w:t>
      </w:r>
      <w:r w:rsidRPr="00691BB7">
        <w:rPr>
          <w:lang w:eastAsia="en-AU"/>
        </w:rPr>
        <w:t>201</w:t>
      </w:r>
      <w:r>
        <w:rPr>
          <w:lang w:eastAsia="en-AU"/>
        </w:rPr>
        <w:t>5, &lt;</w:t>
      </w:r>
      <w:hyperlink r:id="rId172" w:history="1">
        <w:r w:rsidRPr="008B61B4">
          <w:rPr>
            <w:rStyle w:val="Hyperlink"/>
            <w:lang w:eastAsia="en-AU"/>
          </w:rPr>
          <w:t>https://www.parliament.vic.gov.au/images/Attachment_to_Submission_no._75_-_Literature_Review_of_Effective_Components_of_Graduated_Licensing_Schemes.pdf</w:t>
        </w:r>
      </w:hyperlink>
      <w:r>
        <w:rPr>
          <w:lang w:eastAsia="en-AU"/>
        </w:rPr>
        <w:t>&gt;.</w:t>
      </w:r>
    </w:p>
  </w:endnote>
  <w:endnote w:id="248">
    <w:p w14:paraId="029FEE7C" w14:textId="77777777" w:rsidR="003C7C88" w:rsidRDefault="003C7C88" w:rsidP="00096B9B">
      <w:pPr>
        <w:pStyle w:val="Footnote"/>
      </w:pPr>
      <w:r>
        <w:rPr>
          <w:rStyle w:val="EndnoteReference"/>
        </w:rPr>
        <w:endnoteRef/>
      </w:r>
      <w:r>
        <w:t xml:space="preserve">   Walker E, Howard E, Harris A, Barnes B, Parnell H &amp; Hinchcliff R, 2015, ‘</w:t>
      </w:r>
      <w:r w:rsidRPr="009033E4">
        <w:t>Development of the Australian Graduated Licensing Scheme Policy Framework: a demonstration of jurisdictions taking action together to reduce road trauma</w:t>
      </w:r>
      <w:r>
        <w:t>’,</w:t>
      </w:r>
      <w:r w:rsidRPr="009033E4">
        <w:t xml:space="preserve"> </w:t>
      </w:r>
      <w:r w:rsidRPr="00B66809">
        <w:rPr>
          <w:i/>
        </w:rPr>
        <w:t>Proceedings of the 2015 Australasian Road Safety Conference,</w:t>
      </w:r>
      <w:r>
        <w:t xml:space="preserve"> October 2015, Gold Coast, Australia.</w:t>
      </w:r>
    </w:p>
  </w:endnote>
  <w:endnote w:id="249">
    <w:p w14:paraId="4C8CAFFC" w14:textId="77777777" w:rsidR="003C7C88" w:rsidRDefault="003C7C88" w:rsidP="00096B9B">
      <w:pPr>
        <w:pStyle w:val="Footnote"/>
      </w:pPr>
      <w:r>
        <w:rPr>
          <w:rStyle w:val="EndnoteReference"/>
        </w:rPr>
        <w:endnoteRef/>
      </w:r>
      <w:r>
        <w:t xml:space="preserve">   Cooper PJ, Pilini M &amp; Chen W, 1995, ‘An examination of the crash involvement rates of novice drivers aged 16-55’, </w:t>
      </w:r>
      <w:r w:rsidRPr="00D57331">
        <w:rPr>
          <w:i/>
        </w:rPr>
        <w:t>Accident Analysis and Prevention</w:t>
      </w:r>
      <w:r>
        <w:t>,</w:t>
      </w:r>
      <w:r w:rsidRPr="00D57331">
        <w:t xml:space="preserve"> </w:t>
      </w:r>
      <w:r>
        <w:t>(1995), 27:89-104.</w:t>
      </w:r>
    </w:p>
  </w:endnote>
  <w:endnote w:id="250">
    <w:p w14:paraId="4C484571" w14:textId="77777777" w:rsidR="003C7C88" w:rsidRDefault="003C7C88" w:rsidP="00096B9B">
      <w:pPr>
        <w:pStyle w:val="Footnote"/>
      </w:pPr>
      <w:r>
        <w:rPr>
          <w:rStyle w:val="EndnoteReference"/>
        </w:rPr>
        <w:endnoteRef/>
      </w:r>
      <w:r>
        <w:t xml:space="preserve">  T</w:t>
      </w:r>
      <w:r w:rsidRPr="008C3403">
        <w:t xml:space="preserve">he brain </w:t>
      </w:r>
      <w:r>
        <w:t xml:space="preserve">is considered to reach </w:t>
      </w:r>
      <w:r w:rsidRPr="00595FC9">
        <w:t>maturity in the early to mid-20s</w:t>
      </w:r>
      <w:r>
        <w:t xml:space="preserve">: Johnson, SB, Jones, VC, ‘Adolescent development and risk of injury: using developmental science to improve interventions’, 2011, </w:t>
      </w:r>
      <w:r w:rsidRPr="008A7F46">
        <w:rPr>
          <w:i/>
        </w:rPr>
        <w:t>Injury Prevention</w:t>
      </w:r>
      <w:r>
        <w:t>, 17: 50-54.</w:t>
      </w:r>
    </w:p>
  </w:endnote>
  <w:endnote w:id="251">
    <w:p w14:paraId="0B9CEA4D" w14:textId="77777777" w:rsidR="003C7C88" w:rsidRDefault="003C7C88" w:rsidP="00096B9B">
      <w:pPr>
        <w:pStyle w:val="Footnote"/>
      </w:pPr>
      <w:r>
        <w:rPr>
          <w:rStyle w:val="EndnoteReference"/>
        </w:rPr>
        <w:endnoteRef/>
      </w:r>
      <w:r>
        <w:t xml:space="preserve">  </w:t>
      </w:r>
      <w:r w:rsidRPr="004F455F">
        <w:t>VicRoads</w:t>
      </w:r>
      <w:r>
        <w:t xml:space="preserve"> 2017</w:t>
      </w:r>
      <w:r w:rsidRPr="004F455F">
        <w:t xml:space="preserve">, </w:t>
      </w:r>
      <w:r w:rsidRPr="00DD347D">
        <w:rPr>
          <w:i/>
        </w:rPr>
        <w:t>Examination of the Impact of the Graduated Licensing System on Young Novice Driver Safety, Summary Report</w:t>
      </w:r>
      <w:r w:rsidRPr="004F455F">
        <w:t>, October 2017</w:t>
      </w:r>
      <w:r>
        <w:t>, pp30-31, &lt;</w:t>
      </w:r>
      <w:hyperlink r:id="rId173" w:history="1">
        <w:r w:rsidRPr="009A1E00">
          <w:rPr>
            <w:rStyle w:val="Hyperlink"/>
          </w:rPr>
          <w:t>https://www.vicroads.vic.gov.au/~/media/files/documents/safety-and-road-rules/examination-of-the-impact-of-the-gls-on-young-drivers-oct-2017.pdf?la=en</w:t>
        </w:r>
      </w:hyperlink>
      <w:r>
        <w:t>&gt;.</w:t>
      </w:r>
    </w:p>
  </w:endnote>
  <w:endnote w:id="252">
    <w:p w14:paraId="1DD5552E" w14:textId="77777777" w:rsidR="003C7C88" w:rsidRDefault="003C7C88" w:rsidP="00096B9B">
      <w:pPr>
        <w:pStyle w:val="Footnote"/>
      </w:pPr>
      <w:r>
        <w:rPr>
          <w:rStyle w:val="EndnoteReference"/>
        </w:rPr>
        <w:endnoteRef/>
      </w:r>
      <w:r>
        <w:t xml:space="preserve">  Sagberg F 2002, </w:t>
      </w:r>
      <w:r w:rsidRPr="00057C70">
        <w:rPr>
          <w:i/>
        </w:rPr>
        <w:t>Driver training, driver experience and crash risk</w:t>
      </w:r>
      <w:r>
        <w:t>, TOI report 566/2002, Nordic Public Roads Administration, Nordic Road and Transport Branch: Norway (English summary). The study reported on statistical projections based on self-reported data of about 30,000 drivers linked to police records of crashes. The modelling sought to calculate the optimal range of supervision that would balance out the risk of increased crash during supervised driving (due to increased exposure) against the decreased risk of crash during the first year of independent driving. The author concluded that the optimal range of supervised experience was between 5,000 and 7,000 km.</w:t>
      </w:r>
    </w:p>
  </w:endnote>
  <w:endnote w:id="253">
    <w:p w14:paraId="1C318AF2" w14:textId="77777777" w:rsidR="003C7C88" w:rsidRDefault="003C7C88" w:rsidP="00096B9B">
      <w:pPr>
        <w:pStyle w:val="Footnote"/>
      </w:pPr>
      <w:r>
        <w:rPr>
          <w:rStyle w:val="EndnoteReference"/>
        </w:rPr>
        <w:endnoteRef/>
      </w:r>
      <w:r>
        <w:t xml:space="preserve">  Senserrick T &amp; Williams AF 2015, </w:t>
      </w:r>
      <w:r w:rsidRPr="00CD124D">
        <w:rPr>
          <w:i/>
        </w:rPr>
        <w:t>Summary of Literature of the Effective Components of Graduated Driver Licensing Systems</w:t>
      </w:r>
      <w:r>
        <w:t>, Austroads</w:t>
      </w:r>
      <w:r w:rsidRPr="00CD124D">
        <w:rPr>
          <w:lang w:eastAsia="en-AU"/>
        </w:rPr>
        <w:t xml:space="preserve"> </w:t>
      </w:r>
      <w:r w:rsidRPr="009033E4">
        <w:rPr>
          <w:lang w:eastAsia="en-AU"/>
        </w:rPr>
        <w:t>Project SS1707</w:t>
      </w:r>
      <w:r>
        <w:rPr>
          <w:lang w:eastAsia="en-AU"/>
        </w:rPr>
        <w:t>,</w:t>
      </w:r>
      <w:r w:rsidRPr="0089229A">
        <w:rPr>
          <w:lang w:eastAsia="en-AU"/>
        </w:rPr>
        <w:t xml:space="preserve"> </w:t>
      </w:r>
      <w:r>
        <w:rPr>
          <w:lang w:eastAsia="en-AU"/>
        </w:rPr>
        <w:t xml:space="preserve">February </w:t>
      </w:r>
      <w:r w:rsidRPr="00691BB7">
        <w:rPr>
          <w:lang w:eastAsia="en-AU"/>
        </w:rPr>
        <w:t>201</w:t>
      </w:r>
      <w:r>
        <w:rPr>
          <w:lang w:eastAsia="en-AU"/>
        </w:rPr>
        <w:t>5,</w:t>
      </w:r>
      <w:r>
        <w:t xml:space="preserve">, p22, </w:t>
      </w:r>
      <w:r>
        <w:rPr>
          <w:lang w:eastAsia="en-AU"/>
        </w:rPr>
        <w:t>&lt;</w:t>
      </w:r>
      <w:hyperlink r:id="rId174" w:history="1">
        <w:r>
          <w:rPr>
            <w:rStyle w:val="Hyperlink"/>
            <w:lang w:eastAsia="en-AU"/>
          </w:rPr>
          <w:t>https://www.parliament.vic.gov.au/images/Attach-ment_to_Submission_no._75_-_Literature_Review_of_Effective_Components_of_Graduated_Licensing_Schemes.pdf</w:t>
        </w:r>
      </w:hyperlink>
      <w:r>
        <w:rPr>
          <w:lang w:eastAsia="en-AU"/>
        </w:rPr>
        <w:t>&gt;.</w:t>
      </w:r>
    </w:p>
  </w:endnote>
  <w:endnote w:id="254">
    <w:p w14:paraId="33AC3976" w14:textId="77777777" w:rsidR="003C7C88" w:rsidRDefault="003C7C88" w:rsidP="00096B9B">
      <w:pPr>
        <w:pStyle w:val="Footnote"/>
      </w:pPr>
      <w:r>
        <w:rPr>
          <w:rStyle w:val="EndnoteReference"/>
        </w:rPr>
        <w:endnoteRef/>
      </w:r>
      <w:r>
        <w:t xml:space="preserve">  ibid., p23.</w:t>
      </w:r>
    </w:p>
  </w:endnote>
  <w:endnote w:id="255">
    <w:p w14:paraId="71252BA5" w14:textId="77777777" w:rsidR="003C7C88" w:rsidRDefault="003C7C88" w:rsidP="000A4124">
      <w:pPr>
        <w:pStyle w:val="Footnote"/>
      </w:pPr>
      <w:r>
        <w:rPr>
          <w:rStyle w:val="EndnoteReference"/>
        </w:rPr>
        <w:endnoteRef/>
      </w:r>
      <w:r>
        <w:t xml:space="preserve">  </w:t>
      </w:r>
      <w:r w:rsidRPr="004F455F">
        <w:t>VicRoads</w:t>
      </w:r>
      <w:r>
        <w:t xml:space="preserve"> 2017</w:t>
      </w:r>
      <w:r w:rsidRPr="004F455F">
        <w:t xml:space="preserve">, </w:t>
      </w:r>
      <w:r w:rsidRPr="000A4124">
        <w:rPr>
          <w:i/>
        </w:rPr>
        <w:t>Examination of the Impact of the Graduated Licensing System on Young Novice Driver Safety</w:t>
      </w:r>
      <w:r w:rsidRPr="00DD347D">
        <w:t>, Summary Report</w:t>
      </w:r>
      <w:r w:rsidRPr="004F455F">
        <w:t>, October 2017</w:t>
      </w:r>
      <w:r>
        <w:t>, p17</w:t>
      </w:r>
    </w:p>
  </w:endnote>
  <w:endnote w:id="256">
    <w:p w14:paraId="3A085998" w14:textId="77777777" w:rsidR="003C7C88" w:rsidRDefault="003C7C88" w:rsidP="000A4124">
      <w:pPr>
        <w:pStyle w:val="Footnote"/>
      </w:pPr>
      <w:r>
        <w:rPr>
          <w:rStyle w:val="EndnoteReference"/>
        </w:rPr>
        <w:endnoteRef/>
      </w:r>
      <w:r>
        <w:t xml:space="preserve">  ibid., p17</w:t>
      </w:r>
    </w:p>
  </w:endnote>
  <w:endnote w:id="257">
    <w:p w14:paraId="6D61F169" w14:textId="77777777" w:rsidR="003C7C88" w:rsidRPr="0071677F" w:rsidRDefault="003C7C88" w:rsidP="008131F9">
      <w:pPr>
        <w:pStyle w:val="Footnote"/>
        <w:rPr>
          <w:rStyle w:val="FootnoteChar"/>
          <w:rFonts w:cs="Segoe UI"/>
          <w:szCs w:val="16"/>
        </w:rPr>
      </w:pPr>
      <w:r>
        <w:rPr>
          <w:rStyle w:val="EndnoteReference"/>
        </w:rPr>
        <w:endnoteRef/>
      </w:r>
      <w:r>
        <w:t xml:space="preserve">  </w:t>
      </w:r>
      <w:r w:rsidRPr="0071677F">
        <w:rPr>
          <w:rStyle w:val="FootnoteChar"/>
          <w:rFonts w:cs="Segoe UI"/>
          <w:szCs w:val="16"/>
        </w:rPr>
        <w:t>Catchpole</w:t>
      </w:r>
      <w:r>
        <w:rPr>
          <w:rStyle w:val="FootnoteChar"/>
          <w:rFonts w:cs="Segoe UI"/>
          <w:szCs w:val="16"/>
        </w:rPr>
        <w:t xml:space="preserve"> J &amp;</w:t>
      </w:r>
      <w:r w:rsidRPr="0071677F">
        <w:rPr>
          <w:rStyle w:val="FootnoteChar"/>
          <w:rFonts w:cs="Segoe UI"/>
          <w:szCs w:val="16"/>
        </w:rPr>
        <w:t xml:space="preserve"> Pyta V</w:t>
      </w:r>
      <w:r>
        <w:rPr>
          <w:rStyle w:val="FootnoteChar"/>
          <w:rFonts w:cs="Segoe UI"/>
          <w:szCs w:val="16"/>
        </w:rPr>
        <w:t xml:space="preserve">, </w:t>
      </w:r>
      <w:r w:rsidRPr="0071677F">
        <w:rPr>
          <w:rStyle w:val="FootnoteChar"/>
          <w:rFonts w:cs="Segoe UI"/>
          <w:szCs w:val="16"/>
        </w:rPr>
        <w:t>2005</w:t>
      </w:r>
      <w:r>
        <w:rPr>
          <w:rStyle w:val="FootnoteChar"/>
          <w:rFonts w:cs="Segoe UI"/>
          <w:szCs w:val="16"/>
        </w:rPr>
        <w:t>,</w:t>
      </w:r>
      <w:r w:rsidRPr="0071677F">
        <w:rPr>
          <w:rStyle w:val="FootnoteChar"/>
          <w:rFonts w:cs="Segoe UI"/>
          <w:szCs w:val="16"/>
        </w:rPr>
        <w:t xml:space="preserve"> </w:t>
      </w:r>
      <w:r w:rsidRPr="0071677F">
        <w:rPr>
          <w:rStyle w:val="FootnoteChar"/>
          <w:rFonts w:cs="Segoe UI"/>
          <w:i/>
          <w:szCs w:val="16"/>
        </w:rPr>
        <w:t>Learner Driver Experience Monitoring 2004</w:t>
      </w:r>
      <w:r w:rsidRPr="0071677F">
        <w:rPr>
          <w:rStyle w:val="FootnoteChar"/>
          <w:rFonts w:cs="Segoe UI"/>
          <w:szCs w:val="16"/>
        </w:rPr>
        <w:t>, Research Report ARR 365</w:t>
      </w:r>
      <w:r>
        <w:rPr>
          <w:rStyle w:val="FootnoteChar"/>
          <w:rFonts w:cs="Segoe UI"/>
          <w:szCs w:val="16"/>
        </w:rPr>
        <w:t>,</w:t>
      </w:r>
      <w:r w:rsidRPr="0071677F">
        <w:rPr>
          <w:rStyle w:val="FootnoteChar"/>
          <w:rFonts w:cs="Segoe UI"/>
          <w:szCs w:val="16"/>
        </w:rPr>
        <w:t xml:space="preserve"> ARRB Group Ltd, Vermont South</w:t>
      </w:r>
      <w:r>
        <w:rPr>
          <w:rStyle w:val="FootnoteChar"/>
          <w:rFonts w:cs="Segoe UI"/>
          <w:szCs w:val="16"/>
        </w:rPr>
        <w:t>,</w:t>
      </w:r>
      <w:r w:rsidRPr="0071677F">
        <w:rPr>
          <w:rStyle w:val="FootnoteChar"/>
          <w:rFonts w:cs="Segoe UI"/>
          <w:szCs w:val="16"/>
        </w:rPr>
        <w:t xml:space="preserve"> Victoria</w:t>
      </w:r>
      <w:r>
        <w:rPr>
          <w:rStyle w:val="FootnoteChar"/>
          <w:rFonts w:cs="Segoe UI"/>
          <w:szCs w:val="16"/>
        </w:rPr>
        <w:t>.</w:t>
      </w:r>
    </w:p>
  </w:endnote>
  <w:endnote w:id="258">
    <w:p w14:paraId="61773723" w14:textId="77777777" w:rsidR="003C7C88" w:rsidRDefault="003C7C88" w:rsidP="000A4124">
      <w:pPr>
        <w:pStyle w:val="Footnote"/>
      </w:pPr>
      <w:r>
        <w:rPr>
          <w:rStyle w:val="EndnoteReference"/>
        </w:rPr>
        <w:endnoteRef/>
      </w:r>
      <w:r>
        <w:t xml:space="preserve">  RACV Drive School rate for a 1-hour lesson, &lt;</w:t>
      </w:r>
      <w:hyperlink r:id="rId175" w:history="1">
        <w:r w:rsidRPr="008132CD">
          <w:rPr>
            <w:rStyle w:val="Hyperlink"/>
          </w:rPr>
          <w:t>https://www.racv.com.au/on-the-road/driving-maintenance/drive-school.html</w:t>
        </w:r>
      </w:hyperlink>
      <w:r>
        <w:t xml:space="preserve">&gt;. </w:t>
      </w:r>
    </w:p>
  </w:endnote>
  <w:endnote w:id="259">
    <w:p w14:paraId="358B2C6E" w14:textId="77777777" w:rsidR="003C7C88" w:rsidRPr="002C40EE" w:rsidRDefault="003C7C88" w:rsidP="000A4124">
      <w:pPr>
        <w:pStyle w:val="Footnote"/>
        <w:rPr>
          <w:rStyle w:val="FootnoteChar"/>
          <w:rFonts w:cs="Segoe UI"/>
          <w:szCs w:val="16"/>
        </w:rPr>
      </w:pPr>
      <w:r>
        <w:rPr>
          <w:rStyle w:val="EndnoteReference"/>
        </w:rPr>
        <w:endnoteRef/>
      </w:r>
      <w:r>
        <w:t xml:space="preserve">  </w:t>
      </w:r>
      <w:r w:rsidRPr="002C40EE">
        <w:rPr>
          <w:rStyle w:val="FootnoteChar"/>
          <w:rFonts w:cs="Segoe UI"/>
          <w:szCs w:val="16"/>
        </w:rPr>
        <w:t xml:space="preserve">$10.74 per hour in 2005 adjusted for CPI to </w:t>
      </w:r>
      <w:r>
        <w:rPr>
          <w:rStyle w:val="FootnoteChar"/>
          <w:rFonts w:cs="Segoe UI"/>
          <w:szCs w:val="16"/>
        </w:rPr>
        <w:t>(Sep)</w:t>
      </w:r>
      <w:r w:rsidRPr="002C40EE">
        <w:rPr>
          <w:rStyle w:val="FootnoteChar"/>
          <w:rFonts w:cs="Segoe UI"/>
          <w:szCs w:val="16"/>
        </w:rPr>
        <w:t xml:space="preserve"> 20</w:t>
      </w:r>
      <w:r>
        <w:rPr>
          <w:rStyle w:val="FootnoteChar"/>
          <w:rFonts w:cs="Segoe UI"/>
          <w:szCs w:val="16"/>
        </w:rPr>
        <w:t>18</w:t>
      </w:r>
      <w:r w:rsidRPr="002C40EE">
        <w:rPr>
          <w:rStyle w:val="FootnoteChar"/>
          <w:rFonts w:cs="Segoe UI"/>
          <w:szCs w:val="16"/>
        </w:rPr>
        <w:t xml:space="preserve"> to $1</w:t>
      </w:r>
      <w:r>
        <w:rPr>
          <w:rStyle w:val="FootnoteChar"/>
          <w:rFonts w:cs="Segoe UI"/>
          <w:szCs w:val="16"/>
        </w:rPr>
        <w:t>4.85.</w:t>
      </w:r>
    </w:p>
  </w:endnote>
  <w:endnote w:id="260">
    <w:p w14:paraId="37345553" w14:textId="77777777" w:rsidR="003C7C88" w:rsidRPr="008250A9" w:rsidRDefault="003C7C88" w:rsidP="000A4124">
      <w:pPr>
        <w:pStyle w:val="Footnote"/>
        <w:rPr>
          <w:rStyle w:val="FootnoteChar"/>
          <w:rFonts w:cs="Segoe UI"/>
          <w:szCs w:val="16"/>
        </w:rPr>
      </w:pPr>
      <w:r>
        <w:rPr>
          <w:rStyle w:val="EndnoteReference"/>
        </w:rPr>
        <w:endnoteRef/>
      </w:r>
      <w:r>
        <w:t xml:space="preserve">   </w:t>
      </w:r>
      <w:r w:rsidRPr="008250A9">
        <w:rPr>
          <w:rStyle w:val="FootnoteChar"/>
          <w:rFonts w:cs="Segoe UI"/>
          <w:szCs w:val="16"/>
        </w:rPr>
        <w:t xml:space="preserve">Austroads Technical Report (2004) </w:t>
      </w:r>
      <w:r w:rsidRPr="008250A9">
        <w:rPr>
          <w:rStyle w:val="FootnoteChar"/>
          <w:rFonts w:cs="Segoe UI"/>
          <w:i/>
          <w:szCs w:val="16"/>
        </w:rPr>
        <w:t>Update of Road User Cost Unit Values for June 2005</w:t>
      </w:r>
      <w:r w:rsidRPr="008250A9">
        <w:rPr>
          <w:rStyle w:val="FootnoteChar"/>
          <w:rFonts w:cs="Segoe UI"/>
          <w:szCs w:val="16"/>
        </w:rPr>
        <w:t>, AP-T70/06, Austroads, Sydney</w:t>
      </w:r>
      <w:r>
        <w:rPr>
          <w:rStyle w:val="FootnoteChar"/>
          <w:rFonts w:cs="Segoe UI"/>
          <w:szCs w:val="16"/>
        </w:rPr>
        <w:t xml:space="preserve"> &lt;</w:t>
      </w:r>
      <w:hyperlink r:id="rId176" w:history="1">
        <w:r w:rsidRPr="00C04528">
          <w:rPr>
            <w:rStyle w:val="Hyperlink"/>
            <w:rFonts w:cs="Segoe UI"/>
            <w:szCs w:val="16"/>
          </w:rPr>
          <w:t>https://www.onlinepublications.austroads.com.au/items/AP-T70-06</w:t>
        </w:r>
      </w:hyperlink>
      <w:r>
        <w:rPr>
          <w:rStyle w:val="FootnoteChar"/>
          <w:rFonts w:cs="Segoe UI"/>
          <w:szCs w:val="16"/>
        </w:rPr>
        <w:t>&gt;.</w:t>
      </w:r>
    </w:p>
  </w:endnote>
  <w:endnote w:id="261">
    <w:p w14:paraId="6DBA1110" w14:textId="77777777" w:rsidR="003C7C88" w:rsidRDefault="003C7C88" w:rsidP="000A4124">
      <w:pPr>
        <w:pStyle w:val="Footnote"/>
      </w:pPr>
      <w:r>
        <w:rPr>
          <w:rStyle w:val="EndnoteReference"/>
        </w:rPr>
        <w:endnoteRef/>
      </w:r>
      <w:r>
        <w:t xml:space="preserve">   VicRoads, </w:t>
      </w:r>
      <w:r w:rsidRPr="000A4124">
        <w:rPr>
          <w:i/>
        </w:rPr>
        <w:t>L2P learner driver mentor program</w:t>
      </w:r>
      <w:r>
        <w:t>, &lt;</w:t>
      </w:r>
      <w:hyperlink r:id="rId177" w:history="1">
        <w:r w:rsidRPr="00C04528">
          <w:rPr>
            <w:rStyle w:val="Hyperlink"/>
          </w:rPr>
          <w:t>https://www.vicroads.vic.gov.au/licences/your-ps/get-your-ps/preparing-for-your-licence-test/l2p-learner-driver-mentor-program</w:t>
        </w:r>
      </w:hyperlink>
      <w:r>
        <w:t xml:space="preserve"> </w:t>
      </w:r>
    </w:p>
  </w:endnote>
  <w:endnote w:id="262">
    <w:p w14:paraId="162D90B2" w14:textId="77777777" w:rsidR="003C7C88" w:rsidRDefault="003C7C88" w:rsidP="00572D47">
      <w:pPr>
        <w:pStyle w:val="Footnote"/>
      </w:pPr>
      <w:r>
        <w:rPr>
          <w:rStyle w:val="EndnoteReference"/>
        </w:rPr>
        <w:endnoteRef/>
      </w:r>
      <w:r>
        <w:t xml:space="preserve">   Forsyth E, Maycock G, &amp; Sexton B, 1995, </w:t>
      </w:r>
      <w:r w:rsidRPr="00627B83">
        <w:rPr>
          <w:i/>
        </w:rPr>
        <w:t>Cohort study of learner and novice drivers: Part 3, Accidents, offences and driving experience in the first three years of driving</w:t>
      </w:r>
      <w:r>
        <w:t>. Project Report 111. Transport Research Laboratory, Crowthorne, Great Britain, &lt;</w:t>
      </w:r>
      <w:hyperlink r:id="rId178" w:history="1">
        <w:r w:rsidRPr="008336F7">
          <w:rPr>
            <w:rStyle w:val="Hyperlink"/>
          </w:rPr>
          <w:t>https://trid.trb.org/view/425133</w:t>
        </w:r>
      </w:hyperlink>
      <w:r>
        <w:t>&gt;.</w:t>
      </w:r>
    </w:p>
  </w:endnote>
  <w:endnote w:id="263">
    <w:p w14:paraId="6D14B622" w14:textId="77777777" w:rsidR="003C7C88" w:rsidRDefault="003C7C88" w:rsidP="007F7850">
      <w:pPr>
        <w:pStyle w:val="Footnote"/>
      </w:pPr>
      <w:r>
        <w:rPr>
          <w:rStyle w:val="EndnoteReference"/>
        </w:rPr>
        <w:endnoteRef/>
      </w:r>
      <w:r>
        <w:t xml:space="preserve">   VicRoads, 2016, </w:t>
      </w:r>
      <w:r w:rsidRPr="00F4115C">
        <w:rPr>
          <w:i/>
        </w:rPr>
        <w:t>Submission to the Law Reform, Road and Community Safety Parliamentary Committee</w:t>
      </w:r>
      <w:r>
        <w:t>, Inquiry into lowering the probationary driving licence to 17 years and tackling transport and other barriers to youth employment and study, p16.</w:t>
      </w:r>
    </w:p>
  </w:endnote>
  <w:endnote w:id="264">
    <w:p w14:paraId="4E9C1C67" w14:textId="77777777" w:rsidR="003C7C88" w:rsidRDefault="003C7C88" w:rsidP="00822B74">
      <w:pPr>
        <w:pStyle w:val="Footnote"/>
      </w:pPr>
      <w:r>
        <w:rPr>
          <w:rStyle w:val="EndnoteReference"/>
        </w:rPr>
        <w:endnoteRef/>
      </w:r>
      <w:r>
        <w:t xml:space="preserve">   Forsyth E, Maycock G, &amp; Sexton B, 1995, </w:t>
      </w:r>
      <w:r w:rsidRPr="00627B83">
        <w:rPr>
          <w:i/>
        </w:rPr>
        <w:t>Cohort study of learner and novice drivers: Part 3, Accidents, offences and driving experience in the first three years of driving</w:t>
      </w:r>
      <w:r>
        <w:t>. Project Report 111. Transport Research Laboratory, Crowthorne, Great Britain, &lt;</w:t>
      </w:r>
      <w:hyperlink r:id="rId179" w:history="1">
        <w:r w:rsidRPr="008336F7">
          <w:rPr>
            <w:rStyle w:val="Hyperlink"/>
          </w:rPr>
          <w:t>https://trid.trb.org/view/425133</w:t>
        </w:r>
      </w:hyperlink>
      <w:r>
        <w:t>&gt;.</w:t>
      </w:r>
    </w:p>
  </w:endnote>
  <w:endnote w:id="265">
    <w:p w14:paraId="55FA848B" w14:textId="77777777" w:rsidR="003C7C88" w:rsidRDefault="003C7C88" w:rsidP="00822B74">
      <w:pPr>
        <w:pStyle w:val="Footnote"/>
      </w:pPr>
      <w:r>
        <w:rPr>
          <w:rStyle w:val="EndnoteReference"/>
        </w:rPr>
        <w:endnoteRef/>
      </w:r>
      <w:r>
        <w:t xml:space="preserve">  The costs of road trauma are calculated based on a Willingness to pay (WTP) method. The WTP method relies on an assessment of a person's willingness to pay to avoid a fatal crash or to avoid serious injury. This involves assessing an individual's willingness to pay to reduce the risk of such an event occurring to them by a certain amount and then factoring the resulting dollar amount to 100%. The WTP method is the approach recommended by Austroads for calculating crash costs based on the work undertaken by the Austroads Evaluation and Planning Group in 2009.</w:t>
      </w:r>
    </w:p>
  </w:endnote>
  <w:endnote w:id="266">
    <w:p w14:paraId="06BB9C45" w14:textId="77777777" w:rsidR="003C7C88" w:rsidRDefault="003C7C88" w:rsidP="00487E07">
      <w:pPr>
        <w:pStyle w:val="Footnote"/>
      </w:pPr>
      <w:r>
        <w:rPr>
          <w:rStyle w:val="EndnoteReference"/>
        </w:rPr>
        <w:endnoteRef/>
      </w:r>
      <w:r>
        <w:t xml:space="preserve">   Peck RC, Gebers MA, Voas RB, &amp; Romano E, 2008, ‘The relationship between blood alcohol concentration (BAC), age, and crash risk’, </w:t>
      </w:r>
      <w:r w:rsidRPr="00487E07">
        <w:rPr>
          <w:i/>
        </w:rPr>
        <w:t>Journal of Safety Research</w:t>
      </w:r>
      <w:r>
        <w:t>, 39: 311-9.</w:t>
      </w:r>
    </w:p>
  </w:endnote>
  <w:endnote w:id="267">
    <w:p w14:paraId="6666B963" w14:textId="77777777" w:rsidR="003C7C88" w:rsidRDefault="003C7C88" w:rsidP="00FF70DF">
      <w:pPr>
        <w:pStyle w:val="Footnote"/>
      </w:pPr>
      <w:r>
        <w:rPr>
          <w:rStyle w:val="EndnoteReference"/>
        </w:rPr>
        <w:endnoteRef/>
      </w:r>
      <w:r>
        <w:t xml:space="preserve">   Keall MD, Frith WJ, &amp; Patterson TL, 2004, ‘The influence of alcohol, age and number of passengers on the night-time risk of driver fatal injury in New Zealand’, </w:t>
      </w:r>
      <w:r w:rsidRPr="00FF70DF">
        <w:rPr>
          <w:i/>
        </w:rPr>
        <w:t>Accident Analysis and Prevention</w:t>
      </w:r>
      <w:r>
        <w:t>, 36: 49-61.</w:t>
      </w:r>
    </w:p>
  </w:endnote>
  <w:endnote w:id="268">
    <w:p w14:paraId="0DE2FF42" w14:textId="77777777" w:rsidR="003C7C88" w:rsidRDefault="003C7C88" w:rsidP="00F26E5C">
      <w:pPr>
        <w:pStyle w:val="Footnote"/>
      </w:pPr>
      <w:r>
        <w:rPr>
          <w:rStyle w:val="EndnoteReference"/>
        </w:rPr>
        <w:endnoteRef/>
      </w:r>
      <w:r>
        <w:t xml:space="preserve">   VicRoads 2005, </w:t>
      </w:r>
      <w:r w:rsidRPr="00734324">
        <w:rPr>
          <w:i/>
        </w:rPr>
        <w:t>Young Driver Safety and Graduate</w:t>
      </w:r>
      <w:r>
        <w:rPr>
          <w:i/>
        </w:rPr>
        <w:t>d</w:t>
      </w:r>
      <w:r w:rsidRPr="00734324">
        <w:rPr>
          <w:i/>
        </w:rPr>
        <w:t xml:space="preserve"> Licensing</w:t>
      </w:r>
      <w:r>
        <w:t>, Discussion Paper, August 2005,  &lt;</w:t>
      </w:r>
      <w:hyperlink r:id="rId180" w:history="1">
        <w:r w:rsidRPr="009A1E00">
          <w:rPr>
            <w:rStyle w:val="Hyperlink"/>
          </w:rPr>
          <w:t>http://apo.org.au/system/files/1893/apo-nid1893-149321.pdf</w:t>
        </w:r>
      </w:hyperlink>
      <w:r>
        <w:t>&gt;.</w:t>
      </w:r>
    </w:p>
  </w:endnote>
  <w:endnote w:id="269">
    <w:p w14:paraId="586736DB" w14:textId="77777777" w:rsidR="003C7C88" w:rsidRDefault="003C7C88" w:rsidP="005B31AB">
      <w:pPr>
        <w:pStyle w:val="Footnote"/>
      </w:pPr>
      <w:r>
        <w:rPr>
          <w:rStyle w:val="EndnoteReference"/>
        </w:rPr>
        <w:endnoteRef/>
      </w:r>
      <w:r>
        <w:t xml:space="preserve">   ibid.</w:t>
      </w:r>
    </w:p>
  </w:endnote>
  <w:endnote w:id="270">
    <w:p w14:paraId="0AB04C06" w14:textId="77777777" w:rsidR="003C7C88" w:rsidRDefault="003C7C88" w:rsidP="00F4115C">
      <w:pPr>
        <w:pStyle w:val="Footnote"/>
      </w:pPr>
      <w:r>
        <w:rPr>
          <w:rStyle w:val="EndnoteReference"/>
        </w:rPr>
        <w:endnoteRef/>
      </w:r>
      <w:r>
        <w:t xml:space="preserve">   </w:t>
      </w:r>
      <w:r w:rsidRPr="004F455F">
        <w:t>VicRoads</w:t>
      </w:r>
      <w:r>
        <w:t xml:space="preserve"> 2017</w:t>
      </w:r>
      <w:r w:rsidRPr="004F455F">
        <w:t xml:space="preserve">, </w:t>
      </w:r>
      <w:r w:rsidRPr="00DD347D">
        <w:rPr>
          <w:i/>
        </w:rPr>
        <w:t>Examination of the Impact of the Graduated Licensing System on Young Novice Driver Safety, Summary Report</w:t>
      </w:r>
      <w:r w:rsidRPr="004F455F">
        <w:t>, October 2017</w:t>
      </w:r>
      <w:r>
        <w:t>, &lt;</w:t>
      </w:r>
      <w:hyperlink r:id="rId181" w:history="1">
        <w:r w:rsidRPr="009A1E00">
          <w:rPr>
            <w:rStyle w:val="Hyperlink"/>
          </w:rPr>
          <w:t>https://www.vicroads.vic.gov.au/~/media/files/documents/safety-and-road-rules/examination-of-the-impact-of-the-gls-on-young-drivers-oct-2017.pdf?la=en</w:t>
        </w:r>
      </w:hyperlink>
      <w:r>
        <w:t>&gt;.</w:t>
      </w:r>
    </w:p>
  </w:endnote>
  <w:endnote w:id="271">
    <w:p w14:paraId="28613B34" w14:textId="77777777" w:rsidR="003C7C88" w:rsidRDefault="003C7C88" w:rsidP="0060659C">
      <w:pPr>
        <w:pStyle w:val="Footnote"/>
      </w:pPr>
      <w:r>
        <w:rPr>
          <w:rStyle w:val="EndnoteReference"/>
        </w:rPr>
        <w:endnoteRef/>
      </w:r>
      <w:r>
        <w:t xml:space="preserve">  The comparison group consisted of l</w:t>
      </w:r>
      <w:r w:rsidRPr="0060659C">
        <w:t>icensed drivers whose first car licence was issued at age 18 to 20 years, within 14 to 18 years after licence issue during the pre-GLS or post-GLS period</w:t>
      </w:r>
      <w:r>
        <w:t>.</w:t>
      </w:r>
    </w:p>
  </w:endnote>
  <w:endnote w:id="272">
    <w:p w14:paraId="3528F622" w14:textId="4532BF42" w:rsidR="003C7C88" w:rsidRDefault="003C7C88" w:rsidP="009B351E">
      <w:pPr>
        <w:pStyle w:val="Footnote"/>
      </w:pPr>
      <w:r>
        <w:rPr>
          <w:rStyle w:val="EndnoteReference"/>
        </w:rPr>
        <w:endnoteRef/>
      </w:r>
      <w:r>
        <w:t xml:space="preserve">  See definition of </w:t>
      </w:r>
      <w:r w:rsidRPr="00F4115C">
        <w:rPr>
          <w:i/>
        </w:rPr>
        <w:t>high alcohol hours</w:t>
      </w:r>
      <w:r>
        <w:t xml:space="preserve"> in Appendix </w:t>
      </w:r>
      <w:r>
        <w:fldChar w:fldCharType="begin"/>
      </w:r>
      <w:r>
        <w:instrText xml:space="preserve"> REF _Ref532910127 \r \h </w:instrText>
      </w:r>
      <w:r>
        <w:fldChar w:fldCharType="separate"/>
      </w:r>
      <w:r>
        <w:t>E</w:t>
      </w:r>
      <w:r>
        <w:fldChar w:fldCharType="end"/>
      </w:r>
      <w:r>
        <w:t>.</w:t>
      </w:r>
    </w:p>
  </w:endnote>
  <w:endnote w:id="273">
    <w:p w14:paraId="7F7751B0" w14:textId="77777777" w:rsidR="003C7C88" w:rsidRDefault="003C7C88" w:rsidP="00096B9B">
      <w:pPr>
        <w:pStyle w:val="Footnote"/>
      </w:pPr>
      <w:r>
        <w:rPr>
          <w:rStyle w:val="EndnoteReference"/>
        </w:rPr>
        <w:endnoteRef/>
      </w:r>
      <w:r>
        <w:t xml:space="preserve">  </w:t>
      </w:r>
      <w:r w:rsidRPr="006B2023">
        <w:t>Chen L-H</w:t>
      </w:r>
      <w:r>
        <w:t>,</w:t>
      </w:r>
      <w:r w:rsidRPr="006B2023">
        <w:t xml:space="preserve"> Baker SP</w:t>
      </w:r>
      <w:r>
        <w:t>,</w:t>
      </w:r>
      <w:r w:rsidRPr="006B2023">
        <w:t xml:space="preserve"> Braver ER</w:t>
      </w:r>
      <w:r>
        <w:t>,</w:t>
      </w:r>
      <w:r w:rsidRPr="006B2023">
        <w:t xml:space="preserve"> Li,</w:t>
      </w:r>
      <w:r>
        <w:t xml:space="preserve"> 2000, ‘Carrying passengers as a risk factor fatal to 16-and 17-year-old drivers’, </w:t>
      </w:r>
      <w:r w:rsidRPr="006E4CDA">
        <w:rPr>
          <w:i/>
        </w:rPr>
        <w:t>Journal of the American Medical Association</w:t>
      </w:r>
      <w:r>
        <w:t>, (2000) 283: 1578-1582, &lt;</w:t>
      </w:r>
      <w:hyperlink r:id="rId182" w:history="1">
        <w:r w:rsidRPr="009201A7">
          <w:rPr>
            <w:rStyle w:val="Hyperlink"/>
          </w:rPr>
          <w:t>https://jamanetwork.com/journals/jama/fullarticle/192524</w:t>
        </w:r>
      </w:hyperlink>
      <w:r>
        <w:t xml:space="preserve">&gt;; Ouimet, et al, ‘Using the U.S. National Household Travel Survey to estimate the impact of passenger characteristics on young drivers' relative risk of fatal crash involvement’, </w:t>
      </w:r>
      <w:r w:rsidRPr="006E4CDA">
        <w:rPr>
          <w:i/>
        </w:rPr>
        <w:t>Accident Analysis and Prevention</w:t>
      </w:r>
      <w:r>
        <w:t>, (2010) 42: 689-694, &lt;</w:t>
      </w:r>
      <w:hyperlink r:id="rId183" w:history="1">
        <w:r w:rsidRPr="009201A7">
          <w:rPr>
            <w:rStyle w:val="Hyperlink"/>
          </w:rPr>
          <w:t>https://www.sciencedirect.com/science/article/pii/S0001457509002966?via%3Dihub</w:t>
        </w:r>
      </w:hyperlink>
      <w:r>
        <w:t>&gt;.</w:t>
      </w:r>
    </w:p>
  </w:endnote>
  <w:endnote w:id="274">
    <w:p w14:paraId="1F85B6E3" w14:textId="77777777" w:rsidR="003C7C88" w:rsidRDefault="003C7C88" w:rsidP="00220CD7">
      <w:pPr>
        <w:pStyle w:val="Footnote"/>
      </w:pPr>
      <w:r>
        <w:rPr>
          <w:rStyle w:val="EndnoteReference"/>
        </w:rPr>
        <w:endnoteRef/>
      </w:r>
      <w:r>
        <w:t xml:space="preserve">  Doherty S, Andrey J, MacGregor C, 1998, The situational risk of young drivers: the influence of passengers, time of day, and day of the week on accident rates, </w:t>
      </w:r>
      <w:r w:rsidRPr="00220CD7">
        <w:rPr>
          <w:i/>
        </w:rPr>
        <w:t>Accident Analysis and Prevention</w:t>
      </w:r>
      <w:r>
        <w:t xml:space="preserve">, 30: 45-52; Williams AF &amp; Ferguson SA, 2002, Rationale for graduated licensing and the risks it should address, </w:t>
      </w:r>
      <w:r w:rsidRPr="00220CD7">
        <w:rPr>
          <w:i/>
        </w:rPr>
        <w:t>Injury Prevention</w:t>
      </w:r>
      <w:r>
        <w:t>, 8 (Suppl II): ii9-ii16.</w:t>
      </w:r>
    </w:p>
  </w:endnote>
  <w:endnote w:id="275">
    <w:p w14:paraId="67C5F64F" w14:textId="77777777" w:rsidR="003C7C88" w:rsidRDefault="003C7C88" w:rsidP="00F84B65">
      <w:pPr>
        <w:pStyle w:val="Footnote"/>
      </w:pPr>
      <w:r>
        <w:rPr>
          <w:rStyle w:val="EndnoteReference"/>
        </w:rPr>
        <w:endnoteRef/>
      </w:r>
      <w:r>
        <w:t xml:space="preserve">  </w:t>
      </w:r>
      <w:r w:rsidRPr="006B2023">
        <w:t>Chen L-H</w:t>
      </w:r>
      <w:r>
        <w:t>,</w:t>
      </w:r>
      <w:r w:rsidRPr="006B2023">
        <w:t xml:space="preserve"> Baker SP</w:t>
      </w:r>
      <w:r>
        <w:t>,</w:t>
      </w:r>
      <w:r w:rsidRPr="006B2023">
        <w:t xml:space="preserve"> Braver ER</w:t>
      </w:r>
      <w:r>
        <w:t>,</w:t>
      </w:r>
      <w:r w:rsidRPr="006B2023">
        <w:t xml:space="preserve"> Li,</w:t>
      </w:r>
      <w:r>
        <w:t xml:space="preserve"> 2000, ‘Carrying passengers as a risk factor fatal to 16-and 17-year-old drivers’, </w:t>
      </w:r>
      <w:r w:rsidRPr="006E4CDA">
        <w:rPr>
          <w:i/>
        </w:rPr>
        <w:t>Journal of the American Medical Association</w:t>
      </w:r>
      <w:r>
        <w:t>, (2000) 283: 1578-1582, &lt;</w:t>
      </w:r>
      <w:hyperlink r:id="rId184" w:history="1">
        <w:r w:rsidRPr="009201A7">
          <w:rPr>
            <w:rStyle w:val="Hyperlink"/>
          </w:rPr>
          <w:t>https://jamanetwork.com/journals/jama/fullarticle/192524</w:t>
        </w:r>
      </w:hyperlink>
      <w:r>
        <w:t xml:space="preserve">&gt;; Doherty S, Andrey J, MacGregor C, 1998, The situational risk of young drivers: the influence of passengers, time of day, and day of the week on accident rates, </w:t>
      </w:r>
      <w:r w:rsidRPr="00220CD7">
        <w:rPr>
          <w:i/>
        </w:rPr>
        <w:t>Accident Analysis and Prevention</w:t>
      </w:r>
      <w:r>
        <w:t>, 30: 45-52</w:t>
      </w:r>
    </w:p>
  </w:endnote>
  <w:endnote w:id="276">
    <w:p w14:paraId="3087185B" w14:textId="77777777" w:rsidR="003C7C88" w:rsidRDefault="003C7C88" w:rsidP="00F84B65">
      <w:pPr>
        <w:pStyle w:val="Footnote"/>
      </w:pPr>
      <w:r>
        <w:rPr>
          <w:rStyle w:val="EndnoteReference"/>
        </w:rPr>
        <w:endnoteRef/>
      </w:r>
      <w:r>
        <w:t xml:space="preserve">  </w:t>
      </w:r>
      <w:r w:rsidRPr="006B2023">
        <w:t>Chen L-H</w:t>
      </w:r>
      <w:r>
        <w:t>,</w:t>
      </w:r>
      <w:r w:rsidRPr="006B2023">
        <w:t xml:space="preserve"> Baker SP</w:t>
      </w:r>
      <w:r>
        <w:t>,</w:t>
      </w:r>
      <w:r w:rsidRPr="006B2023">
        <w:t xml:space="preserve"> Braver ER</w:t>
      </w:r>
      <w:r>
        <w:t>,</w:t>
      </w:r>
      <w:r w:rsidRPr="006B2023">
        <w:t xml:space="preserve"> Li,</w:t>
      </w:r>
      <w:r>
        <w:t xml:space="preserve"> 2000, ‘Carrying passengers as a risk factor fatal to 16-and 17-year-old drivers’, </w:t>
      </w:r>
      <w:r w:rsidRPr="006E4CDA">
        <w:rPr>
          <w:i/>
        </w:rPr>
        <w:t>Journal of the American Medical Association</w:t>
      </w:r>
      <w:r>
        <w:t>, (2000) 283: 1578-1582, &lt;</w:t>
      </w:r>
      <w:hyperlink r:id="rId185" w:history="1">
        <w:r w:rsidRPr="009201A7">
          <w:rPr>
            <w:rStyle w:val="Hyperlink"/>
          </w:rPr>
          <w:t>https://jamanetwork.com/journals/jama/fullarticle/192524</w:t>
        </w:r>
      </w:hyperlink>
    </w:p>
  </w:endnote>
  <w:endnote w:id="277">
    <w:p w14:paraId="49BE24DD" w14:textId="77777777" w:rsidR="003C7C88" w:rsidRDefault="003C7C88" w:rsidP="00096B9B">
      <w:pPr>
        <w:pStyle w:val="Footnote"/>
      </w:pPr>
      <w:r>
        <w:rPr>
          <w:rStyle w:val="EndnoteReference"/>
        </w:rPr>
        <w:endnoteRef/>
      </w:r>
      <w:r>
        <w:t xml:space="preserve">  VicRoads 2005, </w:t>
      </w:r>
      <w:r w:rsidRPr="00734324">
        <w:rPr>
          <w:i/>
        </w:rPr>
        <w:t>Young Driver Safety and Graduate</w:t>
      </w:r>
      <w:r>
        <w:rPr>
          <w:i/>
        </w:rPr>
        <w:t>d</w:t>
      </w:r>
      <w:r w:rsidRPr="00734324">
        <w:rPr>
          <w:i/>
        </w:rPr>
        <w:t xml:space="preserve"> Licensing</w:t>
      </w:r>
      <w:r>
        <w:t>, Discussion Paper, August 2005, p12, &lt;</w:t>
      </w:r>
      <w:hyperlink r:id="rId186" w:history="1">
        <w:r w:rsidRPr="009A1E00">
          <w:rPr>
            <w:rStyle w:val="Hyperlink"/>
          </w:rPr>
          <w:t>http://apo.org.au/system/files/1893/apo-nid1893-149321.pdf</w:t>
        </w:r>
      </w:hyperlink>
      <w:r>
        <w:t>&gt;.</w:t>
      </w:r>
    </w:p>
  </w:endnote>
  <w:endnote w:id="278">
    <w:p w14:paraId="1E9908E8" w14:textId="77777777" w:rsidR="003C7C88" w:rsidRDefault="003C7C88" w:rsidP="00096B9B">
      <w:pPr>
        <w:pStyle w:val="Footnote"/>
      </w:pPr>
      <w:r>
        <w:rPr>
          <w:rStyle w:val="EndnoteReference"/>
        </w:rPr>
        <w:endnoteRef/>
      </w:r>
      <w:r>
        <w:t xml:space="preserve">  ibid., p12.</w:t>
      </w:r>
    </w:p>
  </w:endnote>
  <w:endnote w:id="279">
    <w:p w14:paraId="6FF75EDB" w14:textId="77777777" w:rsidR="003C7C88" w:rsidRDefault="003C7C88" w:rsidP="00096B9B">
      <w:pPr>
        <w:pStyle w:val="Footnote"/>
      </w:pPr>
      <w:r>
        <w:rPr>
          <w:rStyle w:val="EndnoteReference"/>
        </w:rPr>
        <w:endnoteRef/>
      </w:r>
      <w:r>
        <w:t xml:space="preserve">  Under Regulation 10 of the </w:t>
      </w:r>
      <w:r w:rsidRPr="00B94EEE">
        <w:t>Road Traffic (Authorisation to Drive) Regulations 2014</w:t>
      </w:r>
      <w:r>
        <w:t xml:space="preserve"> (WA), there are </w:t>
      </w:r>
      <w:r w:rsidRPr="00D97F0D">
        <w:t>three exceptions to this restriction</w:t>
      </w:r>
      <w:r>
        <w:t xml:space="preserve"> that applies to “novice drivers (type 1A)”. They</w:t>
      </w:r>
      <w:r w:rsidRPr="00D97F0D">
        <w:t xml:space="preserve"> relate to </w:t>
      </w:r>
      <w:r>
        <w:t>(a)</w:t>
      </w:r>
      <w:r w:rsidRPr="00D97F0D">
        <w:t xml:space="preserve"> driving</w:t>
      </w:r>
      <w:r>
        <w:t xml:space="preserve"> </w:t>
      </w:r>
      <w:r w:rsidRPr="00D97F0D">
        <w:t xml:space="preserve">in the course of employment, </w:t>
      </w:r>
      <w:r>
        <w:t xml:space="preserve">(b) </w:t>
      </w:r>
      <w:r w:rsidRPr="00D97F0D">
        <w:t>driving</w:t>
      </w:r>
      <w:r>
        <w:t xml:space="preserve"> </w:t>
      </w:r>
      <w:r w:rsidRPr="00D97F0D">
        <w:t xml:space="preserve">to and from paid and unpaid employment, or </w:t>
      </w:r>
      <w:r>
        <w:t xml:space="preserve">(c) </w:t>
      </w:r>
      <w:r w:rsidRPr="00D97F0D">
        <w:t>driving</w:t>
      </w:r>
      <w:r>
        <w:t xml:space="preserve"> </w:t>
      </w:r>
      <w:r w:rsidRPr="00D97F0D">
        <w:t xml:space="preserve">to and from schooling (being defined as “a course of education or training for which the person is enrolled”). Moreover, in the case of </w:t>
      </w:r>
      <w:r>
        <w:t>(b) and (c)</w:t>
      </w:r>
      <w:r w:rsidRPr="00D97F0D">
        <w:t xml:space="preserve"> driving must be by the shortest practicable route and the travel must commence as soon as is practicable after the </w:t>
      </w:r>
      <w:r>
        <w:t xml:space="preserve">employment or schooling ceases. [See Reg. 10 of the </w:t>
      </w:r>
      <w:r w:rsidRPr="00B94EEE">
        <w:t>Road Traffic (Authorisation to Drive) Regulations 2014</w:t>
      </w:r>
      <w:r>
        <w:t xml:space="preserve"> (WA), &lt;</w:t>
      </w:r>
      <w:hyperlink r:id="rId187" w:history="1">
        <w:r w:rsidRPr="001A1C03">
          <w:rPr>
            <w:rStyle w:val="Hyperlink"/>
          </w:rPr>
          <w:t>https://www.legislation.wa.gov.au/legislation/statutes.nsf/law_s45436.html</w:t>
        </w:r>
      </w:hyperlink>
      <w:r>
        <w:t>&gt;.]</w:t>
      </w:r>
    </w:p>
  </w:endnote>
  <w:endnote w:id="280">
    <w:p w14:paraId="7FFEE8B2" w14:textId="77777777" w:rsidR="003C7C88" w:rsidRDefault="003C7C88" w:rsidP="00257CE6">
      <w:pPr>
        <w:pStyle w:val="Footnote"/>
      </w:pPr>
      <w:r>
        <w:rPr>
          <w:rStyle w:val="EndnoteReference"/>
        </w:rPr>
        <w:endnoteRef/>
      </w:r>
      <w:r>
        <w:t xml:space="preserve">  VicRoads 2005, </w:t>
      </w:r>
      <w:r w:rsidRPr="00734324">
        <w:rPr>
          <w:i/>
        </w:rPr>
        <w:t>Young Driver Safety and Graduate</w:t>
      </w:r>
      <w:r>
        <w:rPr>
          <w:i/>
        </w:rPr>
        <w:t>d</w:t>
      </w:r>
      <w:r w:rsidRPr="00734324">
        <w:rPr>
          <w:i/>
        </w:rPr>
        <w:t xml:space="preserve"> Licensing</w:t>
      </w:r>
      <w:r>
        <w:t>, Discussion Paper, August 2005, p18, &lt;</w:t>
      </w:r>
      <w:hyperlink r:id="rId188" w:history="1">
        <w:r w:rsidRPr="009A1E00">
          <w:rPr>
            <w:rStyle w:val="Hyperlink"/>
          </w:rPr>
          <w:t>http://apo.org.au/system/files/1893/apo-nid1893-149321.pdf</w:t>
        </w:r>
      </w:hyperlink>
      <w:r>
        <w:t>&gt;.</w:t>
      </w:r>
    </w:p>
  </w:endnote>
  <w:endnote w:id="281">
    <w:p w14:paraId="7131FFA7" w14:textId="77777777" w:rsidR="003C7C88" w:rsidRDefault="003C7C88" w:rsidP="00096B9B">
      <w:pPr>
        <w:pStyle w:val="Footnote"/>
      </w:pPr>
      <w:r>
        <w:rPr>
          <w:rStyle w:val="EndnoteReference"/>
        </w:rPr>
        <w:endnoteRef/>
      </w:r>
      <w:r>
        <w:t xml:space="preserve">  Senserrick T &amp; Williams AF 2015, </w:t>
      </w:r>
      <w:r w:rsidRPr="00CD124D">
        <w:rPr>
          <w:i/>
        </w:rPr>
        <w:t>Summary of Literature of the Effective Components of Graduated Driver Licensing Systems</w:t>
      </w:r>
      <w:r>
        <w:t>, Austroads</w:t>
      </w:r>
      <w:r w:rsidRPr="00CD124D">
        <w:rPr>
          <w:lang w:eastAsia="en-AU"/>
        </w:rPr>
        <w:t xml:space="preserve"> </w:t>
      </w:r>
      <w:r w:rsidRPr="009033E4">
        <w:rPr>
          <w:lang w:eastAsia="en-AU"/>
        </w:rPr>
        <w:t>Project SS1707</w:t>
      </w:r>
      <w:r>
        <w:rPr>
          <w:lang w:eastAsia="en-AU"/>
        </w:rPr>
        <w:t>,</w:t>
      </w:r>
      <w:r w:rsidRPr="0089229A">
        <w:rPr>
          <w:lang w:eastAsia="en-AU"/>
        </w:rPr>
        <w:t xml:space="preserve"> </w:t>
      </w:r>
      <w:r>
        <w:rPr>
          <w:lang w:eastAsia="en-AU"/>
        </w:rPr>
        <w:t xml:space="preserve">February </w:t>
      </w:r>
      <w:r w:rsidRPr="00691BB7">
        <w:rPr>
          <w:lang w:eastAsia="en-AU"/>
        </w:rPr>
        <w:t>201</w:t>
      </w:r>
      <w:r>
        <w:rPr>
          <w:lang w:eastAsia="en-AU"/>
        </w:rPr>
        <w:t>5</w:t>
      </w:r>
      <w:r>
        <w:t>, p33-34,</w:t>
      </w:r>
      <w:r>
        <w:rPr>
          <w:lang w:eastAsia="en-AU"/>
        </w:rPr>
        <w:t xml:space="preserve"> &lt;</w:t>
      </w:r>
      <w:hyperlink r:id="rId189" w:history="1">
        <w:r w:rsidRPr="008B61B4">
          <w:rPr>
            <w:rStyle w:val="Hyperlink"/>
            <w:lang w:eastAsia="en-AU"/>
          </w:rPr>
          <w:t>https://www.parliament.vic.gov.au/images/Attachment_to_Submission_no._75_-_Literature_Review_of_Effective_Components_of_Graduated_Licensing_Schemes.pdf</w:t>
        </w:r>
      </w:hyperlink>
      <w:r>
        <w:rPr>
          <w:lang w:eastAsia="en-AU"/>
        </w:rPr>
        <w:t>&gt;</w:t>
      </w:r>
      <w:r>
        <w:t>.</w:t>
      </w:r>
    </w:p>
  </w:endnote>
  <w:endnote w:id="282">
    <w:p w14:paraId="2629A7C6" w14:textId="77777777" w:rsidR="003C7C88" w:rsidRDefault="003C7C88" w:rsidP="00096B9B">
      <w:pPr>
        <w:pStyle w:val="Footnote"/>
      </w:pPr>
      <w:r>
        <w:rPr>
          <w:rStyle w:val="EndnoteReference"/>
        </w:rPr>
        <w:endnoteRef/>
      </w:r>
      <w:r>
        <w:t xml:space="preserve">  Government of Victoria 2017,  </w:t>
      </w:r>
      <w:r w:rsidRPr="00CE5D2F">
        <w:rPr>
          <w:i/>
        </w:rPr>
        <w:t>Whole of Government Response to the Inquiry into lowering the probationary driving age in Victoria to seventeen</w:t>
      </w:r>
      <w:r>
        <w:t>, Parliament of Victoria</w:t>
      </w:r>
      <w:r w:rsidRPr="00D31EE7">
        <w:t xml:space="preserve"> </w:t>
      </w:r>
      <w:r>
        <w:t>website, November 2017, &lt;</w:t>
      </w:r>
      <w:hyperlink r:id="rId190" w:history="1">
        <w:r w:rsidRPr="001A1C03">
          <w:rPr>
            <w:rStyle w:val="Hyperlink"/>
          </w:rPr>
          <w:t>https://www.parliament.vic.gov.au/images/stories/committees/lrrcsc/Probationary_Age/Final_Govt_Response_-_Inquiry_-_Lowering_probationary_driving_age_PJg9xRtG.pdf</w:t>
        </w:r>
      </w:hyperlink>
      <w:r>
        <w:t>&gt;.</w:t>
      </w:r>
    </w:p>
  </w:endnote>
  <w:endnote w:id="283">
    <w:p w14:paraId="27162562" w14:textId="77777777" w:rsidR="003C7C88" w:rsidRDefault="003C7C88" w:rsidP="008C0E8B">
      <w:pPr>
        <w:pStyle w:val="Footnote"/>
      </w:pPr>
      <w:r>
        <w:rPr>
          <w:rStyle w:val="EndnoteReference"/>
        </w:rPr>
        <w:endnoteRef/>
      </w:r>
      <w:r>
        <w:t xml:space="preserve">  U</w:t>
      </w:r>
      <w:r w:rsidRPr="00117C96">
        <w:rPr>
          <w:lang w:eastAsia="en-AU"/>
        </w:rPr>
        <w:t xml:space="preserve">ntil 2009 </w:t>
      </w:r>
      <w:r>
        <w:rPr>
          <w:lang w:eastAsia="en-AU"/>
        </w:rPr>
        <w:t xml:space="preserve">these </w:t>
      </w:r>
      <w:r w:rsidRPr="00117C96">
        <w:rPr>
          <w:lang w:eastAsia="en-AU"/>
        </w:rPr>
        <w:t>were referred to in the regulations as ‘High Powered Vehicles’</w:t>
      </w:r>
      <w:r>
        <w:rPr>
          <w:lang w:eastAsia="en-AU"/>
        </w:rPr>
        <w:t>.</w:t>
      </w:r>
    </w:p>
  </w:endnote>
  <w:endnote w:id="284">
    <w:p w14:paraId="17A4DAE6" w14:textId="77777777" w:rsidR="003C7C88" w:rsidRDefault="003C7C88" w:rsidP="008C0E8B">
      <w:pPr>
        <w:pStyle w:val="Footnote"/>
      </w:pPr>
      <w:r>
        <w:rPr>
          <w:rStyle w:val="EndnoteReference"/>
        </w:rPr>
        <w:endnoteRef/>
      </w:r>
      <w:r>
        <w:t xml:space="preserve">  Young Driver Factbase, &lt;</w:t>
      </w:r>
      <w:hyperlink r:id="rId191" w:history="1">
        <w:r w:rsidRPr="00A2324A">
          <w:rPr>
            <w:rStyle w:val="Hyperlink"/>
          </w:rPr>
          <w:t>https://www.youngdriverfactbase.com/key-statistics</w:t>
        </w:r>
      </w:hyperlink>
      <w:r>
        <w:t>&gt;.</w:t>
      </w:r>
    </w:p>
  </w:endnote>
  <w:endnote w:id="285">
    <w:p w14:paraId="2A6E692C" w14:textId="77777777" w:rsidR="003C7C88" w:rsidRDefault="003C7C88" w:rsidP="008C0E8B">
      <w:pPr>
        <w:pStyle w:val="Footnote"/>
      </w:pPr>
      <w:r>
        <w:rPr>
          <w:rStyle w:val="EndnoteReference"/>
        </w:rPr>
        <w:endnoteRef/>
      </w:r>
      <w:r>
        <w:t xml:space="preserve">  Clarke DD, Ward P &amp; Truman W 2002, </w:t>
      </w:r>
      <w:r w:rsidRPr="008F4AE7">
        <w:rPr>
          <w:i/>
        </w:rPr>
        <w:t>In-depth accident causation study of young drivers</w:t>
      </w:r>
      <w:r>
        <w:t>, TRL Report TRL542, Transport Research Laboratory, Crowthorne, UK.</w:t>
      </w:r>
    </w:p>
  </w:endnote>
  <w:endnote w:id="286">
    <w:p w14:paraId="68C578A0" w14:textId="77777777" w:rsidR="003C7C88" w:rsidRDefault="003C7C88" w:rsidP="008C0E8B">
      <w:pPr>
        <w:pStyle w:val="Footnote"/>
      </w:pPr>
      <w:r>
        <w:rPr>
          <w:rStyle w:val="EndnoteReference"/>
        </w:rPr>
        <w:endnoteRef/>
      </w:r>
      <w:r>
        <w:t xml:space="preserve">  Keall MD &amp; Newstead S (2013) The potential effectiveness of young driver high-performance vehicle restrictions as used in Australia, </w:t>
      </w:r>
      <w:r w:rsidRPr="00286131">
        <w:rPr>
          <w:i/>
        </w:rPr>
        <w:t>Accident Analysis and Prevention</w:t>
      </w:r>
      <w:r w:rsidRPr="004069A8">
        <w:t xml:space="preserve"> 52 (2013) 154– 161</w:t>
      </w:r>
      <w:r>
        <w:t>, &lt;</w:t>
      </w:r>
      <w:hyperlink r:id="rId192" w:history="1">
        <w:r w:rsidRPr="00BB34F0">
          <w:rPr>
            <w:rStyle w:val="Hyperlink"/>
          </w:rPr>
          <w:t>https://www.sciencedirect.com/science/article/pii/S0001457512004277?via%3Dihub</w:t>
        </w:r>
      </w:hyperlink>
      <w:r>
        <w:t>&gt;</w:t>
      </w:r>
      <w:r w:rsidRPr="00F54A64">
        <w:t>.</w:t>
      </w:r>
    </w:p>
  </w:endnote>
  <w:endnote w:id="287">
    <w:p w14:paraId="7AB18270" w14:textId="77777777" w:rsidR="003C7C88" w:rsidRDefault="003C7C88" w:rsidP="008C0E8B">
      <w:pPr>
        <w:pStyle w:val="Footnote"/>
      </w:pPr>
      <w:r>
        <w:rPr>
          <w:rStyle w:val="EndnoteReference"/>
        </w:rPr>
        <w:endnoteRef/>
      </w:r>
      <w:r>
        <w:t xml:space="preserve">  </w:t>
      </w:r>
      <w:r w:rsidRPr="00600FE2">
        <w:t>The vehicle</w:t>
      </w:r>
      <w:r>
        <w:t>’s</w:t>
      </w:r>
      <w:r w:rsidRPr="00600FE2">
        <w:t xml:space="preserve"> compliance plate confirms that the vehicle</w:t>
      </w:r>
      <w:r>
        <w:t xml:space="preserve"> was manufactured in</w:t>
      </w:r>
      <w:r w:rsidRPr="00600FE2">
        <w:t xml:space="preserve"> compli</w:t>
      </w:r>
      <w:r>
        <w:t>ance</w:t>
      </w:r>
      <w:r w:rsidRPr="00600FE2">
        <w:t xml:space="preserve"> with Australian design standards and emissions. </w:t>
      </w:r>
      <w:r w:rsidRPr="00482B3F">
        <w:t>The</w:t>
      </w:r>
      <w:r w:rsidRPr="00600FE2">
        <w:t xml:space="preserve"> date shown on the compliance </w:t>
      </w:r>
      <w:r w:rsidRPr="00482B3F">
        <w:t>plate</w:t>
      </w:r>
      <w:r w:rsidRPr="00600FE2">
        <w:t xml:space="preserve"> is the date </w:t>
      </w:r>
      <w:r>
        <w:t>of manufacture of</w:t>
      </w:r>
      <w:r w:rsidRPr="00600FE2">
        <w:t xml:space="preserve"> the vehicle by the manufacturer. </w:t>
      </w:r>
    </w:p>
  </w:endnote>
  <w:endnote w:id="288">
    <w:p w14:paraId="06E60D9C" w14:textId="77777777" w:rsidR="003C7C88" w:rsidRDefault="003C7C88" w:rsidP="008C0E8B">
      <w:pPr>
        <w:pStyle w:val="Footnote"/>
      </w:pPr>
      <w:r>
        <w:rPr>
          <w:rStyle w:val="EndnoteReference"/>
        </w:rPr>
        <w:endnoteRef/>
      </w:r>
      <w:r>
        <w:t xml:space="preserve">  This change also </w:t>
      </w:r>
      <w:r w:rsidRPr="00117C96">
        <w:rPr>
          <w:lang w:eastAsia="en-AU"/>
        </w:rPr>
        <w:t>align</w:t>
      </w:r>
      <w:r>
        <w:rPr>
          <w:lang w:eastAsia="en-AU"/>
        </w:rPr>
        <w:t>ed</w:t>
      </w:r>
      <w:r w:rsidRPr="00117C96">
        <w:rPr>
          <w:lang w:eastAsia="en-AU"/>
        </w:rPr>
        <w:t xml:space="preserve"> Victoria’s PPV restrictions with New South Wales, Queensland and South Australia, which transitioned out the previous blanket ban on eight cylinders, turbo and supercharged vehicles.</w:t>
      </w:r>
    </w:p>
  </w:endnote>
  <w:endnote w:id="289">
    <w:p w14:paraId="42A4C428" w14:textId="77777777" w:rsidR="003C7C88" w:rsidRDefault="003C7C88" w:rsidP="008C0E8B">
      <w:pPr>
        <w:pStyle w:val="Footnote"/>
      </w:pPr>
      <w:r>
        <w:rPr>
          <w:rStyle w:val="EndnoteReference"/>
        </w:rPr>
        <w:endnoteRef/>
      </w:r>
      <w:r>
        <w:t xml:space="preserve">  This date relates to the date from which power-to-mass ratio data is available on the National Exchange of Vehicle and Driver Information System (NEVDIS) database. NEVDIS is a national system that exchanges information about vehicles and driver licenses. Its primary purpose is to prevent fraud and theft by ensuring “one vehicle, one Vehicle Identification Number (VIN)” and ‘one person, one driver licence’. NEVDIS enables road authorities to interact across state borders and directly supports the transport and automotive industries:</w:t>
      </w:r>
      <w:r w:rsidRPr="0086356E">
        <w:t xml:space="preserve"> </w:t>
      </w:r>
      <w:r>
        <w:t xml:space="preserve">See Austroads, </w:t>
      </w:r>
      <w:r w:rsidRPr="00F4115C">
        <w:rPr>
          <w:i/>
        </w:rPr>
        <w:t>NEVDIS</w:t>
      </w:r>
      <w:r>
        <w:t>, &lt;</w:t>
      </w:r>
      <w:hyperlink r:id="rId193" w:history="1">
        <w:r w:rsidRPr="008A59F2">
          <w:rPr>
            <w:rStyle w:val="Hyperlink"/>
          </w:rPr>
          <w:t>http://www.austroads.com.au/drivers-vehicles/nevdis</w:t>
        </w:r>
      </w:hyperlink>
      <w:r>
        <w:t>&gt;.</w:t>
      </w:r>
    </w:p>
  </w:endnote>
  <w:endnote w:id="290">
    <w:p w14:paraId="46060BFF" w14:textId="77777777" w:rsidR="003C7C88" w:rsidRDefault="003C7C88" w:rsidP="008C0E8B">
      <w:pPr>
        <w:pStyle w:val="Footnote"/>
      </w:pPr>
      <w:r>
        <w:rPr>
          <w:rStyle w:val="EndnoteReference"/>
        </w:rPr>
        <w:endnoteRef/>
      </w:r>
      <w:r>
        <w:t xml:space="preserve">  VicRoads, Probationary Vehicles Database, &lt;</w:t>
      </w:r>
      <w:hyperlink r:id="rId194" w:history="1">
        <w:r w:rsidRPr="00E67B92">
          <w:rPr>
            <w:rStyle w:val="Hyperlink"/>
          </w:rPr>
          <w:t>https://www.vicroads.vic.gov.au/licences/your-ps/prohibited-vehicles-for-p-plate-drivers/probationary-vehicles-database</w:t>
        </w:r>
      </w:hyperlink>
      <w:r>
        <w:t xml:space="preserve">&gt;. </w:t>
      </w:r>
    </w:p>
  </w:endnote>
  <w:endnote w:id="291">
    <w:p w14:paraId="71070AD4" w14:textId="77777777" w:rsidR="003C7C88" w:rsidRDefault="003C7C88" w:rsidP="008C0E8B">
      <w:pPr>
        <w:pStyle w:val="Footnote"/>
      </w:pPr>
      <w:r>
        <w:rPr>
          <w:rStyle w:val="EndnoteReference"/>
        </w:rPr>
        <w:endnoteRef/>
      </w:r>
      <w:r>
        <w:t xml:space="preserve">  </w:t>
      </w:r>
      <w:r w:rsidRPr="00A63E67">
        <w:t xml:space="preserve">The group </w:t>
      </w:r>
      <w:r>
        <w:t xml:space="preserve">that will change to ‘prohibited’ </w:t>
      </w:r>
      <w:r w:rsidRPr="00A63E67">
        <w:t>consists of the following makes and models: BMW 130i, 335D (335 is a turbo diesel model); BA Falcon Utes (2002-2004); Mazda RX-8 (2003-2008); Volkswagen Passat (2008-2009); and Mercedes SLK350 (2004-2009).</w:t>
      </w:r>
    </w:p>
  </w:endnote>
  <w:endnote w:id="292">
    <w:p w14:paraId="36375503" w14:textId="77777777" w:rsidR="003C7C88" w:rsidRDefault="003C7C88" w:rsidP="00424D84">
      <w:pPr>
        <w:pStyle w:val="Footnote"/>
      </w:pPr>
      <w:r>
        <w:rPr>
          <w:rStyle w:val="EndnoteReference"/>
        </w:rPr>
        <w:endnoteRef/>
      </w:r>
      <w:r>
        <w:t xml:space="preserve">  </w:t>
      </w:r>
      <w:r w:rsidRPr="00F07793">
        <w:t>Research has shown that young drivers have the lowest crash risk when ac</w:t>
      </w:r>
      <w:r>
        <w:t xml:space="preserve">companied by an adult passenger: Regan MS &amp; Mitsopoulos E 2001, </w:t>
      </w:r>
      <w:r w:rsidRPr="00A622B0">
        <w:rPr>
          <w:i/>
        </w:rPr>
        <w:t>Understanding Passenger Influences on Driver Behaviour: Implications for Road Safety and Recommendations for Countermeasure Development</w:t>
      </w:r>
      <w:r>
        <w:t>, MUARC, report No 180, &lt;</w:t>
      </w:r>
      <w:hyperlink r:id="rId195" w:history="1">
        <w:r w:rsidRPr="009A1E00">
          <w:rPr>
            <w:rStyle w:val="Hyperlink"/>
          </w:rPr>
          <w:t>https://www.monash.edu/__data/assets/pdf_file/0004/216436/muarc180.pdf</w:t>
        </w:r>
      </w:hyperlink>
      <w:r>
        <w:t>&gt;.</w:t>
      </w:r>
    </w:p>
  </w:endnote>
  <w:endnote w:id="293">
    <w:p w14:paraId="03C52072" w14:textId="77777777" w:rsidR="003C7C88" w:rsidRDefault="003C7C88" w:rsidP="00B41115">
      <w:pPr>
        <w:pStyle w:val="Footnote"/>
      </w:pPr>
      <w:r>
        <w:rPr>
          <w:rStyle w:val="EndnoteReference"/>
        </w:rPr>
        <w:endnoteRef/>
      </w:r>
      <w:r>
        <w:t xml:space="preserve">  Parliament of Victoria, </w:t>
      </w:r>
      <w:r w:rsidRPr="005C1A22">
        <w:rPr>
          <w:i/>
        </w:rPr>
        <w:t>Inquiry into the review of motorcycle safety in Victoria</w:t>
      </w:r>
      <w:r>
        <w:t>, Road Safety Committee Report, 1998, p103, &lt;</w:t>
      </w:r>
      <w:hyperlink r:id="rId196" w:history="1">
        <w:r w:rsidRPr="009201A7">
          <w:rPr>
            <w:rStyle w:val="Hyperlink"/>
          </w:rPr>
          <w:t>https://www.parliament.vic.gov.au/archive/rsc/1998cycle/mcyclesafety.htm</w:t>
        </w:r>
      </w:hyperlink>
      <w:r>
        <w:t>&gt;.</w:t>
      </w:r>
    </w:p>
  </w:endnote>
  <w:endnote w:id="294">
    <w:p w14:paraId="3C7A6C69" w14:textId="77777777" w:rsidR="003C7C88" w:rsidRPr="00942C6E" w:rsidRDefault="003C7C88" w:rsidP="00E62A11">
      <w:pPr>
        <w:pStyle w:val="Footnote"/>
      </w:pPr>
      <w:r>
        <w:rPr>
          <w:rStyle w:val="EndnoteReference"/>
        </w:rPr>
        <w:endnoteRef/>
      </w:r>
      <w:r>
        <w:t xml:space="preserve">  </w:t>
      </w:r>
      <w:r w:rsidRPr="00660DC8">
        <w:t>National Transport Commission (Road Transport Legislation- Driver Licensing) Regulations 2006</w:t>
      </w:r>
      <w:r>
        <w:rPr>
          <w:i/>
        </w:rPr>
        <w:t xml:space="preserve">, </w:t>
      </w:r>
      <w:r w:rsidRPr="00942C6E">
        <w:t>Supporting Principles – Schedule 2, Part 3, Clause 14(6): Licence Code ‘E’: “If the holder is the rider of a motor bike or motor trike, the motor bike or motor trike must be of a restricted engine capacity as notified in writing by the driver licensing authority”.</w:t>
      </w:r>
    </w:p>
  </w:endnote>
  <w:endnote w:id="295">
    <w:p w14:paraId="3F9DDE6C" w14:textId="77777777" w:rsidR="003C7C88" w:rsidRDefault="003C7C88" w:rsidP="00640005">
      <w:pPr>
        <w:pStyle w:val="Footnote"/>
      </w:pPr>
      <w:r>
        <w:rPr>
          <w:rStyle w:val="EndnoteReference"/>
        </w:rPr>
        <w:endnoteRef/>
      </w:r>
      <w:r>
        <w:t xml:space="preserve">  </w:t>
      </w:r>
      <w:r w:rsidRPr="000F47BE">
        <w:rPr>
          <w:i/>
        </w:rPr>
        <w:t>Road Safety Act 1986</w:t>
      </w:r>
      <w:r>
        <w:t>, Section 21(3).</w:t>
      </w:r>
    </w:p>
  </w:endnote>
  <w:endnote w:id="296">
    <w:p w14:paraId="266AACC1" w14:textId="77777777" w:rsidR="003C7C88" w:rsidRDefault="003C7C88" w:rsidP="00DA40E0">
      <w:pPr>
        <w:pStyle w:val="Footnote"/>
      </w:pPr>
      <w:r>
        <w:rPr>
          <w:rStyle w:val="EndnoteReference"/>
        </w:rPr>
        <w:endnoteRef/>
      </w:r>
      <w:r>
        <w:t xml:space="preserve">  Department of Immigration and Border Protection 2015, </w:t>
      </w:r>
      <w:r w:rsidRPr="006B3798">
        <w:rPr>
          <w:i/>
        </w:rPr>
        <w:t>State and territory migration summary 2014-15</w:t>
      </w:r>
      <w:r>
        <w:t xml:space="preserve">, Australian Government, </w:t>
      </w:r>
      <w:r w:rsidRPr="006B3798">
        <w:t>30 June 2015</w:t>
      </w:r>
      <w:r>
        <w:t>, &lt;</w:t>
      </w:r>
      <w:hyperlink r:id="rId197" w:history="1">
        <w:r w:rsidRPr="0042628E">
          <w:rPr>
            <w:rStyle w:val="Hyperlink"/>
          </w:rPr>
          <w:t>https://www.homeaffairs.gov.au/ReportsandPublications/Documents/statistics/2014-15-Migration-Programme-Report.pdf</w:t>
        </w:r>
      </w:hyperlink>
      <w:r>
        <w:t>&gt;.</w:t>
      </w:r>
    </w:p>
  </w:endnote>
  <w:endnote w:id="297">
    <w:p w14:paraId="65722195" w14:textId="77777777" w:rsidR="003C7C88" w:rsidRDefault="003C7C88" w:rsidP="00DA40E0">
      <w:pPr>
        <w:pStyle w:val="Footnote"/>
      </w:pPr>
      <w:r>
        <w:rPr>
          <w:rStyle w:val="EndnoteReference"/>
        </w:rPr>
        <w:endnoteRef/>
      </w:r>
      <w:r>
        <w:t xml:space="preserve">  For a list of recognised countries and jurisdictions, refer to  the Austroads website </w:t>
      </w:r>
      <w:hyperlink r:id="rId198" w:history="1">
        <w:r w:rsidRPr="0087004B">
          <w:rPr>
            <w:rStyle w:val="Hyperlink"/>
          </w:rPr>
          <w:t>http://www.austroads.com.au/drivers-vehicles/overseas-driver-licences/country-recognition</w:t>
        </w:r>
      </w:hyperlink>
      <w:r>
        <w:t xml:space="preserve"> and the VicRoads website: </w:t>
      </w:r>
      <w:hyperlink r:id="rId199" w:history="1">
        <w:r w:rsidRPr="00312C8C">
          <w:rPr>
            <w:rStyle w:val="Hyperlink"/>
          </w:rPr>
          <w:t>https://www.vicroads.vic.gov.au/licences/renew-replace-or-update/new-to-victoria/overseas-drivers</w:t>
        </w:r>
      </w:hyperlink>
      <w:r>
        <w:t>.</w:t>
      </w:r>
    </w:p>
  </w:endnote>
  <w:endnote w:id="298">
    <w:p w14:paraId="667F372E" w14:textId="77777777" w:rsidR="003C7C88" w:rsidRDefault="003C7C88" w:rsidP="00DA40E0">
      <w:pPr>
        <w:pStyle w:val="Footnote"/>
      </w:pPr>
      <w:r>
        <w:rPr>
          <w:rStyle w:val="EndnoteReference"/>
        </w:rPr>
        <w:endnoteRef/>
      </w:r>
      <w:r>
        <w:t xml:space="preserve">  </w:t>
      </w:r>
      <w:r w:rsidRPr="00CB6CA4">
        <w:t>United Nations Convention on Road Traffic</w:t>
      </w:r>
      <w:r>
        <w:t xml:space="preserve"> 1949</w:t>
      </w:r>
      <w:r w:rsidRPr="00CB6CA4">
        <w:t>, 19 Sep</w:t>
      </w:r>
      <w:r>
        <w:t>tember</w:t>
      </w:r>
      <w:r w:rsidRPr="00CB6CA4">
        <w:t xml:space="preserve"> 1949 (revised 22 Oct</w:t>
      </w:r>
      <w:r>
        <w:t>ober</w:t>
      </w:r>
      <w:r w:rsidRPr="00CB6CA4">
        <w:t xml:space="preserve"> 1964)</w:t>
      </w:r>
      <w:r>
        <w:t xml:space="preserve">, Article 24: </w:t>
      </w:r>
      <w:hyperlink r:id="rId200" w:history="1">
        <w:r w:rsidRPr="008F4AE7">
          <w:rPr>
            <w:rStyle w:val="Hyperlink"/>
          </w:rPr>
          <w:t>http://www.unece.org/fileadmin/DAM/trans/conventn/Convention_on_Road_Traffic_of_1949.pdf</w:t>
        </w:r>
      </w:hyperlink>
      <w:r>
        <w:rPr>
          <w:rStyle w:val="Hyperlink"/>
        </w:rPr>
        <w:t>.</w:t>
      </w:r>
    </w:p>
  </w:endnote>
  <w:endnote w:id="299">
    <w:p w14:paraId="3974C8B0" w14:textId="77777777" w:rsidR="003C7C88" w:rsidRDefault="003C7C88" w:rsidP="00DA40E0">
      <w:pPr>
        <w:pStyle w:val="Footnote"/>
      </w:pPr>
      <w:r w:rsidRPr="00C23537">
        <w:rPr>
          <w:rStyle w:val="EndnoteReference"/>
        </w:rPr>
        <w:endnoteRef/>
      </w:r>
      <w:r w:rsidRPr="00C23537">
        <w:t xml:space="preserve"> </w:t>
      </w:r>
      <w:r>
        <w:t xml:space="preserve"> Catchpole J, Pratt K</w:t>
      </w:r>
      <w:r w:rsidRPr="00C23537">
        <w:t xml:space="preserve"> </w:t>
      </w:r>
      <w:r>
        <w:t xml:space="preserve">&amp; </w:t>
      </w:r>
      <w:r w:rsidRPr="00C23537">
        <w:t>Pyta V</w:t>
      </w:r>
      <w:r>
        <w:t xml:space="preserve"> 2014</w:t>
      </w:r>
      <w:r w:rsidRPr="00C23537">
        <w:t xml:space="preserve">, </w:t>
      </w:r>
      <w:r w:rsidRPr="00C23537">
        <w:rPr>
          <w:i/>
        </w:rPr>
        <w:t>Crash Risk of International Visitors to Victoria</w:t>
      </w:r>
      <w:r w:rsidRPr="00C23537">
        <w:t>, RACV Resea</w:t>
      </w:r>
      <w:r>
        <w:t>rch Report 2014/02, May 2014, p</w:t>
      </w:r>
      <w:r w:rsidRPr="00C23537">
        <w:t>1</w:t>
      </w:r>
      <w:r>
        <w:t>3-14, &lt;</w:t>
      </w:r>
      <w:hyperlink r:id="rId201" w:history="1">
        <w:r w:rsidRPr="0042628E">
          <w:rPr>
            <w:rStyle w:val="Hyperlink"/>
          </w:rPr>
          <w:t>https://www.racv.com.au/content/dam/racv/images/public-policy/reports/2014-RACV-Crash-Risk-of-International-Visitors-Report-2014.pdf</w:t>
        </w:r>
      </w:hyperlink>
      <w:r>
        <w:t>&gt;.</w:t>
      </w:r>
    </w:p>
  </w:endnote>
  <w:endnote w:id="300">
    <w:p w14:paraId="5043CDC5" w14:textId="77777777" w:rsidR="003C7C88" w:rsidRPr="001207F8" w:rsidRDefault="003C7C88" w:rsidP="00DA40E0">
      <w:pPr>
        <w:pStyle w:val="Footnote"/>
      </w:pPr>
      <w:r>
        <w:rPr>
          <w:rStyle w:val="EndnoteReference"/>
        </w:rPr>
        <w:endnoteRef/>
      </w:r>
      <w:r>
        <w:t xml:space="preserve">  </w:t>
      </w:r>
      <w:r w:rsidRPr="00C23537">
        <w:t>Catchpole J, Pratt K Pyta V</w:t>
      </w:r>
      <w:r>
        <w:t xml:space="preserve"> 2014</w:t>
      </w:r>
      <w:r w:rsidRPr="00C23537">
        <w:t xml:space="preserve">, </w:t>
      </w:r>
      <w:r w:rsidRPr="0017507A">
        <w:rPr>
          <w:i/>
        </w:rPr>
        <w:t>Crash Risk of International Visitors to Victoria</w:t>
      </w:r>
      <w:r w:rsidRPr="00AD5547">
        <w:t>, p 5</w:t>
      </w:r>
      <w:r>
        <w:t>5.</w:t>
      </w:r>
    </w:p>
  </w:endnote>
  <w:endnote w:id="301">
    <w:p w14:paraId="5439E37E" w14:textId="77777777" w:rsidR="003C7C88" w:rsidRDefault="003C7C88" w:rsidP="00DA40E0">
      <w:pPr>
        <w:pStyle w:val="Footnote"/>
      </w:pPr>
      <w:r>
        <w:rPr>
          <w:rStyle w:val="EndnoteReference"/>
        </w:rPr>
        <w:endnoteRef/>
      </w:r>
      <w:r>
        <w:t xml:space="preserve">  ibid., p56.</w:t>
      </w:r>
    </w:p>
  </w:endnote>
  <w:endnote w:id="302">
    <w:p w14:paraId="4BD94C50" w14:textId="77777777" w:rsidR="003C7C88" w:rsidRDefault="003C7C88" w:rsidP="00DA40E0">
      <w:pPr>
        <w:pStyle w:val="Footnote"/>
      </w:pPr>
      <w:r>
        <w:rPr>
          <w:rStyle w:val="EndnoteReference"/>
        </w:rPr>
        <w:endnoteRef/>
      </w:r>
      <w:r>
        <w:t xml:space="preserve">  </w:t>
      </w:r>
      <w:r w:rsidRPr="00AD5547">
        <w:rPr>
          <w:rStyle w:val="FootnoteChar"/>
        </w:rPr>
        <w:t>Federal Office of Road Safety</w:t>
      </w:r>
      <w:r>
        <w:rPr>
          <w:rStyle w:val="FootnoteChar"/>
        </w:rPr>
        <w:t xml:space="preserve"> 1995</w:t>
      </w:r>
      <w:r w:rsidRPr="00AD5547">
        <w:rPr>
          <w:rStyle w:val="FootnoteChar"/>
        </w:rPr>
        <w:t xml:space="preserve">, </w:t>
      </w:r>
      <w:r w:rsidRPr="00AD5547">
        <w:rPr>
          <w:rStyle w:val="FootnoteChar"/>
          <w:i/>
        </w:rPr>
        <w:t>Driving in Unfamiliar Surroundings, Part 1: International drivers</w:t>
      </w:r>
      <w:r w:rsidRPr="00AD5547">
        <w:rPr>
          <w:rStyle w:val="FootnoteChar"/>
        </w:rPr>
        <w:t>, Monograph 3, 1995, p2.</w:t>
      </w:r>
    </w:p>
  </w:endnote>
  <w:endnote w:id="303">
    <w:p w14:paraId="6A517659" w14:textId="77777777" w:rsidR="003C7C88" w:rsidRDefault="003C7C88" w:rsidP="00DA40E0">
      <w:pPr>
        <w:pStyle w:val="Footnote"/>
      </w:pPr>
      <w:r>
        <w:rPr>
          <w:rStyle w:val="EndnoteReference"/>
        </w:rPr>
        <w:endnoteRef/>
      </w:r>
      <w:r>
        <w:t xml:space="preserve">  </w:t>
      </w:r>
      <w:r w:rsidRPr="00C23537">
        <w:t>Catchpole J, Pratt K, Pyta V</w:t>
      </w:r>
      <w:r>
        <w:t xml:space="preserve"> 2014</w:t>
      </w:r>
      <w:r w:rsidRPr="00C23537">
        <w:t xml:space="preserve">, </w:t>
      </w:r>
      <w:r w:rsidRPr="0017507A">
        <w:rPr>
          <w:i/>
        </w:rPr>
        <w:t>Crash Risk of International Visitors to Victoria</w:t>
      </w:r>
      <w:r w:rsidRPr="00AD5547">
        <w:t>, p</w:t>
      </w:r>
      <w:r>
        <w:t>55.</w:t>
      </w:r>
    </w:p>
  </w:endnote>
  <w:endnote w:id="304">
    <w:p w14:paraId="523613A4" w14:textId="77777777" w:rsidR="003C7C88" w:rsidRDefault="003C7C88" w:rsidP="00DA40E0">
      <w:pPr>
        <w:pStyle w:val="Footnote"/>
      </w:pPr>
      <w:r>
        <w:rPr>
          <w:rStyle w:val="EndnoteReference"/>
        </w:rPr>
        <w:endnoteRef/>
      </w:r>
      <w:r>
        <w:t xml:space="preserve">  Victorian Government 2017, </w:t>
      </w:r>
      <w:r w:rsidRPr="009A01B6">
        <w:rPr>
          <w:i/>
        </w:rPr>
        <w:t>Making Victoria’s Roads Safer For Visiting Drivers</w:t>
      </w:r>
      <w:r>
        <w:t xml:space="preserve">, Media Release, 22 </w:t>
      </w:r>
      <w:r w:rsidRPr="00CE2513">
        <w:t>December</w:t>
      </w:r>
      <w:r>
        <w:t xml:space="preserve"> 2017 &lt;</w:t>
      </w:r>
      <w:hyperlink r:id="rId202" w:history="1">
        <w:r w:rsidRPr="003938A3">
          <w:rPr>
            <w:rStyle w:val="Hyperlink"/>
          </w:rPr>
          <w:t>https://www.premier.vic.gov.au/wp-content/uploads/2017/12/171222-Making-Victoria%E2%80%99s-Roads-Safer-For-Visiting-Drivers.pdf</w:t>
        </w:r>
      </w:hyperlink>
      <w:r>
        <w:t>&gt;</w:t>
      </w:r>
    </w:p>
  </w:endnote>
  <w:endnote w:id="305">
    <w:p w14:paraId="7F9C5636" w14:textId="77777777" w:rsidR="003C7C88" w:rsidRDefault="003C7C88" w:rsidP="00DA40E0">
      <w:pPr>
        <w:pStyle w:val="Footnote"/>
      </w:pPr>
      <w:r>
        <w:rPr>
          <w:rStyle w:val="EndnoteReference"/>
        </w:rPr>
        <w:endnoteRef/>
      </w:r>
      <w:r>
        <w:t xml:space="preserve">  For a list of recognised countries and jurisdictions, refer to  the Austroads website </w:t>
      </w:r>
      <w:hyperlink r:id="rId203" w:history="1">
        <w:r w:rsidRPr="0087004B">
          <w:rPr>
            <w:rStyle w:val="Hyperlink"/>
          </w:rPr>
          <w:t>http://www.austroads.com.au/drivers-vehicles/overseas-driver-licences/country-recognition</w:t>
        </w:r>
      </w:hyperlink>
      <w:r>
        <w:t xml:space="preserve"> and the VicRoads website: </w:t>
      </w:r>
      <w:hyperlink r:id="rId204" w:history="1">
        <w:r w:rsidRPr="00312C8C">
          <w:rPr>
            <w:rStyle w:val="Hyperlink"/>
          </w:rPr>
          <w:t>https://www.vicroads.vic.gov.au/licences/renew-replace-or-update/new-to-victoria/overseas-drivers</w:t>
        </w:r>
      </w:hyperlink>
      <w:r>
        <w:t>.</w:t>
      </w:r>
    </w:p>
  </w:endnote>
  <w:endnote w:id="306">
    <w:p w14:paraId="2BA45B71" w14:textId="77777777" w:rsidR="003C7C88" w:rsidRDefault="003C7C88" w:rsidP="00DA40E0">
      <w:pPr>
        <w:pStyle w:val="Footnote"/>
      </w:pPr>
      <w:r>
        <w:rPr>
          <w:rStyle w:val="EndnoteReference"/>
        </w:rPr>
        <w:endnoteRef/>
      </w:r>
      <w:r>
        <w:t xml:space="preserve">  Australian Bureau of Statistics, </w:t>
      </w:r>
      <w:r w:rsidRPr="005C1A22">
        <w:rPr>
          <w:i/>
        </w:rPr>
        <w:t>3412.0 - Migration, Australia, 2015-16</w:t>
      </w:r>
      <w:r>
        <w:t>, &lt;</w:t>
      </w:r>
      <w:hyperlink r:id="rId205" w:history="1">
        <w:r w:rsidRPr="001920F6">
          <w:rPr>
            <w:rStyle w:val="Hyperlink"/>
          </w:rPr>
          <w:t>http://www.abs.gov.au/ausstats/abs@.nsf/mf/3412.0</w:t>
        </w:r>
      </w:hyperlink>
      <w:r>
        <w:t>&gt;.</w:t>
      </w:r>
    </w:p>
  </w:endnote>
  <w:endnote w:id="307">
    <w:p w14:paraId="5B54C169" w14:textId="77777777" w:rsidR="003C7C88" w:rsidRDefault="003C7C88" w:rsidP="00DA40E0">
      <w:pPr>
        <w:pStyle w:val="Footnote"/>
      </w:pPr>
      <w:r>
        <w:rPr>
          <w:rStyle w:val="EndnoteReference"/>
        </w:rPr>
        <w:endnoteRef/>
      </w:r>
      <w:r>
        <w:t xml:space="preserve">  Austroads 2018, </w:t>
      </w:r>
      <w:r w:rsidRPr="00FD150C">
        <w:rPr>
          <w:i/>
        </w:rPr>
        <w:t>Applying for a licence</w:t>
      </w:r>
      <w:r>
        <w:t>, &lt;</w:t>
      </w:r>
      <w:hyperlink r:id="rId206" w:history="1">
        <w:r w:rsidRPr="0087004B">
          <w:rPr>
            <w:rStyle w:val="Hyperlink"/>
          </w:rPr>
          <w:t>http://www.austroads.com.au/drivers-vehicles/overseas-driver-licences/applying-for-a-licence</w:t>
        </w:r>
      </w:hyperlink>
      <w:r>
        <w:t>&gt;.</w:t>
      </w:r>
    </w:p>
  </w:endnote>
  <w:endnote w:id="308">
    <w:p w14:paraId="5D8CBE4C" w14:textId="77777777" w:rsidR="003C7C88" w:rsidRDefault="003C7C88" w:rsidP="00DA40E0">
      <w:pPr>
        <w:pStyle w:val="Footnote"/>
      </w:pPr>
      <w:r>
        <w:rPr>
          <w:rStyle w:val="EndnoteReference"/>
        </w:rPr>
        <w:endnoteRef/>
      </w:r>
      <w:r>
        <w:t xml:space="preserve">  </w:t>
      </w:r>
      <w:r w:rsidRPr="00F44D7E">
        <w:t>National Transport Commission (Road Transport Legislation–Driver Licensing) Regulations 2006</w:t>
      </w:r>
      <w:r>
        <w:t>, Supporting Principles, Clause 31(2)(b).</w:t>
      </w:r>
    </w:p>
  </w:endnote>
  <w:endnote w:id="309">
    <w:p w14:paraId="7B6D4BB0" w14:textId="77777777" w:rsidR="003C7C88" w:rsidRDefault="003C7C88" w:rsidP="00DA40E0">
      <w:pPr>
        <w:pStyle w:val="Footnote"/>
      </w:pPr>
      <w:r>
        <w:rPr>
          <w:rStyle w:val="EndnoteReference"/>
        </w:rPr>
        <w:endnoteRef/>
      </w:r>
      <w:r>
        <w:t xml:space="preserve">  Tasmania follows NDLS and allows exemption for 3 months from the date of issue of the permanent residence visa &lt;</w:t>
      </w:r>
      <w:hyperlink r:id="rId207" w:history="1">
        <w:r w:rsidRPr="00CE5CE5">
          <w:rPr>
            <w:rStyle w:val="Hyperlink"/>
          </w:rPr>
          <w:t>http://www.transport.tas.gov.au/licensing/newtotas/overseas</w:t>
        </w:r>
      </w:hyperlink>
      <w:r>
        <w:t xml:space="preserve">&gt;. </w:t>
      </w:r>
    </w:p>
  </w:endnote>
  <w:endnote w:id="310">
    <w:p w14:paraId="2AFD963A" w14:textId="77777777" w:rsidR="003C7C88" w:rsidRPr="00B0537C" w:rsidRDefault="003C7C88" w:rsidP="00DA40E0">
      <w:pPr>
        <w:pStyle w:val="Footnote"/>
      </w:pPr>
      <w:r w:rsidRPr="00A174A1">
        <w:rPr>
          <w:rStyle w:val="EndnoteReference"/>
        </w:rPr>
        <w:endnoteRef/>
      </w:r>
      <w:r w:rsidRPr="00B0537C">
        <w:t xml:space="preserve"> </w:t>
      </w:r>
      <w:r>
        <w:t xml:space="preserve"> </w:t>
      </w:r>
      <w:r w:rsidRPr="00B0537C">
        <w:t>Th</w:t>
      </w:r>
      <w:r>
        <w:t xml:space="preserve">ese options </w:t>
      </w:r>
      <w:r w:rsidRPr="00B0537C">
        <w:t>also apply to interstate learner permits</w:t>
      </w:r>
      <w:r>
        <w:t>. They do not apply to</w:t>
      </w:r>
      <w:r w:rsidRPr="00B0537C">
        <w:t xml:space="preserve"> overseas learner permits as </w:t>
      </w:r>
      <w:r>
        <w:t>overseas learner permits are not recognised for conversion.</w:t>
      </w:r>
    </w:p>
  </w:endnote>
  <w:endnote w:id="311">
    <w:p w14:paraId="5D78E923" w14:textId="77777777" w:rsidR="003C7C88" w:rsidRDefault="003C7C88" w:rsidP="00CE76A3">
      <w:pPr>
        <w:pStyle w:val="Footnote"/>
      </w:pPr>
      <w:r>
        <w:rPr>
          <w:rStyle w:val="EndnoteReference"/>
        </w:rPr>
        <w:endnoteRef/>
      </w:r>
      <w:r>
        <w:t xml:space="preserve">  </w:t>
      </w:r>
      <w:r w:rsidRPr="000E6032">
        <w:t xml:space="preserve">National Transport Commission </w:t>
      </w:r>
      <w:r>
        <w:t xml:space="preserve">2006, </w:t>
      </w:r>
      <w:r w:rsidRPr="000E6032">
        <w:t xml:space="preserve">(Road Transport Legislation- Driver </w:t>
      </w:r>
      <w:r w:rsidRPr="003D56E7">
        <w:t>Licensing</w:t>
      </w:r>
      <w:r w:rsidRPr="000E6032">
        <w:t>) Regulations 2006</w:t>
      </w:r>
      <w:r>
        <w:t>, Australian Government, &lt;</w:t>
      </w:r>
      <w:hyperlink r:id="rId208" w:history="1">
        <w:r w:rsidRPr="00281525">
          <w:rPr>
            <w:rStyle w:val="Hyperlink"/>
          </w:rPr>
          <w:t>https://www.legislation.gov.au/Details/F2016C00706</w:t>
        </w:r>
      </w:hyperlink>
      <w:r>
        <w:t>&gt;, p1, Regulation 3, Note 1.</w:t>
      </w:r>
    </w:p>
  </w:endnote>
  <w:endnote w:id="312">
    <w:p w14:paraId="0294DB28" w14:textId="77777777" w:rsidR="003C7C88" w:rsidRDefault="003C7C88" w:rsidP="00DA40E0">
      <w:pPr>
        <w:pStyle w:val="Footnote"/>
      </w:pPr>
      <w:r>
        <w:rPr>
          <w:rStyle w:val="EndnoteReference"/>
        </w:rPr>
        <w:endnoteRef/>
      </w:r>
      <w:r>
        <w:t xml:space="preserve">  </w:t>
      </w:r>
      <w:r w:rsidRPr="00334F1E">
        <w:t>The Northern Territory applies a fixed 3-month period to all visitors (whether resident or not), but this approach does not comply with the United Nations Convention on Road Traffic, which requires that signatory countries to recognise visitors’ driver licences for 12 months from the date of issue of their international driving permit.</w:t>
      </w:r>
    </w:p>
  </w:endnote>
  <w:endnote w:id="313">
    <w:p w14:paraId="23A82F2D" w14:textId="77777777" w:rsidR="003C7C88" w:rsidRDefault="003C7C88" w:rsidP="00DA40E0">
      <w:pPr>
        <w:pStyle w:val="Footnote"/>
      </w:pPr>
      <w:r>
        <w:rPr>
          <w:rStyle w:val="EndnoteReference"/>
        </w:rPr>
        <w:endnoteRef/>
      </w:r>
      <w:r>
        <w:t xml:space="preserve">  </w:t>
      </w:r>
      <w:r w:rsidRPr="009C22C3">
        <w:rPr>
          <w:rFonts w:cs="Segoe UI"/>
        </w:rPr>
        <w:t>Merriam-Webster Dictionary</w:t>
      </w:r>
      <w:r>
        <w:rPr>
          <w:rFonts w:cs="Segoe UI"/>
        </w:rPr>
        <w:t xml:space="preserve">, </w:t>
      </w:r>
      <w:r>
        <w:t>&lt;</w:t>
      </w:r>
      <w:hyperlink r:id="rId209" w:history="1">
        <w:r w:rsidRPr="00D33CF7">
          <w:rPr>
            <w:rStyle w:val="Hyperlink"/>
          </w:rPr>
          <w:t>https://www.dictionary.com/browse/reside</w:t>
        </w:r>
      </w:hyperlink>
      <w:r>
        <w:t>&gt;.</w:t>
      </w:r>
    </w:p>
  </w:endnote>
  <w:endnote w:id="314">
    <w:p w14:paraId="06269A2F" w14:textId="77777777" w:rsidR="003C7C88" w:rsidRDefault="003C7C88" w:rsidP="00DA40E0">
      <w:pPr>
        <w:pStyle w:val="Footnote"/>
      </w:pPr>
      <w:r>
        <w:rPr>
          <w:rStyle w:val="EndnoteReference"/>
        </w:rPr>
        <w:endnoteRef/>
      </w:r>
      <w:r>
        <w:t xml:space="preserve">  Oxford English Dictionary 2018, &lt;</w:t>
      </w:r>
      <w:hyperlink r:id="rId210" w:history="1">
        <w:r w:rsidRPr="00D33CF7">
          <w:rPr>
            <w:rStyle w:val="Hyperlink"/>
          </w:rPr>
          <w:t>https://en.oxforddictionaries.com/definition/resident</w:t>
        </w:r>
      </w:hyperlink>
      <w:r>
        <w:t>&gt;.</w:t>
      </w:r>
    </w:p>
  </w:endnote>
  <w:endnote w:id="315">
    <w:p w14:paraId="11F5B679" w14:textId="77777777" w:rsidR="003C7C88" w:rsidRDefault="003C7C88" w:rsidP="00DA40E0">
      <w:pPr>
        <w:pStyle w:val="Footnote"/>
      </w:pPr>
      <w:r>
        <w:rPr>
          <w:rStyle w:val="EndnoteReference"/>
        </w:rPr>
        <w:endnoteRef/>
      </w:r>
      <w:r>
        <w:t xml:space="preserve">  The Law Dictionary, </w:t>
      </w:r>
      <w:r w:rsidRPr="00577A6C">
        <w:t>featuring Black's Law Dictionary Free Online Legal Dictionary 2nd Ed.</w:t>
      </w:r>
      <w:r>
        <w:t>, &lt;</w:t>
      </w:r>
      <w:hyperlink r:id="rId211" w:history="1">
        <w:r w:rsidRPr="00D33CF7">
          <w:rPr>
            <w:rStyle w:val="Hyperlink"/>
          </w:rPr>
          <w:t>https://thelawdictionary.org/residence/</w:t>
        </w:r>
      </w:hyperlink>
      <w:r>
        <w:t>&gt;.</w:t>
      </w:r>
    </w:p>
  </w:endnote>
  <w:endnote w:id="316">
    <w:p w14:paraId="1A65F8AE" w14:textId="77777777" w:rsidR="003C7C88" w:rsidRDefault="003C7C88" w:rsidP="00DA40E0">
      <w:pPr>
        <w:pStyle w:val="Footnote"/>
      </w:pPr>
      <w:r>
        <w:rPr>
          <w:rStyle w:val="EndnoteReference"/>
        </w:rPr>
        <w:endnoteRef/>
      </w:r>
      <w:r>
        <w:t xml:space="preserve">  </w:t>
      </w:r>
      <w:r w:rsidRPr="00342E2B">
        <w:t>Client records are created in VicRoads DLS system from Traffic Infringement Notices (TINs) and court information received via Civic Compliance Victoria (CCV) and the Courtlink system</w:t>
      </w:r>
      <w:r>
        <w:t xml:space="preserve"> used by Victorian </w:t>
      </w:r>
      <w:r w:rsidRPr="00342E2B">
        <w:t>courts. These records are currently not verified from evidence of identity checks and consequently may not be reliable.</w:t>
      </w:r>
    </w:p>
  </w:endnote>
  <w:endnote w:id="317">
    <w:p w14:paraId="5501F1F1" w14:textId="77777777" w:rsidR="003C7C88" w:rsidRDefault="003C7C88" w:rsidP="00C76943">
      <w:pPr>
        <w:pStyle w:val="Footnote"/>
      </w:pPr>
      <w:r w:rsidRPr="00C23537">
        <w:rPr>
          <w:rStyle w:val="EndnoteReference"/>
        </w:rPr>
        <w:endnoteRef/>
      </w:r>
      <w:r w:rsidRPr="00C23537">
        <w:t xml:space="preserve"> </w:t>
      </w:r>
      <w:r>
        <w:t xml:space="preserve"> </w:t>
      </w:r>
      <w:r w:rsidRPr="00C23537">
        <w:t xml:space="preserve">Catchpole J, Pratt K </w:t>
      </w:r>
      <w:r>
        <w:t xml:space="preserve">&amp; </w:t>
      </w:r>
      <w:r w:rsidRPr="00C23537">
        <w:t>Pyta V</w:t>
      </w:r>
      <w:r>
        <w:t xml:space="preserve"> 2014</w:t>
      </w:r>
      <w:r w:rsidRPr="00C23537">
        <w:t xml:space="preserve">, </w:t>
      </w:r>
      <w:r w:rsidRPr="00C23537">
        <w:rPr>
          <w:i/>
        </w:rPr>
        <w:t>Crash Risk of International Visitors to Victoria</w:t>
      </w:r>
      <w:r w:rsidRPr="00C23537">
        <w:t>, RACV Research Report 2014/02, May 2014, p 14</w:t>
      </w:r>
    </w:p>
  </w:endnote>
  <w:endnote w:id="318">
    <w:p w14:paraId="1AD68EF6" w14:textId="77777777" w:rsidR="003C7C88" w:rsidRDefault="003C7C88" w:rsidP="00341B5D">
      <w:pPr>
        <w:pStyle w:val="Footnote"/>
      </w:pPr>
      <w:r>
        <w:rPr>
          <w:rStyle w:val="EndnoteReference"/>
        </w:rPr>
        <w:endnoteRef/>
      </w:r>
      <w:r>
        <w:t xml:space="preserve">   Austroads and National Transport Commission 2016, </w:t>
      </w:r>
      <w:r w:rsidRPr="002A42C2">
        <w:t>Assessing Fitness to Drive – Commercial and Private Vehicle Drivers</w:t>
      </w:r>
      <w:r>
        <w:t xml:space="preserve">: </w:t>
      </w:r>
      <w:r w:rsidRPr="00B1131E">
        <w:t>medical standards for licensing and clinical management guidelines 2016</w:t>
      </w:r>
      <w:r>
        <w:t>, October 2016.</w:t>
      </w:r>
    </w:p>
  </w:endnote>
  <w:endnote w:id="319">
    <w:p w14:paraId="34372DD0" w14:textId="77777777" w:rsidR="003C7C88" w:rsidRDefault="003C7C88" w:rsidP="00341B5D">
      <w:pPr>
        <w:pStyle w:val="Footnote"/>
      </w:pPr>
      <w:r>
        <w:rPr>
          <w:rStyle w:val="EndnoteReference"/>
        </w:rPr>
        <w:endnoteRef/>
      </w:r>
      <w:r>
        <w:t xml:space="preserve">   Austroads 2000, </w:t>
      </w:r>
      <w:r w:rsidRPr="008E5722">
        <w:rPr>
          <w:i/>
        </w:rPr>
        <w:t>Model Licence Re-assessment Procedure for Older and Disabled Drivers</w:t>
      </w:r>
      <w:r>
        <w:t xml:space="preserve">, </w:t>
      </w:r>
      <w:r w:rsidRPr="00DF331C">
        <w:t>AP-R176-00</w:t>
      </w:r>
      <w:r>
        <w:t>, p.II, &lt;</w:t>
      </w:r>
      <w:hyperlink r:id="rId212" w:history="1">
        <w:r w:rsidRPr="009201A7">
          <w:rPr>
            <w:rStyle w:val="Hyperlink"/>
          </w:rPr>
          <w:t>https://trid.trb.org/view/680707</w:t>
        </w:r>
      </w:hyperlink>
      <w:r>
        <w:t>&gt;.</w:t>
      </w:r>
    </w:p>
  </w:endnote>
  <w:endnote w:id="320">
    <w:p w14:paraId="43E5521D" w14:textId="77777777" w:rsidR="003C7C88" w:rsidRDefault="003C7C88" w:rsidP="00341B5D">
      <w:pPr>
        <w:pStyle w:val="Footnote"/>
      </w:pPr>
      <w:r>
        <w:rPr>
          <w:rStyle w:val="EndnoteReference"/>
        </w:rPr>
        <w:endnoteRef/>
      </w:r>
      <w:r>
        <w:t xml:space="preserve">   </w:t>
      </w:r>
      <w:r w:rsidRPr="00AC472A">
        <w:t>Langford J</w:t>
      </w:r>
      <w:r>
        <w:t>,</w:t>
      </w:r>
      <w:r w:rsidRPr="00AC472A">
        <w:t xml:space="preserve"> </w:t>
      </w:r>
      <w:r>
        <w:t xml:space="preserve">Koppel S, </w:t>
      </w:r>
      <w:r w:rsidRPr="00960747">
        <w:t>Bohensky</w:t>
      </w:r>
      <w:r>
        <w:t xml:space="preserve"> M &amp; Newstead S 2008,</w:t>
      </w:r>
      <w:r w:rsidRPr="00AC472A">
        <w:t xml:space="preserve"> </w:t>
      </w:r>
      <w:r>
        <w:t>‘Do age-based mandatory assessments reduce older drivers’ risk to other road users?’</w:t>
      </w:r>
      <w:r w:rsidRPr="00960747">
        <w:rPr>
          <w:i/>
        </w:rPr>
        <w:t xml:space="preserve"> </w:t>
      </w:r>
      <w:r w:rsidRPr="00D0470B">
        <w:rPr>
          <w:i/>
        </w:rPr>
        <w:t>Accident Analysis and Prevention</w:t>
      </w:r>
      <w:r>
        <w:t>,</w:t>
      </w:r>
      <w:r w:rsidRPr="00AC472A">
        <w:t xml:space="preserve"> </w:t>
      </w:r>
      <w:r w:rsidRPr="00960747">
        <w:t xml:space="preserve">40 </w:t>
      </w:r>
      <w:r>
        <w:t>pp</w:t>
      </w:r>
      <w:r w:rsidRPr="00960747">
        <w:t>1913–1918</w:t>
      </w:r>
      <w:r>
        <w:t>, &lt;</w:t>
      </w:r>
      <w:hyperlink r:id="rId213" w:history="1">
        <w:r w:rsidRPr="009201A7">
          <w:rPr>
            <w:rStyle w:val="Hyperlink"/>
          </w:rPr>
          <w:t>https://www.sciencedirect.com/science/article/pii/S0001457508001449?via%3Dihub</w:t>
        </w:r>
      </w:hyperlink>
      <w:r>
        <w:t>&gt;</w:t>
      </w:r>
      <w:r w:rsidRPr="00AC472A">
        <w:t>.</w:t>
      </w:r>
    </w:p>
  </w:endnote>
  <w:endnote w:id="321">
    <w:p w14:paraId="4F8BFC4C" w14:textId="77777777" w:rsidR="003C7C88" w:rsidRDefault="003C7C88" w:rsidP="00341B5D">
      <w:pPr>
        <w:pStyle w:val="Footnote"/>
      </w:pPr>
      <w:r>
        <w:rPr>
          <w:rStyle w:val="EndnoteReference"/>
        </w:rPr>
        <w:endnoteRef/>
      </w:r>
      <w:r>
        <w:t xml:space="preserve">   </w:t>
      </w:r>
      <w:r w:rsidRPr="001C3A5F">
        <w:t>Austroads 2000, Model Licence Re-assessment Procedure for Older and Disab</w:t>
      </w:r>
      <w:r>
        <w:t>led Drivers, AP-R176-00, p.II, &lt;</w:t>
      </w:r>
      <w:hyperlink r:id="rId214" w:history="1">
        <w:r w:rsidRPr="00C04528">
          <w:rPr>
            <w:rStyle w:val="Hyperlink"/>
          </w:rPr>
          <w:t>https://trid.trb.org/view/680707</w:t>
        </w:r>
      </w:hyperlink>
      <w:r>
        <w:t>&gt;.</w:t>
      </w:r>
    </w:p>
  </w:endnote>
  <w:endnote w:id="322">
    <w:p w14:paraId="485AE0AD" w14:textId="77777777" w:rsidR="003C7C88" w:rsidRDefault="003C7C88" w:rsidP="00341B5D">
      <w:pPr>
        <w:pStyle w:val="Footnote"/>
      </w:pPr>
      <w:r>
        <w:rPr>
          <w:rStyle w:val="EndnoteReference"/>
        </w:rPr>
        <w:endnoteRef/>
      </w:r>
      <w:r>
        <w:t xml:space="preserve">   Fildes BN, Charlton J, Pronk J, Langford J, Oxley J &amp; Koppel S 2008, ‘An Australasian Model License Reassessment Procedure for Identifying Potentially Unsafe Drivers’, </w:t>
      </w:r>
      <w:r w:rsidRPr="001135F3">
        <w:rPr>
          <w:i/>
        </w:rPr>
        <w:t>Traffic Injury Prevention</w:t>
      </w:r>
      <w:r>
        <w:t>, 9:4, 350-359, &lt;</w:t>
      </w:r>
      <w:hyperlink w:history="1"/>
      <w:hyperlink r:id="rId215" w:history="1">
        <w:r w:rsidRPr="009201A7">
          <w:rPr>
            <w:rStyle w:val="Hyperlink"/>
          </w:rPr>
          <w:t>https://www.tandfonline.com/doi/pdf/10.1080/15389580802091199</w:t>
        </w:r>
      </w:hyperlink>
      <w:r>
        <w:t>&gt;.</w:t>
      </w:r>
    </w:p>
  </w:endnote>
  <w:endnote w:id="323">
    <w:p w14:paraId="616A2A5B" w14:textId="77777777" w:rsidR="003C7C88" w:rsidRDefault="003C7C88" w:rsidP="00341B5D">
      <w:pPr>
        <w:pStyle w:val="Footnote"/>
      </w:pPr>
      <w:r>
        <w:rPr>
          <w:rStyle w:val="EndnoteReference"/>
        </w:rPr>
        <w:endnoteRef/>
      </w:r>
      <w:r>
        <w:t xml:space="preserve">   Langford J, Fitzharris M, Newstead S &amp; Koppel S 2004, ‘Some consequences of different older driver licensing procedures in Australia’. </w:t>
      </w:r>
      <w:r w:rsidRPr="00AC472A">
        <w:rPr>
          <w:i/>
        </w:rPr>
        <w:t>Accident Analysis and Prevention</w:t>
      </w:r>
      <w:r>
        <w:t>, 36(6), 993–1001, &lt;</w:t>
      </w:r>
      <w:hyperlink r:id="rId216" w:history="1">
        <w:r w:rsidRPr="009201A7">
          <w:rPr>
            <w:rStyle w:val="Hyperlink"/>
          </w:rPr>
          <w:t>https://www.sciencedirect.com/science/article/pii/S000145750300160X</w:t>
        </w:r>
      </w:hyperlink>
      <w:r>
        <w:t xml:space="preserve">&gt;. </w:t>
      </w:r>
    </w:p>
  </w:endnote>
  <w:endnote w:id="324">
    <w:p w14:paraId="40E7D946" w14:textId="77777777" w:rsidR="003C7C88" w:rsidRDefault="003C7C88" w:rsidP="00341B5D">
      <w:pPr>
        <w:pStyle w:val="Footnote"/>
      </w:pPr>
      <w:r>
        <w:rPr>
          <w:rStyle w:val="EndnoteReference"/>
        </w:rPr>
        <w:endnoteRef/>
      </w:r>
      <w:r>
        <w:t xml:space="preserve">   Langford J, Fitzharris M, Newstead S &amp;</w:t>
      </w:r>
      <w:r w:rsidRPr="00417629">
        <w:t xml:space="preserve"> </w:t>
      </w:r>
      <w:r>
        <w:t xml:space="preserve">Koppel S 2004, ‘Effectiveness of mandatory licence testing for older drivers in reducing crash risk among urban older Australian drivers.’ </w:t>
      </w:r>
      <w:r w:rsidRPr="00417629">
        <w:rPr>
          <w:i/>
        </w:rPr>
        <w:t>Traffic Injury and Prevention</w:t>
      </w:r>
      <w:r>
        <w:t>, 5, 1–10. &lt;</w:t>
      </w:r>
      <w:hyperlink r:id="rId217" w:history="1"/>
      <w:hyperlink r:id="rId218" w:history="1">
        <w:r w:rsidRPr="009201A7">
          <w:rPr>
            <w:rStyle w:val="Hyperlink"/>
          </w:rPr>
          <w:t>https://www.tandfonline.com/doi/full/10.1080/15389580490509464</w:t>
        </w:r>
      </w:hyperlink>
      <w:r>
        <w:t xml:space="preserve">&gt;. </w:t>
      </w:r>
    </w:p>
  </w:endnote>
  <w:endnote w:id="325">
    <w:p w14:paraId="198721B5" w14:textId="77777777" w:rsidR="003C7C88" w:rsidRDefault="003C7C88" w:rsidP="00341B5D">
      <w:pPr>
        <w:pStyle w:val="Footnote"/>
      </w:pPr>
      <w:r>
        <w:rPr>
          <w:rStyle w:val="EndnoteReference"/>
        </w:rPr>
        <w:endnoteRef/>
      </w:r>
      <w:r>
        <w:t xml:space="preserve">   Victoria, Tasmania and NT do not prescribe any age-based mandatory medical assessment or road test; NSW and the ACT require annual medical assessments for all licence classes from age 75 years and </w:t>
      </w:r>
      <w:r w:rsidRPr="00286097">
        <w:t>in 2008 NSW introduced modified licences for drivers aged 85 years and over</w:t>
      </w:r>
      <w:r>
        <w:t>,</w:t>
      </w:r>
      <w:r w:rsidRPr="00286097">
        <w:t xml:space="preserve"> </w:t>
      </w:r>
      <w:r>
        <w:t>which require an annual medical assessment, but not the on-road driving assessment (modified licences allow drivers to drive certain distances within their local area to access the services they need. To retain an unrestricted licence, drivers aged 85 years and over must pass an on-road practical drive test); Qld requires persons with a mental or physical incapacity or aged 75 years and over to carry a current medical certificate when driving; SA requires annual medical assessments for drivers aged 70 years and over and a road test annually from age 85 for licence classes other than Car; WA requires annual medical assessments for all licence holders from 80 years of age, unless a medical condition requires earlier assessment</w:t>
      </w:r>
      <w:r w:rsidRPr="00A37809">
        <w:t xml:space="preserve"> </w:t>
      </w:r>
      <w:r>
        <w:t>and a road test annually from age 85 for licence classes other than Car.</w:t>
      </w:r>
    </w:p>
  </w:endnote>
  <w:endnote w:id="326">
    <w:p w14:paraId="7024D6F8" w14:textId="77777777" w:rsidR="003C7C88" w:rsidRDefault="003C7C88" w:rsidP="00341B5D">
      <w:pPr>
        <w:pStyle w:val="Footnote"/>
      </w:pPr>
      <w:r>
        <w:rPr>
          <w:rStyle w:val="EndnoteReference"/>
        </w:rPr>
        <w:endnoteRef/>
      </w:r>
      <w:r>
        <w:t xml:space="preserve">   Ross LA, Browning C, Luszcz MA, Mitchell P &amp; Anstey KJ 2011, ‘Age-based testing for driver’s license renewal: Potential implications for older Australians, </w:t>
      </w:r>
      <w:r w:rsidRPr="006B223C">
        <w:rPr>
          <w:i/>
        </w:rPr>
        <w:t>Journal of the American Geriatric Societ</w:t>
      </w:r>
      <w:r>
        <w:rPr>
          <w:i/>
        </w:rPr>
        <w:t>y</w:t>
      </w:r>
      <w:r>
        <w:t>, 59 (2) 281 – 285, &lt;</w:t>
      </w:r>
      <w:hyperlink r:id="rId219" w:history="1">
        <w:r w:rsidRPr="00973674">
          <w:rPr>
            <w:rStyle w:val="Hyperlink"/>
          </w:rPr>
          <w:t>https://www.ncbi.nlm.nih.gov/pmc/articles/PMC3065853/</w:t>
        </w:r>
      </w:hyperlink>
      <w:r>
        <w:t>&gt;.</w:t>
      </w:r>
    </w:p>
  </w:endnote>
  <w:endnote w:id="327">
    <w:p w14:paraId="5057ED77" w14:textId="77777777" w:rsidR="003C7C88" w:rsidRDefault="003C7C88" w:rsidP="00341B5D">
      <w:pPr>
        <w:pStyle w:val="Footnote"/>
      </w:pPr>
      <w:r>
        <w:rPr>
          <w:rStyle w:val="EndnoteReference"/>
        </w:rPr>
        <w:endnoteRef/>
      </w:r>
      <w:r>
        <w:t xml:space="preserve">   See various studies referred to in Langford J &amp; Koppel S 2006, ‘The case for and against mandatory age-based assessment of older drivers’, </w:t>
      </w:r>
      <w:r w:rsidRPr="001C5977">
        <w:rPr>
          <w:i/>
        </w:rPr>
        <w:t>ScienceDirect</w:t>
      </w:r>
      <w:r>
        <w:t xml:space="preserve">, </w:t>
      </w:r>
      <w:r w:rsidRPr="001C5977">
        <w:t>Transportation Research Part F 9</w:t>
      </w:r>
      <w:r>
        <w:t>,</w:t>
      </w:r>
      <w:r w:rsidRPr="001C5977">
        <w:t xml:space="preserve"> </w:t>
      </w:r>
      <w:r>
        <w:t>pp355-359,  &lt;</w:t>
      </w:r>
      <w:hyperlink r:id="rId220" w:history="1">
        <w:r w:rsidRPr="00973674">
          <w:rPr>
            <w:rStyle w:val="Hyperlink"/>
          </w:rPr>
          <w:t>https://www.sciencedirect.com/science/article/pii/S1369847806000520</w:t>
        </w:r>
      </w:hyperlink>
      <w:r>
        <w:t>&gt;.</w:t>
      </w:r>
    </w:p>
  </w:endnote>
  <w:endnote w:id="328">
    <w:p w14:paraId="583DD45B" w14:textId="77777777" w:rsidR="003C7C88" w:rsidRDefault="003C7C88" w:rsidP="00341B5D">
      <w:pPr>
        <w:pStyle w:val="Footnote"/>
      </w:pPr>
      <w:r>
        <w:rPr>
          <w:rStyle w:val="EndnoteReference"/>
        </w:rPr>
        <w:endnoteRef/>
      </w:r>
      <w:r>
        <w:t xml:space="preserve">  See various studies referred to in Langford J &amp; Koppel S 2006, ‘The case for and against mandatory age-based assessment of older drivers’, </w:t>
      </w:r>
      <w:r w:rsidRPr="001C5977">
        <w:rPr>
          <w:i/>
        </w:rPr>
        <w:t>ScienceDirect</w:t>
      </w:r>
      <w:r>
        <w:t xml:space="preserve">, </w:t>
      </w:r>
      <w:r w:rsidRPr="001C5977">
        <w:t>Transportation Research Part F 9</w:t>
      </w:r>
      <w:r>
        <w:t>,</w:t>
      </w:r>
      <w:r w:rsidRPr="001C5977">
        <w:t xml:space="preserve"> </w:t>
      </w:r>
      <w:r>
        <w:t>pp355-359,  &lt;</w:t>
      </w:r>
      <w:hyperlink r:id="rId221" w:history="1">
        <w:r w:rsidRPr="00973674">
          <w:rPr>
            <w:rStyle w:val="Hyperlink"/>
          </w:rPr>
          <w:t>https://www.sciencedirect.com/science/article/pii/S1369847806000520</w:t>
        </w:r>
      </w:hyperlink>
      <w:r>
        <w:t>&gt;.</w:t>
      </w:r>
    </w:p>
  </w:endnote>
  <w:endnote w:id="329">
    <w:p w14:paraId="57089700" w14:textId="77777777" w:rsidR="003C7C88" w:rsidRDefault="003C7C88" w:rsidP="00341B5D">
      <w:pPr>
        <w:pStyle w:val="Footnote"/>
      </w:pPr>
      <w:r>
        <w:rPr>
          <w:rStyle w:val="EndnoteReference"/>
        </w:rPr>
        <w:endnoteRef/>
      </w:r>
      <w:r>
        <w:t xml:space="preserve">  </w:t>
      </w:r>
      <w:r w:rsidRPr="00EB06CE">
        <w:rPr>
          <w:rStyle w:val="FootnoteChar"/>
        </w:rPr>
        <w:t>UK Older Drivers Task Force, Supporting Safe Driving into Old Age – A National Older Driver Strategy, p8 &amp; p12, &lt;</w:t>
      </w:r>
      <w:hyperlink r:id="rId222" w:history="1">
        <w:r w:rsidRPr="00EB06CE">
          <w:rPr>
            <w:rStyle w:val="FootnoteChar"/>
          </w:rPr>
          <w:t>https://roadsafetyfoundation.org/wp-content/uploads/2017/11/modsfl.pdf</w:t>
        </w:r>
      </w:hyperlink>
      <w:r w:rsidRPr="00EB06CE">
        <w:rPr>
          <w:rStyle w:val="FootnoteChar"/>
        </w:rPr>
        <w:t>&gt;</w:t>
      </w:r>
    </w:p>
  </w:endnote>
  <w:endnote w:id="330">
    <w:p w14:paraId="7F95C312" w14:textId="77777777" w:rsidR="003C7C88" w:rsidRDefault="003C7C88" w:rsidP="00341B5D">
      <w:pPr>
        <w:pStyle w:val="Footnote"/>
      </w:pPr>
      <w:r>
        <w:rPr>
          <w:rStyle w:val="EndnoteReference"/>
        </w:rPr>
        <w:endnoteRef/>
      </w:r>
      <w:r>
        <w:t xml:space="preserve">  Marottoli R, Mendes de Leon C, Glass T, Williams C, Cooney L, &amp; Berkman L 2000, Consequences of Driving Cessation: Decreased Out-of-Home Activity Levels, </w:t>
      </w:r>
      <w:r w:rsidRPr="001864FA">
        <w:rPr>
          <w:i/>
        </w:rPr>
        <w:t>Journal of Gerontology</w:t>
      </w:r>
      <w:r>
        <w:t>, Vol. 55B, No. 6, pp. S334–S340, &lt;</w:t>
      </w:r>
      <w:hyperlink r:id="rId223" w:history="1">
        <w:r w:rsidRPr="00973674">
          <w:rPr>
            <w:rStyle w:val="Hyperlink"/>
          </w:rPr>
          <w:t>https://www.ncbi.nlm.nih.gov/pubmed/11078110</w:t>
        </w:r>
      </w:hyperlink>
      <w:r>
        <w:t xml:space="preserve">&gt;; Stutts J, Wilkins J, Reinfurt D, Rodgman E, &amp; Van Heusen-Causey A 2001, </w:t>
      </w:r>
      <w:r w:rsidRPr="001864FA">
        <w:rPr>
          <w:i/>
        </w:rPr>
        <w:t>The Premature Reduction and Cessation of Driving by Older Men and Women</w:t>
      </w:r>
      <w:r>
        <w:t xml:space="preserve"> (No. Project G.7, Final report), Highway Safety Center, University of North Carolina, Chapel Hill, NC, &lt;</w:t>
      </w:r>
      <w:hyperlink r:id="rId224" w:history="1">
        <w:r w:rsidRPr="00973674">
          <w:rPr>
            <w:rStyle w:val="Hyperlink"/>
          </w:rPr>
          <w:t>https://www.researchgate.net/publication/228483526_The_premature_reduction_and_cessation_of_driving_by_older_men_and_women</w:t>
        </w:r>
      </w:hyperlink>
      <w:r>
        <w:t>&gt;.</w:t>
      </w:r>
    </w:p>
  </w:endnote>
  <w:endnote w:id="331">
    <w:p w14:paraId="2F699535" w14:textId="77777777" w:rsidR="003C7C88" w:rsidRDefault="003C7C88" w:rsidP="00341B5D">
      <w:pPr>
        <w:pStyle w:val="Footnote"/>
      </w:pPr>
      <w:r>
        <w:rPr>
          <w:rStyle w:val="EndnoteReference"/>
        </w:rPr>
        <w:endnoteRef/>
      </w:r>
      <w:r>
        <w:t xml:space="preserve">  Fonda S, Wallace R, &amp; Herzog R 2001, Changes in Driving Patterns and Worsening Depressive Symptoms among Older Adults, </w:t>
      </w:r>
      <w:r w:rsidRPr="001864FA">
        <w:rPr>
          <w:i/>
        </w:rPr>
        <w:t>Journal of Gerontology</w:t>
      </w:r>
      <w:r>
        <w:t>, Vol. 56B, No. 6, pp. S343-S351, &lt;</w:t>
      </w:r>
      <w:hyperlink r:id="rId225" w:history="1">
        <w:r w:rsidRPr="00973674">
          <w:rPr>
            <w:rStyle w:val="Hyperlink"/>
          </w:rPr>
          <w:t>https://pdfs.semanticscholar.org/f350/4f3aace4b1648bd6105d406df7db71d7b6c9.pdf</w:t>
        </w:r>
      </w:hyperlink>
      <w:r>
        <w:t>&gt;.</w:t>
      </w:r>
    </w:p>
  </w:endnote>
  <w:endnote w:id="332">
    <w:p w14:paraId="008DDBEA" w14:textId="77777777" w:rsidR="003C7C88" w:rsidRDefault="003C7C88" w:rsidP="00341B5D">
      <w:pPr>
        <w:pStyle w:val="Footnote"/>
      </w:pPr>
      <w:r>
        <w:rPr>
          <w:rStyle w:val="EndnoteReference"/>
        </w:rPr>
        <w:endnoteRef/>
      </w:r>
      <w:r>
        <w:t xml:space="preserve">  Richard</w:t>
      </w:r>
      <w:r w:rsidRPr="00462894">
        <w:t xml:space="preserve"> CM, Magee K, Bacon-Abdelmoteleb P, </w:t>
      </w:r>
      <w:r>
        <w:t xml:space="preserve">&amp; </w:t>
      </w:r>
      <w:r w:rsidRPr="00462894">
        <w:t>Brown JL 2018</w:t>
      </w:r>
      <w:r>
        <w:t>,</w:t>
      </w:r>
      <w:r w:rsidRPr="00462894">
        <w:t xml:space="preserve"> </w:t>
      </w:r>
      <w:r w:rsidRPr="00462894">
        <w:rPr>
          <w:i/>
          <w:iCs/>
        </w:rPr>
        <w:t xml:space="preserve">Countermeasures that work: A highway safety countermeasure guide for State Highway Safety Offices, </w:t>
      </w:r>
      <w:r w:rsidRPr="00050BEC">
        <w:rPr>
          <w:iCs/>
        </w:rPr>
        <w:t>Ninth edition</w:t>
      </w:r>
      <w:r w:rsidRPr="00462894">
        <w:rPr>
          <w:i/>
          <w:iCs/>
        </w:rPr>
        <w:t xml:space="preserve"> </w:t>
      </w:r>
      <w:r>
        <w:t>(Report No. DOT HS 812 478),</w:t>
      </w:r>
      <w:r w:rsidRPr="00462894">
        <w:t xml:space="preserve"> April </w:t>
      </w:r>
      <w:r>
        <w:t xml:space="preserve">2018, </w:t>
      </w:r>
      <w:r w:rsidRPr="00462894">
        <w:t>National Highwa</w:t>
      </w:r>
      <w:r>
        <w:t>y Traffic Safety Administration,</w:t>
      </w:r>
      <w:r w:rsidRPr="00462894">
        <w:t xml:space="preserve"> </w:t>
      </w:r>
      <w:r>
        <w:t>Washington, DC, &lt;</w:t>
      </w:r>
      <w:hyperlink r:id="rId226" w:history="1">
        <w:r>
          <w:rPr>
            <w:rStyle w:val="Hyperlink"/>
          </w:rPr>
          <w:t>https://www.nhtsa.gov/sites/nhtsa.dot.gov/files/documents/812478-countermeasures-that-work-a-highway-safety-countermeasures-guide-.pdf</w:t>
        </w:r>
      </w:hyperlink>
      <w:r>
        <w:t>&gt;;</w:t>
      </w:r>
    </w:p>
  </w:endnote>
  <w:endnote w:id="333">
    <w:p w14:paraId="5D3A4253" w14:textId="77777777" w:rsidR="003C7C88" w:rsidRPr="00533C07" w:rsidRDefault="003C7C88" w:rsidP="00341B5D">
      <w:pPr>
        <w:pStyle w:val="Footnote"/>
        <w:rPr>
          <w:rStyle w:val="EndnoteReference"/>
        </w:rPr>
      </w:pPr>
      <w:r w:rsidRPr="00533C07">
        <w:rPr>
          <w:rStyle w:val="EndnoteReference"/>
        </w:rPr>
        <w:endnoteRef/>
      </w:r>
      <w:r w:rsidRPr="00533C07">
        <w:rPr>
          <w:rStyle w:val="EndnoteReference"/>
        </w:rPr>
        <w:t xml:space="preserve"> [</w:t>
      </w:r>
      <w:r w:rsidRPr="00533C07">
        <w:rPr>
          <w:rStyle w:val="EndnoteReference"/>
          <w:vertAlign w:val="baseline"/>
        </w:rPr>
        <w:t xml:space="preserve">Austroads (2016) Assessing Fitness to Drive for commercial and private vehicle drivers  </w:t>
      </w:r>
      <w:r>
        <w:t>&lt;</w:t>
      </w:r>
      <w:hyperlink r:id="rId227" w:history="1">
        <w:r w:rsidRPr="00E7315E">
          <w:rPr>
            <w:rStyle w:val="Hyperlink"/>
          </w:rPr>
          <w:t>https://austroads.com.au/publications/assessing-fitness-to-drive/ap-g56</w:t>
        </w:r>
      </w:hyperlink>
      <w:r>
        <w:t>&gt;</w:t>
      </w:r>
    </w:p>
  </w:endnote>
  <w:endnote w:id="334">
    <w:p w14:paraId="1F0F4B56" w14:textId="77777777" w:rsidR="003C7C88" w:rsidRPr="00C44FA8" w:rsidRDefault="003C7C88" w:rsidP="00341B5D">
      <w:pPr>
        <w:pStyle w:val="EndnoteText"/>
        <w:rPr>
          <w:lang w:val="en-US"/>
        </w:rPr>
      </w:pPr>
      <w:r w:rsidRPr="00C44FA8">
        <w:rPr>
          <w:rStyle w:val="EndnoteReference"/>
          <w:sz w:val="16"/>
          <w:szCs w:val="16"/>
        </w:rPr>
        <w:endnoteRef/>
      </w:r>
      <w:r>
        <w:t xml:space="preserve"> </w:t>
      </w:r>
      <w:r w:rsidRPr="00C44FA8">
        <w:rPr>
          <w:rStyle w:val="EndnoteReference"/>
          <w:rFonts w:ascii="Segoe UI" w:hAnsi="Segoe UI"/>
          <w:sz w:val="16"/>
          <w:vertAlign w:val="baseline"/>
        </w:rPr>
        <w:t xml:space="preserve">The South Australian model considered as an option in the MCA is the model that prevailed in that State until July 2015; </w:t>
      </w:r>
      <w:r>
        <w:rPr>
          <w:rStyle w:val="EndnoteReference"/>
          <w:rFonts w:ascii="Segoe UI" w:hAnsi="Segoe UI"/>
          <w:sz w:val="16"/>
          <w:vertAlign w:val="baseline"/>
        </w:rPr>
        <w:t>s</w:t>
      </w:r>
      <w:r>
        <w:rPr>
          <w:rFonts w:ascii="Segoe UI" w:hAnsi="Segoe UI"/>
          <w:sz w:val="16"/>
        </w:rPr>
        <w:t>ubsequently</w:t>
      </w:r>
      <w:r w:rsidRPr="00C44FA8">
        <w:rPr>
          <w:rStyle w:val="EndnoteReference"/>
          <w:rFonts w:ascii="Segoe UI" w:hAnsi="Segoe UI"/>
          <w:sz w:val="16"/>
          <w:vertAlign w:val="baseline"/>
        </w:rPr>
        <w:t xml:space="preserve"> drivers </w:t>
      </w:r>
      <w:r>
        <w:rPr>
          <w:rFonts w:ascii="Segoe UI" w:hAnsi="Segoe UI"/>
          <w:sz w:val="16"/>
        </w:rPr>
        <w:t xml:space="preserve">have had to </w:t>
      </w:r>
      <w:r w:rsidRPr="00C44FA8">
        <w:rPr>
          <w:rStyle w:val="EndnoteReference"/>
          <w:rFonts w:ascii="Segoe UI" w:hAnsi="Segoe UI"/>
          <w:sz w:val="16"/>
          <w:vertAlign w:val="baseline"/>
        </w:rPr>
        <w:t xml:space="preserve">undertake a medical self-assessment from age 75 </w:t>
      </w:r>
      <w:hyperlink r:id="rId228" w:history="1">
        <w:r w:rsidRPr="00C44FA8">
          <w:rPr>
            <w:rStyle w:val="EndnoteReference"/>
            <w:rFonts w:ascii="Segoe UI" w:hAnsi="Segoe UI"/>
            <w:sz w:val="16"/>
            <w:vertAlign w:val="baseline"/>
          </w:rPr>
          <w:t>https://dpti.sa.gov.au/news?a=171469</w:t>
        </w:r>
      </w:hyperlink>
    </w:p>
  </w:endnote>
  <w:endnote w:id="335">
    <w:p w14:paraId="28C9F7BD" w14:textId="77777777" w:rsidR="003C7C88" w:rsidRPr="00533C07" w:rsidRDefault="003C7C88" w:rsidP="00341B5D">
      <w:pPr>
        <w:pStyle w:val="Footnote"/>
        <w:rPr>
          <w:rStyle w:val="EndnoteReference"/>
        </w:rPr>
      </w:pPr>
      <w:r w:rsidRPr="00533C07">
        <w:rPr>
          <w:rStyle w:val="EndnoteReference"/>
        </w:rPr>
        <w:endnoteRef/>
      </w:r>
      <w:r w:rsidRPr="00533C07">
        <w:rPr>
          <w:rStyle w:val="EndnoteReference"/>
        </w:rPr>
        <w:t xml:space="preserve"> </w:t>
      </w:r>
      <w:r>
        <w:tab/>
      </w:r>
      <w:r w:rsidRPr="00533C07">
        <w:rPr>
          <w:rStyle w:val="EndnoteReference"/>
          <w:vertAlign w:val="baseline"/>
        </w:rPr>
        <w:t xml:space="preserve">ACT prescribes </w:t>
      </w:r>
      <w:r w:rsidRPr="002E3C50">
        <w:rPr>
          <w:rStyle w:val="EndnoteReference"/>
          <w:vertAlign w:val="baseline"/>
        </w:rPr>
        <w:t>vision</w:t>
      </w:r>
      <w:r w:rsidRPr="00533C07">
        <w:rPr>
          <w:rStyle w:val="EndnoteReference"/>
          <w:vertAlign w:val="baseline"/>
        </w:rPr>
        <w:t xml:space="preserve"> tests from age 50, which more onerous than anywhere else, but doesn’t have mandatory age-based road tests</w:t>
      </w:r>
    </w:p>
  </w:endnote>
  <w:endnote w:id="336">
    <w:p w14:paraId="6731CACD" w14:textId="77777777" w:rsidR="003C7C88" w:rsidRPr="00533C07" w:rsidRDefault="003C7C88" w:rsidP="00341B5D">
      <w:pPr>
        <w:pStyle w:val="Footnote"/>
        <w:rPr>
          <w:rStyle w:val="EndnoteReference"/>
        </w:rPr>
      </w:pPr>
      <w:r w:rsidRPr="00533C07">
        <w:rPr>
          <w:rStyle w:val="EndnoteReference"/>
        </w:rPr>
        <w:endnoteRef/>
      </w:r>
      <w:r w:rsidRPr="00533C07">
        <w:rPr>
          <w:rStyle w:val="EndnoteReference"/>
        </w:rPr>
        <w:t xml:space="preserve"> </w:t>
      </w:r>
      <w:r>
        <w:tab/>
      </w:r>
      <w:hyperlink r:id="rId229" w:history="1">
        <w:r w:rsidRPr="00533C07">
          <w:rPr>
            <w:rStyle w:val="EndnoteReference"/>
            <w:vertAlign w:val="baseline"/>
          </w:rPr>
          <w:t>Langford J</w:t>
        </w:r>
      </w:hyperlink>
      <w:r w:rsidRPr="00533C07">
        <w:rPr>
          <w:rStyle w:val="EndnoteReference"/>
          <w:vertAlign w:val="baseline"/>
        </w:rPr>
        <w:t xml:space="preserve">, </w:t>
      </w:r>
      <w:hyperlink r:id="rId230" w:history="1">
        <w:r w:rsidRPr="00533C07">
          <w:rPr>
            <w:rStyle w:val="EndnoteReference"/>
            <w:vertAlign w:val="baseline"/>
          </w:rPr>
          <w:t>Bohensky M</w:t>
        </w:r>
      </w:hyperlink>
      <w:r w:rsidRPr="00533C07">
        <w:rPr>
          <w:rStyle w:val="EndnoteReference"/>
          <w:vertAlign w:val="baseline"/>
        </w:rPr>
        <w:t xml:space="preserve">, </w:t>
      </w:r>
      <w:hyperlink r:id="rId231" w:history="1">
        <w:r w:rsidRPr="00533C07">
          <w:rPr>
            <w:rStyle w:val="EndnoteReference"/>
            <w:vertAlign w:val="baseline"/>
          </w:rPr>
          <w:t>Koppel S</w:t>
        </w:r>
      </w:hyperlink>
      <w:r w:rsidRPr="00533C07">
        <w:rPr>
          <w:rStyle w:val="EndnoteReference"/>
          <w:vertAlign w:val="baseline"/>
        </w:rPr>
        <w:t xml:space="preserve">, </w:t>
      </w:r>
      <w:hyperlink r:id="rId232" w:history="1">
        <w:r w:rsidRPr="00533C07">
          <w:rPr>
            <w:rStyle w:val="EndnoteReference"/>
            <w:vertAlign w:val="baseline"/>
          </w:rPr>
          <w:t>Newstead S</w:t>
        </w:r>
      </w:hyperlink>
      <w:r w:rsidRPr="00533C07">
        <w:rPr>
          <w:rStyle w:val="EndnoteReference"/>
          <w:vertAlign w:val="baseline"/>
        </w:rPr>
        <w:t xml:space="preserve">. “Do age-based mandatory assessments reduce older drivers' risk to other road users?” </w:t>
      </w:r>
      <w:hyperlink r:id="rId233" w:tooltip="Accident; analysis and prevention." w:history="1">
        <w:r w:rsidRPr="00533C07">
          <w:rPr>
            <w:rStyle w:val="EndnoteReference"/>
            <w:vertAlign w:val="baseline"/>
          </w:rPr>
          <w:t>Accid Anal Prev.</w:t>
        </w:r>
      </w:hyperlink>
      <w:r w:rsidRPr="00533C07">
        <w:rPr>
          <w:rStyle w:val="EndnoteReference"/>
          <w:vertAlign w:val="baseline"/>
        </w:rPr>
        <w:t xml:space="preserve"> 2008 Nov;40(6):1913-8. doi: 10.1016/j.aap.2008.08.010. Epub 2008 Sep 4; </w:t>
      </w:r>
      <w:hyperlink r:id="rId234" w:history="1">
        <w:r w:rsidRPr="00533C07">
          <w:rPr>
            <w:rStyle w:val="EndnoteReference"/>
            <w:vertAlign w:val="baseline"/>
          </w:rPr>
          <w:t>Langford J</w:t>
        </w:r>
      </w:hyperlink>
      <w:r w:rsidRPr="00533C07">
        <w:rPr>
          <w:rStyle w:val="EndnoteReference"/>
          <w:vertAlign w:val="baseline"/>
        </w:rPr>
        <w:t xml:space="preserve">1, </w:t>
      </w:r>
      <w:hyperlink r:id="rId235" w:history="1">
        <w:r w:rsidRPr="00533C07">
          <w:rPr>
            <w:rStyle w:val="EndnoteReference"/>
            <w:vertAlign w:val="baseline"/>
          </w:rPr>
          <w:t>Fitzharris M</w:t>
        </w:r>
      </w:hyperlink>
      <w:r w:rsidRPr="00533C07">
        <w:rPr>
          <w:rStyle w:val="EndnoteReference"/>
          <w:vertAlign w:val="baseline"/>
        </w:rPr>
        <w:t xml:space="preserve">, </w:t>
      </w:r>
      <w:hyperlink r:id="rId236" w:history="1">
        <w:r w:rsidRPr="00533C07">
          <w:rPr>
            <w:rStyle w:val="EndnoteReference"/>
            <w:vertAlign w:val="baseline"/>
          </w:rPr>
          <w:t>Koppel S</w:t>
        </w:r>
      </w:hyperlink>
      <w:r w:rsidRPr="00533C07">
        <w:rPr>
          <w:rStyle w:val="EndnoteReference"/>
          <w:vertAlign w:val="baseline"/>
        </w:rPr>
        <w:t xml:space="preserve">, </w:t>
      </w:r>
      <w:hyperlink r:id="rId237" w:history="1">
        <w:r w:rsidRPr="00533C07">
          <w:rPr>
            <w:rStyle w:val="EndnoteReference"/>
            <w:vertAlign w:val="baseline"/>
          </w:rPr>
          <w:t>Newstead S</w:t>
        </w:r>
      </w:hyperlink>
      <w:r w:rsidRPr="00533C07">
        <w:rPr>
          <w:rStyle w:val="EndnoteReference"/>
          <w:vertAlign w:val="baseline"/>
        </w:rPr>
        <w:t xml:space="preserve">. “Effectiveness of mandatory license testing for older drivers in reducing crash risk among urban older Australian drivers”, </w:t>
      </w:r>
      <w:hyperlink r:id="rId238" w:tooltip="Traffic injury prevention." w:history="1">
        <w:r w:rsidRPr="00533C07">
          <w:rPr>
            <w:rStyle w:val="EndnoteReference"/>
            <w:vertAlign w:val="baseline"/>
          </w:rPr>
          <w:t>Traffic Inj Prev.</w:t>
        </w:r>
      </w:hyperlink>
      <w:r w:rsidRPr="00533C07">
        <w:rPr>
          <w:rStyle w:val="EndnoteReference"/>
          <w:vertAlign w:val="baseline"/>
        </w:rPr>
        <w:t xml:space="preserve"> 2004 Dec;5(4):326-35.</w:t>
      </w:r>
    </w:p>
  </w:endnote>
  <w:endnote w:id="337">
    <w:p w14:paraId="7C3DFCB3" w14:textId="77777777" w:rsidR="003C7C88" w:rsidRPr="00533C07" w:rsidRDefault="003C7C88" w:rsidP="00341B5D">
      <w:pPr>
        <w:pStyle w:val="Footnote"/>
      </w:pPr>
      <w:r w:rsidRPr="00FB4BD5">
        <w:rPr>
          <w:rStyle w:val="EndnoteReference"/>
        </w:rPr>
        <w:endnoteRef/>
      </w:r>
      <w:r w:rsidRPr="00533C07">
        <w:rPr>
          <w:rStyle w:val="EndnoteReference"/>
        </w:rPr>
        <w:t xml:space="preserve"> </w:t>
      </w:r>
      <w:r>
        <w:tab/>
      </w:r>
      <w:hyperlink r:id="rId239" w:history="1">
        <w:r w:rsidRPr="00E7315E">
          <w:rPr>
            <w:rStyle w:val="Hyperlink"/>
          </w:rPr>
          <w:t>https://dpti.sa.gov.au/__data/assets/pdf_file/0010/112330/Older_Road_Users.pdf</w:t>
        </w:r>
      </w:hyperlink>
    </w:p>
  </w:endnote>
  <w:endnote w:id="338">
    <w:p w14:paraId="7114643F" w14:textId="77777777" w:rsidR="003C7C88" w:rsidRPr="005D3C22" w:rsidRDefault="003C7C88" w:rsidP="00341B5D">
      <w:pPr>
        <w:pStyle w:val="Footnote"/>
        <w:rPr>
          <w:rStyle w:val="EndnoteReference"/>
        </w:rPr>
      </w:pPr>
      <w:r w:rsidRPr="002A6CA2">
        <w:rPr>
          <w:rStyle w:val="EndnoteReference"/>
        </w:rPr>
        <w:endnoteRef/>
      </w:r>
      <w:r w:rsidRPr="002A6CA2">
        <w:rPr>
          <w:rStyle w:val="EndnoteReference"/>
        </w:rPr>
        <w:t xml:space="preserve"> </w:t>
      </w:r>
      <w:r>
        <w:t xml:space="preserve"> </w:t>
      </w:r>
      <w:r w:rsidRPr="002A6CA2">
        <w:rPr>
          <w:rStyle w:val="EndnoteReference"/>
          <w:vertAlign w:val="baseline"/>
        </w:rPr>
        <w:t>There is ample evidence that older drivers have higher crash rates than younger drivers e.g. Koppel S, et. al, 2011, “Older drivers, crash rates and injuries”, Traffic Injury Prevention, 12(5), 459-467. The Department is not aware of any published evidence that very old drivers (say 80+ or 85+) have even higher crash risk than moderately old drivers but understands that this issue is currently the subject of research. Intuitively, it seems reasonable to presume that this is true given that the incidence of medical conditions that may impair driving ability does increase into very old age e.g. people aged over 85 account for 43 per cent of cases of dementia, and the proportion of people with dementia aged 85+ is close to three times the proportion of people aged 75-84  https://www.aihw.gov.au/getmedia/7cbc5e72-758a-4878-9347-beaa26de6608/ah16-3-12-dementia.pdf.aspx</w:t>
      </w:r>
      <w:r w:rsidRPr="002A6CA2">
        <w:rPr>
          <w:rStyle w:val="EndnoteReference"/>
        </w:rPr>
        <w:t xml:space="preserve"> </w:t>
      </w:r>
    </w:p>
  </w:endnote>
  <w:endnote w:id="339">
    <w:p w14:paraId="3656C397" w14:textId="77777777" w:rsidR="003C7C88" w:rsidRPr="009855D1" w:rsidRDefault="003C7C88" w:rsidP="00341B5D">
      <w:pPr>
        <w:pStyle w:val="Footnote"/>
        <w:rPr>
          <w:lang w:val="en-US"/>
        </w:rPr>
      </w:pPr>
      <w:r w:rsidRPr="00895DDE">
        <w:rPr>
          <w:vertAlign w:val="superscript"/>
        </w:rPr>
        <w:endnoteRef/>
      </w:r>
      <w:r w:rsidRPr="00895DDE">
        <w:rPr>
          <w:vertAlign w:val="superscript"/>
        </w:rPr>
        <w:t xml:space="preserve"> </w:t>
      </w:r>
      <w:r>
        <w:rPr>
          <w:vertAlign w:val="superscript"/>
        </w:rPr>
        <w:t xml:space="preserve">  </w:t>
      </w:r>
      <w:r w:rsidRPr="00B07DDD">
        <w:t>The cost of the vision and medical tests has been c</w:t>
      </w:r>
      <w:r w:rsidRPr="003116BE">
        <w:t xml:space="preserve">alculated as follows. </w:t>
      </w:r>
      <w:r w:rsidRPr="009855D1">
        <w:t>According to the 1 July 2019 Medicare Benefits Schedule, the standard fee for a comprehensive initial optometrical initial consultation</w:t>
      </w:r>
      <w:r w:rsidRPr="009855D1">
        <w:rPr>
          <w:rStyle w:val="EndnoteReference"/>
        </w:rPr>
        <w:t xml:space="preserve"> </w:t>
      </w:r>
      <w:r w:rsidRPr="009855D1">
        <w:t xml:space="preserve">for a patient who is at least 65 years of age is $67.85; for a professional attendance by a general practitioner the fee is $38.20.  Some (unknown) number of older drivers may additionally require examination by a specialist e.g. a neurologist, for which the standard fee is usually well over $100.  </w:t>
      </w:r>
      <w:r>
        <w:t>After a</w:t>
      </w:r>
      <w:r w:rsidRPr="009855D1">
        <w:t xml:space="preserve">dding the resource cost of attendance at the examinations by the older driver (time and travel) an average cost of $200 is a reasonable estimate. </w:t>
      </w:r>
    </w:p>
  </w:endnote>
  <w:endnote w:id="340">
    <w:p w14:paraId="399A57B1" w14:textId="77777777" w:rsidR="003C7C88" w:rsidRPr="00895DDE" w:rsidRDefault="003C7C88" w:rsidP="00341B5D">
      <w:pPr>
        <w:pStyle w:val="Footnote"/>
        <w:rPr>
          <w:rStyle w:val="EndnoteReference"/>
        </w:rPr>
      </w:pPr>
      <w:r w:rsidRPr="00895DDE">
        <w:rPr>
          <w:rStyle w:val="EndnoteReference"/>
        </w:rPr>
        <w:endnoteRef/>
      </w:r>
      <w:r w:rsidRPr="00895DDE">
        <w:rPr>
          <w:rStyle w:val="EndnoteReference"/>
        </w:rPr>
        <w:t xml:space="preserve"> </w:t>
      </w:r>
      <w:r>
        <w:rPr>
          <w:rStyle w:val="EndnoteReference"/>
        </w:rPr>
        <w:t xml:space="preserve"> </w:t>
      </w:r>
      <w:r>
        <w:t xml:space="preserve"> </w:t>
      </w:r>
      <w:r w:rsidRPr="00895DDE">
        <w:rPr>
          <w:rStyle w:val="EndnoteReference"/>
          <w:vertAlign w:val="baseline"/>
        </w:rPr>
        <w:t>Licensed drivers who are not active will presumably choose not to take the tests, so the cost for non-active licensed drivers will be zero, hence the community cost will be the number of active drivers multiplied by the cost per active driver.</w:t>
      </w:r>
    </w:p>
  </w:endnote>
  <w:endnote w:id="341">
    <w:p w14:paraId="7122E0FD" w14:textId="77777777" w:rsidR="003C7C88" w:rsidRPr="00895DDE" w:rsidRDefault="003C7C88" w:rsidP="00341B5D">
      <w:pPr>
        <w:pStyle w:val="Footnote"/>
        <w:rPr>
          <w:rStyle w:val="EndnoteReference"/>
        </w:rPr>
      </w:pPr>
      <w:r w:rsidRPr="00895DDE">
        <w:rPr>
          <w:rStyle w:val="EndnoteReference"/>
        </w:rPr>
        <w:endnoteRef/>
      </w:r>
      <w:r w:rsidRPr="00895DDE">
        <w:rPr>
          <w:rStyle w:val="EndnoteReference"/>
        </w:rPr>
        <w:t xml:space="preserve"> </w:t>
      </w:r>
      <w:r>
        <w:rPr>
          <w:rStyle w:val="EndnoteReference"/>
        </w:rPr>
        <w:t xml:space="preserve"> </w:t>
      </w:r>
      <w:r>
        <w:t xml:space="preserve"> </w:t>
      </w:r>
      <w:r w:rsidRPr="00895DDE">
        <w:rPr>
          <w:rStyle w:val="EndnoteReference"/>
          <w:vertAlign w:val="baseline"/>
        </w:rPr>
        <w:t>Estimated as follows: assuming the hourly salary of the driving tester plus amortised overheads of testing organisation is $100 and that the number of hours per person per test is three (including notifying the licence holder and writing up and submitting a report on the test), then community costs are $300 per test.</w:t>
      </w:r>
    </w:p>
  </w:endnote>
  <w:endnote w:id="342">
    <w:p w14:paraId="621E32E2" w14:textId="77777777" w:rsidR="003C7C88" w:rsidRPr="00895DDE" w:rsidRDefault="003C7C88" w:rsidP="00341B5D">
      <w:pPr>
        <w:pStyle w:val="Footnote"/>
        <w:rPr>
          <w:rStyle w:val="EndnoteReference"/>
        </w:rPr>
      </w:pPr>
      <w:r w:rsidRPr="00895DDE">
        <w:rPr>
          <w:rStyle w:val="EndnoteReference"/>
        </w:rPr>
        <w:endnoteRef/>
      </w:r>
      <w:r w:rsidRPr="00895DDE">
        <w:rPr>
          <w:rStyle w:val="EndnoteReference"/>
        </w:rPr>
        <w:t xml:space="preserve"> </w:t>
      </w:r>
      <w:r>
        <w:rPr>
          <w:rStyle w:val="EndnoteReference"/>
        </w:rPr>
        <w:t xml:space="preserve"> </w:t>
      </w:r>
      <w:r>
        <w:t xml:space="preserve"> </w:t>
      </w:r>
      <w:r w:rsidRPr="00895DDE">
        <w:rPr>
          <w:rStyle w:val="EndnoteReference"/>
          <w:vertAlign w:val="baseline"/>
        </w:rPr>
        <w:t>As discussed above, this is a maximum cost, with the extent to which the actual cost approaches the maximum depending on how many older licence holders are active drivers (which is not known) and furthermore on how many older active drivers would choose to take the tests should they come into effect (which is also not known).  To a first approximation, these unknowns do not affect the relative merits of the South Australian and Western Australian models. Under extreme circumstances, they may affect the comparisons to the base case; for example, if the existence mandatory aged based testing caused all older drivers to cease drivers, then there would be no costs of testing, as there is with the base case, because are no tests in the base case.  This extreme case highly unlikely, however, because in States where mandatory aged base testing exists older drivers do keep on driving.</w:t>
      </w:r>
      <w:r w:rsidRPr="00895DDE">
        <w:rPr>
          <w:rStyle w:val="EndnoteReference"/>
        </w:rPr>
        <w:t xml:space="preserve">   </w:t>
      </w:r>
    </w:p>
  </w:endnote>
  <w:endnote w:id="343">
    <w:p w14:paraId="3B92F460" w14:textId="77777777" w:rsidR="003C7C88" w:rsidRPr="00895DDE" w:rsidRDefault="003C7C88" w:rsidP="00341B5D">
      <w:pPr>
        <w:pStyle w:val="Footnote"/>
        <w:rPr>
          <w:rFonts w:cs="Segoe UI"/>
          <w:szCs w:val="16"/>
          <w:lang w:val="en-US"/>
        </w:rPr>
      </w:pPr>
      <w:r w:rsidRPr="00895DDE">
        <w:rPr>
          <w:rStyle w:val="EndnoteReference"/>
        </w:rPr>
        <w:endnoteRef/>
      </w:r>
      <w:r w:rsidRPr="00895DDE">
        <w:rPr>
          <w:rStyle w:val="EndnoteReference"/>
        </w:rPr>
        <w:t xml:space="preserve"> </w:t>
      </w:r>
      <w:r>
        <w:rPr>
          <w:rStyle w:val="EndnoteReference"/>
        </w:rPr>
        <w:t xml:space="preserve"> </w:t>
      </w:r>
      <w:r>
        <w:t xml:space="preserve"> </w:t>
      </w:r>
      <w:r w:rsidRPr="00895DDE">
        <w:rPr>
          <w:rStyle w:val="EndnoteReference"/>
          <w:vertAlign w:val="baseline"/>
        </w:rPr>
        <w:t>Estimated as follows: assuming the hourly salary of the government administrator plus amortised set up costs is $67 and that the number of hours per person per test is three (time spent communicating with the licence holder before and after the tests, communicating with medical testers,  ensuring test results are properly filed)  then government costs are $200 per test.</w:t>
      </w:r>
    </w:p>
  </w:endnote>
  <w:endnote w:id="344">
    <w:p w14:paraId="0FB5CC69" w14:textId="77777777" w:rsidR="003C7C88" w:rsidRPr="009855D1" w:rsidRDefault="003C7C88" w:rsidP="00341B5D">
      <w:pPr>
        <w:pStyle w:val="Footnote"/>
        <w:rPr>
          <w:lang w:val="en-US"/>
        </w:rPr>
      </w:pPr>
      <w:r w:rsidRPr="00895DDE">
        <w:rPr>
          <w:rStyle w:val="EndnoteReference"/>
        </w:rPr>
        <w:endnoteRef/>
      </w:r>
      <w:r w:rsidRPr="00895DDE">
        <w:rPr>
          <w:rStyle w:val="EndnoteReference"/>
        </w:rPr>
        <w:t xml:space="preserve"> </w:t>
      </w:r>
      <w:r>
        <w:rPr>
          <w:rStyle w:val="EndnoteReference"/>
        </w:rPr>
        <w:t xml:space="preserve"> </w:t>
      </w:r>
      <w:r>
        <w:t xml:space="preserve"> </w:t>
      </w:r>
      <w:r w:rsidRPr="00895DDE">
        <w:rPr>
          <w:rStyle w:val="EndnoteReference"/>
          <w:vertAlign w:val="baseline"/>
        </w:rPr>
        <w:t xml:space="preserve">Fonda, S., Wallace, R., &amp; Herzog, A. (2001). Changes in driving patterns and worsening depressive symptoms among older adults. Journal of Gerontology series B-Psychological Sciences &amp; Socials Sciences, 56B(6), S343-351, Edwards, J., Perkins, M., Ross, L., &amp; Reynolds, S. (2009). Driving status and three-year mortality among community-dwelling older adults. The Journals of Gerontology Series A: Biological Sciences and Medical Sciences, 64A(2), 300-305,  Freeman, E., Gange, S. J., Munoz, B., &amp; West, S. K. (2006). Driving status and risk of entry into long-term care in older adults. American Journal of Public Health, 96, 1254-1259, Marottoli, R., Mendes de Leon, C., Glass, T., Williams, C., Cooney, L., &amp; Berkman, L. (2000). Consequences of driving cessation. The Journals of Gerontology Series B: Psychological Sciences and Social Sciences, 55(6), S334-S340, Marottoli, R., Mendes de Leon, C.F., Glass, T.A., Williams, C.S., Cooney, L.M., Berkman, L.F., &amp; Tinetti, M.E. (1997). Driving cessation and increased depressive symptoms: prospective evidence from the new haven epese. established populations for epidemiologic studies of the elderly. Journal of the American Geriatrics Society, 45(2), 202-206. </w:t>
      </w:r>
    </w:p>
  </w:endnote>
  <w:endnote w:id="345">
    <w:p w14:paraId="4C6FA133" w14:textId="77777777" w:rsidR="003C7C88" w:rsidRPr="00260B5A" w:rsidRDefault="003C7C88" w:rsidP="00341B5D">
      <w:pPr>
        <w:pStyle w:val="EndnoteText"/>
        <w:rPr>
          <w:rFonts w:ascii="Segoe UI" w:hAnsi="Segoe UI" w:cs="Segoe UI"/>
          <w:sz w:val="16"/>
          <w:szCs w:val="16"/>
          <w:lang w:val="en-US"/>
        </w:rPr>
      </w:pPr>
      <w:r w:rsidRPr="00260B5A">
        <w:rPr>
          <w:rStyle w:val="EndnoteReference"/>
          <w:rFonts w:ascii="Segoe UI" w:hAnsi="Segoe UI" w:cs="Segoe UI"/>
          <w:sz w:val="16"/>
          <w:szCs w:val="16"/>
        </w:rPr>
        <w:endnoteRef/>
      </w:r>
      <w:r w:rsidRPr="00260B5A">
        <w:rPr>
          <w:rFonts w:ascii="Segoe UI" w:hAnsi="Segoe UI" w:cs="Segoe UI"/>
        </w:rPr>
        <w:t xml:space="preserve"> </w:t>
      </w:r>
      <w:hyperlink r:id="rId240" w:history="1">
        <w:r w:rsidRPr="00260B5A">
          <w:rPr>
            <w:rFonts w:ascii="Segoe UI" w:hAnsi="Segoe UI" w:cs="Segoe UI"/>
            <w:color w:val="0000FF"/>
            <w:sz w:val="16"/>
            <w:szCs w:val="16"/>
            <w:u w:val="single"/>
          </w:rPr>
          <w:t>https://www.coronerscourt.vic.gov.au/sites/default/files/2018-12/pamelalouiseelsdon_555416.pdf</w:t>
        </w:r>
      </w:hyperlink>
    </w:p>
  </w:endnote>
  <w:endnote w:id="346">
    <w:p w14:paraId="7187FF2F" w14:textId="77777777" w:rsidR="003C7C88" w:rsidRPr="00260B5A" w:rsidRDefault="003C7C88" w:rsidP="00341B5D">
      <w:pPr>
        <w:pStyle w:val="EndnoteText"/>
        <w:rPr>
          <w:vertAlign w:val="superscript"/>
        </w:rPr>
      </w:pPr>
      <w:r w:rsidRPr="00260B5A">
        <w:rPr>
          <w:rStyle w:val="EndnoteReference"/>
          <w:rFonts w:ascii="Segoe UI" w:hAnsi="Segoe UI" w:cs="Segoe UI"/>
          <w:sz w:val="16"/>
          <w:szCs w:val="16"/>
        </w:rPr>
        <w:endnoteRef/>
      </w:r>
      <w:r w:rsidRPr="00260B5A">
        <w:rPr>
          <w:rFonts w:ascii="Segoe UI" w:hAnsi="Segoe UI" w:cs="Segoe UI"/>
          <w:sz w:val="16"/>
          <w:szCs w:val="16"/>
        </w:rPr>
        <w:t xml:space="preserve"> </w:t>
      </w:r>
      <w:r>
        <w:rPr>
          <w:rFonts w:ascii="Segoe UI" w:hAnsi="Segoe UI" w:cs="Segoe UI"/>
          <w:sz w:val="16"/>
          <w:szCs w:val="16"/>
        </w:rPr>
        <w:t xml:space="preserve"> </w:t>
      </w:r>
      <w:hyperlink r:id="rId241" w:history="1">
        <w:r w:rsidRPr="00F25F23">
          <w:rPr>
            <w:rStyle w:val="Hyperlink"/>
            <w:rFonts w:ascii="Segoe UI" w:hAnsi="Segoe UI" w:cs="Segoe UI"/>
            <w:sz w:val="16"/>
            <w:szCs w:val="16"/>
            <w:lang w:val="en-US"/>
          </w:rPr>
          <w:t>https://www.coronerscourt.vic.gov.au/sites/default/files/201812/MASTER%20CCOV%20AR%202017-18_0.pdf</w:t>
        </w:r>
      </w:hyperlink>
      <w:r w:rsidRPr="00260B5A">
        <w:rPr>
          <w:rFonts w:ascii="Segoe UI" w:hAnsi="Segoe UI" w:cs="Segoe UI"/>
          <w:sz w:val="16"/>
          <w:szCs w:val="16"/>
          <w:lang w:val="en-US"/>
        </w:rPr>
        <w:t xml:space="preserve">  (see pages 16-17)</w:t>
      </w:r>
    </w:p>
  </w:endnote>
  <w:endnote w:id="347">
    <w:p w14:paraId="0955B03A" w14:textId="77777777" w:rsidR="003C7C88" w:rsidRPr="003B0494" w:rsidRDefault="003C7C88" w:rsidP="00341B5D">
      <w:pPr>
        <w:pStyle w:val="Footnote"/>
        <w:rPr>
          <w:rStyle w:val="EndnoteReference"/>
        </w:rPr>
      </w:pPr>
      <w:r>
        <w:rPr>
          <w:rStyle w:val="EndnoteReference"/>
        </w:rPr>
        <w:endnoteRef/>
      </w:r>
      <w:r w:rsidRPr="003B0494">
        <w:rPr>
          <w:rStyle w:val="EndnoteReference"/>
        </w:rPr>
        <w:t xml:space="preserve"> </w:t>
      </w:r>
      <w:r>
        <w:rPr>
          <w:rStyle w:val="EndnoteReference"/>
        </w:rPr>
        <w:t xml:space="preserve"> </w:t>
      </w:r>
      <w:r w:rsidRPr="003B0494">
        <w:rPr>
          <w:rStyle w:val="EndnoteReference"/>
          <w:vertAlign w:val="baseline"/>
        </w:rPr>
        <w:t>Sjaan Koppel et. Al, ‘Issues relating to the Issues relating to the efficacy of mandatory medical reporting of drivers with medical        and other fitness to drive relevant conditions by medical and other health practitioners Journal of Transport &amp; Health 12 (2019) 237</w:t>
      </w:r>
      <w:r w:rsidRPr="003B0494">
        <w:rPr>
          <w:rStyle w:val="EndnoteReference"/>
          <w:rFonts w:hint="eastAsia"/>
          <w:vertAlign w:val="baseline"/>
        </w:rPr>
        <w:t>–</w:t>
      </w:r>
      <w:r w:rsidRPr="003B0494">
        <w:rPr>
          <w:rStyle w:val="EndnoteReference"/>
          <w:vertAlign w:val="baseline"/>
        </w:rPr>
        <w:t xml:space="preserve">252 </w:t>
      </w:r>
    </w:p>
  </w:endnote>
  <w:endnote w:id="348">
    <w:p w14:paraId="3756682E" w14:textId="77777777" w:rsidR="003C7C88" w:rsidRPr="003B0494" w:rsidRDefault="003C7C88" w:rsidP="00341B5D">
      <w:pPr>
        <w:pStyle w:val="Footnote"/>
        <w:rPr>
          <w:rStyle w:val="EndnoteReference"/>
        </w:rPr>
      </w:pPr>
      <w:r>
        <w:rPr>
          <w:rStyle w:val="EndnoteReference"/>
        </w:rPr>
        <w:endnoteRef/>
      </w:r>
      <w:r w:rsidRPr="003B0494">
        <w:rPr>
          <w:rStyle w:val="EndnoteReference"/>
        </w:rPr>
        <w:t xml:space="preserve"> </w:t>
      </w:r>
      <w:r>
        <w:rPr>
          <w:rStyle w:val="EndnoteReference"/>
        </w:rPr>
        <w:t xml:space="preserve"> </w:t>
      </w:r>
      <w:hyperlink r:id="rId242" w:history="1">
        <w:r w:rsidRPr="00F25F23">
          <w:rPr>
            <w:rStyle w:val="Hyperlink"/>
          </w:rPr>
          <w:t>https://ama.com.au/position-statement/role-medical-practitioner-determining-fitness-drive-motor-vehicles-2008</w:t>
        </w:r>
      </w:hyperlink>
    </w:p>
  </w:endnote>
  <w:endnote w:id="349">
    <w:p w14:paraId="08E76EA7" w14:textId="77777777" w:rsidR="003C7C88" w:rsidRPr="003B0494" w:rsidRDefault="003C7C88" w:rsidP="00341B5D">
      <w:pPr>
        <w:pStyle w:val="Footnote"/>
        <w:rPr>
          <w:rStyle w:val="EndnoteReference"/>
        </w:rPr>
      </w:pPr>
      <w:r>
        <w:rPr>
          <w:rStyle w:val="EndnoteReference"/>
        </w:rPr>
        <w:endnoteRef/>
      </w:r>
      <w:r w:rsidRPr="003B0494">
        <w:rPr>
          <w:rStyle w:val="EndnoteReference"/>
        </w:rPr>
        <w:t xml:space="preserve"> </w:t>
      </w:r>
      <w:r>
        <w:rPr>
          <w:rStyle w:val="EndnoteReference"/>
        </w:rPr>
        <w:t xml:space="preserve"> </w:t>
      </w:r>
      <w:hyperlink r:id="rId243" w:history="1">
        <w:r w:rsidRPr="00F25F23">
          <w:rPr>
            <w:rStyle w:val="Hyperlink"/>
          </w:rPr>
          <w:t>https://www.medicalboard.gov.au/News/Statistics.aspx</w:t>
        </w:r>
      </w:hyperlink>
    </w:p>
  </w:endnote>
  <w:endnote w:id="350">
    <w:p w14:paraId="318CAA27" w14:textId="77777777" w:rsidR="003C7C88" w:rsidRPr="003B0494" w:rsidRDefault="003C7C88" w:rsidP="00341B5D">
      <w:pPr>
        <w:pStyle w:val="Footnote"/>
        <w:rPr>
          <w:rStyle w:val="EndnoteReference"/>
          <w:vertAlign w:val="baseline"/>
        </w:rPr>
      </w:pPr>
      <w:r>
        <w:rPr>
          <w:rStyle w:val="EndnoteReference"/>
        </w:rPr>
        <w:endnoteRef/>
      </w:r>
      <w:r w:rsidRPr="003B0494">
        <w:rPr>
          <w:rStyle w:val="EndnoteReference"/>
        </w:rPr>
        <w:t xml:space="preserve"> </w:t>
      </w:r>
      <w:r>
        <w:rPr>
          <w:rStyle w:val="EndnoteReference"/>
        </w:rPr>
        <w:t xml:space="preserve"> </w:t>
      </w:r>
      <w:hyperlink r:id="rId244" w:history="1">
        <w:r w:rsidRPr="00F25F23">
          <w:rPr>
            <w:rStyle w:val="Hyperlink"/>
          </w:rPr>
          <w:t>https://www.optometryboard.gov.au/about/statistics.aspx</w:t>
        </w:r>
      </w:hyperlink>
    </w:p>
  </w:endnote>
  <w:endnote w:id="351">
    <w:p w14:paraId="7C685775" w14:textId="77777777" w:rsidR="003C7C88" w:rsidRPr="003B0494" w:rsidRDefault="003C7C88" w:rsidP="00341B5D">
      <w:pPr>
        <w:pStyle w:val="Footnote"/>
        <w:rPr>
          <w:rStyle w:val="EndnoteReference"/>
        </w:rPr>
      </w:pPr>
      <w:r>
        <w:rPr>
          <w:rStyle w:val="EndnoteReference"/>
        </w:rPr>
        <w:endnoteRef/>
      </w:r>
      <w:r w:rsidRPr="003B0494">
        <w:rPr>
          <w:rStyle w:val="EndnoteReference"/>
        </w:rPr>
        <w:t xml:space="preserve"> </w:t>
      </w:r>
      <w:r>
        <w:rPr>
          <w:rStyle w:val="EndnoteReference"/>
        </w:rPr>
        <w:t xml:space="preserve"> </w:t>
      </w:r>
      <w:hyperlink r:id="rId245" w:history="1">
        <w:r w:rsidRPr="00F25F23">
          <w:rPr>
            <w:rStyle w:val="Hyperlink"/>
          </w:rPr>
          <w:t>https://www.physiotherapyboard.gov.au/about/statistics.aspx</w:t>
        </w:r>
      </w:hyperlink>
    </w:p>
  </w:endnote>
  <w:endnote w:id="352">
    <w:p w14:paraId="46AB965F" w14:textId="77777777" w:rsidR="003C7C88" w:rsidRDefault="003C7C88" w:rsidP="006922FE">
      <w:pPr>
        <w:pStyle w:val="Footnote"/>
      </w:pPr>
      <w:r>
        <w:rPr>
          <w:rStyle w:val="EndnoteReference"/>
        </w:rPr>
        <w:endnoteRef/>
      </w:r>
      <w:r>
        <w:t xml:space="preserve">  Victorian Government 2016, </w:t>
      </w:r>
      <w:r w:rsidRPr="00A51F7A">
        <w:rPr>
          <w:i/>
        </w:rPr>
        <w:t>Towards Zero 2016-2020 Road Safety Strategy and Plan</w:t>
      </w:r>
      <w:r>
        <w:t>,</w:t>
      </w:r>
      <w:r w:rsidRPr="00016959">
        <w:t xml:space="preserve"> </w:t>
      </w:r>
      <w:r>
        <w:t>&lt;</w:t>
      </w:r>
      <w:hyperlink r:id="rId246" w:history="1">
        <w:r w:rsidRPr="00E114AF">
          <w:rPr>
            <w:rStyle w:val="Hyperlink"/>
          </w:rPr>
          <w:t>https://www.towardszero.vic.gov.au/what-is-towards-zero/road-safety-action-plan</w:t>
        </w:r>
      </w:hyperlink>
      <w:r>
        <w:t>&gt;.</w:t>
      </w:r>
    </w:p>
  </w:endnote>
  <w:endnote w:id="353">
    <w:p w14:paraId="3FB4A2F6" w14:textId="77777777" w:rsidR="003C7C88" w:rsidRDefault="003C7C88" w:rsidP="00120FBB">
      <w:pPr>
        <w:pStyle w:val="Footnote"/>
      </w:pPr>
      <w:r>
        <w:rPr>
          <w:rStyle w:val="EndnoteReference"/>
        </w:rPr>
        <w:endnoteRef/>
      </w:r>
      <w:r>
        <w:t xml:space="preserve">  Gregersen NP 1997, </w:t>
      </w:r>
      <w:r w:rsidRPr="008F4AE7">
        <w:rPr>
          <w:i/>
        </w:rPr>
        <w:t>Evaluation of 16-years age limit for driver training: First report</w:t>
      </w:r>
      <w:r>
        <w:rPr>
          <w:i/>
        </w:rPr>
        <w:t>,</w:t>
      </w:r>
      <w:r>
        <w:t xml:space="preserve"> VTI Report 418A,</w:t>
      </w:r>
      <w:r w:rsidRPr="00A60653">
        <w:t xml:space="preserve"> </w:t>
      </w:r>
      <w:r>
        <w:t>Swedish National Road and Transport Research Institute, Link</w:t>
      </w:r>
      <w:r>
        <w:rPr>
          <w:rFonts w:cs="Segoe UI"/>
        </w:rPr>
        <w:t>ö</w:t>
      </w:r>
      <w:r>
        <w:t>ping, Sweden, &lt;</w:t>
      </w:r>
      <w:hyperlink r:id="rId247" w:history="1">
        <w:r w:rsidRPr="009A1E00">
          <w:rPr>
            <w:rStyle w:val="Hyperlink"/>
          </w:rPr>
          <w:t>https://trid.trb.org/view/635267</w:t>
        </w:r>
      </w:hyperlink>
      <w:r>
        <w:t>&gt;.</w:t>
      </w:r>
    </w:p>
  </w:endnote>
  <w:endnote w:id="354">
    <w:p w14:paraId="0FDC9927" w14:textId="77777777" w:rsidR="003C7C88" w:rsidRDefault="003C7C88" w:rsidP="00250F30">
      <w:pPr>
        <w:pStyle w:val="Footnote"/>
      </w:pPr>
      <w:r>
        <w:rPr>
          <w:rStyle w:val="EndnoteReference"/>
        </w:rPr>
        <w:endnoteRef/>
      </w:r>
      <w:r>
        <w:t xml:space="preserve">  This distance is prescribed for vehicle number plates in the </w:t>
      </w:r>
      <w:r w:rsidRPr="00CC2639">
        <w:t>Road Safety (Vehicles) Regulations 2009</w:t>
      </w:r>
      <w:r>
        <w:t xml:space="preserve"> and is based on the provisions of Annex 3 of the UN Convention on Road Traffic 1949 – “2. </w:t>
      </w:r>
      <w:r w:rsidRPr="00C940C1">
        <w:t>The number shall be legible in normal daylight at a distance of 20 m. (65 feet).</w:t>
      </w:r>
      <w:r>
        <w:t>” This standard is, therefore, applied to both L and P plates.</w:t>
      </w:r>
    </w:p>
  </w:endnote>
  <w:endnote w:id="355">
    <w:p w14:paraId="1CEC2238" w14:textId="77777777" w:rsidR="003C7C88" w:rsidRDefault="003C7C88">
      <w:pPr>
        <w:pStyle w:val="Footnote"/>
      </w:pPr>
      <w:r>
        <w:rPr>
          <w:rStyle w:val="EndnoteReference"/>
        </w:rPr>
        <w:endnoteRef/>
      </w:r>
      <w:r>
        <w:t xml:space="preserve">  Clause 4 of the Supporting Principles of the </w:t>
      </w:r>
      <w:r w:rsidRPr="00CC2639">
        <w:t>National Transport Commission (Road Transport Legislation- Driver Licensing) Regulations 2006</w:t>
      </w:r>
      <w:r>
        <w:t xml:space="preserve"> enables the licensing authority to require applicants for a driver licence to undergo tests and assessments. In practice, there are no assessments and tests for a full licence as they are incorporated into the GLS.</w:t>
      </w:r>
    </w:p>
  </w:endnote>
  <w:endnote w:id="356">
    <w:p w14:paraId="29E988E6" w14:textId="77777777" w:rsidR="003C7C88" w:rsidRDefault="003C7C88">
      <w:pPr>
        <w:pStyle w:val="Footnote"/>
      </w:pPr>
      <w:r>
        <w:rPr>
          <w:rStyle w:val="EndnoteReference"/>
        </w:rPr>
        <w:endnoteRef/>
      </w:r>
      <w:r>
        <w:t xml:space="preserve">  </w:t>
      </w:r>
      <w:r w:rsidRPr="00B8298F">
        <w:t>This is covered in the Australian Road Rules</w:t>
      </w:r>
      <w:r>
        <w:t xml:space="preserve">, approved by the </w:t>
      </w:r>
      <w:r w:rsidRPr="00766B00">
        <w:t>Transport and Infrastructure Council</w:t>
      </w:r>
      <w:r>
        <w:t>, p</w:t>
      </w:r>
      <w:r w:rsidRPr="00766B00">
        <w:t xml:space="preserve">ublished by the Parliamentary Counsel’s Committee </w:t>
      </w:r>
      <w:r>
        <w:t>(5 February 2018), &lt;</w:t>
      </w:r>
      <w:hyperlink r:id="rId248" w:history="1">
        <w:r w:rsidRPr="009A1E00">
          <w:rPr>
            <w:rStyle w:val="Hyperlink"/>
          </w:rPr>
          <w:t>https://pcc.gov.au/uniform/Australian-Road-Rules-5February2018.pdf</w:t>
        </w:r>
      </w:hyperlink>
      <w:r>
        <w:t>&gt;.</w:t>
      </w:r>
    </w:p>
  </w:endnote>
  <w:endnote w:id="357">
    <w:p w14:paraId="7F35AF20" w14:textId="77777777" w:rsidR="003C7C88" w:rsidRDefault="003C7C88" w:rsidP="003558F1">
      <w:pPr>
        <w:pStyle w:val="Footnote"/>
      </w:pPr>
      <w:r>
        <w:rPr>
          <w:rStyle w:val="EndnoteReference"/>
        </w:rPr>
        <w:endnoteRef/>
      </w:r>
      <w:r>
        <w:t xml:space="preserve">  Road Crash Information System (1987-2009) VicRoads database: police reported road crashes resulting in at least one person being injured. </w:t>
      </w:r>
    </w:p>
  </w:endnote>
  <w:endnote w:id="358">
    <w:p w14:paraId="498C5B15" w14:textId="77777777" w:rsidR="003C7C88" w:rsidRDefault="003C7C88">
      <w:pPr>
        <w:pStyle w:val="Footnote"/>
      </w:pPr>
      <w:r>
        <w:rPr>
          <w:rStyle w:val="EndnoteReference"/>
        </w:rPr>
        <w:endnoteRef/>
      </w:r>
      <w:r>
        <w:t xml:space="preserve">  Walker E, Howard</w:t>
      </w:r>
      <w:r w:rsidRPr="00DB0540">
        <w:t xml:space="preserve"> E</w:t>
      </w:r>
      <w:r>
        <w:t>,</w:t>
      </w:r>
      <w:r w:rsidRPr="00DB0540">
        <w:t xml:space="preserve">  Harris A</w:t>
      </w:r>
      <w:r>
        <w:t>,</w:t>
      </w:r>
      <w:r w:rsidRPr="00DB0540">
        <w:t xml:space="preserve"> Barnes</w:t>
      </w:r>
      <w:r>
        <w:t xml:space="preserve"> </w:t>
      </w:r>
      <w:r w:rsidRPr="00DB0540">
        <w:t>B</w:t>
      </w:r>
      <w:r>
        <w:t xml:space="preserve">, </w:t>
      </w:r>
      <w:r w:rsidRPr="00DB0540">
        <w:t>Parnell H</w:t>
      </w:r>
      <w:r>
        <w:t xml:space="preserve"> &amp;</w:t>
      </w:r>
      <w:r w:rsidRPr="00DB0540">
        <w:t xml:space="preserve"> Hinchcliff R</w:t>
      </w:r>
      <w:r>
        <w:t xml:space="preserve"> 2015, ‘</w:t>
      </w:r>
      <w:r w:rsidRPr="009033E4">
        <w:t>Development of the Australian Graduated Licensing Scheme Policy Framework: a demonstration of jurisdictions taking action together to reduce road trauma</w:t>
      </w:r>
      <w:r>
        <w:t>’,</w:t>
      </w:r>
      <w:r w:rsidRPr="009033E4">
        <w:t xml:space="preserve"> </w:t>
      </w:r>
      <w:r w:rsidRPr="00B66809">
        <w:rPr>
          <w:i/>
        </w:rPr>
        <w:t>Proceedings of the 2015 Australasian Road Safety Conference,</w:t>
      </w:r>
      <w:r>
        <w:t xml:space="preserve"> October 2015, Gold Coast, Australia, &lt;</w:t>
      </w:r>
      <w:hyperlink r:id="rId249" w:history="1">
        <w:r w:rsidRPr="008B61B4">
          <w:rPr>
            <w:rStyle w:val="Hyperlink"/>
          </w:rPr>
          <w:t>https://opus.lib.uts.edu.au/handle/10453/120412</w:t>
        </w:r>
      </w:hyperlink>
      <w:r>
        <w:t>&gt;.</w:t>
      </w:r>
    </w:p>
  </w:endnote>
  <w:endnote w:id="359">
    <w:p w14:paraId="288F033B" w14:textId="77777777" w:rsidR="003C7C88" w:rsidRDefault="003C7C88" w:rsidP="00397681">
      <w:pPr>
        <w:pStyle w:val="Footnote"/>
      </w:pPr>
      <w:r>
        <w:rPr>
          <w:rStyle w:val="EndnoteReference"/>
        </w:rPr>
        <w:endnoteRef/>
      </w:r>
      <w:r>
        <w:t xml:space="preserve">   Christie R 1996. ‘</w:t>
      </w:r>
      <w:r w:rsidRPr="00CB03C3">
        <w:t>Effects of zero blood alcohol content laws on novice driver casualty accidents in Victoria</w:t>
      </w:r>
      <w:r>
        <w:t xml:space="preserve">’, </w:t>
      </w:r>
      <w:r w:rsidRPr="001F0283">
        <w:rPr>
          <w:i/>
        </w:rPr>
        <w:t>Proceedings of the 1996 Road Safety Research and Enforcement Conference</w:t>
      </w:r>
      <w:r>
        <w:t>, Sydney, &lt;</w:t>
      </w:r>
      <w:hyperlink r:id="rId250" w:history="1">
        <w:r w:rsidRPr="009A1E00">
          <w:rPr>
            <w:rStyle w:val="Hyperlink"/>
          </w:rPr>
          <w:t>https://trid.trb.org/view/734995</w:t>
        </w:r>
      </w:hyperlink>
      <w:r>
        <w:t>&gt;.</w:t>
      </w:r>
    </w:p>
  </w:endnote>
  <w:endnote w:id="360">
    <w:p w14:paraId="117BB6AB" w14:textId="77777777" w:rsidR="003C7C88" w:rsidRDefault="003C7C88" w:rsidP="00120FBB">
      <w:pPr>
        <w:pStyle w:val="Footnote"/>
      </w:pPr>
      <w:r>
        <w:rPr>
          <w:rStyle w:val="EndnoteReference"/>
        </w:rPr>
        <w:endnoteRef/>
      </w:r>
      <w:r>
        <w:t xml:space="preserve">  Gregersen NP 1997, </w:t>
      </w:r>
      <w:r w:rsidRPr="00153E66">
        <w:rPr>
          <w:i/>
        </w:rPr>
        <w:t>Evaluation of 16-years age limit for driver training: First report</w:t>
      </w:r>
      <w:r>
        <w:rPr>
          <w:i/>
        </w:rPr>
        <w:t>,</w:t>
      </w:r>
      <w:r>
        <w:t xml:space="preserve"> VTI Report 418A,</w:t>
      </w:r>
      <w:r w:rsidRPr="00A60653">
        <w:t xml:space="preserve"> </w:t>
      </w:r>
      <w:r>
        <w:t>1997, Swedish National Road and Transport Research Institute, Linkoping, Sweden, &lt;</w:t>
      </w:r>
      <w:hyperlink r:id="rId251" w:history="1">
        <w:r w:rsidRPr="009201A7">
          <w:rPr>
            <w:rStyle w:val="Hyperlink"/>
          </w:rPr>
          <w:t>http://www.diva-portal.org/smash/get/diva2:675149/FULLTEXT01.pdf</w:t>
        </w:r>
      </w:hyperlink>
      <w:r>
        <w:t>&gt;.</w:t>
      </w:r>
    </w:p>
  </w:endnote>
  <w:endnote w:id="361">
    <w:p w14:paraId="521B757E" w14:textId="77777777" w:rsidR="003C7C88" w:rsidRDefault="003C7C88" w:rsidP="00120FBB">
      <w:pPr>
        <w:pStyle w:val="Footnote"/>
      </w:pPr>
      <w:r>
        <w:rPr>
          <w:rStyle w:val="EndnoteReference"/>
        </w:rPr>
        <w:endnoteRef/>
      </w:r>
      <w:r>
        <w:t xml:space="preserve">  A NSW evaluation conducted in 2008 found an offence-free period was the best predictor of crash reductions when </w:t>
      </w:r>
      <w:r w:rsidRPr="00E04C3A">
        <w:t>progress</w:t>
      </w:r>
      <w:r>
        <w:t>ing</w:t>
      </w:r>
      <w:r w:rsidRPr="00E04C3A">
        <w:t xml:space="preserve"> from the </w:t>
      </w:r>
      <w:r>
        <w:t>probationary</w:t>
      </w:r>
      <w:r w:rsidRPr="00E04C3A">
        <w:t xml:space="preserve"> stage to full licence stage</w:t>
      </w:r>
      <w:r>
        <w:t xml:space="preserve">.  See Roads and Traffic Authority of NSW, </w:t>
      </w:r>
      <w:r w:rsidRPr="00E14E30">
        <w:rPr>
          <w:i/>
        </w:rPr>
        <w:t>Evaluation of the driver qualification test</w:t>
      </w:r>
      <w:r>
        <w:t xml:space="preserve">, RTA Internal document, 2008 Sydney NSW, referred to in Senserrick T &amp; Williams AF 2015, </w:t>
      </w:r>
      <w:r w:rsidRPr="00CD124D">
        <w:rPr>
          <w:i/>
        </w:rPr>
        <w:t>Summary of Literature of the Effective Components of Graduated Driver Licensing Systems</w:t>
      </w:r>
      <w:r>
        <w:t>, Austroads</w:t>
      </w:r>
      <w:r w:rsidRPr="00CD124D">
        <w:rPr>
          <w:lang w:eastAsia="en-AU"/>
        </w:rPr>
        <w:t xml:space="preserve"> </w:t>
      </w:r>
      <w:r w:rsidRPr="009033E4">
        <w:rPr>
          <w:lang w:eastAsia="en-AU"/>
        </w:rPr>
        <w:t>Project SS1707</w:t>
      </w:r>
      <w:r>
        <w:rPr>
          <w:lang w:eastAsia="en-AU"/>
        </w:rPr>
        <w:t>,</w:t>
      </w:r>
      <w:r w:rsidRPr="0089229A">
        <w:rPr>
          <w:lang w:eastAsia="en-AU"/>
        </w:rPr>
        <w:t xml:space="preserve"> </w:t>
      </w:r>
      <w:r>
        <w:rPr>
          <w:lang w:eastAsia="en-AU"/>
        </w:rPr>
        <w:t xml:space="preserve">February </w:t>
      </w:r>
      <w:r w:rsidRPr="00691BB7">
        <w:rPr>
          <w:lang w:eastAsia="en-AU"/>
        </w:rPr>
        <w:t>201</w:t>
      </w:r>
      <w:r>
        <w:rPr>
          <w:lang w:eastAsia="en-AU"/>
        </w:rPr>
        <w:t>5,</w:t>
      </w:r>
      <w:r>
        <w:t xml:space="preserve"> p46, </w:t>
      </w:r>
      <w:r>
        <w:rPr>
          <w:lang w:eastAsia="en-AU"/>
        </w:rPr>
        <w:t>&lt;</w:t>
      </w:r>
      <w:hyperlink r:id="rId252" w:history="1">
        <w:r>
          <w:rPr>
            <w:rStyle w:val="Hyperlink"/>
            <w:lang w:eastAsia="en-AU"/>
          </w:rPr>
          <w:t>https://www.parliament.vic.gov.au/images/Attachment_to_Submission_no._75_-_Literature_Review_of_Effective_Components-of_Graduated_Licensing_Schemes.pdf</w:t>
        </w:r>
      </w:hyperlink>
      <w:r>
        <w:rPr>
          <w:lang w:eastAsia="en-AU"/>
        </w:rPr>
        <w:t>&gt;</w:t>
      </w:r>
      <w:r>
        <w:t>.</w:t>
      </w:r>
    </w:p>
  </w:endnote>
  <w:endnote w:id="362">
    <w:p w14:paraId="02774588" w14:textId="77777777" w:rsidR="003C7C88" w:rsidRDefault="003C7C88" w:rsidP="00120FBB">
      <w:pPr>
        <w:pStyle w:val="Footnote"/>
      </w:pPr>
      <w:r>
        <w:rPr>
          <w:rStyle w:val="EndnoteReference"/>
        </w:rPr>
        <w:endnoteRef/>
      </w:r>
      <w:r>
        <w:t xml:space="preserve">  McKnight AJ &amp; Peck RC 2003, ‘</w:t>
      </w:r>
      <w:r w:rsidRPr="00B82411">
        <w:t>Graduated driver licensing and safer driving</w:t>
      </w:r>
      <w:r>
        <w:t xml:space="preserve">’, </w:t>
      </w:r>
      <w:r w:rsidRPr="00B82411">
        <w:rPr>
          <w:i/>
        </w:rPr>
        <w:t>Journal of Safety Research</w:t>
      </w:r>
      <w:r w:rsidRPr="00B82411">
        <w:t xml:space="preserve"> 34</w:t>
      </w:r>
      <w:r>
        <w:t>, 85-89 at</w:t>
      </w:r>
      <w:r w:rsidRPr="00B82411">
        <w:t xml:space="preserve"> </w:t>
      </w:r>
      <w:r>
        <w:t>p</w:t>
      </w:r>
      <w:r w:rsidRPr="00B82411">
        <w:t>8</w:t>
      </w:r>
      <w:r>
        <w:t>7, &lt;</w:t>
      </w:r>
      <w:hyperlink r:id="rId253" w:history="1">
        <w:r w:rsidRPr="009A1E00">
          <w:rPr>
            <w:rStyle w:val="Hyperlink"/>
          </w:rPr>
          <w:t>https://www.sciencedirect.com/science/article/pii/S0022437502000841</w:t>
        </w:r>
      </w:hyperlink>
      <w:r>
        <w:t>&gt;.</w:t>
      </w:r>
    </w:p>
  </w:endnote>
  <w:endnote w:id="363">
    <w:p w14:paraId="34B33551" w14:textId="77777777" w:rsidR="003C7C88" w:rsidRDefault="003C7C88" w:rsidP="001F6994">
      <w:pPr>
        <w:pStyle w:val="Footnote"/>
      </w:pPr>
      <w:r>
        <w:rPr>
          <w:rStyle w:val="EndnoteReference"/>
        </w:rPr>
        <w:endnoteRef/>
      </w:r>
      <w:r>
        <w:t xml:space="preserve">  This distance is prescribed for vehicle number plates in the </w:t>
      </w:r>
      <w:r w:rsidRPr="00CC2639">
        <w:t>Road Safety (Vehicles) Regulations 2009</w:t>
      </w:r>
      <w:r>
        <w:t xml:space="preserve"> and is based on the provisions of Annex 3 of the UN Convention on Road Traffic 1949 – “2. </w:t>
      </w:r>
      <w:r w:rsidRPr="00C940C1">
        <w:t>The number shall be legible in normal daylight at a distance of 20 m. (65 feet).</w:t>
      </w:r>
      <w:r>
        <w:t>” This standard is, therefore, applied to both L and P plates.</w:t>
      </w:r>
    </w:p>
  </w:endnote>
  <w:endnote w:id="364">
    <w:p w14:paraId="5A114622" w14:textId="77777777" w:rsidR="003C7C88" w:rsidRDefault="003C7C88" w:rsidP="00120FBB">
      <w:pPr>
        <w:pStyle w:val="Footnote"/>
      </w:pPr>
      <w:r>
        <w:rPr>
          <w:rStyle w:val="EndnoteReference"/>
        </w:rPr>
        <w:endnoteRef/>
      </w:r>
      <w:r>
        <w:t xml:space="preserve">  Clarke DD, Ward P &amp; Truman W 2002, </w:t>
      </w:r>
      <w:r w:rsidRPr="00E556BD">
        <w:rPr>
          <w:i/>
        </w:rPr>
        <w:t>In-depth accident causation study of young drivers</w:t>
      </w:r>
      <w:r>
        <w:t>, TRL Report TRL542, Transport Research Laboratory, Crowthorne, UK, &lt;</w:t>
      </w:r>
      <w:hyperlink r:id="rId254" w:history="1">
        <w:r w:rsidRPr="009A1E00">
          <w:rPr>
            <w:rStyle w:val="Hyperlink"/>
          </w:rPr>
          <w:t>https://trid.trb.org/view/726440</w:t>
        </w:r>
      </w:hyperlink>
      <w:r>
        <w:t>&gt;.</w:t>
      </w:r>
    </w:p>
  </w:endnote>
  <w:endnote w:id="365">
    <w:p w14:paraId="63BC71CC" w14:textId="77777777" w:rsidR="003C7C88" w:rsidRDefault="003C7C88" w:rsidP="00120FBB">
      <w:pPr>
        <w:pStyle w:val="Footnote"/>
      </w:pPr>
      <w:r>
        <w:rPr>
          <w:rStyle w:val="EndnoteReference"/>
        </w:rPr>
        <w:endnoteRef/>
      </w:r>
      <w:r>
        <w:t xml:space="preserve">  Hatakka M, Keskinen E, Gregersen NP, Glad A. &amp; Hernetkoski K 2002, ‘From control of the vehicle to personal self-control: broadening the perspectives to driver education’, Transportation Research Part F: </w:t>
      </w:r>
      <w:r w:rsidRPr="003F318F">
        <w:rPr>
          <w:i/>
        </w:rPr>
        <w:t>Traffic Psychology and Behaviour</w:t>
      </w:r>
      <w:r>
        <w:t>, 5, 201-215, &lt;</w:t>
      </w:r>
      <w:hyperlink r:id="rId255" w:history="1">
        <w:r w:rsidRPr="009A1E00">
          <w:rPr>
            <w:rStyle w:val="Hyperlink"/>
          </w:rPr>
          <w:t>https://www.sciencedirect.com/science/article/pii/S1369847802000189</w:t>
        </w:r>
      </w:hyperlink>
      <w:r>
        <w:t>&gt;.</w:t>
      </w:r>
    </w:p>
  </w:endnote>
  <w:endnote w:id="366">
    <w:p w14:paraId="4F668B15" w14:textId="77777777" w:rsidR="003C7C88" w:rsidRDefault="003C7C88" w:rsidP="00120FBB">
      <w:pPr>
        <w:pStyle w:val="Footnote"/>
      </w:pPr>
      <w:r>
        <w:rPr>
          <w:rStyle w:val="EndnoteReference"/>
        </w:rPr>
        <w:endnoteRef/>
      </w:r>
      <w:r>
        <w:t xml:space="preserve">   VicRoads 2005, </w:t>
      </w:r>
      <w:r w:rsidRPr="00734324">
        <w:rPr>
          <w:i/>
        </w:rPr>
        <w:t>Young Driver Safety and Graduate</w:t>
      </w:r>
      <w:r>
        <w:rPr>
          <w:i/>
        </w:rPr>
        <w:t>d</w:t>
      </w:r>
      <w:r w:rsidRPr="00734324">
        <w:rPr>
          <w:i/>
        </w:rPr>
        <w:t xml:space="preserve"> Licensing</w:t>
      </w:r>
      <w:r>
        <w:t>, Discussion Paper, August 2005, p12, &lt;</w:t>
      </w:r>
      <w:hyperlink r:id="rId256" w:history="1">
        <w:r w:rsidRPr="009A1E00">
          <w:rPr>
            <w:rStyle w:val="Hyperlink"/>
          </w:rPr>
          <w:t>http://apo.org.au/system/files/1893/apo-nid1893-149321.pdf</w:t>
        </w:r>
      </w:hyperlink>
      <w:r>
        <w:t xml:space="preserve">&gt;; Senserrick T &amp; Williams AF 2015, </w:t>
      </w:r>
      <w:r w:rsidRPr="00CD124D">
        <w:rPr>
          <w:i/>
        </w:rPr>
        <w:t>Summary of Literature of the Effective Components of Graduated Driver Licensing Systems</w:t>
      </w:r>
      <w:r>
        <w:t>, Austroads</w:t>
      </w:r>
      <w:r w:rsidRPr="00CD124D">
        <w:rPr>
          <w:lang w:eastAsia="en-AU"/>
        </w:rPr>
        <w:t xml:space="preserve"> </w:t>
      </w:r>
      <w:r w:rsidRPr="009033E4">
        <w:rPr>
          <w:lang w:eastAsia="en-AU"/>
        </w:rPr>
        <w:t>Project SS1707</w:t>
      </w:r>
      <w:r>
        <w:rPr>
          <w:lang w:eastAsia="en-AU"/>
        </w:rPr>
        <w:t>,</w:t>
      </w:r>
      <w:r w:rsidRPr="0089229A">
        <w:rPr>
          <w:lang w:eastAsia="en-AU"/>
        </w:rPr>
        <w:t xml:space="preserve"> </w:t>
      </w:r>
      <w:r>
        <w:rPr>
          <w:lang w:eastAsia="en-AU"/>
        </w:rPr>
        <w:t xml:space="preserve">February </w:t>
      </w:r>
      <w:r w:rsidRPr="00691BB7">
        <w:rPr>
          <w:lang w:eastAsia="en-AU"/>
        </w:rPr>
        <w:t>201</w:t>
      </w:r>
      <w:r>
        <w:rPr>
          <w:lang w:eastAsia="en-AU"/>
        </w:rPr>
        <w:t>5,</w:t>
      </w:r>
      <w:r>
        <w:t xml:space="preserve"> p33, </w:t>
      </w:r>
      <w:r>
        <w:rPr>
          <w:lang w:eastAsia="en-AU"/>
        </w:rPr>
        <w:t>&lt;</w:t>
      </w:r>
      <w:hyperlink r:id="rId257" w:history="1">
        <w:r w:rsidRPr="008B61B4">
          <w:rPr>
            <w:rStyle w:val="Hyperlink"/>
            <w:lang w:eastAsia="en-AU"/>
          </w:rPr>
          <w:t>https://www.parliament.vic.gov.au/images/Attachment_to_Submission_no._75_-_Literature_Review_of_Effective_Components_of_Graduated_Licensing_Schemes.pdf</w:t>
        </w:r>
      </w:hyperlink>
      <w:r>
        <w:rPr>
          <w:lang w:eastAsia="en-AU"/>
        </w:rPr>
        <w:t>&gt;</w:t>
      </w:r>
      <w:r>
        <w:t>.</w:t>
      </w:r>
    </w:p>
  </w:endnote>
  <w:endnote w:id="367">
    <w:p w14:paraId="2BF274A7" w14:textId="77777777" w:rsidR="003C7C88" w:rsidRDefault="003C7C88">
      <w:pPr>
        <w:pStyle w:val="Footnote"/>
      </w:pPr>
      <w:r>
        <w:rPr>
          <w:rStyle w:val="EndnoteReference"/>
        </w:rPr>
        <w:endnoteRef/>
      </w:r>
      <w:r>
        <w:t xml:space="preserve">  </w:t>
      </w:r>
      <w:r w:rsidRPr="00B8298F">
        <w:t>Restrictions on mobile phone use by drivers is covered in the Road Rules</w:t>
      </w:r>
      <w:r>
        <w:t>.</w:t>
      </w:r>
    </w:p>
  </w:endnote>
  <w:endnote w:id="368">
    <w:p w14:paraId="0F720436" w14:textId="77777777" w:rsidR="003C7C88" w:rsidRDefault="003C7C88" w:rsidP="0075281C">
      <w:pPr>
        <w:pStyle w:val="Footnote"/>
      </w:pPr>
      <w:r>
        <w:rPr>
          <w:rStyle w:val="EndnoteReference"/>
        </w:rPr>
        <w:endnoteRef/>
      </w:r>
      <w:r>
        <w:t xml:space="preserve">  </w:t>
      </w:r>
      <w:r w:rsidRPr="00CB6CA4">
        <w:t>United Nations Convention on Road Traffic</w:t>
      </w:r>
      <w:r>
        <w:t xml:space="preserve"> 1949</w:t>
      </w:r>
      <w:r w:rsidRPr="00CB6CA4">
        <w:t>, 19 Sep</w:t>
      </w:r>
      <w:r>
        <w:t>tember</w:t>
      </w:r>
      <w:r w:rsidRPr="00CB6CA4">
        <w:t xml:space="preserve"> 1949 (revised 22 Oct</w:t>
      </w:r>
      <w:r>
        <w:t>ober</w:t>
      </w:r>
      <w:r w:rsidRPr="00CB6CA4">
        <w:t xml:space="preserve"> 1964)</w:t>
      </w:r>
      <w:r>
        <w:t xml:space="preserve">, Article 24: </w:t>
      </w:r>
      <w:hyperlink r:id="rId258" w:history="1">
        <w:r w:rsidRPr="008F4AE7">
          <w:rPr>
            <w:rStyle w:val="Hyperlink"/>
          </w:rPr>
          <w:t>http://www.unece.org/fileadmin/DAM/trans/conventn/Convention_on_Road_Traffic_of_1949.pdf</w:t>
        </w:r>
      </w:hyperlink>
      <w:r>
        <w:rPr>
          <w:rStyle w:val="Hyperlink"/>
        </w:rPr>
        <w:t>.</w:t>
      </w:r>
    </w:p>
  </w:endnote>
  <w:endnote w:id="369">
    <w:p w14:paraId="2418416B" w14:textId="77777777" w:rsidR="003C7C88" w:rsidRDefault="003C7C88" w:rsidP="005F7EDC">
      <w:pPr>
        <w:pStyle w:val="Footnote"/>
      </w:pPr>
      <w:r>
        <w:rPr>
          <w:rStyle w:val="EndnoteReference"/>
        </w:rPr>
        <w:endnoteRef/>
      </w:r>
      <w:r>
        <w:t xml:space="preserve">  Department of Foreign Affairs and Trade 2018, </w:t>
      </w:r>
      <w:r w:rsidRPr="00E00500">
        <w:rPr>
          <w:i/>
        </w:rPr>
        <w:t>8.1 Driver Licences</w:t>
      </w:r>
      <w:r>
        <w:t>, &lt;</w:t>
      </w:r>
      <w:hyperlink r:id="rId259" w:history="1">
        <w:r>
          <w:rPr>
            <w:rStyle w:val="Hyperlink"/>
          </w:rPr>
          <w:t>http://dfat.gov.au/about-us/publications/corporate/protocol-guidelines/Pages/8-1-driver-licences.aspx</w:t>
        </w:r>
      </w:hyperlink>
      <w:r>
        <w:rPr>
          <w:rStyle w:val="FootnoteChar"/>
        </w:rPr>
        <w:t>&gt;.</w:t>
      </w:r>
    </w:p>
  </w:endnote>
  <w:endnote w:id="370">
    <w:p w14:paraId="5E75BF36" w14:textId="77777777" w:rsidR="003C7C88" w:rsidRDefault="003C7C88" w:rsidP="000A0322">
      <w:pPr>
        <w:pStyle w:val="Footnote"/>
      </w:pPr>
      <w:r>
        <w:rPr>
          <w:rStyle w:val="EndnoteReference"/>
        </w:rPr>
        <w:endnoteRef/>
      </w:r>
      <w:r w:rsidRPr="003B0494">
        <w:rPr>
          <w:rStyle w:val="EndnoteReference"/>
        </w:rPr>
        <w:t xml:space="preserve">  </w:t>
      </w:r>
      <w:r w:rsidRPr="003B0494">
        <w:rPr>
          <w:rStyle w:val="EndnoteReference"/>
          <w:vertAlign w:val="baseline"/>
        </w:rPr>
        <w:t xml:space="preserve">For a list of providers go to VicRoads website: </w:t>
      </w:r>
      <w:hyperlink r:id="rId260" w:history="1">
        <w:r w:rsidRPr="003B0494">
          <w:rPr>
            <w:rStyle w:val="EndnoteReference"/>
            <w:vertAlign w:val="baseline"/>
          </w:rPr>
          <w:t>https://www.vicroads.vic.gov.au/licences/licence-and-permit-types/motorcycle-licence-and-learner-permit/training-and-test-providers</w:t>
        </w:r>
      </w:hyperlink>
      <w:r w:rsidRPr="003B0494">
        <w:rPr>
          <w:rStyle w:val="EndnoteReference"/>
          <w:vertAlign w:val="baseline"/>
        </w:rPr>
        <w:t>.</w:t>
      </w:r>
    </w:p>
  </w:endnote>
  <w:endnote w:id="371">
    <w:p w14:paraId="6635592D" w14:textId="77777777" w:rsidR="003C7C88" w:rsidRDefault="003C7C88">
      <w:pPr>
        <w:pStyle w:val="Footnote"/>
      </w:pPr>
      <w:r>
        <w:rPr>
          <w:rStyle w:val="EndnoteReference"/>
        </w:rPr>
        <w:endnoteRef/>
      </w:r>
      <w:r>
        <w:t xml:space="preserve">  </w:t>
      </w:r>
      <w:r w:rsidRPr="00BF4A12">
        <w:t xml:space="preserve">The type of motorcycle licence issued depends on the type of licence (if any) that the person already holds. If the applicant does not hold a car licence, a probationary motorcycle licence, valid for three years, will be issued. If the person holds a full car licence, a full motorcycle licence will be issued, but some restrictions will apply for </w:t>
      </w:r>
      <w:r>
        <w:t>3 years</w:t>
      </w:r>
      <w:r w:rsidRPr="00BF4A12">
        <w:t xml:space="preserve"> (restricted licence). If a probationary car licence is held, a probationary motorcycle licence will be issued as well, with the probationary period ending at the same time as the probationary car licence.</w:t>
      </w:r>
    </w:p>
  </w:endnote>
  <w:endnote w:id="372">
    <w:p w14:paraId="27AAF608" w14:textId="77777777" w:rsidR="003C7C88" w:rsidRDefault="003C7C88" w:rsidP="00120FBB">
      <w:pPr>
        <w:pStyle w:val="Footnote"/>
      </w:pPr>
      <w:r>
        <w:rPr>
          <w:rStyle w:val="EndnoteReference"/>
        </w:rPr>
        <w:endnoteRef/>
      </w:r>
      <w:r>
        <w:t xml:space="preserve">  This compares with 12 months in NSW, ACT and Tasmania, 2 years in Queensland, SA and NT,</w:t>
      </w:r>
      <w:r w:rsidRPr="00CC1674">
        <w:t xml:space="preserve"> </w:t>
      </w:r>
      <w:r>
        <w:t>and 3 years in WA.</w:t>
      </w:r>
    </w:p>
  </w:endnote>
  <w:endnote w:id="373">
    <w:p w14:paraId="64AD4CD9" w14:textId="77777777" w:rsidR="003C7C88" w:rsidRDefault="003C7C88" w:rsidP="00120FBB">
      <w:pPr>
        <w:pStyle w:val="Footnote"/>
      </w:pPr>
      <w:r>
        <w:rPr>
          <w:rStyle w:val="EndnoteReference"/>
        </w:rPr>
        <w:endnoteRef/>
      </w:r>
      <w:r>
        <w:t xml:space="preserve">  Unlike Victoria, NSW allows motorcycle learner permit renewal but requires </w:t>
      </w:r>
      <w:r w:rsidRPr="00B74F56">
        <w:t>complet</w:t>
      </w:r>
      <w:r>
        <w:t xml:space="preserve">ion of </w:t>
      </w:r>
      <w:r w:rsidRPr="00B74F56">
        <w:t xml:space="preserve">all the </w:t>
      </w:r>
      <w:r>
        <w:t xml:space="preserve">learner permit </w:t>
      </w:r>
      <w:r w:rsidRPr="00B74F56">
        <w:t>requirements again (pre-learner course in declared areas, and the rider knowledge test), and pay</w:t>
      </w:r>
      <w:r>
        <w:t>ment of</w:t>
      </w:r>
      <w:r w:rsidRPr="00B74F56">
        <w:t xml:space="preserve"> the test and course fees</w:t>
      </w:r>
      <w:r>
        <w:t xml:space="preserve"> (</w:t>
      </w:r>
      <w:hyperlink r:id="rId261" w:history="1">
        <w:r w:rsidRPr="00900738">
          <w:rPr>
            <w:rStyle w:val="Hyperlink"/>
          </w:rPr>
          <w:t>http://www.rms.nsw.gov.au/roads/licence/rider/learner.html</w:t>
        </w:r>
      </w:hyperlink>
      <w:r>
        <w:t>)</w:t>
      </w:r>
      <w:r w:rsidRPr="00B74F56">
        <w:t>.</w:t>
      </w:r>
    </w:p>
  </w:endnote>
  <w:endnote w:id="374">
    <w:p w14:paraId="676A06A8" w14:textId="77777777" w:rsidR="003C7C88" w:rsidRDefault="003C7C88" w:rsidP="00120FBB">
      <w:pPr>
        <w:pStyle w:val="Footnote"/>
      </w:pPr>
      <w:r>
        <w:rPr>
          <w:rStyle w:val="EndnoteReference"/>
        </w:rPr>
        <w:endnoteRef/>
      </w:r>
      <w:r>
        <w:t xml:space="preserve">  This distance is prescribed for vehicle number plates in the </w:t>
      </w:r>
      <w:r w:rsidRPr="00CC2639">
        <w:t>Road Safety (Vehicles) Regulations 2009</w:t>
      </w:r>
      <w:r>
        <w:t xml:space="preserve"> and is based on the provisions of Annex 3 of the UN Convention on Road Traffic 1949 – “2. </w:t>
      </w:r>
      <w:r w:rsidRPr="00C940C1">
        <w:t>The number shall be legible in normal daylight at a distance of 20 m. (65 feet).</w:t>
      </w:r>
      <w:r>
        <w:t>” This standard is, therefore, applied to both L and P plates.</w:t>
      </w:r>
    </w:p>
  </w:endnote>
  <w:endnote w:id="375">
    <w:p w14:paraId="698E5576" w14:textId="77777777" w:rsidR="003C7C88" w:rsidRDefault="003C7C88" w:rsidP="00120FBB">
      <w:pPr>
        <w:pStyle w:val="Footnote"/>
      </w:pPr>
      <w:r>
        <w:rPr>
          <w:rStyle w:val="EndnoteReference"/>
        </w:rPr>
        <w:endnoteRef/>
      </w:r>
      <w:r>
        <w:t xml:space="preserve">  VicRoads, </w:t>
      </w:r>
      <w:r w:rsidRPr="0086112D">
        <w:rPr>
          <w:i/>
        </w:rPr>
        <w:t>Submission to the Inquiry into Motorcycle Safety in Victoria</w:t>
      </w:r>
      <w:r>
        <w:t>, March 1991,</w:t>
      </w:r>
      <w:r w:rsidRPr="0086112D">
        <w:t xml:space="preserve"> </w:t>
      </w:r>
      <w:r>
        <w:t>presented to the Parliamentary Road Safety Committee, p. iii</w:t>
      </w:r>
    </w:p>
  </w:endnote>
  <w:endnote w:id="376">
    <w:p w14:paraId="1471886E" w14:textId="77777777" w:rsidR="003C7C88" w:rsidRDefault="003C7C88" w:rsidP="00120FBB">
      <w:pPr>
        <w:pStyle w:val="Footnote"/>
      </w:pPr>
      <w:r>
        <w:rPr>
          <w:rStyle w:val="EndnoteReference"/>
        </w:rPr>
        <w:endnoteRef/>
      </w:r>
      <w:r>
        <w:t xml:space="preserve">  Haworth N, Smith R, Brumen I &amp; Pronk N 1997, </w:t>
      </w:r>
      <w:r w:rsidRPr="0086112D">
        <w:rPr>
          <w:i/>
        </w:rPr>
        <w:t>Case-control study of motorcycle crashes</w:t>
      </w:r>
      <w:r>
        <w:t xml:space="preserve"> (CR174), Canberra: Federal Office of Road Safety, &lt;</w:t>
      </w:r>
      <w:hyperlink r:id="rId262" w:history="1">
        <w:r w:rsidRPr="009201A7">
          <w:rPr>
            <w:rStyle w:val="Hyperlink"/>
          </w:rPr>
          <w:t>https://www.monash.edu/__data/assets/pdf_file/0019/216370/atsb174.pdf</w:t>
        </w:r>
      </w:hyperlink>
      <w:r>
        <w:t>&gt;.</w:t>
      </w:r>
    </w:p>
  </w:endnote>
  <w:endnote w:id="377">
    <w:p w14:paraId="628BA166" w14:textId="77777777" w:rsidR="003C7C88" w:rsidRPr="00B508D2" w:rsidRDefault="003C7C88" w:rsidP="00120FBB">
      <w:pPr>
        <w:pStyle w:val="Footnote"/>
      </w:pPr>
      <w:r w:rsidRPr="00B508D2">
        <w:rPr>
          <w:rStyle w:val="EndnoteReference"/>
        </w:rPr>
        <w:endnoteRef/>
      </w:r>
      <w:r w:rsidRPr="00B508D2">
        <w:t xml:space="preserve"> </w:t>
      </w:r>
      <w:r>
        <w:t xml:space="preserve"> </w:t>
      </w:r>
      <w:r w:rsidRPr="00B508D2">
        <w:t>Williams M</w:t>
      </w:r>
      <w:r>
        <w:t xml:space="preserve"> &amp; Hoffmann ER 1979</w:t>
      </w:r>
      <w:r w:rsidRPr="00B508D2">
        <w:t xml:space="preserve">., ‘Motorcycle conspicuity and traffic accidents’, </w:t>
      </w:r>
      <w:r w:rsidRPr="00B508D2">
        <w:rPr>
          <w:i/>
        </w:rPr>
        <w:t>Accident Analysis and Prevention</w:t>
      </w:r>
      <w:r w:rsidRPr="00B508D2">
        <w:t xml:space="preserve"> 1979;11:209-24</w:t>
      </w:r>
      <w:r>
        <w:t>, &lt;</w:t>
      </w:r>
      <w:hyperlink r:id="rId263" w:history="1">
        <w:r w:rsidRPr="009201A7">
          <w:rPr>
            <w:rStyle w:val="Hyperlink"/>
          </w:rPr>
          <w:t>https://www.sciencedirect.com/science/article/abs/pii/0001457579900058</w:t>
        </w:r>
      </w:hyperlink>
      <w:r>
        <w:t>&gt;.</w:t>
      </w:r>
    </w:p>
  </w:endnote>
  <w:endnote w:id="378">
    <w:p w14:paraId="21BBC429" w14:textId="77777777" w:rsidR="003C7C88" w:rsidRDefault="003C7C88" w:rsidP="00120FBB">
      <w:pPr>
        <w:pStyle w:val="Footnote"/>
      </w:pPr>
      <w:r w:rsidRPr="00B508D2">
        <w:rPr>
          <w:rStyle w:val="EndnoteReference"/>
        </w:rPr>
        <w:endnoteRef/>
      </w:r>
      <w:r w:rsidRPr="00B508D2">
        <w:t xml:space="preserve"> </w:t>
      </w:r>
      <w:r>
        <w:t xml:space="preserve"> </w:t>
      </w:r>
      <w:r w:rsidRPr="00B508D2">
        <w:t xml:space="preserve">Wells S, Mullin B, Norton R, Langley L, Connor J, Lay-Yee R </w:t>
      </w:r>
      <w:r>
        <w:t xml:space="preserve">&amp; </w:t>
      </w:r>
      <w:r w:rsidRPr="00B508D2">
        <w:t>Jackson R</w:t>
      </w:r>
      <w:r>
        <w:t xml:space="preserve"> 2004</w:t>
      </w:r>
      <w:r w:rsidRPr="00B508D2">
        <w:t xml:space="preserve">, ‘Motorcycle rider conspicuity and crash related injury: case-control study’, </w:t>
      </w:r>
      <w:r w:rsidRPr="00B508D2">
        <w:rPr>
          <w:i/>
        </w:rPr>
        <w:t>British Medical Journal</w:t>
      </w:r>
      <w:r w:rsidRPr="00B508D2">
        <w:t>, Vol 328, pp 857-863</w:t>
      </w:r>
      <w:r>
        <w:t>, &lt;</w:t>
      </w:r>
      <w:hyperlink r:id="rId264" w:history="1">
        <w:r w:rsidRPr="009201A7">
          <w:rPr>
            <w:rStyle w:val="Hyperlink"/>
          </w:rPr>
          <w:t>https://www.ncbi.nlm.nih.gov/pmc/articles/PMC387473/pdf/bmj32800857.pdf</w:t>
        </w:r>
      </w:hyperlink>
      <w:r>
        <w:t>&gt;.</w:t>
      </w:r>
      <w:r w:rsidRPr="00C31BA0">
        <w:t xml:space="preserve"> </w:t>
      </w:r>
    </w:p>
  </w:endnote>
  <w:endnote w:id="379">
    <w:p w14:paraId="3B612745" w14:textId="77777777" w:rsidR="003C7C88" w:rsidRDefault="003C7C88" w:rsidP="00120FBB">
      <w:pPr>
        <w:pStyle w:val="Footnote"/>
      </w:pPr>
      <w:r>
        <w:rPr>
          <w:rStyle w:val="EndnoteReference"/>
        </w:rPr>
        <w:endnoteRef/>
      </w:r>
      <w:r>
        <w:t xml:space="preserve">  Elvik, R, Christensen, P &amp; Olsen, SF, </w:t>
      </w:r>
      <w:r w:rsidRPr="007F373D">
        <w:rPr>
          <w:i/>
        </w:rPr>
        <w:t>Daytime running lights; A systematic review of effects on road safety</w:t>
      </w:r>
      <w:r>
        <w:t xml:space="preserve">. Report 688/2003. Institute of Transport Economics TØI, Oslo, cited in SWOV, </w:t>
      </w:r>
      <w:r w:rsidRPr="001F23C5">
        <w:rPr>
          <w:i/>
        </w:rPr>
        <w:t>Daytime running lights (DRL)</w:t>
      </w:r>
      <w:r>
        <w:t>, Fact sheet, SWOV Institute for Road Safety Research, Leidschendam, the Netherlands, March 2013, p2.</w:t>
      </w:r>
    </w:p>
  </w:endnote>
  <w:endnote w:id="380">
    <w:p w14:paraId="192C5BC2" w14:textId="77777777" w:rsidR="003C7C88" w:rsidRDefault="003C7C88" w:rsidP="000A4124">
      <w:pPr>
        <w:pStyle w:val="Footnote"/>
      </w:pPr>
      <w:r>
        <w:rPr>
          <w:rStyle w:val="EndnoteReference"/>
        </w:rPr>
        <w:endnoteRef/>
      </w:r>
      <w:r>
        <w:t xml:space="preserve">  </w:t>
      </w:r>
      <w:r w:rsidRPr="00B508D2">
        <w:t>Williams M</w:t>
      </w:r>
      <w:r>
        <w:t xml:space="preserve"> &amp; Hoffmann ER 1979</w:t>
      </w:r>
      <w:r w:rsidRPr="00B508D2">
        <w:t xml:space="preserve">., ‘Motorcycle conspicuity and traffic accidents’, </w:t>
      </w:r>
      <w:r w:rsidRPr="00B508D2">
        <w:rPr>
          <w:i/>
        </w:rPr>
        <w:t>Accident Analysis and Prevention</w:t>
      </w:r>
      <w:r w:rsidRPr="00B508D2">
        <w:t xml:space="preserve"> 1979;11:209-24</w:t>
      </w:r>
      <w:r>
        <w:t>, &lt;</w:t>
      </w:r>
      <w:hyperlink r:id="rId265" w:history="1">
        <w:r w:rsidRPr="009201A7">
          <w:rPr>
            <w:rStyle w:val="Hyperlink"/>
          </w:rPr>
          <w:t>https://www.sciencedirect.com/science/article/abs/pii/0001457579900058</w:t>
        </w:r>
      </w:hyperlink>
      <w:r>
        <w:t>&gt;.</w:t>
      </w:r>
    </w:p>
  </w:endnote>
  <w:endnote w:id="381">
    <w:p w14:paraId="55C8E536" w14:textId="77777777" w:rsidR="003C7C88" w:rsidRDefault="003C7C88" w:rsidP="009E2B66">
      <w:pPr>
        <w:pStyle w:val="Footnote"/>
      </w:pPr>
      <w:r>
        <w:rPr>
          <w:rStyle w:val="EndnoteReference"/>
        </w:rPr>
        <w:endnoteRef/>
      </w:r>
      <w:r>
        <w:t xml:space="preserve">  </w:t>
      </w:r>
      <w:r w:rsidRPr="00FC35E8">
        <w:t>Wells S, Mullin</w:t>
      </w:r>
      <w:r>
        <w:t xml:space="preserve"> B</w:t>
      </w:r>
      <w:r w:rsidRPr="00FC35E8">
        <w:t>, Norton R</w:t>
      </w:r>
      <w:r>
        <w:t>, Langley J, Commor J, Lay-Yee R &amp; Jackson R 2004,</w:t>
      </w:r>
      <w:r w:rsidRPr="00FC35E8">
        <w:t xml:space="preserve"> </w:t>
      </w:r>
      <w:r>
        <w:t>‘</w:t>
      </w:r>
      <w:r w:rsidRPr="00FC35E8">
        <w:t>Motorcycle rider conspicuity and crash related injury: case-control study</w:t>
      </w:r>
      <w:r>
        <w:t>’,</w:t>
      </w:r>
      <w:r w:rsidRPr="00FC35E8">
        <w:t xml:space="preserve"> </w:t>
      </w:r>
      <w:r w:rsidRPr="00DD5C94">
        <w:rPr>
          <w:i/>
        </w:rPr>
        <w:t>British Medical Journal</w:t>
      </w:r>
      <w:r w:rsidRPr="00FC35E8">
        <w:t xml:space="preserve"> 2004: 328-857</w:t>
      </w:r>
      <w:r>
        <w:t>, &lt;</w:t>
      </w:r>
      <w:r w:rsidRPr="00DD5C94">
        <w:t xml:space="preserve"> </w:t>
      </w:r>
      <w:hyperlink r:id="rId266" w:history="1">
        <w:r w:rsidRPr="00A85789">
          <w:rPr>
            <w:rStyle w:val="Hyperlink"/>
          </w:rPr>
          <w:t>https://www.ncbi.nlm.nih.gov/pmc/articles/PMC387473/</w:t>
        </w:r>
      </w:hyperlink>
      <w:r>
        <w:t>&gt;.</w:t>
      </w:r>
    </w:p>
  </w:endnote>
  <w:endnote w:id="382">
    <w:p w14:paraId="170E2A40" w14:textId="77777777" w:rsidR="003C7C88" w:rsidRDefault="003C7C88" w:rsidP="000A4124">
      <w:pPr>
        <w:pStyle w:val="Footnote"/>
      </w:pPr>
      <w:r>
        <w:rPr>
          <w:rStyle w:val="EndnoteReference"/>
        </w:rPr>
        <w:endnoteRef/>
      </w:r>
      <w:r>
        <w:t xml:space="preserve">  Elvik, R, Christensen, P &amp; Olsen, SF, </w:t>
      </w:r>
      <w:r w:rsidRPr="007F373D">
        <w:rPr>
          <w:i/>
        </w:rPr>
        <w:t>Daytime running lights; A systematic review of effects on road safety</w:t>
      </w:r>
      <w:r>
        <w:t xml:space="preserve">. Report 688/2003. Institute of Transport Economics TØI, Oslo, cited in SWOV, </w:t>
      </w:r>
      <w:r w:rsidRPr="001F23C5">
        <w:rPr>
          <w:i/>
        </w:rPr>
        <w:t>Daytime running lights (DRL)</w:t>
      </w:r>
      <w:r>
        <w:t>, Fact sheet, SWOV Institute for Road Safety Research, Leidschendam, the Netherlands, March 2013, p2.</w:t>
      </w:r>
    </w:p>
  </w:endnote>
  <w:endnote w:id="383">
    <w:p w14:paraId="1577A6BB" w14:textId="77777777" w:rsidR="003C7C88" w:rsidRDefault="003C7C88" w:rsidP="000A4124">
      <w:pPr>
        <w:pStyle w:val="Footnote"/>
      </w:pPr>
      <w:r>
        <w:rPr>
          <w:rStyle w:val="EndnoteReference"/>
        </w:rPr>
        <w:endnoteRef/>
      </w:r>
      <w:r>
        <w:t xml:space="preserve">  This distance is prescribed for vehicle number plates in the </w:t>
      </w:r>
      <w:r w:rsidRPr="00CC2639">
        <w:t>Road Safety (Vehicles) Regulations 2009</w:t>
      </w:r>
      <w:r>
        <w:t xml:space="preserve"> and is based on the provisions of Annex 3 of the UN Convention on Road Traffic 1949 – “2. </w:t>
      </w:r>
      <w:r w:rsidRPr="00C940C1">
        <w:t>The number shall be legible in normal daylight at a distance of 20 m. (65 feet).</w:t>
      </w:r>
      <w:r>
        <w:t>” This standard is, therefore, applied to both L and P plates.</w:t>
      </w:r>
    </w:p>
  </w:endnote>
  <w:endnote w:id="384">
    <w:p w14:paraId="2A44005E" w14:textId="77777777" w:rsidR="003C7C88" w:rsidRDefault="003C7C88">
      <w:pPr>
        <w:pStyle w:val="Footnote"/>
      </w:pPr>
      <w:r>
        <w:rPr>
          <w:rStyle w:val="EndnoteReference"/>
        </w:rPr>
        <w:endnoteRef/>
      </w:r>
      <w:r>
        <w:t xml:space="preserve">  </w:t>
      </w:r>
      <w:r w:rsidRPr="00745E18">
        <w:t>National Transport Commission (Road Transport Legislation- Driver Licensing) Regulations 2006</w:t>
      </w:r>
    </w:p>
  </w:endnote>
  <w:endnote w:id="385">
    <w:p w14:paraId="0DCEE4FA" w14:textId="77777777" w:rsidR="003C7C88" w:rsidRDefault="003C7C88">
      <w:pPr>
        <w:pStyle w:val="Footnote"/>
      </w:pPr>
      <w:r>
        <w:rPr>
          <w:rStyle w:val="EndnoteReference"/>
        </w:rPr>
        <w:endnoteRef/>
      </w:r>
      <w:r>
        <w:t xml:space="preserve">  Although the NDLS does not cover learner or probationary drivers, it defines learner, probationary and provisional licences which facilitates each jurisdiction recognising learner, probationary and provisional licences issued in another jurisdiction.</w:t>
      </w:r>
    </w:p>
  </w:endnote>
  <w:endnote w:id="386">
    <w:p w14:paraId="55330198" w14:textId="77777777" w:rsidR="003C7C88" w:rsidRDefault="003C7C88">
      <w:pPr>
        <w:pStyle w:val="Footnote"/>
      </w:pPr>
      <w:r>
        <w:rPr>
          <w:rStyle w:val="EndnoteReference"/>
        </w:rPr>
        <w:endnoteRef/>
      </w:r>
      <w:r>
        <w:t xml:space="preserve">  Although the NDLS does not cover learner or probationary drivers, it sets out uniform requirements for evidence of identity requirements for applicants and form of licence.</w:t>
      </w:r>
    </w:p>
  </w:endnote>
  <w:endnote w:id="387">
    <w:p w14:paraId="20D0F598" w14:textId="77777777" w:rsidR="003C7C88" w:rsidRDefault="003C7C88">
      <w:pPr>
        <w:pStyle w:val="Footnote"/>
      </w:pPr>
      <w:r>
        <w:rPr>
          <w:rStyle w:val="EndnoteReference"/>
        </w:rPr>
        <w:endnoteRef/>
      </w:r>
      <w:r>
        <w:t xml:space="preserve">  </w:t>
      </w:r>
      <w:r w:rsidRPr="00167F8C">
        <w:t>This is covered in the Australian Road Rules.</w:t>
      </w:r>
    </w:p>
  </w:endnote>
  <w:endnote w:id="388">
    <w:p w14:paraId="0B6A85BD" w14:textId="77777777" w:rsidR="003C7C88" w:rsidRDefault="003C7C88">
      <w:pPr>
        <w:pStyle w:val="Footnote"/>
      </w:pPr>
      <w:r>
        <w:rPr>
          <w:rStyle w:val="EndnoteReference"/>
        </w:rPr>
        <w:endnoteRef/>
      </w:r>
      <w:r>
        <w:t xml:space="preserve">  Clause 4 of the Supporting Principles of the National Transport Commission (Road Transport Legislation- Driver Licensing) Regulations 2006 enables the licensing authority to require applicants for a driver licence to undergo tests and assessments. In practice, there are no assessments and tests for a full licence as they are incorporated into the graduated licence system.</w:t>
      </w:r>
    </w:p>
  </w:endnote>
  <w:endnote w:id="389">
    <w:p w14:paraId="10995C02" w14:textId="77777777" w:rsidR="003C7C88" w:rsidRDefault="003C7C88">
      <w:pPr>
        <w:pStyle w:val="Footnote"/>
      </w:pPr>
      <w:r>
        <w:rPr>
          <w:rStyle w:val="EndnoteReference"/>
        </w:rPr>
        <w:endnoteRef/>
      </w:r>
      <w:r>
        <w:t xml:space="preserve">  Principle 11 of the Primary Principles clause 22 of the Secondary Principles of the text of the NDLS set out the recognition and recording of demerit points.</w:t>
      </w:r>
    </w:p>
  </w:endnote>
  <w:endnote w:id="390">
    <w:p w14:paraId="666B82FA" w14:textId="77777777" w:rsidR="003C7C88" w:rsidRDefault="003C7C88">
      <w:pPr>
        <w:pStyle w:val="Footnote"/>
      </w:pPr>
      <w:r>
        <w:rPr>
          <w:rStyle w:val="EndnoteReference"/>
        </w:rPr>
        <w:endnoteRef/>
      </w:r>
      <w:r>
        <w:t xml:space="preserve">  Clause 14 of the Supporting Principles of the text of the NDLS requires a probationary licence holder to carry the licence at all times.</w:t>
      </w:r>
    </w:p>
  </w:endnote>
  <w:endnote w:id="391">
    <w:p w14:paraId="458CB13F" w14:textId="77777777" w:rsidR="003C7C88" w:rsidRDefault="003C7C88" w:rsidP="00B16D2F">
      <w:pPr>
        <w:pStyle w:val="Footnote"/>
      </w:pPr>
      <w:r>
        <w:rPr>
          <w:rStyle w:val="EndnoteReference"/>
        </w:rPr>
        <w:endnoteRef/>
      </w:r>
      <w:r>
        <w:t xml:space="preserve">  </w:t>
      </w:r>
      <w:r w:rsidRPr="000E6032">
        <w:t xml:space="preserve">National Transport Commission </w:t>
      </w:r>
      <w:r>
        <w:t xml:space="preserve">2006, </w:t>
      </w:r>
      <w:r w:rsidRPr="000E6032">
        <w:t xml:space="preserve">(Road Transport Legislation- Driver </w:t>
      </w:r>
      <w:r w:rsidRPr="003D56E7">
        <w:t>Licensing</w:t>
      </w:r>
      <w:r w:rsidRPr="000E6032">
        <w:t>) Regulations 2006</w:t>
      </w:r>
      <w:r>
        <w:t>, Australian Government,  &lt;</w:t>
      </w:r>
      <w:hyperlink r:id="rId267" w:history="1">
        <w:r w:rsidRPr="00281525">
          <w:rPr>
            <w:rStyle w:val="Hyperlink"/>
          </w:rPr>
          <w:t>https://www.legislation.gov.au/Details/F2016C00706</w:t>
        </w:r>
      </w:hyperlink>
      <w:r>
        <w:t>&gt;.</w:t>
      </w:r>
    </w:p>
  </w:endnote>
  <w:endnote w:id="392">
    <w:p w14:paraId="3ED58227" w14:textId="77777777" w:rsidR="003C7C88" w:rsidRDefault="003C7C88" w:rsidP="00257FA4">
      <w:pPr>
        <w:pStyle w:val="Footnote"/>
        <w:ind w:left="255" w:hanging="255"/>
      </w:pPr>
      <w:r>
        <w:rPr>
          <w:rStyle w:val="EndnoteReference"/>
        </w:rPr>
        <w:endnoteRef/>
      </w:r>
      <w:r>
        <w:t xml:space="preserve">   VicRoads 2018, </w:t>
      </w:r>
      <w:r w:rsidRPr="00D865A5">
        <w:rPr>
          <w:i/>
        </w:rPr>
        <w:t>The effect of sanctions on Victorian speeding drivers</w:t>
      </w:r>
      <w:r>
        <w:t xml:space="preserve">, </w:t>
      </w:r>
      <w:r w:rsidRPr="00D865A5">
        <w:t>Centre for Accident Research and Road Safety – Queensland (CARRS-Q)</w:t>
      </w:r>
      <w:r>
        <w:t>, unpublished, April.</w:t>
      </w:r>
    </w:p>
  </w:endnote>
  <w:endnote w:id="393">
    <w:p w14:paraId="1FEEF021" w14:textId="77777777" w:rsidR="003C7C88" w:rsidRDefault="003C7C88" w:rsidP="00257FA4">
      <w:pPr>
        <w:pStyle w:val="Footnote"/>
        <w:ind w:left="255" w:hanging="255"/>
      </w:pPr>
      <w:r>
        <w:rPr>
          <w:rStyle w:val="EndnoteReference"/>
        </w:rPr>
        <w:endnoteRef/>
      </w:r>
      <w:r>
        <w:t xml:space="preserve">   ibid, p 17.</w:t>
      </w:r>
    </w:p>
  </w:endnote>
  <w:endnote w:id="394">
    <w:p w14:paraId="2C7EF349" w14:textId="77777777" w:rsidR="003C7C88" w:rsidRDefault="003C7C88" w:rsidP="00257FA4">
      <w:pPr>
        <w:pStyle w:val="Footnote"/>
      </w:pPr>
      <w:r>
        <w:rPr>
          <w:rStyle w:val="EndnoteReference"/>
        </w:rPr>
        <w:endnoteRef/>
      </w:r>
      <w:r>
        <w:t xml:space="preserve">   ibid, p 7</w:t>
      </w:r>
    </w:p>
  </w:endnote>
  <w:endnote w:id="395">
    <w:p w14:paraId="4178A477" w14:textId="77777777" w:rsidR="003C7C88" w:rsidRDefault="003C7C88" w:rsidP="003A43BF">
      <w:pPr>
        <w:pStyle w:val="Footnote"/>
      </w:pPr>
      <w:r>
        <w:rPr>
          <w:rStyle w:val="EndnoteReference"/>
        </w:rPr>
        <w:endnoteRef/>
      </w:r>
      <w:r>
        <w:t xml:space="preserve">  </w:t>
      </w:r>
      <w:r w:rsidRPr="000E6032">
        <w:t xml:space="preserve">National Transport Commission </w:t>
      </w:r>
      <w:r>
        <w:t xml:space="preserve">2006, </w:t>
      </w:r>
      <w:r w:rsidRPr="000E6032">
        <w:t xml:space="preserve">(Road Transport Legislation- Driver </w:t>
      </w:r>
      <w:r w:rsidRPr="003D56E7">
        <w:t>Licensing</w:t>
      </w:r>
      <w:r w:rsidRPr="000E6032">
        <w:t>) Regulations 2006</w:t>
      </w:r>
      <w:r>
        <w:t>, Australian Government, Supporting Principles, Clause 21, &lt;</w:t>
      </w:r>
      <w:hyperlink r:id="rId268" w:history="1">
        <w:r w:rsidRPr="00281525">
          <w:rPr>
            <w:rStyle w:val="Hyperlink"/>
          </w:rPr>
          <w:t>https://www.legislation.gov.au/Details/F2016C00706</w:t>
        </w:r>
      </w:hyperlink>
      <w:r>
        <w:t>&gt;.</w:t>
      </w:r>
    </w:p>
  </w:endnote>
  <w:endnote w:id="396">
    <w:p w14:paraId="4C4A3642" w14:textId="77777777" w:rsidR="003C7C88" w:rsidRDefault="003C7C88" w:rsidP="003A43BF">
      <w:pPr>
        <w:pStyle w:val="Footnote"/>
      </w:pPr>
      <w:r>
        <w:rPr>
          <w:rStyle w:val="EndnoteReference"/>
        </w:rPr>
        <w:endnoteRef/>
      </w:r>
      <w:r>
        <w:t xml:space="preserve">  Western Australia is the only jurisdiction that does not participate in the Demerit Points Exchange (DPX).</w:t>
      </w:r>
    </w:p>
  </w:endnote>
  <w:endnote w:id="397">
    <w:p w14:paraId="56105153" w14:textId="77777777" w:rsidR="003C7C88" w:rsidRDefault="003C7C88" w:rsidP="003A43BF">
      <w:pPr>
        <w:pStyle w:val="Footnote"/>
      </w:pPr>
      <w:r>
        <w:rPr>
          <w:rStyle w:val="EndnoteReference"/>
        </w:rPr>
        <w:endnoteRef/>
      </w:r>
      <w:r>
        <w:t xml:space="preserve">  </w:t>
      </w:r>
      <w:r w:rsidRPr="000E6032">
        <w:t xml:space="preserve">National Transport Commission </w:t>
      </w:r>
      <w:r>
        <w:t xml:space="preserve">2006, </w:t>
      </w:r>
      <w:r w:rsidRPr="000E6032">
        <w:t xml:space="preserve">(Road Transport Legislation- Driver </w:t>
      </w:r>
      <w:r w:rsidRPr="003D56E7">
        <w:t>Licensing</w:t>
      </w:r>
      <w:r w:rsidRPr="000E6032">
        <w:t>) Regulations 2006</w:t>
      </w:r>
      <w:r>
        <w:t>, Australian Government, Primary Principles, Clause 11(1), &lt;</w:t>
      </w:r>
      <w:hyperlink r:id="rId269" w:history="1">
        <w:r w:rsidRPr="00281525">
          <w:rPr>
            <w:rStyle w:val="Hyperlink"/>
          </w:rPr>
          <w:t>https://www.legislation.gov.au/Details/F2016C00706</w:t>
        </w:r>
      </w:hyperlink>
      <w:r>
        <w:t>&gt;.</w:t>
      </w:r>
    </w:p>
  </w:endnote>
  <w:endnote w:id="398">
    <w:p w14:paraId="3F5A0631" w14:textId="02BDF5EF" w:rsidR="003C7C88" w:rsidRPr="00533C07" w:rsidRDefault="003C7C88" w:rsidP="00533C07">
      <w:pPr>
        <w:pStyle w:val="EndnoteText"/>
        <w:ind w:left="284" w:hanging="284"/>
        <w:rPr>
          <w:lang w:val="en-GB"/>
        </w:rPr>
      </w:pPr>
      <w:r w:rsidRPr="00533C07">
        <w:rPr>
          <w:rStyle w:val="EndnoteReference"/>
          <w:rFonts w:ascii="Segoe UI" w:hAnsi="Segoe UI" w:cs="Segoe UI"/>
          <w:sz w:val="16"/>
          <w:szCs w:val="16"/>
        </w:rPr>
        <w:endnoteRef/>
      </w:r>
      <w:r>
        <w:t xml:space="preserve"> </w:t>
      </w:r>
      <w:r w:rsidRPr="00533C07">
        <w:rPr>
          <w:rFonts w:ascii="Segoe UI" w:hAnsi="Segoe UI" w:cs="Segoe UI"/>
          <w:sz w:val="16"/>
          <w:szCs w:val="16"/>
        </w:rPr>
        <w:t xml:space="preserve">Beanland V, Fitzharris M, Young KL &amp; Lenne MG 2013, ‘Driver inattention and driver distraction in serious casualty crashes: Data from the Australian National Crash In-depth Study’, </w:t>
      </w:r>
      <w:r w:rsidRPr="00533C07">
        <w:rPr>
          <w:rFonts w:ascii="Segoe UI" w:hAnsi="Segoe UI" w:cs="Segoe UI"/>
          <w:i/>
          <w:sz w:val="16"/>
          <w:szCs w:val="16"/>
        </w:rPr>
        <w:t>Accident Analysis &amp; Prevention</w:t>
      </w:r>
      <w:r w:rsidRPr="00533C07">
        <w:rPr>
          <w:rFonts w:ascii="Segoe UI" w:hAnsi="Segoe UI" w:cs="Segoe UI"/>
          <w:sz w:val="16"/>
          <w:szCs w:val="16"/>
        </w:rPr>
        <w:t>, vol. 54, pp. 99-107.</w:t>
      </w:r>
    </w:p>
  </w:endnote>
  <w:endnote w:id="399">
    <w:p w14:paraId="4B0CC4B4" w14:textId="77777777" w:rsidR="003C7C88" w:rsidRPr="007041A3" w:rsidRDefault="003C7C88" w:rsidP="00F07544">
      <w:pPr>
        <w:pStyle w:val="EndnoteText"/>
        <w:ind w:left="187" w:hanging="187"/>
        <w:rPr>
          <w:rStyle w:val="FootnoteChar"/>
          <w:rFonts w:cs="Segoe UI"/>
          <w:szCs w:val="16"/>
        </w:rPr>
      </w:pPr>
      <w:r w:rsidRPr="007041A3">
        <w:rPr>
          <w:rStyle w:val="EndnoteReference"/>
          <w:rFonts w:ascii="Segoe UI" w:hAnsi="Segoe UI" w:cs="Segoe UI"/>
          <w:sz w:val="16"/>
          <w:szCs w:val="16"/>
        </w:rPr>
        <w:endnoteRef/>
      </w:r>
      <w:r w:rsidRPr="007041A3">
        <w:rPr>
          <w:rFonts w:ascii="Segoe UI" w:hAnsi="Segoe UI" w:cs="Segoe UI"/>
          <w:sz w:val="16"/>
          <w:szCs w:val="16"/>
        </w:rPr>
        <w:t xml:space="preserve"> </w:t>
      </w:r>
      <w:r>
        <w:rPr>
          <w:rFonts w:ascii="Segoe UI" w:hAnsi="Segoe UI" w:cs="Segoe UI"/>
          <w:sz w:val="16"/>
          <w:szCs w:val="16"/>
        </w:rPr>
        <w:t xml:space="preserve"> </w:t>
      </w:r>
      <w:r w:rsidRPr="007041A3">
        <w:rPr>
          <w:rStyle w:val="FootnoteChar"/>
          <w:rFonts w:cs="Segoe UI"/>
          <w:szCs w:val="16"/>
        </w:rPr>
        <w:t xml:space="preserve">Department of Treasury and Finance, </w:t>
      </w:r>
      <w:r w:rsidRPr="007041A3">
        <w:rPr>
          <w:rStyle w:val="FootnoteChar"/>
          <w:rFonts w:cs="Segoe UI"/>
          <w:i/>
          <w:szCs w:val="16"/>
        </w:rPr>
        <w:t>Cost Recovery Guidelines,</w:t>
      </w:r>
      <w:r w:rsidRPr="007041A3">
        <w:rPr>
          <w:rStyle w:val="FootnoteChar"/>
          <w:rFonts w:cs="Segoe UI"/>
          <w:szCs w:val="16"/>
        </w:rPr>
        <w:t xml:space="preserve"> January 2013 – Section 2.1</w:t>
      </w:r>
    </w:p>
  </w:endnote>
  <w:endnote w:id="400">
    <w:p w14:paraId="43E30847" w14:textId="77777777" w:rsidR="003C7C88" w:rsidRPr="00ED35AB" w:rsidRDefault="003C7C88" w:rsidP="00CA0DB4">
      <w:pPr>
        <w:pStyle w:val="Footnote"/>
      </w:pPr>
      <w:r w:rsidRPr="00D6637C">
        <w:rPr>
          <w:rStyle w:val="EndnoteReference"/>
        </w:rPr>
        <w:endnoteRef/>
      </w:r>
      <w:r w:rsidRPr="00ED35AB">
        <w:t xml:space="preserve"> </w:t>
      </w:r>
      <w:r>
        <w:t xml:space="preserve"> </w:t>
      </w:r>
      <w:r w:rsidRPr="00F0690E">
        <w:rPr>
          <w:rStyle w:val="FootnoteChar"/>
        </w:rPr>
        <w:t xml:space="preserve">Department of Treasury and Finance, </w:t>
      </w:r>
      <w:r w:rsidRPr="00043DD8">
        <w:rPr>
          <w:rStyle w:val="FootnoteChar"/>
          <w:i/>
        </w:rPr>
        <w:t>Cost Recovery Guidelines</w:t>
      </w:r>
      <w:r w:rsidRPr="00CA0DB4">
        <w:rPr>
          <w:rStyle w:val="FootnoteChar"/>
        </w:rPr>
        <w:t>,</w:t>
      </w:r>
      <w:r w:rsidRPr="00D6637C">
        <w:rPr>
          <w:rStyle w:val="FootnoteChar"/>
        </w:rPr>
        <w:t xml:space="preserve"> January 2013</w:t>
      </w:r>
    </w:p>
  </w:endnote>
  <w:endnote w:id="401">
    <w:p w14:paraId="77C1724B" w14:textId="77777777" w:rsidR="003C7C88" w:rsidRDefault="003C7C88" w:rsidP="00CF6E56">
      <w:pPr>
        <w:pStyle w:val="Footnote"/>
      </w:pPr>
      <w:r>
        <w:rPr>
          <w:rStyle w:val="EndnoteReference"/>
        </w:rPr>
        <w:endnoteRef/>
      </w:r>
      <w:r>
        <w:t xml:space="preserve">  </w:t>
      </w:r>
      <w:hyperlink r:id="rId270" w:history="1">
        <w:r w:rsidRPr="00A25A31">
          <w:rPr>
            <w:rStyle w:val="Hyperlink"/>
            <w:rFonts w:cs="Segoe UI"/>
          </w:rPr>
          <w:t>https://economy.id.com.au/bendigo/consumer-price-index</w:t>
        </w:r>
      </w:hyperlink>
      <w:r>
        <w:rPr>
          <w:rFonts w:cs="Segoe UI"/>
        </w:rPr>
        <w:t xml:space="preserve"> </w:t>
      </w:r>
    </w:p>
  </w:endnote>
  <w:endnote w:id="402">
    <w:p w14:paraId="534A93AB" w14:textId="77777777" w:rsidR="003C7C88" w:rsidRPr="002D4BF7" w:rsidRDefault="003C7C88" w:rsidP="00834344">
      <w:pPr>
        <w:pStyle w:val="Footnote"/>
      </w:pPr>
      <w:r>
        <w:rPr>
          <w:rStyle w:val="EndnoteReference"/>
        </w:rPr>
        <w:endnoteRef/>
      </w:r>
      <w:r>
        <w:t xml:space="preserve">  This annual survey involves a random selection of </w:t>
      </w:r>
      <w:r w:rsidRPr="002D4BF7">
        <w:t xml:space="preserve">700 customers </w:t>
      </w:r>
      <w:r>
        <w:t>who</w:t>
      </w:r>
      <w:r w:rsidRPr="002D4BF7">
        <w:t xml:space="preserve"> have con</w:t>
      </w:r>
      <w:r>
        <w:t>ducted aan RandL transaction with V</w:t>
      </w:r>
      <w:r w:rsidRPr="002D4BF7">
        <w:t xml:space="preserve">icRoads across </w:t>
      </w:r>
      <w:r>
        <w:t xml:space="preserve">the </w:t>
      </w:r>
      <w:r w:rsidRPr="002D4BF7">
        <w:t xml:space="preserve">CSC, </w:t>
      </w:r>
      <w:r>
        <w:t>Call Centre</w:t>
      </w:r>
      <w:r w:rsidRPr="002D4BF7">
        <w:t>, Email or Online channels in the 4 weeks prior to the survey.</w:t>
      </w:r>
    </w:p>
  </w:endnote>
  <w:endnote w:id="403">
    <w:p w14:paraId="6F0FDAAA" w14:textId="77777777" w:rsidR="003C7C88" w:rsidRDefault="003C7C88" w:rsidP="00834344">
      <w:pPr>
        <w:pStyle w:val="Footnote"/>
      </w:pPr>
      <w:r>
        <w:rPr>
          <w:rStyle w:val="EndnoteReference"/>
        </w:rPr>
        <w:endnoteRef/>
      </w:r>
      <w:r>
        <w:t xml:space="preserve">  Victorian Auditor-General’s Office, </w:t>
      </w:r>
      <w:r w:rsidRPr="004513C4">
        <w:rPr>
          <w:i/>
        </w:rPr>
        <w:t>Delivering Services to Citizens and Consumers via Devices of Personal Choice: Phase 2</w:t>
      </w:r>
      <w:r>
        <w:t xml:space="preserve">, Victorian Government Printer October 2015: </w:t>
      </w:r>
      <w:hyperlink r:id="rId271" w:history="1">
        <w:r w:rsidRPr="00FD60B6">
          <w:rPr>
            <w:rStyle w:val="Hyperlink"/>
          </w:rPr>
          <w:t>https://www.audit.vic.gov.au/report/delivering-services-citizens-and-consumers-devices-personal-choice-phase-2</w:t>
        </w:r>
      </w:hyperlink>
    </w:p>
  </w:endnote>
  <w:endnote w:id="404">
    <w:p w14:paraId="4E4499E7" w14:textId="77777777" w:rsidR="003C7C88" w:rsidRDefault="003C7C88" w:rsidP="00834344">
      <w:pPr>
        <w:pStyle w:val="Footnote"/>
      </w:pPr>
      <w:r>
        <w:rPr>
          <w:rStyle w:val="EndnoteReference"/>
        </w:rPr>
        <w:endnoteRef/>
      </w:r>
      <w:r>
        <w:t xml:space="preserve">  ibid., p49</w:t>
      </w:r>
    </w:p>
  </w:endnote>
  <w:endnote w:id="405">
    <w:p w14:paraId="38D10D5B" w14:textId="77777777" w:rsidR="003C7C88" w:rsidRDefault="003C7C88" w:rsidP="00834344">
      <w:pPr>
        <w:pStyle w:val="Footnote"/>
      </w:pPr>
      <w:r>
        <w:rPr>
          <w:rStyle w:val="EndnoteReference"/>
        </w:rPr>
        <w:endnoteRef/>
      </w:r>
      <w:r>
        <w:t xml:space="preserve">  ibid., p48</w:t>
      </w:r>
    </w:p>
  </w:endnote>
  <w:endnote w:id="406">
    <w:p w14:paraId="46FA3F1D" w14:textId="77777777" w:rsidR="003C7C88" w:rsidRDefault="003C7C88" w:rsidP="00370DA6">
      <w:pPr>
        <w:pStyle w:val="Footnote"/>
      </w:pPr>
      <w:r>
        <w:rPr>
          <w:rStyle w:val="EndnoteReference"/>
        </w:rPr>
        <w:endnoteRef/>
      </w:r>
      <w:r>
        <w:t xml:space="preserve">  ibid., p49</w:t>
      </w:r>
    </w:p>
  </w:endnote>
  <w:endnote w:id="407">
    <w:p w14:paraId="09541A53" w14:textId="77777777" w:rsidR="003C7C88" w:rsidRDefault="003C7C88" w:rsidP="00834344">
      <w:pPr>
        <w:pStyle w:val="Footnote"/>
      </w:pPr>
      <w:r>
        <w:rPr>
          <w:rStyle w:val="EndnoteReference"/>
        </w:rPr>
        <w:endnoteRef/>
      </w:r>
      <w:r>
        <w:t xml:space="preserve">  ibid., p49</w:t>
      </w:r>
    </w:p>
  </w:endnote>
  <w:endnote w:id="408">
    <w:p w14:paraId="7A828D02" w14:textId="1428E7CD" w:rsidR="003C7C88" w:rsidRPr="00F44CD8" w:rsidRDefault="003C7C88" w:rsidP="00834344">
      <w:pPr>
        <w:pStyle w:val="Footnote"/>
      </w:pPr>
      <w:r w:rsidRPr="00CD16D8">
        <w:rPr>
          <w:vertAlign w:val="superscript"/>
        </w:rPr>
        <w:endnoteRef/>
      </w:r>
      <w:r w:rsidRPr="00CD16D8">
        <w:t xml:space="preserve">  VicRoads 2017,</w:t>
      </w:r>
      <w:r w:rsidRPr="00CD16D8">
        <w:rPr>
          <w:i/>
        </w:rPr>
        <w:t xml:space="preserve"> Annual Report 2016-17 – Connecting our communities</w:t>
      </w:r>
      <w:r w:rsidRPr="00CD16D8">
        <w:t xml:space="preserve">, p.13 </w:t>
      </w:r>
      <w:hyperlink r:id="rId272" w:history="1">
        <w:r w:rsidRPr="00CD16D8">
          <w:rPr>
            <w:rStyle w:val="Hyperlink"/>
          </w:rPr>
          <w:t>https://www.vicroads.vic.gov.au/about-vicroads/corporate-responsibility/vicroads-annual-report</w:t>
        </w:r>
      </w:hyperlink>
      <w:r w:rsidRPr="00CD16D8">
        <w:t>) – registrations numbers have been amended to reflect total vehicles as at June 2017</w:t>
      </w:r>
    </w:p>
  </w:endnote>
  <w:endnote w:id="409">
    <w:p w14:paraId="7D688207" w14:textId="77777777" w:rsidR="003C7C88" w:rsidRDefault="003C7C88" w:rsidP="00CC520B">
      <w:pPr>
        <w:pStyle w:val="Footnote"/>
      </w:pPr>
      <w:r>
        <w:rPr>
          <w:rStyle w:val="EndnoteReference"/>
          <w:rFonts w:cs="Segoe UI"/>
          <w:szCs w:val="16"/>
        </w:rPr>
        <w:endnoteRef/>
      </w:r>
      <w:r>
        <w:t xml:space="preserve">  The costs for FY19/20 are substantially above the FY16/17 actual due mainly to the introduction of the Short-term Registration (STR) capability. The STR service was introduced from January 2018 and is projected to add $19.7m pa costs. Take up rates and technology advances may vary this cost but it remains too early to modify the base assumptions.</w:t>
      </w:r>
    </w:p>
  </w:endnote>
  <w:endnote w:id="410">
    <w:p w14:paraId="2D5153EF" w14:textId="77777777" w:rsidR="003C7C88" w:rsidRDefault="003C7C88" w:rsidP="00CC520B">
      <w:pPr>
        <w:pStyle w:val="Footnote"/>
        <w:rPr>
          <w:rFonts w:ascii="Arial" w:hAnsi="Arial"/>
        </w:rPr>
      </w:pPr>
      <w:r>
        <w:rPr>
          <w:rStyle w:val="EndnoteReference"/>
        </w:rPr>
        <w:endnoteRef/>
      </w:r>
      <w:r>
        <w:t xml:space="preserve">  Projected Licence holders (excluding learners)</w:t>
      </w:r>
    </w:p>
  </w:endnote>
  <w:endnote w:id="411">
    <w:p w14:paraId="240DC860" w14:textId="031F3ECF" w:rsidR="003C7C88" w:rsidRDefault="003C7C88" w:rsidP="00CC520B">
      <w:pPr>
        <w:pStyle w:val="Footnote"/>
      </w:pPr>
      <w:r>
        <w:rPr>
          <w:rStyle w:val="EndnoteReference"/>
        </w:rPr>
        <w:endnoteRef/>
      </w:r>
      <w:r>
        <w:t xml:space="preserve">  </w:t>
      </w:r>
      <w:r w:rsidRPr="00395CA6">
        <w:t>Additional Merchant Service fees of approximately $4.5m (PV) and the introduction of Short-Term Registration in 2018 adds approximately $18m (PV) to the cost base.</w:t>
      </w:r>
    </w:p>
  </w:endnote>
  <w:endnote w:id="412">
    <w:p w14:paraId="3FCCC877" w14:textId="77777777" w:rsidR="003C7C88" w:rsidRDefault="003C7C88" w:rsidP="00834344">
      <w:pPr>
        <w:pStyle w:val="Footnote"/>
      </w:pPr>
      <w:r>
        <w:rPr>
          <w:rStyle w:val="EndnoteReference"/>
        </w:rPr>
        <w:endnoteRef/>
      </w:r>
      <w:r>
        <w:t xml:space="preserve">  Department of Treasury and Finance 2018, Macroeconomic indicators, viewed 19 June 2018, &lt;</w:t>
      </w:r>
      <w:hyperlink r:id="rId273" w:history="1">
        <w:r w:rsidRPr="007A3389">
          <w:rPr>
            <w:rStyle w:val="Hyperlink"/>
          </w:rPr>
          <w:t>http://www.dtf.vic.gov.au/Publications/Victoria-Economy-publications/Macroeconomic-indicators</w:t>
        </w:r>
      </w:hyperlink>
      <w:r>
        <w:t>&gt;.</w:t>
      </w:r>
    </w:p>
  </w:endnote>
  <w:endnote w:id="413">
    <w:p w14:paraId="246B2EE1" w14:textId="0522FD45" w:rsidR="003C7C88" w:rsidRDefault="003C7C88" w:rsidP="00834344">
      <w:pPr>
        <w:pStyle w:val="Footnote"/>
      </w:pPr>
      <w:r>
        <w:rPr>
          <w:rStyle w:val="EndnoteReference"/>
        </w:rPr>
        <w:endnoteRef/>
      </w:r>
      <w:r>
        <w:t xml:space="preserve">  Budget Update 2018-19, Department of Treasury and Finance December 2018, </w:t>
      </w:r>
      <w:hyperlink r:id="rId274" w:history="1">
        <w:r w:rsidRPr="00F16A88">
          <w:rPr>
            <w:rStyle w:val="Hyperlink"/>
          </w:rPr>
          <w:t>https://www.dtf.vic.gov.au/2018-19-state-budget/2018-19-budget-update</w:t>
        </w:r>
      </w:hyperlink>
    </w:p>
  </w:endnote>
  <w:endnote w:id="414">
    <w:p w14:paraId="04664AC8" w14:textId="77777777" w:rsidR="003C7C88" w:rsidRDefault="003C7C88" w:rsidP="00834344">
      <w:pPr>
        <w:pStyle w:val="Footnote"/>
      </w:pPr>
      <w:r>
        <w:rPr>
          <w:rStyle w:val="EndnoteReference"/>
        </w:rPr>
        <w:endnoteRef/>
      </w:r>
      <w:r>
        <w:t xml:space="preserve">  Australian Bureau of Statistics 2018, </w:t>
      </w:r>
      <w:r w:rsidRPr="00F161FD">
        <w:rPr>
          <w:i/>
        </w:rPr>
        <w:t>Cessation of new motor vehicle sales collection</w:t>
      </w:r>
      <w:r>
        <w:t>, viewed 19 June 2018, &lt;</w:t>
      </w:r>
      <w:hyperlink r:id="rId275" w:history="1">
        <w:r w:rsidRPr="00796DCF">
          <w:rPr>
            <w:rStyle w:val="Hyperlink"/>
          </w:rPr>
          <w:t>http://www.abs.gov.au/ausstats/abs@.nsf/mf/9314.0</w:t>
        </w:r>
      </w:hyperlink>
      <w:r>
        <w:t>&gt;.</w:t>
      </w:r>
    </w:p>
  </w:endnote>
  <w:endnote w:id="415">
    <w:p w14:paraId="634F8EBB" w14:textId="77777777" w:rsidR="003C7C88" w:rsidRDefault="003C7C88" w:rsidP="00834344">
      <w:pPr>
        <w:pStyle w:val="Footnote"/>
      </w:pPr>
      <w:r w:rsidRPr="0017132B">
        <w:rPr>
          <w:rStyle w:val="EndnoteReference"/>
        </w:rPr>
        <w:endnoteRef/>
      </w:r>
      <w:r w:rsidRPr="0017132B">
        <w:t xml:space="preserve"> </w:t>
      </w:r>
      <w:r>
        <w:t xml:space="preserve"> Australian Bureau of Statistics 2018, </w:t>
      </w:r>
      <w:r w:rsidRPr="00F161FD">
        <w:rPr>
          <w:i/>
        </w:rPr>
        <w:t>Motor Vehicle Census, Australia – 31 Jan 2018</w:t>
      </w:r>
      <w:r>
        <w:t>, viewed 19 June 2018, &lt;</w:t>
      </w:r>
      <w:hyperlink r:id="rId276" w:history="1">
        <w:r w:rsidRPr="0017132B">
          <w:rPr>
            <w:rStyle w:val="Hyperlink"/>
          </w:rPr>
          <w:t>http://www.abs.gov.au/ausstats/abs@.nsf/mf/9309.0</w:t>
        </w:r>
      </w:hyperlink>
      <w:r>
        <w:t>&gt;.</w:t>
      </w:r>
    </w:p>
  </w:endnote>
  <w:endnote w:id="416">
    <w:p w14:paraId="7E237EFC" w14:textId="77777777" w:rsidR="003C7C88" w:rsidRDefault="003C7C88" w:rsidP="00834344">
      <w:pPr>
        <w:pStyle w:val="Footnote"/>
      </w:pPr>
      <w:r>
        <w:rPr>
          <w:rStyle w:val="EndnoteReference"/>
        </w:rPr>
        <w:endnoteRef/>
      </w:r>
      <w:r>
        <w:t xml:space="preserve">   Department of Environment, Land, Water and Planning 2016, </w:t>
      </w:r>
      <w:r w:rsidRPr="002808C8">
        <w:rPr>
          <w:i/>
        </w:rPr>
        <w:t>Victoria in Future 2016 – Population and household projections to 2051</w:t>
      </w:r>
      <w:r>
        <w:t>, p12, viewed 19 June 2018, &lt;</w:t>
      </w:r>
      <w:hyperlink r:id="rId277" w:history="1">
        <w:r w:rsidRPr="00794AFF">
          <w:rPr>
            <w:rStyle w:val="Hyperlink"/>
          </w:rPr>
          <w:t>https://www.planning.vic.gov.au/__data/assets/pdf_file/0014/14036/Victoria-in-Future-2016-FINAL-web.pdf</w:t>
        </w:r>
      </w:hyperlink>
      <w:r>
        <w:t>&gt;.</w:t>
      </w:r>
    </w:p>
  </w:endnote>
  <w:endnote w:id="417">
    <w:p w14:paraId="462E13F6" w14:textId="77777777" w:rsidR="003C7C88" w:rsidRPr="003626A3" w:rsidRDefault="003C7C88" w:rsidP="00834344">
      <w:pPr>
        <w:pStyle w:val="Footnote"/>
      </w:pPr>
      <w:r w:rsidRPr="003626A3">
        <w:rPr>
          <w:rStyle w:val="EndnoteReference"/>
          <w:rFonts w:cs="Segoe UI"/>
        </w:rPr>
        <w:endnoteRef/>
      </w:r>
      <w:r w:rsidRPr="003626A3">
        <w:t xml:space="preserve"> </w:t>
      </w:r>
      <w:r>
        <w:t xml:space="preserve">  </w:t>
      </w:r>
      <w:r w:rsidRPr="00A51F7A">
        <w:t>This service is outsourced to specialist providers. The fee is to be preserved in case VicRoads opts to insource the activity at a later time.</w:t>
      </w:r>
    </w:p>
  </w:endnote>
  <w:endnote w:id="418">
    <w:p w14:paraId="1E2DD47A" w14:textId="68C29862" w:rsidR="003C7C88" w:rsidRPr="004F035E" w:rsidRDefault="003C7C88" w:rsidP="004F035E">
      <w:pPr>
        <w:pStyle w:val="Footnote"/>
        <w:rPr>
          <w:rFonts w:cs="Segoe UI"/>
          <w:szCs w:val="16"/>
        </w:rPr>
      </w:pPr>
      <w:r w:rsidRPr="00C44FA8">
        <w:rPr>
          <w:rStyle w:val="EndnoteReference"/>
        </w:rPr>
        <w:endnoteRef/>
      </w:r>
      <w:r w:rsidRPr="00CF7EAB">
        <w:rPr>
          <w:rFonts w:cs="Segoe UI"/>
          <w:szCs w:val="16"/>
          <w:vertAlign w:val="superscript"/>
        </w:rPr>
        <w:t xml:space="preserve">  </w:t>
      </w:r>
      <w:r w:rsidRPr="00C44FA8">
        <w:t xml:space="preserve"> </w:t>
      </w:r>
      <w:r w:rsidRPr="0069070D">
        <w:rPr>
          <w:rFonts w:cs="Segoe UI"/>
          <w:szCs w:val="16"/>
        </w:rPr>
        <w:t>Information provided at</w:t>
      </w:r>
      <w:r w:rsidRPr="00CF7EAB">
        <w:rPr>
          <w:rFonts w:cs="Segoe UI"/>
          <w:szCs w:val="16"/>
        </w:rPr>
        <w:t xml:space="preserve"> </w:t>
      </w:r>
      <w:r w:rsidRPr="0069070D">
        <w:rPr>
          <w:rFonts w:cs="Segoe UI"/>
          <w:szCs w:val="16"/>
        </w:rPr>
        <w:t xml:space="preserve">Legislation.vic.gov.au, viewed 07 May 2019 </w:t>
      </w:r>
      <w:hyperlink r:id="rId278" w:history="1">
        <w:r w:rsidRPr="00C44FA8">
          <w:t>http://www.legislation.vic.gov.au/domino/web_notes/LDMS/pubhome.nsf/KW/Legislative%20Information!OpenDocument&amp;ExpandSection=16</w:t>
        </w:r>
      </w:hyperlink>
      <w:r w:rsidRPr="0069070D">
        <w:rPr>
          <w:rFonts w:cs="Segoe UI"/>
          <w:szCs w:val="16"/>
        </w:rPr>
        <w:t>&gt;</w:t>
      </w:r>
    </w:p>
  </w:endnote>
  <w:endnote w:id="419">
    <w:p w14:paraId="2AD9A4BE" w14:textId="77777777" w:rsidR="003C7C88" w:rsidRDefault="003C7C88" w:rsidP="00464C30">
      <w:pPr>
        <w:pStyle w:val="Footnote"/>
      </w:pPr>
      <w:r>
        <w:rPr>
          <w:rStyle w:val="EndnoteReference"/>
        </w:rPr>
        <w:endnoteRef/>
      </w:r>
      <w:r>
        <w:t xml:space="preserve">   Where a fee for a service is set at a rate that is less than one fee unit (</w:t>
      </w:r>
      <w:r>
        <w:rPr>
          <w:rFonts w:cs="Segoe UI"/>
        </w:rPr>
        <w:t xml:space="preserve">$14.45 for FY18/19) the </w:t>
      </w:r>
      <w:r w:rsidRPr="003A0485">
        <w:rPr>
          <w:i/>
        </w:rPr>
        <w:t>Financial Management Act</w:t>
      </w:r>
      <w:r w:rsidRPr="00AE0DD5">
        <w:t xml:space="preserve"> requires that the fee be </w:t>
      </w:r>
      <w:r>
        <w:t>specified in dollars and cents.</w:t>
      </w:r>
    </w:p>
  </w:endnote>
  <w:endnote w:id="420">
    <w:p w14:paraId="4DAFDB14" w14:textId="77777777" w:rsidR="003C7C88" w:rsidRDefault="003C7C88" w:rsidP="002D716B">
      <w:pPr>
        <w:pStyle w:val="Footnote"/>
      </w:pPr>
      <w:r>
        <w:rPr>
          <w:rStyle w:val="EndnoteReference"/>
        </w:rPr>
        <w:endnoteRef/>
      </w:r>
      <w:r>
        <w:t xml:space="preserve">  VicRoads 2015, </w:t>
      </w:r>
      <w:r w:rsidRPr="005A6EF8">
        <w:t>Free Licence Scheme For Young Drivers</w:t>
      </w:r>
      <w:r>
        <w:t xml:space="preserve"> - </w:t>
      </w:r>
      <w:r w:rsidRPr="005A6EF8">
        <w:rPr>
          <w:i/>
        </w:rPr>
        <w:t>Road Safety (Drivers) Amendment (Driver Reward Scheme) Regulations 2015</w:t>
      </w:r>
      <w:r>
        <w:t>, &lt;</w:t>
      </w:r>
      <w:hyperlink r:id="rId279" w:history="1">
        <w:r w:rsidRPr="000B6828">
          <w:rPr>
            <w:rStyle w:val="Hyperlink"/>
          </w:rPr>
          <w:t>http://www.betterregulation.vic.gov.au/files/dc678462-1881-4207-b31a-a60400e70bbf/Free_Licence_Scheme_RIS__Accessible_version_250815.pdf</w:t>
        </w:r>
      </w:hyperlink>
      <w:r>
        <w:t>&gt;.</w:t>
      </w:r>
    </w:p>
  </w:endnote>
  <w:endnote w:id="421">
    <w:p w14:paraId="6E7472D1" w14:textId="77777777" w:rsidR="003C7C88" w:rsidRDefault="003C7C88" w:rsidP="00BF07DD">
      <w:pPr>
        <w:pStyle w:val="Footnote"/>
      </w:pPr>
      <w:r>
        <w:rPr>
          <w:rStyle w:val="EndnoteReference"/>
        </w:rPr>
        <w:endnoteRef/>
      </w:r>
      <w:r>
        <w:t xml:space="preserve">  Government of Victoria 2017,  </w:t>
      </w:r>
      <w:r w:rsidRPr="00CE5D2F">
        <w:rPr>
          <w:i/>
        </w:rPr>
        <w:t>Whole of Government Response to the Inquiry into lowering the probationary driving age in Victoria to seventeen</w:t>
      </w:r>
      <w:r>
        <w:t>, Parliament of Victoria</w:t>
      </w:r>
      <w:r w:rsidRPr="00D31EE7">
        <w:t xml:space="preserve"> </w:t>
      </w:r>
      <w:r>
        <w:t>website, November 2017, &lt;</w:t>
      </w:r>
      <w:hyperlink r:id="rId280" w:history="1">
        <w:r w:rsidRPr="001A1C03">
          <w:rPr>
            <w:rStyle w:val="Hyperlink"/>
          </w:rPr>
          <w:t>https://www.parliament.vic.gov.au/images/stories/committees/lrrcsc/Probationary_Age/Final_Govt_Response_-_Inquiry_-_Lowering_probationary_driving_age_PJg9xRtG.pdf</w:t>
        </w:r>
      </w:hyperlink>
      <w:r>
        <w:t>&gt;.</w:t>
      </w:r>
    </w:p>
  </w:endnote>
  <w:endnote w:id="422">
    <w:p w14:paraId="0465B2FE" w14:textId="77777777" w:rsidR="003C7C88" w:rsidRDefault="003C7C88" w:rsidP="00CB63BA">
      <w:pPr>
        <w:pStyle w:val="Footnote"/>
      </w:pPr>
      <w:r>
        <w:rPr>
          <w:rStyle w:val="EndnoteReference"/>
        </w:rPr>
        <w:endnoteRef/>
      </w:r>
      <w:r>
        <w:t xml:space="preserve">  Charlton</w:t>
      </w:r>
      <w:r w:rsidRPr="00D058C9">
        <w:t xml:space="preserve"> JL, Koppel S, Odell</w:t>
      </w:r>
      <w:r>
        <w:t xml:space="preserve"> M</w:t>
      </w:r>
      <w:r w:rsidRPr="00D058C9">
        <w:t>, Devlin A, Langford J, O'Hare</w:t>
      </w:r>
      <w:r>
        <w:t xml:space="preserve"> M,</w:t>
      </w:r>
      <w:r w:rsidRPr="00D058C9">
        <w:t xml:space="preserve"> Kopinathan C, Andrea D, Smith G, Khodr B, Edquist J, Muir C, &amp; Scully M</w:t>
      </w:r>
      <w:r>
        <w:t>, 2009</w:t>
      </w:r>
      <w:r w:rsidRPr="00D058C9">
        <w:t xml:space="preserve"> </w:t>
      </w:r>
      <w:r w:rsidRPr="00F4115C">
        <w:rPr>
          <w:i/>
        </w:rPr>
        <w:t>Influence of chronic illness on crash involvement of motor vehicle drivers</w:t>
      </w:r>
      <w:r>
        <w:rPr>
          <w:i/>
        </w:rPr>
        <w:t>,</w:t>
      </w:r>
      <w:r w:rsidRPr="00D058C9">
        <w:t xml:space="preserve"> </w:t>
      </w:r>
      <w:r>
        <w:t>2nd edition, 621 pages, &lt;</w:t>
      </w:r>
      <w:hyperlink r:id="rId281" w:history="1">
        <w:r>
          <w:rPr>
            <w:rStyle w:val="Hyperlink"/>
          </w:rPr>
          <w:t>https://www.monash.edu/muarc/our-publications/muarc300</w:t>
        </w:r>
      </w:hyperlink>
      <w:r>
        <w:t>&gt;.</w:t>
      </w:r>
    </w:p>
  </w:endnote>
  <w:endnote w:id="423">
    <w:p w14:paraId="4C905F83" w14:textId="77777777" w:rsidR="003C7C88" w:rsidRPr="00736F26" w:rsidRDefault="003C7C88" w:rsidP="00EB5212">
      <w:pPr>
        <w:pStyle w:val="Footnote"/>
        <w:rPr>
          <w:rFonts w:cs="Segoe UI"/>
          <w:szCs w:val="16"/>
        </w:rPr>
      </w:pPr>
      <w:r w:rsidRPr="00736F26">
        <w:rPr>
          <w:rStyle w:val="EndnoteReference"/>
          <w:rFonts w:cs="Segoe UI"/>
          <w:szCs w:val="16"/>
        </w:rPr>
        <w:endnoteRef/>
      </w:r>
      <w:r w:rsidRPr="00736F26">
        <w:rPr>
          <w:rFonts w:cs="Segoe UI"/>
          <w:szCs w:val="16"/>
        </w:rPr>
        <w:t xml:space="preserve"> </w:t>
      </w:r>
      <w:r>
        <w:rPr>
          <w:rFonts w:cs="Segoe UI"/>
          <w:szCs w:val="16"/>
        </w:rPr>
        <w:t xml:space="preserve">  Victorian Parliament, </w:t>
      </w:r>
      <w:r w:rsidRPr="00736F26">
        <w:rPr>
          <w:rFonts w:cs="Segoe UI"/>
          <w:i/>
          <w:szCs w:val="16"/>
        </w:rPr>
        <w:t xml:space="preserve">Transport Legislation Amendment (Road Safety, Rail and Other </w:t>
      </w:r>
      <w:r>
        <w:rPr>
          <w:rFonts w:cs="Segoe UI"/>
          <w:i/>
          <w:szCs w:val="16"/>
        </w:rPr>
        <w:t>M</w:t>
      </w:r>
      <w:r w:rsidRPr="00736F26">
        <w:rPr>
          <w:rFonts w:cs="Segoe UI"/>
          <w:i/>
          <w:szCs w:val="16"/>
        </w:rPr>
        <w:t>atters) Act 2017</w:t>
      </w:r>
      <w:r w:rsidRPr="00736F26">
        <w:rPr>
          <w:rFonts w:cs="Segoe UI"/>
          <w:szCs w:val="16"/>
        </w:rPr>
        <w:t xml:space="preserve">: </w:t>
      </w:r>
      <w:r>
        <w:rPr>
          <w:rFonts w:cs="Segoe UI"/>
          <w:szCs w:val="16"/>
        </w:rPr>
        <w:t>&lt;</w:t>
      </w:r>
      <w:hyperlink r:id="rId282" w:history="1">
        <w:r w:rsidRPr="00917BC7">
          <w:rPr>
            <w:rStyle w:val="Hyperlink"/>
            <w:rFonts w:cs="Segoe UI"/>
            <w:szCs w:val="16"/>
          </w:rPr>
          <w:t>http://www.legislation.vic.gov.au/Domino/Web_Notes/LDMS/PubStatbook.nsf/51dea49770555ea6ca256da4001b90cd/D74CCF267D6DC44ECA2581FB00097F12/$FILE/17-068aa%20authorised.pdf</w:t>
        </w:r>
      </w:hyperlink>
      <w:r>
        <w:rPr>
          <w:rFonts w:cs="Segoe UI"/>
          <w:szCs w:val="16"/>
        </w:rPr>
        <w:t>&gt;.</w:t>
      </w:r>
    </w:p>
  </w:endnote>
  <w:endnote w:id="424">
    <w:p w14:paraId="59AD08FE" w14:textId="77777777" w:rsidR="003C7C88" w:rsidRDefault="003C7C88" w:rsidP="000A1CEA">
      <w:pPr>
        <w:pStyle w:val="Footnote"/>
      </w:pPr>
      <w:r>
        <w:rPr>
          <w:rStyle w:val="EndnoteReference"/>
        </w:rPr>
        <w:endnoteRef/>
      </w:r>
      <w:r>
        <w:t xml:space="preserve">  Department of Foreign Affairs and Trade 2018, </w:t>
      </w:r>
      <w:r w:rsidRPr="00E00500">
        <w:rPr>
          <w:i/>
        </w:rPr>
        <w:t>8.1 Driver Licences</w:t>
      </w:r>
      <w:r>
        <w:t>, &lt;</w:t>
      </w:r>
      <w:hyperlink r:id="rId283" w:history="1">
        <w:r>
          <w:rPr>
            <w:rStyle w:val="Hyperlink"/>
          </w:rPr>
          <w:t>http://dfat.gov.au/about-us/publications/corporate/protocol-guidelines/Pages/8-1-driver-licences.aspx</w:t>
        </w:r>
      </w:hyperlink>
      <w:r>
        <w:rPr>
          <w:rStyle w:val="FootnoteChar"/>
        </w:rPr>
        <w:t>&gt;.</w:t>
      </w:r>
    </w:p>
  </w:endnote>
  <w:endnote w:id="425">
    <w:p w14:paraId="5E3EE165" w14:textId="77777777" w:rsidR="003C7C88" w:rsidRPr="00A37B27" w:rsidRDefault="003C7C88" w:rsidP="009B13B8">
      <w:pPr>
        <w:pStyle w:val="Footnote"/>
      </w:pPr>
      <w:r w:rsidRPr="00A37B27">
        <w:rPr>
          <w:rStyle w:val="EndnoteReference"/>
          <w:rFonts w:cs="Segoe UI"/>
        </w:rPr>
        <w:endnoteRef/>
      </w:r>
      <w:r w:rsidRPr="00A37B27">
        <w:t xml:space="preserve"> </w:t>
      </w:r>
      <w:r>
        <w:t xml:space="preserve">  </w:t>
      </w:r>
      <w:r w:rsidRPr="00A37B27">
        <w:t xml:space="preserve">Given a 4.4% vehicle scrapping rate annually the average life would approximate 17-18 years - refer </w:t>
      </w:r>
      <w:r>
        <w:t xml:space="preserve">Costello M 2017, </w:t>
      </w:r>
      <w:r w:rsidRPr="00F161FD">
        <w:rPr>
          <w:i/>
        </w:rPr>
        <w:t>Australia Average Vehicle Age is 10.1 years</w:t>
      </w:r>
      <w:r>
        <w:t>, 12 August 2017, viewed 19 June 2018, &lt;</w:t>
      </w:r>
      <w:hyperlink r:id="rId284" w:history="1">
        <w:r w:rsidRPr="00A37B27">
          <w:rPr>
            <w:rStyle w:val="Hyperlink"/>
            <w:rFonts w:cs="Segoe UI"/>
          </w:rPr>
          <w:t>http://www.caradvice.com.au/574207/australia-average-vehicle-age-is-10-1-years</w:t>
        </w:r>
      </w:hyperlink>
      <w: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4D"/>
    <w:family w:val="auto"/>
    <w:notTrueType/>
    <w:pitch w:val="default"/>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LFWRE+Univers-CondensedLight">
    <w:altName w:val="Calibri"/>
    <w:panose1 w:val="00000000000000000000"/>
    <w:charset w:val="00"/>
    <w:family w:val="swiss"/>
    <w:notTrueType/>
    <w:pitch w:val="default"/>
    <w:sig w:usb0="00000003" w:usb1="00000000" w:usb2="00000000" w:usb3="00000000" w:csb0="00000001" w:csb1="00000000"/>
  </w:font>
  <w:font w:name="TransText M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49" w:type="dxa"/>
      <w:tblBorders>
        <w:top w:val="single" w:sz="4" w:space="0" w:color="2A8737" w:themeColor="accent1" w:themeShade="BF"/>
      </w:tblBorders>
      <w:tblLook w:val="04A0" w:firstRow="1" w:lastRow="0" w:firstColumn="1" w:lastColumn="0" w:noHBand="0" w:noVBand="1"/>
    </w:tblPr>
    <w:tblGrid>
      <w:gridCol w:w="6631"/>
      <w:gridCol w:w="1712"/>
      <w:gridCol w:w="1206"/>
    </w:tblGrid>
    <w:tr w:rsidR="003C7C88" w:rsidRPr="00DA74AC" w14:paraId="76358862" w14:textId="77777777" w:rsidTr="008B746B">
      <w:tc>
        <w:tcPr>
          <w:tcW w:w="4966" w:type="dxa"/>
        </w:tcPr>
        <w:p w14:paraId="42A246E0" w14:textId="77777777" w:rsidR="003C7C88" w:rsidRDefault="003C7C88" w:rsidP="002B2D89">
          <w:pPr>
            <w:pStyle w:val="Footer"/>
            <w:rPr>
              <w:rFonts w:ascii="Segoe UI" w:hAnsi="Segoe UI" w:cs="Segoe UI"/>
              <w:sz w:val="18"/>
              <w:szCs w:val="20"/>
            </w:rPr>
          </w:pPr>
          <w:bookmarkStart w:id="0" w:name="PandNP1FooterEvenPages"/>
        </w:p>
        <w:bookmarkEnd w:id="0"/>
        <w:p w14:paraId="6685E19B" w14:textId="09950FC1" w:rsidR="003C7C88" w:rsidRPr="00DA74AC" w:rsidRDefault="003C7C88" w:rsidP="00B12876">
          <w:pPr>
            <w:pStyle w:val="Footer"/>
            <w:spacing w:before="60"/>
            <w:rPr>
              <w:rFonts w:ascii="Segoe UI" w:hAnsi="Segoe UI" w:cs="Segoe UI"/>
              <w:color w:val="000000" w:themeColor="text1"/>
              <w:sz w:val="18"/>
              <w:szCs w:val="20"/>
            </w:rPr>
          </w:pPr>
          <w:r w:rsidRPr="00DA74AC">
            <w:rPr>
              <w:rFonts w:ascii="Segoe UI" w:hAnsi="Segoe UI" w:cs="Segoe UI"/>
              <w:sz w:val="18"/>
              <w:szCs w:val="20"/>
            </w:rPr>
            <w:fldChar w:fldCharType="begin"/>
          </w:r>
          <w:r w:rsidRPr="00DA74AC">
            <w:rPr>
              <w:rFonts w:ascii="Segoe UI" w:hAnsi="Segoe UI" w:cs="Segoe UI"/>
              <w:sz w:val="18"/>
              <w:szCs w:val="20"/>
            </w:rPr>
            <w:instrText xml:space="preserve"> FILENAME   \* MERGEFORMAT </w:instrText>
          </w:r>
          <w:r w:rsidRPr="00DA74AC">
            <w:rPr>
              <w:rFonts w:ascii="Segoe UI" w:hAnsi="Segoe UI" w:cs="Segoe UI"/>
              <w:sz w:val="18"/>
              <w:szCs w:val="20"/>
            </w:rPr>
            <w:fldChar w:fldCharType="separate"/>
          </w:r>
          <w:r>
            <w:rPr>
              <w:rFonts w:ascii="Segoe UI" w:hAnsi="Segoe UI" w:cs="Segoe UI"/>
              <w:noProof/>
              <w:sz w:val="18"/>
              <w:szCs w:val="20"/>
            </w:rPr>
            <w:t>RIS_Drivers_Regulations_2019_DRAFTv41_20190510_for_OCBR Review - v15 clean version.docx</w:t>
          </w:r>
          <w:r w:rsidRPr="00DA74AC">
            <w:rPr>
              <w:rFonts w:ascii="Segoe UI" w:hAnsi="Segoe UI" w:cs="Segoe UI"/>
              <w:noProof/>
              <w:sz w:val="18"/>
              <w:szCs w:val="20"/>
            </w:rPr>
            <w:fldChar w:fldCharType="end"/>
          </w:r>
        </w:p>
      </w:tc>
      <w:tc>
        <w:tcPr>
          <w:tcW w:w="2498" w:type="dxa"/>
        </w:tcPr>
        <w:p w14:paraId="392CD62B" w14:textId="032056FF" w:rsidR="003C7C88" w:rsidRPr="00DA74AC" w:rsidRDefault="003C7C88" w:rsidP="00B12876">
          <w:pPr>
            <w:pStyle w:val="Footer"/>
            <w:spacing w:before="60"/>
            <w:jc w:val="center"/>
            <w:rPr>
              <w:rFonts w:ascii="Segoe UI" w:hAnsi="Segoe UI" w:cs="Segoe UI"/>
              <w:color w:val="000000" w:themeColor="text1"/>
              <w:sz w:val="18"/>
              <w:szCs w:val="20"/>
            </w:rPr>
          </w:pPr>
          <w:sdt>
            <w:sdtPr>
              <w:rPr>
                <w:rFonts w:ascii="Segoe UI" w:hAnsi="Segoe UI" w:cs="Segoe UI"/>
                <w:sz w:val="18"/>
                <w:szCs w:val="20"/>
              </w:rPr>
              <w:alias w:val="Confidentiality Level"/>
              <w:tag w:val="Confidentiality Level"/>
              <w:id w:val="-572661161"/>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DA74AC">
                <w:rPr>
                  <w:rFonts w:ascii="Segoe UI" w:hAnsi="Segoe UI" w:cs="Segoe UI"/>
                  <w:sz w:val="18"/>
                  <w:szCs w:val="20"/>
                </w:rPr>
                <w:t>Confidential</w:t>
              </w:r>
            </w:sdtContent>
          </w:sdt>
        </w:p>
      </w:tc>
      <w:tc>
        <w:tcPr>
          <w:tcW w:w="2085" w:type="dxa"/>
        </w:tcPr>
        <w:p w14:paraId="082107D1" w14:textId="77777777" w:rsidR="003C7C88" w:rsidRPr="00DA74AC" w:rsidRDefault="003C7C88" w:rsidP="00B12876">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153</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222</w:t>
          </w:r>
          <w:r w:rsidRPr="00DA74AC">
            <w:rPr>
              <w:rFonts w:ascii="Segoe UI" w:hAnsi="Segoe UI" w:cs="Segoe UI"/>
              <w:noProof/>
              <w:sz w:val="18"/>
              <w:szCs w:val="20"/>
            </w:rPr>
            <w:fldChar w:fldCharType="end"/>
          </w:r>
        </w:p>
      </w:tc>
    </w:tr>
  </w:tbl>
  <w:p w14:paraId="7EBDFEED" w14:textId="77777777" w:rsidR="003C7C88" w:rsidRPr="00DA74AC" w:rsidRDefault="003C7C88" w:rsidP="002B2D89">
    <w:pPr>
      <w:spacing w:after="0" w:line="240" w:lineRule="auto"/>
      <w:rPr>
        <w:rFonts w:ascii="Segoe UI" w:hAnsi="Segoe UI" w:cs="Segoe UI"/>
        <w:sz w:val="18"/>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991" w:type="dxa"/>
      <w:tblInd w:w="108" w:type="dxa"/>
      <w:tblBorders>
        <w:top w:val="single" w:sz="4" w:space="0" w:color="2A8737" w:themeColor="accent1" w:themeShade="BF"/>
      </w:tblBorders>
      <w:tblLook w:val="04A0" w:firstRow="1" w:lastRow="0" w:firstColumn="1" w:lastColumn="0" w:noHBand="0" w:noVBand="1"/>
    </w:tblPr>
    <w:tblGrid>
      <w:gridCol w:w="6946"/>
      <w:gridCol w:w="1559"/>
      <w:gridCol w:w="5486"/>
    </w:tblGrid>
    <w:tr w:rsidR="003C7C88" w:rsidRPr="00F92B5D" w14:paraId="0EB09070" w14:textId="77777777" w:rsidTr="00F71569">
      <w:tc>
        <w:tcPr>
          <w:tcW w:w="6946" w:type="dxa"/>
        </w:tcPr>
        <w:p w14:paraId="126B8DE1" w14:textId="77777777" w:rsidR="003C7C88" w:rsidRDefault="003C7C88" w:rsidP="002B2D89">
          <w:pPr>
            <w:pStyle w:val="Footer"/>
            <w:rPr>
              <w:rFonts w:ascii="Segoe UI" w:hAnsi="Segoe UI" w:cs="Segoe UI"/>
              <w:sz w:val="18"/>
              <w:szCs w:val="18"/>
            </w:rPr>
          </w:pPr>
        </w:p>
        <w:p w14:paraId="432EB8D2" w14:textId="06F306BC" w:rsidR="003C7C88" w:rsidRPr="00C46D24" w:rsidRDefault="003C7C88" w:rsidP="00F71569">
          <w:pPr>
            <w:pStyle w:val="Footer"/>
            <w:spacing w:before="60"/>
            <w:rPr>
              <w:rFonts w:ascii="Segoe UI" w:hAnsi="Segoe UI" w:cs="Segoe UI"/>
              <w:sz w:val="18"/>
              <w:szCs w:val="18"/>
            </w:rPr>
          </w:pPr>
          <w:r w:rsidRPr="00C46D24">
            <w:rPr>
              <w:rFonts w:ascii="Segoe UI" w:hAnsi="Segoe UI" w:cs="Segoe UI"/>
              <w:sz w:val="18"/>
              <w:szCs w:val="18"/>
            </w:rPr>
            <w:fldChar w:fldCharType="begin"/>
          </w:r>
          <w:r w:rsidRPr="00C46D24">
            <w:rPr>
              <w:rFonts w:ascii="Segoe UI" w:hAnsi="Segoe UI" w:cs="Segoe UI"/>
              <w:sz w:val="18"/>
              <w:szCs w:val="18"/>
            </w:rPr>
            <w:instrText xml:space="preserve"> FILENAME   \* MERGEFORMAT </w:instrText>
          </w:r>
          <w:r w:rsidRPr="00C46D24">
            <w:rPr>
              <w:rFonts w:ascii="Segoe UI" w:hAnsi="Segoe UI" w:cs="Segoe UI"/>
              <w:sz w:val="18"/>
              <w:szCs w:val="18"/>
            </w:rPr>
            <w:fldChar w:fldCharType="separate"/>
          </w:r>
          <w:r>
            <w:rPr>
              <w:rFonts w:ascii="Segoe UI" w:hAnsi="Segoe UI" w:cs="Segoe UI"/>
              <w:noProof/>
              <w:sz w:val="18"/>
              <w:szCs w:val="18"/>
            </w:rPr>
            <w:t>RIS_Drivers_Regulations_2019_DRAFTv41_20190510_for_OCBR Review - v15 clean version.docx</w:t>
          </w:r>
          <w:r w:rsidRPr="00C46D24">
            <w:rPr>
              <w:rFonts w:ascii="Segoe UI" w:hAnsi="Segoe UI" w:cs="Segoe UI"/>
              <w:noProof/>
              <w:sz w:val="18"/>
              <w:szCs w:val="18"/>
            </w:rPr>
            <w:fldChar w:fldCharType="end"/>
          </w:r>
        </w:p>
      </w:tc>
      <w:tc>
        <w:tcPr>
          <w:tcW w:w="1559" w:type="dxa"/>
        </w:tcPr>
        <w:p w14:paraId="72752016" w14:textId="77777777" w:rsidR="003C7C88" w:rsidRPr="00F92B5D" w:rsidRDefault="003C7C88" w:rsidP="00F71569">
          <w:pPr>
            <w:pStyle w:val="Footer"/>
            <w:spacing w:before="60"/>
            <w:jc w:val="center"/>
            <w:rPr>
              <w:rFonts w:ascii="Segoe UI" w:hAnsi="Segoe UI" w:cs="Segoe UI"/>
              <w:color w:val="000000" w:themeColor="text1"/>
              <w:sz w:val="16"/>
              <w:szCs w:val="16"/>
            </w:rPr>
          </w:pPr>
          <w:sdt>
            <w:sdtPr>
              <w:rPr>
                <w:rFonts w:ascii="Segoe UI" w:hAnsi="Segoe UI" w:cs="Segoe UI"/>
                <w:sz w:val="18"/>
                <w:szCs w:val="16"/>
              </w:rPr>
              <w:alias w:val="Confidentiality Level"/>
              <w:tag w:val="Confidentiality Level"/>
              <w:id w:val="1793632195"/>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1773A6">
                <w:rPr>
                  <w:rFonts w:ascii="Segoe UI" w:hAnsi="Segoe UI" w:cs="Segoe UI"/>
                  <w:sz w:val="18"/>
                  <w:szCs w:val="16"/>
                </w:rPr>
                <w:t>Confidential</w:t>
              </w:r>
            </w:sdtContent>
          </w:sdt>
        </w:p>
      </w:tc>
      <w:tc>
        <w:tcPr>
          <w:tcW w:w="5486" w:type="dxa"/>
        </w:tcPr>
        <w:p w14:paraId="125CD6FE" w14:textId="77777777" w:rsidR="003C7C88" w:rsidRPr="00A339C8" w:rsidRDefault="003C7C88" w:rsidP="00F71569">
          <w:pPr>
            <w:pStyle w:val="Footer"/>
            <w:spacing w:before="60"/>
            <w:jc w:val="right"/>
            <w:rPr>
              <w:rFonts w:ascii="Segoe UI" w:hAnsi="Segoe UI" w:cs="Segoe UI"/>
              <w:noProof/>
              <w:szCs w:val="16"/>
            </w:rPr>
          </w:pPr>
          <w:r w:rsidRPr="007104DF">
            <w:rPr>
              <w:rFonts w:ascii="Segoe UI" w:hAnsi="Segoe UI" w:cs="Segoe UI"/>
              <w:color w:val="000000" w:themeColor="text1"/>
              <w:sz w:val="18"/>
              <w:szCs w:val="16"/>
            </w:rPr>
            <w:t xml:space="preserve">Page </w:t>
          </w:r>
          <w:r w:rsidRPr="007104DF">
            <w:rPr>
              <w:rFonts w:ascii="Segoe UI" w:hAnsi="Segoe UI" w:cs="Segoe UI"/>
              <w:color w:val="000000" w:themeColor="text1"/>
              <w:sz w:val="18"/>
              <w:szCs w:val="16"/>
            </w:rPr>
            <w:fldChar w:fldCharType="begin"/>
          </w:r>
          <w:r w:rsidRPr="007104DF">
            <w:rPr>
              <w:rFonts w:ascii="Segoe UI" w:hAnsi="Segoe UI" w:cs="Segoe UI"/>
              <w:color w:val="000000" w:themeColor="text1"/>
              <w:sz w:val="18"/>
              <w:szCs w:val="16"/>
            </w:rPr>
            <w:instrText xml:space="preserve"> PAGE  \* Arabic  \* MERGEFORMAT </w:instrText>
          </w:r>
          <w:r w:rsidRPr="007104DF">
            <w:rPr>
              <w:rFonts w:ascii="Segoe UI" w:hAnsi="Segoe UI" w:cs="Segoe UI"/>
              <w:color w:val="000000" w:themeColor="text1"/>
              <w:sz w:val="18"/>
              <w:szCs w:val="16"/>
            </w:rPr>
            <w:fldChar w:fldCharType="separate"/>
          </w:r>
          <w:r>
            <w:rPr>
              <w:rFonts w:ascii="Segoe UI" w:hAnsi="Segoe UI" w:cs="Segoe UI"/>
              <w:noProof/>
              <w:color w:val="000000" w:themeColor="text1"/>
              <w:sz w:val="18"/>
              <w:szCs w:val="16"/>
            </w:rPr>
            <w:t>200</w:t>
          </w:r>
          <w:r w:rsidRPr="007104DF">
            <w:rPr>
              <w:rFonts w:ascii="Segoe UI" w:hAnsi="Segoe UI" w:cs="Segoe UI"/>
              <w:color w:val="000000" w:themeColor="text1"/>
              <w:sz w:val="18"/>
              <w:szCs w:val="16"/>
            </w:rPr>
            <w:fldChar w:fldCharType="end"/>
          </w:r>
          <w:r w:rsidRPr="007104DF">
            <w:rPr>
              <w:rFonts w:ascii="Segoe UI" w:hAnsi="Segoe UI" w:cs="Segoe UI"/>
              <w:color w:val="000000" w:themeColor="text1"/>
              <w:sz w:val="18"/>
              <w:szCs w:val="16"/>
            </w:rPr>
            <w:t xml:space="preserve"> of </w:t>
          </w:r>
          <w:r>
            <w:rPr>
              <w:noProof/>
              <w:sz w:val="18"/>
            </w:rPr>
            <w:fldChar w:fldCharType="begin"/>
          </w:r>
          <w:r>
            <w:rPr>
              <w:noProof/>
              <w:sz w:val="18"/>
            </w:rPr>
            <w:instrText xml:space="preserve"> NUMPAGES  \* Arabic  \* MERGEFORMAT </w:instrText>
          </w:r>
          <w:r>
            <w:rPr>
              <w:noProof/>
              <w:sz w:val="18"/>
            </w:rPr>
            <w:fldChar w:fldCharType="separate"/>
          </w:r>
          <w:r>
            <w:rPr>
              <w:noProof/>
              <w:sz w:val="18"/>
            </w:rPr>
            <w:t>222</w:t>
          </w:r>
          <w:r>
            <w:rPr>
              <w:noProof/>
              <w:sz w:val="18"/>
            </w:rPr>
            <w:fldChar w:fldCharType="end"/>
          </w:r>
        </w:p>
      </w:tc>
    </w:tr>
  </w:tbl>
  <w:p w14:paraId="26A1DB13" w14:textId="77777777" w:rsidR="003C7C88" w:rsidRPr="00BC5491" w:rsidRDefault="003C7C88" w:rsidP="002B2D89">
    <w:pPr>
      <w:spacing w:after="0" w:line="240" w:lineRule="auto"/>
      <w:rPr>
        <w:sz w:val="10"/>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1263" w:type="dxa"/>
      <w:tblBorders>
        <w:top w:val="single" w:sz="4" w:space="0" w:color="2A8737" w:themeColor="accent1" w:themeShade="BF"/>
      </w:tblBorders>
      <w:tblLook w:val="04A0" w:firstRow="1" w:lastRow="0" w:firstColumn="1" w:lastColumn="0" w:noHBand="0" w:noVBand="1"/>
    </w:tblPr>
    <w:tblGrid>
      <w:gridCol w:w="6521"/>
      <w:gridCol w:w="8505"/>
      <w:gridCol w:w="6237"/>
    </w:tblGrid>
    <w:tr w:rsidR="003C7C88" w:rsidRPr="00DA74AC" w14:paraId="2921B224" w14:textId="77777777" w:rsidTr="00DD24BA">
      <w:tc>
        <w:tcPr>
          <w:tcW w:w="6521" w:type="dxa"/>
          <w:tcBorders>
            <w:top w:val="single" w:sz="2" w:space="0" w:color="808080" w:themeColor="background1" w:themeShade="80"/>
          </w:tcBorders>
        </w:tcPr>
        <w:p w14:paraId="7CAB2C17" w14:textId="76A140D8" w:rsidR="003C7C88" w:rsidRPr="00125EC8" w:rsidRDefault="003C7C88" w:rsidP="00B12876">
          <w:pPr>
            <w:pStyle w:val="Footer"/>
            <w:spacing w:before="60"/>
            <w:rPr>
              <w:rFonts w:ascii="Segoe UI" w:hAnsi="Segoe UI" w:cs="Segoe UI"/>
              <w:color w:val="000000" w:themeColor="text1"/>
              <w:sz w:val="18"/>
              <w:szCs w:val="20"/>
            </w:rPr>
          </w:pPr>
          <w:r w:rsidRPr="00125EC8">
            <w:rPr>
              <w:rFonts w:ascii="Segoe UI" w:hAnsi="Segoe UI" w:cs="Segoe UI"/>
              <w:sz w:val="16"/>
              <w:szCs w:val="20"/>
            </w:rPr>
            <w:t>Road Safety (Drivers) Regulations 2019</w:t>
          </w:r>
        </w:p>
      </w:tc>
      <w:tc>
        <w:tcPr>
          <w:tcW w:w="8505" w:type="dxa"/>
          <w:tcBorders>
            <w:top w:val="single" w:sz="2" w:space="0" w:color="808080" w:themeColor="background1" w:themeShade="80"/>
          </w:tcBorders>
        </w:tcPr>
        <w:p w14:paraId="4DC760C5" w14:textId="77777777" w:rsidR="003C7C88" w:rsidRPr="00DA74AC" w:rsidRDefault="003C7C88" w:rsidP="00B12876">
          <w:pPr>
            <w:pStyle w:val="Footer"/>
            <w:spacing w:before="60"/>
            <w:jc w:val="center"/>
            <w:rPr>
              <w:rFonts w:ascii="Segoe UI" w:hAnsi="Segoe UI" w:cs="Segoe UI"/>
              <w:color w:val="000000" w:themeColor="text1"/>
              <w:sz w:val="18"/>
              <w:szCs w:val="20"/>
            </w:rPr>
          </w:pPr>
          <w:r w:rsidRPr="00447FA5">
            <w:rPr>
              <w:rFonts w:ascii="Segoe UI" w:hAnsi="Segoe UI" w:cs="Segoe UI"/>
              <w:sz w:val="16"/>
              <w:szCs w:val="20"/>
            </w:rPr>
            <w:t>Regulatory Impact Statement</w:t>
          </w:r>
        </w:p>
      </w:tc>
      <w:tc>
        <w:tcPr>
          <w:tcW w:w="6237" w:type="dxa"/>
          <w:tcBorders>
            <w:top w:val="single" w:sz="2" w:space="0" w:color="808080" w:themeColor="background1" w:themeShade="80"/>
          </w:tcBorders>
        </w:tcPr>
        <w:p w14:paraId="74D84D7D" w14:textId="03A7CADE" w:rsidR="003C7C88" w:rsidRPr="00DA74AC" w:rsidRDefault="003C7C88" w:rsidP="00B12876">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220</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248</w:t>
          </w:r>
          <w:r w:rsidRPr="00DA74AC">
            <w:rPr>
              <w:rFonts w:ascii="Segoe UI" w:hAnsi="Segoe UI" w:cs="Segoe UI"/>
              <w:noProof/>
              <w:sz w:val="18"/>
              <w:szCs w:val="20"/>
            </w:rPr>
            <w:fldChar w:fldCharType="end"/>
          </w:r>
        </w:p>
      </w:tc>
    </w:tr>
    <w:tr w:rsidR="003C7C88" w:rsidRPr="00DA74AC" w14:paraId="1EB85E7F" w14:textId="77777777" w:rsidTr="00DD24BA">
      <w:tc>
        <w:tcPr>
          <w:tcW w:w="21258" w:type="dxa"/>
          <w:gridSpan w:val="3"/>
        </w:tcPr>
        <w:p w14:paraId="0CBBE121" w14:textId="3CA6CED2" w:rsidR="003C7C88" w:rsidRPr="00213FAD" w:rsidRDefault="003C7C88" w:rsidP="00BB0F89">
          <w:pPr>
            <w:pStyle w:val="Footer"/>
            <w:rPr>
              <w:rFonts w:ascii="Segoe UI" w:hAnsi="Segoe UI" w:cs="Segoe UI"/>
              <w:color w:val="000000" w:themeColor="text1"/>
              <w:sz w:val="12"/>
              <w:szCs w:val="16"/>
            </w:rPr>
          </w:pPr>
        </w:p>
      </w:tc>
    </w:tr>
  </w:tbl>
  <w:p w14:paraId="220DE7C2" w14:textId="77777777" w:rsidR="003C7C88" w:rsidRPr="00447FA5" w:rsidRDefault="003C7C88" w:rsidP="00774C11">
    <w:pPr>
      <w:spacing w:after="0" w:line="240" w:lineRule="auto"/>
      <w:rPr>
        <w:rFonts w:ascii="Segoe UI" w:hAnsi="Segoe UI" w:cs="Segoe UI"/>
        <w:sz w:val="6"/>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991" w:type="dxa"/>
      <w:tblInd w:w="108" w:type="dxa"/>
      <w:tblBorders>
        <w:top w:val="single" w:sz="4" w:space="0" w:color="2A8737" w:themeColor="accent1" w:themeShade="BF"/>
      </w:tblBorders>
      <w:tblLook w:val="04A0" w:firstRow="1" w:lastRow="0" w:firstColumn="1" w:lastColumn="0" w:noHBand="0" w:noVBand="1"/>
    </w:tblPr>
    <w:tblGrid>
      <w:gridCol w:w="6946"/>
      <w:gridCol w:w="1559"/>
      <w:gridCol w:w="5486"/>
    </w:tblGrid>
    <w:tr w:rsidR="003C7C88" w:rsidRPr="00F92B5D" w14:paraId="6C38860D" w14:textId="77777777" w:rsidTr="00F71569">
      <w:tc>
        <w:tcPr>
          <w:tcW w:w="6946" w:type="dxa"/>
        </w:tcPr>
        <w:p w14:paraId="5D14A721" w14:textId="17600F33" w:rsidR="003C7C88" w:rsidRPr="00C46D24" w:rsidRDefault="003C7C88" w:rsidP="00F71569">
          <w:pPr>
            <w:pStyle w:val="Footer"/>
            <w:spacing w:before="60"/>
            <w:rPr>
              <w:rFonts w:ascii="Segoe UI" w:hAnsi="Segoe UI" w:cs="Segoe UI"/>
              <w:sz w:val="18"/>
              <w:szCs w:val="18"/>
            </w:rPr>
          </w:pPr>
          <w:r w:rsidRPr="00C46D24">
            <w:rPr>
              <w:rFonts w:ascii="Segoe UI" w:hAnsi="Segoe UI" w:cs="Segoe UI"/>
              <w:sz w:val="18"/>
              <w:szCs w:val="18"/>
            </w:rPr>
            <w:fldChar w:fldCharType="begin"/>
          </w:r>
          <w:r w:rsidRPr="00C46D24">
            <w:rPr>
              <w:rFonts w:ascii="Segoe UI" w:hAnsi="Segoe UI" w:cs="Segoe UI"/>
              <w:sz w:val="18"/>
              <w:szCs w:val="18"/>
            </w:rPr>
            <w:instrText xml:space="preserve"> FILENAME   \* MERGEFORMAT </w:instrText>
          </w:r>
          <w:r w:rsidRPr="00C46D24">
            <w:rPr>
              <w:rFonts w:ascii="Segoe UI" w:hAnsi="Segoe UI" w:cs="Segoe UI"/>
              <w:sz w:val="18"/>
              <w:szCs w:val="18"/>
            </w:rPr>
            <w:fldChar w:fldCharType="separate"/>
          </w:r>
          <w:r>
            <w:rPr>
              <w:rFonts w:ascii="Segoe UI" w:hAnsi="Segoe UI" w:cs="Segoe UI"/>
              <w:noProof/>
              <w:sz w:val="18"/>
              <w:szCs w:val="18"/>
            </w:rPr>
            <w:t>RIS_Drivers_Regulations_2019_DRAFTv41_20190510_for_OCBR Review - v15 clean version.docx</w:t>
          </w:r>
          <w:r w:rsidRPr="00C46D24">
            <w:rPr>
              <w:rFonts w:ascii="Segoe UI" w:hAnsi="Segoe UI" w:cs="Segoe UI"/>
              <w:noProof/>
              <w:sz w:val="18"/>
              <w:szCs w:val="18"/>
            </w:rPr>
            <w:fldChar w:fldCharType="end"/>
          </w:r>
        </w:p>
      </w:tc>
      <w:tc>
        <w:tcPr>
          <w:tcW w:w="1559" w:type="dxa"/>
        </w:tcPr>
        <w:p w14:paraId="7C5C8DAD" w14:textId="77777777" w:rsidR="003C7C88" w:rsidRPr="00F92B5D" w:rsidRDefault="003C7C88" w:rsidP="00F71569">
          <w:pPr>
            <w:pStyle w:val="Footer"/>
            <w:spacing w:before="60"/>
            <w:jc w:val="center"/>
            <w:rPr>
              <w:rFonts w:ascii="Segoe UI" w:hAnsi="Segoe UI" w:cs="Segoe UI"/>
              <w:color w:val="000000" w:themeColor="text1"/>
              <w:sz w:val="16"/>
              <w:szCs w:val="16"/>
            </w:rPr>
          </w:pPr>
          <w:sdt>
            <w:sdtPr>
              <w:rPr>
                <w:rFonts w:ascii="Segoe UI" w:hAnsi="Segoe UI" w:cs="Segoe UI"/>
                <w:sz w:val="18"/>
                <w:szCs w:val="16"/>
              </w:rPr>
              <w:alias w:val="Confidentiality Level"/>
              <w:tag w:val="Confidentiality Level"/>
              <w:id w:val="1143236628"/>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1773A6">
                <w:rPr>
                  <w:rFonts w:ascii="Segoe UI" w:hAnsi="Segoe UI" w:cs="Segoe UI"/>
                  <w:sz w:val="18"/>
                  <w:szCs w:val="16"/>
                </w:rPr>
                <w:t>Confidential</w:t>
              </w:r>
            </w:sdtContent>
          </w:sdt>
        </w:p>
      </w:tc>
      <w:tc>
        <w:tcPr>
          <w:tcW w:w="5486" w:type="dxa"/>
        </w:tcPr>
        <w:p w14:paraId="05B42D3F" w14:textId="77777777" w:rsidR="003C7C88" w:rsidRPr="00A339C8" w:rsidRDefault="003C7C88" w:rsidP="00F71569">
          <w:pPr>
            <w:pStyle w:val="Footer"/>
            <w:spacing w:before="60"/>
            <w:jc w:val="right"/>
            <w:rPr>
              <w:rFonts w:ascii="Segoe UI" w:hAnsi="Segoe UI" w:cs="Segoe UI"/>
              <w:noProof/>
              <w:szCs w:val="16"/>
            </w:rPr>
          </w:pPr>
          <w:r w:rsidRPr="007104DF">
            <w:rPr>
              <w:rFonts w:ascii="Segoe UI" w:hAnsi="Segoe UI" w:cs="Segoe UI"/>
              <w:color w:val="000000" w:themeColor="text1"/>
              <w:sz w:val="18"/>
              <w:szCs w:val="16"/>
            </w:rPr>
            <w:t xml:space="preserve">Page </w:t>
          </w:r>
          <w:r w:rsidRPr="007104DF">
            <w:rPr>
              <w:rFonts w:ascii="Segoe UI" w:hAnsi="Segoe UI" w:cs="Segoe UI"/>
              <w:color w:val="000000" w:themeColor="text1"/>
              <w:sz w:val="18"/>
              <w:szCs w:val="16"/>
            </w:rPr>
            <w:fldChar w:fldCharType="begin"/>
          </w:r>
          <w:r w:rsidRPr="007104DF">
            <w:rPr>
              <w:rFonts w:ascii="Segoe UI" w:hAnsi="Segoe UI" w:cs="Segoe UI"/>
              <w:color w:val="000000" w:themeColor="text1"/>
              <w:sz w:val="18"/>
              <w:szCs w:val="16"/>
            </w:rPr>
            <w:instrText xml:space="preserve"> PAGE  \* Arabic  \* MERGEFORMAT </w:instrText>
          </w:r>
          <w:r w:rsidRPr="007104DF">
            <w:rPr>
              <w:rFonts w:ascii="Segoe UI" w:hAnsi="Segoe UI" w:cs="Segoe UI"/>
              <w:color w:val="000000" w:themeColor="text1"/>
              <w:sz w:val="18"/>
              <w:szCs w:val="16"/>
            </w:rPr>
            <w:fldChar w:fldCharType="separate"/>
          </w:r>
          <w:r>
            <w:rPr>
              <w:rFonts w:ascii="Segoe UI" w:hAnsi="Segoe UI" w:cs="Segoe UI"/>
              <w:noProof/>
              <w:color w:val="000000" w:themeColor="text1"/>
              <w:sz w:val="18"/>
              <w:szCs w:val="16"/>
            </w:rPr>
            <w:t>202</w:t>
          </w:r>
          <w:r w:rsidRPr="007104DF">
            <w:rPr>
              <w:rFonts w:ascii="Segoe UI" w:hAnsi="Segoe UI" w:cs="Segoe UI"/>
              <w:color w:val="000000" w:themeColor="text1"/>
              <w:sz w:val="18"/>
              <w:szCs w:val="16"/>
            </w:rPr>
            <w:fldChar w:fldCharType="end"/>
          </w:r>
          <w:r w:rsidRPr="007104DF">
            <w:rPr>
              <w:rFonts w:ascii="Segoe UI" w:hAnsi="Segoe UI" w:cs="Segoe UI"/>
              <w:color w:val="000000" w:themeColor="text1"/>
              <w:sz w:val="18"/>
              <w:szCs w:val="16"/>
            </w:rPr>
            <w:t xml:space="preserve"> of </w:t>
          </w:r>
          <w:r>
            <w:rPr>
              <w:noProof/>
              <w:sz w:val="18"/>
            </w:rPr>
            <w:fldChar w:fldCharType="begin"/>
          </w:r>
          <w:r>
            <w:rPr>
              <w:noProof/>
              <w:sz w:val="18"/>
            </w:rPr>
            <w:instrText xml:space="preserve"> NUMPAGES  \* Arabic  \* MERGEFORMAT </w:instrText>
          </w:r>
          <w:r>
            <w:rPr>
              <w:noProof/>
              <w:sz w:val="18"/>
            </w:rPr>
            <w:fldChar w:fldCharType="separate"/>
          </w:r>
          <w:r>
            <w:rPr>
              <w:noProof/>
              <w:sz w:val="18"/>
            </w:rPr>
            <w:t>222</w:t>
          </w:r>
          <w:r>
            <w:rPr>
              <w:noProof/>
              <w:sz w:val="18"/>
            </w:rPr>
            <w:fldChar w:fldCharType="end"/>
          </w:r>
        </w:p>
      </w:tc>
    </w:tr>
  </w:tbl>
  <w:p w14:paraId="4F7B9B74" w14:textId="77777777" w:rsidR="003C7C88" w:rsidRPr="00BC5491" w:rsidRDefault="003C7C88" w:rsidP="002B2D89">
    <w:pPr>
      <w:spacing w:after="0" w:line="240" w:lineRule="auto"/>
      <w:rPr>
        <w:sz w:val="10"/>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991" w:type="dxa"/>
      <w:tblInd w:w="108" w:type="dxa"/>
      <w:tblBorders>
        <w:top w:val="single" w:sz="4" w:space="0" w:color="2A8737" w:themeColor="accent1" w:themeShade="BF"/>
      </w:tblBorders>
      <w:tblLook w:val="04A0" w:firstRow="1" w:lastRow="0" w:firstColumn="1" w:lastColumn="0" w:noHBand="0" w:noVBand="1"/>
    </w:tblPr>
    <w:tblGrid>
      <w:gridCol w:w="6946"/>
      <w:gridCol w:w="1559"/>
      <w:gridCol w:w="5486"/>
    </w:tblGrid>
    <w:tr w:rsidR="003C7C88" w:rsidRPr="00F92B5D" w14:paraId="627E9671" w14:textId="77777777" w:rsidTr="00F71569">
      <w:tc>
        <w:tcPr>
          <w:tcW w:w="6946" w:type="dxa"/>
        </w:tcPr>
        <w:p w14:paraId="3D041D4A" w14:textId="77777777" w:rsidR="003C7C88" w:rsidRDefault="003C7C88" w:rsidP="002B2D89">
          <w:pPr>
            <w:pStyle w:val="Footer"/>
            <w:rPr>
              <w:rFonts w:ascii="Segoe UI" w:hAnsi="Segoe UI" w:cs="Segoe UI"/>
              <w:sz w:val="18"/>
              <w:szCs w:val="18"/>
            </w:rPr>
          </w:pPr>
          <w:bookmarkStart w:id="989" w:name="PandNP4FooterEvenPages"/>
        </w:p>
        <w:bookmarkEnd w:id="989"/>
        <w:p w14:paraId="61E47A8B" w14:textId="0FAA949D" w:rsidR="003C7C88" w:rsidRPr="00C46D24" w:rsidRDefault="003C7C88" w:rsidP="00F71569">
          <w:pPr>
            <w:pStyle w:val="Footer"/>
            <w:spacing w:before="60"/>
            <w:rPr>
              <w:rFonts w:ascii="Segoe UI" w:hAnsi="Segoe UI" w:cs="Segoe UI"/>
              <w:sz w:val="18"/>
              <w:szCs w:val="18"/>
            </w:rPr>
          </w:pPr>
          <w:r w:rsidRPr="00C46D24">
            <w:rPr>
              <w:rFonts w:ascii="Segoe UI" w:hAnsi="Segoe UI" w:cs="Segoe UI"/>
              <w:sz w:val="18"/>
              <w:szCs w:val="18"/>
            </w:rPr>
            <w:fldChar w:fldCharType="begin"/>
          </w:r>
          <w:r w:rsidRPr="00C46D24">
            <w:rPr>
              <w:rFonts w:ascii="Segoe UI" w:hAnsi="Segoe UI" w:cs="Segoe UI"/>
              <w:sz w:val="18"/>
              <w:szCs w:val="18"/>
            </w:rPr>
            <w:instrText xml:space="preserve"> FILENAME   \* MERGEFORMAT </w:instrText>
          </w:r>
          <w:r w:rsidRPr="00C46D24">
            <w:rPr>
              <w:rFonts w:ascii="Segoe UI" w:hAnsi="Segoe UI" w:cs="Segoe UI"/>
              <w:sz w:val="18"/>
              <w:szCs w:val="18"/>
            </w:rPr>
            <w:fldChar w:fldCharType="separate"/>
          </w:r>
          <w:r>
            <w:rPr>
              <w:rFonts w:ascii="Segoe UI" w:hAnsi="Segoe UI" w:cs="Segoe UI"/>
              <w:noProof/>
              <w:sz w:val="18"/>
              <w:szCs w:val="18"/>
            </w:rPr>
            <w:t>RIS_Drivers_Regulations_2019_DRAFTv41_20190510_for_OCBR Review - v15 clean version.docx</w:t>
          </w:r>
          <w:r w:rsidRPr="00C46D24">
            <w:rPr>
              <w:rFonts w:ascii="Segoe UI" w:hAnsi="Segoe UI" w:cs="Segoe UI"/>
              <w:noProof/>
              <w:sz w:val="18"/>
              <w:szCs w:val="18"/>
            </w:rPr>
            <w:fldChar w:fldCharType="end"/>
          </w:r>
        </w:p>
      </w:tc>
      <w:tc>
        <w:tcPr>
          <w:tcW w:w="1559" w:type="dxa"/>
        </w:tcPr>
        <w:p w14:paraId="153E1E76" w14:textId="77777777" w:rsidR="003C7C88" w:rsidRPr="00F92B5D" w:rsidRDefault="003C7C88" w:rsidP="00F71569">
          <w:pPr>
            <w:pStyle w:val="Footer"/>
            <w:spacing w:before="60"/>
            <w:jc w:val="center"/>
            <w:rPr>
              <w:rFonts w:ascii="Segoe UI" w:hAnsi="Segoe UI" w:cs="Segoe UI"/>
              <w:color w:val="000000" w:themeColor="text1"/>
              <w:sz w:val="16"/>
              <w:szCs w:val="16"/>
            </w:rPr>
          </w:pPr>
          <w:sdt>
            <w:sdtPr>
              <w:rPr>
                <w:rFonts w:ascii="Segoe UI" w:hAnsi="Segoe UI" w:cs="Segoe UI"/>
                <w:sz w:val="18"/>
                <w:szCs w:val="16"/>
              </w:rPr>
              <w:alias w:val="Confidentiality Level"/>
              <w:tag w:val="Confidentiality Level"/>
              <w:id w:val="553125165"/>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1773A6">
                <w:rPr>
                  <w:rFonts w:ascii="Segoe UI" w:hAnsi="Segoe UI" w:cs="Segoe UI"/>
                  <w:sz w:val="18"/>
                  <w:szCs w:val="16"/>
                </w:rPr>
                <w:t>Confidential</w:t>
              </w:r>
            </w:sdtContent>
          </w:sdt>
        </w:p>
      </w:tc>
      <w:tc>
        <w:tcPr>
          <w:tcW w:w="5486" w:type="dxa"/>
        </w:tcPr>
        <w:p w14:paraId="0B2340EE" w14:textId="77777777" w:rsidR="003C7C88" w:rsidRPr="00A339C8" w:rsidRDefault="003C7C88" w:rsidP="00F71569">
          <w:pPr>
            <w:pStyle w:val="Footer"/>
            <w:spacing w:before="60"/>
            <w:jc w:val="right"/>
            <w:rPr>
              <w:rFonts w:ascii="Segoe UI" w:hAnsi="Segoe UI" w:cs="Segoe UI"/>
              <w:noProof/>
              <w:szCs w:val="16"/>
            </w:rPr>
          </w:pPr>
          <w:r w:rsidRPr="007104DF">
            <w:rPr>
              <w:rFonts w:ascii="Segoe UI" w:hAnsi="Segoe UI" w:cs="Segoe UI"/>
              <w:color w:val="000000" w:themeColor="text1"/>
              <w:sz w:val="18"/>
              <w:szCs w:val="16"/>
            </w:rPr>
            <w:t xml:space="preserve">Page </w:t>
          </w:r>
          <w:r w:rsidRPr="007104DF">
            <w:rPr>
              <w:rFonts w:ascii="Segoe UI" w:hAnsi="Segoe UI" w:cs="Segoe UI"/>
              <w:color w:val="000000" w:themeColor="text1"/>
              <w:sz w:val="18"/>
              <w:szCs w:val="16"/>
            </w:rPr>
            <w:fldChar w:fldCharType="begin"/>
          </w:r>
          <w:r w:rsidRPr="007104DF">
            <w:rPr>
              <w:rFonts w:ascii="Segoe UI" w:hAnsi="Segoe UI" w:cs="Segoe UI"/>
              <w:color w:val="000000" w:themeColor="text1"/>
              <w:sz w:val="18"/>
              <w:szCs w:val="16"/>
            </w:rPr>
            <w:instrText xml:space="preserve"> PAGE  \* Arabic  \* MERGEFORMAT </w:instrText>
          </w:r>
          <w:r w:rsidRPr="007104DF">
            <w:rPr>
              <w:rFonts w:ascii="Segoe UI" w:hAnsi="Segoe UI" w:cs="Segoe UI"/>
              <w:color w:val="000000" w:themeColor="text1"/>
              <w:sz w:val="18"/>
              <w:szCs w:val="16"/>
            </w:rPr>
            <w:fldChar w:fldCharType="separate"/>
          </w:r>
          <w:r>
            <w:rPr>
              <w:rFonts w:ascii="Segoe UI" w:hAnsi="Segoe UI" w:cs="Segoe UI"/>
              <w:noProof/>
              <w:color w:val="000000" w:themeColor="text1"/>
              <w:sz w:val="18"/>
              <w:szCs w:val="16"/>
            </w:rPr>
            <w:t>200</w:t>
          </w:r>
          <w:r w:rsidRPr="007104DF">
            <w:rPr>
              <w:rFonts w:ascii="Segoe UI" w:hAnsi="Segoe UI" w:cs="Segoe UI"/>
              <w:color w:val="000000" w:themeColor="text1"/>
              <w:sz w:val="18"/>
              <w:szCs w:val="16"/>
            </w:rPr>
            <w:fldChar w:fldCharType="end"/>
          </w:r>
          <w:r w:rsidRPr="007104DF">
            <w:rPr>
              <w:rFonts w:ascii="Segoe UI" w:hAnsi="Segoe UI" w:cs="Segoe UI"/>
              <w:color w:val="000000" w:themeColor="text1"/>
              <w:sz w:val="18"/>
              <w:szCs w:val="16"/>
            </w:rPr>
            <w:t xml:space="preserve"> of </w:t>
          </w:r>
          <w:r>
            <w:rPr>
              <w:noProof/>
              <w:sz w:val="18"/>
            </w:rPr>
            <w:fldChar w:fldCharType="begin"/>
          </w:r>
          <w:r>
            <w:rPr>
              <w:noProof/>
              <w:sz w:val="18"/>
            </w:rPr>
            <w:instrText xml:space="preserve"> NUMPAGES  \* Arabic  \* MERGEFORMAT </w:instrText>
          </w:r>
          <w:r>
            <w:rPr>
              <w:noProof/>
              <w:sz w:val="18"/>
            </w:rPr>
            <w:fldChar w:fldCharType="separate"/>
          </w:r>
          <w:r>
            <w:rPr>
              <w:noProof/>
              <w:sz w:val="18"/>
            </w:rPr>
            <w:t>222</w:t>
          </w:r>
          <w:r>
            <w:rPr>
              <w:noProof/>
              <w:sz w:val="18"/>
            </w:rPr>
            <w:fldChar w:fldCharType="end"/>
          </w:r>
        </w:p>
      </w:tc>
    </w:tr>
  </w:tbl>
  <w:p w14:paraId="2D5E5ECB" w14:textId="77777777" w:rsidR="003C7C88" w:rsidRPr="00BC5491" w:rsidRDefault="003C7C88" w:rsidP="002B2D89">
    <w:pPr>
      <w:spacing w:after="0" w:line="240" w:lineRule="auto"/>
      <w:rPr>
        <w:sz w:val="10"/>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1263" w:type="dxa"/>
      <w:tblBorders>
        <w:top w:val="single" w:sz="4" w:space="0" w:color="2A8737" w:themeColor="accent1" w:themeShade="BF"/>
      </w:tblBorders>
      <w:tblLook w:val="04A0" w:firstRow="1" w:lastRow="0" w:firstColumn="1" w:lastColumn="0" w:noHBand="0" w:noVBand="1"/>
    </w:tblPr>
    <w:tblGrid>
      <w:gridCol w:w="6521"/>
      <w:gridCol w:w="8505"/>
      <w:gridCol w:w="6237"/>
    </w:tblGrid>
    <w:tr w:rsidR="003C7C88" w:rsidRPr="00DA74AC" w14:paraId="6418653C" w14:textId="77777777" w:rsidTr="00DD24BA">
      <w:tc>
        <w:tcPr>
          <w:tcW w:w="6521" w:type="dxa"/>
          <w:tcBorders>
            <w:top w:val="single" w:sz="2" w:space="0" w:color="808080" w:themeColor="background1" w:themeShade="80"/>
          </w:tcBorders>
        </w:tcPr>
        <w:p w14:paraId="510A7D03" w14:textId="77777777" w:rsidR="003C7C88" w:rsidRPr="00125EC8" w:rsidRDefault="003C7C88" w:rsidP="00B12876">
          <w:pPr>
            <w:pStyle w:val="Footer"/>
            <w:spacing w:before="60"/>
            <w:rPr>
              <w:rFonts w:ascii="Segoe UI" w:hAnsi="Segoe UI" w:cs="Segoe UI"/>
              <w:color w:val="000000" w:themeColor="text1"/>
              <w:sz w:val="18"/>
              <w:szCs w:val="20"/>
            </w:rPr>
          </w:pPr>
          <w:r w:rsidRPr="00125EC8">
            <w:rPr>
              <w:rFonts w:ascii="Segoe UI" w:hAnsi="Segoe UI" w:cs="Segoe UI"/>
              <w:sz w:val="16"/>
              <w:szCs w:val="20"/>
            </w:rPr>
            <w:t>Road Safety (Drivers) Regulations 2019</w:t>
          </w:r>
        </w:p>
      </w:tc>
      <w:tc>
        <w:tcPr>
          <w:tcW w:w="8505" w:type="dxa"/>
          <w:tcBorders>
            <w:top w:val="single" w:sz="2" w:space="0" w:color="808080" w:themeColor="background1" w:themeShade="80"/>
          </w:tcBorders>
        </w:tcPr>
        <w:p w14:paraId="1A6AAEBD" w14:textId="77777777" w:rsidR="003C7C88" w:rsidRPr="00DA74AC" w:rsidRDefault="003C7C88" w:rsidP="00B12876">
          <w:pPr>
            <w:pStyle w:val="Footer"/>
            <w:spacing w:before="60"/>
            <w:jc w:val="center"/>
            <w:rPr>
              <w:rFonts w:ascii="Segoe UI" w:hAnsi="Segoe UI" w:cs="Segoe UI"/>
              <w:color w:val="000000" w:themeColor="text1"/>
              <w:sz w:val="18"/>
              <w:szCs w:val="20"/>
            </w:rPr>
          </w:pPr>
          <w:r w:rsidRPr="00447FA5">
            <w:rPr>
              <w:rFonts w:ascii="Segoe UI" w:hAnsi="Segoe UI" w:cs="Segoe UI"/>
              <w:sz w:val="16"/>
              <w:szCs w:val="20"/>
            </w:rPr>
            <w:t>Regulatory Impact Statement</w:t>
          </w:r>
        </w:p>
      </w:tc>
      <w:tc>
        <w:tcPr>
          <w:tcW w:w="6237" w:type="dxa"/>
          <w:tcBorders>
            <w:top w:val="single" w:sz="2" w:space="0" w:color="808080" w:themeColor="background1" w:themeShade="80"/>
          </w:tcBorders>
        </w:tcPr>
        <w:p w14:paraId="09BE498D" w14:textId="3CBFBCB9" w:rsidR="003C7C88" w:rsidRPr="00DA74AC" w:rsidRDefault="003C7C88" w:rsidP="00B12876">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221</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248</w:t>
          </w:r>
          <w:r w:rsidRPr="00DA74AC">
            <w:rPr>
              <w:rFonts w:ascii="Segoe UI" w:hAnsi="Segoe UI" w:cs="Segoe UI"/>
              <w:noProof/>
              <w:sz w:val="18"/>
              <w:szCs w:val="20"/>
            </w:rPr>
            <w:fldChar w:fldCharType="end"/>
          </w:r>
        </w:p>
      </w:tc>
    </w:tr>
    <w:tr w:rsidR="003C7C88" w:rsidRPr="00DA74AC" w14:paraId="2914D495" w14:textId="77777777" w:rsidTr="00DD24BA">
      <w:tc>
        <w:tcPr>
          <w:tcW w:w="21258" w:type="dxa"/>
          <w:gridSpan w:val="3"/>
        </w:tcPr>
        <w:p w14:paraId="16F0A5C9" w14:textId="351FB72A" w:rsidR="003C7C88" w:rsidRPr="00213FAD" w:rsidRDefault="003C7C88" w:rsidP="00BB0F89">
          <w:pPr>
            <w:pStyle w:val="Footer"/>
            <w:rPr>
              <w:rFonts w:ascii="Segoe UI" w:hAnsi="Segoe UI" w:cs="Segoe UI"/>
              <w:color w:val="000000" w:themeColor="text1"/>
              <w:sz w:val="12"/>
              <w:szCs w:val="16"/>
            </w:rPr>
          </w:pPr>
          <w:r w:rsidRPr="00213FAD">
            <w:rPr>
              <w:rFonts w:ascii="Segoe UI" w:hAnsi="Segoe UI" w:cs="Segoe UI"/>
              <w:sz w:val="12"/>
              <w:szCs w:val="16"/>
            </w:rPr>
            <w:fldChar w:fldCharType="begin"/>
          </w:r>
          <w:r w:rsidRPr="00213FAD">
            <w:rPr>
              <w:rFonts w:ascii="Segoe UI" w:hAnsi="Segoe UI" w:cs="Segoe UI"/>
              <w:sz w:val="12"/>
              <w:szCs w:val="16"/>
            </w:rPr>
            <w:instrText xml:space="preserve"> FILENAME   \* MERGEFORMAT </w:instrText>
          </w:r>
          <w:r w:rsidRPr="00213FAD">
            <w:rPr>
              <w:rFonts w:ascii="Segoe UI" w:hAnsi="Segoe UI" w:cs="Segoe UI"/>
              <w:sz w:val="12"/>
              <w:szCs w:val="16"/>
            </w:rPr>
            <w:fldChar w:fldCharType="separate"/>
          </w:r>
          <w:r>
            <w:rPr>
              <w:rFonts w:ascii="Segoe UI" w:hAnsi="Segoe UI" w:cs="Segoe UI"/>
              <w:noProof/>
              <w:sz w:val="12"/>
              <w:szCs w:val="16"/>
            </w:rPr>
            <w:t>RIS_Drivers_Regulations_2019_DRAFTv41_20190510_for_OCBR Review - v15 clean version.docx</w:t>
          </w:r>
          <w:r w:rsidRPr="00213FAD">
            <w:rPr>
              <w:rFonts w:ascii="Segoe UI" w:hAnsi="Segoe UI" w:cs="Segoe UI"/>
              <w:noProof/>
              <w:sz w:val="12"/>
              <w:szCs w:val="16"/>
            </w:rPr>
            <w:fldChar w:fldCharType="end"/>
          </w:r>
        </w:p>
      </w:tc>
    </w:tr>
  </w:tbl>
  <w:p w14:paraId="1F2C1353" w14:textId="77777777" w:rsidR="003C7C88" w:rsidRPr="00447FA5" w:rsidRDefault="003C7C88" w:rsidP="00774C11">
    <w:pPr>
      <w:spacing w:after="0" w:line="240" w:lineRule="auto"/>
      <w:rPr>
        <w:rFonts w:ascii="Segoe UI" w:hAnsi="Segoe UI" w:cs="Segoe UI"/>
        <w:sz w:val="6"/>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991" w:type="dxa"/>
      <w:tblInd w:w="108" w:type="dxa"/>
      <w:tblBorders>
        <w:top w:val="single" w:sz="4" w:space="0" w:color="2A8737" w:themeColor="accent1" w:themeShade="BF"/>
      </w:tblBorders>
      <w:tblLook w:val="04A0" w:firstRow="1" w:lastRow="0" w:firstColumn="1" w:lastColumn="0" w:noHBand="0" w:noVBand="1"/>
    </w:tblPr>
    <w:tblGrid>
      <w:gridCol w:w="6946"/>
      <w:gridCol w:w="1559"/>
      <w:gridCol w:w="5486"/>
    </w:tblGrid>
    <w:tr w:rsidR="003C7C88" w:rsidRPr="00F92B5D" w14:paraId="31DC4C54" w14:textId="77777777" w:rsidTr="00F71569">
      <w:tc>
        <w:tcPr>
          <w:tcW w:w="6946" w:type="dxa"/>
        </w:tcPr>
        <w:p w14:paraId="116E6A4B" w14:textId="710EED0E" w:rsidR="003C7C88" w:rsidRPr="00C46D24" w:rsidRDefault="003C7C88" w:rsidP="00F71569">
          <w:pPr>
            <w:pStyle w:val="Footer"/>
            <w:spacing w:before="60"/>
            <w:rPr>
              <w:rFonts w:ascii="Segoe UI" w:hAnsi="Segoe UI" w:cs="Segoe UI"/>
              <w:sz w:val="18"/>
              <w:szCs w:val="18"/>
            </w:rPr>
          </w:pPr>
          <w:r w:rsidRPr="00C46D24">
            <w:rPr>
              <w:rFonts w:ascii="Segoe UI" w:hAnsi="Segoe UI" w:cs="Segoe UI"/>
              <w:sz w:val="18"/>
              <w:szCs w:val="18"/>
            </w:rPr>
            <w:fldChar w:fldCharType="begin"/>
          </w:r>
          <w:r w:rsidRPr="00C46D24">
            <w:rPr>
              <w:rFonts w:ascii="Segoe UI" w:hAnsi="Segoe UI" w:cs="Segoe UI"/>
              <w:sz w:val="18"/>
              <w:szCs w:val="18"/>
            </w:rPr>
            <w:instrText xml:space="preserve"> FILENAME   \* MERGEFORMAT </w:instrText>
          </w:r>
          <w:r w:rsidRPr="00C46D24">
            <w:rPr>
              <w:rFonts w:ascii="Segoe UI" w:hAnsi="Segoe UI" w:cs="Segoe UI"/>
              <w:sz w:val="18"/>
              <w:szCs w:val="18"/>
            </w:rPr>
            <w:fldChar w:fldCharType="separate"/>
          </w:r>
          <w:r>
            <w:rPr>
              <w:rFonts w:ascii="Segoe UI" w:hAnsi="Segoe UI" w:cs="Segoe UI"/>
              <w:noProof/>
              <w:sz w:val="18"/>
              <w:szCs w:val="18"/>
            </w:rPr>
            <w:t>RIS_Drivers_Regulations_2019_DRAFTv41_20190510_for_OCBR Review - v15 clean version.docx</w:t>
          </w:r>
          <w:r w:rsidRPr="00C46D24">
            <w:rPr>
              <w:rFonts w:ascii="Segoe UI" w:hAnsi="Segoe UI" w:cs="Segoe UI"/>
              <w:noProof/>
              <w:sz w:val="18"/>
              <w:szCs w:val="18"/>
            </w:rPr>
            <w:fldChar w:fldCharType="end"/>
          </w:r>
        </w:p>
      </w:tc>
      <w:tc>
        <w:tcPr>
          <w:tcW w:w="1559" w:type="dxa"/>
        </w:tcPr>
        <w:p w14:paraId="53F08933" w14:textId="77777777" w:rsidR="003C7C88" w:rsidRPr="00F92B5D" w:rsidRDefault="003C7C88" w:rsidP="00F71569">
          <w:pPr>
            <w:pStyle w:val="Footer"/>
            <w:spacing w:before="60"/>
            <w:jc w:val="center"/>
            <w:rPr>
              <w:rFonts w:ascii="Segoe UI" w:hAnsi="Segoe UI" w:cs="Segoe UI"/>
              <w:color w:val="000000" w:themeColor="text1"/>
              <w:sz w:val="16"/>
              <w:szCs w:val="16"/>
            </w:rPr>
          </w:pPr>
          <w:sdt>
            <w:sdtPr>
              <w:rPr>
                <w:rFonts w:ascii="Segoe UI" w:hAnsi="Segoe UI" w:cs="Segoe UI"/>
                <w:sz w:val="18"/>
                <w:szCs w:val="16"/>
              </w:rPr>
              <w:alias w:val="Confidentiality Level"/>
              <w:tag w:val="Confidentiality Level"/>
              <w:id w:val="-641041093"/>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1773A6">
                <w:rPr>
                  <w:rFonts w:ascii="Segoe UI" w:hAnsi="Segoe UI" w:cs="Segoe UI"/>
                  <w:sz w:val="18"/>
                  <w:szCs w:val="16"/>
                </w:rPr>
                <w:t>Confidential</w:t>
              </w:r>
            </w:sdtContent>
          </w:sdt>
        </w:p>
      </w:tc>
      <w:tc>
        <w:tcPr>
          <w:tcW w:w="5486" w:type="dxa"/>
        </w:tcPr>
        <w:p w14:paraId="4DCC4E15" w14:textId="77777777" w:rsidR="003C7C88" w:rsidRPr="00A339C8" w:rsidRDefault="003C7C88" w:rsidP="00F71569">
          <w:pPr>
            <w:pStyle w:val="Footer"/>
            <w:spacing w:before="60"/>
            <w:jc w:val="right"/>
            <w:rPr>
              <w:rFonts w:ascii="Segoe UI" w:hAnsi="Segoe UI" w:cs="Segoe UI"/>
              <w:noProof/>
              <w:szCs w:val="16"/>
            </w:rPr>
          </w:pPr>
          <w:r w:rsidRPr="007104DF">
            <w:rPr>
              <w:rFonts w:ascii="Segoe UI" w:hAnsi="Segoe UI" w:cs="Segoe UI"/>
              <w:color w:val="000000" w:themeColor="text1"/>
              <w:sz w:val="18"/>
              <w:szCs w:val="16"/>
            </w:rPr>
            <w:t xml:space="preserve">Page </w:t>
          </w:r>
          <w:r w:rsidRPr="007104DF">
            <w:rPr>
              <w:rFonts w:ascii="Segoe UI" w:hAnsi="Segoe UI" w:cs="Segoe UI"/>
              <w:color w:val="000000" w:themeColor="text1"/>
              <w:sz w:val="18"/>
              <w:szCs w:val="16"/>
            </w:rPr>
            <w:fldChar w:fldCharType="begin"/>
          </w:r>
          <w:r w:rsidRPr="007104DF">
            <w:rPr>
              <w:rFonts w:ascii="Segoe UI" w:hAnsi="Segoe UI" w:cs="Segoe UI"/>
              <w:color w:val="000000" w:themeColor="text1"/>
              <w:sz w:val="18"/>
              <w:szCs w:val="16"/>
            </w:rPr>
            <w:instrText xml:space="preserve"> PAGE  \* Arabic  \* MERGEFORMAT </w:instrText>
          </w:r>
          <w:r w:rsidRPr="007104DF">
            <w:rPr>
              <w:rFonts w:ascii="Segoe UI" w:hAnsi="Segoe UI" w:cs="Segoe UI"/>
              <w:color w:val="000000" w:themeColor="text1"/>
              <w:sz w:val="18"/>
              <w:szCs w:val="16"/>
            </w:rPr>
            <w:fldChar w:fldCharType="separate"/>
          </w:r>
          <w:r>
            <w:rPr>
              <w:rFonts w:ascii="Segoe UI" w:hAnsi="Segoe UI" w:cs="Segoe UI"/>
              <w:noProof/>
              <w:color w:val="000000" w:themeColor="text1"/>
              <w:sz w:val="18"/>
              <w:szCs w:val="16"/>
            </w:rPr>
            <w:t>202</w:t>
          </w:r>
          <w:r w:rsidRPr="007104DF">
            <w:rPr>
              <w:rFonts w:ascii="Segoe UI" w:hAnsi="Segoe UI" w:cs="Segoe UI"/>
              <w:color w:val="000000" w:themeColor="text1"/>
              <w:sz w:val="18"/>
              <w:szCs w:val="16"/>
            </w:rPr>
            <w:fldChar w:fldCharType="end"/>
          </w:r>
          <w:r w:rsidRPr="007104DF">
            <w:rPr>
              <w:rFonts w:ascii="Segoe UI" w:hAnsi="Segoe UI" w:cs="Segoe UI"/>
              <w:color w:val="000000" w:themeColor="text1"/>
              <w:sz w:val="18"/>
              <w:szCs w:val="16"/>
            </w:rPr>
            <w:t xml:space="preserve"> of </w:t>
          </w:r>
          <w:r>
            <w:rPr>
              <w:noProof/>
              <w:sz w:val="18"/>
            </w:rPr>
            <w:fldChar w:fldCharType="begin"/>
          </w:r>
          <w:r>
            <w:rPr>
              <w:noProof/>
              <w:sz w:val="18"/>
            </w:rPr>
            <w:instrText xml:space="preserve"> NUMPAGES  \* Arabic  \* MERGEFORMAT </w:instrText>
          </w:r>
          <w:r>
            <w:rPr>
              <w:noProof/>
              <w:sz w:val="18"/>
            </w:rPr>
            <w:fldChar w:fldCharType="separate"/>
          </w:r>
          <w:r>
            <w:rPr>
              <w:noProof/>
              <w:sz w:val="18"/>
            </w:rPr>
            <w:t>222</w:t>
          </w:r>
          <w:r>
            <w:rPr>
              <w:noProof/>
              <w:sz w:val="18"/>
            </w:rPr>
            <w:fldChar w:fldCharType="end"/>
          </w:r>
        </w:p>
      </w:tc>
    </w:tr>
  </w:tbl>
  <w:p w14:paraId="6B68FE0B" w14:textId="77777777" w:rsidR="003C7C88" w:rsidRPr="00BC5491" w:rsidRDefault="003C7C88" w:rsidP="002B2D89">
    <w:pPr>
      <w:spacing w:after="0" w:line="240" w:lineRule="auto"/>
      <w:rPr>
        <w:sz w:val="10"/>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Borders>
        <w:top w:val="single" w:sz="4" w:space="0" w:color="2A8737" w:themeColor="accent1" w:themeShade="BF"/>
      </w:tblBorders>
      <w:tblLook w:val="04A0" w:firstRow="1" w:lastRow="0" w:firstColumn="1" w:lastColumn="0" w:noHBand="0" w:noVBand="1"/>
    </w:tblPr>
    <w:tblGrid>
      <w:gridCol w:w="3828"/>
      <w:gridCol w:w="2835"/>
      <w:gridCol w:w="2835"/>
    </w:tblGrid>
    <w:tr w:rsidR="003C7C88" w:rsidRPr="00DA74AC" w14:paraId="11718EEA" w14:textId="77777777" w:rsidTr="009B13B8">
      <w:tc>
        <w:tcPr>
          <w:tcW w:w="3828" w:type="dxa"/>
          <w:tcBorders>
            <w:top w:val="single" w:sz="2" w:space="0" w:color="808080" w:themeColor="background1" w:themeShade="80"/>
          </w:tcBorders>
        </w:tcPr>
        <w:p w14:paraId="5235BC8D" w14:textId="77777777" w:rsidR="003C7C88" w:rsidRPr="00125EC8" w:rsidRDefault="003C7C88" w:rsidP="009B13B8">
          <w:pPr>
            <w:pStyle w:val="Footer"/>
            <w:spacing w:before="60"/>
            <w:rPr>
              <w:rFonts w:ascii="Segoe UI" w:hAnsi="Segoe UI" w:cs="Segoe UI"/>
              <w:color w:val="000000" w:themeColor="text1"/>
              <w:sz w:val="18"/>
              <w:szCs w:val="20"/>
            </w:rPr>
          </w:pPr>
          <w:r w:rsidRPr="00125EC8">
            <w:rPr>
              <w:rFonts w:ascii="Segoe UI" w:hAnsi="Segoe UI" w:cs="Segoe UI"/>
              <w:sz w:val="16"/>
              <w:szCs w:val="20"/>
            </w:rPr>
            <w:t>Road Safety (Drivers) Regulations 2019</w:t>
          </w:r>
        </w:p>
      </w:tc>
      <w:tc>
        <w:tcPr>
          <w:tcW w:w="2835" w:type="dxa"/>
          <w:tcBorders>
            <w:top w:val="single" w:sz="2" w:space="0" w:color="808080" w:themeColor="background1" w:themeShade="80"/>
          </w:tcBorders>
        </w:tcPr>
        <w:p w14:paraId="728F5E23" w14:textId="77777777" w:rsidR="003C7C88" w:rsidRPr="00DA74AC" w:rsidRDefault="003C7C88" w:rsidP="009B13B8">
          <w:pPr>
            <w:pStyle w:val="Footer"/>
            <w:spacing w:before="60"/>
            <w:jc w:val="center"/>
            <w:rPr>
              <w:rFonts w:ascii="Segoe UI" w:hAnsi="Segoe UI" w:cs="Segoe UI"/>
              <w:color w:val="000000" w:themeColor="text1"/>
              <w:sz w:val="18"/>
              <w:szCs w:val="20"/>
            </w:rPr>
          </w:pPr>
          <w:r w:rsidRPr="00447FA5">
            <w:rPr>
              <w:rFonts w:ascii="Segoe UI" w:hAnsi="Segoe UI" w:cs="Segoe UI"/>
              <w:sz w:val="16"/>
              <w:szCs w:val="20"/>
            </w:rPr>
            <w:t>Regulatory Impact Statement</w:t>
          </w:r>
        </w:p>
      </w:tc>
      <w:tc>
        <w:tcPr>
          <w:tcW w:w="2835" w:type="dxa"/>
          <w:tcBorders>
            <w:top w:val="single" w:sz="2" w:space="0" w:color="808080" w:themeColor="background1" w:themeShade="80"/>
          </w:tcBorders>
        </w:tcPr>
        <w:p w14:paraId="011B5AA8" w14:textId="5005FB54" w:rsidR="003C7C88" w:rsidRPr="00DA74AC" w:rsidRDefault="003C7C88" w:rsidP="009B13B8">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223</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248</w:t>
          </w:r>
          <w:r w:rsidRPr="00DA74AC">
            <w:rPr>
              <w:rFonts w:ascii="Segoe UI" w:hAnsi="Segoe UI" w:cs="Segoe UI"/>
              <w:noProof/>
              <w:sz w:val="18"/>
              <w:szCs w:val="20"/>
            </w:rPr>
            <w:fldChar w:fldCharType="end"/>
          </w:r>
        </w:p>
      </w:tc>
    </w:tr>
  </w:tbl>
  <w:p w14:paraId="246ADA98" w14:textId="77777777" w:rsidR="003C7C88" w:rsidRPr="00447FA5" w:rsidRDefault="003C7C88" w:rsidP="00774C11">
    <w:pPr>
      <w:spacing w:after="0" w:line="240" w:lineRule="auto"/>
      <w:rPr>
        <w:rFonts w:ascii="Segoe UI" w:hAnsi="Segoe UI" w:cs="Segoe UI"/>
        <w:sz w:val="6"/>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Borders>
        <w:top w:val="single" w:sz="4" w:space="0" w:color="2A8737" w:themeColor="accent1" w:themeShade="BF"/>
      </w:tblBorders>
      <w:tblLook w:val="04A0" w:firstRow="1" w:lastRow="0" w:firstColumn="1" w:lastColumn="0" w:noHBand="0" w:noVBand="1"/>
    </w:tblPr>
    <w:tblGrid>
      <w:gridCol w:w="3828"/>
      <w:gridCol w:w="2835"/>
      <w:gridCol w:w="2835"/>
    </w:tblGrid>
    <w:tr w:rsidR="003C7C88" w:rsidRPr="00DA74AC" w14:paraId="6514B84A" w14:textId="77777777" w:rsidTr="00205B32">
      <w:tc>
        <w:tcPr>
          <w:tcW w:w="3828" w:type="dxa"/>
          <w:tcBorders>
            <w:top w:val="single" w:sz="2" w:space="0" w:color="808080" w:themeColor="background1" w:themeShade="80"/>
          </w:tcBorders>
        </w:tcPr>
        <w:p w14:paraId="41286D96" w14:textId="77777777" w:rsidR="003C7C88" w:rsidRPr="00125EC8" w:rsidRDefault="003C7C88" w:rsidP="005E5EA9">
          <w:pPr>
            <w:pStyle w:val="Footer"/>
            <w:spacing w:before="60"/>
            <w:rPr>
              <w:rFonts w:ascii="Segoe UI" w:hAnsi="Segoe UI" w:cs="Segoe UI"/>
              <w:color w:val="000000" w:themeColor="text1"/>
              <w:sz w:val="18"/>
              <w:szCs w:val="20"/>
            </w:rPr>
          </w:pPr>
          <w:r w:rsidRPr="00125EC8">
            <w:rPr>
              <w:rFonts w:ascii="Segoe UI" w:hAnsi="Segoe UI" w:cs="Segoe UI"/>
              <w:sz w:val="16"/>
              <w:szCs w:val="20"/>
            </w:rPr>
            <w:t>Road Safety (Drivers) Regulations 2019</w:t>
          </w:r>
        </w:p>
      </w:tc>
      <w:tc>
        <w:tcPr>
          <w:tcW w:w="2835" w:type="dxa"/>
          <w:tcBorders>
            <w:top w:val="single" w:sz="2" w:space="0" w:color="808080" w:themeColor="background1" w:themeShade="80"/>
          </w:tcBorders>
        </w:tcPr>
        <w:p w14:paraId="4700DB0C" w14:textId="77777777" w:rsidR="003C7C88" w:rsidRPr="00DA74AC" w:rsidRDefault="003C7C88" w:rsidP="005E5EA9">
          <w:pPr>
            <w:pStyle w:val="Footer"/>
            <w:spacing w:before="60"/>
            <w:jc w:val="center"/>
            <w:rPr>
              <w:rFonts w:ascii="Segoe UI" w:hAnsi="Segoe UI" w:cs="Segoe UI"/>
              <w:color w:val="000000" w:themeColor="text1"/>
              <w:sz w:val="18"/>
              <w:szCs w:val="20"/>
            </w:rPr>
          </w:pPr>
          <w:r w:rsidRPr="00447FA5">
            <w:rPr>
              <w:rFonts w:ascii="Segoe UI" w:hAnsi="Segoe UI" w:cs="Segoe UI"/>
              <w:sz w:val="16"/>
              <w:szCs w:val="20"/>
            </w:rPr>
            <w:t>Regulatory Impact Statement</w:t>
          </w:r>
        </w:p>
      </w:tc>
      <w:tc>
        <w:tcPr>
          <w:tcW w:w="2835" w:type="dxa"/>
          <w:tcBorders>
            <w:top w:val="single" w:sz="2" w:space="0" w:color="808080" w:themeColor="background1" w:themeShade="80"/>
          </w:tcBorders>
        </w:tcPr>
        <w:p w14:paraId="06E0471C" w14:textId="3C871BDA" w:rsidR="003C7C88" w:rsidRPr="00DA74AC" w:rsidRDefault="003C7C88" w:rsidP="005E5EA9">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249</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249</w:t>
          </w:r>
          <w:r w:rsidRPr="00DA74AC">
            <w:rPr>
              <w:rFonts w:ascii="Segoe UI" w:hAnsi="Segoe UI" w:cs="Segoe UI"/>
              <w:noProof/>
              <w:sz w:val="18"/>
              <w:szCs w:val="20"/>
            </w:rPr>
            <w:fldChar w:fldCharType="end"/>
          </w:r>
        </w:p>
      </w:tc>
    </w:tr>
  </w:tbl>
  <w:p w14:paraId="2AD05387" w14:textId="77777777" w:rsidR="003C7C88" w:rsidRPr="00447FA5" w:rsidRDefault="003C7C88" w:rsidP="00774C11">
    <w:pPr>
      <w:spacing w:after="0" w:line="240" w:lineRule="auto"/>
      <w:rPr>
        <w:rFonts w:ascii="Segoe UI" w:hAnsi="Segoe UI" w:cs="Segoe UI"/>
        <w:sz w:val="6"/>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49" w:type="dxa"/>
      <w:tblBorders>
        <w:top w:val="single" w:sz="4" w:space="0" w:color="2A8737" w:themeColor="accent1" w:themeShade="BF"/>
      </w:tblBorders>
      <w:tblLook w:val="04A0" w:firstRow="1" w:lastRow="0" w:firstColumn="1" w:lastColumn="0" w:noHBand="0" w:noVBand="1"/>
    </w:tblPr>
    <w:tblGrid>
      <w:gridCol w:w="6631"/>
      <w:gridCol w:w="1712"/>
      <w:gridCol w:w="1206"/>
    </w:tblGrid>
    <w:tr w:rsidR="003C7C88" w:rsidRPr="00DA74AC" w14:paraId="126B7625" w14:textId="77777777" w:rsidTr="008B746B">
      <w:tc>
        <w:tcPr>
          <w:tcW w:w="4966" w:type="dxa"/>
        </w:tcPr>
        <w:p w14:paraId="760BDFDC" w14:textId="77777777" w:rsidR="003C7C88" w:rsidRDefault="003C7C88" w:rsidP="002B2D89">
          <w:pPr>
            <w:pStyle w:val="Footer"/>
            <w:rPr>
              <w:rFonts w:ascii="Segoe UI" w:hAnsi="Segoe UI" w:cs="Segoe UI"/>
              <w:sz w:val="18"/>
              <w:szCs w:val="20"/>
            </w:rPr>
          </w:pPr>
          <w:bookmarkStart w:id="1" w:name="PandNP1FooterPrimary"/>
        </w:p>
        <w:bookmarkEnd w:id="1"/>
        <w:p w14:paraId="4097E911" w14:textId="0A3F369E" w:rsidR="003C7C88" w:rsidRPr="00DA74AC" w:rsidRDefault="003C7C88" w:rsidP="00B12876">
          <w:pPr>
            <w:pStyle w:val="Footer"/>
            <w:spacing w:before="60"/>
            <w:rPr>
              <w:rFonts w:ascii="Segoe UI" w:hAnsi="Segoe UI" w:cs="Segoe UI"/>
              <w:color w:val="000000" w:themeColor="text1"/>
              <w:sz w:val="18"/>
              <w:szCs w:val="20"/>
            </w:rPr>
          </w:pPr>
          <w:r w:rsidRPr="00DA74AC">
            <w:rPr>
              <w:rFonts w:ascii="Segoe UI" w:hAnsi="Segoe UI" w:cs="Segoe UI"/>
              <w:sz w:val="18"/>
              <w:szCs w:val="20"/>
            </w:rPr>
            <w:fldChar w:fldCharType="begin"/>
          </w:r>
          <w:r w:rsidRPr="00DA74AC">
            <w:rPr>
              <w:rFonts w:ascii="Segoe UI" w:hAnsi="Segoe UI" w:cs="Segoe UI"/>
              <w:sz w:val="18"/>
              <w:szCs w:val="20"/>
            </w:rPr>
            <w:instrText xml:space="preserve"> FILENAME   \* MERGEFORMAT </w:instrText>
          </w:r>
          <w:r w:rsidRPr="00DA74AC">
            <w:rPr>
              <w:rFonts w:ascii="Segoe UI" w:hAnsi="Segoe UI" w:cs="Segoe UI"/>
              <w:sz w:val="18"/>
              <w:szCs w:val="20"/>
            </w:rPr>
            <w:fldChar w:fldCharType="separate"/>
          </w:r>
          <w:r>
            <w:rPr>
              <w:rFonts w:ascii="Segoe UI" w:hAnsi="Segoe UI" w:cs="Segoe UI"/>
              <w:noProof/>
              <w:sz w:val="18"/>
              <w:szCs w:val="20"/>
            </w:rPr>
            <w:t>RIS_Drivers_Regulations_2019_DRAFTv41_20190510_for_OCBR Review - v15 clean version.docx</w:t>
          </w:r>
          <w:r w:rsidRPr="00DA74AC">
            <w:rPr>
              <w:rFonts w:ascii="Segoe UI" w:hAnsi="Segoe UI" w:cs="Segoe UI"/>
              <w:noProof/>
              <w:sz w:val="18"/>
              <w:szCs w:val="20"/>
            </w:rPr>
            <w:fldChar w:fldCharType="end"/>
          </w:r>
        </w:p>
      </w:tc>
      <w:tc>
        <w:tcPr>
          <w:tcW w:w="2498" w:type="dxa"/>
        </w:tcPr>
        <w:p w14:paraId="1ED50B9E" w14:textId="319498F6" w:rsidR="003C7C88" w:rsidRPr="00DA74AC" w:rsidRDefault="003C7C88" w:rsidP="00B12876">
          <w:pPr>
            <w:pStyle w:val="Footer"/>
            <w:spacing w:before="60"/>
            <w:jc w:val="center"/>
            <w:rPr>
              <w:rFonts w:ascii="Segoe UI" w:hAnsi="Segoe UI" w:cs="Segoe UI"/>
              <w:color w:val="000000" w:themeColor="text1"/>
              <w:sz w:val="18"/>
              <w:szCs w:val="20"/>
            </w:rPr>
          </w:pPr>
          <w:sdt>
            <w:sdtPr>
              <w:rPr>
                <w:rFonts w:ascii="Segoe UI" w:hAnsi="Segoe UI" w:cs="Segoe UI"/>
                <w:sz w:val="18"/>
                <w:szCs w:val="20"/>
              </w:rPr>
              <w:alias w:val="Confidentiality Level"/>
              <w:tag w:val="Confidentiality Level"/>
              <w:id w:val="-1396975123"/>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DA74AC">
                <w:rPr>
                  <w:rFonts w:ascii="Segoe UI" w:hAnsi="Segoe UI" w:cs="Segoe UI"/>
                  <w:sz w:val="18"/>
                  <w:szCs w:val="20"/>
                </w:rPr>
                <w:t>Confidential</w:t>
              </w:r>
            </w:sdtContent>
          </w:sdt>
        </w:p>
      </w:tc>
      <w:tc>
        <w:tcPr>
          <w:tcW w:w="2085" w:type="dxa"/>
        </w:tcPr>
        <w:p w14:paraId="6E2B6916" w14:textId="77777777" w:rsidR="003C7C88" w:rsidRPr="00DA74AC" w:rsidRDefault="003C7C88" w:rsidP="00B12876">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171</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235</w:t>
          </w:r>
          <w:r w:rsidRPr="00DA74AC">
            <w:rPr>
              <w:rFonts w:ascii="Segoe UI" w:hAnsi="Segoe UI" w:cs="Segoe UI"/>
              <w:noProof/>
              <w:sz w:val="18"/>
              <w:szCs w:val="20"/>
            </w:rPr>
            <w:fldChar w:fldCharType="end"/>
          </w:r>
        </w:p>
      </w:tc>
    </w:tr>
  </w:tbl>
  <w:p w14:paraId="3FA01460" w14:textId="77777777" w:rsidR="003C7C88" w:rsidRPr="00DA74AC" w:rsidRDefault="003C7C88" w:rsidP="00774C11">
    <w:pPr>
      <w:spacing w:after="0" w:line="240" w:lineRule="auto"/>
      <w:rPr>
        <w:rFonts w:ascii="Segoe UI" w:hAnsi="Segoe UI" w:cs="Segoe UI"/>
        <w:sz w:val="18"/>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16F5C" w14:textId="77777777" w:rsidR="003C7C88" w:rsidRDefault="003C7C88" w:rsidP="002B2D89">
    <w:pPr>
      <w:pStyle w:val="Footer"/>
      <w:tabs>
        <w:tab w:val="clear" w:pos="4513"/>
        <w:tab w:val="clear" w:pos="9026"/>
        <w:tab w:val="left" w:pos="2375"/>
      </w:tabs>
    </w:pPr>
    <w:bookmarkStart w:id="2" w:name="PandNP1FooterFirstPage"/>
  </w:p>
  <w:bookmarkEnd w:id="2"/>
  <w:p w14:paraId="5D49ED1E" w14:textId="77777777" w:rsidR="003C7C88" w:rsidRDefault="003C7C88" w:rsidP="00B12876">
    <w:pPr>
      <w:pStyle w:val="Footer"/>
      <w:tabs>
        <w:tab w:val="clear" w:pos="4513"/>
        <w:tab w:val="clear" w:pos="9026"/>
        <w:tab w:val="left" w:pos="237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49" w:type="dxa"/>
      <w:tblBorders>
        <w:top w:val="single" w:sz="4" w:space="0" w:color="2A8737" w:themeColor="accent1" w:themeShade="BF"/>
      </w:tblBorders>
      <w:tblLook w:val="04A0" w:firstRow="1" w:lastRow="0" w:firstColumn="1" w:lastColumn="0" w:noHBand="0" w:noVBand="1"/>
    </w:tblPr>
    <w:tblGrid>
      <w:gridCol w:w="6631"/>
      <w:gridCol w:w="1712"/>
      <w:gridCol w:w="1206"/>
    </w:tblGrid>
    <w:tr w:rsidR="003C7C88" w:rsidRPr="00DA74AC" w14:paraId="1EE6AD62" w14:textId="77777777" w:rsidTr="008B746B">
      <w:tc>
        <w:tcPr>
          <w:tcW w:w="4966" w:type="dxa"/>
        </w:tcPr>
        <w:p w14:paraId="4E35506F" w14:textId="0B803390" w:rsidR="003C7C88" w:rsidRPr="00DA74AC" w:rsidRDefault="003C7C88" w:rsidP="00B12876">
          <w:pPr>
            <w:pStyle w:val="Footer"/>
            <w:spacing w:before="60"/>
            <w:rPr>
              <w:rFonts w:ascii="Segoe UI" w:hAnsi="Segoe UI" w:cs="Segoe UI"/>
              <w:color w:val="000000" w:themeColor="text1"/>
              <w:sz w:val="18"/>
              <w:szCs w:val="20"/>
            </w:rPr>
          </w:pPr>
          <w:r w:rsidRPr="00DA74AC">
            <w:rPr>
              <w:rFonts w:ascii="Segoe UI" w:hAnsi="Segoe UI" w:cs="Segoe UI"/>
              <w:sz w:val="18"/>
              <w:szCs w:val="20"/>
            </w:rPr>
            <w:fldChar w:fldCharType="begin"/>
          </w:r>
          <w:r w:rsidRPr="00DA74AC">
            <w:rPr>
              <w:rFonts w:ascii="Segoe UI" w:hAnsi="Segoe UI" w:cs="Segoe UI"/>
              <w:sz w:val="18"/>
              <w:szCs w:val="20"/>
            </w:rPr>
            <w:instrText xml:space="preserve"> FILENAME   \* MERGEFORMAT </w:instrText>
          </w:r>
          <w:r w:rsidRPr="00DA74AC">
            <w:rPr>
              <w:rFonts w:ascii="Segoe UI" w:hAnsi="Segoe UI" w:cs="Segoe UI"/>
              <w:sz w:val="18"/>
              <w:szCs w:val="20"/>
            </w:rPr>
            <w:fldChar w:fldCharType="separate"/>
          </w:r>
          <w:r>
            <w:rPr>
              <w:rFonts w:ascii="Segoe UI" w:hAnsi="Segoe UI" w:cs="Segoe UI"/>
              <w:noProof/>
              <w:sz w:val="18"/>
              <w:szCs w:val="20"/>
            </w:rPr>
            <w:t>RIS_Drivers_Regulations_2019_DRAFTv41_20190510_for_OCBR Review - v15 clean version.docx</w:t>
          </w:r>
          <w:r w:rsidRPr="00DA74AC">
            <w:rPr>
              <w:rFonts w:ascii="Segoe UI" w:hAnsi="Segoe UI" w:cs="Segoe UI"/>
              <w:noProof/>
              <w:sz w:val="18"/>
              <w:szCs w:val="20"/>
            </w:rPr>
            <w:fldChar w:fldCharType="end"/>
          </w:r>
        </w:p>
      </w:tc>
      <w:tc>
        <w:tcPr>
          <w:tcW w:w="2498" w:type="dxa"/>
        </w:tcPr>
        <w:p w14:paraId="6E5B8C89" w14:textId="77777777" w:rsidR="003C7C88" w:rsidRPr="00DA74AC" w:rsidRDefault="003C7C88" w:rsidP="00B12876">
          <w:pPr>
            <w:pStyle w:val="Footer"/>
            <w:spacing w:before="60"/>
            <w:jc w:val="center"/>
            <w:rPr>
              <w:rFonts w:ascii="Segoe UI" w:hAnsi="Segoe UI" w:cs="Segoe UI"/>
              <w:color w:val="000000" w:themeColor="text1"/>
              <w:sz w:val="18"/>
              <w:szCs w:val="20"/>
            </w:rPr>
          </w:pPr>
          <w:sdt>
            <w:sdtPr>
              <w:rPr>
                <w:rFonts w:ascii="Segoe UI" w:hAnsi="Segoe UI" w:cs="Segoe UI"/>
                <w:sz w:val="18"/>
                <w:szCs w:val="20"/>
              </w:rPr>
              <w:alias w:val="Confidentiality Level"/>
              <w:tag w:val="Confidentiality Level"/>
              <w:id w:val="-2138718973"/>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DA74AC">
                <w:rPr>
                  <w:rFonts w:ascii="Segoe UI" w:hAnsi="Segoe UI" w:cs="Segoe UI"/>
                  <w:sz w:val="18"/>
                  <w:szCs w:val="20"/>
                </w:rPr>
                <w:t>Confidential</w:t>
              </w:r>
            </w:sdtContent>
          </w:sdt>
        </w:p>
      </w:tc>
      <w:tc>
        <w:tcPr>
          <w:tcW w:w="2085" w:type="dxa"/>
        </w:tcPr>
        <w:p w14:paraId="492B5848" w14:textId="77777777" w:rsidR="003C7C88" w:rsidRPr="00DA74AC" w:rsidRDefault="003C7C88" w:rsidP="00B12876">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190</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222</w:t>
          </w:r>
          <w:r w:rsidRPr="00DA74AC">
            <w:rPr>
              <w:rFonts w:ascii="Segoe UI" w:hAnsi="Segoe UI" w:cs="Segoe UI"/>
              <w:noProof/>
              <w:sz w:val="18"/>
              <w:szCs w:val="20"/>
            </w:rPr>
            <w:fldChar w:fldCharType="end"/>
          </w:r>
        </w:p>
      </w:tc>
    </w:tr>
  </w:tbl>
  <w:p w14:paraId="1296394F" w14:textId="77777777" w:rsidR="003C7C88" w:rsidRPr="00DA74AC" w:rsidRDefault="003C7C88" w:rsidP="002B2D89">
    <w:pPr>
      <w:spacing w:after="0" w:line="240" w:lineRule="auto"/>
      <w:rPr>
        <w:rFonts w:ascii="Segoe UI" w:hAnsi="Segoe UI" w:cs="Segoe UI"/>
        <w:sz w:val="18"/>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Borders>
        <w:top w:val="single" w:sz="4" w:space="0" w:color="2A8737" w:themeColor="accent1" w:themeShade="BF"/>
      </w:tblBorders>
      <w:tblLook w:val="04A0" w:firstRow="1" w:lastRow="0" w:firstColumn="1" w:lastColumn="0" w:noHBand="0" w:noVBand="1"/>
    </w:tblPr>
    <w:tblGrid>
      <w:gridCol w:w="3828"/>
      <w:gridCol w:w="2835"/>
      <w:gridCol w:w="2835"/>
    </w:tblGrid>
    <w:tr w:rsidR="003C7C88" w:rsidRPr="00DA74AC" w14:paraId="596097FB" w14:textId="77777777" w:rsidTr="00125EC8">
      <w:tc>
        <w:tcPr>
          <w:tcW w:w="3828" w:type="dxa"/>
          <w:tcBorders>
            <w:top w:val="single" w:sz="2" w:space="0" w:color="808080" w:themeColor="background1" w:themeShade="80"/>
          </w:tcBorders>
        </w:tcPr>
        <w:p w14:paraId="1EE32EA0" w14:textId="77777777" w:rsidR="003C7C88" w:rsidRPr="00125EC8" w:rsidRDefault="003C7C88" w:rsidP="00B12876">
          <w:pPr>
            <w:pStyle w:val="Footer"/>
            <w:spacing w:before="60"/>
            <w:rPr>
              <w:rFonts w:ascii="Segoe UI" w:hAnsi="Segoe UI" w:cs="Segoe UI"/>
              <w:color w:val="000000" w:themeColor="text1"/>
              <w:sz w:val="18"/>
              <w:szCs w:val="20"/>
            </w:rPr>
          </w:pPr>
          <w:r w:rsidRPr="00125EC8">
            <w:rPr>
              <w:rFonts w:ascii="Segoe UI" w:hAnsi="Segoe UI" w:cs="Segoe UI"/>
              <w:sz w:val="16"/>
              <w:szCs w:val="20"/>
            </w:rPr>
            <w:t>Road Safety (Drivers) Regulations 2019</w:t>
          </w:r>
        </w:p>
      </w:tc>
      <w:tc>
        <w:tcPr>
          <w:tcW w:w="2835" w:type="dxa"/>
          <w:tcBorders>
            <w:top w:val="single" w:sz="2" w:space="0" w:color="808080" w:themeColor="background1" w:themeShade="80"/>
          </w:tcBorders>
        </w:tcPr>
        <w:p w14:paraId="0C80707E" w14:textId="77777777" w:rsidR="003C7C88" w:rsidRPr="00DA74AC" w:rsidRDefault="003C7C88" w:rsidP="00B12876">
          <w:pPr>
            <w:pStyle w:val="Footer"/>
            <w:spacing w:before="60"/>
            <w:jc w:val="center"/>
            <w:rPr>
              <w:rFonts w:ascii="Segoe UI" w:hAnsi="Segoe UI" w:cs="Segoe UI"/>
              <w:color w:val="000000" w:themeColor="text1"/>
              <w:sz w:val="18"/>
              <w:szCs w:val="20"/>
            </w:rPr>
          </w:pPr>
          <w:r w:rsidRPr="00447FA5">
            <w:rPr>
              <w:rFonts w:ascii="Segoe UI" w:hAnsi="Segoe UI" w:cs="Segoe UI"/>
              <w:sz w:val="16"/>
              <w:szCs w:val="20"/>
            </w:rPr>
            <w:t>Regulatory Impact Statement</w:t>
          </w:r>
        </w:p>
      </w:tc>
      <w:tc>
        <w:tcPr>
          <w:tcW w:w="2835" w:type="dxa"/>
          <w:tcBorders>
            <w:top w:val="single" w:sz="2" w:space="0" w:color="808080" w:themeColor="background1" w:themeShade="80"/>
          </w:tcBorders>
        </w:tcPr>
        <w:p w14:paraId="36684660" w14:textId="196D2851" w:rsidR="003C7C88" w:rsidRPr="00DA74AC" w:rsidRDefault="003C7C88" w:rsidP="00B12876">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2</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w:t>
          </w:r>
          <w:r w:rsidRPr="00DA74AC">
            <w:rPr>
              <w:rFonts w:ascii="Segoe UI" w:hAnsi="Segoe UI" w:cs="Segoe UI"/>
              <w:noProof/>
              <w:sz w:val="18"/>
              <w:szCs w:val="20"/>
            </w:rPr>
            <w:fldChar w:fldCharType="end"/>
          </w:r>
        </w:p>
      </w:tc>
    </w:tr>
  </w:tbl>
  <w:p w14:paraId="2ABE367C" w14:textId="78389701" w:rsidR="003C7C88" w:rsidRPr="00447FA5" w:rsidRDefault="003C7C88" w:rsidP="00567765">
    <w:pPr>
      <w:spacing w:after="0" w:line="240" w:lineRule="auto"/>
      <w:rPr>
        <w:rFonts w:ascii="Segoe UI" w:hAnsi="Segoe UI" w:cs="Segoe UI"/>
        <w:sz w:val="6"/>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49" w:type="dxa"/>
      <w:tblBorders>
        <w:top w:val="single" w:sz="4" w:space="0" w:color="2A8737" w:themeColor="accent1" w:themeShade="BF"/>
      </w:tblBorders>
      <w:tblLook w:val="04A0" w:firstRow="1" w:lastRow="0" w:firstColumn="1" w:lastColumn="0" w:noHBand="0" w:noVBand="1"/>
    </w:tblPr>
    <w:tblGrid>
      <w:gridCol w:w="6631"/>
      <w:gridCol w:w="1712"/>
      <w:gridCol w:w="1206"/>
    </w:tblGrid>
    <w:tr w:rsidR="003C7C88" w:rsidRPr="00DA74AC" w14:paraId="7951BB7B" w14:textId="77777777" w:rsidTr="008B746B">
      <w:tc>
        <w:tcPr>
          <w:tcW w:w="4966" w:type="dxa"/>
        </w:tcPr>
        <w:p w14:paraId="60BDC8A4" w14:textId="77777777" w:rsidR="003C7C88" w:rsidRDefault="003C7C88" w:rsidP="002B2D89">
          <w:pPr>
            <w:pStyle w:val="Footer"/>
            <w:rPr>
              <w:rFonts w:ascii="Segoe UI" w:hAnsi="Segoe UI" w:cs="Segoe UI"/>
              <w:sz w:val="18"/>
              <w:szCs w:val="20"/>
            </w:rPr>
          </w:pPr>
          <w:bookmarkStart w:id="3" w:name="PandNP2FooterFirstPage"/>
        </w:p>
        <w:bookmarkEnd w:id="3"/>
        <w:p w14:paraId="6BC7200E" w14:textId="503C77A1" w:rsidR="003C7C88" w:rsidRPr="00DA74AC" w:rsidRDefault="003C7C88" w:rsidP="00B12876">
          <w:pPr>
            <w:pStyle w:val="Footer"/>
            <w:spacing w:before="60"/>
            <w:rPr>
              <w:rFonts w:ascii="Segoe UI" w:hAnsi="Segoe UI" w:cs="Segoe UI"/>
              <w:color w:val="000000" w:themeColor="text1"/>
              <w:sz w:val="18"/>
              <w:szCs w:val="20"/>
            </w:rPr>
          </w:pPr>
          <w:r w:rsidRPr="00DA74AC">
            <w:rPr>
              <w:rFonts w:ascii="Segoe UI" w:hAnsi="Segoe UI" w:cs="Segoe UI"/>
              <w:sz w:val="18"/>
              <w:szCs w:val="20"/>
            </w:rPr>
            <w:fldChar w:fldCharType="begin"/>
          </w:r>
          <w:r w:rsidRPr="00DA74AC">
            <w:rPr>
              <w:rFonts w:ascii="Segoe UI" w:hAnsi="Segoe UI" w:cs="Segoe UI"/>
              <w:sz w:val="18"/>
              <w:szCs w:val="20"/>
            </w:rPr>
            <w:instrText xml:space="preserve"> FILENAME   \* MERGEFORMAT </w:instrText>
          </w:r>
          <w:r w:rsidRPr="00DA74AC">
            <w:rPr>
              <w:rFonts w:ascii="Segoe UI" w:hAnsi="Segoe UI" w:cs="Segoe UI"/>
              <w:sz w:val="18"/>
              <w:szCs w:val="20"/>
            </w:rPr>
            <w:fldChar w:fldCharType="separate"/>
          </w:r>
          <w:r>
            <w:rPr>
              <w:rFonts w:ascii="Segoe UI" w:hAnsi="Segoe UI" w:cs="Segoe UI"/>
              <w:noProof/>
              <w:sz w:val="18"/>
              <w:szCs w:val="20"/>
            </w:rPr>
            <w:t>RIS_Drivers_Regulations_2019_DRAFTv41_20190510_for_OCBR Review - v15 clean version.docx</w:t>
          </w:r>
          <w:r w:rsidRPr="00DA74AC">
            <w:rPr>
              <w:rFonts w:ascii="Segoe UI" w:hAnsi="Segoe UI" w:cs="Segoe UI"/>
              <w:noProof/>
              <w:sz w:val="18"/>
              <w:szCs w:val="20"/>
            </w:rPr>
            <w:fldChar w:fldCharType="end"/>
          </w:r>
        </w:p>
      </w:tc>
      <w:tc>
        <w:tcPr>
          <w:tcW w:w="2498" w:type="dxa"/>
        </w:tcPr>
        <w:p w14:paraId="5125A92E" w14:textId="77777777" w:rsidR="003C7C88" w:rsidRPr="00DA74AC" w:rsidRDefault="003C7C88" w:rsidP="00B12876">
          <w:pPr>
            <w:pStyle w:val="Footer"/>
            <w:spacing w:before="60"/>
            <w:jc w:val="center"/>
            <w:rPr>
              <w:rFonts w:ascii="Segoe UI" w:hAnsi="Segoe UI" w:cs="Segoe UI"/>
              <w:color w:val="000000" w:themeColor="text1"/>
              <w:sz w:val="18"/>
              <w:szCs w:val="20"/>
            </w:rPr>
          </w:pPr>
          <w:sdt>
            <w:sdtPr>
              <w:rPr>
                <w:rFonts w:ascii="Segoe UI" w:hAnsi="Segoe UI" w:cs="Segoe UI"/>
                <w:sz w:val="18"/>
                <w:szCs w:val="20"/>
              </w:rPr>
              <w:alias w:val="Confidentiality Level"/>
              <w:tag w:val="Confidentiality Level"/>
              <w:id w:val="1890906662"/>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DA74AC">
                <w:rPr>
                  <w:rFonts w:ascii="Segoe UI" w:hAnsi="Segoe UI" w:cs="Segoe UI"/>
                  <w:sz w:val="18"/>
                  <w:szCs w:val="20"/>
                </w:rPr>
                <w:t>Confidential</w:t>
              </w:r>
            </w:sdtContent>
          </w:sdt>
        </w:p>
      </w:tc>
      <w:tc>
        <w:tcPr>
          <w:tcW w:w="2085" w:type="dxa"/>
        </w:tcPr>
        <w:p w14:paraId="2CD8195C" w14:textId="77777777" w:rsidR="003C7C88" w:rsidRPr="00DA74AC" w:rsidRDefault="003C7C88" w:rsidP="00B12876">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10</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222</w:t>
          </w:r>
          <w:r w:rsidRPr="00DA74AC">
            <w:rPr>
              <w:rFonts w:ascii="Segoe UI" w:hAnsi="Segoe UI" w:cs="Segoe UI"/>
              <w:noProof/>
              <w:sz w:val="18"/>
              <w:szCs w:val="20"/>
            </w:rPr>
            <w:fldChar w:fldCharType="end"/>
          </w:r>
        </w:p>
      </w:tc>
    </w:tr>
  </w:tbl>
  <w:p w14:paraId="4F924E73" w14:textId="77777777" w:rsidR="003C7C88" w:rsidRPr="00DA74AC" w:rsidRDefault="003C7C88" w:rsidP="002B2D89">
    <w:pPr>
      <w:spacing w:after="0" w:line="240" w:lineRule="auto"/>
      <w:rPr>
        <w:rFonts w:ascii="Segoe UI" w:hAnsi="Segoe UI" w:cs="Segoe UI"/>
        <w:sz w:val="18"/>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991" w:type="dxa"/>
      <w:tblInd w:w="108" w:type="dxa"/>
      <w:tblBorders>
        <w:top w:val="single" w:sz="4" w:space="0" w:color="2A8737" w:themeColor="accent1" w:themeShade="BF"/>
      </w:tblBorders>
      <w:tblLook w:val="04A0" w:firstRow="1" w:lastRow="0" w:firstColumn="1" w:lastColumn="0" w:noHBand="0" w:noVBand="1"/>
    </w:tblPr>
    <w:tblGrid>
      <w:gridCol w:w="6946"/>
      <w:gridCol w:w="1559"/>
      <w:gridCol w:w="5486"/>
    </w:tblGrid>
    <w:tr w:rsidR="003C7C88" w:rsidRPr="00F92B5D" w14:paraId="2CD5C2F8" w14:textId="77777777" w:rsidTr="00F71569">
      <w:tc>
        <w:tcPr>
          <w:tcW w:w="6946" w:type="dxa"/>
        </w:tcPr>
        <w:p w14:paraId="77EC331E" w14:textId="77777777" w:rsidR="003C7C88" w:rsidRDefault="003C7C88" w:rsidP="002B2D89">
          <w:pPr>
            <w:pStyle w:val="Footer"/>
            <w:rPr>
              <w:rFonts w:ascii="Segoe UI" w:hAnsi="Segoe UI" w:cs="Segoe UI"/>
              <w:sz w:val="18"/>
              <w:szCs w:val="18"/>
            </w:rPr>
          </w:pPr>
        </w:p>
        <w:p w14:paraId="3B71FFCF" w14:textId="74AF51FB" w:rsidR="003C7C88" w:rsidRPr="00C46D24" w:rsidRDefault="003C7C88" w:rsidP="00F71569">
          <w:pPr>
            <w:pStyle w:val="Footer"/>
            <w:spacing w:before="60"/>
            <w:rPr>
              <w:rFonts w:ascii="Segoe UI" w:hAnsi="Segoe UI" w:cs="Segoe UI"/>
              <w:sz w:val="18"/>
              <w:szCs w:val="18"/>
            </w:rPr>
          </w:pPr>
          <w:r w:rsidRPr="00C46D24">
            <w:rPr>
              <w:rFonts w:ascii="Segoe UI" w:hAnsi="Segoe UI" w:cs="Segoe UI"/>
              <w:sz w:val="18"/>
              <w:szCs w:val="18"/>
            </w:rPr>
            <w:fldChar w:fldCharType="begin"/>
          </w:r>
          <w:r w:rsidRPr="00C46D24">
            <w:rPr>
              <w:rFonts w:ascii="Segoe UI" w:hAnsi="Segoe UI" w:cs="Segoe UI"/>
              <w:sz w:val="18"/>
              <w:szCs w:val="18"/>
            </w:rPr>
            <w:instrText xml:space="preserve"> FILENAME   \* MERGEFORMAT </w:instrText>
          </w:r>
          <w:r w:rsidRPr="00C46D24">
            <w:rPr>
              <w:rFonts w:ascii="Segoe UI" w:hAnsi="Segoe UI" w:cs="Segoe UI"/>
              <w:sz w:val="18"/>
              <w:szCs w:val="18"/>
            </w:rPr>
            <w:fldChar w:fldCharType="separate"/>
          </w:r>
          <w:r>
            <w:rPr>
              <w:rFonts w:ascii="Segoe UI" w:hAnsi="Segoe UI" w:cs="Segoe UI"/>
              <w:noProof/>
              <w:sz w:val="18"/>
              <w:szCs w:val="18"/>
            </w:rPr>
            <w:t>RIS_Drivers_Regulations_2019_DRAFTv41_20190510_for_OCBR Review - v15 clean version.docx</w:t>
          </w:r>
          <w:r w:rsidRPr="00C46D24">
            <w:rPr>
              <w:rFonts w:ascii="Segoe UI" w:hAnsi="Segoe UI" w:cs="Segoe UI"/>
              <w:noProof/>
              <w:sz w:val="18"/>
              <w:szCs w:val="18"/>
            </w:rPr>
            <w:fldChar w:fldCharType="end"/>
          </w:r>
        </w:p>
      </w:tc>
      <w:tc>
        <w:tcPr>
          <w:tcW w:w="1559" w:type="dxa"/>
        </w:tcPr>
        <w:p w14:paraId="1F6F700F" w14:textId="77777777" w:rsidR="003C7C88" w:rsidRPr="00F92B5D" w:rsidRDefault="003C7C88" w:rsidP="00F71569">
          <w:pPr>
            <w:pStyle w:val="Footer"/>
            <w:spacing w:before="60"/>
            <w:jc w:val="center"/>
            <w:rPr>
              <w:rFonts w:ascii="Segoe UI" w:hAnsi="Segoe UI" w:cs="Segoe UI"/>
              <w:color w:val="000000" w:themeColor="text1"/>
              <w:sz w:val="16"/>
              <w:szCs w:val="16"/>
            </w:rPr>
          </w:pPr>
          <w:sdt>
            <w:sdtPr>
              <w:rPr>
                <w:rFonts w:ascii="Segoe UI" w:hAnsi="Segoe UI" w:cs="Segoe UI"/>
                <w:sz w:val="18"/>
                <w:szCs w:val="16"/>
              </w:rPr>
              <w:alias w:val="Confidentiality Level"/>
              <w:tag w:val="Confidentiality Level"/>
              <w:id w:val="-1883699399"/>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1773A6">
                <w:rPr>
                  <w:rFonts w:ascii="Segoe UI" w:hAnsi="Segoe UI" w:cs="Segoe UI"/>
                  <w:sz w:val="18"/>
                  <w:szCs w:val="16"/>
                </w:rPr>
                <w:t>Confidential</w:t>
              </w:r>
            </w:sdtContent>
          </w:sdt>
        </w:p>
      </w:tc>
      <w:tc>
        <w:tcPr>
          <w:tcW w:w="5486" w:type="dxa"/>
        </w:tcPr>
        <w:p w14:paraId="112AAA59" w14:textId="77777777" w:rsidR="003C7C88" w:rsidRPr="00A339C8" w:rsidRDefault="003C7C88" w:rsidP="00F71569">
          <w:pPr>
            <w:pStyle w:val="Footer"/>
            <w:spacing w:before="60"/>
            <w:jc w:val="right"/>
            <w:rPr>
              <w:rFonts w:ascii="Segoe UI" w:hAnsi="Segoe UI" w:cs="Segoe UI"/>
              <w:noProof/>
              <w:szCs w:val="16"/>
            </w:rPr>
          </w:pPr>
          <w:r w:rsidRPr="007104DF">
            <w:rPr>
              <w:rFonts w:ascii="Segoe UI" w:hAnsi="Segoe UI" w:cs="Segoe UI"/>
              <w:color w:val="000000" w:themeColor="text1"/>
              <w:sz w:val="18"/>
              <w:szCs w:val="16"/>
            </w:rPr>
            <w:t xml:space="preserve">Page </w:t>
          </w:r>
          <w:r w:rsidRPr="007104DF">
            <w:rPr>
              <w:rFonts w:ascii="Segoe UI" w:hAnsi="Segoe UI" w:cs="Segoe UI"/>
              <w:color w:val="000000" w:themeColor="text1"/>
              <w:sz w:val="18"/>
              <w:szCs w:val="16"/>
            </w:rPr>
            <w:fldChar w:fldCharType="begin"/>
          </w:r>
          <w:r w:rsidRPr="007104DF">
            <w:rPr>
              <w:rFonts w:ascii="Segoe UI" w:hAnsi="Segoe UI" w:cs="Segoe UI"/>
              <w:color w:val="000000" w:themeColor="text1"/>
              <w:sz w:val="18"/>
              <w:szCs w:val="16"/>
            </w:rPr>
            <w:instrText xml:space="preserve"> PAGE  \* Arabic  \* MERGEFORMAT </w:instrText>
          </w:r>
          <w:r w:rsidRPr="007104DF">
            <w:rPr>
              <w:rFonts w:ascii="Segoe UI" w:hAnsi="Segoe UI" w:cs="Segoe UI"/>
              <w:color w:val="000000" w:themeColor="text1"/>
              <w:sz w:val="18"/>
              <w:szCs w:val="16"/>
            </w:rPr>
            <w:fldChar w:fldCharType="separate"/>
          </w:r>
          <w:r>
            <w:rPr>
              <w:rFonts w:ascii="Segoe UI" w:hAnsi="Segoe UI" w:cs="Segoe UI"/>
              <w:noProof/>
              <w:color w:val="000000" w:themeColor="text1"/>
              <w:sz w:val="18"/>
              <w:szCs w:val="16"/>
            </w:rPr>
            <w:t>200</w:t>
          </w:r>
          <w:r w:rsidRPr="007104DF">
            <w:rPr>
              <w:rFonts w:ascii="Segoe UI" w:hAnsi="Segoe UI" w:cs="Segoe UI"/>
              <w:color w:val="000000" w:themeColor="text1"/>
              <w:sz w:val="18"/>
              <w:szCs w:val="16"/>
            </w:rPr>
            <w:fldChar w:fldCharType="end"/>
          </w:r>
          <w:r w:rsidRPr="007104DF">
            <w:rPr>
              <w:rFonts w:ascii="Segoe UI" w:hAnsi="Segoe UI" w:cs="Segoe UI"/>
              <w:color w:val="000000" w:themeColor="text1"/>
              <w:sz w:val="18"/>
              <w:szCs w:val="16"/>
            </w:rPr>
            <w:t xml:space="preserve"> of </w:t>
          </w:r>
          <w:r>
            <w:rPr>
              <w:noProof/>
              <w:sz w:val="18"/>
            </w:rPr>
            <w:fldChar w:fldCharType="begin"/>
          </w:r>
          <w:r>
            <w:rPr>
              <w:noProof/>
              <w:sz w:val="18"/>
            </w:rPr>
            <w:instrText xml:space="preserve"> NUMPAGES  \* Arabic  \* MERGEFORMAT </w:instrText>
          </w:r>
          <w:r>
            <w:rPr>
              <w:noProof/>
              <w:sz w:val="18"/>
            </w:rPr>
            <w:fldChar w:fldCharType="separate"/>
          </w:r>
          <w:r>
            <w:rPr>
              <w:noProof/>
              <w:sz w:val="18"/>
            </w:rPr>
            <w:t>222</w:t>
          </w:r>
          <w:r>
            <w:rPr>
              <w:noProof/>
              <w:sz w:val="18"/>
            </w:rPr>
            <w:fldChar w:fldCharType="end"/>
          </w:r>
        </w:p>
      </w:tc>
    </w:tr>
  </w:tbl>
  <w:p w14:paraId="1FA56522" w14:textId="77777777" w:rsidR="003C7C88" w:rsidRPr="00BC5491" w:rsidRDefault="003C7C88" w:rsidP="002B2D89">
    <w:pPr>
      <w:spacing w:after="0" w:line="240" w:lineRule="auto"/>
      <w:rPr>
        <w:sz w:val="10"/>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884" w:type="dxa"/>
      <w:tblBorders>
        <w:top w:val="single" w:sz="4" w:space="0" w:color="2A8737" w:themeColor="accent1" w:themeShade="BF"/>
      </w:tblBorders>
      <w:tblLook w:val="04A0" w:firstRow="1" w:lastRow="0" w:firstColumn="1" w:lastColumn="0" w:noHBand="0" w:noVBand="1"/>
    </w:tblPr>
    <w:tblGrid>
      <w:gridCol w:w="6521"/>
      <w:gridCol w:w="2835"/>
      <w:gridCol w:w="5528"/>
    </w:tblGrid>
    <w:tr w:rsidR="003C7C88" w:rsidRPr="00DA74AC" w14:paraId="5D468D3C" w14:textId="77777777" w:rsidTr="0066527C">
      <w:tc>
        <w:tcPr>
          <w:tcW w:w="6521" w:type="dxa"/>
          <w:tcBorders>
            <w:top w:val="single" w:sz="2" w:space="0" w:color="808080" w:themeColor="background1" w:themeShade="80"/>
          </w:tcBorders>
        </w:tcPr>
        <w:p w14:paraId="6803F6B7" w14:textId="77777777" w:rsidR="003C7C88" w:rsidRPr="00125EC8" w:rsidRDefault="003C7C88" w:rsidP="00B12876">
          <w:pPr>
            <w:pStyle w:val="Footer"/>
            <w:spacing w:before="60"/>
            <w:rPr>
              <w:rFonts w:ascii="Segoe UI" w:hAnsi="Segoe UI" w:cs="Segoe UI"/>
              <w:color w:val="000000" w:themeColor="text1"/>
              <w:sz w:val="18"/>
              <w:szCs w:val="20"/>
            </w:rPr>
          </w:pPr>
          <w:r w:rsidRPr="00125EC8">
            <w:rPr>
              <w:rFonts w:ascii="Segoe UI" w:hAnsi="Segoe UI" w:cs="Segoe UI"/>
              <w:sz w:val="16"/>
              <w:szCs w:val="20"/>
            </w:rPr>
            <w:t>Road Safety (Drivers) Regulations 2019</w:t>
          </w:r>
        </w:p>
      </w:tc>
      <w:tc>
        <w:tcPr>
          <w:tcW w:w="2835" w:type="dxa"/>
          <w:tcBorders>
            <w:top w:val="single" w:sz="2" w:space="0" w:color="808080" w:themeColor="background1" w:themeShade="80"/>
          </w:tcBorders>
        </w:tcPr>
        <w:p w14:paraId="7B1CB626" w14:textId="77777777" w:rsidR="003C7C88" w:rsidRPr="00DA74AC" w:rsidRDefault="003C7C88" w:rsidP="00B12876">
          <w:pPr>
            <w:pStyle w:val="Footer"/>
            <w:spacing w:before="60"/>
            <w:jc w:val="center"/>
            <w:rPr>
              <w:rFonts w:ascii="Segoe UI" w:hAnsi="Segoe UI" w:cs="Segoe UI"/>
              <w:color w:val="000000" w:themeColor="text1"/>
              <w:sz w:val="18"/>
              <w:szCs w:val="20"/>
            </w:rPr>
          </w:pPr>
          <w:r w:rsidRPr="00447FA5">
            <w:rPr>
              <w:rFonts w:ascii="Segoe UI" w:hAnsi="Segoe UI" w:cs="Segoe UI"/>
              <w:sz w:val="16"/>
              <w:szCs w:val="20"/>
            </w:rPr>
            <w:t>Regulatory Impact Statement</w:t>
          </w:r>
        </w:p>
      </w:tc>
      <w:tc>
        <w:tcPr>
          <w:tcW w:w="5528" w:type="dxa"/>
          <w:tcBorders>
            <w:top w:val="single" w:sz="2" w:space="0" w:color="808080" w:themeColor="background1" w:themeShade="80"/>
          </w:tcBorders>
        </w:tcPr>
        <w:p w14:paraId="1784D0AF" w14:textId="611AC5A3" w:rsidR="003C7C88" w:rsidRPr="00DA74AC" w:rsidRDefault="003C7C88" w:rsidP="00B12876">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205</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248</w:t>
          </w:r>
          <w:r w:rsidRPr="00DA74AC">
            <w:rPr>
              <w:rFonts w:ascii="Segoe UI" w:hAnsi="Segoe UI" w:cs="Segoe UI"/>
              <w:noProof/>
              <w:sz w:val="18"/>
              <w:szCs w:val="20"/>
            </w:rPr>
            <w:fldChar w:fldCharType="end"/>
          </w:r>
        </w:p>
      </w:tc>
    </w:tr>
    <w:tr w:rsidR="003C7C88" w:rsidRPr="00DA74AC" w14:paraId="359BAD77" w14:textId="77777777" w:rsidTr="0066527C">
      <w:tc>
        <w:tcPr>
          <w:tcW w:w="14884" w:type="dxa"/>
          <w:gridSpan w:val="3"/>
        </w:tcPr>
        <w:p w14:paraId="76A51175" w14:textId="49A09B27" w:rsidR="003C7C88" w:rsidRPr="00213FAD" w:rsidRDefault="003C7C88" w:rsidP="00BB0F89">
          <w:pPr>
            <w:pStyle w:val="Footer"/>
            <w:rPr>
              <w:rFonts w:ascii="Segoe UI" w:hAnsi="Segoe UI" w:cs="Segoe UI"/>
              <w:color w:val="000000" w:themeColor="text1"/>
              <w:sz w:val="12"/>
              <w:szCs w:val="16"/>
            </w:rPr>
          </w:pPr>
          <w:r w:rsidRPr="00567765">
            <w:rPr>
              <w:rFonts w:ascii="Segoe UI" w:hAnsi="Segoe UI" w:cs="Segoe UI"/>
              <w:sz w:val="12"/>
              <w:szCs w:val="16"/>
            </w:rPr>
            <w:t>RIS_Drivers_Regulations_2019_DRAFTv41_20190510_for_OCBR Review - v15 clean version</w:t>
          </w:r>
        </w:p>
      </w:tc>
    </w:tr>
  </w:tbl>
  <w:p w14:paraId="305A80BA" w14:textId="77777777" w:rsidR="003C7C88" w:rsidRPr="00447FA5" w:rsidRDefault="003C7C88" w:rsidP="00774C11">
    <w:pPr>
      <w:spacing w:after="0" w:line="240" w:lineRule="auto"/>
      <w:rPr>
        <w:rFonts w:ascii="Segoe UI" w:hAnsi="Segoe UI" w:cs="Segoe UI"/>
        <w:sz w:val="6"/>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884" w:type="dxa"/>
      <w:tblBorders>
        <w:top w:val="single" w:sz="4" w:space="0" w:color="2A8737" w:themeColor="accent1" w:themeShade="BF"/>
      </w:tblBorders>
      <w:tblLook w:val="04A0" w:firstRow="1" w:lastRow="0" w:firstColumn="1" w:lastColumn="0" w:noHBand="0" w:noVBand="1"/>
    </w:tblPr>
    <w:tblGrid>
      <w:gridCol w:w="6096"/>
      <w:gridCol w:w="3681"/>
      <w:gridCol w:w="5107"/>
    </w:tblGrid>
    <w:tr w:rsidR="003C7C88" w:rsidRPr="00DA74AC" w14:paraId="705AB27E" w14:textId="77777777" w:rsidTr="00F36C18">
      <w:tc>
        <w:tcPr>
          <w:tcW w:w="6096" w:type="dxa"/>
          <w:tcBorders>
            <w:top w:val="single" w:sz="2" w:space="0" w:color="808080" w:themeColor="background1" w:themeShade="80"/>
          </w:tcBorders>
        </w:tcPr>
        <w:p w14:paraId="38AA313B" w14:textId="77777777" w:rsidR="003C7C88" w:rsidRPr="00DA74AC" w:rsidRDefault="003C7C88" w:rsidP="00F36C18">
          <w:pPr>
            <w:pStyle w:val="Footer"/>
            <w:spacing w:before="60"/>
            <w:rPr>
              <w:rFonts w:ascii="Segoe UI" w:hAnsi="Segoe UI" w:cs="Segoe UI"/>
              <w:color w:val="000000" w:themeColor="text1"/>
              <w:sz w:val="18"/>
              <w:szCs w:val="20"/>
            </w:rPr>
          </w:pPr>
          <w:r w:rsidRPr="00447FA5">
            <w:rPr>
              <w:rFonts w:ascii="Segoe UI" w:hAnsi="Segoe UI" w:cs="Segoe UI"/>
              <w:b/>
              <w:sz w:val="16"/>
              <w:szCs w:val="20"/>
            </w:rPr>
            <w:t>Road Safety (Drivers) Regulations 2019</w:t>
          </w:r>
          <w:r w:rsidRPr="00447FA5">
            <w:rPr>
              <w:rFonts w:ascii="Segoe UI" w:hAnsi="Segoe UI" w:cs="Segoe UI"/>
              <w:sz w:val="16"/>
              <w:szCs w:val="20"/>
            </w:rPr>
            <w:br/>
            <w:t>Regulatory Impact Statement</w:t>
          </w:r>
        </w:p>
      </w:tc>
      <w:tc>
        <w:tcPr>
          <w:tcW w:w="3681" w:type="dxa"/>
          <w:tcBorders>
            <w:top w:val="single" w:sz="2" w:space="0" w:color="808080" w:themeColor="background1" w:themeShade="80"/>
          </w:tcBorders>
        </w:tcPr>
        <w:p w14:paraId="742F88D6" w14:textId="77777777" w:rsidR="003C7C88" w:rsidRPr="00DA74AC" w:rsidRDefault="003C7C88" w:rsidP="00F36C18">
          <w:pPr>
            <w:pStyle w:val="Footer"/>
            <w:tabs>
              <w:tab w:val="clear" w:pos="4513"/>
              <w:tab w:val="center" w:pos="1729"/>
            </w:tabs>
            <w:spacing w:before="60"/>
            <w:jc w:val="center"/>
            <w:rPr>
              <w:rFonts w:ascii="Segoe UI" w:hAnsi="Segoe UI" w:cs="Segoe UI"/>
              <w:color w:val="000000" w:themeColor="text1"/>
              <w:sz w:val="18"/>
              <w:szCs w:val="20"/>
            </w:rPr>
          </w:pPr>
          <w:sdt>
            <w:sdtPr>
              <w:rPr>
                <w:rFonts w:ascii="Segoe UI" w:hAnsi="Segoe UI" w:cs="Segoe UI"/>
                <w:sz w:val="18"/>
                <w:szCs w:val="20"/>
              </w:rPr>
              <w:alias w:val="Confidentiality Level"/>
              <w:tag w:val="Confidentiality Level"/>
              <w:id w:val="1304972645"/>
              <w:comboBox>
                <w:listItem w:displayText="Commercial in Confidence" w:value="Commercial in Confidence"/>
                <w:listItem w:displayText="    " w:value="    "/>
                <w:listItem w:displayText="Public" w:value="Public"/>
                <w:listItem w:displayText="Confidential" w:value="Confidential"/>
                <w:listItem w:displayText="Highly Confidential" w:value="Highly Confidential"/>
              </w:comboBox>
            </w:sdtPr>
            <w:sdtContent>
              <w:r w:rsidRPr="00DA74AC">
                <w:rPr>
                  <w:rFonts w:ascii="Segoe UI" w:hAnsi="Segoe UI" w:cs="Segoe UI"/>
                  <w:sz w:val="18"/>
                  <w:szCs w:val="20"/>
                </w:rPr>
                <w:t>Confidential</w:t>
              </w:r>
            </w:sdtContent>
          </w:sdt>
        </w:p>
      </w:tc>
      <w:tc>
        <w:tcPr>
          <w:tcW w:w="5107" w:type="dxa"/>
          <w:tcBorders>
            <w:top w:val="single" w:sz="2" w:space="0" w:color="808080" w:themeColor="background1" w:themeShade="80"/>
          </w:tcBorders>
        </w:tcPr>
        <w:p w14:paraId="5EA162DD" w14:textId="77777777" w:rsidR="003C7C88" w:rsidRPr="00DA74AC" w:rsidRDefault="003C7C88" w:rsidP="00F36C18">
          <w:pPr>
            <w:pStyle w:val="Footer"/>
            <w:spacing w:before="60"/>
            <w:jc w:val="right"/>
            <w:rPr>
              <w:rFonts w:ascii="Segoe UI" w:hAnsi="Segoe UI" w:cs="Segoe UI"/>
              <w:noProof/>
              <w:sz w:val="18"/>
              <w:szCs w:val="20"/>
            </w:rPr>
          </w:pPr>
          <w:r w:rsidRPr="00DA74AC">
            <w:rPr>
              <w:rFonts w:ascii="Segoe UI" w:hAnsi="Segoe UI" w:cs="Segoe UI"/>
              <w:color w:val="000000" w:themeColor="text1"/>
              <w:sz w:val="18"/>
              <w:szCs w:val="20"/>
            </w:rPr>
            <w:t xml:space="preserve">Page </w:t>
          </w:r>
          <w:r w:rsidRPr="00DA74AC">
            <w:rPr>
              <w:rFonts w:ascii="Segoe UI" w:hAnsi="Segoe UI" w:cs="Segoe UI"/>
              <w:color w:val="000000" w:themeColor="text1"/>
              <w:sz w:val="18"/>
              <w:szCs w:val="20"/>
            </w:rPr>
            <w:fldChar w:fldCharType="begin"/>
          </w:r>
          <w:r w:rsidRPr="00DA74AC">
            <w:rPr>
              <w:rFonts w:ascii="Segoe UI" w:hAnsi="Segoe UI" w:cs="Segoe UI"/>
              <w:color w:val="000000" w:themeColor="text1"/>
              <w:sz w:val="18"/>
              <w:szCs w:val="20"/>
            </w:rPr>
            <w:instrText xml:space="preserve"> PAGE  \* Arabic  \* MERGEFORMAT </w:instrText>
          </w:r>
          <w:r w:rsidRPr="00DA74AC">
            <w:rPr>
              <w:rFonts w:ascii="Segoe UI" w:hAnsi="Segoe UI" w:cs="Segoe UI"/>
              <w:color w:val="000000" w:themeColor="text1"/>
              <w:sz w:val="18"/>
              <w:szCs w:val="20"/>
            </w:rPr>
            <w:fldChar w:fldCharType="separate"/>
          </w:r>
          <w:r>
            <w:rPr>
              <w:rFonts w:ascii="Segoe UI" w:hAnsi="Segoe UI" w:cs="Segoe UI"/>
              <w:noProof/>
              <w:color w:val="000000" w:themeColor="text1"/>
              <w:sz w:val="18"/>
              <w:szCs w:val="20"/>
            </w:rPr>
            <w:t>184</w:t>
          </w:r>
          <w:r w:rsidRPr="00DA74AC">
            <w:rPr>
              <w:rFonts w:ascii="Segoe UI" w:hAnsi="Segoe UI" w:cs="Segoe UI"/>
              <w:color w:val="000000" w:themeColor="text1"/>
              <w:sz w:val="18"/>
              <w:szCs w:val="20"/>
            </w:rPr>
            <w:fldChar w:fldCharType="end"/>
          </w:r>
          <w:r w:rsidRPr="00DA74AC">
            <w:rPr>
              <w:rFonts w:ascii="Segoe UI" w:hAnsi="Segoe UI" w:cs="Segoe UI"/>
              <w:color w:val="000000" w:themeColor="text1"/>
              <w:sz w:val="18"/>
              <w:szCs w:val="20"/>
            </w:rPr>
            <w:t xml:space="preserve"> of </w:t>
          </w:r>
          <w:r w:rsidRPr="00DA74AC">
            <w:rPr>
              <w:rFonts w:ascii="Segoe UI" w:hAnsi="Segoe UI" w:cs="Segoe UI"/>
              <w:sz w:val="18"/>
              <w:szCs w:val="20"/>
            </w:rPr>
            <w:fldChar w:fldCharType="begin"/>
          </w:r>
          <w:r w:rsidRPr="00DA74AC">
            <w:rPr>
              <w:rFonts w:ascii="Segoe UI" w:hAnsi="Segoe UI" w:cs="Segoe UI"/>
              <w:sz w:val="18"/>
              <w:szCs w:val="20"/>
            </w:rPr>
            <w:instrText xml:space="preserve"> NUMPAGES  \* Arabic  \* MERGEFORMAT </w:instrText>
          </w:r>
          <w:r w:rsidRPr="00DA74AC">
            <w:rPr>
              <w:rFonts w:ascii="Segoe UI" w:hAnsi="Segoe UI" w:cs="Segoe UI"/>
              <w:sz w:val="18"/>
              <w:szCs w:val="20"/>
            </w:rPr>
            <w:fldChar w:fldCharType="separate"/>
          </w:r>
          <w:r>
            <w:rPr>
              <w:rFonts w:ascii="Segoe UI" w:hAnsi="Segoe UI" w:cs="Segoe UI"/>
              <w:noProof/>
              <w:sz w:val="18"/>
              <w:szCs w:val="20"/>
            </w:rPr>
            <w:t>222</w:t>
          </w:r>
          <w:r w:rsidRPr="00DA74AC">
            <w:rPr>
              <w:rFonts w:ascii="Segoe UI" w:hAnsi="Segoe UI" w:cs="Segoe UI"/>
              <w:noProof/>
              <w:sz w:val="18"/>
              <w:szCs w:val="20"/>
            </w:rPr>
            <w:fldChar w:fldCharType="end"/>
          </w:r>
        </w:p>
      </w:tc>
    </w:tr>
    <w:tr w:rsidR="003C7C88" w:rsidRPr="009E515D" w14:paraId="278598EB" w14:textId="77777777" w:rsidTr="00F36C18">
      <w:tc>
        <w:tcPr>
          <w:tcW w:w="14884" w:type="dxa"/>
          <w:gridSpan w:val="3"/>
        </w:tcPr>
        <w:p w14:paraId="627E6F6D" w14:textId="28EB1DD8" w:rsidR="003C7C88" w:rsidRPr="009E515D" w:rsidRDefault="003C7C88" w:rsidP="00F36C18">
          <w:pPr>
            <w:pStyle w:val="Footer"/>
            <w:spacing w:before="60"/>
            <w:rPr>
              <w:rFonts w:ascii="Segoe UI" w:hAnsi="Segoe UI" w:cs="Segoe UI"/>
              <w:color w:val="000000" w:themeColor="text1"/>
              <w:sz w:val="12"/>
              <w:szCs w:val="20"/>
            </w:rPr>
          </w:pPr>
          <w:r w:rsidRPr="009E515D">
            <w:rPr>
              <w:rFonts w:ascii="Segoe UI" w:hAnsi="Segoe UI" w:cs="Segoe UI"/>
              <w:sz w:val="12"/>
              <w:szCs w:val="20"/>
            </w:rPr>
            <w:fldChar w:fldCharType="begin"/>
          </w:r>
          <w:r w:rsidRPr="009E515D">
            <w:rPr>
              <w:rFonts w:ascii="Segoe UI" w:hAnsi="Segoe UI" w:cs="Segoe UI"/>
              <w:sz w:val="12"/>
              <w:szCs w:val="20"/>
            </w:rPr>
            <w:instrText xml:space="preserve"> FILENAME   \* MERGEFORMAT </w:instrText>
          </w:r>
          <w:r w:rsidRPr="009E515D">
            <w:rPr>
              <w:rFonts w:ascii="Segoe UI" w:hAnsi="Segoe UI" w:cs="Segoe UI"/>
              <w:sz w:val="12"/>
              <w:szCs w:val="20"/>
            </w:rPr>
            <w:fldChar w:fldCharType="separate"/>
          </w:r>
          <w:r>
            <w:rPr>
              <w:rFonts w:ascii="Segoe UI" w:hAnsi="Segoe UI" w:cs="Segoe UI"/>
              <w:noProof/>
              <w:sz w:val="12"/>
              <w:szCs w:val="20"/>
            </w:rPr>
            <w:t>RIS_Drivers_Regulations_2019_DRAFTv41_20190510_for_OCBR Review - v15 clean version.docx</w:t>
          </w:r>
          <w:r w:rsidRPr="009E515D">
            <w:rPr>
              <w:rFonts w:ascii="Segoe UI" w:hAnsi="Segoe UI" w:cs="Segoe UI"/>
              <w:noProof/>
              <w:sz w:val="12"/>
              <w:szCs w:val="20"/>
            </w:rPr>
            <w:fldChar w:fldCharType="end"/>
          </w:r>
        </w:p>
      </w:tc>
    </w:tr>
  </w:tbl>
  <w:p w14:paraId="4B482D90" w14:textId="77777777" w:rsidR="003C7C88" w:rsidRPr="00BC5491" w:rsidRDefault="003C7C88" w:rsidP="002B2D89">
    <w:pPr>
      <w:spacing w:after="0" w:line="240" w:lineRule="auto"/>
      <w:rPr>
        <w:sz w:val="1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9A210" w14:textId="77777777" w:rsidR="003C7C88" w:rsidRDefault="003C7C88" w:rsidP="00507E0C">
      <w:pPr>
        <w:spacing w:after="0" w:line="240" w:lineRule="auto"/>
      </w:pPr>
      <w:r>
        <w:separator/>
      </w:r>
    </w:p>
  </w:footnote>
  <w:footnote w:type="continuationSeparator" w:id="0">
    <w:p w14:paraId="579DB98F" w14:textId="77777777" w:rsidR="003C7C88" w:rsidRDefault="003C7C88" w:rsidP="00507E0C">
      <w:pPr>
        <w:spacing w:after="0" w:line="240" w:lineRule="auto"/>
      </w:pPr>
      <w:r>
        <w:continuationSeparator/>
      </w:r>
    </w:p>
    <w:p w14:paraId="58E4825F" w14:textId="77777777" w:rsidR="003C7C88" w:rsidRDefault="003C7C88"/>
  </w:footnote>
  <w:footnote w:type="continuationNotice" w:id="1">
    <w:p w14:paraId="758E0A64" w14:textId="77777777" w:rsidR="003C7C88" w:rsidRDefault="003C7C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97450" w14:textId="77777777" w:rsidR="003C7C88" w:rsidRDefault="003C7C88" w:rsidP="002B2D89">
    <w:pPr>
      <w:pStyle w:val="Header"/>
    </w:pPr>
    <w:r>
      <w:rPr>
        <w:noProof/>
        <w:lang w:val="en-GB" w:eastAsia="en-GB"/>
      </w:rPr>
      <mc:AlternateContent>
        <mc:Choice Requires="wps">
          <w:drawing>
            <wp:anchor distT="0" distB="0" distL="114300" distR="114300" simplePos="0" relativeHeight="251685376" behindDoc="1" locked="0" layoutInCell="0" allowOverlap="1" wp14:anchorId="38AF0A3F" wp14:editId="2E28F711">
              <wp:simplePos x="0" y="0"/>
              <wp:positionH relativeFrom="margin">
                <wp:align>center</wp:align>
              </wp:positionH>
              <wp:positionV relativeFrom="margin">
                <wp:align>center</wp:align>
              </wp:positionV>
              <wp:extent cx="6090920" cy="2436495"/>
              <wp:effectExtent l="0" t="1619250" r="0" b="127825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920" cy="2436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EDF0E7" w14:textId="77777777" w:rsidR="003C7C88" w:rsidRDefault="003C7C88" w:rsidP="00336870">
                          <w:pPr>
                            <w:pStyle w:val="NormalWeb"/>
                            <w:spacing w:before="0" w:beforeAutospacing="0" w:after="0" w:afterAutospacing="0"/>
                            <w:jc w:val="center"/>
                            <w:rPr>
                              <w:sz w:val="24"/>
                              <w:szCs w:val="24"/>
                            </w:rPr>
                          </w:pPr>
                          <w:r>
                            <w:rPr>
                              <w:rFonts w:ascii="Arial Rounded MT Bold" w:hAnsi="Arial Rounded MT Bold"/>
                              <w:color w:val="BFBFBF" w:themeColor="background1" w:themeShade="BF"/>
                              <w:sz w:val="2"/>
                              <w:szCs w:val="2"/>
                              <w14:textFill>
                                <w14:solidFill>
                                  <w14:schemeClr w14:val="bg1">
                                    <w14:alpha w14:val="50000"/>
                                    <w14:lumMod w14:val="7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AF0A3F" id="_x0000_t202" coordsize="21600,21600" o:spt="202" path="m,l,21600r21600,l21600,xe">
              <v:stroke joinstyle="miter"/>
              <v:path gradientshapeok="t" o:connecttype="rect"/>
            </v:shapetype>
            <v:shape id="Text Box 44" o:spid="_x0000_s1031" type="#_x0000_t202" style="position:absolute;margin-left:0;margin-top:0;width:479.6pt;height:191.85pt;rotation:-45;z-index:-251631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" o:allowincell="f" filled="f" stroked="f">
              <v:stroke joinstyle="round"/>
              <o:lock v:ext="edit" shapetype="t"/>
              <v:textbox style="mso-fit-shape-to-text:t">
                <w:txbxContent>
                  <w:p w14:paraId="52EDF0E7" w14:textId="77777777" w:rsidR="003C7C88" w:rsidRDefault="003C7C88" w:rsidP="00336870">
                    <w:pPr>
                      <w:pStyle w:val="NormalWeb"/>
                      <w:spacing w:before="0" w:beforeAutospacing="0" w:after="0" w:afterAutospacing="0"/>
                      <w:jc w:val="center"/>
                      <w:rPr>
                        <w:sz w:val="24"/>
                        <w:szCs w:val="24"/>
                      </w:rPr>
                    </w:pPr>
                    <w:r>
                      <w:rPr>
                        <w:rFonts w:ascii="Arial Rounded MT Bold" w:hAnsi="Arial Rounded MT Bold"/>
                        <w:color w:val="BFBFBF" w:themeColor="background1" w:themeShade="BF"/>
                        <w:sz w:val="2"/>
                        <w:szCs w:val="2"/>
                        <w14:textFill>
                          <w14:solidFill>
                            <w14:schemeClr w14:val="bg1">
                              <w14:alpha w14:val="50000"/>
                              <w14:lumMod w14:val="75000"/>
                            </w14:scheme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232E6" w14:textId="77777777" w:rsidR="003C7C88" w:rsidRPr="006B0664" w:rsidRDefault="003C7C88" w:rsidP="00D8322D">
    <w:pPr>
      <w:pStyle w:val="Header"/>
      <w:tabs>
        <w:tab w:val="clear" w:pos="4513"/>
        <w:tab w:val="clear" w:pos="9026"/>
        <w:tab w:val="left" w:pos="1698"/>
        <w:tab w:val="left" w:pos="2096"/>
      </w:tabs>
      <w:rPr>
        <w:color w:val="7F7F7F" w:themeColor="text1" w:themeTint="80"/>
        <w:sz w:val="18"/>
      </w:rPr>
    </w:pPr>
    <w:r>
      <w:rPr>
        <w:noProof/>
        <w:lang w:val="en-GB" w:eastAsia="en-GB"/>
      </w:rPr>
      <w:drawing>
        <wp:anchor distT="0" distB="0" distL="114300" distR="114300" simplePos="0" relativeHeight="251649024" behindDoc="1" locked="0" layoutInCell="1" allowOverlap="1" wp14:anchorId="42AD149C" wp14:editId="04FC8183">
          <wp:simplePos x="0" y="0"/>
          <wp:positionH relativeFrom="column">
            <wp:posOffset>-790575</wp:posOffset>
          </wp:positionH>
          <wp:positionV relativeFrom="paragraph">
            <wp:posOffset>-200025</wp:posOffset>
          </wp:positionV>
          <wp:extent cx="7557135" cy="68572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774564">
      <w:rPr>
        <w:rFonts w:ascii="Segoe UI" w:hAnsi="Segoe UI" w:cs="Segoe UI"/>
        <w:color w:val="FFFFFF" w:themeColor="background1"/>
      </w:rPr>
      <w:t>Regulatory Impact Statement Approach</w:t>
    </w:r>
    <w:r>
      <w:rPr>
        <w:color w:val="7F7F7F" w:themeColor="text1" w:themeTint="80"/>
        <w:sz w:val="18"/>
      </w:rPr>
      <w:tab/>
    </w:r>
    <w:r>
      <w:rPr>
        <w:color w:val="7F7F7F" w:themeColor="text1" w:themeTint="80"/>
        <w:sz w:val="18"/>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BB5E0" w14:textId="77777777" w:rsidR="003C7C88" w:rsidRDefault="003C7C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AB36" w14:textId="77777777" w:rsidR="003C7C88" w:rsidRDefault="003C7C8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29F33" w14:textId="77777777" w:rsidR="003C7C88" w:rsidRPr="006B0664" w:rsidRDefault="003C7C88" w:rsidP="00D8322D">
    <w:pPr>
      <w:pStyle w:val="Header"/>
      <w:tabs>
        <w:tab w:val="clear" w:pos="4513"/>
        <w:tab w:val="clear" w:pos="9026"/>
        <w:tab w:val="left" w:pos="1698"/>
        <w:tab w:val="left" w:pos="2096"/>
      </w:tabs>
      <w:rPr>
        <w:color w:val="7F7F7F" w:themeColor="text1" w:themeTint="80"/>
        <w:sz w:val="18"/>
      </w:rPr>
    </w:pPr>
    <w:r>
      <w:rPr>
        <w:noProof/>
        <w:lang w:val="en-GB" w:eastAsia="en-GB"/>
      </w:rPr>
      <w:drawing>
        <wp:anchor distT="0" distB="0" distL="114300" distR="114300" simplePos="0" relativeHeight="251650048" behindDoc="1" locked="0" layoutInCell="1" allowOverlap="1" wp14:anchorId="66013416" wp14:editId="5738245B">
          <wp:simplePos x="0" y="0"/>
          <wp:positionH relativeFrom="column">
            <wp:posOffset>-781050</wp:posOffset>
          </wp:positionH>
          <wp:positionV relativeFrom="paragraph">
            <wp:posOffset>-209550</wp:posOffset>
          </wp:positionV>
          <wp:extent cx="7557135" cy="68572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13275D">
      <w:rPr>
        <w:rFonts w:ascii="Segoe UI" w:hAnsi="Segoe UI" w:cs="Segoe UI"/>
        <w:color w:val="FFFFFF" w:themeColor="background1"/>
      </w:rPr>
      <w:t>Nature and extent of problem</w:t>
    </w:r>
    <w:r>
      <w:rPr>
        <w:color w:val="7F7F7F" w:themeColor="text1" w:themeTint="80"/>
        <w:sz w:val="18"/>
      </w:rPr>
      <w:tab/>
    </w:r>
    <w:r>
      <w:rPr>
        <w:color w:val="7F7F7F" w:themeColor="text1" w:themeTint="80"/>
        <w:sz w:val="18"/>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082C0" w14:textId="77777777" w:rsidR="003C7C88" w:rsidRDefault="003C7C8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8F5AE" w14:textId="77777777" w:rsidR="003C7C88" w:rsidRDefault="003C7C8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BAF9C" w14:textId="77777777" w:rsidR="003C7C88" w:rsidRPr="0013275D" w:rsidRDefault="003C7C88" w:rsidP="003E2A08">
    <w:pPr>
      <w:pStyle w:val="Header"/>
      <w:tabs>
        <w:tab w:val="clear" w:pos="4513"/>
        <w:tab w:val="clear" w:pos="9026"/>
        <w:tab w:val="left" w:pos="1698"/>
        <w:tab w:val="left" w:pos="2096"/>
        <w:tab w:val="center" w:pos="4762"/>
        <w:tab w:val="left" w:pos="6136"/>
      </w:tabs>
      <w:rPr>
        <w:rFonts w:ascii="Segoe UI" w:hAnsi="Segoe UI" w:cs="Segoe UI"/>
        <w:color w:val="7F7F7F" w:themeColor="text1" w:themeTint="80"/>
        <w:sz w:val="18"/>
      </w:rPr>
    </w:pPr>
    <w:r>
      <w:rPr>
        <w:noProof/>
        <w:lang w:val="en-GB" w:eastAsia="en-GB"/>
      </w:rPr>
      <w:drawing>
        <wp:anchor distT="0" distB="0" distL="114300" distR="114300" simplePos="0" relativeHeight="251653120" behindDoc="1" locked="0" layoutInCell="1" allowOverlap="1" wp14:anchorId="1FD79446" wp14:editId="2C5FF369">
          <wp:simplePos x="0" y="0"/>
          <wp:positionH relativeFrom="column">
            <wp:posOffset>-790042</wp:posOffset>
          </wp:positionH>
          <wp:positionV relativeFrom="paragraph">
            <wp:posOffset>-212141</wp:posOffset>
          </wp:positionV>
          <wp:extent cx="7557135" cy="68572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5B1E7A">
      <w:t xml:space="preserve"> </w:t>
    </w:r>
    <w:r w:rsidRPr="005B1E7A">
      <w:rPr>
        <w:rFonts w:ascii="Segoe UI" w:hAnsi="Segoe UI" w:cs="Segoe UI"/>
        <w:color w:val="FFFFFF" w:themeColor="background1"/>
      </w:rPr>
      <w:t>Graduated Licensing System</w:t>
    </w:r>
    <w:r w:rsidRPr="0013275D">
      <w:rPr>
        <w:rFonts w:ascii="Segoe UI" w:hAnsi="Segoe UI" w:cs="Segoe UI"/>
        <w:color w:val="7F7F7F" w:themeColor="text1" w:themeTint="80"/>
        <w:sz w:val="18"/>
      </w:rPr>
      <w:tab/>
    </w:r>
    <w:r w:rsidRPr="0013275D">
      <w:rPr>
        <w:rFonts w:ascii="Segoe UI" w:hAnsi="Segoe UI" w:cs="Segoe UI"/>
        <w:color w:val="7F7F7F" w:themeColor="text1" w:themeTint="80"/>
        <w:sz w:val="18"/>
      </w:rPr>
      <w:tab/>
    </w:r>
    <w:r>
      <w:rPr>
        <w:rFonts w:ascii="Segoe UI" w:hAnsi="Segoe UI" w:cs="Segoe UI"/>
        <w:color w:val="7F7F7F" w:themeColor="text1" w:themeTint="80"/>
        <w:sz w:val="18"/>
      </w:rPr>
      <w:tab/>
    </w:r>
    <w:r>
      <w:rPr>
        <w:rFonts w:ascii="Segoe UI" w:hAnsi="Segoe UI" w:cs="Segoe UI"/>
        <w:color w:val="7F7F7F" w:themeColor="text1" w:themeTint="80"/>
        <w:sz w:val="18"/>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CC4C6" w14:textId="77777777" w:rsidR="003C7C88" w:rsidRDefault="003C7C8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FAE8E" w14:textId="77777777" w:rsidR="003C7C88" w:rsidRDefault="003C7C8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C352B" w14:textId="77777777" w:rsidR="003C7C88" w:rsidRPr="0013275D"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Pr>
        <w:noProof/>
        <w:lang w:val="en-GB" w:eastAsia="en-GB"/>
      </w:rPr>
      <w:drawing>
        <wp:anchor distT="0" distB="0" distL="114300" distR="114300" simplePos="0" relativeHeight="251657216" behindDoc="1" locked="0" layoutInCell="1" allowOverlap="1" wp14:anchorId="7809BC89" wp14:editId="2892D938">
          <wp:simplePos x="0" y="0"/>
          <wp:positionH relativeFrom="column">
            <wp:posOffset>-782650</wp:posOffset>
          </wp:positionH>
          <wp:positionV relativeFrom="paragraph">
            <wp:posOffset>-204470</wp:posOffset>
          </wp:positionV>
          <wp:extent cx="7557135" cy="68572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5B1E7A">
      <w:t xml:space="preserve"> </w:t>
    </w:r>
    <w:r w:rsidRPr="00BB2E8E">
      <w:rPr>
        <w:rFonts w:ascii="Segoe UI" w:hAnsi="Segoe UI" w:cs="Segoe UI"/>
        <w:color w:val="FFFFFF" w:themeColor="background1"/>
      </w:rPr>
      <w:t>Recognition of other jurisdictions’ driver licences and experience</w:t>
    </w:r>
    <w:r w:rsidRPr="0013275D">
      <w:rPr>
        <w:rFonts w:ascii="Segoe UI" w:hAnsi="Segoe UI" w:cs="Segoe UI"/>
        <w:color w:val="7F7F7F" w:themeColor="text1" w:themeTint="80"/>
        <w:sz w:val="18"/>
      </w:rPr>
      <w:tab/>
    </w:r>
    <w:r w:rsidRPr="0013275D">
      <w:rPr>
        <w:rFonts w:ascii="Segoe UI" w:hAnsi="Segoe UI" w:cs="Segoe UI"/>
        <w:color w:val="7F7F7F" w:themeColor="text1" w:themeTint="80"/>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E98DA" w14:textId="77777777" w:rsidR="003C7C88" w:rsidRDefault="003C7C88">
    <w:r>
      <w:rPr>
        <w:noProof/>
        <w:lang w:val="en-GB" w:eastAsia="en-GB"/>
      </w:rPr>
      <w:drawing>
        <wp:anchor distT="0" distB="0" distL="114300" distR="114300" simplePos="0" relativeHeight="251863552" behindDoc="1" locked="0" layoutInCell="1" allowOverlap="1" wp14:anchorId="749B1B64" wp14:editId="7D76D1D2">
          <wp:simplePos x="0" y="0"/>
          <wp:positionH relativeFrom="column">
            <wp:posOffset>-1062354</wp:posOffset>
          </wp:positionH>
          <wp:positionV relativeFrom="paragraph">
            <wp:posOffset>-721094</wp:posOffset>
          </wp:positionV>
          <wp:extent cx="7876780" cy="11142080"/>
          <wp:effectExtent l="0" t="0" r="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T Report Covers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663" cy="1115889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646C2" w14:textId="77777777" w:rsidR="003C7C88" w:rsidRDefault="003C7C8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169E4" w14:textId="77777777" w:rsidR="003C7C88" w:rsidRDefault="003C7C8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A00A3" w14:textId="77777777" w:rsidR="003C7C88" w:rsidRPr="00283F47"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Pr>
        <w:noProof/>
        <w:lang w:val="en-GB" w:eastAsia="en-GB"/>
      </w:rPr>
      <w:drawing>
        <wp:anchor distT="0" distB="0" distL="114300" distR="114300" simplePos="0" relativeHeight="251659264" behindDoc="1" locked="0" layoutInCell="1" allowOverlap="1" wp14:anchorId="24A40027" wp14:editId="42A6A498">
          <wp:simplePos x="0" y="0"/>
          <wp:positionH relativeFrom="column">
            <wp:posOffset>-788670</wp:posOffset>
          </wp:positionH>
          <wp:positionV relativeFrom="paragraph">
            <wp:posOffset>-203530</wp:posOffset>
          </wp:positionV>
          <wp:extent cx="7557135" cy="68572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283F47">
      <w:rPr>
        <w:rFonts w:ascii="Segoe UI" w:hAnsi="Segoe UI" w:cs="Segoe UI"/>
        <w:color w:val="FFFFFF" w:themeColor="background1"/>
      </w:rPr>
      <w:t>Compliance</w:t>
    </w:r>
    <w:r w:rsidRPr="00283F47">
      <w:rPr>
        <w:rFonts w:ascii="Segoe UI" w:hAnsi="Segoe UI" w:cs="Segoe UI"/>
        <w:color w:val="7F7F7F" w:themeColor="text1" w:themeTint="80"/>
        <w:sz w:val="18"/>
      </w:rPr>
      <w:tab/>
    </w:r>
    <w:r w:rsidRPr="00283F47">
      <w:rPr>
        <w:rFonts w:ascii="Segoe UI" w:hAnsi="Segoe UI" w:cs="Segoe UI"/>
        <w:color w:val="7F7F7F" w:themeColor="text1" w:themeTint="80"/>
        <w:sz w:val="18"/>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0A008" w14:textId="77777777" w:rsidR="003C7C88" w:rsidRDefault="003C7C8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8F0AF" w14:textId="77777777" w:rsidR="003C7C88" w:rsidRDefault="003C7C8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8DA6" w14:textId="77777777" w:rsidR="003C7C88" w:rsidRPr="00283F47"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sidRPr="00283F47">
      <w:rPr>
        <w:rFonts w:ascii="Segoe UI" w:hAnsi="Segoe UI" w:cs="Segoe UI"/>
        <w:noProof/>
        <w:lang w:val="en-GB" w:eastAsia="en-GB"/>
      </w:rPr>
      <w:drawing>
        <wp:anchor distT="0" distB="0" distL="114300" distR="114300" simplePos="0" relativeHeight="251668480" behindDoc="1" locked="0" layoutInCell="1" allowOverlap="1" wp14:anchorId="0E053F8D" wp14:editId="7A63C003">
          <wp:simplePos x="0" y="0"/>
          <wp:positionH relativeFrom="page">
            <wp:posOffset>15875</wp:posOffset>
          </wp:positionH>
          <wp:positionV relativeFrom="page">
            <wp:posOffset>100169</wp:posOffset>
          </wp:positionV>
          <wp:extent cx="7559675" cy="687070"/>
          <wp:effectExtent l="0" t="0" r="3175" b="0"/>
          <wp:wrapNone/>
          <wp:docPr id="19" name="Picture 19" descr="C:\Users\Sean\AppData\Local\Microsoft\Windows\INetCache\Content.Word\PTVH2297-E TFV Corporate Templates_A4 Word Report Document_v3_F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PTVH2297-E TFV Corporate Templates_A4 Word Report Document_v3_FA_Page_09.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67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F47">
      <w:rPr>
        <w:rFonts w:ascii="Segoe UI" w:hAnsi="Segoe UI" w:cs="Segoe UI"/>
        <w:color w:val="FFFFFF" w:themeColor="background1"/>
      </w:rPr>
      <w:t>Authority to Charge Fees</w:t>
    </w:r>
    <w:r>
      <w:rPr>
        <w:rFonts w:ascii="Segoe UI" w:hAnsi="Segoe UI" w:cs="Segoe UI"/>
        <w:noProof/>
      </w:rPr>
      <w:pict w14:anchorId="5FCA31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6" type="#_x0000_t136" style="position:absolute;margin-left:0;margin-top:0;width:479.6pt;height:191.85pt;rotation:315;z-index:-251365888;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283F47">
      <w:rPr>
        <w:rFonts w:ascii="Segoe UI" w:hAnsi="Segoe UI" w:cs="Segoe UI"/>
        <w:color w:val="7F7F7F" w:themeColor="text1" w:themeTint="80"/>
        <w:sz w:val="18"/>
      </w:rPr>
      <w:tab/>
    </w:r>
    <w:r w:rsidRPr="00283F47">
      <w:rPr>
        <w:rFonts w:ascii="Segoe UI" w:hAnsi="Segoe UI" w:cs="Segoe UI"/>
        <w:color w:val="7F7F7F" w:themeColor="text1" w:themeTint="80"/>
        <w:sz w:val="18"/>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C5486" w14:textId="77777777" w:rsidR="003C7C88" w:rsidRDefault="003C7C8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4A1D" w14:textId="77777777" w:rsidR="003C7C88" w:rsidRDefault="003C7C8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90FFF" w14:textId="77777777" w:rsidR="003C7C88" w:rsidRPr="00283F47"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sidRPr="00283F47">
      <w:rPr>
        <w:rFonts w:ascii="Segoe UI" w:hAnsi="Segoe UI" w:cs="Segoe UI"/>
        <w:noProof/>
        <w:lang w:val="en-GB" w:eastAsia="en-GB"/>
      </w:rPr>
      <w:drawing>
        <wp:anchor distT="0" distB="0" distL="114300" distR="114300" simplePos="0" relativeHeight="251669504" behindDoc="1" locked="0" layoutInCell="1" allowOverlap="1" wp14:anchorId="6AD3D95A" wp14:editId="5C465079">
          <wp:simplePos x="0" y="0"/>
          <wp:positionH relativeFrom="page">
            <wp:posOffset>15875</wp:posOffset>
          </wp:positionH>
          <wp:positionV relativeFrom="page">
            <wp:posOffset>100169</wp:posOffset>
          </wp:positionV>
          <wp:extent cx="7559675" cy="687070"/>
          <wp:effectExtent l="0" t="0" r="3175" b="0"/>
          <wp:wrapNone/>
          <wp:docPr id="21" name="Picture 21" descr="C:\Users\Sean\AppData\Local\Microsoft\Windows\INetCache\Content.Word\PTVH2297-E TFV Corporate Templates_A4 Word Report Document_v3_F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PTVH2297-E TFV Corporate Templates_A4 Word Report Document_v3_FA_Page_09.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67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F47">
      <w:rPr>
        <w:rFonts w:ascii="Segoe UI" w:hAnsi="Segoe UI" w:cs="Segoe UI"/>
        <w:color w:val="FFFFFF" w:themeColor="background1"/>
      </w:rPr>
      <w:t>Cost Recovery</w:t>
    </w:r>
    <w:r>
      <w:rPr>
        <w:rFonts w:ascii="Segoe UI" w:hAnsi="Segoe UI" w:cs="Segoe UI"/>
        <w:noProof/>
      </w:rPr>
      <w:pict w14:anchorId="108A1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7" type="#_x0000_t136" style="position:absolute;margin-left:0;margin-top:0;width:479.6pt;height:191.85pt;rotation:315;z-index:-251363840;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283F47">
      <w:rPr>
        <w:rFonts w:ascii="Segoe UI" w:hAnsi="Segoe UI" w:cs="Segoe UI"/>
        <w:color w:val="7F7F7F" w:themeColor="text1" w:themeTint="80"/>
        <w:sz w:val="18"/>
      </w:rPr>
      <w:tab/>
    </w:r>
    <w:r w:rsidRPr="00283F47">
      <w:rPr>
        <w:rFonts w:ascii="Segoe UI" w:hAnsi="Segoe UI" w:cs="Segoe UI"/>
        <w:color w:val="7F7F7F" w:themeColor="text1" w:themeTint="80"/>
        <w:sz w:val="18"/>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431A" w14:textId="77777777" w:rsidR="003C7C88" w:rsidRDefault="003C7C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4E7D2" w14:textId="77777777" w:rsidR="003C7C88" w:rsidRPr="006B0664" w:rsidRDefault="003C7C88" w:rsidP="002B2D89">
    <w:pPr>
      <w:pStyle w:val="Header"/>
      <w:rPr>
        <w:b/>
        <w:color w:val="7F7F7F" w:themeColor="text1" w:themeTint="80"/>
        <w:sz w:val="18"/>
      </w:rPr>
    </w:pPr>
    <w:r w:rsidRPr="006B0664">
      <w:rPr>
        <w:b/>
        <w:noProof/>
        <w:color w:val="7F7F7F" w:themeColor="text1" w:themeTint="80"/>
        <w:sz w:val="18"/>
        <w:lang w:val="en-GB" w:eastAsia="en-GB"/>
      </w:rPr>
      <w:drawing>
        <wp:anchor distT="0" distB="0" distL="114300" distR="114300" simplePos="0" relativeHeight="251643904" behindDoc="0" locked="0" layoutInCell="1" allowOverlap="1" wp14:anchorId="525C674A" wp14:editId="3DF3616B">
          <wp:simplePos x="0" y="0"/>
          <wp:positionH relativeFrom="page">
            <wp:posOffset>5674995</wp:posOffset>
          </wp:positionH>
          <wp:positionV relativeFrom="paragraph">
            <wp:posOffset>-4445</wp:posOffset>
          </wp:positionV>
          <wp:extent cx="1101600" cy="252000"/>
          <wp:effectExtent l="0" t="0" r="0" b="0"/>
          <wp:wrapNone/>
          <wp:docPr id="1" name="Picture 1" descr="VicRoa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cRoads_Logo_RGB"/>
                  <pic:cNvPicPr>
                    <a:picLocks noChangeAspect="1" noChangeArrowheads="1"/>
                  </pic:cNvPicPr>
                </pic:nvPicPr>
                <pic:blipFill>
                  <a:blip r:embed="rId1"/>
                  <a:srcRect/>
                  <a:stretch>
                    <a:fillRect/>
                  </a:stretch>
                </pic:blipFill>
                <pic:spPr bwMode="auto">
                  <a:xfrm>
                    <a:off x="0" y="0"/>
                    <a:ext cx="1101600" cy="252000"/>
                  </a:xfrm>
                  <a:prstGeom prst="rect">
                    <a:avLst/>
                  </a:prstGeom>
                  <a:noFill/>
                </pic:spPr>
              </pic:pic>
            </a:graphicData>
          </a:graphic>
        </wp:anchor>
      </w:drawing>
    </w:r>
    <w:r>
      <w:rPr>
        <w:noProof/>
      </w:rPr>
      <w:pict w14:anchorId="3CED1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7" type="#_x0000_t136" style="position:absolute;margin-left:0;margin-top:0;width:479.6pt;height:191.85pt;rotation:315;z-index:-251560448;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6B0664">
      <w:rPr>
        <w:b/>
        <w:color w:val="7F7F7F" w:themeColor="text1" w:themeTint="80"/>
        <w:sz w:val="18"/>
      </w:rPr>
      <w:t xml:space="preserve">Road Safety (Drivers) </w:t>
    </w:r>
    <w:r>
      <w:rPr>
        <w:b/>
        <w:color w:val="7F7F7F" w:themeColor="text1" w:themeTint="80"/>
        <w:sz w:val="18"/>
      </w:rPr>
      <w:t>Regulations 2019</w:t>
    </w:r>
    <w:r w:rsidRPr="006B0664">
      <w:rPr>
        <w:b/>
        <w:color w:val="7F7F7F" w:themeColor="text1" w:themeTint="80"/>
        <w:sz w:val="18"/>
      </w:rPr>
      <w:t xml:space="preserve"> </w:t>
    </w:r>
  </w:p>
  <w:p w14:paraId="7BDE2A3E" w14:textId="77777777" w:rsidR="003C7C88" w:rsidRPr="006B0664" w:rsidRDefault="003C7C88" w:rsidP="002B2D89">
    <w:pPr>
      <w:pStyle w:val="Header"/>
      <w:pBdr>
        <w:bottom w:val="single" w:sz="4" w:space="3" w:color="2A8737" w:themeColor="accent1" w:themeShade="BF"/>
      </w:pBdr>
      <w:rPr>
        <w:color w:val="7F7F7F" w:themeColor="text1" w:themeTint="80"/>
        <w:sz w:val="18"/>
      </w:rPr>
    </w:pPr>
    <w:r w:rsidRPr="006B0664">
      <w:rPr>
        <w:color w:val="7F7F7F" w:themeColor="text1" w:themeTint="80"/>
        <w:sz w:val="18"/>
      </w:rPr>
      <w:t>Regulatory Impact Statement</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4099" w14:textId="77777777" w:rsidR="003C7C88" w:rsidRDefault="003C7C8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DAE0B" w14:textId="77777777" w:rsidR="003C7C88" w:rsidRPr="00283F47"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sidRPr="00283F47">
      <w:rPr>
        <w:rFonts w:ascii="Segoe UI" w:hAnsi="Segoe UI" w:cs="Segoe UI"/>
        <w:noProof/>
        <w:lang w:val="en-GB" w:eastAsia="en-GB"/>
      </w:rPr>
      <w:drawing>
        <wp:anchor distT="0" distB="0" distL="114300" distR="114300" simplePos="0" relativeHeight="251670528" behindDoc="1" locked="0" layoutInCell="1" allowOverlap="1" wp14:anchorId="1CE1CC8A" wp14:editId="1D70913E">
          <wp:simplePos x="0" y="0"/>
          <wp:positionH relativeFrom="page">
            <wp:posOffset>15875</wp:posOffset>
          </wp:positionH>
          <wp:positionV relativeFrom="page">
            <wp:posOffset>100169</wp:posOffset>
          </wp:positionV>
          <wp:extent cx="7559675" cy="687070"/>
          <wp:effectExtent l="0" t="0" r="3175" b="0"/>
          <wp:wrapNone/>
          <wp:docPr id="22" name="Picture 22" descr="C:\Users\Sean\AppData\Local\Microsoft\Windows\INetCache\Content.Word\PTVH2297-E TFV Corporate Templates_A4 Word Report Document_v3_F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PTVH2297-E TFV Corporate Templates_A4 Word Report Document_v3_FA_Page_09.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67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F47">
      <w:rPr>
        <w:rFonts w:ascii="Segoe UI" w:hAnsi="Segoe UI" w:cs="Segoe UI"/>
        <w:color w:val="FFFFFF" w:themeColor="background1"/>
      </w:rPr>
      <w:t>Efficient Delivery of Services</w:t>
    </w:r>
    <w:r>
      <w:rPr>
        <w:rFonts w:ascii="Segoe UI" w:hAnsi="Segoe UI" w:cs="Segoe UI"/>
        <w:noProof/>
      </w:rPr>
      <w:pict w14:anchorId="0280B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8" type="#_x0000_t136" style="position:absolute;margin-left:0;margin-top:0;width:479.6pt;height:191.85pt;rotation:315;z-index:-251361792;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283F47">
      <w:rPr>
        <w:rFonts w:ascii="Segoe UI" w:hAnsi="Segoe UI" w:cs="Segoe UI"/>
        <w:color w:val="7F7F7F" w:themeColor="text1" w:themeTint="80"/>
        <w:sz w:val="18"/>
      </w:rPr>
      <w:tab/>
    </w:r>
    <w:r w:rsidRPr="00283F47">
      <w:rPr>
        <w:rFonts w:ascii="Segoe UI" w:hAnsi="Segoe UI" w:cs="Segoe UI"/>
        <w:color w:val="7F7F7F" w:themeColor="text1" w:themeTint="80"/>
        <w:sz w:val="18"/>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E0B41" w14:textId="77777777" w:rsidR="003C7C88" w:rsidRDefault="003C7C8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3400" w14:textId="77777777" w:rsidR="003C7C88" w:rsidRDefault="003C7C8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9A333"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sidRPr="007B7F56">
      <w:rPr>
        <w:rFonts w:ascii="Segoe UI" w:hAnsi="Segoe UI" w:cs="Segoe UI"/>
        <w:noProof/>
        <w:lang w:val="en-GB" w:eastAsia="en-GB"/>
      </w:rPr>
      <w:drawing>
        <wp:anchor distT="0" distB="0" distL="114300" distR="114300" simplePos="0" relativeHeight="251671552" behindDoc="1" locked="0" layoutInCell="1" allowOverlap="1" wp14:anchorId="52E1C036" wp14:editId="3997C863">
          <wp:simplePos x="0" y="0"/>
          <wp:positionH relativeFrom="page">
            <wp:posOffset>15875</wp:posOffset>
          </wp:positionH>
          <wp:positionV relativeFrom="page">
            <wp:posOffset>92871</wp:posOffset>
          </wp:positionV>
          <wp:extent cx="7559675" cy="687070"/>
          <wp:effectExtent l="0" t="0" r="3175" b="0"/>
          <wp:wrapNone/>
          <wp:docPr id="23" name="Picture 23" descr="C:\Users\Sean\AppData\Local\Microsoft\Windows\INetCache\Content.Word\PTVH2297-E TFV Corporate Templates_A4 Word Report Document_v3_F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PTVH2297-E TFV Corporate Templates_A4 Word Report Document_v3_FA_Page_09.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67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7F56">
      <w:rPr>
        <w:rFonts w:ascii="Segoe UI" w:hAnsi="Segoe UI" w:cs="Segoe UI"/>
        <w:color w:val="FFFFFF" w:themeColor="background1"/>
      </w:rPr>
      <w:t>Regulated Fee Activities and Other Activities</w:t>
    </w:r>
    <w:r>
      <w:rPr>
        <w:rFonts w:ascii="Segoe UI" w:hAnsi="Segoe UI" w:cs="Segoe UI"/>
        <w:noProof/>
      </w:rPr>
      <w:pict w14:anchorId="0EEF3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0" type="#_x0000_t136" style="position:absolute;margin-left:0;margin-top:0;width:479.6pt;height:191.85pt;rotation:315;z-index:-251357696;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7B7F56">
      <w:rPr>
        <w:rFonts w:ascii="Segoe UI" w:hAnsi="Segoe UI" w:cs="Segoe UI"/>
        <w:color w:val="7F7F7F" w:themeColor="text1" w:themeTint="80"/>
        <w:sz w:val="18"/>
      </w:rPr>
      <w:tab/>
    </w:r>
    <w:r w:rsidRPr="007B7F56">
      <w:rPr>
        <w:rFonts w:ascii="Segoe UI" w:hAnsi="Segoe UI" w:cs="Segoe UI"/>
        <w:color w:val="7F7F7F" w:themeColor="text1" w:themeTint="80"/>
        <w:sz w:val="18"/>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FEFE" w14:textId="77777777" w:rsidR="003C7C88" w:rsidRDefault="003C7C8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2205" w14:textId="77777777" w:rsidR="003C7C88" w:rsidRDefault="003C7C8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46A15"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sidRPr="007B7F56">
      <w:rPr>
        <w:rFonts w:ascii="Segoe UI" w:hAnsi="Segoe UI" w:cs="Segoe UI"/>
        <w:noProof/>
        <w:lang w:val="en-GB" w:eastAsia="en-GB"/>
      </w:rPr>
      <w:drawing>
        <wp:anchor distT="0" distB="0" distL="114300" distR="114300" simplePos="0" relativeHeight="251672576" behindDoc="1" locked="0" layoutInCell="1" allowOverlap="1" wp14:anchorId="0B67D549" wp14:editId="296DF8EF">
          <wp:simplePos x="0" y="0"/>
          <wp:positionH relativeFrom="page">
            <wp:posOffset>15875</wp:posOffset>
          </wp:positionH>
          <wp:positionV relativeFrom="page">
            <wp:posOffset>100169</wp:posOffset>
          </wp:positionV>
          <wp:extent cx="7559675" cy="687070"/>
          <wp:effectExtent l="0" t="0" r="3175" b="0"/>
          <wp:wrapNone/>
          <wp:docPr id="25" name="Picture 25" descr="C:\Users\Sean\AppData\Local\Microsoft\Windows\INetCache\Content.Word\PTVH2297-E TFV Corporate Templates_A4 Word Report Document_v3_F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PTVH2297-E TFV Corporate Templates_A4 Word Report Document_v3_FA_Page_09.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67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7F56">
      <w:rPr>
        <w:rFonts w:ascii="Segoe UI" w:hAnsi="Segoe UI" w:cs="Segoe UI"/>
        <w:color w:val="FFFFFF" w:themeColor="background1"/>
      </w:rPr>
      <w:t>Cost Recovery Assessment Approach</w:t>
    </w:r>
    <w:r>
      <w:rPr>
        <w:rFonts w:ascii="Segoe UI" w:hAnsi="Segoe UI" w:cs="Segoe UI"/>
        <w:noProof/>
      </w:rPr>
      <w:pict w14:anchorId="7AF3B1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1" type="#_x0000_t136" style="position:absolute;margin-left:0;margin-top:0;width:479.6pt;height:191.85pt;rotation:315;z-index:-251355648;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7B7F56">
      <w:rPr>
        <w:rFonts w:ascii="Segoe UI" w:hAnsi="Segoe UI" w:cs="Segoe UI"/>
        <w:color w:val="7F7F7F" w:themeColor="text1" w:themeTint="80"/>
        <w:sz w:val="18"/>
      </w:rPr>
      <w:tab/>
    </w:r>
    <w:r w:rsidRPr="007B7F56">
      <w:rPr>
        <w:rFonts w:ascii="Segoe UI" w:hAnsi="Segoe UI" w:cs="Segoe UI"/>
        <w:color w:val="7F7F7F" w:themeColor="text1" w:themeTint="80"/>
        <w:sz w:val="18"/>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0AB5C" w14:textId="77777777" w:rsidR="003C7C88" w:rsidRDefault="003C7C8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A6368" w14:textId="77777777" w:rsidR="003C7C88" w:rsidRDefault="003C7C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AC7C" w14:textId="77777777" w:rsidR="003C7C88" w:rsidRPr="00BB3DFB" w:rsidRDefault="003C7C88" w:rsidP="00D8322D">
    <w:pPr>
      <w:pStyle w:val="Header"/>
      <w:tabs>
        <w:tab w:val="clear" w:pos="4513"/>
        <w:tab w:val="clear" w:pos="9026"/>
        <w:tab w:val="left" w:pos="1698"/>
        <w:tab w:val="left" w:pos="2096"/>
      </w:tabs>
      <w:rPr>
        <w:rFonts w:ascii="Segoe UI" w:hAnsi="Segoe UI" w:cs="Segoe UI"/>
        <w:color w:val="FFFFFF" w:themeColor="background1"/>
        <w:sz w:val="18"/>
      </w:rPr>
    </w:pPr>
    <w:r>
      <w:rPr>
        <w:noProof/>
        <w:lang w:val="en-GB" w:eastAsia="en-GB"/>
      </w:rPr>
      <w:drawing>
        <wp:anchor distT="0" distB="0" distL="114300" distR="114300" simplePos="0" relativeHeight="251646976" behindDoc="1" locked="0" layoutInCell="1" allowOverlap="1" wp14:anchorId="6D8D95D1" wp14:editId="6BB95D9F">
          <wp:simplePos x="0" y="0"/>
          <wp:positionH relativeFrom="column">
            <wp:posOffset>-781050</wp:posOffset>
          </wp:positionH>
          <wp:positionV relativeFrom="paragraph">
            <wp:posOffset>-238125</wp:posOffset>
          </wp:positionV>
          <wp:extent cx="7557135" cy="68572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BB3DFB">
      <w:rPr>
        <w:rFonts w:ascii="Segoe UI" w:hAnsi="Segoe UI" w:cs="Segoe UI"/>
        <w:color w:val="FFFFFF" w:themeColor="background1"/>
        <w:sz w:val="18"/>
      </w:rP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33F4"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Cs w:val="20"/>
      </w:rPr>
    </w:pPr>
    <w:r w:rsidRPr="007B7F56">
      <w:rPr>
        <w:rFonts w:ascii="Segoe UI" w:hAnsi="Segoe UI" w:cs="Segoe UI"/>
        <w:noProof/>
        <w:szCs w:val="20"/>
        <w:lang w:val="en-GB" w:eastAsia="en-GB"/>
      </w:rPr>
      <w:drawing>
        <wp:anchor distT="0" distB="0" distL="114300" distR="114300" simplePos="0" relativeHeight="251673600" behindDoc="1" locked="0" layoutInCell="1" allowOverlap="1" wp14:anchorId="71DF23B0" wp14:editId="18691BF0">
          <wp:simplePos x="0" y="0"/>
          <wp:positionH relativeFrom="page">
            <wp:posOffset>15875</wp:posOffset>
          </wp:positionH>
          <wp:positionV relativeFrom="page">
            <wp:posOffset>100169</wp:posOffset>
          </wp:positionV>
          <wp:extent cx="7559675" cy="687070"/>
          <wp:effectExtent l="0" t="0" r="3175" b="0"/>
          <wp:wrapNone/>
          <wp:docPr id="26" name="Picture 26" descr="C:\Users\Sean\AppData\Local\Microsoft\Windows\INetCache\Content.Word\PTVH2297-E TFV Corporate Templates_A4 Word Report Document_v3_F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PTVH2297-E TFV Corporate Templates_A4 Word Report Document_v3_FA_Page_09.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67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7F56">
      <w:rPr>
        <w:rFonts w:ascii="Segoe UI" w:hAnsi="Segoe UI" w:cs="Segoe UI"/>
        <w:color w:val="FFFFFF" w:themeColor="background1"/>
        <w:szCs w:val="20"/>
      </w:rPr>
      <w:t>Services Groups Cost Recovery Appraisal</w:t>
    </w:r>
    <w:r>
      <w:rPr>
        <w:rFonts w:ascii="Segoe UI" w:hAnsi="Segoe UI" w:cs="Segoe UI"/>
        <w:noProof/>
        <w:szCs w:val="20"/>
      </w:rPr>
      <w:pict w14:anchorId="13618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2" type="#_x0000_t136" style="position:absolute;margin-left:0;margin-top:0;width:479.6pt;height:191.85pt;rotation:315;z-index:-251353600;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7B7F56">
      <w:rPr>
        <w:rFonts w:ascii="Segoe UI" w:hAnsi="Segoe UI" w:cs="Segoe UI"/>
        <w:color w:val="7F7F7F" w:themeColor="text1" w:themeTint="80"/>
        <w:szCs w:val="20"/>
      </w:rPr>
      <w:tab/>
    </w:r>
    <w:r w:rsidRPr="007B7F56">
      <w:rPr>
        <w:rFonts w:ascii="Segoe UI" w:hAnsi="Segoe UI" w:cs="Segoe UI"/>
        <w:color w:val="7F7F7F" w:themeColor="text1" w:themeTint="80"/>
        <w:szCs w:val="20"/>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B33E5" w14:textId="77777777" w:rsidR="003C7C88" w:rsidRDefault="003C7C8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4AE93" w14:textId="77777777" w:rsidR="003C7C88" w:rsidRDefault="003C7C8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8F5D4"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sidRPr="007B7F56">
      <w:rPr>
        <w:rFonts w:ascii="Segoe UI" w:hAnsi="Segoe UI" w:cs="Segoe UI"/>
        <w:noProof/>
        <w:lang w:val="en-GB" w:eastAsia="en-GB"/>
      </w:rPr>
      <w:drawing>
        <wp:anchor distT="0" distB="0" distL="114300" distR="114300" simplePos="0" relativeHeight="251674624" behindDoc="1" locked="0" layoutInCell="1" allowOverlap="1" wp14:anchorId="1FE6A504" wp14:editId="6E55462B">
          <wp:simplePos x="0" y="0"/>
          <wp:positionH relativeFrom="page">
            <wp:posOffset>15875</wp:posOffset>
          </wp:positionH>
          <wp:positionV relativeFrom="page">
            <wp:posOffset>100169</wp:posOffset>
          </wp:positionV>
          <wp:extent cx="7559675" cy="687070"/>
          <wp:effectExtent l="0" t="0" r="3175" b="0"/>
          <wp:wrapNone/>
          <wp:docPr id="29" name="Picture 29" descr="C:\Users\Sean\AppData\Local\Microsoft\Windows\INetCache\Content.Word\PTVH2297-E TFV Corporate Templates_A4 Word Report Document_v3_F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PTVH2297-E TFV Corporate Templates_A4 Word Report Document_v3_FA_Page_09.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67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7F56">
      <w:rPr>
        <w:rFonts w:ascii="Segoe UI" w:hAnsi="Segoe UI" w:cs="Segoe UI"/>
        <w:color w:val="FFFFFF" w:themeColor="background1"/>
      </w:rPr>
      <w:t>Annual Cost Recovery: FY19/20 to FY22/23 Average</w:t>
    </w:r>
    <w:r>
      <w:rPr>
        <w:rFonts w:ascii="Segoe UI" w:hAnsi="Segoe UI" w:cs="Segoe UI"/>
        <w:noProof/>
      </w:rPr>
      <w:pict w14:anchorId="5871D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4" type="#_x0000_t136" style="position:absolute;margin-left:0;margin-top:0;width:479.6pt;height:191.85pt;rotation:315;z-index:-251349504;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7B7F56">
      <w:rPr>
        <w:rFonts w:ascii="Segoe UI" w:hAnsi="Segoe UI" w:cs="Segoe UI"/>
        <w:color w:val="7F7F7F" w:themeColor="text1" w:themeTint="80"/>
        <w:sz w:val="18"/>
      </w:rPr>
      <w:tab/>
    </w:r>
    <w:r w:rsidRPr="007B7F56">
      <w:rPr>
        <w:rFonts w:ascii="Segoe UI" w:hAnsi="Segoe UI" w:cs="Segoe UI"/>
        <w:color w:val="7F7F7F" w:themeColor="text1" w:themeTint="80"/>
        <w:sz w:val="18"/>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104E" w14:textId="77777777" w:rsidR="003C7C88" w:rsidRDefault="003C7C8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A176D" w14:textId="77777777" w:rsidR="003C7C88" w:rsidRDefault="003C7C8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0C2BD"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Pr>
        <w:noProof/>
        <w:lang w:val="en-GB" w:eastAsia="en-GB"/>
      </w:rPr>
      <w:drawing>
        <wp:anchor distT="0" distB="0" distL="114300" distR="114300" simplePos="0" relativeHeight="251660288" behindDoc="1" locked="0" layoutInCell="1" allowOverlap="1" wp14:anchorId="224E62B7" wp14:editId="342DD78E">
          <wp:simplePos x="0" y="0"/>
          <wp:positionH relativeFrom="column">
            <wp:posOffset>-789635</wp:posOffset>
          </wp:positionH>
          <wp:positionV relativeFrom="paragraph">
            <wp:posOffset>-204470</wp:posOffset>
          </wp:positionV>
          <wp:extent cx="7557135" cy="68572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7B7F56">
      <w:rPr>
        <w:rStyle w:val="Strong"/>
        <w:rFonts w:eastAsiaTheme="minorHAnsi"/>
        <w:b w:val="0"/>
        <w:bCs w:val="0"/>
        <w:color w:val="FFFFFF" w:themeColor="background1"/>
        <w:sz w:val="20"/>
        <w:szCs w:val="22"/>
      </w:rPr>
      <w:t xml:space="preserve">Implementation </w:t>
    </w:r>
    <w:r w:rsidRPr="007B7F56">
      <w:rPr>
        <w:rFonts w:ascii="Segoe UI" w:hAnsi="Segoe UI" w:cs="Segoe UI"/>
        <w:color w:val="7F7F7F" w:themeColor="text1" w:themeTint="80"/>
        <w:sz w:val="18"/>
      </w:rPr>
      <w:tab/>
    </w:r>
    <w:r w:rsidRPr="007B7F56">
      <w:rPr>
        <w:rFonts w:ascii="Segoe UI" w:hAnsi="Segoe UI" w:cs="Segoe UI"/>
        <w:color w:val="7F7F7F" w:themeColor="text1" w:themeTint="80"/>
        <w:sz w:val="18"/>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8C4F" w14:textId="77777777" w:rsidR="003C7C88" w:rsidRDefault="003C7C8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67CDB" w14:textId="77777777" w:rsidR="003C7C88" w:rsidRDefault="003C7C8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B142D"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Pr>
        <w:noProof/>
        <w:lang w:val="en-GB" w:eastAsia="en-GB"/>
      </w:rPr>
      <w:drawing>
        <wp:anchor distT="0" distB="0" distL="114300" distR="114300" simplePos="0" relativeHeight="251661312" behindDoc="1" locked="0" layoutInCell="1" allowOverlap="1" wp14:anchorId="5DB32A97" wp14:editId="3D75D20D">
          <wp:simplePos x="0" y="0"/>
          <wp:positionH relativeFrom="column">
            <wp:posOffset>-789305</wp:posOffset>
          </wp:positionH>
          <wp:positionV relativeFrom="paragraph">
            <wp:posOffset>-219380</wp:posOffset>
          </wp:positionV>
          <wp:extent cx="7557135" cy="685725"/>
          <wp:effectExtent l="0" t="0" r="0" b="6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7B7F56">
      <w:rPr>
        <w:rFonts w:ascii="Segoe UI" w:hAnsi="Segoe UI" w:cs="Segoe UI"/>
        <w:color w:val="FFFFFF" w:themeColor="background1"/>
      </w:rPr>
      <w:t xml:space="preserve">Evaluation </w:t>
    </w:r>
    <w:r w:rsidRPr="007B7F56">
      <w:rPr>
        <w:rFonts w:ascii="Segoe UI" w:hAnsi="Segoe UI" w:cs="Segoe UI"/>
        <w:color w:val="7F7F7F" w:themeColor="text1" w:themeTint="80"/>
        <w:sz w:val="18"/>
      </w:rPr>
      <w:tab/>
    </w:r>
    <w:r w:rsidRPr="007B7F56">
      <w:rPr>
        <w:rFonts w:ascii="Segoe UI" w:hAnsi="Segoe UI" w:cs="Segoe UI"/>
        <w:color w:val="7F7F7F" w:themeColor="text1" w:themeTint="80"/>
        <w:sz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D0DCF" w14:textId="77777777" w:rsidR="003C7C88" w:rsidRPr="008C00E1" w:rsidRDefault="003C7C88" w:rsidP="008C00E1">
    <w:pPr>
      <w:pStyle w:val="Header"/>
    </w:pPr>
    <w:r>
      <w:rPr>
        <w:noProof/>
        <w:lang w:val="en-GB" w:eastAsia="en-GB"/>
      </w:rPr>
      <w:drawing>
        <wp:anchor distT="0" distB="0" distL="114300" distR="114300" simplePos="0" relativeHeight="251644928" behindDoc="1" locked="0" layoutInCell="1" allowOverlap="1" wp14:anchorId="41498FC7" wp14:editId="3E1D983D">
          <wp:simplePos x="0" y="0"/>
          <wp:positionH relativeFrom="page">
            <wp:posOffset>6350</wp:posOffset>
          </wp:positionH>
          <wp:positionV relativeFrom="page">
            <wp:posOffset>4606</wp:posOffset>
          </wp:positionV>
          <wp:extent cx="7560000" cy="687600"/>
          <wp:effectExtent l="0" t="0" r="3175" b="0"/>
          <wp:wrapNone/>
          <wp:docPr id="5" name="Picture 5" descr="C:\Users\Sean\AppData\Local\Microsoft\Windows\INetCache\Content.Word\PTVH2297-E TFV Corporate Templates_A4 Word Report Document_v3_F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PTVH2297-E TFV Corporate Templates_A4 Word Report Document_v3_FA_Page_09.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60000" cy="68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402C5" w14:textId="77777777" w:rsidR="003C7C88" w:rsidRDefault="003C7C8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C69B7" w14:textId="77777777" w:rsidR="003C7C88" w:rsidRDefault="003C7C8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053BC"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 w:val="18"/>
      </w:rPr>
    </w:pPr>
    <w:r>
      <w:rPr>
        <w:noProof/>
        <w:lang w:val="en-GB" w:eastAsia="en-GB"/>
      </w:rPr>
      <w:drawing>
        <wp:anchor distT="0" distB="0" distL="114300" distR="114300" simplePos="0" relativeHeight="251662336" behindDoc="1" locked="0" layoutInCell="1" allowOverlap="1" wp14:anchorId="6C08057A" wp14:editId="0AC70179">
          <wp:simplePos x="0" y="0"/>
          <wp:positionH relativeFrom="column">
            <wp:posOffset>-781380</wp:posOffset>
          </wp:positionH>
          <wp:positionV relativeFrom="paragraph">
            <wp:posOffset>-218440</wp:posOffset>
          </wp:positionV>
          <wp:extent cx="7557135" cy="685725"/>
          <wp:effectExtent l="0" t="0" r="0" b="6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Style w:val="Strong"/>
        <w:rFonts w:eastAsiaTheme="minorHAnsi"/>
        <w:b w:val="0"/>
        <w:bCs w:val="0"/>
        <w:color w:val="FFFFFF" w:themeColor="background1"/>
        <w:sz w:val="20"/>
        <w:szCs w:val="22"/>
      </w:rPr>
      <w:t>C</w:t>
    </w:r>
    <w:r w:rsidRPr="007B7F56">
      <w:rPr>
        <w:rStyle w:val="Strong"/>
        <w:rFonts w:eastAsiaTheme="minorHAnsi"/>
        <w:b w:val="0"/>
        <w:bCs w:val="0"/>
        <w:color w:val="FFFFFF" w:themeColor="background1"/>
        <w:sz w:val="20"/>
        <w:szCs w:val="22"/>
      </w:rPr>
      <w:t>onsultation</w:t>
    </w:r>
    <w:r w:rsidRPr="007B7F56">
      <w:rPr>
        <w:rFonts w:ascii="Segoe UI" w:hAnsi="Segoe UI" w:cs="Segoe UI"/>
        <w:color w:val="7F7F7F" w:themeColor="text1" w:themeTint="80"/>
        <w:sz w:val="18"/>
      </w:rPr>
      <w:tab/>
    </w:r>
    <w:r w:rsidRPr="007B7F56">
      <w:rPr>
        <w:rFonts w:ascii="Segoe UI" w:hAnsi="Segoe UI" w:cs="Segoe UI"/>
        <w:color w:val="7F7F7F" w:themeColor="text1" w:themeTint="80"/>
        <w:sz w:val="18"/>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1CB13" w14:textId="77777777" w:rsidR="003C7C88" w:rsidRDefault="003C7C8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9B01" w14:textId="77777777" w:rsidR="003C7C88" w:rsidRDefault="003C7C8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C5CF5"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Cs w:val="20"/>
      </w:rPr>
    </w:pPr>
    <w:r>
      <w:rPr>
        <w:noProof/>
        <w:lang w:val="en-GB" w:eastAsia="en-GB"/>
      </w:rPr>
      <w:drawing>
        <wp:anchor distT="0" distB="0" distL="114300" distR="114300" simplePos="0" relativeHeight="251663360" behindDoc="1" locked="0" layoutInCell="1" allowOverlap="1" wp14:anchorId="0F904505" wp14:editId="2CB47DED">
          <wp:simplePos x="0" y="0"/>
          <wp:positionH relativeFrom="column">
            <wp:posOffset>-788365</wp:posOffset>
          </wp:positionH>
          <wp:positionV relativeFrom="paragraph">
            <wp:posOffset>-212090</wp:posOffset>
          </wp:positionV>
          <wp:extent cx="7557135" cy="685725"/>
          <wp:effectExtent l="0" t="0" r="0" b="6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7B7F56">
      <w:rPr>
        <w:rFonts w:ascii="Segoe UI" w:hAnsi="Segoe UI" w:cs="Segoe UI"/>
        <w:color w:val="FFFFFF" w:themeColor="background1"/>
        <w:szCs w:val="20"/>
      </w:rPr>
      <w:t xml:space="preserve">Appendix A </w:t>
    </w:r>
    <w:r>
      <w:rPr>
        <w:rFonts w:ascii="Segoe UI" w:hAnsi="Segoe UI" w:cs="Segoe UI"/>
        <w:color w:val="FFFFFF" w:themeColor="background1"/>
        <w:szCs w:val="20"/>
      </w:rPr>
      <w:t>–</w:t>
    </w:r>
    <w:r w:rsidRPr="007B7F56">
      <w:rPr>
        <w:rFonts w:ascii="Segoe UI" w:hAnsi="Segoe UI" w:cs="Segoe UI"/>
        <w:color w:val="FFFFFF" w:themeColor="background1"/>
        <w:szCs w:val="20"/>
      </w:rPr>
      <w:t xml:space="preserve"> Amendments to </w:t>
    </w:r>
    <w:r w:rsidRPr="00956F81">
      <w:rPr>
        <w:rFonts w:ascii="Segoe UI" w:hAnsi="Segoe UI" w:cs="Segoe UI"/>
        <w:i/>
        <w:color w:val="FFFFFF" w:themeColor="background1"/>
        <w:szCs w:val="20"/>
      </w:rPr>
      <w:t>Road Safety Act</w:t>
    </w:r>
    <w:r w:rsidRPr="007B7F56">
      <w:rPr>
        <w:rFonts w:ascii="Segoe UI" w:hAnsi="Segoe UI" w:cs="Segoe UI"/>
        <w:color w:val="FFFFFF" w:themeColor="background1"/>
        <w:szCs w:val="20"/>
      </w:rPr>
      <w:t xml:space="preserve"> passed in 2017</w:t>
    </w:r>
    <w:r w:rsidRPr="007B7F56">
      <w:rPr>
        <w:rFonts w:ascii="Segoe UI" w:hAnsi="Segoe UI" w:cs="Segoe UI"/>
        <w:color w:val="FFFFFF" w:themeColor="background1"/>
        <w:szCs w:val="20"/>
      </w:rPr>
      <w:tab/>
    </w:r>
    <w:r w:rsidRPr="007B7F56">
      <w:rPr>
        <w:rFonts w:ascii="Segoe UI" w:hAnsi="Segoe UI" w:cs="Segoe UI"/>
        <w:color w:val="7F7F7F" w:themeColor="text1" w:themeTint="80"/>
        <w:szCs w:val="20"/>
      </w:rPr>
      <w:tab/>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E5050" w14:textId="77777777" w:rsidR="003C7C88" w:rsidRDefault="003C7C8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00C30" w14:textId="77777777" w:rsidR="003C7C88" w:rsidRDefault="003C7C8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1E393"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Cs w:val="20"/>
      </w:rPr>
    </w:pPr>
    <w:r>
      <w:rPr>
        <w:noProof/>
        <w:lang w:val="en-GB" w:eastAsia="en-GB"/>
      </w:rPr>
      <w:drawing>
        <wp:anchor distT="0" distB="0" distL="114300" distR="114300" simplePos="0" relativeHeight="251664384" behindDoc="1" locked="0" layoutInCell="1" allowOverlap="1" wp14:anchorId="234FADEA" wp14:editId="42CFA20E">
          <wp:simplePos x="0" y="0"/>
          <wp:positionH relativeFrom="column">
            <wp:posOffset>-789000</wp:posOffset>
          </wp:positionH>
          <wp:positionV relativeFrom="paragraph">
            <wp:posOffset>-212090</wp:posOffset>
          </wp:positionV>
          <wp:extent cx="7557135" cy="685725"/>
          <wp:effectExtent l="0" t="0" r="0" b="6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7B7F56">
      <w:rPr>
        <w:rFonts w:ascii="Segoe UI" w:hAnsi="Segoe UI" w:cs="Segoe UI"/>
        <w:color w:val="FFFFFF" w:themeColor="background1"/>
        <w:szCs w:val="20"/>
      </w:rPr>
      <w:t>Appendix B –</w:t>
    </w:r>
    <w:r>
      <w:rPr>
        <w:rFonts w:ascii="Segoe UI" w:hAnsi="Segoe UI" w:cs="Segoe UI"/>
        <w:color w:val="FFFFFF" w:themeColor="background1"/>
        <w:szCs w:val="20"/>
      </w:rPr>
      <w:t xml:space="preserve"> </w:t>
    </w:r>
    <w:r w:rsidRPr="007B7F56">
      <w:rPr>
        <w:rFonts w:ascii="Segoe UI" w:hAnsi="Segoe UI" w:cs="Segoe UI"/>
        <w:color w:val="FFFFFF" w:themeColor="background1"/>
        <w:szCs w:val="20"/>
      </w:rPr>
      <w:t>Relationship between regulations and legislation</w:t>
    </w:r>
    <w:r w:rsidRPr="007B7F56">
      <w:rPr>
        <w:rFonts w:ascii="Segoe UI" w:hAnsi="Segoe UI" w:cs="Segoe UI"/>
        <w:color w:val="7F7F7F" w:themeColor="text1" w:themeTint="80"/>
        <w:szCs w:val="20"/>
      </w:rPr>
      <w:tab/>
    </w:r>
    <w:r w:rsidRPr="007B7F56">
      <w:rPr>
        <w:rFonts w:ascii="Segoe UI" w:hAnsi="Segoe UI" w:cs="Segoe UI"/>
        <w:color w:val="7F7F7F" w:themeColor="text1" w:themeTint="80"/>
        <w:szCs w:val="20"/>
      </w:rPr>
      <w:tab/>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823B9" w14:textId="77777777" w:rsidR="003C7C88" w:rsidRDefault="003C7C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78580" w14:textId="77777777" w:rsidR="003C7C88" w:rsidRDefault="003C7C8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E449F" w14:textId="77777777" w:rsidR="003C7C88" w:rsidRPr="006B0664" w:rsidRDefault="003C7C88" w:rsidP="002B2D89">
    <w:pPr>
      <w:pStyle w:val="Header"/>
      <w:rPr>
        <w:b/>
        <w:color w:val="7F7F7F" w:themeColor="text1" w:themeTint="80"/>
        <w:sz w:val="18"/>
      </w:rPr>
    </w:pPr>
    <w:r>
      <w:rPr>
        <w:noProof/>
        <w:lang w:val="en-GB" w:eastAsia="en-GB"/>
      </w:rPr>
      <mc:AlternateContent>
        <mc:Choice Requires="wps">
          <w:drawing>
            <wp:anchor distT="0" distB="0" distL="114300" distR="114300" simplePos="0" relativeHeight="251639808" behindDoc="1" locked="0" layoutInCell="0" allowOverlap="1" wp14:anchorId="3288C7D5" wp14:editId="4466FA90">
              <wp:simplePos x="0" y="0"/>
              <wp:positionH relativeFrom="margin">
                <wp:align>center</wp:align>
              </wp:positionH>
              <wp:positionV relativeFrom="margin">
                <wp:align>center</wp:align>
              </wp:positionV>
              <wp:extent cx="6059170" cy="2423160"/>
              <wp:effectExtent l="0" t="1605280" r="0" b="1276985"/>
              <wp:wrapNone/>
              <wp:docPr id="13"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59170" cy="2423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E22ED1" w14:textId="77777777" w:rsidR="003C7C88" w:rsidRDefault="003C7C88" w:rsidP="002B2D89">
                          <w:pPr>
                            <w:pStyle w:val="NormalWeb"/>
                            <w:spacing w:before="0" w:beforeAutospacing="0" w:after="0" w:afterAutospacing="0"/>
                            <w:jc w:val="center"/>
                            <w:rPr>
                              <w:sz w:val="24"/>
                              <w:szCs w:val="24"/>
                            </w:rPr>
                          </w:pPr>
                          <w:r>
                            <w:rPr>
                              <w:rFonts w:ascii="Arial Rounded MT Bold" w:hAnsi="Arial Rounded MT Bold"/>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88C7D5" id="_x0000_t202" coordsize="21600,21600" o:spt="202" path="m,l,21600r21600,l21600,xe">
              <v:stroke joinstyle="miter"/>
              <v:path gradientshapeok="t" o:connecttype="rect"/>
            </v:shapetype>
            <v:shape id="WordArt 141" o:spid="_x0000_s1032" type="#_x0000_t202" style="position:absolute;margin-left:0;margin-top:0;width:477.1pt;height:190.8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" o:allowincell="f" filled="f" stroked="f">
              <v:stroke joinstyle="round"/>
              <o:lock v:ext="edit" shapetype="t"/>
              <v:textbox style="mso-fit-shape-to-text:t">
                <w:txbxContent>
                  <w:p w14:paraId="60E22ED1" w14:textId="77777777" w:rsidR="003C7C88" w:rsidRDefault="003C7C88" w:rsidP="002B2D89">
                    <w:pPr>
                      <w:pStyle w:val="NormalWeb"/>
                      <w:spacing w:before="0" w:beforeAutospacing="0" w:after="0" w:afterAutospacing="0"/>
                      <w:jc w:val="center"/>
                      <w:rPr>
                        <w:sz w:val="24"/>
                        <w:szCs w:val="24"/>
                      </w:rPr>
                    </w:pPr>
                    <w:r>
                      <w:rPr>
                        <w:rFonts w:ascii="Arial Rounded MT Bold" w:hAnsi="Arial Rounded MT Bold"/>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Pr="006B0664">
      <w:rPr>
        <w:b/>
        <w:noProof/>
        <w:color w:val="7F7F7F" w:themeColor="text1" w:themeTint="80"/>
        <w:sz w:val="18"/>
        <w:lang w:val="en-GB" w:eastAsia="en-GB"/>
      </w:rPr>
      <w:drawing>
        <wp:anchor distT="0" distB="0" distL="114300" distR="114300" simplePos="0" relativeHeight="251640832" behindDoc="0" locked="0" layoutInCell="1" allowOverlap="1" wp14:anchorId="3DA74B64" wp14:editId="56041671">
          <wp:simplePos x="0" y="0"/>
          <wp:positionH relativeFrom="page">
            <wp:posOffset>8676209</wp:posOffset>
          </wp:positionH>
          <wp:positionV relativeFrom="paragraph">
            <wp:posOffset>-229</wp:posOffset>
          </wp:positionV>
          <wp:extent cx="1101600" cy="252000"/>
          <wp:effectExtent l="0" t="0" r="0" b="0"/>
          <wp:wrapNone/>
          <wp:docPr id="83" name="Picture 83" descr="VicRoa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cRoads_Logo_RGB"/>
                  <pic:cNvPicPr>
                    <a:picLocks noChangeAspect="1" noChangeArrowheads="1"/>
                  </pic:cNvPicPr>
                </pic:nvPicPr>
                <pic:blipFill>
                  <a:blip r:embed="rId1"/>
                  <a:srcRect/>
                  <a:stretch>
                    <a:fillRect/>
                  </a:stretch>
                </pic:blipFill>
                <pic:spPr bwMode="auto">
                  <a:xfrm>
                    <a:off x="0" y="0"/>
                    <a:ext cx="1101600" cy="252000"/>
                  </a:xfrm>
                  <a:prstGeom prst="rect">
                    <a:avLst/>
                  </a:prstGeom>
                  <a:noFill/>
                </pic:spPr>
              </pic:pic>
            </a:graphicData>
          </a:graphic>
        </wp:anchor>
      </w:drawing>
    </w:r>
    <w:r w:rsidRPr="006B0664">
      <w:rPr>
        <w:b/>
        <w:color w:val="7F7F7F" w:themeColor="text1" w:themeTint="80"/>
        <w:sz w:val="18"/>
      </w:rPr>
      <w:t xml:space="preserve">Road Safety (Drivers) </w:t>
    </w:r>
    <w:r>
      <w:rPr>
        <w:b/>
        <w:color w:val="7F7F7F" w:themeColor="text1" w:themeTint="80"/>
        <w:sz w:val="18"/>
      </w:rPr>
      <w:t>Regulations 2019</w:t>
    </w:r>
    <w:r w:rsidRPr="006B0664">
      <w:rPr>
        <w:b/>
        <w:color w:val="7F7F7F" w:themeColor="text1" w:themeTint="80"/>
        <w:sz w:val="18"/>
      </w:rPr>
      <w:t xml:space="preserve"> </w:t>
    </w:r>
  </w:p>
  <w:p w14:paraId="664B3ED5" w14:textId="77777777" w:rsidR="003C7C88" w:rsidRPr="006B0664" w:rsidRDefault="003C7C88" w:rsidP="002B2D89">
    <w:pPr>
      <w:pStyle w:val="Header"/>
      <w:pBdr>
        <w:bottom w:val="single" w:sz="4" w:space="3" w:color="2A8737" w:themeColor="accent1" w:themeShade="BF"/>
      </w:pBdr>
      <w:rPr>
        <w:color w:val="7F7F7F" w:themeColor="text1" w:themeTint="80"/>
        <w:sz w:val="18"/>
      </w:rPr>
    </w:pPr>
    <w:r w:rsidRPr="006B0664">
      <w:rPr>
        <w:color w:val="7F7F7F" w:themeColor="text1" w:themeTint="80"/>
        <w:sz w:val="18"/>
      </w:rPr>
      <w:t>Regulatory Impact Statement</w:t>
    </w:r>
  </w:p>
  <w:p w14:paraId="6FB65E9F" w14:textId="77777777" w:rsidR="003C7C88" w:rsidRPr="00527DB4" w:rsidRDefault="003C7C88" w:rsidP="002B2D8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31599" w14:textId="77777777" w:rsidR="003C7C88" w:rsidRPr="007B7F56" w:rsidRDefault="003C7C88" w:rsidP="00D8322D">
    <w:pPr>
      <w:pStyle w:val="Header"/>
      <w:tabs>
        <w:tab w:val="clear" w:pos="4513"/>
        <w:tab w:val="clear" w:pos="9026"/>
        <w:tab w:val="left" w:pos="1698"/>
        <w:tab w:val="left" w:pos="2096"/>
      </w:tabs>
      <w:rPr>
        <w:rFonts w:ascii="Segoe UI" w:hAnsi="Segoe UI" w:cs="Segoe UI"/>
        <w:color w:val="7F7F7F" w:themeColor="text1" w:themeTint="80"/>
        <w:szCs w:val="20"/>
      </w:rPr>
    </w:pPr>
    <w:r>
      <w:rPr>
        <w:noProof/>
        <w:lang w:val="en-GB" w:eastAsia="en-GB"/>
      </w:rPr>
      <w:drawing>
        <wp:anchor distT="0" distB="0" distL="114300" distR="114300" simplePos="0" relativeHeight="251665408" behindDoc="1" locked="0" layoutInCell="1" allowOverlap="1" wp14:anchorId="75DDC217" wp14:editId="576BF2C7">
          <wp:simplePos x="0" y="0"/>
          <wp:positionH relativeFrom="column">
            <wp:posOffset>-835025</wp:posOffset>
          </wp:positionH>
          <wp:positionV relativeFrom="paragraph">
            <wp:posOffset>-213665</wp:posOffset>
          </wp:positionV>
          <wp:extent cx="10687507" cy="685165"/>
          <wp:effectExtent l="0" t="0" r="0" b="6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10687507" cy="685165"/>
                  </a:xfrm>
                  <a:prstGeom prst="rect">
                    <a:avLst/>
                  </a:prstGeom>
                </pic:spPr>
              </pic:pic>
            </a:graphicData>
          </a:graphic>
          <wp14:sizeRelH relativeFrom="page">
            <wp14:pctWidth>0</wp14:pctWidth>
          </wp14:sizeRelH>
          <wp14:sizeRelV relativeFrom="page">
            <wp14:pctHeight>0</wp14:pctHeight>
          </wp14:sizeRelV>
        </wp:anchor>
      </w:drawing>
    </w:r>
    <w:r w:rsidRPr="007B7F56">
      <w:rPr>
        <w:rFonts w:ascii="Segoe UI" w:hAnsi="Segoe UI" w:cs="Segoe UI"/>
        <w:color w:val="FFFFFF" w:themeColor="background1"/>
        <w:szCs w:val="20"/>
      </w:rPr>
      <w:t>Appendix C – Proposed Road Safety (Drivers) Regulations 2019</w:t>
    </w:r>
    <w:r w:rsidRPr="007B7F56">
      <w:rPr>
        <w:rFonts w:ascii="Segoe UI" w:hAnsi="Segoe UI" w:cs="Segoe UI"/>
        <w:color w:val="FFFFFF" w:themeColor="background1"/>
        <w:szCs w:val="20"/>
      </w:rPr>
      <w:tab/>
    </w:r>
    <w:r w:rsidRPr="007B7F56">
      <w:rPr>
        <w:rFonts w:ascii="Segoe UI" w:hAnsi="Segoe UI" w:cs="Segoe UI"/>
        <w:color w:val="7F7F7F" w:themeColor="text1" w:themeTint="80"/>
        <w:szCs w:val="20"/>
      </w:rPr>
      <w:tab/>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C852E" w14:textId="77777777" w:rsidR="003C7C88" w:rsidRPr="008C00E1" w:rsidRDefault="003C7C88" w:rsidP="008C00E1">
    <w:pPr>
      <w:pStyle w:val="Header"/>
    </w:pPr>
    <w:r>
      <w:rPr>
        <w:noProof/>
        <w:lang w:val="en-GB" w:eastAsia="en-GB"/>
      </w:rPr>
      <w:drawing>
        <wp:anchor distT="0" distB="0" distL="114300" distR="114300" simplePos="0" relativeHeight="251645952" behindDoc="1" locked="0" layoutInCell="1" allowOverlap="1" wp14:anchorId="634D9109" wp14:editId="31C1F0D2">
          <wp:simplePos x="0" y="0"/>
          <wp:positionH relativeFrom="page">
            <wp:posOffset>6350</wp:posOffset>
          </wp:positionH>
          <wp:positionV relativeFrom="page">
            <wp:posOffset>4606</wp:posOffset>
          </wp:positionV>
          <wp:extent cx="7560000" cy="687600"/>
          <wp:effectExtent l="0" t="0" r="3175" b="0"/>
          <wp:wrapNone/>
          <wp:docPr id="85" name="Picture 85" descr="C:\Users\Sean\AppData\Local\Microsoft\Windows\INetCache\Content.Word\PTVH2297-E TFV Corporate Templates_A4 Word Report Document_v3_F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PTVH2297-E TFV Corporate Templates_A4 Word Report Document_v3_FA_Page_09.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60000" cy="68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96DAE" w14:textId="77777777" w:rsidR="003C7C88" w:rsidRPr="006B0664" w:rsidRDefault="003C7C88" w:rsidP="002B2D89">
    <w:pPr>
      <w:pStyle w:val="Header"/>
      <w:rPr>
        <w:b/>
        <w:color w:val="7F7F7F" w:themeColor="text1" w:themeTint="80"/>
        <w:sz w:val="18"/>
      </w:rPr>
    </w:pPr>
    <w:r>
      <w:rPr>
        <w:noProof/>
      </w:rPr>
      <w:pict w14:anchorId="78406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5" type="#_x0000_t136" style="position:absolute;margin-left:0;margin-top:0;width:479.6pt;height:191.85pt;rotation:315;z-index:-251621888;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6B0664">
      <w:rPr>
        <w:b/>
        <w:noProof/>
        <w:color w:val="7F7F7F" w:themeColor="text1" w:themeTint="80"/>
        <w:sz w:val="18"/>
        <w:lang w:val="en-GB" w:eastAsia="en-GB"/>
      </w:rPr>
      <w:drawing>
        <wp:anchor distT="0" distB="0" distL="114300" distR="114300" simplePos="0" relativeHeight="251641856" behindDoc="0" locked="0" layoutInCell="1" allowOverlap="1" wp14:anchorId="59BC6C7A" wp14:editId="2C9A595E">
          <wp:simplePos x="0" y="0"/>
          <wp:positionH relativeFrom="page">
            <wp:posOffset>8676209</wp:posOffset>
          </wp:positionH>
          <wp:positionV relativeFrom="paragraph">
            <wp:posOffset>-229</wp:posOffset>
          </wp:positionV>
          <wp:extent cx="1101600" cy="252000"/>
          <wp:effectExtent l="0" t="0" r="0" b="0"/>
          <wp:wrapNone/>
          <wp:docPr id="86" name="Picture 30" descr="VicRoa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cRoads_Logo_RGB"/>
                  <pic:cNvPicPr>
                    <a:picLocks noChangeAspect="1" noChangeArrowheads="1"/>
                  </pic:cNvPicPr>
                </pic:nvPicPr>
                <pic:blipFill>
                  <a:blip r:embed="rId1"/>
                  <a:srcRect/>
                  <a:stretch>
                    <a:fillRect/>
                  </a:stretch>
                </pic:blipFill>
                <pic:spPr bwMode="auto">
                  <a:xfrm>
                    <a:off x="0" y="0"/>
                    <a:ext cx="1101600" cy="252000"/>
                  </a:xfrm>
                  <a:prstGeom prst="rect">
                    <a:avLst/>
                  </a:prstGeom>
                  <a:noFill/>
                </pic:spPr>
              </pic:pic>
            </a:graphicData>
          </a:graphic>
        </wp:anchor>
      </w:drawing>
    </w:r>
    <w:r w:rsidRPr="006B0664">
      <w:rPr>
        <w:b/>
        <w:color w:val="7F7F7F" w:themeColor="text1" w:themeTint="80"/>
        <w:sz w:val="18"/>
      </w:rPr>
      <w:t xml:space="preserve">Road Safety (Drivers) </w:t>
    </w:r>
    <w:r>
      <w:rPr>
        <w:b/>
        <w:color w:val="7F7F7F" w:themeColor="text1" w:themeTint="80"/>
        <w:sz w:val="18"/>
      </w:rPr>
      <w:t>Regulations 2019</w:t>
    </w:r>
    <w:r w:rsidRPr="006B0664">
      <w:rPr>
        <w:b/>
        <w:color w:val="7F7F7F" w:themeColor="text1" w:themeTint="80"/>
        <w:sz w:val="18"/>
      </w:rPr>
      <w:t xml:space="preserve"> </w:t>
    </w:r>
  </w:p>
  <w:p w14:paraId="24717D36" w14:textId="77777777" w:rsidR="003C7C88" w:rsidRPr="006B0664" w:rsidRDefault="003C7C88" w:rsidP="002B2D89">
    <w:pPr>
      <w:pStyle w:val="Header"/>
      <w:pBdr>
        <w:bottom w:val="single" w:sz="4" w:space="3" w:color="2A8737" w:themeColor="accent1" w:themeShade="BF"/>
      </w:pBdr>
      <w:rPr>
        <w:color w:val="7F7F7F" w:themeColor="text1" w:themeTint="80"/>
        <w:sz w:val="18"/>
      </w:rPr>
    </w:pPr>
    <w:r w:rsidRPr="006B0664">
      <w:rPr>
        <w:color w:val="7F7F7F" w:themeColor="text1" w:themeTint="80"/>
        <w:sz w:val="18"/>
      </w:rPr>
      <w:t>Regulatory Impact Statement</w:t>
    </w:r>
  </w:p>
  <w:p w14:paraId="30DD41A8" w14:textId="77777777" w:rsidR="003C7C88" w:rsidRPr="00527DB4" w:rsidRDefault="003C7C88" w:rsidP="002B2D8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909ED" w14:textId="77777777" w:rsidR="003C7C88" w:rsidRPr="007B7F56" w:rsidRDefault="003C7C88" w:rsidP="00527DB4">
    <w:pPr>
      <w:pStyle w:val="Header"/>
      <w:rPr>
        <w:rFonts w:ascii="Segoe UI" w:hAnsi="Segoe UI" w:cs="Segoe UI"/>
        <w:b/>
        <w:color w:val="7F7F7F" w:themeColor="text1" w:themeTint="80"/>
        <w:szCs w:val="20"/>
      </w:rPr>
    </w:pPr>
    <w:r>
      <w:rPr>
        <w:noProof/>
        <w:lang w:val="en-GB" w:eastAsia="en-GB"/>
      </w:rPr>
      <w:drawing>
        <wp:anchor distT="0" distB="0" distL="114300" distR="114300" simplePos="0" relativeHeight="251666432" behindDoc="1" locked="0" layoutInCell="1" allowOverlap="1" wp14:anchorId="386324D8" wp14:editId="4E894710">
          <wp:simplePos x="0" y="0"/>
          <wp:positionH relativeFrom="column">
            <wp:posOffset>-799465</wp:posOffset>
          </wp:positionH>
          <wp:positionV relativeFrom="paragraph">
            <wp:posOffset>-198120</wp:posOffset>
          </wp:positionV>
          <wp:extent cx="15068550" cy="685165"/>
          <wp:effectExtent l="0" t="0" r="0"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15080872" cy="685725"/>
                  </a:xfrm>
                  <a:prstGeom prst="rect">
                    <a:avLst/>
                  </a:prstGeom>
                </pic:spPr>
              </pic:pic>
            </a:graphicData>
          </a:graphic>
          <wp14:sizeRelH relativeFrom="page">
            <wp14:pctWidth>0</wp14:pctWidth>
          </wp14:sizeRelH>
          <wp14:sizeRelV relativeFrom="page">
            <wp14:pctHeight>0</wp14:pctHeight>
          </wp14:sizeRelV>
        </wp:anchor>
      </w:drawing>
    </w:r>
    <w:r w:rsidRPr="007B7F56">
      <w:rPr>
        <w:rFonts w:ascii="Segoe UI" w:hAnsi="Segoe UI" w:cs="Segoe UI"/>
        <w:color w:val="FFFFFF" w:themeColor="background1"/>
        <w:szCs w:val="20"/>
      </w:rPr>
      <w:t>Appendix D –</w:t>
    </w:r>
    <w:r w:rsidRPr="007B7F56">
      <w:rPr>
        <w:rFonts w:ascii="Segoe UI" w:hAnsi="Segoe UI" w:cs="Segoe UI"/>
        <w:b/>
        <w:color w:val="FFFFFF" w:themeColor="background1"/>
        <w:szCs w:val="20"/>
      </w:rPr>
      <w:t xml:space="preserve"> </w:t>
    </w:r>
    <w:r w:rsidRPr="007B7F56">
      <w:rPr>
        <w:rFonts w:ascii="Segoe UI" w:hAnsi="Segoe UI" w:cs="Segoe UI"/>
        <w:color w:val="FFFFFF" w:themeColor="background1"/>
        <w:szCs w:val="20"/>
      </w:rPr>
      <w:t>Overseas Licence Conversion Process Map</w:t>
    </w:r>
    <w:r w:rsidRPr="007B7F56">
      <w:rPr>
        <w:rFonts w:ascii="Segoe UI" w:hAnsi="Segoe UI" w:cs="Segoe UI"/>
        <w:b/>
        <w:color w:val="7F7F7F" w:themeColor="text1" w:themeTint="80"/>
        <w:szCs w:val="20"/>
      </w:rPr>
      <w:t xml:space="preserve"> </w:t>
    </w:r>
  </w:p>
  <w:p w14:paraId="7FEEB4C4" w14:textId="77777777" w:rsidR="003C7C88" w:rsidRPr="00527DB4" w:rsidRDefault="003C7C88" w:rsidP="00527DB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4B34F" w14:textId="77777777" w:rsidR="003C7C88" w:rsidRPr="006B0664" w:rsidRDefault="003C7C88" w:rsidP="002B2D89">
    <w:pPr>
      <w:pStyle w:val="Header"/>
      <w:rPr>
        <w:b/>
        <w:color w:val="7F7F7F" w:themeColor="text1" w:themeTint="80"/>
        <w:sz w:val="18"/>
      </w:rPr>
    </w:pPr>
    <w:r>
      <w:rPr>
        <w:noProof/>
      </w:rPr>
      <w:pict w14:anchorId="03780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8" type="#_x0000_t136" style="position:absolute;margin-left:0;margin-top:0;width:479.6pt;height:191.85pt;rotation:315;z-index:-251609600;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6B0664">
      <w:rPr>
        <w:b/>
        <w:noProof/>
        <w:color w:val="7F7F7F" w:themeColor="text1" w:themeTint="80"/>
        <w:sz w:val="18"/>
        <w:lang w:val="en-GB" w:eastAsia="en-GB"/>
      </w:rPr>
      <w:drawing>
        <wp:anchor distT="0" distB="0" distL="114300" distR="114300" simplePos="0" relativeHeight="251642880" behindDoc="0" locked="0" layoutInCell="1" allowOverlap="1" wp14:anchorId="2FA7D58E" wp14:editId="54B882F3">
          <wp:simplePos x="0" y="0"/>
          <wp:positionH relativeFrom="page">
            <wp:posOffset>8676209</wp:posOffset>
          </wp:positionH>
          <wp:positionV relativeFrom="paragraph">
            <wp:posOffset>-229</wp:posOffset>
          </wp:positionV>
          <wp:extent cx="1101600" cy="252000"/>
          <wp:effectExtent l="0" t="0" r="0" b="0"/>
          <wp:wrapNone/>
          <wp:docPr id="88" name="Picture 30" descr="VicRoad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cRoads_Logo_RGB"/>
                  <pic:cNvPicPr>
                    <a:picLocks noChangeAspect="1" noChangeArrowheads="1"/>
                  </pic:cNvPicPr>
                </pic:nvPicPr>
                <pic:blipFill>
                  <a:blip r:embed="rId1"/>
                  <a:srcRect/>
                  <a:stretch>
                    <a:fillRect/>
                  </a:stretch>
                </pic:blipFill>
                <pic:spPr bwMode="auto">
                  <a:xfrm>
                    <a:off x="0" y="0"/>
                    <a:ext cx="1101600" cy="252000"/>
                  </a:xfrm>
                  <a:prstGeom prst="rect">
                    <a:avLst/>
                  </a:prstGeom>
                  <a:noFill/>
                </pic:spPr>
              </pic:pic>
            </a:graphicData>
          </a:graphic>
        </wp:anchor>
      </w:drawing>
    </w:r>
    <w:r w:rsidRPr="006B0664">
      <w:rPr>
        <w:b/>
        <w:color w:val="7F7F7F" w:themeColor="text1" w:themeTint="80"/>
        <w:sz w:val="18"/>
      </w:rPr>
      <w:t xml:space="preserve">Road Safety (Drivers) </w:t>
    </w:r>
    <w:r>
      <w:rPr>
        <w:b/>
        <w:color w:val="7F7F7F" w:themeColor="text1" w:themeTint="80"/>
        <w:sz w:val="18"/>
      </w:rPr>
      <w:t>Regulations 2019</w:t>
    </w:r>
    <w:r w:rsidRPr="006B0664">
      <w:rPr>
        <w:b/>
        <w:color w:val="7F7F7F" w:themeColor="text1" w:themeTint="80"/>
        <w:sz w:val="18"/>
      </w:rPr>
      <w:t xml:space="preserve"> </w:t>
    </w:r>
  </w:p>
  <w:p w14:paraId="038FD284" w14:textId="77777777" w:rsidR="003C7C88" w:rsidRPr="006B0664" w:rsidRDefault="003C7C88" w:rsidP="002B2D89">
    <w:pPr>
      <w:pStyle w:val="Header"/>
      <w:pBdr>
        <w:bottom w:val="single" w:sz="4" w:space="3" w:color="2A8737" w:themeColor="accent1" w:themeShade="BF"/>
      </w:pBdr>
      <w:rPr>
        <w:color w:val="7F7F7F" w:themeColor="text1" w:themeTint="80"/>
        <w:sz w:val="18"/>
      </w:rPr>
    </w:pPr>
    <w:r w:rsidRPr="006B0664">
      <w:rPr>
        <w:color w:val="7F7F7F" w:themeColor="text1" w:themeTint="80"/>
        <w:sz w:val="18"/>
      </w:rPr>
      <w:t>Regulatory Impact Statement</w:t>
    </w:r>
  </w:p>
  <w:p w14:paraId="3F8BCC3F" w14:textId="77777777" w:rsidR="003C7C88" w:rsidRPr="00527DB4" w:rsidRDefault="003C7C88" w:rsidP="002B2D8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A6E47" w14:textId="77777777" w:rsidR="003C7C88" w:rsidRPr="007B7F56" w:rsidRDefault="003C7C88" w:rsidP="00527DB4">
    <w:pPr>
      <w:pStyle w:val="Header"/>
      <w:rPr>
        <w:rFonts w:ascii="Segoe UI" w:hAnsi="Segoe UI" w:cs="Segoe UI"/>
      </w:rPr>
    </w:pPr>
    <w:r>
      <w:rPr>
        <w:noProof/>
        <w:lang w:val="en-GB" w:eastAsia="en-GB"/>
      </w:rPr>
      <w:drawing>
        <wp:anchor distT="0" distB="0" distL="114300" distR="114300" simplePos="0" relativeHeight="251675648" behindDoc="1" locked="0" layoutInCell="1" allowOverlap="1" wp14:anchorId="4584805D" wp14:editId="073D52B2">
          <wp:simplePos x="0" y="0"/>
          <wp:positionH relativeFrom="column">
            <wp:posOffset>-838200</wp:posOffset>
          </wp:positionH>
          <wp:positionV relativeFrom="paragraph">
            <wp:posOffset>-200025</wp:posOffset>
          </wp:positionV>
          <wp:extent cx="7557135" cy="685725"/>
          <wp:effectExtent l="0" t="0" r="0" b="6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FFFFFF" w:themeColor="background1"/>
      </w:rPr>
      <w:t>Appendix E</w:t>
    </w:r>
    <w:r w:rsidRPr="007B7F56">
      <w:rPr>
        <w:rFonts w:ascii="Segoe UI" w:hAnsi="Segoe UI" w:cs="Segoe UI"/>
        <w:color w:val="FFFFFF" w:themeColor="background1"/>
      </w:rPr>
      <w:t xml:space="preserve"> – </w:t>
    </w:r>
    <w:r w:rsidRPr="007205EE">
      <w:rPr>
        <w:rFonts w:ascii="Segoe UI" w:hAnsi="Segoe UI" w:cs="Segoe UI"/>
        <w:color w:val="FFFFFF" w:themeColor="background1"/>
      </w:rPr>
      <w:t>Activities under the Road Safety (Vehicles Registration) Regulations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CCFEA" w14:textId="77777777" w:rsidR="003C7C88" w:rsidRPr="007B7F56" w:rsidRDefault="003C7C88" w:rsidP="00527DB4">
    <w:pPr>
      <w:pStyle w:val="Header"/>
      <w:rPr>
        <w:rFonts w:ascii="Segoe UI" w:hAnsi="Segoe UI" w:cs="Segoe UI"/>
      </w:rPr>
    </w:pPr>
    <w:r>
      <w:rPr>
        <w:noProof/>
        <w:lang w:val="en-GB" w:eastAsia="en-GB"/>
      </w:rPr>
      <w:drawing>
        <wp:anchor distT="0" distB="0" distL="114300" distR="114300" simplePos="0" relativeHeight="251667456" behindDoc="1" locked="0" layoutInCell="1" allowOverlap="1" wp14:anchorId="569A2126" wp14:editId="71F68844">
          <wp:simplePos x="0" y="0"/>
          <wp:positionH relativeFrom="column">
            <wp:posOffset>-838200</wp:posOffset>
          </wp:positionH>
          <wp:positionV relativeFrom="paragraph">
            <wp:posOffset>-200025</wp:posOffset>
          </wp:positionV>
          <wp:extent cx="7557135" cy="685725"/>
          <wp:effectExtent l="0" t="0" r="0" b="6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FFFFFF" w:themeColor="background1"/>
      </w:rPr>
      <w:t>Appendix F</w:t>
    </w:r>
    <w:r w:rsidRPr="007B7F56">
      <w:rPr>
        <w:rFonts w:ascii="Segoe UI" w:hAnsi="Segoe UI" w:cs="Segoe UI"/>
        <w:color w:val="FFFFFF" w:themeColor="background1"/>
      </w:rPr>
      <w:t xml:space="preserve"> – </w:t>
    </w:r>
    <w:r w:rsidRPr="007A5C75">
      <w:rPr>
        <w:rFonts w:ascii="Segoe UI" w:hAnsi="Segoe UI" w:cs="Segoe UI"/>
        <w:color w:val="FFFFFF" w:themeColor="background1"/>
      </w:rPr>
      <w:t>Demerit Points Table in Schedule 3 to proposed Regulations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9462" w14:textId="77777777" w:rsidR="003C7C88" w:rsidRPr="003E0FC9" w:rsidRDefault="003C7C88" w:rsidP="003E0FC9">
    <w:pPr>
      <w:pStyle w:val="Header"/>
      <w:rPr>
        <w:rFonts w:ascii="Segoe UI" w:hAnsi="Segoe UI" w:cs="Segoe UI"/>
        <w:b/>
        <w:color w:val="FFFFFF" w:themeColor="background1"/>
      </w:rPr>
    </w:pPr>
    <w:r>
      <w:rPr>
        <w:noProof/>
        <w:lang w:val="en-GB" w:eastAsia="en-GB"/>
      </w:rPr>
      <w:drawing>
        <wp:anchor distT="0" distB="0" distL="114300" distR="114300" simplePos="0" relativeHeight="251971072" behindDoc="1" locked="0" layoutInCell="1" allowOverlap="1" wp14:anchorId="19D69443" wp14:editId="5802960C">
          <wp:simplePos x="0" y="0"/>
          <wp:positionH relativeFrom="column">
            <wp:posOffset>-838200</wp:posOffset>
          </wp:positionH>
          <wp:positionV relativeFrom="paragraph">
            <wp:posOffset>-200025</wp:posOffset>
          </wp:positionV>
          <wp:extent cx="7557135" cy="685725"/>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FFFFFF" w:themeColor="background1"/>
      </w:rPr>
      <w:t>Appendix H</w:t>
    </w:r>
    <w:r w:rsidRPr="007B7F56">
      <w:rPr>
        <w:rFonts w:ascii="Segoe UI" w:hAnsi="Segoe UI" w:cs="Segoe UI"/>
        <w:color w:val="FFFFFF" w:themeColor="background1"/>
      </w:rPr>
      <w:t xml:space="preserve"> – </w:t>
    </w:r>
    <w:r w:rsidRPr="003E0FC9">
      <w:rPr>
        <w:rFonts w:ascii="Segoe UI" w:hAnsi="Segoe UI" w:cs="Segoe UI"/>
        <w:color w:val="FFFFFF" w:themeColor="background1"/>
      </w:rPr>
      <w:t>Abbreviations and acronyms</w:t>
    </w:r>
  </w:p>
  <w:p w14:paraId="32D5CEE2" w14:textId="075084BA" w:rsidR="003C7C88" w:rsidRPr="007B7F56" w:rsidRDefault="003C7C88" w:rsidP="00527DB4">
    <w:pPr>
      <w:pStyle w:val="Header"/>
      <w:rPr>
        <w:rFonts w:ascii="Segoe UI" w:hAnsi="Segoe UI" w:cs="Segoe UI"/>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6B95" w14:textId="77777777" w:rsidR="003C7C88" w:rsidRDefault="003C7C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84C37" w14:textId="77777777" w:rsidR="003C7C88" w:rsidRPr="00774564" w:rsidRDefault="003C7C88" w:rsidP="00774564">
    <w:pPr>
      <w:pStyle w:val="Header"/>
      <w:tabs>
        <w:tab w:val="clear" w:pos="4513"/>
        <w:tab w:val="clear" w:pos="9026"/>
        <w:tab w:val="left" w:pos="1698"/>
        <w:tab w:val="left" w:pos="2096"/>
      </w:tabs>
      <w:rPr>
        <w:rFonts w:ascii="Segoe UI" w:hAnsi="Segoe UI" w:cs="Segoe UI"/>
        <w:color w:val="7F7F7F" w:themeColor="text1" w:themeTint="80"/>
        <w:sz w:val="18"/>
      </w:rPr>
    </w:pPr>
    <w:r>
      <w:rPr>
        <w:noProof/>
        <w:lang w:val="en-GB" w:eastAsia="en-GB"/>
      </w:rPr>
      <w:drawing>
        <wp:anchor distT="0" distB="0" distL="114300" distR="114300" simplePos="0" relativeHeight="251648000" behindDoc="1" locked="0" layoutInCell="1" allowOverlap="1" wp14:anchorId="106638ED" wp14:editId="3CA28AA1">
          <wp:simplePos x="0" y="0"/>
          <wp:positionH relativeFrom="column">
            <wp:posOffset>-809625</wp:posOffset>
          </wp:positionH>
          <wp:positionV relativeFrom="paragraph">
            <wp:posOffset>-200025</wp:posOffset>
          </wp:positionV>
          <wp:extent cx="7557135" cy="68572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sidRPr="00774564">
      <w:rPr>
        <w:rFonts w:ascii="Segoe UI" w:hAnsi="Segoe UI" w:cs="Segoe UI"/>
        <w:color w:val="FFFFFF" w:themeColor="background1"/>
      </w:rPr>
      <w:t>Legislative and policy framework</w:t>
    </w:r>
    <w:r w:rsidRPr="00774564">
      <w:rPr>
        <w:rFonts w:ascii="Segoe UI" w:hAnsi="Segoe UI" w:cs="Segoe UI"/>
        <w:color w:val="FFFFFF" w:themeColor="background1"/>
        <w:sz w:val="18"/>
      </w:rPr>
      <w:tab/>
    </w:r>
    <w:r w:rsidRPr="00774564">
      <w:rPr>
        <w:rFonts w:ascii="Segoe UI" w:hAnsi="Segoe UI" w:cs="Segoe UI"/>
        <w:color w:val="7F7F7F" w:themeColor="text1" w:themeTint="80"/>
        <w:sz w:val="18"/>
      </w:rPr>
      <w:tab/>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D2409" w14:textId="77777777" w:rsidR="003C7C88" w:rsidRPr="00C04F39" w:rsidRDefault="003C7C88" w:rsidP="00527DB4">
    <w:pPr>
      <w:pStyle w:val="Header"/>
      <w:rPr>
        <w:rFonts w:ascii="Segoe UI" w:hAnsi="Segoe UI" w:cs="Segoe UI"/>
      </w:rPr>
    </w:pPr>
    <w:r>
      <w:rPr>
        <w:noProof/>
        <w:lang w:val="en-GB" w:eastAsia="en-GB"/>
      </w:rPr>
      <w:drawing>
        <wp:anchor distT="0" distB="0" distL="114300" distR="114300" simplePos="0" relativeHeight="251918848" behindDoc="1" locked="0" layoutInCell="1" allowOverlap="1" wp14:anchorId="76431DAD" wp14:editId="07D67574">
          <wp:simplePos x="0" y="0"/>
          <wp:positionH relativeFrom="column">
            <wp:posOffset>-838200</wp:posOffset>
          </wp:positionH>
          <wp:positionV relativeFrom="paragraph">
            <wp:posOffset>-209550</wp:posOffset>
          </wp:positionV>
          <wp:extent cx="7557135" cy="685725"/>
          <wp:effectExtent l="0" t="0" r="0" b="6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 Report Covers3.jpg"/>
                  <pic:cNvPicPr/>
                </pic:nvPicPr>
                <pic:blipFill>
                  <a:blip r:embed="rId1">
                    <a:extLst>
                      <a:ext uri="{28A0092B-C50C-407E-A947-70E740481C1C}">
                        <a14:useLocalDpi xmlns:a14="http://schemas.microsoft.com/office/drawing/2010/main" val="0"/>
                      </a:ext>
                    </a:extLst>
                  </a:blip>
                  <a:stretch>
                    <a:fillRect/>
                  </a:stretch>
                </pic:blipFill>
                <pic:spPr>
                  <a:xfrm>
                    <a:off x="0" y="0"/>
                    <a:ext cx="7557135" cy="68572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FFFFFF" w:themeColor="background1"/>
      </w:rPr>
      <w:pict w14:anchorId="4964A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6" type="#_x0000_t136" style="position:absolute;margin-left:0;margin-top:0;width:479.6pt;height:191.85pt;rotation:315;z-index:-251479552;mso-position-horizontal:center;mso-position-horizontal-relative:margin;mso-position-vertical:center;mso-position-vertical-relative:margin" o:allowincell="f" fillcolor="#bfbfbf [2412]" stroked="f">
          <v:fill opacity=".5"/>
          <v:textpath style="font-family:&quot;Arial Rounded MT Bold&quot;;font-size:1pt" string="DRAFT"/>
          <w10:wrap anchorx="margin" anchory="margin"/>
        </v:shape>
      </w:pict>
    </w:r>
    <w:r w:rsidRPr="00C04F39">
      <w:rPr>
        <w:rFonts w:ascii="Segoe UI" w:hAnsi="Segoe UI" w:cs="Segoe UI"/>
        <w:color w:val="FFFFFF" w:themeColor="background1"/>
      </w:rPr>
      <w:t>Endnotes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D8D8C" w14:textId="77777777" w:rsidR="003C7C88" w:rsidRDefault="003C7C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680" w14:textId="77777777" w:rsidR="003C7C88" w:rsidRDefault="003C7C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91AC2" w14:textId="77777777" w:rsidR="003C7C88" w:rsidRDefault="003C7C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20E87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67020"/>
    <w:multiLevelType w:val="hybridMultilevel"/>
    <w:tmpl w:val="3C9EC66C"/>
    <w:lvl w:ilvl="0" w:tplc="CD561C48">
      <w:start w:val="1"/>
      <w:numFmt w:val="decimal"/>
      <w:pStyle w:val="NumText"/>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132DC6"/>
    <w:multiLevelType w:val="multilevel"/>
    <w:tmpl w:val="2592CFFE"/>
    <w:styleLink w:val="AppendixHeadings"/>
    <w:lvl w:ilvl="0">
      <w:start w:val="1"/>
      <w:numFmt w:val="upperLetter"/>
      <w:pStyle w:val="Appendix1"/>
      <w:lvlText w:val="%1."/>
      <w:lvlJc w:val="left"/>
      <w:pPr>
        <w:ind w:left="1531" w:hanging="1531"/>
      </w:pPr>
      <w:rPr>
        <w:rFonts w:hint="default"/>
      </w:rPr>
    </w:lvl>
    <w:lvl w:ilvl="1">
      <w:start w:val="1"/>
      <w:numFmt w:val="decimal"/>
      <w:pStyle w:val="Appendix2"/>
      <w:lvlText w:val="%1%2"/>
      <w:lvlJc w:val="left"/>
      <w:pPr>
        <w:ind w:left="1531" w:hanging="1531"/>
      </w:pPr>
      <w:rPr>
        <w:rFonts w:hint="default"/>
      </w:rPr>
    </w:lvl>
    <w:lvl w:ilvl="2">
      <w:start w:val="1"/>
      <w:numFmt w:val="decimal"/>
      <w:pStyle w:val="Appendix3"/>
      <w:lvlText w:val="%1%2.%3"/>
      <w:lvlJc w:val="left"/>
      <w:pPr>
        <w:ind w:left="1531" w:hanging="1531"/>
      </w:pPr>
      <w:rPr>
        <w:rFonts w:hint="default"/>
      </w:rPr>
    </w:lvl>
    <w:lvl w:ilvl="3">
      <w:start w:val="1"/>
      <w:numFmt w:val="decimal"/>
      <w:pStyle w:val="Appendix4"/>
      <w:lvlText w:val="%1%2.%3.%4"/>
      <w:lvlJc w:val="left"/>
      <w:pPr>
        <w:ind w:left="1531" w:hanging="153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4753066"/>
    <w:multiLevelType w:val="hybridMultilevel"/>
    <w:tmpl w:val="4AC6F052"/>
    <w:lvl w:ilvl="0" w:tplc="382EC974">
      <w:start w:val="1"/>
      <w:numFmt w:val="lowerLetter"/>
      <w:pStyle w:val="TableListLetter"/>
      <w:lvlText w:val="(%1)"/>
      <w:lvlJc w:val="left"/>
      <w:pPr>
        <w:ind w:left="60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52725E"/>
    <w:multiLevelType w:val="multilevel"/>
    <w:tmpl w:val="649062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82209C9"/>
    <w:multiLevelType w:val="hybridMultilevel"/>
    <w:tmpl w:val="16CCF76C"/>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D462C2"/>
    <w:multiLevelType w:val="hybridMultilevel"/>
    <w:tmpl w:val="F86032D8"/>
    <w:lvl w:ilvl="0" w:tplc="190C627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CFB7E7B"/>
    <w:multiLevelType w:val="hybridMultilevel"/>
    <w:tmpl w:val="CF64B74C"/>
    <w:lvl w:ilvl="0" w:tplc="5A168844">
      <w:start w:val="1"/>
      <w:numFmt w:val="bullet"/>
      <w:pStyle w:val="BulletPara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8C1959"/>
    <w:multiLevelType w:val="hybridMultilevel"/>
    <w:tmpl w:val="EE1EAD1A"/>
    <w:lvl w:ilvl="0" w:tplc="33C217C8">
      <w:start w:val="1"/>
      <w:numFmt w:val="bullet"/>
      <w:pStyle w:val="Bullet2-Green"/>
      <w:lvlText w:val="o"/>
      <w:lvlJc w:val="left"/>
      <w:pPr>
        <w:ind w:left="720" w:hanging="360"/>
      </w:pPr>
      <w:rPr>
        <w:rFonts w:ascii="Courier New" w:hAnsi="Courier New" w:hint="default"/>
        <w:color w:val="auto"/>
      </w:rPr>
    </w:lvl>
    <w:lvl w:ilvl="1" w:tplc="592EC376">
      <w:numFmt w:val="bullet"/>
      <w:lvlText w:val="-"/>
      <w:lvlJc w:val="left"/>
      <w:pPr>
        <w:tabs>
          <w:tab w:val="num" w:pos="1077"/>
        </w:tabs>
        <w:ind w:left="1077" w:hanging="357"/>
      </w:pPr>
      <w:rPr>
        <w:rFonts w:ascii="Verdana" w:hAnsi="Verdana" w:cs="Times New Roman" w:hint="default"/>
        <w:color w:val="39B54A"/>
      </w:rPr>
    </w:lvl>
    <w:lvl w:ilvl="2" w:tplc="0F7A1A9A">
      <w:numFmt w:val="bullet"/>
      <w:lvlText w:val="-"/>
      <w:lvlJc w:val="left"/>
      <w:pPr>
        <w:tabs>
          <w:tab w:val="num" w:pos="1418"/>
        </w:tabs>
        <w:ind w:left="1418" w:hanging="341"/>
      </w:pPr>
      <w:rPr>
        <w:rFonts w:ascii="Verdana" w:hAnsi="Verdana" w:cs="Times New Roman" w:hint="default"/>
        <w:color w:val="39B54A"/>
      </w:rPr>
    </w:lvl>
    <w:lvl w:ilvl="3" w:tplc="E966A9AA">
      <w:numFmt w:val="bullet"/>
      <w:lvlText w:val="-"/>
      <w:lvlJc w:val="left"/>
      <w:pPr>
        <w:tabs>
          <w:tab w:val="num" w:pos="1758"/>
        </w:tabs>
        <w:ind w:left="1758" w:hanging="340"/>
      </w:pPr>
      <w:rPr>
        <w:rFonts w:ascii="Verdana" w:eastAsia="Times New Roman" w:hAnsi="Verdana" w:cs="Times New Roman" w:hint="default"/>
        <w:color w:val="39B54A" w:themeColor="accent1"/>
      </w:rPr>
    </w:lvl>
    <w:lvl w:ilvl="4" w:tplc="4D68242A">
      <w:numFmt w:val="bullet"/>
      <w:lvlText w:val="-"/>
      <w:lvlJc w:val="left"/>
      <w:pPr>
        <w:tabs>
          <w:tab w:val="num" w:pos="2098"/>
        </w:tabs>
        <w:ind w:left="2098" w:hanging="340"/>
      </w:pPr>
      <w:rPr>
        <w:rFonts w:ascii="Verdana" w:eastAsia="Times New Roman" w:hAnsi="Verdana" w:cs="Times New Roman" w:hint="default"/>
        <w:color w:val="39B54A" w:themeColor="accent1"/>
      </w:rPr>
    </w:lvl>
    <w:lvl w:ilvl="5" w:tplc="6CFC8AE8">
      <w:numFmt w:val="bullet"/>
      <w:lvlText w:val="-"/>
      <w:lvlJc w:val="left"/>
      <w:pPr>
        <w:tabs>
          <w:tab w:val="num" w:pos="2438"/>
        </w:tabs>
        <w:ind w:left="2438" w:hanging="340"/>
      </w:pPr>
      <w:rPr>
        <w:rFonts w:ascii="Verdana" w:eastAsia="Times New Roman" w:hAnsi="Verdana" w:cs="Times New Roman" w:hint="default"/>
        <w:color w:val="39B54A" w:themeColor="accent1"/>
      </w:rPr>
    </w:lvl>
    <w:lvl w:ilvl="6" w:tplc="22A207EA">
      <w:numFmt w:val="bullet"/>
      <w:lvlText w:val="-"/>
      <w:lvlJc w:val="left"/>
      <w:pPr>
        <w:tabs>
          <w:tab w:val="num" w:pos="2778"/>
        </w:tabs>
        <w:ind w:left="2778" w:hanging="340"/>
      </w:pPr>
      <w:rPr>
        <w:rFonts w:ascii="Verdana" w:eastAsia="Times New Roman" w:hAnsi="Verdana" w:cs="Times New Roman" w:hint="default"/>
        <w:color w:val="39B54A" w:themeColor="accent1"/>
      </w:rPr>
    </w:lvl>
    <w:lvl w:ilvl="7" w:tplc="FB80E098">
      <w:numFmt w:val="bullet"/>
      <w:lvlText w:val="-"/>
      <w:lvlJc w:val="left"/>
      <w:pPr>
        <w:tabs>
          <w:tab w:val="num" w:pos="3119"/>
        </w:tabs>
        <w:ind w:left="3119" w:hanging="341"/>
      </w:pPr>
      <w:rPr>
        <w:rFonts w:ascii="Verdana" w:eastAsia="Times New Roman" w:hAnsi="Verdana" w:cs="Times New Roman" w:hint="default"/>
        <w:color w:val="39B54A" w:themeColor="accent1"/>
      </w:rPr>
    </w:lvl>
    <w:lvl w:ilvl="8" w:tplc="435EFA4C">
      <w:numFmt w:val="bullet"/>
      <w:lvlText w:val="-"/>
      <w:lvlJc w:val="left"/>
      <w:pPr>
        <w:tabs>
          <w:tab w:val="num" w:pos="3459"/>
        </w:tabs>
        <w:ind w:left="3459" w:hanging="340"/>
      </w:pPr>
      <w:rPr>
        <w:rFonts w:ascii="Verdana" w:eastAsia="Times New Roman" w:hAnsi="Verdana" w:cs="Times New Roman" w:hint="default"/>
        <w:color w:val="39B54A" w:themeColor="accent1"/>
      </w:rPr>
    </w:lvl>
  </w:abstractNum>
  <w:abstractNum w:abstractNumId="9" w15:restartNumberingAfterBreak="0">
    <w:nsid w:val="2F5F7B82"/>
    <w:multiLevelType w:val="hybridMultilevel"/>
    <w:tmpl w:val="D3DC5D64"/>
    <w:lvl w:ilvl="0" w:tplc="21BA4C72">
      <w:start w:val="1"/>
      <w:numFmt w:val="bullet"/>
      <w:pStyle w:val="TableList2"/>
      <w:lvlText w:val="o"/>
      <w:lvlJc w:val="left"/>
      <w:pPr>
        <w:ind w:left="597" w:hanging="360"/>
      </w:pPr>
      <w:rPr>
        <w:rFonts w:ascii="Courier New" w:hAnsi="Courier New" w:cs="Courier New"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10" w15:restartNumberingAfterBreak="0">
    <w:nsid w:val="345E34EA"/>
    <w:multiLevelType w:val="hybridMultilevel"/>
    <w:tmpl w:val="72720E1C"/>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7514F24"/>
    <w:multiLevelType w:val="hybridMultilevel"/>
    <w:tmpl w:val="09D6CE3A"/>
    <w:lvl w:ilvl="0" w:tplc="1F6021CE">
      <w:start w:val="1"/>
      <w:numFmt w:val="bullet"/>
      <w:pStyle w:val="TableList20"/>
      <w:lvlText w:val="o"/>
      <w:lvlJc w:val="left"/>
      <w:pPr>
        <w:ind w:left="720" w:hanging="360"/>
      </w:pPr>
      <w:rPr>
        <w:rFonts w:ascii="Courier New" w:hAnsi="Courier New" w:cs="Courier New" w:hint="default"/>
        <w:color w:val="auto"/>
      </w:rPr>
    </w:lvl>
    <w:lvl w:ilvl="1" w:tplc="D7A219FC">
      <w:numFmt w:val="bullet"/>
      <w:lvlText w:val="-"/>
      <w:lvlJc w:val="left"/>
      <w:pPr>
        <w:tabs>
          <w:tab w:val="num" w:pos="1077"/>
        </w:tabs>
        <w:ind w:left="1077" w:hanging="357"/>
      </w:pPr>
      <w:rPr>
        <w:rFonts w:ascii="Verdana" w:eastAsia="Times New Roman" w:hAnsi="Verdana" w:cs="Times New Roman" w:hint="default"/>
      </w:rPr>
    </w:lvl>
    <w:lvl w:ilvl="2" w:tplc="1068B236">
      <w:numFmt w:val="bullet"/>
      <w:lvlText w:val="-"/>
      <w:lvlJc w:val="left"/>
      <w:pPr>
        <w:tabs>
          <w:tab w:val="num" w:pos="1418"/>
        </w:tabs>
        <w:ind w:left="1418" w:hanging="341"/>
      </w:pPr>
      <w:rPr>
        <w:rFonts w:ascii="Verdana" w:eastAsia="Times New Roman" w:hAnsi="Verdana" w:cs="Times New Roman" w:hint="default"/>
      </w:rPr>
    </w:lvl>
    <w:lvl w:ilvl="3" w:tplc="46E04EC0">
      <w:numFmt w:val="bullet"/>
      <w:lvlText w:val="-"/>
      <w:lvlJc w:val="left"/>
      <w:pPr>
        <w:tabs>
          <w:tab w:val="num" w:pos="1758"/>
        </w:tabs>
        <w:ind w:left="1758" w:hanging="340"/>
      </w:pPr>
      <w:rPr>
        <w:rFonts w:ascii="Verdana" w:eastAsia="Times New Roman" w:hAnsi="Verdana" w:cs="Times New Roman" w:hint="default"/>
      </w:rPr>
    </w:lvl>
    <w:lvl w:ilvl="4" w:tplc="8F1E1524">
      <w:numFmt w:val="bullet"/>
      <w:lvlText w:val="-"/>
      <w:lvlJc w:val="left"/>
      <w:pPr>
        <w:tabs>
          <w:tab w:val="num" w:pos="2098"/>
        </w:tabs>
        <w:ind w:left="2098" w:hanging="340"/>
      </w:pPr>
      <w:rPr>
        <w:rFonts w:ascii="Verdana" w:eastAsia="Times New Roman" w:hAnsi="Verdana" w:cs="Times New Roman" w:hint="default"/>
      </w:rPr>
    </w:lvl>
    <w:lvl w:ilvl="5" w:tplc="C55CCC12">
      <w:numFmt w:val="bullet"/>
      <w:lvlText w:val="-"/>
      <w:lvlJc w:val="left"/>
      <w:pPr>
        <w:tabs>
          <w:tab w:val="num" w:pos="2438"/>
        </w:tabs>
        <w:ind w:left="2438" w:hanging="340"/>
      </w:pPr>
      <w:rPr>
        <w:rFonts w:ascii="Verdana" w:eastAsia="Times New Roman" w:hAnsi="Verdana" w:cs="Times New Roman" w:hint="default"/>
      </w:rPr>
    </w:lvl>
    <w:lvl w:ilvl="6" w:tplc="8362CD10">
      <w:numFmt w:val="bullet"/>
      <w:lvlText w:val="-"/>
      <w:lvlJc w:val="left"/>
      <w:pPr>
        <w:tabs>
          <w:tab w:val="num" w:pos="2778"/>
        </w:tabs>
        <w:ind w:left="2778" w:hanging="340"/>
      </w:pPr>
      <w:rPr>
        <w:rFonts w:ascii="Verdana" w:eastAsia="Times New Roman" w:hAnsi="Verdana" w:cs="Times New Roman" w:hint="default"/>
      </w:rPr>
    </w:lvl>
    <w:lvl w:ilvl="7" w:tplc="2348D958">
      <w:numFmt w:val="bullet"/>
      <w:lvlText w:val="-"/>
      <w:lvlJc w:val="left"/>
      <w:pPr>
        <w:tabs>
          <w:tab w:val="num" w:pos="3119"/>
        </w:tabs>
        <w:ind w:left="3119" w:hanging="341"/>
      </w:pPr>
      <w:rPr>
        <w:rFonts w:ascii="Verdana" w:eastAsia="Times New Roman" w:hAnsi="Verdana" w:cs="Times New Roman" w:hint="default"/>
      </w:rPr>
    </w:lvl>
    <w:lvl w:ilvl="8" w:tplc="680ACEDA">
      <w:numFmt w:val="bullet"/>
      <w:lvlText w:val="-"/>
      <w:lvlJc w:val="left"/>
      <w:pPr>
        <w:tabs>
          <w:tab w:val="num" w:pos="3459"/>
        </w:tabs>
        <w:ind w:left="3459" w:hanging="340"/>
      </w:pPr>
      <w:rPr>
        <w:rFonts w:ascii="Verdana" w:eastAsia="Times New Roman" w:hAnsi="Verdana" w:cs="Times New Roman" w:hint="default"/>
      </w:rPr>
    </w:lvl>
  </w:abstractNum>
  <w:abstractNum w:abstractNumId="12" w15:restartNumberingAfterBreak="0">
    <w:nsid w:val="3A8E1635"/>
    <w:multiLevelType w:val="hybridMultilevel"/>
    <w:tmpl w:val="2E54B78A"/>
    <w:lvl w:ilvl="0" w:tplc="C8BA11DC">
      <w:start w:val="1"/>
      <w:numFmt w:val="bullet"/>
      <w:pStyle w:val="Bullet1-Black"/>
      <w:lvlText w:val=""/>
      <w:lvlJc w:val="left"/>
      <w:pPr>
        <w:ind w:left="387" w:hanging="360"/>
      </w:pPr>
      <w:rPr>
        <w:rFonts w:ascii="Symbol" w:hAnsi="Symbol" w:hint="default"/>
        <w:color w:val="auto"/>
      </w:rPr>
    </w:lvl>
    <w:lvl w:ilvl="1" w:tplc="D5BACAD0">
      <w:numFmt w:val="bullet"/>
      <w:lvlText w:val="-"/>
      <w:lvlJc w:val="left"/>
      <w:pPr>
        <w:tabs>
          <w:tab w:val="num" w:pos="744"/>
        </w:tabs>
        <w:ind w:left="744" w:hanging="357"/>
      </w:pPr>
      <w:rPr>
        <w:rFonts w:ascii="Verdana" w:eastAsia="Times New Roman" w:hAnsi="Verdana" w:cs="Times New Roman" w:hint="default"/>
      </w:rPr>
    </w:lvl>
    <w:lvl w:ilvl="2" w:tplc="1068B236">
      <w:numFmt w:val="bullet"/>
      <w:lvlText w:val="-"/>
      <w:lvlJc w:val="left"/>
      <w:pPr>
        <w:tabs>
          <w:tab w:val="num" w:pos="1085"/>
        </w:tabs>
        <w:ind w:left="1085" w:hanging="341"/>
      </w:pPr>
      <w:rPr>
        <w:rFonts w:ascii="Verdana" w:eastAsia="Times New Roman" w:hAnsi="Verdana" w:cs="Times New Roman" w:hint="default"/>
      </w:rPr>
    </w:lvl>
    <w:lvl w:ilvl="3" w:tplc="46E04EC0">
      <w:numFmt w:val="bullet"/>
      <w:lvlText w:val="-"/>
      <w:lvlJc w:val="left"/>
      <w:pPr>
        <w:tabs>
          <w:tab w:val="num" w:pos="1425"/>
        </w:tabs>
        <w:ind w:left="1425" w:hanging="340"/>
      </w:pPr>
      <w:rPr>
        <w:rFonts w:ascii="Verdana" w:eastAsia="Times New Roman" w:hAnsi="Verdana" w:cs="Times New Roman" w:hint="default"/>
      </w:rPr>
    </w:lvl>
    <w:lvl w:ilvl="4" w:tplc="8F1E1524">
      <w:numFmt w:val="bullet"/>
      <w:lvlText w:val="-"/>
      <w:lvlJc w:val="left"/>
      <w:pPr>
        <w:tabs>
          <w:tab w:val="num" w:pos="1765"/>
        </w:tabs>
        <w:ind w:left="1765" w:hanging="340"/>
      </w:pPr>
      <w:rPr>
        <w:rFonts w:ascii="Verdana" w:eastAsia="Times New Roman" w:hAnsi="Verdana" w:cs="Times New Roman" w:hint="default"/>
      </w:rPr>
    </w:lvl>
    <w:lvl w:ilvl="5" w:tplc="C55CCC12">
      <w:numFmt w:val="bullet"/>
      <w:lvlText w:val="-"/>
      <w:lvlJc w:val="left"/>
      <w:pPr>
        <w:tabs>
          <w:tab w:val="num" w:pos="2105"/>
        </w:tabs>
        <w:ind w:left="2105" w:hanging="340"/>
      </w:pPr>
      <w:rPr>
        <w:rFonts w:ascii="Verdana" w:eastAsia="Times New Roman" w:hAnsi="Verdana" w:cs="Times New Roman" w:hint="default"/>
      </w:rPr>
    </w:lvl>
    <w:lvl w:ilvl="6" w:tplc="8362CD10">
      <w:numFmt w:val="bullet"/>
      <w:lvlText w:val="-"/>
      <w:lvlJc w:val="left"/>
      <w:pPr>
        <w:tabs>
          <w:tab w:val="num" w:pos="2445"/>
        </w:tabs>
        <w:ind w:left="2445" w:hanging="340"/>
      </w:pPr>
      <w:rPr>
        <w:rFonts w:ascii="Verdana" w:eastAsia="Times New Roman" w:hAnsi="Verdana" w:cs="Times New Roman" w:hint="default"/>
      </w:rPr>
    </w:lvl>
    <w:lvl w:ilvl="7" w:tplc="2348D958">
      <w:numFmt w:val="bullet"/>
      <w:lvlText w:val="-"/>
      <w:lvlJc w:val="left"/>
      <w:pPr>
        <w:tabs>
          <w:tab w:val="num" w:pos="2786"/>
        </w:tabs>
        <w:ind w:left="2786" w:hanging="341"/>
      </w:pPr>
      <w:rPr>
        <w:rFonts w:ascii="Verdana" w:eastAsia="Times New Roman" w:hAnsi="Verdana" w:cs="Times New Roman" w:hint="default"/>
      </w:rPr>
    </w:lvl>
    <w:lvl w:ilvl="8" w:tplc="680ACEDA">
      <w:numFmt w:val="bullet"/>
      <w:lvlText w:val="-"/>
      <w:lvlJc w:val="left"/>
      <w:pPr>
        <w:tabs>
          <w:tab w:val="num" w:pos="3126"/>
        </w:tabs>
        <w:ind w:left="3126" w:hanging="340"/>
      </w:pPr>
      <w:rPr>
        <w:rFonts w:ascii="Verdana" w:eastAsia="Times New Roman" w:hAnsi="Verdana" w:cs="Times New Roman" w:hint="default"/>
      </w:rPr>
    </w:lvl>
  </w:abstractNum>
  <w:abstractNum w:abstractNumId="13" w15:restartNumberingAfterBreak="0">
    <w:nsid w:val="3E840118"/>
    <w:multiLevelType w:val="hybridMultilevel"/>
    <w:tmpl w:val="33F2350A"/>
    <w:lvl w:ilvl="0" w:tplc="0C090001">
      <w:start w:val="1"/>
      <w:numFmt w:val="bullet"/>
      <w:lvlText w:val=""/>
      <w:lvlJc w:val="left"/>
      <w:pPr>
        <w:ind w:left="720" w:hanging="360"/>
      </w:pPr>
      <w:rPr>
        <w:rFonts w:ascii="Symbol" w:hAnsi="Symbol" w:hint="default"/>
      </w:rPr>
    </w:lvl>
    <w:lvl w:ilvl="1" w:tplc="4CF6F426">
      <w:start w:val="1"/>
      <w:numFmt w:val="bullet"/>
      <w:pStyle w:val="BulletLis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5F5FA3"/>
    <w:multiLevelType w:val="hybridMultilevel"/>
    <w:tmpl w:val="316A3F2A"/>
    <w:lvl w:ilvl="0" w:tplc="BC8A6D36">
      <w:start w:val="1"/>
      <w:numFmt w:val="lowerLetter"/>
      <w:pStyle w:val="NumAlpha"/>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15:restartNumberingAfterBreak="0">
    <w:nsid w:val="47293767"/>
    <w:multiLevelType w:val="multilevel"/>
    <w:tmpl w:val="2592CFFE"/>
    <w:numStyleLink w:val="AppendixHeadings"/>
  </w:abstractNum>
  <w:abstractNum w:abstractNumId="16" w15:restartNumberingAfterBreak="0">
    <w:nsid w:val="49F868D1"/>
    <w:multiLevelType w:val="hybridMultilevel"/>
    <w:tmpl w:val="6B4A5BB4"/>
    <w:lvl w:ilvl="0" w:tplc="8B8269EE">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C5A6189"/>
    <w:multiLevelType w:val="hybridMultilevel"/>
    <w:tmpl w:val="25CE9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F402257"/>
    <w:multiLevelType w:val="hybridMultilevel"/>
    <w:tmpl w:val="4AD8A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975E5D"/>
    <w:multiLevelType w:val="hybridMultilevel"/>
    <w:tmpl w:val="DD3E1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4B5AA6"/>
    <w:multiLevelType w:val="hybridMultilevel"/>
    <w:tmpl w:val="D254907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890464"/>
    <w:multiLevelType w:val="hybridMultilevel"/>
    <w:tmpl w:val="11D4785E"/>
    <w:lvl w:ilvl="0" w:tplc="2C10B0BA">
      <w:numFmt w:val="bullet"/>
      <w:pStyle w:val="TableList3"/>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1D2C28"/>
    <w:multiLevelType w:val="hybridMultilevel"/>
    <w:tmpl w:val="6B68E79A"/>
    <w:lvl w:ilvl="0" w:tplc="8E1EB834">
      <w:start w:val="1"/>
      <w:numFmt w:val="decimal"/>
      <w:pStyle w:val="TableNum"/>
      <w:lvlText w:val="%1."/>
      <w:lvlJc w:val="left"/>
      <w:pPr>
        <w:ind w:left="720" w:hanging="360"/>
      </w:pPr>
      <w:rPr>
        <w:rFonts w:hint="default"/>
        <w:color w:val="auto"/>
      </w:rPr>
    </w:lvl>
    <w:lvl w:ilvl="1" w:tplc="D7A219FC">
      <w:numFmt w:val="bullet"/>
      <w:lvlText w:val="-"/>
      <w:lvlJc w:val="left"/>
      <w:pPr>
        <w:tabs>
          <w:tab w:val="num" w:pos="1077"/>
        </w:tabs>
        <w:ind w:left="1077" w:hanging="357"/>
      </w:pPr>
      <w:rPr>
        <w:rFonts w:ascii="Verdana" w:eastAsia="Times New Roman" w:hAnsi="Verdana" w:cs="Times New Roman" w:hint="default"/>
      </w:rPr>
    </w:lvl>
    <w:lvl w:ilvl="2" w:tplc="1068B236">
      <w:numFmt w:val="bullet"/>
      <w:lvlText w:val="-"/>
      <w:lvlJc w:val="left"/>
      <w:pPr>
        <w:tabs>
          <w:tab w:val="num" w:pos="1418"/>
        </w:tabs>
        <w:ind w:left="1418" w:hanging="341"/>
      </w:pPr>
      <w:rPr>
        <w:rFonts w:ascii="Verdana" w:eastAsia="Times New Roman" w:hAnsi="Verdana" w:cs="Times New Roman" w:hint="default"/>
      </w:rPr>
    </w:lvl>
    <w:lvl w:ilvl="3" w:tplc="46E04EC0">
      <w:numFmt w:val="bullet"/>
      <w:lvlText w:val="-"/>
      <w:lvlJc w:val="left"/>
      <w:pPr>
        <w:tabs>
          <w:tab w:val="num" w:pos="1758"/>
        </w:tabs>
        <w:ind w:left="1758" w:hanging="340"/>
      </w:pPr>
      <w:rPr>
        <w:rFonts w:ascii="Verdana" w:eastAsia="Times New Roman" w:hAnsi="Verdana" w:cs="Times New Roman" w:hint="default"/>
      </w:rPr>
    </w:lvl>
    <w:lvl w:ilvl="4" w:tplc="8F1E1524">
      <w:numFmt w:val="bullet"/>
      <w:lvlText w:val="-"/>
      <w:lvlJc w:val="left"/>
      <w:pPr>
        <w:tabs>
          <w:tab w:val="num" w:pos="2098"/>
        </w:tabs>
        <w:ind w:left="2098" w:hanging="340"/>
      </w:pPr>
      <w:rPr>
        <w:rFonts w:ascii="Verdana" w:eastAsia="Times New Roman" w:hAnsi="Verdana" w:cs="Times New Roman" w:hint="default"/>
      </w:rPr>
    </w:lvl>
    <w:lvl w:ilvl="5" w:tplc="C55CCC12">
      <w:numFmt w:val="bullet"/>
      <w:lvlText w:val="-"/>
      <w:lvlJc w:val="left"/>
      <w:pPr>
        <w:tabs>
          <w:tab w:val="num" w:pos="2438"/>
        </w:tabs>
        <w:ind w:left="2438" w:hanging="340"/>
      </w:pPr>
      <w:rPr>
        <w:rFonts w:ascii="Verdana" w:eastAsia="Times New Roman" w:hAnsi="Verdana" w:cs="Times New Roman" w:hint="default"/>
      </w:rPr>
    </w:lvl>
    <w:lvl w:ilvl="6" w:tplc="8362CD10">
      <w:numFmt w:val="bullet"/>
      <w:lvlText w:val="-"/>
      <w:lvlJc w:val="left"/>
      <w:pPr>
        <w:tabs>
          <w:tab w:val="num" w:pos="2778"/>
        </w:tabs>
        <w:ind w:left="2778" w:hanging="340"/>
      </w:pPr>
      <w:rPr>
        <w:rFonts w:ascii="Verdana" w:eastAsia="Times New Roman" w:hAnsi="Verdana" w:cs="Times New Roman" w:hint="default"/>
      </w:rPr>
    </w:lvl>
    <w:lvl w:ilvl="7" w:tplc="2348D958">
      <w:numFmt w:val="bullet"/>
      <w:lvlText w:val="-"/>
      <w:lvlJc w:val="left"/>
      <w:pPr>
        <w:tabs>
          <w:tab w:val="num" w:pos="3119"/>
        </w:tabs>
        <w:ind w:left="3119" w:hanging="341"/>
      </w:pPr>
      <w:rPr>
        <w:rFonts w:ascii="Verdana" w:eastAsia="Times New Roman" w:hAnsi="Verdana" w:cs="Times New Roman" w:hint="default"/>
      </w:rPr>
    </w:lvl>
    <w:lvl w:ilvl="8" w:tplc="680ACEDA">
      <w:numFmt w:val="bullet"/>
      <w:lvlText w:val="-"/>
      <w:lvlJc w:val="left"/>
      <w:pPr>
        <w:tabs>
          <w:tab w:val="num" w:pos="3459"/>
        </w:tabs>
        <w:ind w:left="3459" w:hanging="340"/>
      </w:pPr>
      <w:rPr>
        <w:rFonts w:ascii="Verdana" w:eastAsia="Times New Roman" w:hAnsi="Verdana" w:cs="Times New Roman" w:hint="default"/>
      </w:rPr>
    </w:lvl>
  </w:abstractNum>
  <w:abstractNum w:abstractNumId="23" w15:restartNumberingAfterBreak="0">
    <w:nsid w:val="61566FA3"/>
    <w:multiLevelType w:val="hybridMultilevel"/>
    <w:tmpl w:val="393AC916"/>
    <w:lvl w:ilvl="0" w:tplc="64104FCC">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84F5E36"/>
    <w:multiLevelType w:val="multilevel"/>
    <w:tmpl w:val="9424BA64"/>
    <w:lvl w:ilvl="0">
      <w:start w:val="1"/>
      <w:numFmt w:val="decimal"/>
      <w:pStyle w:val="PartHeading"/>
      <w:lvlText w:val="PART %1 –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5028CF"/>
    <w:multiLevelType w:val="multilevel"/>
    <w:tmpl w:val="0C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4CB6853"/>
    <w:multiLevelType w:val="hybridMultilevel"/>
    <w:tmpl w:val="01C4357C"/>
    <w:lvl w:ilvl="0" w:tplc="621C697A">
      <w:start w:val="1"/>
      <w:numFmt w:val="bullet"/>
      <w:pStyle w:val="TableLis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D08666C"/>
    <w:multiLevelType w:val="hybridMultilevel"/>
    <w:tmpl w:val="26829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0"/>
  </w:num>
  <w:num w:numId="4">
    <w:abstractNumId w:val="13"/>
  </w:num>
  <w:num w:numId="5">
    <w:abstractNumId w:val="2"/>
  </w:num>
  <w:num w:numId="6">
    <w:abstractNumId w:val="7"/>
  </w:num>
  <w:num w:numId="7">
    <w:abstractNumId w:val="1"/>
  </w:num>
  <w:num w:numId="8">
    <w:abstractNumId w:val="24"/>
  </w:num>
  <w:num w:numId="9">
    <w:abstractNumId w:val="15"/>
  </w:num>
  <w:num w:numId="10">
    <w:abstractNumId w:val="10"/>
  </w:num>
  <w:num w:numId="11">
    <w:abstractNumId w:val="16"/>
  </w:num>
  <w:num w:numId="12">
    <w:abstractNumId w:val="22"/>
  </w:num>
  <w:num w:numId="13">
    <w:abstractNumId w:val="3"/>
  </w:num>
  <w:num w:numId="14">
    <w:abstractNumId w:val="4"/>
  </w:num>
  <w:num w:numId="15">
    <w:abstractNumId w:val="11"/>
  </w:num>
  <w:num w:numId="16">
    <w:abstractNumId w:val="14"/>
  </w:num>
  <w:num w:numId="17">
    <w:abstractNumId w:val="6"/>
  </w:num>
  <w:num w:numId="18">
    <w:abstractNumId w:val="23"/>
  </w:num>
  <w:num w:numId="19">
    <w:abstractNumId w:val="25"/>
  </w:num>
  <w:num w:numId="20">
    <w:abstractNumId w:val="26"/>
  </w:num>
  <w:num w:numId="21">
    <w:abstractNumId w:val="9"/>
  </w:num>
  <w:num w:numId="22">
    <w:abstractNumId w:val="21"/>
  </w:num>
  <w:num w:numId="23">
    <w:abstractNumId w:val="14"/>
    <w:lvlOverride w:ilvl="0">
      <w:startOverride w:val="1"/>
    </w:lvlOverride>
  </w:num>
  <w:num w:numId="24">
    <w:abstractNumId w:val="27"/>
  </w:num>
  <w:num w:numId="25">
    <w:abstractNumId w:val="14"/>
    <w:lvlOverride w:ilvl="0">
      <w:startOverride w:val="1"/>
    </w:lvlOverride>
  </w:num>
  <w:num w:numId="26">
    <w:abstractNumId w:val="14"/>
    <w:lvlOverride w:ilvl="0">
      <w:startOverride w:val="1"/>
    </w:lvlOverride>
  </w:num>
  <w:num w:numId="27">
    <w:abstractNumId w:val="22"/>
    <w:lvlOverride w:ilvl="0">
      <w:startOverride w:val="1"/>
    </w:lvlOverride>
  </w:num>
  <w:num w:numId="28">
    <w:abstractNumId w:val="20"/>
  </w:num>
  <w:num w:numId="29">
    <w:abstractNumId w:val="17"/>
  </w:num>
  <w:num w:numId="30">
    <w:abstractNumId w:val="5"/>
  </w:num>
  <w:num w:numId="31">
    <w:abstractNumId w:val="19"/>
  </w:num>
  <w:num w:numId="3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255"/>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F28"/>
    <w:rsid w:val="000002AD"/>
    <w:rsid w:val="00000526"/>
    <w:rsid w:val="000012D9"/>
    <w:rsid w:val="000017B4"/>
    <w:rsid w:val="00001810"/>
    <w:rsid w:val="000019DB"/>
    <w:rsid w:val="000019EA"/>
    <w:rsid w:val="00001C32"/>
    <w:rsid w:val="00001D60"/>
    <w:rsid w:val="00001DD0"/>
    <w:rsid w:val="00001DE4"/>
    <w:rsid w:val="00001F4F"/>
    <w:rsid w:val="0000216E"/>
    <w:rsid w:val="000022E1"/>
    <w:rsid w:val="0000238A"/>
    <w:rsid w:val="00002841"/>
    <w:rsid w:val="0000291C"/>
    <w:rsid w:val="00002A77"/>
    <w:rsid w:val="00002AD1"/>
    <w:rsid w:val="00002D69"/>
    <w:rsid w:val="0000373A"/>
    <w:rsid w:val="000037C8"/>
    <w:rsid w:val="0000395F"/>
    <w:rsid w:val="00003E8A"/>
    <w:rsid w:val="000041A2"/>
    <w:rsid w:val="000043C3"/>
    <w:rsid w:val="0000440C"/>
    <w:rsid w:val="000046CD"/>
    <w:rsid w:val="0000495D"/>
    <w:rsid w:val="000049EA"/>
    <w:rsid w:val="00004B23"/>
    <w:rsid w:val="00004CF5"/>
    <w:rsid w:val="00004FB6"/>
    <w:rsid w:val="0000533D"/>
    <w:rsid w:val="00005479"/>
    <w:rsid w:val="000056E9"/>
    <w:rsid w:val="00005B8F"/>
    <w:rsid w:val="00005CAD"/>
    <w:rsid w:val="00005CE7"/>
    <w:rsid w:val="00005DF5"/>
    <w:rsid w:val="00006544"/>
    <w:rsid w:val="000067CF"/>
    <w:rsid w:val="00006A40"/>
    <w:rsid w:val="00006F7F"/>
    <w:rsid w:val="00007085"/>
    <w:rsid w:val="00007234"/>
    <w:rsid w:val="0000724A"/>
    <w:rsid w:val="00007442"/>
    <w:rsid w:val="000078D4"/>
    <w:rsid w:val="0000797D"/>
    <w:rsid w:val="00007B17"/>
    <w:rsid w:val="00007C04"/>
    <w:rsid w:val="00007C38"/>
    <w:rsid w:val="00007D3D"/>
    <w:rsid w:val="00007D3E"/>
    <w:rsid w:val="00007DDC"/>
    <w:rsid w:val="00007F94"/>
    <w:rsid w:val="000101BC"/>
    <w:rsid w:val="000103C9"/>
    <w:rsid w:val="00010448"/>
    <w:rsid w:val="0001045F"/>
    <w:rsid w:val="0001055F"/>
    <w:rsid w:val="000105E2"/>
    <w:rsid w:val="0001061C"/>
    <w:rsid w:val="00010F8F"/>
    <w:rsid w:val="000113DB"/>
    <w:rsid w:val="00011448"/>
    <w:rsid w:val="00011498"/>
    <w:rsid w:val="00011677"/>
    <w:rsid w:val="00011820"/>
    <w:rsid w:val="000119D1"/>
    <w:rsid w:val="00011A41"/>
    <w:rsid w:val="00011F2C"/>
    <w:rsid w:val="00012070"/>
    <w:rsid w:val="0001215F"/>
    <w:rsid w:val="000121EC"/>
    <w:rsid w:val="0001222F"/>
    <w:rsid w:val="00012298"/>
    <w:rsid w:val="00012B8C"/>
    <w:rsid w:val="000135A2"/>
    <w:rsid w:val="00013671"/>
    <w:rsid w:val="00013752"/>
    <w:rsid w:val="0001375C"/>
    <w:rsid w:val="0001378A"/>
    <w:rsid w:val="00013CBF"/>
    <w:rsid w:val="00013CDC"/>
    <w:rsid w:val="00013D87"/>
    <w:rsid w:val="00014071"/>
    <w:rsid w:val="00014187"/>
    <w:rsid w:val="000143E5"/>
    <w:rsid w:val="00014836"/>
    <w:rsid w:val="000148CA"/>
    <w:rsid w:val="000148E0"/>
    <w:rsid w:val="00014E8E"/>
    <w:rsid w:val="00015731"/>
    <w:rsid w:val="0001578C"/>
    <w:rsid w:val="000157EE"/>
    <w:rsid w:val="00015C9A"/>
    <w:rsid w:val="00015F37"/>
    <w:rsid w:val="00016056"/>
    <w:rsid w:val="000161F9"/>
    <w:rsid w:val="000162CA"/>
    <w:rsid w:val="000166EA"/>
    <w:rsid w:val="00016959"/>
    <w:rsid w:val="00016B31"/>
    <w:rsid w:val="00016D95"/>
    <w:rsid w:val="0001705D"/>
    <w:rsid w:val="00017544"/>
    <w:rsid w:val="00017570"/>
    <w:rsid w:val="00017663"/>
    <w:rsid w:val="00017717"/>
    <w:rsid w:val="00017797"/>
    <w:rsid w:val="00017A8D"/>
    <w:rsid w:val="00017D40"/>
    <w:rsid w:val="00017D74"/>
    <w:rsid w:val="00017E45"/>
    <w:rsid w:val="00017FA2"/>
    <w:rsid w:val="000201D4"/>
    <w:rsid w:val="000201E8"/>
    <w:rsid w:val="00020212"/>
    <w:rsid w:val="000205C6"/>
    <w:rsid w:val="0002061E"/>
    <w:rsid w:val="000206CC"/>
    <w:rsid w:val="00020B5A"/>
    <w:rsid w:val="00020C2D"/>
    <w:rsid w:val="00020D38"/>
    <w:rsid w:val="00020FB5"/>
    <w:rsid w:val="000211F8"/>
    <w:rsid w:val="000212EA"/>
    <w:rsid w:val="00021414"/>
    <w:rsid w:val="00021490"/>
    <w:rsid w:val="00021600"/>
    <w:rsid w:val="00021602"/>
    <w:rsid w:val="000217E3"/>
    <w:rsid w:val="00021A9D"/>
    <w:rsid w:val="00021EA8"/>
    <w:rsid w:val="00022197"/>
    <w:rsid w:val="000221ED"/>
    <w:rsid w:val="000223B0"/>
    <w:rsid w:val="000229C9"/>
    <w:rsid w:val="00022BE3"/>
    <w:rsid w:val="00022DF4"/>
    <w:rsid w:val="00022FCD"/>
    <w:rsid w:val="00022FD4"/>
    <w:rsid w:val="000231C6"/>
    <w:rsid w:val="00023241"/>
    <w:rsid w:val="000234A3"/>
    <w:rsid w:val="000242AB"/>
    <w:rsid w:val="0002495F"/>
    <w:rsid w:val="00024985"/>
    <w:rsid w:val="00024A37"/>
    <w:rsid w:val="00024B8D"/>
    <w:rsid w:val="00024CB9"/>
    <w:rsid w:val="00024DF6"/>
    <w:rsid w:val="00025008"/>
    <w:rsid w:val="000250CF"/>
    <w:rsid w:val="0002533B"/>
    <w:rsid w:val="000256BE"/>
    <w:rsid w:val="00025779"/>
    <w:rsid w:val="00025906"/>
    <w:rsid w:val="00025A89"/>
    <w:rsid w:val="00025BA7"/>
    <w:rsid w:val="00025E0C"/>
    <w:rsid w:val="00025F25"/>
    <w:rsid w:val="000261F3"/>
    <w:rsid w:val="00026268"/>
    <w:rsid w:val="00026518"/>
    <w:rsid w:val="00026527"/>
    <w:rsid w:val="0002652B"/>
    <w:rsid w:val="00026554"/>
    <w:rsid w:val="00026B9B"/>
    <w:rsid w:val="00026C36"/>
    <w:rsid w:val="0002710C"/>
    <w:rsid w:val="0002719C"/>
    <w:rsid w:val="0002771E"/>
    <w:rsid w:val="0002782B"/>
    <w:rsid w:val="00027A74"/>
    <w:rsid w:val="00027B32"/>
    <w:rsid w:val="00027C43"/>
    <w:rsid w:val="00027D41"/>
    <w:rsid w:val="0003029C"/>
    <w:rsid w:val="00030499"/>
    <w:rsid w:val="000305DA"/>
    <w:rsid w:val="000306D3"/>
    <w:rsid w:val="00030992"/>
    <w:rsid w:val="00031165"/>
    <w:rsid w:val="0003130A"/>
    <w:rsid w:val="0003147F"/>
    <w:rsid w:val="000316B1"/>
    <w:rsid w:val="00031A01"/>
    <w:rsid w:val="00031A8E"/>
    <w:rsid w:val="00031E57"/>
    <w:rsid w:val="00031E5B"/>
    <w:rsid w:val="00031F21"/>
    <w:rsid w:val="0003215A"/>
    <w:rsid w:val="000322C4"/>
    <w:rsid w:val="000325AD"/>
    <w:rsid w:val="00032724"/>
    <w:rsid w:val="000327C1"/>
    <w:rsid w:val="00032D55"/>
    <w:rsid w:val="000332DB"/>
    <w:rsid w:val="000332E0"/>
    <w:rsid w:val="000334B5"/>
    <w:rsid w:val="000338CC"/>
    <w:rsid w:val="000338F5"/>
    <w:rsid w:val="0003390F"/>
    <w:rsid w:val="0003397E"/>
    <w:rsid w:val="00033C85"/>
    <w:rsid w:val="00033CCE"/>
    <w:rsid w:val="00033CF2"/>
    <w:rsid w:val="00034196"/>
    <w:rsid w:val="00034420"/>
    <w:rsid w:val="0003450E"/>
    <w:rsid w:val="000345E4"/>
    <w:rsid w:val="00034698"/>
    <w:rsid w:val="000346F4"/>
    <w:rsid w:val="0003494D"/>
    <w:rsid w:val="000350BF"/>
    <w:rsid w:val="000354DB"/>
    <w:rsid w:val="00035932"/>
    <w:rsid w:val="00035B89"/>
    <w:rsid w:val="00035D06"/>
    <w:rsid w:val="0003603B"/>
    <w:rsid w:val="00036154"/>
    <w:rsid w:val="000366CF"/>
    <w:rsid w:val="00036720"/>
    <w:rsid w:val="00036893"/>
    <w:rsid w:val="0003697E"/>
    <w:rsid w:val="000369B9"/>
    <w:rsid w:val="00036BAF"/>
    <w:rsid w:val="00036DC6"/>
    <w:rsid w:val="00036EF5"/>
    <w:rsid w:val="00036F00"/>
    <w:rsid w:val="00037133"/>
    <w:rsid w:val="0003716F"/>
    <w:rsid w:val="000372C5"/>
    <w:rsid w:val="000373E9"/>
    <w:rsid w:val="000375C8"/>
    <w:rsid w:val="0003786F"/>
    <w:rsid w:val="000379B5"/>
    <w:rsid w:val="00037D4D"/>
    <w:rsid w:val="00037DDB"/>
    <w:rsid w:val="0004024C"/>
    <w:rsid w:val="0004025D"/>
    <w:rsid w:val="0004035F"/>
    <w:rsid w:val="0004043A"/>
    <w:rsid w:val="0004075C"/>
    <w:rsid w:val="00040890"/>
    <w:rsid w:val="000408C0"/>
    <w:rsid w:val="000408DA"/>
    <w:rsid w:val="00040B16"/>
    <w:rsid w:val="00040B1A"/>
    <w:rsid w:val="00040F84"/>
    <w:rsid w:val="0004168E"/>
    <w:rsid w:val="000418D0"/>
    <w:rsid w:val="00041A2A"/>
    <w:rsid w:val="00041F04"/>
    <w:rsid w:val="00041F12"/>
    <w:rsid w:val="00042270"/>
    <w:rsid w:val="0004230A"/>
    <w:rsid w:val="0004236B"/>
    <w:rsid w:val="000423CC"/>
    <w:rsid w:val="000425B5"/>
    <w:rsid w:val="0004278E"/>
    <w:rsid w:val="00042A5A"/>
    <w:rsid w:val="00042ACA"/>
    <w:rsid w:val="00042B15"/>
    <w:rsid w:val="00042BAE"/>
    <w:rsid w:val="00042DCC"/>
    <w:rsid w:val="00042FD7"/>
    <w:rsid w:val="000439BE"/>
    <w:rsid w:val="00043B39"/>
    <w:rsid w:val="00043B79"/>
    <w:rsid w:val="00043BC1"/>
    <w:rsid w:val="00043DD8"/>
    <w:rsid w:val="000440F0"/>
    <w:rsid w:val="000440F3"/>
    <w:rsid w:val="000441DF"/>
    <w:rsid w:val="00044325"/>
    <w:rsid w:val="000443EE"/>
    <w:rsid w:val="000447B9"/>
    <w:rsid w:val="00044880"/>
    <w:rsid w:val="00044A55"/>
    <w:rsid w:val="00044CE1"/>
    <w:rsid w:val="00044EFB"/>
    <w:rsid w:val="0004509A"/>
    <w:rsid w:val="000450A1"/>
    <w:rsid w:val="000450BB"/>
    <w:rsid w:val="00045753"/>
    <w:rsid w:val="00045779"/>
    <w:rsid w:val="000459C7"/>
    <w:rsid w:val="000461D3"/>
    <w:rsid w:val="0004656E"/>
    <w:rsid w:val="0004697F"/>
    <w:rsid w:val="0004707C"/>
    <w:rsid w:val="000472EB"/>
    <w:rsid w:val="000477E0"/>
    <w:rsid w:val="00047AEC"/>
    <w:rsid w:val="00047D32"/>
    <w:rsid w:val="00047FC4"/>
    <w:rsid w:val="00050141"/>
    <w:rsid w:val="000502AD"/>
    <w:rsid w:val="00050425"/>
    <w:rsid w:val="0005077B"/>
    <w:rsid w:val="000508B8"/>
    <w:rsid w:val="00050B1B"/>
    <w:rsid w:val="00050CFA"/>
    <w:rsid w:val="00050E4F"/>
    <w:rsid w:val="00050F95"/>
    <w:rsid w:val="0005143B"/>
    <w:rsid w:val="00051535"/>
    <w:rsid w:val="000515E2"/>
    <w:rsid w:val="00051725"/>
    <w:rsid w:val="00051A8E"/>
    <w:rsid w:val="00051ABB"/>
    <w:rsid w:val="00051AE7"/>
    <w:rsid w:val="000520E4"/>
    <w:rsid w:val="00052118"/>
    <w:rsid w:val="0005230B"/>
    <w:rsid w:val="000523A6"/>
    <w:rsid w:val="000525EB"/>
    <w:rsid w:val="0005264E"/>
    <w:rsid w:val="00052ABA"/>
    <w:rsid w:val="00052B81"/>
    <w:rsid w:val="00052E0D"/>
    <w:rsid w:val="0005352E"/>
    <w:rsid w:val="000537A4"/>
    <w:rsid w:val="00053B19"/>
    <w:rsid w:val="00053DE8"/>
    <w:rsid w:val="000545CF"/>
    <w:rsid w:val="0005460E"/>
    <w:rsid w:val="0005480C"/>
    <w:rsid w:val="00055032"/>
    <w:rsid w:val="00055205"/>
    <w:rsid w:val="00055798"/>
    <w:rsid w:val="0005591A"/>
    <w:rsid w:val="0005593C"/>
    <w:rsid w:val="0005595B"/>
    <w:rsid w:val="00055C2A"/>
    <w:rsid w:val="00055FB1"/>
    <w:rsid w:val="0005632C"/>
    <w:rsid w:val="0005657F"/>
    <w:rsid w:val="0005658E"/>
    <w:rsid w:val="000568A0"/>
    <w:rsid w:val="00056A7E"/>
    <w:rsid w:val="00056AD9"/>
    <w:rsid w:val="00056BC4"/>
    <w:rsid w:val="00056E2A"/>
    <w:rsid w:val="00056ED4"/>
    <w:rsid w:val="000572AD"/>
    <w:rsid w:val="000575DA"/>
    <w:rsid w:val="0005792E"/>
    <w:rsid w:val="00057C70"/>
    <w:rsid w:val="00057D3A"/>
    <w:rsid w:val="00057DAB"/>
    <w:rsid w:val="00060067"/>
    <w:rsid w:val="0006029A"/>
    <w:rsid w:val="00060335"/>
    <w:rsid w:val="000604F5"/>
    <w:rsid w:val="000605E2"/>
    <w:rsid w:val="000607F5"/>
    <w:rsid w:val="000608E9"/>
    <w:rsid w:val="00060A1A"/>
    <w:rsid w:val="00060A4D"/>
    <w:rsid w:val="00060BEE"/>
    <w:rsid w:val="00060C61"/>
    <w:rsid w:val="00060D56"/>
    <w:rsid w:val="00061046"/>
    <w:rsid w:val="000610B6"/>
    <w:rsid w:val="00061360"/>
    <w:rsid w:val="000615D6"/>
    <w:rsid w:val="00061ADC"/>
    <w:rsid w:val="00061E42"/>
    <w:rsid w:val="00061FA9"/>
    <w:rsid w:val="000620D9"/>
    <w:rsid w:val="000624E3"/>
    <w:rsid w:val="00062522"/>
    <w:rsid w:val="000627D2"/>
    <w:rsid w:val="00062AD0"/>
    <w:rsid w:val="00063151"/>
    <w:rsid w:val="00063168"/>
    <w:rsid w:val="0006319C"/>
    <w:rsid w:val="00063493"/>
    <w:rsid w:val="000634AD"/>
    <w:rsid w:val="000634C0"/>
    <w:rsid w:val="00063BC5"/>
    <w:rsid w:val="00063EF3"/>
    <w:rsid w:val="000641C6"/>
    <w:rsid w:val="0006433A"/>
    <w:rsid w:val="0006433D"/>
    <w:rsid w:val="000643BF"/>
    <w:rsid w:val="000649C6"/>
    <w:rsid w:val="00064BD2"/>
    <w:rsid w:val="00064E52"/>
    <w:rsid w:val="000650B2"/>
    <w:rsid w:val="00065158"/>
    <w:rsid w:val="0006520A"/>
    <w:rsid w:val="00065858"/>
    <w:rsid w:val="000658DE"/>
    <w:rsid w:val="00065AF2"/>
    <w:rsid w:val="00065B95"/>
    <w:rsid w:val="00065ED5"/>
    <w:rsid w:val="00065F10"/>
    <w:rsid w:val="000664DD"/>
    <w:rsid w:val="000667AD"/>
    <w:rsid w:val="00066BED"/>
    <w:rsid w:val="00066C97"/>
    <w:rsid w:val="00067966"/>
    <w:rsid w:val="00067EBB"/>
    <w:rsid w:val="000703D9"/>
    <w:rsid w:val="00070839"/>
    <w:rsid w:val="00070A79"/>
    <w:rsid w:val="00070D6A"/>
    <w:rsid w:val="0007108A"/>
    <w:rsid w:val="00071488"/>
    <w:rsid w:val="00071716"/>
    <w:rsid w:val="00071CA9"/>
    <w:rsid w:val="00071E2A"/>
    <w:rsid w:val="00071EF1"/>
    <w:rsid w:val="00071F12"/>
    <w:rsid w:val="00072960"/>
    <w:rsid w:val="00072BA0"/>
    <w:rsid w:val="00072BF7"/>
    <w:rsid w:val="00072E48"/>
    <w:rsid w:val="0007327C"/>
    <w:rsid w:val="00073280"/>
    <w:rsid w:val="0007346D"/>
    <w:rsid w:val="0007358C"/>
    <w:rsid w:val="0007361A"/>
    <w:rsid w:val="0007380B"/>
    <w:rsid w:val="0007396F"/>
    <w:rsid w:val="00073AC5"/>
    <w:rsid w:val="00073C5B"/>
    <w:rsid w:val="00073C98"/>
    <w:rsid w:val="0007406A"/>
    <w:rsid w:val="000740D8"/>
    <w:rsid w:val="0007417F"/>
    <w:rsid w:val="00074299"/>
    <w:rsid w:val="000742D9"/>
    <w:rsid w:val="0007434C"/>
    <w:rsid w:val="00074411"/>
    <w:rsid w:val="0007443F"/>
    <w:rsid w:val="00074584"/>
    <w:rsid w:val="00074783"/>
    <w:rsid w:val="00074A25"/>
    <w:rsid w:val="00074C5E"/>
    <w:rsid w:val="000752C5"/>
    <w:rsid w:val="00075334"/>
    <w:rsid w:val="00075794"/>
    <w:rsid w:val="0007584A"/>
    <w:rsid w:val="000759B1"/>
    <w:rsid w:val="00075E41"/>
    <w:rsid w:val="00075F48"/>
    <w:rsid w:val="00076107"/>
    <w:rsid w:val="00076108"/>
    <w:rsid w:val="000762A0"/>
    <w:rsid w:val="000766FC"/>
    <w:rsid w:val="000769FC"/>
    <w:rsid w:val="00076F67"/>
    <w:rsid w:val="00077129"/>
    <w:rsid w:val="00077139"/>
    <w:rsid w:val="00077181"/>
    <w:rsid w:val="000774CC"/>
    <w:rsid w:val="000776A5"/>
    <w:rsid w:val="000778C9"/>
    <w:rsid w:val="0007798F"/>
    <w:rsid w:val="00077A3E"/>
    <w:rsid w:val="00077D72"/>
    <w:rsid w:val="00077E61"/>
    <w:rsid w:val="00080060"/>
    <w:rsid w:val="000800DC"/>
    <w:rsid w:val="00080164"/>
    <w:rsid w:val="0008046D"/>
    <w:rsid w:val="0008052D"/>
    <w:rsid w:val="0008055C"/>
    <w:rsid w:val="000806D7"/>
    <w:rsid w:val="00080A00"/>
    <w:rsid w:val="00080AE7"/>
    <w:rsid w:val="00081012"/>
    <w:rsid w:val="0008187F"/>
    <w:rsid w:val="00081D75"/>
    <w:rsid w:val="000828DA"/>
    <w:rsid w:val="00082954"/>
    <w:rsid w:val="00082DA8"/>
    <w:rsid w:val="00082E58"/>
    <w:rsid w:val="00082F4A"/>
    <w:rsid w:val="00082FDF"/>
    <w:rsid w:val="0008309E"/>
    <w:rsid w:val="0008358F"/>
    <w:rsid w:val="00083986"/>
    <w:rsid w:val="00083E6A"/>
    <w:rsid w:val="000840D6"/>
    <w:rsid w:val="00084184"/>
    <w:rsid w:val="000842C8"/>
    <w:rsid w:val="00084C58"/>
    <w:rsid w:val="0008526E"/>
    <w:rsid w:val="000855CF"/>
    <w:rsid w:val="00085755"/>
    <w:rsid w:val="00085884"/>
    <w:rsid w:val="00085ADF"/>
    <w:rsid w:val="00085D60"/>
    <w:rsid w:val="00086761"/>
    <w:rsid w:val="000867D6"/>
    <w:rsid w:val="000868FD"/>
    <w:rsid w:val="00086AE4"/>
    <w:rsid w:val="00086CF3"/>
    <w:rsid w:val="00086F14"/>
    <w:rsid w:val="0008709A"/>
    <w:rsid w:val="000870CC"/>
    <w:rsid w:val="000870FA"/>
    <w:rsid w:val="00087381"/>
    <w:rsid w:val="00087417"/>
    <w:rsid w:val="000877B9"/>
    <w:rsid w:val="0008796C"/>
    <w:rsid w:val="00087C9A"/>
    <w:rsid w:val="00087F70"/>
    <w:rsid w:val="00090172"/>
    <w:rsid w:val="00090239"/>
    <w:rsid w:val="000905E3"/>
    <w:rsid w:val="0009063F"/>
    <w:rsid w:val="00090A9E"/>
    <w:rsid w:val="00090C41"/>
    <w:rsid w:val="00090D67"/>
    <w:rsid w:val="00090D8A"/>
    <w:rsid w:val="000910E7"/>
    <w:rsid w:val="0009140A"/>
    <w:rsid w:val="00091422"/>
    <w:rsid w:val="00091727"/>
    <w:rsid w:val="0009187D"/>
    <w:rsid w:val="00092134"/>
    <w:rsid w:val="000925BF"/>
    <w:rsid w:val="0009275A"/>
    <w:rsid w:val="00092A09"/>
    <w:rsid w:val="00092FA7"/>
    <w:rsid w:val="00093271"/>
    <w:rsid w:val="000932E0"/>
    <w:rsid w:val="000933F3"/>
    <w:rsid w:val="000936D2"/>
    <w:rsid w:val="00093AA3"/>
    <w:rsid w:val="00093FFA"/>
    <w:rsid w:val="000944BE"/>
    <w:rsid w:val="000944EB"/>
    <w:rsid w:val="00094B5F"/>
    <w:rsid w:val="00094D73"/>
    <w:rsid w:val="00094DD8"/>
    <w:rsid w:val="000950A3"/>
    <w:rsid w:val="00095209"/>
    <w:rsid w:val="000952A4"/>
    <w:rsid w:val="000953EC"/>
    <w:rsid w:val="000954B2"/>
    <w:rsid w:val="0009550B"/>
    <w:rsid w:val="00095597"/>
    <w:rsid w:val="0009587D"/>
    <w:rsid w:val="00095918"/>
    <w:rsid w:val="00095BF2"/>
    <w:rsid w:val="00095CD1"/>
    <w:rsid w:val="00095F39"/>
    <w:rsid w:val="0009601D"/>
    <w:rsid w:val="00096826"/>
    <w:rsid w:val="000969E6"/>
    <w:rsid w:val="00096B28"/>
    <w:rsid w:val="00096B9B"/>
    <w:rsid w:val="00096C71"/>
    <w:rsid w:val="00096ED8"/>
    <w:rsid w:val="000972AD"/>
    <w:rsid w:val="000974C6"/>
    <w:rsid w:val="000978BE"/>
    <w:rsid w:val="00097CAC"/>
    <w:rsid w:val="000A0007"/>
    <w:rsid w:val="000A0094"/>
    <w:rsid w:val="000A00E5"/>
    <w:rsid w:val="000A0168"/>
    <w:rsid w:val="000A01C2"/>
    <w:rsid w:val="000A01E8"/>
    <w:rsid w:val="000A0322"/>
    <w:rsid w:val="000A06B3"/>
    <w:rsid w:val="000A099F"/>
    <w:rsid w:val="000A0B11"/>
    <w:rsid w:val="000A108B"/>
    <w:rsid w:val="000A11BA"/>
    <w:rsid w:val="000A1378"/>
    <w:rsid w:val="000A1896"/>
    <w:rsid w:val="000A18B4"/>
    <w:rsid w:val="000A191B"/>
    <w:rsid w:val="000A197A"/>
    <w:rsid w:val="000A1A59"/>
    <w:rsid w:val="000A1C50"/>
    <w:rsid w:val="000A1CCB"/>
    <w:rsid w:val="000A1CEA"/>
    <w:rsid w:val="000A1E4F"/>
    <w:rsid w:val="000A1EE5"/>
    <w:rsid w:val="000A1F24"/>
    <w:rsid w:val="000A2512"/>
    <w:rsid w:val="000A26DF"/>
    <w:rsid w:val="000A285A"/>
    <w:rsid w:val="000A2961"/>
    <w:rsid w:val="000A2A10"/>
    <w:rsid w:val="000A2D89"/>
    <w:rsid w:val="000A2DAA"/>
    <w:rsid w:val="000A2F2D"/>
    <w:rsid w:val="000A2FCA"/>
    <w:rsid w:val="000A32CA"/>
    <w:rsid w:val="000A3452"/>
    <w:rsid w:val="000A3588"/>
    <w:rsid w:val="000A367F"/>
    <w:rsid w:val="000A3683"/>
    <w:rsid w:val="000A3986"/>
    <w:rsid w:val="000A3AF0"/>
    <w:rsid w:val="000A3C15"/>
    <w:rsid w:val="000A3C17"/>
    <w:rsid w:val="000A3F67"/>
    <w:rsid w:val="000A4124"/>
    <w:rsid w:val="000A422D"/>
    <w:rsid w:val="000A435B"/>
    <w:rsid w:val="000A4639"/>
    <w:rsid w:val="000A4760"/>
    <w:rsid w:val="000A48E2"/>
    <w:rsid w:val="000A4955"/>
    <w:rsid w:val="000A4995"/>
    <w:rsid w:val="000A4B82"/>
    <w:rsid w:val="000A4CA8"/>
    <w:rsid w:val="000A5371"/>
    <w:rsid w:val="000A5405"/>
    <w:rsid w:val="000A55C9"/>
    <w:rsid w:val="000A56B8"/>
    <w:rsid w:val="000A603D"/>
    <w:rsid w:val="000A6346"/>
    <w:rsid w:val="000A640D"/>
    <w:rsid w:val="000A66AC"/>
    <w:rsid w:val="000A677A"/>
    <w:rsid w:val="000A69EC"/>
    <w:rsid w:val="000A6BD5"/>
    <w:rsid w:val="000A6BEF"/>
    <w:rsid w:val="000A6E84"/>
    <w:rsid w:val="000A6EA4"/>
    <w:rsid w:val="000A6F4F"/>
    <w:rsid w:val="000A731C"/>
    <w:rsid w:val="000A760B"/>
    <w:rsid w:val="000A76A4"/>
    <w:rsid w:val="000A78AC"/>
    <w:rsid w:val="000A7A7D"/>
    <w:rsid w:val="000A7B01"/>
    <w:rsid w:val="000A7B30"/>
    <w:rsid w:val="000A7C19"/>
    <w:rsid w:val="000A7CBA"/>
    <w:rsid w:val="000A7D3F"/>
    <w:rsid w:val="000A7E6A"/>
    <w:rsid w:val="000B010F"/>
    <w:rsid w:val="000B0C17"/>
    <w:rsid w:val="000B0EB3"/>
    <w:rsid w:val="000B0F2B"/>
    <w:rsid w:val="000B12C4"/>
    <w:rsid w:val="000B1342"/>
    <w:rsid w:val="000B159F"/>
    <w:rsid w:val="000B16EB"/>
    <w:rsid w:val="000B19BA"/>
    <w:rsid w:val="000B1A3E"/>
    <w:rsid w:val="000B1F3B"/>
    <w:rsid w:val="000B204B"/>
    <w:rsid w:val="000B220B"/>
    <w:rsid w:val="000B2258"/>
    <w:rsid w:val="000B22FB"/>
    <w:rsid w:val="000B2451"/>
    <w:rsid w:val="000B2560"/>
    <w:rsid w:val="000B264F"/>
    <w:rsid w:val="000B27F4"/>
    <w:rsid w:val="000B2A24"/>
    <w:rsid w:val="000B2A26"/>
    <w:rsid w:val="000B2A91"/>
    <w:rsid w:val="000B2AB6"/>
    <w:rsid w:val="000B2D2C"/>
    <w:rsid w:val="000B3583"/>
    <w:rsid w:val="000B3865"/>
    <w:rsid w:val="000B3BE0"/>
    <w:rsid w:val="000B3D11"/>
    <w:rsid w:val="000B3F3A"/>
    <w:rsid w:val="000B44A9"/>
    <w:rsid w:val="000B4731"/>
    <w:rsid w:val="000B47C8"/>
    <w:rsid w:val="000B485B"/>
    <w:rsid w:val="000B4CC7"/>
    <w:rsid w:val="000B4DD7"/>
    <w:rsid w:val="000B4FC0"/>
    <w:rsid w:val="000B5799"/>
    <w:rsid w:val="000B57ED"/>
    <w:rsid w:val="000B5950"/>
    <w:rsid w:val="000B5D1C"/>
    <w:rsid w:val="000B5DD4"/>
    <w:rsid w:val="000B5E60"/>
    <w:rsid w:val="000B5F15"/>
    <w:rsid w:val="000B600E"/>
    <w:rsid w:val="000B6249"/>
    <w:rsid w:val="000B62F3"/>
    <w:rsid w:val="000B66DC"/>
    <w:rsid w:val="000B683C"/>
    <w:rsid w:val="000B6890"/>
    <w:rsid w:val="000B695D"/>
    <w:rsid w:val="000B6AA3"/>
    <w:rsid w:val="000B6AEA"/>
    <w:rsid w:val="000B6C0A"/>
    <w:rsid w:val="000B6C53"/>
    <w:rsid w:val="000B71A7"/>
    <w:rsid w:val="000B7644"/>
    <w:rsid w:val="000B7648"/>
    <w:rsid w:val="000B774C"/>
    <w:rsid w:val="000B79EB"/>
    <w:rsid w:val="000B7A16"/>
    <w:rsid w:val="000B7B0E"/>
    <w:rsid w:val="000B7B48"/>
    <w:rsid w:val="000B7EE2"/>
    <w:rsid w:val="000B7F73"/>
    <w:rsid w:val="000B7FE6"/>
    <w:rsid w:val="000C00BC"/>
    <w:rsid w:val="000C0239"/>
    <w:rsid w:val="000C04E5"/>
    <w:rsid w:val="000C0536"/>
    <w:rsid w:val="000C09E1"/>
    <w:rsid w:val="000C0A92"/>
    <w:rsid w:val="000C0DA1"/>
    <w:rsid w:val="000C0DF5"/>
    <w:rsid w:val="000C0F0C"/>
    <w:rsid w:val="000C11F4"/>
    <w:rsid w:val="000C1206"/>
    <w:rsid w:val="000C1F9F"/>
    <w:rsid w:val="000C1FD9"/>
    <w:rsid w:val="000C2244"/>
    <w:rsid w:val="000C2292"/>
    <w:rsid w:val="000C2313"/>
    <w:rsid w:val="000C2464"/>
    <w:rsid w:val="000C24E4"/>
    <w:rsid w:val="000C24EC"/>
    <w:rsid w:val="000C2604"/>
    <w:rsid w:val="000C2EA0"/>
    <w:rsid w:val="000C2F3F"/>
    <w:rsid w:val="000C2FFB"/>
    <w:rsid w:val="000C33B0"/>
    <w:rsid w:val="000C3563"/>
    <w:rsid w:val="000C37CC"/>
    <w:rsid w:val="000C3BA3"/>
    <w:rsid w:val="000C3D97"/>
    <w:rsid w:val="000C3EF8"/>
    <w:rsid w:val="000C41FE"/>
    <w:rsid w:val="000C4C97"/>
    <w:rsid w:val="000C51DC"/>
    <w:rsid w:val="000C573A"/>
    <w:rsid w:val="000C5740"/>
    <w:rsid w:val="000C5DAD"/>
    <w:rsid w:val="000C5E3D"/>
    <w:rsid w:val="000C5E8A"/>
    <w:rsid w:val="000C5EB0"/>
    <w:rsid w:val="000C5F2B"/>
    <w:rsid w:val="000C606B"/>
    <w:rsid w:val="000C6472"/>
    <w:rsid w:val="000C6773"/>
    <w:rsid w:val="000C6B1B"/>
    <w:rsid w:val="000C6BFE"/>
    <w:rsid w:val="000C6D12"/>
    <w:rsid w:val="000C6D72"/>
    <w:rsid w:val="000C6EE4"/>
    <w:rsid w:val="000C7170"/>
    <w:rsid w:val="000C7187"/>
    <w:rsid w:val="000C7277"/>
    <w:rsid w:val="000C74AC"/>
    <w:rsid w:val="000C75F0"/>
    <w:rsid w:val="000C77AC"/>
    <w:rsid w:val="000C7A1E"/>
    <w:rsid w:val="000C7A5E"/>
    <w:rsid w:val="000C7C97"/>
    <w:rsid w:val="000D023E"/>
    <w:rsid w:val="000D02DE"/>
    <w:rsid w:val="000D05B5"/>
    <w:rsid w:val="000D0920"/>
    <w:rsid w:val="000D0944"/>
    <w:rsid w:val="000D0AF9"/>
    <w:rsid w:val="000D0F69"/>
    <w:rsid w:val="000D1065"/>
    <w:rsid w:val="000D12E1"/>
    <w:rsid w:val="000D1657"/>
    <w:rsid w:val="000D1735"/>
    <w:rsid w:val="000D18CC"/>
    <w:rsid w:val="000D1A65"/>
    <w:rsid w:val="000D1AB3"/>
    <w:rsid w:val="000D1FF5"/>
    <w:rsid w:val="000D20C6"/>
    <w:rsid w:val="000D2275"/>
    <w:rsid w:val="000D22E3"/>
    <w:rsid w:val="000D2567"/>
    <w:rsid w:val="000D2652"/>
    <w:rsid w:val="000D276A"/>
    <w:rsid w:val="000D27B1"/>
    <w:rsid w:val="000D28CB"/>
    <w:rsid w:val="000D2A66"/>
    <w:rsid w:val="000D2A71"/>
    <w:rsid w:val="000D2B9B"/>
    <w:rsid w:val="000D2F88"/>
    <w:rsid w:val="000D2FD4"/>
    <w:rsid w:val="000D30D6"/>
    <w:rsid w:val="000D3145"/>
    <w:rsid w:val="000D33DC"/>
    <w:rsid w:val="000D35BE"/>
    <w:rsid w:val="000D3633"/>
    <w:rsid w:val="000D3854"/>
    <w:rsid w:val="000D3855"/>
    <w:rsid w:val="000D3AB0"/>
    <w:rsid w:val="000D3ACE"/>
    <w:rsid w:val="000D3D4F"/>
    <w:rsid w:val="000D4135"/>
    <w:rsid w:val="000D420D"/>
    <w:rsid w:val="000D4383"/>
    <w:rsid w:val="000D4446"/>
    <w:rsid w:val="000D45A2"/>
    <w:rsid w:val="000D4C17"/>
    <w:rsid w:val="000D4C48"/>
    <w:rsid w:val="000D5572"/>
    <w:rsid w:val="000D57CC"/>
    <w:rsid w:val="000D5B45"/>
    <w:rsid w:val="000D5D15"/>
    <w:rsid w:val="000D5EC8"/>
    <w:rsid w:val="000D5FAE"/>
    <w:rsid w:val="000D600D"/>
    <w:rsid w:val="000D6023"/>
    <w:rsid w:val="000D61A8"/>
    <w:rsid w:val="000D6329"/>
    <w:rsid w:val="000D6343"/>
    <w:rsid w:val="000D63D3"/>
    <w:rsid w:val="000D63FB"/>
    <w:rsid w:val="000D649C"/>
    <w:rsid w:val="000D6A14"/>
    <w:rsid w:val="000D6CF0"/>
    <w:rsid w:val="000D7194"/>
    <w:rsid w:val="000D71BB"/>
    <w:rsid w:val="000D7232"/>
    <w:rsid w:val="000D7498"/>
    <w:rsid w:val="000D752B"/>
    <w:rsid w:val="000D7E0A"/>
    <w:rsid w:val="000E0271"/>
    <w:rsid w:val="000E02EC"/>
    <w:rsid w:val="000E0615"/>
    <w:rsid w:val="000E0640"/>
    <w:rsid w:val="000E0A38"/>
    <w:rsid w:val="000E0BDD"/>
    <w:rsid w:val="000E0CF2"/>
    <w:rsid w:val="000E10E9"/>
    <w:rsid w:val="000E1114"/>
    <w:rsid w:val="000E111A"/>
    <w:rsid w:val="000E148B"/>
    <w:rsid w:val="000E1587"/>
    <w:rsid w:val="000E1994"/>
    <w:rsid w:val="000E1B81"/>
    <w:rsid w:val="000E1CE3"/>
    <w:rsid w:val="000E1DDD"/>
    <w:rsid w:val="000E1F4E"/>
    <w:rsid w:val="000E2265"/>
    <w:rsid w:val="000E22BD"/>
    <w:rsid w:val="000E2670"/>
    <w:rsid w:val="000E2913"/>
    <w:rsid w:val="000E2D2C"/>
    <w:rsid w:val="000E2D44"/>
    <w:rsid w:val="000E30C1"/>
    <w:rsid w:val="000E3134"/>
    <w:rsid w:val="000E3430"/>
    <w:rsid w:val="000E351D"/>
    <w:rsid w:val="000E3775"/>
    <w:rsid w:val="000E3A33"/>
    <w:rsid w:val="000E3B16"/>
    <w:rsid w:val="000E3B18"/>
    <w:rsid w:val="000E3F93"/>
    <w:rsid w:val="000E4059"/>
    <w:rsid w:val="000E41BA"/>
    <w:rsid w:val="000E423E"/>
    <w:rsid w:val="000E4582"/>
    <w:rsid w:val="000E4985"/>
    <w:rsid w:val="000E4C51"/>
    <w:rsid w:val="000E4CEA"/>
    <w:rsid w:val="000E4ECC"/>
    <w:rsid w:val="000E5224"/>
    <w:rsid w:val="000E53A7"/>
    <w:rsid w:val="000E5520"/>
    <w:rsid w:val="000E5563"/>
    <w:rsid w:val="000E5D57"/>
    <w:rsid w:val="000E6032"/>
    <w:rsid w:val="000E6346"/>
    <w:rsid w:val="000E663C"/>
    <w:rsid w:val="000E6720"/>
    <w:rsid w:val="000E67D7"/>
    <w:rsid w:val="000E6F38"/>
    <w:rsid w:val="000E6F79"/>
    <w:rsid w:val="000E78C3"/>
    <w:rsid w:val="000E7A47"/>
    <w:rsid w:val="000F043F"/>
    <w:rsid w:val="000F0878"/>
    <w:rsid w:val="000F08C0"/>
    <w:rsid w:val="000F0A1E"/>
    <w:rsid w:val="000F0DC9"/>
    <w:rsid w:val="000F1187"/>
    <w:rsid w:val="000F13BE"/>
    <w:rsid w:val="000F1522"/>
    <w:rsid w:val="000F16DF"/>
    <w:rsid w:val="000F17A3"/>
    <w:rsid w:val="000F194B"/>
    <w:rsid w:val="000F19F5"/>
    <w:rsid w:val="000F19F7"/>
    <w:rsid w:val="000F20D2"/>
    <w:rsid w:val="000F21DF"/>
    <w:rsid w:val="000F250B"/>
    <w:rsid w:val="000F27C5"/>
    <w:rsid w:val="000F2D4E"/>
    <w:rsid w:val="000F2E0F"/>
    <w:rsid w:val="000F2F6A"/>
    <w:rsid w:val="000F3006"/>
    <w:rsid w:val="000F313D"/>
    <w:rsid w:val="000F3413"/>
    <w:rsid w:val="000F341B"/>
    <w:rsid w:val="000F36E2"/>
    <w:rsid w:val="000F39B9"/>
    <w:rsid w:val="000F3AA6"/>
    <w:rsid w:val="000F3B1D"/>
    <w:rsid w:val="000F3C92"/>
    <w:rsid w:val="000F3CE2"/>
    <w:rsid w:val="000F3E54"/>
    <w:rsid w:val="000F3EC4"/>
    <w:rsid w:val="000F408E"/>
    <w:rsid w:val="000F4120"/>
    <w:rsid w:val="000F41B2"/>
    <w:rsid w:val="000F4582"/>
    <w:rsid w:val="000F4627"/>
    <w:rsid w:val="000F46E0"/>
    <w:rsid w:val="000F4723"/>
    <w:rsid w:val="000F47BE"/>
    <w:rsid w:val="000F4889"/>
    <w:rsid w:val="000F489A"/>
    <w:rsid w:val="000F4992"/>
    <w:rsid w:val="000F49CC"/>
    <w:rsid w:val="000F4B1A"/>
    <w:rsid w:val="000F4D4E"/>
    <w:rsid w:val="000F4E53"/>
    <w:rsid w:val="000F51E1"/>
    <w:rsid w:val="000F5340"/>
    <w:rsid w:val="000F5684"/>
    <w:rsid w:val="000F5827"/>
    <w:rsid w:val="000F5A06"/>
    <w:rsid w:val="000F5A36"/>
    <w:rsid w:val="000F5AC0"/>
    <w:rsid w:val="000F5F33"/>
    <w:rsid w:val="000F624C"/>
    <w:rsid w:val="000F62BA"/>
    <w:rsid w:val="000F6391"/>
    <w:rsid w:val="000F63C7"/>
    <w:rsid w:val="000F6C46"/>
    <w:rsid w:val="000F709C"/>
    <w:rsid w:val="000F738A"/>
    <w:rsid w:val="000F7550"/>
    <w:rsid w:val="000F779F"/>
    <w:rsid w:val="000F7866"/>
    <w:rsid w:val="000F79B2"/>
    <w:rsid w:val="000F7C57"/>
    <w:rsid w:val="000F7CD9"/>
    <w:rsid w:val="000F7DAC"/>
    <w:rsid w:val="000F7F1E"/>
    <w:rsid w:val="00100137"/>
    <w:rsid w:val="0010064B"/>
    <w:rsid w:val="00100677"/>
    <w:rsid w:val="00100B00"/>
    <w:rsid w:val="00100BCF"/>
    <w:rsid w:val="00100D57"/>
    <w:rsid w:val="00101210"/>
    <w:rsid w:val="0010130B"/>
    <w:rsid w:val="001014D3"/>
    <w:rsid w:val="00101687"/>
    <w:rsid w:val="00101835"/>
    <w:rsid w:val="00101A25"/>
    <w:rsid w:val="001024DD"/>
    <w:rsid w:val="001025CC"/>
    <w:rsid w:val="00102EBF"/>
    <w:rsid w:val="00103057"/>
    <w:rsid w:val="00103199"/>
    <w:rsid w:val="001033E5"/>
    <w:rsid w:val="00103980"/>
    <w:rsid w:val="00103984"/>
    <w:rsid w:val="00103CD3"/>
    <w:rsid w:val="00103D5D"/>
    <w:rsid w:val="00104139"/>
    <w:rsid w:val="00104456"/>
    <w:rsid w:val="00104584"/>
    <w:rsid w:val="0010460E"/>
    <w:rsid w:val="0010467D"/>
    <w:rsid w:val="001046F5"/>
    <w:rsid w:val="0010494E"/>
    <w:rsid w:val="00104B69"/>
    <w:rsid w:val="00104B9D"/>
    <w:rsid w:val="00104C91"/>
    <w:rsid w:val="00105470"/>
    <w:rsid w:val="00105AFF"/>
    <w:rsid w:val="00105DB5"/>
    <w:rsid w:val="00105E74"/>
    <w:rsid w:val="00105EAE"/>
    <w:rsid w:val="00106065"/>
    <w:rsid w:val="0010607D"/>
    <w:rsid w:val="001060A4"/>
    <w:rsid w:val="0010644E"/>
    <w:rsid w:val="00106562"/>
    <w:rsid w:val="00106918"/>
    <w:rsid w:val="00106E2C"/>
    <w:rsid w:val="00106F77"/>
    <w:rsid w:val="00107478"/>
    <w:rsid w:val="001074F6"/>
    <w:rsid w:val="0010756F"/>
    <w:rsid w:val="00107901"/>
    <w:rsid w:val="00107BCC"/>
    <w:rsid w:val="00107BDA"/>
    <w:rsid w:val="00107BE2"/>
    <w:rsid w:val="00107C9A"/>
    <w:rsid w:val="00107DE7"/>
    <w:rsid w:val="00107EF8"/>
    <w:rsid w:val="00110466"/>
    <w:rsid w:val="001106EE"/>
    <w:rsid w:val="00110A08"/>
    <w:rsid w:val="00110CE8"/>
    <w:rsid w:val="00110F66"/>
    <w:rsid w:val="00111230"/>
    <w:rsid w:val="001116FF"/>
    <w:rsid w:val="00111997"/>
    <w:rsid w:val="00111AF1"/>
    <w:rsid w:val="00111C04"/>
    <w:rsid w:val="00111C40"/>
    <w:rsid w:val="00111C8F"/>
    <w:rsid w:val="00111E0C"/>
    <w:rsid w:val="00111F7D"/>
    <w:rsid w:val="001126E7"/>
    <w:rsid w:val="00112981"/>
    <w:rsid w:val="00112B5F"/>
    <w:rsid w:val="00113301"/>
    <w:rsid w:val="001135F3"/>
    <w:rsid w:val="00113632"/>
    <w:rsid w:val="00113736"/>
    <w:rsid w:val="00113ACE"/>
    <w:rsid w:val="00113B9E"/>
    <w:rsid w:val="00113C44"/>
    <w:rsid w:val="00113DF6"/>
    <w:rsid w:val="00113F0A"/>
    <w:rsid w:val="0011405E"/>
    <w:rsid w:val="001143F5"/>
    <w:rsid w:val="001145D8"/>
    <w:rsid w:val="0011476D"/>
    <w:rsid w:val="00114856"/>
    <w:rsid w:val="00114AC9"/>
    <w:rsid w:val="00114C63"/>
    <w:rsid w:val="00114C82"/>
    <w:rsid w:val="00114E79"/>
    <w:rsid w:val="00114F54"/>
    <w:rsid w:val="00114FF6"/>
    <w:rsid w:val="0011508B"/>
    <w:rsid w:val="00115276"/>
    <w:rsid w:val="00115AC0"/>
    <w:rsid w:val="00115B15"/>
    <w:rsid w:val="00115B1B"/>
    <w:rsid w:val="00115BB3"/>
    <w:rsid w:val="00115EE5"/>
    <w:rsid w:val="00115FC0"/>
    <w:rsid w:val="00116069"/>
    <w:rsid w:val="001161E6"/>
    <w:rsid w:val="00116572"/>
    <w:rsid w:val="0011660B"/>
    <w:rsid w:val="00116A63"/>
    <w:rsid w:val="00116B9C"/>
    <w:rsid w:val="00116DFF"/>
    <w:rsid w:val="00116ED8"/>
    <w:rsid w:val="00117194"/>
    <w:rsid w:val="00117290"/>
    <w:rsid w:val="0011742E"/>
    <w:rsid w:val="001175F5"/>
    <w:rsid w:val="00117A4F"/>
    <w:rsid w:val="00117B61"/>
    <w:rsid w:val="00117BC6"/>
    <w:rsid w:val="00117C96"/>
    <w:rsid w:val="00117D7F"/>
    <w:rsid w:val="00120142"/>
    <w:rsid w:val="00120300"/>
    <w:rsid w:val="00120343"/>
    <w:rsid w:val="001207F8"/>
    <w:rsid w:val="001208E8"/>
    <w:rsid w:val="00120981"/>
    <w:rsid w:val="001209FE"/>
    <w:rsid w:val="00120BE9"/>
    <w:rsid w:val="00120E1A"/>
    <w:rsid w:val="00120F86"/>
    <w:rsid w:val="00120FBB"/>
    <w:rsid w:val="00121194"/>
    <w:rsid w:val="001215CD"/>
    <w:rsid w:val="00121736"/>
    <w:rsid w:val="00121835"/>
    <w:rsid w:val="0012192E"/>
    <w:rsid w:val="0012204A"/>
    <w:rsid w:val="00122436"/>
    <w:rsid w:val="00122873"/>
    <w:rsid w:val="00122C1B"/>
    <w:rsid w:val="00122FCD"/>
    <w:rsid w:val="00123138"/>
    <w:rsid w:val="00123312"/>
    <w:rsid w:val="0012333C"/>
    <w:rsid w:val="001233C4"/>
    <w:rsid w:val="0012345D"/>
    <w:rsid w:val="001234DC"/>
    <w:rsid w:val="001235E9"/>
    <w:rsid w:val="001236B5"/>
    <w:rsid w:val="00123964"/>
    <w:rsid w:val="00123A10"/>
    <w:rsid w:val="00123A78"/>
    <w:rsid w:val="00123D18"/>
    <w:rsid w:val="00123DE6"/>
    <w:rsid w:val="00123FA0"/>
    <w:rsid w:val="001241E9"/>
    <w:rsid w:val="00124656"/>
    <w:rsid w:val="001247BD"/>
    <w:rsid w:val="00124A20"/>
    <w:rsid w:val="00124A3F"/>
    <w:rsid w:val="00124B00"/>
    <w:rsid w:val="00124BAA"/>
    <w:rsid w:val="00124BB9"/>
    <w:rsid w:val="00124DF1"/>
    <w:rsid w:val="0012522E"/>
    <w:rsid w:val="001253B5"/>
    <w:rsid w:val="0012570F"/>
    <w:rsid w:val="00125818"/>
    <w:rsid w:val="00125BB1"/>
    <w:rsid w:val="00125EC8"/>
    <w:rsid w:val="00125F16"/>
    <w:rsid w:val="00125F35"/>
    <w:rsid w:val="00126056"/>
    <w:rsid w:val="0012622C"/>
    <w:rsid w:val="0012640F"/>
    <w:rsid w:val="0012671E"/>
    <w:rsid w:val="00126A71"/>
    <w:rsid w:val="00126ACF"/>
    <w:rsid w:val="00126DDB"/>
    <w:rsid w:val="0012747C"/>
    <w:rsid w:val="00127C1E"/>
    <w:rsid w:val="0013021B"/>
    <w:rsid w:val="0013038D"/>
    <w:rsid w:val="001304CD"/>
    <w:rsid w:val="001305D8"/>
    <w:rsid w:val="0013086C"/>
    <w:rsid w:val="001308F8"/>
    <w:rsid w:val="00130A89"/>
    <w:rsid w:val="00130AD3"/>
    <w:rsid w:val="00130B29"/>
    <w:rsid w:val="00130BA5"/>
    <w:rsid w:val="00130C3B"/>
    <w:rsid w:val="00130C72"/>
    <w:rsid w:val="00130CE7"/>
    <w:rsid w:val="00131178"/>
    <w:rsid w:val="0013128F"/>
    <w:rsid w:val="0013192F"/>
    <w:rsid w:val="00131ACE"/>
    <w:rsid w:val="001320B0"/>
    <w:rsid w:val="00132199"/>
    <w:rsid w:val="001325D4"/>
    <w:rsid w:val="00132690"/>
    <w:rsid w:val="001326F7"/>
    <w:rsid w:val="0013275D"/>
    <w:rsid w:val="00132784"/>
    <w:rsid w:val="0013290C"/>
    <w:rsid w:val="00132966"/>
    <w:rsid w:val="00132BBA"/>
    <w:rsid w:val="00132E54"/>
    <w:rsid w:val="00132EEA"/>
    <w:rsid w:val="00132F77"/>
    <w:rsid w:val="0013305A"/>
    <w:rsid w:val="00133560"/>
    <w:rsid w:val="0013369D"/>
    <w:rsid w:val="00133729"/>
    <w:rsid w:val="00133736"/>
    <w:rsid w:val="001337CD"/>
    <w:rsid w:val="0013394F"/>
    <w:rsid w:val="00133A44"/>
    <w:rsid w:val="00133A96"/>
    <w:rsid w:val="001341B8"/>
    <w:rsid w:val="0013427B"/>
    <w:rsid w:val="0013442D"/>
    <w:rsid w:val="00134486"/>
    <w:rsid w:val="00134620"/>
    <w:rsid w:val="00134B71"/>
    <w:rsid w:val="00134E0C"/>
    <w:rsid w:val="00134F84"/>
    <w:rsid w:val="001350B1"/>
    <w:rsid w:val="001352C4"/>
    <w:rsid w:val="0013532A"/>
    <w:rsid w:val="0013551F"/>
    <w:rsid w:val="0013567F"/>
    <w:rsid w:val="0013568D"/>
    <w:rsid w:val="001357D5"/>
    <w:rsid w:val="00135950"/>
    <w:rsid w:val="0013597D"/>
    <w:rsid w:val="001359B4"/>
    <w:rsid w:val="00135A9B"/>
    <w:rsid w:val="00135CC8"/>
    <w:rsid w:val="0013616B"/>
    <w:rsid w:val="00136346"/>
    <w:rsid w:val="0013654B"/>
    <w:rsid w:val="001366CB"/>
    <w:rsid w:val="0013679B"/>
    <w:rsid w:val="00136EC1"/>
    <w:rsid w:val="001370EE"/>
    <w:rsid w:val="00137198"/>
    <w:rsid w:val="001372C6"/>
    <w:rsid w:val="00137424"/>
    <w:rsid w:val="001374B0"/>
    <w:rsid w:val="0013755A"/>
    <w:rsid w:val="001376F3"/>
    <w:rsid w:val="0013771B"/>
    <w:rsid w:val="001377C3"/>
    <w:rsid w:val="00137A30"/>
    <w:rsid w:val="00137AA1"/>
    <w:rsid w:val="00137B91"/>
    <w:rsid w:val="00137EA0"/>
    <w:rsid w:val="0014002B"/>
    <w:rsid w:val="00140139"/>
    <w:rsid w:val="00140256"/>
    <w:rsid w:val="00140304"/>
    <w:rsid w:val="0014061E"/>
    <w:rsid w:val="00140952"/>
    <w:rsid w:val="00140982"/>
    <w:rsid w:val="00140AD5"/>
    <w:rsid w:val="00140E4F"/>
    <w:rsid w:val="001410C2"/>
    <w:rsid w:val="0014116A"/>
    <w:rsid w:val="001411BC"/>
    <w:rsid w:val="0014136E"/>
    <w:rsid w:val="001415C8"/>
    <w:rsid w:val="001415E7"/>
    <w:rsid w:val="0014183B"/>
    <w:rsid w:val="00141923"/>
    <w:rsid w:val="00141D37"/>
    <w:rsid w:val="00141DF8"/>
    <w:rsid w:val="00142453"/>
    <w:rsid w:val="00142671"/>
    <w:rsid w:val="00142756"/>
    <w:rsid w:val="00142B45"/>
    <w:rsid w:val="00142BCB"/>
    <w:rsid w:val="00142CA2"/>
    <w:rsid w:val="00142F25"/>
    <w:rsid w:val="001432ED"/>
    <w:rsid w:val="00143518"/>
    <w:rsid w:val="0014372C"/>
    <w:rsid w:val="00143741"/>
    <w:rsid w:val="00143A24"/>
    <w:rsid w:val="00143C56"/>
    <w:rsid w:val="00143CB6"/>
    <w:rsid w:val="00143D0D"/>
    <w:rsid w:val="00144155"/>
    <w:rsid w:val="001442BD"/>
    <w:rsid w:val="001442F3"/>
    <w:rsid w:val="00144351"/>
    <w:rsid w:val="001444A2"/>
    <w:rsid w:val="0014455D"/>
    <w:rsid w:val="0014484D"/>
    <w:rsid w:val="00144C2E"/>
    <w:rsid w:val="00144D20"/>
    <w:rsid w:val="00144D89"/>
    <w:rsid w:val="00144F3E"/>
    <w:rsid w:val="00144F46"/>
    <w:rsid w:val="0014517D"/>
    <w:rsid w:val="001451D8"/>
    <w:rsid w:val="00145372"/>
    <w:rsid w:val="00145510"/>
    <w:rsid w:val="00145B03"/>
    <w:rsid w:val="00145B96"/>
    <w:rsid w:val="00145D20"/>
    <w:rsid w:val="001461E0"/>
    <w:rsid w:val="0014640B"/>
    <w:rsid w:val="00146593"/>
    <w:rsid w:val="0014674A"/>
    <w:rsid w:val="0014689B"/>
    <w:rsid w:val="00146D34"/>
    <w:rsid w:val="00146DAB"/>
    <w:rsid w:val="00146DDE"/>
    <w:rsid w:val="00146F0D"/>
    <w:rsid w:val="00147208"/>
    <w:rsid w:val="001474A2"/>
    <w:rsid w:val="0014751D"/>
    <w:rsid w:val="0014782B"/>
    <w:rsid w:val="00147A38"/>
    <w:rsid w:val="00147DEC"/>
    <w:rsid w:val="00150143"/>
    <w:rsid w:val="001501B9"/>
    <w:rsid w:val="0015042E"/>
    <w:rsid w:val="001508C9"/>
    <w:rsid w:val="00150E3D"/>
    <w:rsid w:val="0015110E"/>
    <w:rsid w:val="00151127"/>
    <w:rsid w:val="0015124F"/>
    <w:rsid w:val="00151469"/>
    <w:rsid w:val="001514CF"/>
    <w:rsid w:val="0015188D"/>
    <w:rsid w:val="00151D73"/>
    <w:rsid w:val="0015262D"/>
    <w:rsid w:val="00152B28"/>
    <w:rsid w:val="00152CCF"/>
    <w:rsid w:val="00152DF4"/>
    <w:rsid w:val="00152ED8"/>
    <w:rsid w:val="00152F8F"/>
    <w:rsid w:val="00152FC4"/>
    <w:rsid w:val="0015324C"/>
    <w:rsid w:val="00153262"/>
    <w:rsid w:val="0015330C"/>
    <w:rsid w:val="0015357D"/>
    <w:rsid w:val="001536EF"/>
    <w:rsid w:val="00153915"/>
    <w:rsid w:val="00153B04"/>
    <w:rsid w:val="00153DCC"/>
    <w:rsid w:val="00153E47"/>
    <w:rsid w:val="001542AD"/>
    <w:rsid w:val="00154338"/>
    <w:rsid w:val="00154940"/>
    <w:rsid w:val="00154A00"/>
    <w:rsid w:val="00154BFA"/>
    <w:rsid w:val="00155441"/>
    <w:rsid w:val="00155A0D"/>
    <w:rsid w:val="00155A1E"/>
    <w:rsid w:val="00155B8B"/>
    <w:rsid w:val="00155CAD"/>
    <w:rsid w:val="00155DC1"/>
    <w:rsid w:val="00155EAD"/>
    <w:rsid w:val="00155ECF"/>
    <w:rsid w:val="0015616F"/>
    <w:rsid w:val="001563DB"/>
    <w:rsid w:val="0015689A"/>
    <w:rsid w:val="00156B05"/>
    <w:rsid w:val="0015705B"/>
    <w:rsid w:val="001571EE"/>
    <w:rsid w:val="0015722B"/>
    <w:rsid w:val="00157255"/>
    <w:rsid w:val="001572D2"/>
    <w:rsid w:val="00157476"/>
    <w:rsid w:val="00157620"/>
    <w:rsid w:val="00157728"/>
    <w:rsid w:val="00157A26"/>
    <w:rsid w:val="00157BA8"/>
    <w:rsid w:val="00157C35"/>
    <w:rsid w:val="00157D46"/>
    <w:rsid w:val="00160088"/>
    <w:rsid w:val="0016047A"/>
    <w:rsid w:val="001605D8"/>
    <w:rsid w:val="0016067F"/>
    <w:rsid w:val="0016082A"/>
    <w:rsid w:val="00160CF3"/>
    <w:rsid w:val="00160EA2"/>
    <w:rsid w:val="001613AE"/>
    <w:rsid w:val="00161B0D"/>
    <w:rsid w:val="00161B52"/>
    <w:rsid w:val="00161BD2"/>
    <w:rsid w:val="00161C2E"/>
    <w:rsid w:val="00161D24"/>
    <w:rsid w:val="00161F55"/>
    <w:rsid w:val="001621B6"/>
    <w:rsid w:val="001621DF"/>
    <w:rsid w:val="0016275D"/>
    <w:rsid w:val="00162811"/>
    <w:rsid w:val="00162CC2"/>
    <w:rsid w:val="00162CD9"/>
    <w:rsid w:val="001632E0"/>
    <w:rsid w:val="001636F1"/>
    <w:rsid w:val="0016398B"/>
    <w:rsid w:val="00163C1E"/>
    <w:rsid w:val="00163FCE"/>
    <w:rsid w:val="001640E6"/>
    <w:rsid w:val="0016452E"/>
    <w:rsid w:val="001646BE"/>
    <w:rsid w:val="001648C2"/>
    <w:rsid w:val="00164A00"/>
    <w:rsid w:val="00164A19"/>
    <w:rsid w:val="00164C35"/>
    <w:rsid w:val="00164CEF"/>
    <w:rsid w:val="00164EFB"/>
    <w:rsid w:val="00165244"/>
    <w:rsid w:val="001653A6"/>
    <w:rsid w:val="00165758"/>
    <w:rsid w:val="001658AD"/>
    <w:rsid w:val="001659C6"/>
    <w:rsid w:val="00165B53"/>
    <w:rsid w:val="00165C1D"/>
    <w:rsid w:val="00166122"/>
    <w:rsid w:val="001664EF"/>
    <w:rsid w:val="00166758"/>
    <w:rsid w:val="00166C48"/>
    <w:rsid w:val="00166F11"/>
    <w:rsid w:val="00167078"/>
    <w:rsid w:val="00167109"/>
    <w:rsid w:val="0016733C"/>
    <w:rsid w:val="00167379"/>
    <w:rsid w:val="00167635"/>
    <w:rsid w:val="001678A9"/>
    <w:rsid w:val="001678AB"/>
    <w:rsid w:val="00167961"/>
    <w:rsid w:val="00167C72"/>
    <w:rsid w:val="00167D16"/>
    <w:rsid w:val="00167F19"/>
    <w:rsid w:val="00167F8C"/>
    <w:rsid w:val="00170431"/>
    <w:rsid w:val="00170560"/>
    <w:rsid w:val="0017068C"/>
    <w:rsid w:val="00170A62"/>
    <w:rsid w:val="00170A6A"/>
    <w:rsid w:val="00170BF7"/>
    <w:rsid w:val="00170DD6"/>
    <w:rsid w:val="0017153D"/>
    <w:rsid w:val="00171543"/>
    <w:rsid w:val="00171A80"/>
    <w:rsid w:val="00171AEF"/>
    <w:rsid w:val="00171B57"/>
    <w:rsid w:val="00171CB7"/>
    <w:rsid w:val="00171DDA"/>
    <w:rsid w:val="00171E96"/>
    <w:rsid w:val="00171F5A"/>
    <w:rsid w:val="00171FE3"/>
    <w:rsid w:val="00171FF8"/>
    <w:rsid w:val="0017204A"/>
    <w:rsid w:val="001720F3"/>
    <w:rsid w:val="001721E4"/>
    <w:rsid w:val="00172287"/>
    <w:rsid w:val="0017234E"/>
    <w:rsid w:val="00172369"/>
    <w:rsid w:val="00172497"/>
    <w:rsid w:val="00172566"/>
    <w:rsid w:val="001725B2"/>
    <w:rsid w:val="00172A2E"/>
    <w:rsid w:val="00172A44"/>
    <w:rsid w:val="00172D23"/>
    <w:rsid w:val="001730B7"/>
    <w:rsid w:val="001731FD"/>
    <w:rsid w:val="00173219"/>
    <w:rsid w:val="0017343A"/>
    <w:rsid w:val="00173823"/>
    <w:rsid w:val="00173959"/>
    <w:rsid w:val="001739AF"/>
    <w:rsid w:val="00173BF1"/>
    <w:rsid w:val="00173DB1"/>
    <w:rsid w:val="00173E0E"/>
    <w:rsid w:val="00173EE8"/>
    <w:rsid w:val="00174204"/>
    <w:rsid w:val="0017447F"/>
    <w:rsid w:val="00174501"/>
    <w:rsid w:val="0017451B"/>
    <w:rsid w:val="001745B9"/>
    <w:rsid w:val="00175075"/>
    <w:rsid w:val="0017507A"/>
    <w:rsid w:val="0017508F"/>
    <w:rsid w:val="00175193"/>
    <w:rsid w:val="001752D5"/>
    <w:rsid w:val="00175680"/>
    <w:rsid w:val="00175A53"/>
    <w:rsid w:val="00175DA9"/>
    <w:rsid w:val="00175EE5"/>
    <w:rsid w:val="0017617D"/>
    <w:rsid w:val="001761AA"/>
    <w:rsid w:val="00176389"/>
    <w:rsid w:val="001765E6"/>
    <w:rsid w:val="001766CF"/>
    <w:rsid w:val="00176841"/>
    <w:rsid w:val="00176B95"/>
    <w:rsid w:val="00176D24"/>
    <w:rsid w:val="001770D1"/>
    <w:rsid w:val="001771DD"/>
    <w:rsid w:val="00177364"/>
    <w:rsid w:val="001773A6"/>
    <w:rsid w:val="001773AC"/>
    <w:rsid w:val="001775BD"/>
    <w:rsid w:val="00177643"/>
    <w:rsid w:val="00177ACE"/>
    <w:rsid w:val="00177E1D"/>
    <w:rsid w:val="001800AA"/>
    <w:rsid w:val="0018038D"/>
    <w:rsid w:val="00180639"/>
    <w:rsid w:val="0018063E"/>
    <w:rsid w:val="0018097D"/>
    <w:rsid w:val="00180995"/>
    <w:rsid w:val="001809B7"/>
    <w:rsid w:val="00180A39"/>
    <w:rsid w:val="00180DFF"/>
    <w:rsid w:val="00181397"/>
    <w:rsid w:val="001813AD"/>
    <w:rsid w:val="00181409"/>
    <w:rsid w:val="0018153E"/>
    <w:rsid w:val="001816BB"/>
    <w:rsid w:val="00181904"/>
    <w:rsid w:val="00181A00"/>
    <w:rsid w:val="00181A79"/>
    <w:rsid w:val="00181C4D"/>
    <w:rsid w:val="0018209F"/>
    <w:rsid w:val="001827A1"/>
    <w:rsid w:val="00182940"/>
    <w:rsid w:val="00182949"/>
    <w:rsid w:val="00182C9A"/>
    <w:rsid w:val="00182EB4"/>
    <w:rsid w:val="00182ED1"/>
    <w:rsid w:val="001830BB"/>
    <w:rsid w:val="00183392"/>
    <w:rsid w:val="001833C5"/>
    <w:rsid w:val="001835E1"/>
    <w:rsid w:val="00183877"/>
    <w:rsid w:val="00183BC9"/>
    <w:rsid w:val="00183CE2"/>
    <w:rsid w:val="00183D54"/>
    <w:rsid w:val="00183F99"/>
    <w:rsid w:val="0018451B"/>
    <w:rsid w:val="00184569"/>
    <w:rsid w:val="001847A2"/>
    <w:rsid w:val="001848A0"/>
    <w:rsid w:val="00184943"/>
    <w:rsid w:val="00184AC8"/>
    <w:rsid w:val="00184B57"/>
    <w:rsid w:val="00184B5F"/>
    <w:rsid w:val="00184D84"/>
    <w:rsid w:val="00184E55"/>
    <w:rsid w:val="00184FC5"/>
    <w:rsid w:val="00185427"/>
    <w:rsid w:val="00185640"/>
    <w:rsid w:val="0018583A"/>
    <w:rsid w:val="00185C34"/>
    <w:rsid w:val="00185EA0"/>
    <w:rsid w:val="00186419"/>
    <w:rsid w:val="001864FA"/>
    <w:rsid w:val="00186B3E"/>
    <w:rsid w:val="00186E67"/>
    <w:rsid w:val="00186FD9"/>
    <w:rsid w:val="00187255"/>
    <w:rsid w:val="0018733C"/>
    <w:rsid w:val="0018743C"/>
    <w:rsid w:val="00187969"/>
    <w:rsid w:val="00187A32"/>
    <w:rsid w:val="00187BBE"/>
    <w:rsid w:val="00187D59"/>
    <w:rsid w:val="0019001F"/>
    <w:rsid w:val="00190102"/>
    <w:rsid w:val="0019036A"/>
    <w:rsid w:val="001906BC"/>
    <w:rsid w:val="00190884"/>
    <w:rsid w:val="00190A07"/>
    <w:rsid w:val="00190DFE"/>
    <w:rsid w:val="00190F28"/>
    <w:rsid w:val="001910AC"/>
    <w:rsid w:val="0019128B"/>
    <w:rsid w:val="001912CE"/>
    <w:rsid w:val="001914DF"/>
    <w:rsid w:val="0019178A"/>
    <w:rsid w:val="001917EB"/>
    <w:rsid w:val="00191B41"/>
    <w:rsid w:val="00191FB1"/>
    <w:rsid w:val="00191FB4"/>
    <w:rsid w:val="00191FF7"/>
    <w:rsid w:val="0019223B"/>
    <w:rsid w:val="001923CF"/>
    <w:rsid w:val="001926EA"/>
    <w:rsid w:val="001938AD"/>
    <w:rsid w:val="00193D49"/>
    <w:rsid w:val="001940AC"/>
    <w:rsid w:val="001940C6"/>
    <w:rsid w:val="0019411C"/>
    <w:rsid w:val="00194283"/>
    <w:rsid w:val="00194940"/>
    <w:rsid w:val="00194AB3"/>
    <w:rsid w:val="00194B60"/>
    <w:rsid w:val="00194D2A"/>
    <w:rsid w:val="00194DDC"/>
    <w:rsid w:val="00194E75"/>
    <w:rsid w:val="00194F86"/>
    <w:rsid w:val="0019531C"/>
    <w:rsid w:val="00195362"/>
    <w:rsid w:val="0019537A"/>
    <w:rsid w:val="00195484"/>
    <w:rsid w:val="0019554B"/>
    <w:rsid w:val="00195A4B"/>
    <w:rsid w:val="00195B3D"/>
    <w:rsid w:val="00195B4D"/>
    <w:rsid w:val="00195CB8"/>
    <w:rsid w:val="00195D64"/>
    <w:rsid w:val="00196060"/>
    <w:rsid w:val="00196702"/>
    <w:rsid w:val="00196BD1"/>
    <w:rsid w:val="00196EC9"/>
    <w:rsid w:val="00196F71"/>
    <w:rsid w:val="001972EB"/>
    <w:rsid w:val="001973CC"/>
    <w:rsid w:val="001976E7"/>
    <w:rsid w:val="00197A0A"/>
    <w:rsid w:val="00197AB5"/>
    <w:rsid w:val="00197AF2"/>
    <w:rsid w:val="00197F4E"/>
    <w:rsid w:val="001A0312"/>
    <w:rsid w:val="001A0376"/>
    <w:rsid w:val="001A058E"/>
    <w:rsid w:val="001A063E"/>
    <w:rsid w:val="001A0A5C"/>
    <w:rsid w:val="001A0C3D"/>
    <w:rsid w:val="001A10C4"/>
    <w:rsid w:val="001A1179"/>
    <w:rsid w:val="001A12B9"/>
    <w:rsid w:val="001A18FF"/>
    <w:rsid w:val="001A1B9E"/>
    <w:rsid w:val="001A245D"/>
    <w:rsid w:val="001A2645"/>
    <w:rsid w:val="001A29A6"/>
    <w:rsid w:val="001A2A0C"/>
    <w:rsid w:val="001A2A3F"/>
    <w:rsid w:val="001A2B10"/>
    <w:rsid w:val="001A2C03"/>
    <w:rsid w:val="001A2D92"/>
    <w:rsid w:val="001A30E3"/>
    <w:rsid w:val="001A30EB"/>
    <w:rsid w:val="001A321E"/>
    <w:rsid w:val="001A3353"/>
    <w:rsid w:val="001A389B"/>
    <w:rsid w:val="001A3BD0"/>
    <w:rsid w:val="001A3D2B"/>
    <w:rsid w:val="001A3D2F"/>
    <w:rsid w:val="001A3DB4"/>
    <w:rsid w:val="001A4015"/>
    <w:rsid w:val="001A4184"/>
    <w:rsid w:val="001A4540"/>
    <w:rsid w:val="001A454E"/>
    <w:rsid w:val="001A45D5"/>
    <w:rsid w:val="001A48A1"/>
    <w:rsid w:val="001A4B77"/>
    <w:rsid w:val="001A4BA4"/>
    <w:rsid w:val="001A4C7B"/>
    <w:rsid w:val="001A4DF1"/>
    <w:rsid w:val="001A4F9C"/>
    <w:rsid w:val="001A53D8"/>
    <w:rsid w:val="001A5477"/>
    <w:rsid w:val="001A5848"/>
    <w:rsid w:val="001A5A58"/>
    <w:rsid w:val="001A5A8E"/>
    <w:rsid w:val="001A5DAB"/>
    <w:rsid w:val="001A5FAA"/>
    <w:rsid w:val="001A608B"/>
    <w:rsid w:val="001A65A0"/>
    <w:rsid w:val="001A66BD"/>
    <w:rsid w:val="001A6762"/>
    <w:rsid w:val="001A7322"/>
    <w:rsid w:val="001A7639"/>
    <w:rsid w:val="001A764F"/>
    <w:rsid w:val="001A7A30"/>
    <w:rsid w:val="001A7DEB"/>
    <w:rsid w:val="001A7E44"/>
    <w:rsid w:val="001A7FE7"/>
    <w:rsid w:val="001B054E"/>
    <w:rsid w:val="001B0AC6"/>
    <w:rsid w:val="001B0CFC"/>
    <w:rsid w:val="001B0D08"/>
    <w:rsid w:val="001B11CB"/>
    <w:rsid w:val="001B12F7"/>
    <w:rsid w:val="001B1569"/>
    <w:rsid w:val="001B161A"/>
    <w:rsid w:val="001B1E5E"/>
    <w:rsid w:val="001B2570"/>
    <w:rsid w:val="001B28EA"/>
    <w:rsid w:val="001B2A9B"/>
    <w:rsid w:val="001B2B53"/>
    <w:rsid w:val="001B2C36"/>
    <w:rsid w:val="001B2D2F"/>
    <w:rsid w:val="001B2ED0"/>
    <w:rsid w:val="001B30FB"/>
    <w:rsid w:val="001B371A"/>
    <w:rsid w:val="001B3C47"/>
    <w:rsid w:val="001B3C6D"/>
    <w:rsid w:val="001B3CE9"/>
    <w:rsid w:val="001B41A1"/>
    <w:rsid w:val="001B41E1"/>
    <w:rsid w:val="001B4577"/>
    <w:rsid w:val="001B46F4"/>
    <w:rsid w:val="001B46FE"/>
    <w:rsid w:val="001B4773"/>
    <w:rsid w:val="001B4824"/>
    <w:rsid w:val="001B4916"/>
    <w:rsid w:val="001B4A5E"/>
    <w:rsid w:val="001B4AC1"/>
    <w:rsid w:val="001B4C02"/>
    <w:rsid w:val="001B5363"/>
    <w:rsid w:val="001B536A"/>
    <w:rsid w:val="001B548D"/>
    <w:rsid w:val="001B55E8"/>
    <w:rsid w:val="001B586B"/>
    <w:rsid w:val="001B5D76"/>
    <w:rsid w:val="001B5EFB"/>
    <w:rsid w:val="001B6377"/>
    <w:rsid w:val="001B65C5"/>
    <w:rsid w:val="001B679A"/>
    <w:rsid w:val="001B6BF7"/>
    <w:rsid w:val="001B6CA7"/>
    <w:rsid w:val="001B75A6"/>
    <w:rsid w:val="001B7A11"/>
    <w:rsid w:val="001B7AEF"/>
    <w:rsid w:val="001B7E4B"/>
    <w:rsid w:val="001C01F8"/>
    <w:rsid w:val="001C0231"/>
    <w:rsid w:val="001C058C"/>
    <w:rsid w:val="001C0787"/>
    <w:rsid w:val="001C0861"/>
    <w:rsid w:val="001C0A26"/>
    <w:rsid w:val="001C0D8C"/>
    <w:rsid w:val="001C0F01"/>
    <w:rsid w:val="001C0F79"/>
    <w:rsid w:val="001C13A5"/>
    <w:rsid w:val="001C1541"/>
    <w:rsid w:val="001C16CF"/>
    <w:rsid w:val="001C1903"/>
    <w:rsid w:val="001C1D7A"/>
    <w:rsid w:val="001C1E65"/>
    <w:rsid w:val="001C1FE4"/>
    <w:rsid w:val="001C20A9"/>
    <w:rsid w:val="001C21EE"/>
    <w:rsid w:val="001C23F3"/>
    <w:rsid w:val="001C248C"/>
    <w:rsid w:val="001C2772"/>
    <w:rsid w:val="001C288C"/>
    <w:rsid w:val="001C2C62"/>
    <w:rsid w:val="001C2F0C"/>
    <w:rsid w:val="001C364A"/>
    <w:rsid w:val="001C374C"/>
    <w:rsid w:val="001C3A5F"/>
    <w:rsid w:val="001C3A9F"/>
    <w:rsid w:val="001C3DA9"/>
    <w:rsid w:val="001C3DC5"/>
    <w:rsid w:val="001C3F08"/>
    <w:rsid w:val="001C3F60"/>
    <w:rsid w:val="001C4966"/>
    <w:rsid w:val="001C4FA8"/>
    <w:rsid w:val="001C4FC5"/>
    <w:rsid w:val="001C5768"/>
    <w:rsid w:val="001C583A"/>
    <w:rsid w:val="001C5948"/>
    <w:rsid w:val="001C5977"/>
    <w:rsid w:val="001C5F93"/>
    <w:rsid w:val="001C626E"/>
    <w:rsid w:val="001C630A"/>
    <w:rsid w:val="001C64B4"/>
    <w:rsid w:val="001C6A79"/>
    <w:rsid w:val="001C6B3D"/>
    <w:rsid w:val="001C6E8C"/>
    <w:rsid w:val="001C6ED4"/>
    <w:rsid w:val="001C74EC"/>
    <w:rsid w:val="001C7900"/>
    <w:rsid w:val="001C79D3"/>
    <w:rsid w:val="001C7A07"/>
    <w:rsid w:val="001C7F7E"/>
    <w:rsid w:val="001D0008"/>
    <w:rsid w:val="001D002C"/>
    <w:rsid w:val="001D028D"/>
    <w:rsid w:val="001D02B5"/>
    <w:rsid w:val="001D02CF"/>
    <w:rsid w:val="001D08B0"/>
    <w:rsid w:val="001D090D"/>
    <w:rsid w:val="001D09CD"/>
    <w:rsid w:val="001D0BEA"/>
    <w:rsid w:val="001D0C97"/>
    <w:rsid w:val="001D10D8"/>
    <w:rsid w:val="001D111C"/>
    <w:rsid w:val="001D1350"/>
    <w:rsid w:val="001D1460"/>
    <w:rsid w:val="001D153F"/>
    <w:rsid w:val="001D1998"/>
    <w:rsid w:val="001D1E0D"/>
    <w:rsid w:val="001D20B1"/>
    <w:rsid w:val="001D235F"/>
    <w:rsid w:val="001D2380"/>
    <w:rsid w:val="001D2496"/>
    <w:rsid w:val="001D2E16"/>
    <w:rsid w:val="001D2EAB"/>
    <w:rsid w:val="001D2FD4"/>
    <w:rsid w:val="001D30C9"/>
    <w:rsid w:val="001D3725"/>
    <w:rsid w:val="001D37BB"/>
    <w:rsid w:val="001D38D5"/>
    <w:rsid w:val="001D3BBF"/>
    <w:rsid w:val="001D3D1F"/>
    <w:rsid w:val="001D3D4F"/>
    <w:rsid w:val="001D3DB4"/>
    <w:rsid w:val="001D3F7A"/>
    <w:rsid w:val="001D3FA4"/>
    <w:rsid w:val="001D40C1"/>
    <w:rsid w:val="001D41E0"/>
    <w:rsid w:val="001D4561"/>
    <w:rsid w:val="001D47D1"/>
    <w:rsid w:val="001D48D1"/>
    <w:rsid w:val="001D4E34"/>
    <w:rsid w:val="001D505C"/>
    <w:rsid w:val="001D5151"/>
    <w:rsid w:val="001D529F"/>
    <w:rsid w:val="001D558A"/>
    <w:rsid w:val="001D5783"/>
    <w:rsid w:val="001D5A42"/>
    <w:rsid w:val="001D5C63"/>
    <w:rsid w:val="001D5FE0"/>
    <w:rsid w:val="001D6077"/>
    <w:rsid w:val="001D60FF"/>
    <w:rsid w:val="001D639A"/>
    <w:rsid w:val="001D6460"/>
    <w:rsid w:val="001D69BE"/>
    <w:rsid w:val="001D6E06"/>
    <w:rsid w:val="001D6FA6"/>
    <w:rsid w:val="001D7459"/>
    <w:rsid w:val="001D750F"/>
    <w:rsid w:val="001D7565"/>
    <w:rsid w:val="001D770F"/>
    <w:rsid w:val="001D7C82"/>
    <w:rsid w:val="001D7FA9"/>
    <w:rsid w:val="001E008F"/>
    <w:rsid w:val="001E0103"/>
    <w:rsid w:val="001E019C"/>
    <w:rsid w:val="001E02AA"/>
    <w:rsid w:val="001E0681"/>
    <w:rsid w:val="001E07B3"/>
    <w:rsid w:val="001E07F4"/>
    <w:rsid w:val="001E0A9A"/>
    <w:rsid w:val="001E0C36"/>
    <w:rsid w:val="001E0EA8"/>
    <w:rsid w:val="001E0FA1"/>
    <w:rsid w:val="001E0FCE"/>
    <w:rsid w:val="001E125C"/>
    <w:rsid w:val="001E1320"/>
    <w:rsid w:val="001E1854"/>
    <w:rsid w:val="001E19DA"/>
    <w:rsid w:val="001E1BFA"/>
    <w:rsid w:val="001E1CAE"/>
    <w:rsid w:val="001E227F"/>
    <w:rsid w:val="001E236D"/>
    <w:rsid w:val="001E28B5"/>
    <w:rsid w:val="001E2A30"/>
    <w:rsid w:val="001E2A63"/>
    <w:rsid w:val="001E2C43"/>
    <w:rsid w:val="001E3010"/>
    <w:rsid w:val="001E30A7"/>
    <w:rsid w:val="001E3160"/>
    <w:rsid w:val="001E3171"/>
    <w:rsid w:val="001E351E"/>
    <w:rsid w:val="001E3904"/>
    <w:rsid w:val="001E3999"/>
    <w:rsid w:val="001E3A48"/>
    <w:rsid w:val="001E3B48"/>
    <w:rsid w:val="001E3EF5"/>
    <w:rsid w:val="001E40A0"/>
    <w:rsid w:val="001E41FE"/>
    <w:rsid w:val="001E4425"/>
    <w:rsid w:val="001E45CF"/>
    <w:rsid w:val="001E465F"/>
    <w:rsid w:val="001E49B2"/>
    <w:rsid w:val="001E4A96"/>
    <w:rsid w:val="001E4B3E"/>
    <w:rsid w:val="001E4BCA"/>
    <w:rsid w:val="001E4D03"/>
    <w:rsid w:val="001E5145"/>
    <w:rsid w:val="001E521E"/>
    <w:rsid w:val="001E5839"/>
    <w:rsid w:val="001E5AF7"/>
    <w:rsid w:val="001E5BBE"/>
    <w:rsid w:val="001E61DD"/>
    <w:rsid w:val="001E63F6"/>
    <w:rsid w:val="001E65B9"/>
    <w:rsid w:val="001E66B4"/>
    <w:rsid w:val="001E6D32"/>
    <w:rsid w:val="001E6E4F"/>
    <w:rsid w:val="001E7078"/>
    <w:rsid w:val="001E7168"/>
    <w:rsid w:val="001E71E8"/>
    <w:rsid w:val="001E7908"/>
    <w:rsid w:val="001E7A88"/>
    <w:rsid w:val="001E7D19"/>
    <w:rsid w:val="001E7D3C"/>
    <w:rsid w:val="001F02BC"/>
    <w:rsid w:val="001F0434"/>
    <w:rsid w:val="001F065A"/>
    <w:rsid w:val="001F066C"/>
    <w:rsid w:val="001F0816"/>
    <w:rsid w:val="001F09A1"/>
    <w:rsid w:val="001F09CD"/>
    <w:rsid w:val="001F0A7D"/>
    <w:rsid w:val="001F0B20"/>
    <w:rsid w:val="001F0B69"/>
    <w:rsid w:val="001F0EE6"/>
    <w:rsid w:val="001F1049"/>
    <w:rsid w:val="001F16FB"/>
    <w:rsid w:val="001F1A2C"/>
    <w:rsid w:val="001F1B1B"/>
    <w:rsid w:val="001F1DAA"/>
    <w:rsid w:val="001F1F8B"/>
    <w:rsid w:val="001F2091"/>
    <w:rsid w:val="001F23C5"/>
    <w:rsid w:val="001F248F"/>
    <w:rsid w:val="001F2714"/>
    <w:rsid w:val="001F280C"/>
    <w:rsid w:val="001F2849"/>
    <w:rsid w:val="001F2979"/>
    <w:rsid w:val="001F298E"/>
    <w:rsid w:val="001F2D44"/>
    <w:rsid w:val="001F2ED2"/>
    <w:rsid w:val="001F2F84"/>
    <w:rsid w:val="001F3009"/>
    <w:rsid w:val="001F31BE"/>
    <w:rsid w:val="001F33EB"/>
    <w:rsid w:val="001F3479"/>
    <w:rsid w:val="001F3C0C"/>
    <w:rsid w:val="001F3DD2"/>
    <w:rsid w:val="001F3E98"/>
    <w:rsid w:val="001F3F47"/>
    <w:rsid w:val="001F415C"/>
    <w:rsid w:val="001F41E7"/>
    <w:rsid w:val="001F4204"/>
    <w:rsid w:val="001F4299"/>
    <w:rsid w:val="001F4478"/>
    <w:rsid w:val="001F4610"/>
    <w:rsid w:val="001F47F1"/>
    <w:rsid w:val="001F4909"/>
    <w:rsid w:val="001F4DD5"/>
    <w:rsid w:val="001F4E83"/>
    <w:rsid w:val="001F5005"/>
    <w:rsid w:val="001F52A5"/>
    <w:rsid w:val="001F52B5"/>
    <w:rsid w:val="001F5441"/>
    <w:rsid w:val="001F56F0"/>
    <w:rsid w:val="001F5797"/>
    <w:rsid w:val="001F57D8"/>
    <w:rsid w:val="001F5BD1"/>
    <w:rsid w:val="001F5DF3"/>
    <w:rsid w:val="001F5E52"/>
    <w:rsid w:val="001F647E"/>
    <w:rsid w:val="001F65EF"/>
    <w:rsid w:val="001F6994"/>
    <w:rsid w:val="001F69CF"/>
    <w:rsid w:val="001F6B95"/>
    <w:rsid w:val="001F7336"/>
    <w:rsid w:val="001F7470"/>
    <w:rsid w:val="001F781D"/>
    <w:rsid w:val="001F79AD"/>
    <w:rsid w:val="001F7C26"/>
    <w:rsid w:val="00200004"/>
    <w:rsid w:val="002000D0"/>
    <w:rsid w:val="00200127"/>
    <w:rsid w:val="002007B1"/>
    <w:rsid w:val="002008BA"/>
    <w:rsid w:val="00200BC4"/>
    <w:rsid w:val="00200D03"/>
    <w:rsid w:val="00200D2F"/>
    <w:rsid w:val="00200DEE"/>
    <w:rsid w:val="00200E7A"/>
    <w:rsid w:val="00200E91"/>
    <w:rsid w:val="00200F54"/>
    <w:rsid w:val="00201181"/>
    <w:rsid w:val="002013E3"/>
    <w:rsid w:val="0020152A"/>
    <w:rsid w:val="002015C4"/>
    <w:rsid w:val="002015F1"/>
    <w:rsid w:val="00201732"/>
    <w:rsid w:val="00201803"/>
    <w:rsid w:val="00201B5C"/>
    <w:rsid w:val="00201E34"/>
    <w:rsid w:val="00201FD1"/>
    <w:rsid w:val="00201FEB"/>
    <w:rsid w:val="0020243F"/>
    <w:rsid w:val="00202628"/>
    <w:rsid w:val="00202707"/>
    <w:rsid w:val="00202CD6"/>
    <w:rsid w:val="00202F00"/>
    <w:rsid w:val="00202F3D"/>
    <w:rsid w:val="002031AD"/>
    <w:rsid w:val="00203205"/>
    <w:rsid w:val="002033E7"/>
    <w:rsid w:val="002033FE"/>
    <w:rsid w:val="00203490"/>
    <w:rsid w:val="00203865"/>
    <w:rsid w:val="002039DB"/>
    <w:rsid w:val="00203A5F"/>
    <w:rsid w:val="00203B2D"/>
    <w:rsid w:val="00203D96"/>
    <w:rsid w:val="00203F09"/>
    <w:rsid w:val="00204296"/>
    <w:rsid w:val="002044A1"/>
    <w:rsid w:val="002045B8"/>
    <w:rsid w:val="00204712"/>
    <w:rsid w:val="00204743"/>
    <w:rsid w:val="0020474C"/>
    <w:rsid w:val="00204937"/>
    <w:rsid w:val="00204957"/>
    <w:rsid w:val="00204963"/>
    <w:rsid w:val="00204B51"/>
    <w:rsid w:val="00204BC4"/>
    <w:rsid w:val="00204C39"/>
    <w:rsid w:val="00204D68"/>
    <w:rsid w:val="00204F53"/>
    <w:rsid w:val="00205038"/>
    <w:rsid w:val="002051D1"/>
    <w:rsid w:val="002052F0"/>
    <w:rsid w:val="00205347"/>
    <w:rsid w:val="002059A7"/>
    <w:rsid w:val="00205B09"/>
    <w:rsid w:val="00205B32"/>
    <w:rsid w:val="00205BC6"/>
    <w:rsid w:val="00205E35"/>
    <w:rsid w:val="00205E42"/>
    <w:rsid w:val="00206164"/>
    <w:rsid w:val="00206A7C"/>
    <w:rsid w:val="00206D75"/>
    <w:rsid w:val="00207374"/>
    <w:rsid w:val="002075A2"/>
    <w:rsid w:val="002075FD"/>
    <w:rsid w:val="00207677"/>
    <w:rsid w:val="00207FB7"/>
    <w:rsid w:val="0021002E"/>
    <w:rsid w:val="00210551"/>
    <w:rsid w:val="00210A18"/>
    <w:rsid w:val="00210B35"/>
    <w:rsid w:val="00210C8F"/>
    <w:rsid w:val="00210CF0"/>
    <w:rsid w:val="00210E7F"/>
    <w:rsid w:val="00210F0A"/>
    <w:rsid w:val="0021126A"/>
    <w:rsid w:val="0021128E"/>
    <w:rsid w:val="00211449"/>
    <w:rsid w:val="00211481"/>
    <w:rsid w:val="00211731"/>
    <w:rsid w:val="0021175A"/>
    <w:rsid w:val="00211DD5"/>
    <w:rsid w:val="00211DF1"/>
    <w:rsid w:val="00212060"/>
    <w:rsid w:val="00212821"/>
    <w:rsid w:val="002129F5"/>
    <w:rsid w:val="00212C59"/>
    <w:rsid w:val="00212EBC"/>
    <w:rsid w:val="00213121"/>
    <w:rsid w:val="0021355F"/>
    <w:rsid w:val="0021378B"/>
    <w:rsid w:val="002139D4"/>
    <w:rsid w:val="002139F3"/>
    <w:rsid w:val="00213D85"/>
    <w:rsid w:val="00213E90"/>
    <w:rsid w:val="00213EC0"/>
    <w:rsid w:val="00213FAD"/>
    <w:rsid w:val="0021412E"/>
    <w:rsid w:val="002142A0"/>
    <w:rsid w:val="002143BD"/>
    <w:rsid w:val="002145C6"/>
    <w:rsid w:val="002146CB"/>
    <w:rsid w:val="0021480B"/>
    <w:rsid w:val="0021498F"/>
    <w:rsid w:val="00214BE9"/>
    <w:rsid w:val="00214DF2"/>
    <w:rsid w:val="002153A6"/>
    <w:rsid w:val="00215402"/>
    <w:rsid w:val="00215418"/>
    <w:rsid w:val="002156A4"/>
    <w:rsid w:val="00215CA4"/>
    <w:rsid w:val="00215D48"/>
    <w:rsid w:val="00215E04"/>
    <w:rsid w:val="00216110"/>
    <w:rsid w:val="0021647E"/>
    <w:rsid w:val="0021668E"/>
    <w:rsid w:val="002166CE"/>
    <w:rsid w:val="0021673B"/>
    <w:rsid w:val="00216929"/>
    <w:rsid w:val="00216C01"/>
    <w:rsid w:val="00216C91"/>
    <w:rsid w:val="0021703B"/>
    <w:rsid w:val="00217412"/>
    <w:rsid w:val="002177AA"/>
    <w:rsid w:val="002179B8"/>
    <w:rsid w:val="00217D51"/>
    <w:rsid w:val="0022033F"/>
    <w:rsid w:val="00220C79"/>
    <w:rsid w:val="00220CA7"/>
    <w:rsid w:val="00220CD7"/>
    <w:rsid w:val="0022108C"/>
    <w:rsid w:val="0022126D"/>
    <w:rsid w:val="0022129E"/>
    <w:rsid w:val="002213BA"/>
    <w:rsid w:val="0022145F"/>
    <w:rsid w:val="002214E5"/>
    <w:rsid w:val="0022197A"/>
    <w:rsid w:val="002219A5"/>
    <w:rsid w:val="002219FE"/>
    <w:rsid w:val="00221B28"/>
    <w:rsid w:val="00221CDA"/>
    <w:rsid w:val="00221DDE"/>
    <w:rsid w:val="0022201B"/>
    <w:rsid w:val="00222189"/>
    <w:rsid w:val="002226AF"/>
    <w:rsid w:val="00222C61"/>
    <w:rsid w:val="00222F74"/>
    <w:rsid w:val="0022312D"/>
    <w:rsid w:val="00223239"/>
    <w:rsid w:val="00223357"/>
    <w:rsid w:val="00223382"/>
    <w:rsid w:val="002236A8"/>
    <w:rsid w:val="002236F5"/>
    <w:rsid w:val="0022385D"/>
    <w:rsid w:val="002238CB"/>
    <w:rsid w:val="00223DA0"/>
    <w:rsid w:val="00223DB2"/>
    <w:rsid w:val="00223E0C"/>
    <w:rsid w:val="00223E31"/>
    <w:rsid w:val="00223F82"/>
    <w:rsid w:val="002241B1"/>
    <w:rsid w:val="0022450E"/>
    <w:rsid w:val="0022472A"/>
    <w:rsid w:val="00224747"/>
    <w:rsid w:val="002249B5"/>
    <w:rsid w:val="00224A7E"/>
    <w:rsid w:val="00224B7C"/>
    <w:rsid w:val="00224D2A"/>
    <w:rsid w:val="00224E2A"/>
    <w:rsid w:val="002253C9"/>
    <w:rsid w:val="0022546F"/>
    <w:rsid w:val="00225A5A"/>
    <w:rsid w:val="00225C70"/>
    <w:rsid w:val="00225C75"/>
    <w:rsid w:val="00226446"/>
    <w:rsid w:val="00226472"/>
    <w:rsid w:val="00226692"/>
    <w:rsid w:val="00226785"/>
    <w:rsid w:val="00226852"/>
    <w:rsid w:val="00226918"/>
    <w:rsid w:val="0022718A"/>
    <w:rsid w:val="002273F7"/>
    <w:rsid w:val="00227817"/>
    <w:rsid w:val="00227C9B"/>
    <w:rsid w:val="00227CF8"/>
    <w:rsid w:val="00227D6E"/>
    <w:rsid w:val="00227D96"/>
    <w:rsid w:val="00227E89"/>
    <w:rsid w:val="00227E95"/>
    <w:rsid w:val="00227ED5"/>
    <w:rsid w:val="0023043A"/>
    <w:rsid w:val="0023062D"/>
    <w:rsid w:val="00230750"/>
    <w:rsid w:val="002309F1"/>
    <w:rsid w:val="00230D1F"/>
    <w:rsid w:val="00230E6E"/>
    <w:rsid w:val="00231173"/>
    <w:rsid w:val="00231432"/>
    <w:rsid w:val="00231735"/>
    <w:rsid w:val="002317C3"/>
    <w:rsid w:val="0023181E"/>
    <w:rsid w:val="00231868"/>
    <w:rsid w:val="002318CA"/>
    <w:rsid w:val="002319D8"/>
    <w:rsid w:val="00231F81"/>
    <w:rsid w:val="002320C4"/>
    <w:rsid w:val="00232128"/>
    <w:rsid w:val="0023213F"/>
    <w:rsid w:val="0023221C"/>
    <w:rsid w:val="00232361"/>
    <w:rsid w:val="002327C0"/>
    <w:rsid w:val="00232819"/>
    <w:rsid w:val="00232836"/>
    <w:rsid w:val="0023293A"/>
    <w:rsid w:val="002329D1"/>
    <w:rsid w:val="0023339F"/>
    <w:rsid w:val="00233460"/>
    <w:rsid w:val="002336EA"/>
    <w:rsid w:val="0023378B"/>
    <w:rsid w:val="00233899"/>
    <w:rsid w:val="00233CB5"/>
    <w:rsid w:val="00233DC5"/>
    <w:rsid w:val="00233FA3"/>
    <w:rsid w:val="00234284"/>
    <w:rsid w:val="00234426"/>
    <w:rsid w:val="00234456"/>
    <w:rsid w:val="0023472C"/>
    <w:rsid w:val="00234C32"/>
    <w:rsid w:val="00234C5B"/>
    <w:rsid w:val="00234D91"/>
    <w:rsid w:val="00234E74"/>
    <w:rsid w:val="00234F95"/>
    <w:rsid w:val="002351DE"/>
    <w:rsid w:val="00235466"/>
    <w:rsid w:val="002360C3"/>
    <w:rsid w:val="00236675"/>
    <w:rsid w:val="00236D9B"/>
    <w:rsid w:val="00236FB8"/>
    <w:rsid w:val="00236FDC"/>
    <w:rsid w:val="0023710E"/>
    <w:rsid w:val="002372AE"/>
    <w:rsid w:val="0023737E"/>
    <w:rsid w:val="00237541"/>
    <w:rsid w:val="002378A9"/>
    <w:rsid w:val="00237AEA"/>
    <w:rsid w:val="00237E04"/>
    <w:rsid w:val="00237E67"/>
    <w:rsid w:val="00237F3D"/>
    <w:rsid w:val="00237FAA"/>
    <w:rsid w:val="00237FE7"/>
    <w:rsid w:val="00237FFE"/>
    <w:rsid w:val="002404DA"/>
    <w:rsid w:val="002407AB"/>
    <w:rsid w:val="002407C8"/>
    <w:rsid w:val="00241253"/>
    <w:rsid w:val="0024127E"/>
    <w:rsid w:val="00241339"/>
    <w:rsid w:val="002414C2"/>
    <w:rsid w:val="00241963"/>
    <w:rsid w:val="00241EF1"/>
    <w:rsid w:val="00242223"/>
    <w:rsid w:val="00242458"/>
    <w:rsid w:val="002425E9"/>
    <w:rsid w:val="002427A2"/>
    <w:rsid w:val="0024314E"/>
    <w:rsid w:val="0024337F"/>
    <w:rsid w:val="0024360F"/>
    <w:rsid w:val="00243695"/>
    <w:rsid w:val="0024375A"/>
    <w:rsid w:val="00243963"/>
    <w:rsid w:val="00243B73"/>
    <w:rsid w:val="00243C6C"/>
    <w:rsid w:val="00243DFE"/>
    <w:rsid w:val="00244347"/>
    <w:rsid w:val="00244383"/>
    <w:rsid w:val="00244A7F"/>
    <w:rsid w:val="00244AED"/>
    <w:rsid w:val="00245012"/>
    <w:rsid w:val="002450A5"/>
    <w:rsid w:val="00245232"/>
    <w:rsid w:val="0024530D"/>
    <w:rsid w:val="00245486"/>
    <w:rsid w:val="00245504"/>
    <w:rsid w:val="00245602"/>
    <w:rsid w:val="00245C56"/>
    <w:rsid w:val="00245CBA"/>
    <w:rsid w:val="00245D33"/>
    <w:rsid w:val="00245DCA"/>
    <w:rsid w:val="002461EE"/>
    <w:rsid w:val="00246C37"/>
    <w:rsid w:val="00246FFE"/>
    <w:rsid w:val="002471BE"/>
    <w:rsid w:val="00247466"/>
    <w:rsid w:val="0024749A"/>
    <w:rsid w:val="00247704"/>
    <w:rsid w:val="00247948"/>
    <w:rsid w:val="00247A82"/>
    <w:rsid w:val="00247DF6"/>
    <w:rsid w:val="00247FEA"/>
    <w:rsid w:val="002502A6"/>
    <w:rsid w:val="002502BD"/>
    <w:rsid w:val="00250446"/>
    <w:rsid w:val="00250A30"/>
    <w:rsid w:val="00250E66"/>
    <w:rsid w:val="00250F30"/>
    <w:rsid w:val="00250FC9"/>
    <w:rsid w:val="0025113A"/>
    <w:rsid w:val="002514FB"/>
    <w:rsid w:val="002518B8"/>
    <w:rsid w:val="00251BB4"/>
    <w:rsid w:val="00251EA1"/>
    <w:rsid w:val="00251EC1"/>
    <w:rsid w:val="00252066"/>
    <w:rsid w:val="002528D1"/>
    <w:rsid w:val="00252A05"/>
    <w:rsid w:val="00252BB7"/>
    <w:rsid w:val="00252C33"/>
    <w:rsid w:val="00252C58"/>
    <w:rsid w:val="00252E1B"/>
    <w:rsid w:val="00252FAC"/>
    <w:rsid w:val="002530C2"/>
    <w:rsid w:val="00253262"/>
    <w:rsid w:val="00253318"/>
    <w:rsid w:val="002533CD"/>
    <w:rsid w:val="00253416"/>
    <w:rsid w:val="00253422"/>
    <w:rsid w:val="0025345D"/>
    <w:rsid w:val="002537D0"/>
    <w:rsid w:val="002537DA"/>
    <w:rsid w:val="0025385C"/>
    <w:rsid w:val="00253CA8"/>
    <w:rsid w:val="00253D39"/>
    <w:rsid w:val="00253E5C"/>
    <w:rsid w:val="00253F55"/>
    <w:rsid w:val="002541CA"/>
    <w:rsid w:val="00254202"/>
    <w:rsid w:val="0025420A"/>
    <w:rsid w:val="00254352"/>
    <w:rsid w:val="00254467"/>
    <w:rsid w:val="00254574"/>
    <w:rsid w:val="002546AE"/>
    <w:rsid w:val="002547B3"/>
    <w:rsid w:val="00254AA1"/>
    <w:rsid w:val="00254AE2"/>
    <w:rsid w:val="00254D54"/>
    <w:rsid w:val="00254DFB"/>
    <w:rsid w:val="00254E08"/>
    <w:rsid w:val="00254E90"/>
    <w:rsid w:val="0025511F"/>
    <w:rsid w:val="00255281"/>
    <w:rsid w:val="0025582E"/>
    <w:rsid w:val="0025587F"/>
    <w:rsid w:val="0025601C"/>
    <w:rsid w:val="002564F3"/>
    <w:rsid w:val="0025665F"/>
    <w:rsid w:val="00256708"/>
    <w:rsid w:val="00256947"/>
    <w:rsid w:val="00256DD8"/>
    <w:rsid w:val="002570FE"/>
    <w:rsid w:val="002571C9"/>
    <w:rsid w:val="00257225"/>
    <w:rsid w:val="00257559"/>
    <w:rsid w:val="002576C3"/>
    <w:rsid w:val="002576CD"/>
    <w:rsid w:val="00257A29"/>
    <w:rsid w:val="00257AF0"/>
    <w:rsid w:val="00257CE6"/>
    <w:rsid w:val="00257D3E"/>
    <w:rsid w:val="00257FA4"/>
    <w:rsid w:val="00260A3F"/>
    <w:rsid w:val="00260B5A"/>
    <w:rsid w:val="002611AD"/>
    <w:rsid w:val="0026148F"/>
    <w:rsid w:val="00261616"/>
    <w:rsid w:val="002618A7"/>
    <w:rsid w:val="00261AF5"/>
    <w:rsid w:val="00261C65"/>
    <w:rsid w:val="00261E70"/>
    <w:rsid w:val="0026274F"/>
    <w:rsid w:val="00262977"/>
    <w:rsid w:val="00262AB7"/>
    <w:rsid w:val="00262B68"/>
    <w:rsid w:val="00262B88"/>
    <w:rsid w:val="002630C2"/>
    <w:rsid w:val="00263771"/>
    <w:rsid w:val="00263797"/>
    <w:rsid w:val="002638D8"/>
    <w:rsid w:val="00263959"/>
    <w:rsid w:val="00263AA1"/>
    <w:rsid w:val="00263B5B"/>
    <w:rsid w:val="0026403F"/>
    <w:rsid w:val="0026454D"/>
    <w:rsid w:val="002646A9"/>
    <w:rsid w:val="002646E8"/>
    <w:rsid w:val="00264895"/>
    <w:rsid w:val="00264AD0"/>
    <w:rsid w:val="00264BD7"/>
    <w:rsid w:val="00264E2B"/>
    <w:rsid w:val="00264F98"/>
    <w:rsid w:val="00265046"/>
    <w:rsid w:val="002651A2"/>
    <w:rsid w:val="0026587E"/>
    <w:rsid w:val="002659A1"/>
    <w:rsid w:val="002659ED"/>
    <w:rsid w:val="00265B35"/>
    <w:rsid w:val="00265CBE"/>
    <w:rsid w:val="00265E0A"/>
    <w:rsid w:val="00265ED9"/>
    <w:rsid w:val="00266007"/>
    <w:rsid w:val="00266079"/>
    <w:rsid w:val="00266420"/>
    <w:rsid w:val="00266A4E"/>
    <w:rsid w:val="00266B15"/>
    <w:rsid w:val="0026703C"/>
    <w:rsid w:val="00267140"/>
    <w:rsid w:val="00267208"/>
    <w:rsid w:val="0026729E"/>
    <w:rsid w:val="002672DE"/>
    <w:rsid w:val="00267326"/>
    <w:rsid w:val="00267371"/>
    <w:rsid w:val="002675A6"/>
    <w:rsid w:val="00267E82"/>
    <w:rsid w:val="00267E91"/>
    <w:rsid w:val="00267FB5"/>
    <w:rsid w:val="0027000A"/>
    <w:rsid w:val="0027040B"/>
    <w:rsid w:val="00270469"/>
    <w:rsid w:val="0027057B"/>
    <w:rsid w:val="00270816"/>
    <w:rsid w:val="00270F15"/>
    <w:rsid w:val="00270F78"/>
    <w:rsid w:val="00271287"/>
    <w:rsid w:val="002717A9"/>
    <w:rsid w:val="00271833"/>
    <w:rsid w:val="0027197E"/>
    <w:rsid w:val="00271ADE"/>
    <w:rsid w:val="002720E7"/>
    <w:rsid w:val="0027225A"/>
    <w:rsid w:val="00272339"/>
    <w:rsid w:val="00272502"/>
    <w:rsid w:val="0027254F"/>
    <w:rsid w:val="00272572"/>
    <w:rsid w:val="002725DF"/>
    <w:rsid w:val="00272607"/>
    <w:rsid w:val="00272652"/>
    <w:rsid w:val="00273008"/>
    <w:rsid w:val="002733A7"/>
    <w:rsid w:val="002734F8"/>
    <w:rsid w:val="002738BB"/>
    <w:rsid w:val="002739E7"/>
    <w:rsid w:val="00273A67"/>
    <w:rsid w:val="00273B6F"/>
    <w:rsid w:val="00273D58"/>
    <w:rsid w:val="00273D7D"/>
    <w:rsid w:val="00273F32"/>
    <w:rsid w:val="00273F94"/>
    <w:rsid w:val="00274171"/>
    <w:rsid w:val="002741DF"/>
    <w:rsid w:val="0027435D"/>
    <w:rsid w:val="002744A1"/>
    <w:rsid w:val="002745AF"/>
    <w:rsid w:val="002746E8"/>
    <w:rsid w:val="002748EA"/>
    <w:rsid w:val="00274B67"/>
    <w:rsid w:val="00274B74"/>
    <w:rsid w:val="00274CA3"/>
    <w:rsid w:val="00274D0F"/>
    <w:rsid w:val="00274DC9"/>
    <w:rsid w:val="00274FF8"/>
    <w:rsid w:val="002751ED"/>
    <w:rsid w:val="0027522D"/>
    <w:rsid w:val="00275234"/>
    <w:rsid w:val="002756F6"/>
    <w:rsid w:val="00275753"/>
    <w:rsid w:val="00275BDE"/>
    <w:rsid w:val="00276039"/>
    <w:rsid w:val="002760AC"/>
    <w:rsid w:val="002761B7"/>
    <w:rsid w:val="002761FF"/>
    <w:rsid w:val="00276743"/>
    <w:rsid w:val="002767F2"/>
    <w:rsid w:val="00276A5D"/>
    <w:rsid w:val="00276BC5"/>
    <w:rsid w:val="00276EE6"/>
    <w:rsid w:val="0027704E"/>
    <w:rsid w:val="00277194"/>
    <w:rsid w:val="002771CE"/>
    <w:rsid w:val="00277329"/>
    <w:rsid w:val="002775AB"/>
    <w:rsid w:val="0027767B"/>
    <w:rsid w:val="002776BE"/>
    <w:rsid w:val="00277AF4"/>
    <w:rsid w:val="00277B10"/>
    <w:rsid w:val="00277CF3"/>
    <w:rsid w:val="00277D78"/>
    <w:rsid w:val="00277E6F"/>
    <w:rsid w:val="00280088"/>
    <w:rsid w:val="0028049C"/>
    <w:rsid w:val="002804E3"/>
    <w:rsid w:val="002808C8"/>
    <w:rsid w:val="00280A03"/>
    <w:rsid w:val="00280EFF"/>
    <w:rsid w:val="002810F9"/>
    <w:rsid w:val="00281407"/>
    <w:rsid w:val="002816E3"/>
    <w:rsid w:val="002817D3"/>
    <w:rsid w:val="00281ADF"/>
    <w:rsid w:val="00281DD5"/>
    <w:rsid w:val="00282039"/>
    <w:rsid w:val="00282485"/>
    <w:rsid w:val="00282517"/>
    <w:rsid w:val="00282881"/>
    <w:rsid w:val="00282A3C"/>
    <w:rsid w:val="00282A46"/>
    <w:rsid w:val="00282E86"/>
    <w:rsid w:val="002830E2"/>
    <w:rsid w:val="0028392C"/>
    <w:rsid w:val="0028393C"/>
    <w:rsid w:val="00283D2C"/>
    <w:rsid w:val="00283DB9"/>
    <w:rsid w:val="00283EF0"/>
    <w:rsid w:val="00283F47"/>
    <w:rsid w:val="00283FEB"/>
    <w:rsid w:val="002840A4"/>
    <w:rsid w:val="00284598"/>
    <w:rsid w:val="002848EC"/>
    <w:rsid w:val="002849BC"/>
    <w:rsid w:val="00284BD3"/>
    <w:rsid w:val="00284F0D"/>
    <w:rsid w:val="00284F0E"/>
    <w:rsid w:val="00285019"/>
    <w:rsid w:val="00285508"/>
    <w:rsid w:val="00285585"/>
    <w:rsid w:val="0028558C"/>
    <w:rsid w:val="00285A98"/>
    <w:rsid w:val="00285F85"/>
    <w:rsid w:val="0028602E"/>
    <w:rsid w:val="00286097"/>
    <w:rsid w:val="002860C7"/>
    <w:rsid w:val="00286131"/>
    <w:rsid w:val="00286239"/>
    <w:rsid w:val="0028627F"/>
    <w:rsid w:val="00286325"/>
    <w:rsid w:val="0028660F"/>
    <w:rsid w:val="0028661E"/>
    <w:rsid w:val="00286A5F"/>
    <w:rsid w:val="00286B52"/>
    <w:rsid w:val="00286DF7"/>
    <w:rsid w:val="00286E68"/>
    <w:rsid w:val="002871DD"/>
    <w:rsid w:val="00287311"/>
    <w:rsid w:val="0028752C"/>
    <w:rsid w:val="002877EA"/>
    <w:rsid w:val="002878E4"/>
    <w:rsid w:val="00287D33"/>
    <w:rsid w:val="00287E69"/>
    <w:rsid w:val="00287F6A"/>
    <w:rsid w:val="00287F6D"/>
    <w:rsid w:val="00290034"/>
    <w:rsid w:val="00290055"/>
    <w:rsid w:val="00290176"/>
    <w:rsid w:val="00290533"/>
    <w:rsid w:val="002905F5"/>
    <w:rsid w:val="00290635"/>
    <w:rsid w:val="002906CE"/>
    <w:rsid w:val="0029088B"/>
    <w:rsid w:val="0029090A"/>
    <w:rsid w:val="00290A26"/>
    <w:rsid w:val="00290ECD"/>
    <w:rsid w:val="0029105C"/>
    <w:rsid w:val="002910E4"/>
    <w:rsid w:val="002910F2"/>
    <w:rsid w:val="00291332"/>
    <w:rsid w:val="00291340"/>
    <w:rsid w:val="0029138B"/>
    <w:rsid w:val="00291417"/>
    <w:rsid w:val="00291522"/>
    <w:rsid w:val="00291685"/>
    <w:rsid w:val="002917C3"/>
    <w:rsid w:val="00291BA2"/>
    <w:rsid w:val="00291C85"/>
    <w:rsid w:val="002920A3"/>
    <w:rsid w:val="002923B8"/>
    <w:rsid w:val="002923CB"/>
    <w:rsid w:val="0029252B"/>
    <w:rsid w:val="002925A2"/>
    <w:rsid w:val="002925EC"/>
    <w:rsid w:val="002926AE"/>
    <w:rsid w:val="00292A4C"/>
    <w:rsid w:val="00292BD6"/>
    <w:rsid w:val="002934EF"/>
    <w:rsid w:val="0029376E"/>
    <w:rsid w:val="00293834"/>
    <w:rsid w:val="00293A75"/>
    <w:rsid w:val="00293A85"/>
    <w:rsid w:val="00293D47"/>
    <w:rsid w:val="00293EBB"/>
    <w:rsid w:val="00293EEF"/>
    <w:rsid w:val="0029408D"/>
    <w:rsid w:val="00294192"/>
    <w:rsid w:val="00294548"/>
    <w:rsid w:val="002945E4"/>
    <w:rsid w:val="0029489A"/>
    <w:rsid w:val="00294B34"/>
    <w:rsid w:val="00294C3A"/>
    <w:rsid w:val="00294FBB"/>
    <w:rsid w:val="00295646"/>
    <w:rsid w:val="00295717"/>
    <w:rsid w:val="00295875"/>
    <w:rsid w:val="00295AE2"/>
    <w:rsid w:val="00295B07"/>
    <w:rsid w:val="00295C58"/>
    <w:rsid w:val="00295E49"/>
    <w:rsid w:val="00295F71"/>
    <w:rsid w:val="002967A0"/>
    <w:rsid w:val="002968AE"/>
    <w:rsid w:val="00296AFF"/>
    <w:rsid w:val="00296B18"/>
    <w:rsid w:val="0029717C"/>
    <w:rsid w:val="002977CE"/>
    <w:rsid w:val="002979AF"/>
    <w:rsid w:val="002979E5"/>
    <w:rsid w:val="002979F9"/>
    <w:rsid w:val="00297D23"/>
    <w:rsid w:val="00297E55"/>
    <w:rsid w:val="002A03CC"/>
    <w:rsid w:val="002A03F2"/>
    <w:rsid w:val="002A05E5"/>
    <w:rsid w:val="002A0FE8"/>
    <w:rsid w:val="002A1029"/>
    <w:rsid w:val="002A1531"/>
    <w:rsid w:val="002A154E"/>
    <w:rsid w:val="002A15A1"/>
    <w:rsid w:val="002A15AC"/>
    <w:rsid w:val="002A1701"/>
    <w:rsid w:val="002A18B1"/>
    <w:rsid w:val="002A1B40"/>
    <w:rsid w:val="002A1BB4"/>
    <w:rsid w:val="002A1DC2"/>
    <w:rsid w:val="002A1E1A"/>
    <w:rsid w:val="002A1F55"/>
    <w:rsid w:val="002A24F6"/>
    <w:rsid w:val="002A25B9"/>
    <w:rsid w:val="002A2665"/>
    <w:rsid w:val="002A2666"/>
    <w:rsid w:val="002A2702"/>
    <w:rsid w:val="002A2871"/>
    <w:rsid w:val="002A28A4"/>
    <w:rsid w:val="002A28E9"/>
    <w:rsid w:val="002A2A53"/>
    <w:rsid w:val="002A2FD4"/>
    <w:rsid w:val="002A3007"/>
    <w:rsid w:val="002A3035"/>
    <w:rsid w:val="002A3432"/>
    <w:rsid w:val="002A34B1"/>
    <w:rsid w:val="002A34EF"/>
    <w:rsid w:val="002A367F"/>
    <w:rsid w:val="002A388B"/>
    <w:rsid w:val="002A3BD8"/>
    <w:rsid w:val="002A3F2E"/>
    <w:rsid w:val="002A4075"/>
    <w:rsid w:val="002A4093"/>
    <w:rsid w:val="002A40CB"/>
    <w:rsid w:val="002A42C2"/>
    <w:rsid w:val="002A4379"/>
    <w:rsid w:val="002A4460"/>
    <w:rsid w:val="002A4568"/>
    <w:rsid w:val="002A489B"/>
    <w:rsid w:val="002A4CED"/>
    <w:rsid w:val="002A4ED4"/>
    <w:rsid w:val="002A4FD9"/>
    <w:rsid w:val="002A5015"/>
    <w:rsid w:val="002A5350"/>
    <w:rsid w:val="002A5BF6"/>
    <w:rsid w:val="002A5C08"/>
    <w:rsid w:val="002A5C37"/>
    <w:rsid w:val="002A5F50"/>
    <w:rsid w:val="002A6041"/>
    <w:rsid w:val="002A6064"/>
    <w:rsid w:val="002A6121"/>
    <w:rsid w:val="002A6434"/>
    <w:rsid w:val="002A64BB"/>
    <w:rsid w:val="002A6824"/>
    <w:rsid w:val="002A682D"/>
    <w:rsid w:val="002A69C6"/>
    <w:rsid w:val="002A6BF6"/>
    <w:rsid w:val="002A6CA2"/>
    <w:rsid w:val="002A6E67"/>
    <w:rsid w:val="002A7165"/>
    <w:rsid w:val="002A75AF"/>
    <w:rsid w:val="002A77E4"/>
    <w:rsid w:val="002A7A38"/>
    <w:rsid w:val="002A7E39"/>
    <w:rsid w:val="002A7FC3"/>
    <w:rsid w:val="002A7FD7"/>
    <w:rsid w:val="002A7FF7"/>
    <w:rsid w:val="002B02B0"/>
    <w:rsid w:val="002B04D1"/>
    <w:rsid w:val="002B06AB"/>
    <w:rsid w:val="002B0C55"/>
    <w:rsid w:val="002B1474"/>
    <w:rsid w:val="002B15E2"/>
    <w:rsid w:val="002B160B"/>
    <w:rsid w:val="002B1B43"/>
    <w:rsid w:val="002B22F4"/>
    <w:rsid w:val="002B24D1"/>
    <w:rsid w:val="002B25DE"/>
    <w:rsid w:val="002B281C"/>
    <w:rsid w:val="002B28D1"/>
    <w:rsid w:val="002B28DD"/>
    <w:rsid w:val="002B2925"/>
    <w:rsid w:val="002B2D89"/>
    <w:rsid w:val="002B2E8A"/>
    <w:rsid w:val="002B2F28"/>
    <w:rsid w:val="002B2FAC"/>
    <w:rsid w:val="002B2FF1"/>
    <w:rsid w:val="002B3073"/>
    <w:rsid w:val="002B3296"/>
    <w:rsid w:val="002B32F3"/>
    <w:rsid w:val="002B34F3"/>
    <w:rsid w:val="002B3575"/>
    <w:rsid w:val="002B35BF"/>
    <w:rsid w:val="002B3635"/>
    <w:rsid w:val="002B36D5"/>
    <w:rsid w:val="002B372E"/>
    <w:rsid w:val="002B37B5"/>
    <w:rsid w:val="002B3994"/>
    <w:rsid w:val="002B3AAD"/>
    <w:rsid w:val="002B3BD1"/>
    <w:rsid w:val="002B3CFD"/>
    <w:rsid w:val="002B400D"/>
    <w:rsid w:val="002B41B6"/>
    <w:rsid w:val="002B4945"/>
    <w:rsid w:val="002B4994"/>
    <w:rsid w:val="002B4BDA"/>
    <w:rsid w:val="002B4F2D"/>
    <w:rsid w:val="002B4FA5"/>
    <w:rsid w:val="002B5237"/>
    <w:rsid w:val="002B52DB"/>
    <w:rsid w:val="002B53D5"/>
    <w:rsid w:val="002B5A2D"/>
    <w:rsid w:val="002B5BAA"/>
    <w:rsid w:val="002B5FB8"/>
    <w:rsid w:val="002B6253"/>
    <w:rsid w:val="002B6955"/>
    <w:rsid w:val="002B69CE"/>
    <w:rsid w:val="002B6AA7"/>
    <w:rsid w:val="002B6E33"/>
    <w:rsid w:val="002B7317"/>
    <w:rsid w:val="002B74DA"/>
    <w:rsid w:val="002B7620"/>
    <w:rsid w:val="002B7823"/>
    <w:rsid w:val="002B7850"/>
    <w:rsid w:val="002B7A13"/>
    <w:rsid w:val="002B7CBD"/>
    <w:rsid w:val="002B7E75"/>
    <w:rsid w:val="002B7EC3"/>
    <w:rsid w:val="002C0548"/>
    <w:rsid w:val="002C07B9"/>
    <w:rsid w:val="002C08AB"/>
    <w:rsid w:val="002C0AAC"/>
    <w:rsid w:val="002C0AC6"/>
    <w:rsid w:val="002C0DE9"/>
    <w:rsid w:val="002C0EE9"/>
    <w:rsid w:val="002C0F68"/>
    <w:rsid w:val="002C0FEB"/>
    <w:rsid w:val="002C1190"/>
    <w:rsid w:val="002C12BE"/>
    <w:rsid w:val="002C15FD"/>
    <w:rsid w:val="002C1658"/>
    <w:rsid w:val="002C1772"/>
    <w:rsid w:val="002C1823"/>
    <w:rsid w:val="002C196B"/>
    <w:rsid w:val="002C1AFD"/>
    <w:rsid w:val="002C1DC8"/>
    <w:rsid w:val="002C1E62"/>
    <w:rsid w:val="002C1EC7"/>
    <w:rsid w:val="002C1EFC"/>
    <w:rsid w:val="002C2164"/>
    <w:rsid w:val="002C24EF"/>
    <w:rsid w:val="002C26D0"/>
    <w:rsid w:val="002C2927"/>
    <w:rsid w:val="002C2E16"/>
    <w:rsid w:val="002C2FAC"/>
    <w:rsid w:val="002C303A"/>
    <w:rsid w:val="002C3234"/>
    <w:rsid w:val="002C32E5"/>
    <w:rsid w:val="002C3D25"/>
    <w:rsid w:val="002C3DA5"/>
    <w:rsid w:val="002C41D5"/>
    <w:rsid w:val="002C4351"/>
    <w:rsid w:val="002C4495"/>
    <w:rsid w:val="002C47E5"/>
    <w:rsid w:val="002C49CE"/>
    <w:rsid w:val="002C49F9"/>
    <w:rsid w:val="002C4C2F"/>
    <w:rsid w:val="002C4DB0"/>
    <w:rsid w:val="002C4E36"/>
    <w:rsid w:val="002C4E79"/>
    <w:rsid w:val="002C4F76"/>
    <w:rsid w:val="002C579D"/>
    <w:rsid w:val="002C587A"/>
    <w:rsid w:val="002C5DDC"/>
    <w:rsid w:val="002C5DFA"/>
    <w:rsid w:val="002C5F0F"/>
    <w:rsid w:val="002C640C"/>
    <w:rsid w:val="002C643F"/>
    <w:rsid w:val="002C6AAD"/>
    <w:rsid w:val="002C6ABA"/>
    <w:rsid w:val="002C6F7D"/>
    <w:rsid w:val="002C7120"/>
    <w:rsid w:val="002C72ED"/>
    <w:rsid w:val="002C73E9"/>
    <w:rsid w:val="002C770F"/>
    <w:rsid w:val="002C79B9"/>
    <w:rsid w:val="002C7F3C"/>
    <w:rsid w:val="002C7F7C"/>
    <w:rsid w:val="002D00BA"/>
    <w:rsid w:val="002D04E1"/>
    <w:rsid w:val="002D0538"/>
    <w:rsid w:val="002D0602"/>
    <w:rsid w:val="002D071E"/>
    <w:rsid w:val="002D0749"/>
    <w:rsid w:val="002D0799"/>
    <w:rsid w:val="002D0941"/>
    <w:rsid w:val="002D09E1"/>
    <w:rsid w:val="002D0A2D"/>
    <w:rsid w:val="002D0F31"/>
    <w:rsid w:val="002D0FCE"/>
    <w:rsid w:val="002D1035"/>
    <w:rsid w:val="002D1059"/>
    <w:rsid w:val="002D1076"/>
    <w:rsid w:val="002D121B"/>
    <w:rsid w:val="002D15AD"/>
    <w:rsid w:val="002D168A"/>
    <w:rsid w:val="002D172C"/>
    <w:rsid w:val="002D1900"/>
    <w:rsid w:val="002D19F5"/>
    <w:rsid w:val="002D1BD1"/>
    <w:rsid w:val="002D1C57"/>
    <w:rsid w:val="002D1F01"/>
    <w:rsid w:val="002D2353"/>
    <w:rsid w:val="002D23CB"/>
    <w:rsid w:val="002D248A"/>
    <w:rsid w:val="002D25A0"/>
    <w:rsid w:val="002D2973"/>
    <w:rsid w:val="002D29CA"/>
    <w:rsid w:val="002D2A0C"/>
    <w:rsid w:val="002D2F55"/>
    <w:rsid w:val="002D32EE"/>
    <w:rsid w:val="002D33CA"/>
    <w:rsid w:val="002D3553"/>
    <w:rsid w:val="002D37A9"/>
    <w:rsid w:val="002D37F7"/>
    <w:rsid w:val="002D3A0D"/>
    <w:rsid w:val="002D3A2B"/>
    <w:rsid w:val="002D3F05"/>
    <w:rsid w:val="002D41F7"/>
    <w:rsid w:val="002D422E"/>
    <w:rsid w:val="002D4404"/>
    <w:rsid w:val="002D4637"/>
    <w:rsid w:val="002D4639"/>
    <w:rsid w:val="002D474C"/>
    <w:rsid w:val="002D4863"/>
    <w:rsid w:val="002D4B29"/>
    <w:rsid w:val="002D4BE9"/>
    <w:rsid w:val="002D4BF7"/>
    <w:rsid w:val="002D4DD9"/>
    <w:rsid w:val="002D4E1F"/>
    <w:rsid w:val="002D53A4"/>
    <w:rsid w:val="002D5597"/>
    <w:rsid w:val="002D581E"/>
    <w:rsid w:val="002D5900"/>
    <w:rsid w:val="002D596F"/>
    <w:rsid w:val="002D59FC"/>
    <w:rsid w:val="002D5ABC"/>
    <w:rsid w:val="002D5B8F"/>
    <w:rsid w:val="002D61FF"/>
    <w:rsid w:val="002D637D"/>
    <w:rsid w:val="002D66BC"/>
    <w:rsid w:val="002D6721"/>
    <w:rsid w:val="002D689B"/>
    <w:rsid w:val="002D69E8"/>
    <w:rsid w:val="002D6AF4"/>
    <w:rsid w:val="002D6C4C"/>
    <w:rsid w:val="002D7091"/>
    <w:rsid w:val="002D716B"/>
    <w:rsid w:val="002D7603"/>
    <w:rsid w:val="002D762C"/>
    <w:rsid w:val="002D76FC"/>
    <w:rsid w:val="002D79E2"/>
    <w:rsid w:val="002D7A0B"/>
    <w:rsid w:val="002D7A75"/>
    <w:rsid w:val="002D7B4F"/>
    <w:rsid w:val="002D7B9F"/>
    <w:rsid w:val="002D7E02"/>
    <w:rsid w:val="002D7F9E"/>
    <w:rsid w:val="002E004B"/>
    <w:rsid w:val="002E0276"/>
    <w:rsid w:val="002E07A7"/>
    <w:rsid w:val="002E08A5"/>
    <w:rsid w:val="002E0B61"/>
    <w:rsid w:val="002E0C94"/>
    <w:rsid w:val="002E101D"/>
    <w:rsid w:val="002E114D"/>
    <w:rsid w:val="002E12B1"/>
    <w:rsid w:val="002E1527"/>
    <w:rsid w:val="002E1846"/>
    <w:rsid w:val="002E19B8"/>
    <w:rsid w:val="002E1B5F"/>
    <w:rsid w:val="002E1D1D"/>
    <w:rsid w:val="002E2026"/>
    <w:rsid w:val="002E21B9"/>
    <w:rsid w:val="002E23F5"/>
    <w:rsid w:val="002E2598"/>
    <w:rsid w:val="002E2992"/>
    <w:rsid w:val="002E29BA"/>
    <w:rsid w:val="002E2DDF"/>
    <w:rsid w:val="002E30C6"/>
    <w:rsid w:val="002E31AC"/>
    <w:rsid w:val="002E3666"/>
    <w:rsid w:val="002E3C50"/>
    <w:rsid w:val="002E3EA5"/>
    <w:rsid w:val="002E42C1"/>
    <w:rsid w:val="002E440A"/>
    <w:rsid w:val="002E49D3"/>
    <w:rsid w:val="002E4C36"/>
    <w:rsid w:val="002E4E73"/>
    <w:rsid w:val="002E526C"/>
    <w:rsid w:val="002E5526"/>
    <w:rsid w:val="002E5802"/>
    <w:rsid w:val="002E624E"/>
    <w:rsid w:val="002E6283"/>
    <w:rsid w:val="002E6369"/>
    <w:rsid w:val="002E64F0"/>
    <w:rsid w:val="002E6557"/>
    <w:rsid w:val="002E6635"/>
    <w:rsid w:val="002E6A28"/>
    <w:rsid w:val="002E6A35"/>
    <w:rsid w:val="002E6BBC"/>
    <w:rsid w:val="002E6E14"/>
    <w:rsid w:val="002E6E1B"/>
    <w:rsid w:val="002E7082"/>
    <w:rsid w:val="002E7950"/>
    <w:rsid w:val="002E79D0"/>
    <w:rsid w:val="002E7A55"/>
    <w:rsid w:val="002E7E08"/>
    <w:rsid w:val="002E7EAA"/>
    <w:rsid w:val="002E7EF5"/>
    <w:rsid w:val="002F025C"/>
    <w:rsid w:val="002F03A5"/>
    <w:rsid w:val="002F05E2"/>
    <w:rsid w:val="002F067E"/>
    <w:rsid w:val="002F0699"/>
    <w:rsid w:val="002F06A1"/>
    <w:rsid w:val="002F0813"/>
    <w:rsid w:val="002F0AE2"/>
    <w:rsid w:val="002F0C2E"/>
    <w:rsid w:val="002F1061"/>
    <w:rsid w:val="002F132F"/>
    <w:rsid w:val="002F18C7"/>
    <w:rsid w:val="002F1A82"/>
    <w:rsid w:val="002F1BA9"/>
    <w:rsid w:val="002F1CF7"/>
    <w:rsid w:val="002F1DD1"/>
    <w:rsid w:val="002F2080"/>
    <w:rsid w:val="002F22C3"/>
    <w:rsid w:val="002F22C9"/>
    <w:rsid w:val="002F23C1"/>
    <w:rsid w:val="002F2623"/>
    <w:rsid w:val="002F2CEF"/>
    <w:rsid w:val="002F32EF"/>
    <w:rsid w:val="002F3557"/>
    <w:rsid w:val="002F3CC9"/>
    <w:rsid w:val="002F3E01"/>
    <w:rsid w:val="002F3EE1"/>
    <w:rsid w:val="002F41A6"/>
    <w:rsid w:val="002F4389"/>
    <w:rsid w:val="002F4408"/>
    <w:rsid w:val="002F460D"/>
    <w:rsid w:val="002F468E"/>
    <w:rsid w:val="002F47D3"/>
    <w:rsid w:val="002F483D"/>
    <w:rsid w:val="002F4956"/>
    <w:rsid w:val="002F4B1D"/>
    <w:rsid w:val="002F4C0F"/>
    <w:rsid w:val="002F4C18"/>
    <w:rsid w:val="002F4E2F"/>
    <w:rsid w:val="002F4EEC"/>
    <w:rsid w:val="002F531B"/>
    <w:rsid w:val="002F538B"/>
    <w:rsid w:val="002F5B5A"/>
    <w:rsid w:val="002F5C0E"/>
    <w:rsid w:val="002F5C96"/>
    <w:rsid w:val="002F5E4F"/>
    <w:rsid w:val="002F5EA4"/>
    <w:rsid w:val="002F5FE1"/>
    <w:rsid w:val="002F61E8"/>
    <w:rsid w:val="002F650C"/>
    <w:rsid w:val="002F664B"/>
    <w:rsid w:val="002F6744"/>
    <w:rsid w:val="002F6B1D"/>
    <w:rsid w:val="002F6C54"/>
    <w:rsid w:val="002F7058"/>
    <w:rsid w:val="002F74BA"/>
    <w:rsid w:val="002F74BD"/>
    <w:rsid w:val="002F75D2"/>
    <w:rsid w:val="002F7736"/>
    <w:rsid w:val="002F78F1"/>
    <w:rsid w:val="002F7971"/>
    <w:rsid w:val="002F7979"/>
    <w:rsid w:val="002F7A79"/>
    <w:rsid w:val="002F7A97"/>
    <w:rsid w:val="002F7C42"/>
    <w:rsid w:val="002F7E88"/>
    <w:rsid w:val="0030002F"/>
    <w:rsid w:val="00300108"/>
    <w:rsid w:val="00300220"/>
    <w:rsid w:val="0030026C"/>
    <w:rsid w:val="00300506"/>
    <w:rsid w:val="00300649"/>
    <w:rsid w:val="00300677"/>
    <w:rsid w:val="00300681"/>
    <w:rsid w:val="0030093C"/>
    <w:rsid w:val="00300B0E"/>
    <w:rsid w:val="00300C23"/>
    <w:rsid w:val="00300F23"/>
    <w:rsid w:val="00301619"/>
    <w:rsid w:val="00301650"/>
    <w:rsid w:val="003016AC"/>
    <w:rsid w:val="003019EA"/>
    <w:rsid w:val="00301D21"/>
    <w:rsid w:val="003020C9"/>
    <w:rsid w:val="0030219B"/>
    <w:rsid w:val="00302A47"/>
    <w:rsid w:val="003031C3"/>
    <w:rsid w:val="0030341C"/>
    <w:rsid w:val="00303710"/>
    <w:rsid w:val="00303930"/>
    <w:rsid w:val="0030396D"/>
    <w:rsid w:val="00303A99"/>
    <w:rsid w:val="00303D0E"/>
    <w:rsid w:val="00304634"/>
    <w:rsid w:val="0030477B"/>
    <w:rsid w:val="0030479E"/>
    <w:rsid w:val="00304906"/>
    <w:rsid w:val="00305DCC"/>
    <w:rsid w:val="00305EFD"/>
    <w:rsid w:val="003061A7"/>
    <w:rsid w:val="003061F7"/>
    <w:rsid w:val="003062AB"/>
    <w:rsid w:val="00306300"/>
    <w:rsid w:val="00306479"/>
    <w:rsid w:val="00306760"/>
    <w:rsid w:val="00306773"/>
    <w:rsid w:val="00306782"/>
    <w:rsid w:val="00306962"/>
    <w:rsid w:val="00306974"/>
    <w:rsid w:val="0030704B"/>
    <w:rsid w:val="00307152"/>
    <w:rsid w:val="00307176"/>
    <w:rsid w:val="003071A5"/>
    <w:rsid w:val="0030737A"/>
    <w:rsid w:val="003077C2"/>
    <w:rsid w:val="00307927"/>
    <w:rsid w:val="00307BB9"/>
    <w:rsid w:val="00307D37"/>
    <w:rsid w:val="00307E33"/>
    <w:rsid w:val="00307F5A"/>
    <w:rsid w:val="0031015D"/>
    <w:rsid w:val="003101B3"/>
    <w:rsid w:val="0031024A"/>
    <w:rsid w:val="0031031E"/>
    <w:rsid w:val="00310390"/>
    <w:rsid w:val="00310410"/>
    <w:rsid w:val="00310484"/>
    <w:rsid w:val="003109CD"/>
    <w:rsid w:val="00310DD4"/>
    <w:rsid w:val="00310F27"/>
    <w:rsid w:val="00311057"/>
    <w:rsid w:val="0031116E"/>
    <w:rsid w:val="003111B4"/>
    <w:rsid w:val="003111E5"/>
    <w:rsid w:val="00311308"/>
    <w:rsid w:val="003113F0"/>
    <w:rsid w:val="00311567"/>
    <w:rsid w:val="003115C1"/>
    <w:rsid w:val="0031168A"/>
    <w:rsid w:val="003116BE"/>
    <w:rsid w:val="003119E4"/>
    <w:rsid w:val="00311D3A"/>
    <w:rsid w:val="00311DA6"/>
    <w:rsid w:val="0031217E"/>
    <w:rsid w:val="00312273"/>
    <w:rsid w:val="003122ED"/>
    <w:rsid w:val="00312617"/>
    <w:rsid w:val="003127C4"/>
    <w:rsid w:val="00312918"/>
    <w:rsid w:val="003129ED"/>
    <w:rsid w:val="00312A87"/>
    <w:rsid w:val="00312BBE"/>
    <w:rsid w:val="00312ECD"/>
    <w:rsid w:val="0031310D"/>
    <w:rsid w:val="00313461"/>
    <w:rsid w:val="00313544"/>
    <w:rsid w:val="00313759"/>
    <w:rsid w:val="00313909"/>
    <w:rsid w:val="00313A22"/>
    <w:rsid w:val="00313B08"/>
    <w:rsid w:val="00314A09"/>
    <w:rsid w:val="00314AED"/>
    <w:rsid w:val="00314BD4"/>
    <w:rsid w:val="00314C33"/>
    <w:rsid w:val="00314CF9"/>
    <w:rsid w:val="00314FD5"/>
    <w:rsid w:val="00315097"/>
    <w:rsid w:val="00315152"/>
    <w:rsid w:val="00315565"/>
    <w:rsid w:val="00315846"/>
    <w:rsid w:val="003158FD"/>
    <w:rsid w:val="00315CE4"/>
    <w:rsid w:val="00316027"/>
    <w:rsid w:val="00316083"/>
    <w:rsid w:val="003160A1"/>
    <w:rsid w:val="00316146"/>
    <w:rsid w:val="00316325"/>
    <w:rsid w:val="0031639B"/>
    <w:rsid w:val="0031695B"/>
    <w:rsid w:val="003169A1"/>
    <w:rsid w:val="00317173"/>
    <w:rsid w:val="003171C0"/>
    <w:rsid w:val="00317440"/>
    <w:rsid w:val="00317852"/>
    <w:rsid w:val="0031794F"/>
    <w:rsid w:val="003179E8"/>
    <w:rsid w:val="00317AA9"/>
    <w:rsid w:val="00317CF0"/>
    <w:rsid w:val="00317F74"/>
    <w:rsid w:val="003202F8"/>
    <w:rsid w:val="00320575"/>
    <w:rsid w:val="00320819"/>
    <w:rsid w:val="00320918"/>
    <w:rsid w:val="00320B15"/>
    <w:rsid w:val="00320DA5"/>
    <w:rsid w:val="00320EA2"/>
    <w:rsid w:val="003212CD"/>
    <w:rsid w:val="00321369"/>
    <w:rsid w:val="003219C5"/>
    <w:rsid w:val="003219CB"/>
    <w:rsid w:val="00321FE3"/>
    <w:rsid w:val="003220E5"/>
    <w:rsid w:val="0032216D"/>
    <w:rsid w:val="003221E9"/>
    <w:rsid w:val="0032221C"/>
    <w:rsid w:val="003223A4"/>
    <w:rsid w:val="003224F7"/>
    <w:rsid w:val="00322593"/>
    <w:rsid w:val="003229DB"/>
    <w:rsid w:val="00322E8D"/>
    <w:rsid w:val="0032337B"/>
    <w:rsid w:val="003233A5"/>
    <w:rsid w:val="00323487"/>
    <w:rsid w:val="00323680"/>
    <w:rsid w:val="003236E4"/>
    <w:rsid w:val="0032382F"/>
    <w:rsid w:val="00323B64"/>
    <w:rsid w:val="00323C65"/>
    <w:rsid w:val="00324096"/>
    <w:rsid w:val="00324253"/>
    <w:rsid w:val="00324302"/>
    <w:rsid w:val="00324314"/>
    <w:rsid w:val="003244AA"/>
    <w:rsid w:val="003245A0"/>
    <w:rsid w:val="00324723"/>
    <w:rsid w:val="00324B62"/>
    <w:rsid w:val="00324C46"/>
    <w:rsid w:val="00324C53"/>
    <w:rsid w:val="00324DDC"/>
    <w:rsid w:val="00324EDF"/>
    <w:rsid w:val="0032546D"/>
    <w:rsid w:val="003255FC"/>
    <w:rsid w:val="00325CD1"/>
    <w:rsid w:val="00325CF5"/>
    <w:rsid w:val="00325E4A"/>
    <w:rsid w:val="00325ED3"/>
    <w:rsid w:val="0032610A"/>
    <w:rsid w:val="0032637E"/>
    <w:rsid w:val="00326632"/>
    <w:rsid w:val="00326A65"/>
    <w:rsid w:val="00326C47"/>
    <w:rsid w:val="00326E4F"/>
    <w:rsid w:val="00326F30"/>
    <w:rsid w:val="0032702B"/>
    <w:rsid w:val="00327057"/>
    <w:rsid w:val="00327502"/>
    <w:rsid w:val="00327B21"/>
    <w:rsid w:val="00327E18"/>
    <w:rsid w:val="00327E7E"/>
    <w:rsid w:val="0033010D"/>
    <w:rsid w:val="003301C1"/>
    <w:rsid w:val="00330210"/>
    <w:rsid w:val="00330757"/>
    <w:rsid w:val="00330AEF"/>
    <w:rsid w:val="003310E1"/>
    <w:rsid w:val="003313AC"/>
    <w:rsid w:val="0033145F"/>
    <w:rsid w:val="003316DA"/>
    <w:rsid w:val="00331980"/>
    <w:rsid w:val="00331D83"/>
    <w:rsid w:val="00331FB3"/>
    <w:rsid w:val="0033202D"/>
    <w:rsid w:val="003328E6"/>
    <w:rsid w:val="003329C3"/>
    <w:rsid w:val="00332C8C"/>
    <w:rsid w:val="00332E4F"/>
    <w:rsid w:val="00332F4B"/>
    <w:rsid w:val="003332A6"/>
    <w:rsid w:val="003332F1"/>
    <w:rsid w:val="0033365E"/>
    <w:rsid w:val="003339FF"/>
    <w:rsid w:val="003340D1"/>
    <w:rsid w:val="0033453C"/>
    <w:rsid w:val="00334846"/>
    <w:rsid w:val="00334A32"/>
    <w:rsid w:val="00334DFD"/>
    <w:rsid w:val="00334F1E"/>
    <w:rsid w:val="00334F73"/>
    <w:rsid w:val="003350AF"/>
    <w:rsid w:val="00335695"/>
    <w:rsid w:val="0033589C"/>
    <w:rsid w:val="0033598D"/>
    <w:rsid w:val="00335B47"/>
    <w:rsid w:val="00335B60"/>
    <w:rsid w:val="00335DD9"/>
    <w:rsid w:val="00335E85"/>
    <w:rsid w:val="00335F81"/>
    <w:rsid w:val="00336117"/>
    <w:rsid w:val="00336568"/>
    <w:rsid w:val="003365C2"/>
    <w:rsid w:val="003365D8"/>
    <w:rsid w:val="00336603"/>
    <w:rsid w:val="00336870"/>
    <w:rsid w:val="003368FD"/>
    <w:rsid w:val="00336A7B"/>
    <w:rsid w:val="00336B95"/>
    <w:rsid w:val="00336BBE"/>
    <w:rsid w:val="00336D0B"/>
    <w:rsid w:val="00336F8F"/>
    <w:rsid w:val="00337093"/>
    <w:rsid w:val="0033716B"/>
    <w:rsid w:val="00337181"/>
    <w:rsid w:val="0033745C"/>
    <w:rsid w:val="003374ED"/>
    <w:rsid w:val="00337504"/>
    <w:rsid w:val="003376CB"/>
    <w:rsid w:val="003378E6"/>
    <w:rsid w:val="00337AD4"/>
    <w:rsid w:val="00337BAB"/>
    <w:rsid w:val="00337CFE"/>
    <w:rsid w:val="00337F1F"/>
    <w:rsid w:val="003401B4"/>
    <w:rsid w:val="003401CA"/>
    <w:rsid w:val="0034031A"/>
    <w:rsid w:val="003405CD"/>
    <w:rsid w:val="003406CF"/>
    <w:rsid w:val="00340705"/>
    <w:rsid w:val="00340AB0"/>
    <w:rsid w:val="00340E43"/>
    <w:rsid w:val="00341027"/>
    <w:rsid w:val="00341036"/>
    <w:rsid w:val="00341044"/>
    <w:rsid w:val="0034118E"/>
    <w:rsid w:val="00341298"/>
    <w:rsid w:val="003412D7"/>
    <w:rsid w:val="0034190E"/>
    <w:rsid w:val="003419BD"/>
    <w:rsid w:val="00341B5D"/>
    <w:rsid w:val="00341CBE"/>
    <w:rsid w:val="00341D9B"/>
    <w:rsid w:val="0034207A"/>
    <w:rsid w:val="00342356"/>
    <w:rsid w:val="00342389"/>
    <w:rsid w:val="00342649"/>
    <w:rsid w:val="003429A3"/>
    <w:rsid w:val="00342AD4"/>
    <w:rsid w:val="00342D1F"/>
    <w:rsid w:val="00342E2B"/>
    <w:rsid w:val="00342E88"/>
    <w:rsid w:val="00342FE1"/>
    <w:rsid w:val="0034306D"/>
    <w:rsid w:val="003434BD"/>
    <w:rsid w:val="0034363E"/>
    <w:rsid w:val="0034377C"/>
    <w:rsid w:val="00343C4E"/>
    <w:rsid w:val="00343E3D"/>
    <w:rsid w:val="00344164"/>
    <w:rsid w:val="00344256"/>
    <w:rsid w:val="0034425C"/>
    <w:rsid w:val="00344488"/>
    <w:rsid w:val="00344547"/>
    <w:rsid w:val="00344818"/>
    <w:rsid w:val="00344826"/>
    <w:rsid w:val="00344C24"/>
    <w:rsid w:val="00344D71"/>
    <w:rsid w:val="00344EED"/>
    <w:rsid w:val="003451B9"/>
    <w:rsid w:val="00345283"/>
    <w:rsid w:val="003454C9"/>
    <w:rsid w:val="003455BA"/>
    <w:rsid w:val="003455BC"/>
    <w:rsid w:val="003458BF"/>
    <w:rsid w:val="003459D3"/>
    <w:rsid w:val="003459E6"/>
    <w:rsid w:val="00345A03"/>
    <w:rsid w:val="00345AF8"/>
    <w:rsid w:val="00345CA2"/>
    <w:rsid w:val="00345E6B"/>
    <w:rsid w:val="0034635A"/>
    <w:rsid w:val="00346394"/>
    <w:rsid w:val="003464F5"/>
    <w:rsid w:val="00346927"/>
    <w:rsid w:val="00346F16"/>
    <w:rsid w:val="00346FCF"/>
    <w:rsid w:val="00346FE8"/>
    <w:rsid w:val="0034722E"/>
    <w:rsid w:val="00347353"/>
    <w:rsid w:val="00347C06"/>
    <w:rsid w:val="003503E5"/>
    <w:rsid w:val="003504E0"/>
    <w:rsid w:val="00350846"/>
    <w:rsid w:val="00350B0E"/>
    <w:rsid w:val="00350CE9"/>
    <w:rsid w:val="00350E7B"/>
    <w:rsid w:val="00350FB9"/>
    <w:rsid w:val="003510CA"/>
    <w:rsid w:val="003510F7"/>
    <w:rsid w:val="003511C7"/>
    <w:rsid w:val="00351271"/>
    <w:rsid w:val="00351450"/>
    <w:rsid w:val="003514D7"/>
    <w:rsid w:val="0035174D"/>
    <w:rsid w:val="00351968"/>
    <w:rsid w:val="0035199F"/>
    <w:rsid w:val="00351B06"/>
    <w:rsid w:val="00351B0B"/>
    <w:rsid w:val="00351B28"/>
    <w:rsid w:val="00351EE6"/>
    <w:rsid w:val="00351EE7"/>
    <w:rsid w:val="0035224A"/>
    <w:rsid w:val="0035258E"/>
    <w:rsid w:val="003529D3"/>
    <w:rsid w:val="00352A95"/>
    <w:rsid w:val="00352B2F"/>
    <w:rsid w:val="00352C43"/>
    <w:rsid w:val="00352CFC"/>
    <w:rsid w:val="00352D0E"/>
    <w:rsid w:val="0035382C"/>
    <w:rsid w:val="00353BB6"/>
    <w:rsid w:val="00353E09"/>
    <w:rsid w:val="00354BC6"/>
    <w:rsid w:val="00354CAB"/>
    <w:rsid w:val="00354E02"/>
    <w:rsid w:val="00354E64"/>
    <w:rsid w:val="00354ED6"/>
    <w:rsid w:val="00354F14"/>
    <w:rsid w:val="00355099"/>
    <w:rsid w:val="003553C3"/>
    <w:rsid w:val="00355442"/>
    <w:rsid w:val="0035551B"/>
    <w:rsid w:val="00355572"/>
    <w:rsid w:val="00355701"/>
    <w:rsid w:val="00355746"/>
    <w:rsid w:val="003558F1"/>
    <w:rsid w:val="00355A09"/>
    <w:rsid w:val="00355AF1"/>
    <w:rsid w:val="00355C70"/>
    <w:rsid w:val="003564A7"/>
    <w:rsid w:val="003565B1"/>
    <w:rsid w:val="00356B64"/>
    <w:rsid w:val="00356C25"/>
    <w:rsid w:val="00356DE8"/>
    <w:rsid w:val="00356E81"/>
    <w:rsid w:val="0035713D"/>
    <w:rsid w:val="0035714E"/>
    <w:rsid w:val="0035718B"/>
    <w:rsid w:val="003571E5"/>
    <w:rsid w:val="0035752B"/>
    <w:rsid w:val="0035763C"/>
    <w:rsid w:val="0035776C"/>
    <w:rsid w:val="00357876"/>
    <w:rsid w:val="00357ABA"/>
    <w:rsid w:val="00360233"/>
    <w:rsid w:val="003603C2"/>
    <w:rsid w:val="0036052E"/>
    <w:rsid w:val="00360C1B"/>
    <w:rsid w:val="00360CAB"/>
    <w:rsid w:val="00360DCA"/>
    <w:rsid w:val="00360EE1"/>
    <w:rsid w:val="003610BB"/>
    <w:rsid w:val="00361164"/>
    <w:rsid w:val="00361418"/>
    <w:rsid w:val="0036158E"/>
    <w:rsid w:val="0036160B"/>
    <w:rsid w:val="00361919"/>
    <w:rsid w:val="00361AE9"/>
    <w:rsid w:val="00361D21"/>
    <w:rsid w:val="003620D6"/>
    <w:rsid w:val="00362108"/>
    <w:rsid w:val="0036220B"/>
    <w:rsid w:val="00362423"/>
    <w:rsid w:val="00362603"/>
    <w:rsid w:val="003626A3"/>
    <w:rsid w:val="0036277D"/>
    <w:rsid w:val="00362891"/>
    <w:rsid w:val="00362ABD"/>
    <w:rsid w:val="00362B7F"/>
    <w:rsid w:val="00362BDF"/>
    <w:rsid w:val="00362CC5"/>
    <w:rsid w:val="00362E80"/>
    <w:rsid w:val="003635B2"/>
    <w:rsid w:val="0036366B"/>
    <w:rsid w:val="003637A6"/>
    <w:rsid w:val="003638CF"/>
    <w:rsid w:val="003640F2"/>
    <w:rsid w:val="00364105"/>
    <w:rsid w:val="003641C1"/>
    <w:rsid w:val="0036476E"/>
    <w:rsid w:val="003647FF"/>
    <w:rsid w:val="00364B70"/>
    <w:rsid w:val="00365310"/>
    <w:rsid w:val="003653E0"/>
    <w:rsid w:val="003654DC"/>
    <w:rsid w:val="003655B1"/>
    <w:rsid w:val="003655E0"/>
    <w:rsid w:val="003657AF"/>
    <w:rsid w:val="00365B2B"/>
    <w:rsid w:val="00365D50"/>
    <w:rsid w:val="00365D65"/>
    <w:rsid w:val="003662A2"/>
    <w:rsid w:val="00366406"/>
    <w:rsid w:val="00366665"/>
    <w:rsid w:val="00366802"/>
    <w:rsid w:val="00366C86"/>
    <w:rsid w:val="00366CFF"/>
    <w:rsid w:val="00366D0C"/>
    <w:rsid w:val="00366D3C"/>
    <w:rsid w:val="00366E6D"/>
    <w:rsid w:val="0036729C"/>
    <w:rsid w:val="00367361"/>
    <w:rsid w:val="00367B33"/>
    <w:rsid w:val="00367C4E"/>
    <w:rsid w:val="00370070"/>
    <w:rsid w:val="003701B5"/>
    <w:rsid w:val="003707F2"/>
    <w:rsid w:val="003707FA"/>
    <w:rsid w:val="00370889"/>
    <w:rsid w:val="003709E6"/>
    <w:rsid w:val="00370AA6"/>
    <w:rsid w:val="00370B1B"/>
    <w:rsid w:val="00370B3E"/>
    <w:rsid w:val="00370DA6"/>
    <w:rsid w:val="00370F7F"/>
    <w:rsid w:val="003711A2"/>
    <w:rsid w:val="00371769"/>
    <w:rsid w:val="003719E5"/>
    <w:rsid w:val="00371BCB"/>
    <w:rsid w:val="00371C69"/>
    <w:rsid w:val="00371C6A"/>
    <w:rsid w:val="00371CCC"/>
    <w:rsid w:val="00371EC9"/>
    <w:rsid w:val="003720EF"/>
    <w:rsid w:val="00372139"/>
    <w:rsid w:val="00372893"/>
    <w:rsid w:val="0037289B"/>
    <w:rsid w:val="00372B7A"/>
    <w:rsid w:val="003732D8"/>
    <w:rsid w:val="00373763"/>
    <w:rsid w:val="003738CA"/>
    <w:rsid w:val="00373906"/>
    <w:rsid w:val="00373B6F"/>
    <w:rsid w:val="00373B93"/>
    <w:rsid w:val="00373C38"/>
    <w:rsid w:val="00373F0A"/>
    <w:rsid w:val="003741BB"/>
    <w:rsid w:val="0037431B"/>
    <w:rsid w:val="003743B1"/>
    <w:rsid w:val="0037454E"/>
    <w:rsid w:val="00374CFE"/>
    <w:rsid w:val="00374E36"/>
    <w:rsid w:val="003752B0"/>
    <w:rsid w:val="003752B7"/>
    <w:rsid w:val="003756E2"/>
    <w:rsid w:val="0037597D"/>
    <w:rsid w:val="00375A62"/>
    <w:rsid w:val="00375C69"/>
    <w:rsid w:val="003764B3"/>
    <w:rsid w:val="00376885"/>
    <w:rsid w:val="00376AE6"/>
    <w:rsid w:val="00376C7B"/>
    <w:rsid w:val="003770FD"/>
    <w:rsid w:val="0037711F"/>
    <w:rsid w:val="00377300"/>
    <w:rsid w:val="003774B3"/>
    <w:rsid w:val="00377977"/>
    <w:rsid w:val="00377A1B"/>
    <w:rsid w:val="00377E7C"/>
    <w:rsid w:val="0038038C"/>
    <w:rsid w:val="003804BB"/>
    <w:rsid w:val="00380A24"/>
    <w:rsid w:val="003811D9"/>
    <w:rsid w:val="003811EB"/>
    <w:rsid w:val="00381238"/>
    <w:rsid w:val="003812F3"/>
    <w:rsid w:val="00381551"/>
    <w:rsid w:val="00381659"/>
    <w:rsid w:val="00381731"/>
    <w:rsid w:val="00381A71"/>
    <w:rsid w:val="00381BD2"/>
    <w:rsid w:val="00381BEF"/>
    <w:rsid w:val="00381F40"/>
    <w:rsid w:val="00382417"/>
    <w:rsid w:val="00382A54"/>
    <w:rsid w:val="00382D5F"/>
    <w:rsid w:val="00382E57"/>
    <w:rsid w:val="00382EB1"/>
    <w:rsid w:val="003830A1"/>
    <w:rsid w:val="003832F5"/>
    <w:rsid w:val="0038367B"/>
    <w:rsid w:val="0038367F"/>
    <w:rsid w:val="0038377A"/>
    <w:rsid w:val="00383A43"/>
    <w:rsid w:val="00383B8C"/>
    <w:rsid w:val="00383B9E"/>
    <w:rsid w:val="00383BDB"/>
    <w:rsid w:val="00383F07"/>
    <w:rsid w:val="00383F54"/>
    <w:rsid w:val="00384379"/>
    <w:rsid w:val="0038439A"/>
    <w:rsid w:val="0038481F"/>
    <w:rsid w:val="0038494D"/>
    <w:rsid w:val="00384A1A"/>
    <w:rsid w:val="00384D06"/>
    <w:rsid w:val="00384FAA"/>
    <w:rsid w:val="00384FC9"/>
    <w:rsid w:val="00385000"/>
    <w:rsid w:val="0038500C"/>
    <w:rsid w:val="003851F1"/>
    <w:rsid w:val="003852C4"/>
    <w:rsid w:val="00385476"/>
    <w:rsid w:val="00385478"/>
    <w:rsid w:val="0038552A"/>
    <w:rsid w:val="00385737"/>
    <w:rsid w:val="00385807"/>
    <w:rsid w:val="0038587E"/>
    <w:rsid w:val="003859D2"/>
    <w:rsid w:val="00385A04"/>
    <w:rsid w:val="00385C0E"/>
    <w:rsid w:val="00385EF4"/>
    <w:rsid w:val="00385F15"/>
    <w:rsid w:val="00386181"/>
    <w:rsid w:val="00386494"/>
    <w:rsid w:val="003864CA"/>
    <w:rsid w:val="00386761"/>
    <w:rsid w:val="00386A79"/>
    <w:rsid w:val="00386C8F"/>
    <w:rsid w:val="00386D35"/>
    <w:rsid w:val="00386EE1"/>
    <w:rsid w:val="0038737D"/>
    <w:rsid w:val="00387634"/>
    <w:rsid w:val="00387959"/>
    <w:rsid w:val="00387A56"/>
    <w:rsid w:val="00387DB0"/>
    <w:rsid w:val="00387F92"/>
    <w:rsid w:val="00387FED"/>
    <w:rsid w:val="0039007A"/>
    <w:rsid w:val="00390243"/>
    <w:rsid w:val="00390454"/>
    <w:rsid w:val="003904DF"/>
    <w:rsid w:val="00390664"/>
    <w:rsid w:val="003909E3"/>
    <w:rsid w:val="00390D54"/>
    <w:rsid w:val="00391180"/>
    <w:rsid w:val="003915F8"/>
    <w:rsid w:val="003916B8"/>
    <w:rsid w:val="003916FC"/>
    <w:rsid w:val="00391711"/>
    <w:rsid w:val="00391946"/>
    <w:rsid w:val="00391E21"/>
    <w:rsid w:val="00391F14"/>
    <w:rsid w:val="00392162"/>
    <w:rsid w:val="00392176"/>
    <w:rsid w:val="00392460"/>
    <w:rsid w:val="003924A0"/>
    <w:rsid w:val="00392579"/>
    <w:rsid w:val="00392701"/>
    <w:rsid w:val="003929A5"/>
    <w:rsid w:val="00392D35"/>
    <w:rsid w:val="00392ED3"/>
    <w:rsid w:val="003930FA"/>
    <w:rsid w:val="003932F6"/>
    <w:rsid w:val="003935CC"/>
    <w:rsid w:val="00393AD8"/>
    <w:rsid w:val="00393C72"/>
    <w:rsid w:val="00393D53"/>
    <w:rsid w:val="00394010"/>
    <w:rsid w:val="0039443C"/>
    <w:rsid w:val="00394698"/>
    <w:rsid w:val="003947B1"/>
    <w:rsid w:val="003947B5"/>
    <w:rsid w:val="00394AFE"/>
    <w:rsid w:val="00394D3F"/>
    <w:rsid w:val="003953F6"/>
    <w:rsid w:val="0039555D"/>
    <w:rsid w:val="0039565E"/>
    <w:rsid w:val="00395762"/>
    <w:rsid w:val="003957B5"/>
    <w:rsid w:val="00395864"/>
    <w:rsid w:val="00395953"/>
    <w:rsid w:val="00395A1B"/>
    <w:rsid w:val="00395B94"/>
    <w:rsid w:val="00395CA6"/>
    <w:rsid w:val="003961FD"/>
    <w:rsid w:val="003962D3"/>
    <w:rsid w:val="003962E9"/>
    <w:rsid w:val="00396556"/>
    <w:rsid w:val="003969F9"/>
    <w:rsid w:val="00396C21"/>
    <w:rsid w:val="00396F73"/>
    <w:rsid w:val="003970FF"/>
    <w:rsid w:val="0039711A"/>
    <w:rsid w:val="003973CA"/>
    <w:rsid w:val="00397681"/>
    <w:rsid w:val="00397912"/>
    <w:rsid w:val="00397B24"/>
    <w:rsid w:val="00397B27"/>
    <w:rsid w:val="00397CC8"/>
    <w:rsid w:val="00397DEB"/>
    <w:rsid w:val="003A048F"/>
    <w:rsid w:val="003A0734"/>
    <w:rsid w:val="003A0AC2"/>
    <w:rsid w:val="003A0C12"/>
    <w:rsid w:val="003A0C90"/>
    <w:rsid w:val="003A0DC8"/>
    <w:rsid w:val="003A0DEE"/>
    <w:rsid w:val="003A10D6"/>
    <w:rsid w:val="003A1189"/>
    <w:rsid w:val="003A1329"/>
    <w:rsid w:val="003A167A"/>
    <w:rsid w:val="003A1928"/>
    <w:rsid w:val="003A1C1F"/>
    <w:rsid w:val="003A1FDB"/>
    <w:rsid w:val="003A2094"/>
    <w:rsid w:val="003A237A"/>
    <w:rsid w:val="003A26DD"/>
    <w:rsid w:val="003A2853"/>
    <w:rsid w:val="003A2A0C"/>
    <w:rsid w:val="003A2B56"/>
    <w:rsid w:val="003A2C7B"/>
    <w:rsid w:val="003A34FF"/>
    <w:rsid w:val="003A373A"/>
    <w:rsid w:val="003A3995"/>
    <w:rsid w:val="003A3BD1"/>
    <w:rsid w:val="003A3DB5"/>
    <w:rsid w:val="003A3EB8"/>
    <w:rsid w:val="003A400A"/>
    <w:rsid w:val="003A43BF"/>
    <w:rsid w:val="003A4686"/>
    <w:rsid w:val="003A4A78"/>
    <w:rsid w:val="003A4B35"/>
    <w:rsid w:val="003A4CC9"/>
    <w:rsid w:val="003A4E35"/>
    <w:rsid w:val="003A510B"/>
    <w:rsid w:val="003A522D"/>
    <w:rsid w:val="003A565D"/>
    <w:rsid w:val="003A5A18"/>
    <w:rsid w:val="003A5C1C"/>
    <w:rsid w:val="003A60B0"/>
    <w:rsid w:val="003A61A7"/>
    <w:rsid w:val="003A6304"/>
    <w:rsid w:val="003A64B9"/>
    <w:rsid w:val="003A6771"/>
    <w:rsid w:val="003A6DAE"/>
    <w:rsid w:val="003A6EEC"/>
    <w:rsid w:val="003A7036"/>
    <w:rsid w:val="003A739A"/>
    <w:rsid w:val="003A74FC"/>
    <w:rsid w:val="003A76DD"/>
    <w:rsid w:val="003A79F4"/>
    <w:rsid w:val="003A7A77"/>
    <w:rsid w:val="003A7C2F"/>
    <w:rsid w:val="003B0094"/>
    <w:rsid w:val="003B039F"/>
    <w:rsid w:val="003B03C5"/>
    <w:rsid w:val="003B0494"/>
    <w:rsid w:val="003B0716"/>
    <w:rsid w:val="003B0B17"/>
    <w:rsid w:val="003B0BB0"/>
    <w:rsid w:val="003B0D30"/>
    <w:rsid w:val="003B10E2"/>
    <w:rsid w:val="003B150E"/>
    <w:rsid w:val="003B182B"/>
    <w:rsid w:val="003B1860"/>
    <w:rsid w:val="003B1B33"/>
    <w:rsid w:val="003B1DF9"/>
    <w:rsid w:val="003B241F"/>
    <w:rsid w:val="003B242A"/>
    <w:rsid w:val="003B249C"/>
    <w:rsid w:val="003B2937"/>
    <w:rsid w:val="003B2A7A"/>
    <w:rsid w:val="003B2AB3"/>
    <w:rsid w:val="003B2E63"/>
    <w:rsid w:val="003B3491"/>
    <w:rsid w:val="003B3C6F"/>
    <w:rsid w:val="003B3D79"/>
    <w:rsid w:val="003B429B"/>
    <w:rsid w:val="003B435E"/>
    <w:rsid w:val="003B4778"/>
    <w:rsid w:val="003B497B"/>
    <w:rsid w:val="003B4E4B"/>
    <w:rsid w:val="003B4E66"/>
    <w:rsid w:val="003B509D"/>
    <w:rsid w:val="003B5460"/>
    <w:rsid w:val="003B574D"/>
    <w:rsid w:val="003B58B8"/>
    <w:rsid w:val="003B5AF8"/>
    <w:rsid w:val="003B5BD0"/>
    <w:rsid w:val="003B5E45"/>
    <w:rsid w:val="003B5E92"/>
    <w:rsid w:val="003B5EF9"/>
    <w:rsid w:val="003B661A"/>
    <w:rsid w:val="003B6764"/>
    <w:rsid w:val="003B686B"/>
    <w:rsid w:val="003B6965"/>
    <w:rsid w:val="003B6BD4"/>
    <w:rsid w:val="003B6CA4"/>
    <w:rsid w:val="003B6D7B"/>
    <w:rsid w:val="003B707F"/>
    <w:rsid w:val="003B71DF"/>
    <w:rsid w:val="003B75E3"/>
    <w:rsid w:val="003B780B"/>
    <w:rsid w:val="003B791C"/>
    <w:rsid w:val="003B793C"/>
    <w:rsid w:val="003B79FC"/>
    <w:rsid w:val="003B7A01"/>
    <w:rsid w:val="003B7AA3"/>
    <w:rsid w:val="003B7ADB"/>
    <w:rsid w:val="003B7C92"/>
    <w:rsid w:val="003B7D02"/>
    <w:rsid w:val="003B7E15"/>
    <w:rsid w:val="003B7E26"/>
    <w:rsid w:val="003C00C0"/>
    <w:rsid w:val="003C043B"/>
    <w:rsid w:val="003C0624"/>
    <w:rsid w:val="003C0801"/>
    <w:rsid w:val="003C09E2"/>
    <w:rsid w:val="003C0B61"/>
    <w:rsid w:val="003C0B76"/>
    <w:rsid w:val="003C0D39"/>
    <w:rsid w:val="003C10DE"/>
    <w:rsid w:val="003C12B0"/>
    <w:rsid w:val="003C13C4"/>
    <w:rsid w:val="003C14B9"/>
    <w:rsid w:val="003C151B"/>
    <w:rsid w:val="003C1714"/>
    <w:rsid w:val="003C18FF"/>
    <w:rsid w:val="003C1A62"/>
    <w:rsid w:val="003C1DB1"/>
    <w:rsid w:val="003C2432"/>
    <w:rsid w:val="003C2C43"/>
    <w:rsid w:val="003C2CD0"/>
    <w:rsid w:val="003C3242"/>
    <w:rsid w:val="003C3416"/>
    <w:rsid w:val="003C353A"/>
    <w:rsid w:val="003C3574"/>
    <w:rsid w:val="003C3581"/>
    <w:rsid w:val="003C3CDF"/>
    <w:rsid w:val="003C3D0D"/>
    <w:rsid w:val="003C3F39"/>
    <w:rsid w:val="003C4A4F"/>
    <w:rsid w:val="003C4CB5"/>
    <w:rsid w:val="003C4CEF"/>
    <w:rsid w:val="003C565F"/>
    <w:rsid w:val="003C5667"/>
    <w:rsid w:val="003C568C"/>
    <w:rsid w:val="003C56B2"/>
    <w:rsid w:val="003C6115"/>
    <w:rsid w:val="003C6199"/>
    <w:rsid w:val="003C62A3"/>
    <w:rsid w:val="003C641E"/>
    <w:rsid w:val="003C6AB5"/>
    <w:rsid w:val="003C6AB6"/>
    <w:rsid w:val="003C6F28"/>
    <w:rsid w:val="003C7034"/>
    <w:rsid w:val="003C719B"/>
    <w:rsid w:val="003C73D8"/>
    <w:rsid w:val="003C7401"/>
    <w:rsid w:val="003C75E2"/>
    <w:rsid w:val="003C76C2"/>
    <w:rsid w:val="003C789D"/>
    <w:rsid w:val="003C78A2"/>
    <w:rsid w:val="003C7BB0"/>
    <w:rsid w:val="003C7C88"/>
    <w:rsid w:val="003C7FC7"/>
    <w:rsid w:val="003D02AD"/>
    <w:rsid w:val="003D048C"/>
    <w:rsid w:val="003D04DD"/>
    <w:rsid w:val="003D057F"/>
    <w:rsid w:val="003D0611"/>
    <w:rsid w:val="003D083B"/>
    <w:rsid w:val="003D0993"/>
    <w:rsid w:val="003D0A83"/>
    <w:rsid w:val="003D0B5A"/>
    <w:rsid w:val="003D0EAB"/>
    <w:rsid w:val="003D117C"/>
    <w:rsid w:val="003D1373"/>
    <w:rsid w:val="003D13AC"/>
    <w:rsid w:val="003D16BA"/>
    <w:rsid w:val="003D1764"/>
    <w:rsid w:val="003D18DB"/>
    <w:rsid w:val="003D19B1"/>
    <w:rsid w:val="003D1ABF"/>
    <w:rsid w:val="003D1B4F"/>
    <w:rsid w:val="003D1DFE"/>
    <w:rsid w:val="003D20B0"/>
    <w:rsid w:val="003D21E1"/>
    <w:rsid w:val="003D22E5"/>
    <w:rsid w:val="003D24F0"/>
    <w:rsid w:val="003D2752"/>
    <w:rsid w:val="003D30A1"/>
    <w:rsid w:val="003D3150"/>
    <w:rsid w:val="003D3391"/>
    <w:rsid w:val="003D3A4A"/>
    <w:rsid w:val="003D3E2C"/>
    <w:rsid w:val="003D40A0"/>
    <w:rsid w:val="003D4498"/>
    <w:rsid w:val="003D4570"/>
    <w:rsid w:val="003D47CC"/>
    <w:rsid w:val="003D4D35"/>
    <w:rsid w:val="003D4D88"/>
    <w:rsid w:val="003D50C4"/>
    <w:rsid w:val="003D517F"/>
    <w:rsid w:val="003D554F"/>
    <w:rsid w:val="003D562D"/>
    <w:rsid w:val="003D566B"/>
    <w:rsid w:val="003D5695"/>
    <w:rsid w:val="003D56E7"/>
    <w:rsid w:val="003D5928"/>
    <w:rsid w:val="003D5A28"/>
    <w:rsid w:val="003D628C"/>
    <w:rsid w:val="003D63F1"/>
    <w:rsid w:val="003D6B93"/>
    <w:rsid w:val="003D6CCF"/>
    <w:rsid w:val="003D6DB5"/>
    <w:rsid w:val="003D6FEB"/>
    <w:rsid w:val="003D7327"/>
    <w:rsid w:val="003D7380"/>
    <w:rsid w:val="003D7385"/>
    <w:rsid w:val="003D74B9"/>
    <w:rsid w:val="003D74FB"/>
    <w:rsid w:val="003D7556"/>
    <w:rsid w:val="003D7577"/>
    <w:rsid w:val="003D789D"/>
    <w:rsid w:val="003D7997"/>
    <w:rsid w:val="003D7A48"/>
    <w:rsid w:val="003D7BE3"/>
    <w:rsid w:val="003D7E45"/>
    <w:rsid w:val="003D7EBF"/>
    <w:rsid w:val="003E0540"/>
    <w:rsid w:val="003E078F"/>
    <w:rsid w:val="003E08F7"/>
    <w:rsid w:val="003E0CC7"/>
    <w:rsid w:val="003E0FC9"/>
    <w:rsid w:val="003E1270"/>
    <w:rsid w:val="003E1329"/>
    <w:rsid w:val="003E14A3"/>
    <w:rsid w:val="003E1825"/>
    <w:rsid w:val="003E1896"/>
    <w:rsid w:val="003E1A86"/>
    <w:rsid w:val="003E1BCF"/>
    <w:rsid w:val="003E2074"/>
    <w:rsid w:val="003E2558"/>
    <w:rsid w:val="003E29DD"/>
    <w:rsid w:val="003E2A08"/>
    <w:rsid w:val="003E2BE9"/>
    <w:rsid w:val="003E3029"/>
    <w:rsid w:val="003E318D"/>
    <w:rsid w:val="003E31EF"/>
    <w:rsid w:val="003E3430"/>
    <w:rsid w:val="003E374C"/>
    <w:rsid w:val="003E377A"/>
    <w:rsid w:val="003E3834"/>
    <w:rsid w:val="003E3842"/>
    <w:rsid w:val="003E3847"/>
    <w:rsid w:val="003E3AF1"/>
    <w:rsid w:val="003E3F17"/>
    <w:rsid w:val="003E3FF2"/>
    <w:rsid w:val="003E45BB"/>
    <w:rsid w:val="003E4713"/>
    <w:rsid w:val="003E4890"/>
    <w:rsid w:val="003E4A1E"/>
    <w:rsid w:val="003E4B06"/>
    <w:rsid w:val="003E4BD1"/>
    <w:rsid w:val="003E4FDC"/>
    <w:rsid w:val="003E5100"/>
    <w:rsid w:val="003E5260"/>
    <w:rsid w:val="003E527C"/>
    <w:rsid w:val="003E52C5"/>
    <w:rsid w:val="003E5307"/>
    <w:rsid w:val="003E593B"/>
    <w:rsid w:val="003E5F47"/>
    <w:rsid w:val="003E63BB"/>
    <w:rsid w:val="003E6483"/>
    <w:rsid w:val="003E68C8"/>
    <w:rsid w:val="003E6FC5"/>
    <w:rsid w:val="003E73B4"/>
    <w:rsid w:val="003E7815"/>
    <w:rsid w:val="003E7826"/>
    <w:rsid w:val="003E7944"/>
    <w:rsid w:val="003E7A87"/>
    <w:rsid w:val="003E7D0F"/>
    <w:rsid w:val="003F000F"/>
    <w:rsid w:val="003F0013"/>
    <w:rsid w:val="003F031A"/>
    <w:rsid w:val="003F08D5"/>
    <w:rsid w:val="003F0924"/>
    <w:rsid w:val="003F0A0E"/>
    <w:rsid w:val="003F0A9F"/>
    <w:rsid w:val="003F143F"/>
    <w:rsid w:val="003F167E"/>
    <w:rsid w:val="003F1A9D"/>
    <w:rsid w:val="003F1C29"/>
    <w:rsid w:val="003F1E70"/>
    <w:rsid w:val="003F1FA4"/>
    <w:rsid w:val="003F1FC8"/>
    <w:rsid w:val="003F20CE"/>
    <w:rsid w:val="003F21FD"/>
    <w:rsid w:val="003F2558"/>
    <w:rsid w:val="003F2753"/>
    <w:rsid w:val="003F29B8"/>
    <w:rsid w:val="003F2C7D"/>
    <w:rsid w:val="003F2D70"/>
    <w:rsid w:val="003F2E3A"/>
    <w:rsid w:val="003F318F"/>
    <w:rsid w:val="003F32F1"/>
    <w:rsid w:val="003F32F6"/>
    <w:rsid w:val="003F333A"/>
    <w:rsid w:val="003F3561"/>
    <w:rsid w:val="003F3856"/>
    <w:rsid w:val="003F386A"/>
    <w:rsid w:val="003F3B4F"/>
    <w:rsid w:val="003F3B91"/>
    <w:rsid w:val="003F3D11"/>
    <w:rsid w:val="003F3E6D"/>
    <w:rsid w:val="003F41DF"/>
    <w:rsid w:val="003F4412"/>
    <w:rsid w:val="003F4CCE"/>
    <w:rsid w:val="003F4CDA"/>
    <w:rsid w:val="003F52B5"/>
    <w:rsid w:val="003F5697"/>
    <w:rsid w:val="003F5699"/>
    <w:rsid w:val="003F56A2"/>
    <w:rsid w:val="003F5950"/>
    <w:rsid w:val="003F59E7"/>
    <w:rsid w:val="003F59F5"/>
    <w:rsid w:val="003F6013"/>
    <w:rsid w:val="003F6041"/>
    <w:rsid w:val="003F60D3"/>
    <w:rsid w:val="003F62F9"/>
    <w:rsid w:val="003F63F2"/>
    <w:rsid w:val="003F6606"/>
    <w:rsid w:val="003F6804"/>
    <w:rsid w:val="003F6818"/>
    <w:rsid w:val="003F6B46"/>
    <w:rsid w:val="003F6BB1"/>
    <w:rsid w:val="003F6CC1"/>
    <w:rsid w:val="003F7064"/>
    <w:rsid w:val="003F708D"/>
    <w:rsid w:val="003F73A2"/>
    <w:rsid w:val="003F76CD"/>
    <w:rsid w:val="003F7C11"/>
    <w:rsid w:val="003F7D39"/>
    <w:rsid w:val="003F7DF1"/>
    <w:rsid w:val="003F7E0D"/>
    <w:rsid w:val="003F7FCD"/>
    <w:rsid w:val="0040047E"/>
    <w:rsid w:val="004005EB"/>
    <w:rsid w:val="00400898"/>
    <w:rsid w:val="00400966"/>
    <w:rsid w:val="00400A55"/>
    <w:rsid w:val="00400B5E"/>
    <w:rsid w:val="00400BBC"/>
    <w:rsid w:val="00401063"/>
    <w:rsid w:val="00401129"/>
    <w:rsid w:val="004011E5"/>
    <w:rsid w:val="00401234"/>
    <w:rsid w:val="00401318"/>
    <w:rsid w:val="004015DA"/>
    <w:rsid w:val="0040173B"/>
    <w:rsid w:val="004017F8"/>
    <w:rsid w:val="00401DB5"/>
    <w:rsid w:val="00401FC5"/>
    <w:rsid w:val="004020B4"/>
    <w:rsid w:val="00402144"/>
    <w:rsid w:val="0040226B"/>
    <w:rsid w:val="00402555"/>
    <w:rsid w:val="00402664"/>
    <w:rsid w:val="004026D3"/>
    <w:rsid w:val="00402714"/>
    <w:rsid w:val="00402773"/>
    <w:rsid w:val="004029DF"/>
    <w:rsid w:val="004029E3"/>
    <w:rsid w:val="00402AFD"/>
    <w:rsid w:val="00402CF7"/>
    <w:rsid w:val="00403256"/>
    <w:rsid w:val="00403645"/>
    <w:rsid w:val="00403EDF"/>
    <w:rsid w:val="00403F5F"/>
    <w:rsid w:val="00403F66"/>
    <w:rsid w:val="004043E0"/>
    <w:rsid w:val="004044C5"/>
    <w:rsid w:val="00404672"/>
    <w:rsid w:val="004046B9"/>
    <w:rsid w:val="00404B9D"/>
    <w:rsid w:val="004052C4"/>
    <w:rsid w:val="004053D5"/>
    <w:rsid w:val="004058A8"/>
    <w:rsid w:val="0040590C"/>
    <w:rsid w:val="00405A54"/>
    <w:rsid w:val="00405CBA"/>
    <w:rsid w:val="00405FA4"/>
    <w:rsid w:val="00405FC2"/>
    <w:rsid w:val="00405FFD"/>
    <w:rsid w:val="004060B5"/>
    <w:rsid w:val="004060E1"/>
    <w:rsid w:val="00406195"/>
    <w:rsid w:val="004061E4"/>
    <w:rsid w:val="00406427"/>
    <w:rsid w:val="00406514"/>
    <w:rsid w:val="004069A8"/>
    <w:rsid w:val="00406AF5"/>
    <w:rsid w:val="00406FC7"/>
    <w:rsid w:val="00407411"/>
    <w:rsid w:val="004074F1"/>
    <w:rsid w:val="004078BD"/>
    <w:rsid w:val="00407B0E"/>
    <w:rsid w:val="00407CDF"/>
    <w:rsid w:val="00410105"/>
    <w:rsid w:val="00410468"/>
    <w:rsid w:val="004107A3"/>
    <w:rsid w:val="004109C2"/>
    <w:rsid w:val="00410CB0"/>
    <w:rsid w:val="00410EAD"/>
    <w:rsid w:val="00410EBA"/>
    <w:rsid w:val="00411137"/>
    <w:rsid w:val="004112D0"/>
    <w:rsid w:val="00411559"/>
    <w:rsid w:val="00411655"/>
    <w:rsid w:val="00411943"/>
    <w:rsid w:val="00411B4C"/>
    <w:rsid w:val="00411DEB"/>
    <w:rsid w:val="00411DED"/>
    <w:rsid w:val="004125B1"/>
    <w:rsid w:val="00412C3B"/>
    <w:rsid w:val="00412DA4"/>
    <w:rsid w:val="004132E2"/>
    <w:rsid w:val="0041349D"/>
    <w:rsid w:val="00413729"/>
    <w:rsid w:val="00413A62"/>
    <w:rsid w:val="00413E82"/>
    <w:rsid w:val="00414112"/>
    <w:rsid w:val="004142BA"/>
    <w:rsid w:val="004143DC"/>
    <w:rsid w:val="00414434"/>
    <w:rsid w:val="004144F5"/>
    <w:rsid w:val="00414819"/>
    <w:rsid w:val="0041489F"/>
    <w:rsid w:val="00414AB8"/>
    <w:rsid w:val="00414D6C"/>
    <w:rsid w:val="00414D81"/>
    <w:rsid w:val="00415022"/>
    <w:rsid w:val="004150D1"/>
    <w:rsid w:val="0041539E"/>
    <w:rsid w:val="004153B7"/>
    <w:rsid w:val="00415437"/>
    <w:rsid w:val="00415679"/>
    <w:rsid w:val="004156B8"/>
    <w:rsid w:val="004157ED"/>
    <w:rsid w:val="00415ACF"/>
    <w:rsid w:val="00415C95"/>
    <w:rsid w:val="004160E9"/>
    <w:rsid w:val="004160F2"/>
    <w:rsid w:val="004162A1"/>
    <w:rsid w:val="00416835"/>
    <w:rsid w:val="004168B3"/>
    <w:rsid w:val="00416933"/>
    <w:rsid w:val="004169F4"/>
    <w:rsid w:val="0041715A"/>
    <w:rsid w:val="004171D8"/>
    <w:rsid w:val="00417254"/>
    <w:rsid w:val="0041730D"/>
    <w:rsid w:val="00417505"/>
    <w:rsid w:val="00417629"/>
    <w:rsid w:val="0041764E"/>
    <w:rsid w:val="00417850"/>
    <w:rsid w:val="00417AEE"/>
    <w:rsid w:val="00417B6B"/>
    <w:rsid w:val="00417FD8"/>
    <w:rsid w:val="00420359"/>
    <w:rsid w:val="00420A53"/>
    <w:rsid w:val="00420E6A"/>
    <w:rsid w:val="00421156"/>
    <w:rsid w:val="00421353"/>
    <w:rsid w:val="0042151B"/>
    <w:rsid w:val="004216DC"/>
    <w:rsid w:val="004216FA"/>
    <w:rsid w:val="0042195D"/>
    <w:rsid w:val="00421EA7"/>
    <w:rsid w:val="00422198"/>
    <w:rsid w:val="004225C9"/>
    <w:rsid w:val="00422A66"/>
    <w:rsid w:val="00422AC6"/>
    <w:rsid w:val="00422BB2"/>
    <w:rsid w:val="0042310B"/>
    <w:rsid w:val="0042381D"/>
    <w:rsid w:val="0042389E"/>
    <w:rsid w:val="00423A35"/>
    <w:rsid w:val="00423D53"/>
    <w:rsid w:val="00423E5D"/>
    <w:rsid w:val="004242ED"/>
    <w:rsid w:val="00424357"/>
    <w:rsid w:val="004243F1"/>
    <w:rsid w:val="00424691"/>
    <w:rsid w:val="004246F2"/>
    <w:rsid w:val="00424704"/>
    <w:rsid w:val="00424744"/>
    <w:rsid w:val="00424904"/>
    <w:rsid w:val="00424A8E"/>
    <w:rsid w:val="00424B60"/>
    <w:rsid w:val="00424BB9"/>
    <w:rsid w:val="00424BD8"/>
    <w:rsid w:val="00424CE0"/>
    <w:rsid w:val="00424CEB"/>
    <w:rsid w:val="00424D84"/>
    <w:rsid w:val="00424DE3"/>
    <w:rsid w:val="00425A9C"/>
    <w:rsid w:val="00425DAB"/>
    <w:rsid w:val="00425E24"/>
    <w:rsid w:val="00425E3E"/>
    <w:rsid w:val="0042612F"/>
    <w:rsid w:val="0042650A"/>
    <w:rsid w:val="00426526"/>
    <w:rsid w:val="004265EE"/>
    <w:rsid w:val="00426615"/>
    <w:rsid w:val="0042662B"/>
    <w:rsid w:val="00426942"/>
    <w:rsid w:val="0042694B"/>
    <w:rsid w:val="004269FA"/>
    <w:rsid w:val="00426D09"/>
    <w:rsid w:val="00427035"/>
    <w:rsid w:val="00427052"/>
    <w:rsid w:val="004277D1"/>
    <w:rsid w:val="0042786E"/>
    <w:rsid w:val="00427A92"/>
    <w:rsid w:val="00427D19"/>
    <w:rsid w:val="00427F3A"/>
    <w:rsid w:val="004300B9"/>
    <w:rsid w:val="004300FE"/>
    <w:rsid w:val="0043076B"/>
    <w:rsid w:val="0043089A"/>
    <w:rsid w:val="00430A3C"/>
    <w:rsid w:val="00430AE8"/>
    <w:rsid w:val="00430B13"/>
    <w:rsid w:val="00430D68"/>
    <w:rsid w:val="00430E8D"/>
    <w:rsid w:val="00431151"/>
    <w:rsid w:val="0043117A"/>
    <w:rsid w:val="0043137B"/>
    <w:rsid w:val="004317A3"/>
    <w:rsid w:val="00431988"/>
    <w:rsid w:val="00431DD9"/>
    <w:rsid w:val="004320F5"/>
    <w:rsid w:val="004324BE"/>
    <w:rsid w:val="00432614"/>
    <w:rsid w:val="00432908"/>
    <w:rsid w:val="00432ABD"/>
    <w:rsid w:val="00432EBF"/>
    <w:rsid w:val="00432FA9"/>
    <w:rsid w:val="0043327F"/>
    <w:rsid w:val="004333F1"/>
    <w:rsid w:val="004334FE"/>
    <w:rsid w:val="0043353E"/>
    <w:rsid w:val="004337A1"/>
    <w:rsid w:val="00433A23"/>
    <w:rsid w:val="00433B2F"/>
    <w:rsid w:val="00433C1B"/>
    <w:rsid w:val="004341E7"/>
    <w:rsid w:val="004344E0"/>
    <w:rsid w:val="00434662"/>
    <w:rsid w:val="004348D0"/>
    <w:rsid w:val="0043513B"/>
    <w:rsid w:val="004356E9"/>
    <w:rsid w:val="0043572F"/>
    <w:rsid w:val="004357F3"/>
    <w:rsid w:val="00435AB5"/>
    <w:rsid w:val="00435BC4"/>
    <w:rsid w:val="00436569"/>
    <w:rsid w:val="00436714"/>
    <w:rsid w:val="00436A92"/>
    <w:rsid w:val="00436FDB"/>
    <w:rsid w:val="0043719D"/>
    <w:rsid w:val="004371F4"/>
    <w:rsid w:val="00437280"/>
    <w:rsid w:val="004373FA"/>
    <w:rsid w:val="00437561"/>
    <w:rsid w:val="004376C1"/>
    <w:rsid w:val="0043773D"/>
    <w:rsid w:val="00437B31"/>
    <w:rsid w:val="00437FEC"/>
    <w:rsid w:val="004401EC"/>
    <w:rsid w:val="00440511"/>
    <w:rsid w:val="0044056C"/>
    <w:rsid w:val="00440B16"/>
    <w:rsid w:val="00440DE3"/>
    <w:rsid w:val="00440FA7"/>
    <w:rsid w:val="0044117F"/>
    <w:rsid w:val="00441335"/>
    <w:rsid w:val="004418BE"/>
    <w:rsid w:val="00441976"/>
    <w:rsid w:val="00441A82"/>
    <w:rsid w:val="00441B28"/>
    <w:rsid w:val="00441FB6"/>
    <w:rsid w:val="004421F9"/>
    <w:rsid w:val="004424FD"/>
    <w:rsid w:val="00442557"/>
    <w:rsid w:val="004426B8"/>
    <w:rsid w:val="00442726"/>
    <w:rsid w:val="0044293A"/>
    <w:rsid w:val="00442966"/>
    <w:rsid w:val="00442B9E"/>
    <w:rsid w:val="00442C71"/>
    <w:rsid w:val="00442FB6"/>
    <w:rsid w:val="004435D4"/>
    <w:rsid w:val="0044378F"/>
    <w:rsid w:val="00443AC1"/>
    <w:rsid w:val="00443B14"/>
    <w:rsid w:val="00443CCD"/>
    <w:rsid w:val="00443D4C"/>
    <w:rsid w:val="00443DA2"/>
    <w:rsid w:val="00443EB2"/>
    <w:rsid w:val="00444103"/>
    <w:rsid w:val="0044411A"/>
    <w:rsid w:val="00444134"/>
    <w:rsid w:val="00444562"/>
    <w:rsid w:val="00444A90"/>
    <w:rsid w:val="00444B39"/>
    <w:rsid w:val="004450DA"/>
    <w:rsid w:val="00445465"/>
    <w:rsid w:val="00445AB6"/>
    <w:rsid w:val="00445B25"/>
    <w:rsid w:val="00446179"/>
    <w:rsid w:val="004461AB"/>
    <w:rsid w:val="0044681E"/>
    <w:rsid w:val="00446ABC"/>
    <w:rsid w:val="00446AD0"/>
    <w:rsid w:val="00446CD2"/>
    <w:rsid w:val="00446DF3"/>
    <w:rsid w:val="00447174"/>
    <w:rsid w:val="0044732D"/>
    <w:rsid w:val="0044763C"/>
    <w:rsid w:val="00447655"/>
    <w:rsid w:val="0044772E"/>
    <w:rsid w:val="0044775B"/>
    <w:rsid w:val="00447963"/>
    <w:rsid w:val="00447B6A"/>
    <w:rsid w:val="00447BF5"/>
    <w:rsid w:val="00447EE6"/>
    <w:rsid w:val="00447FA5"/>
    <w:rsid w:val="004500F3"/>
    <w:rsid w:val="00450371"/>
    <w:rsid w:val="0045047E"/>
    <w:rsid w:val="0045056C"/>
    <w:rsid w:val="00450724"/>
    <w:rsid w:val="00450B96"/>
    <w:rsid w:val="00450D48"/>
    <w:rsid w:val="00450F0F"/>
    <w:rsid w:val="00451228"/>
    <w:rsid w:val="004513C4"/>
    <w:rsid w:val="00451485"/>
    <w:rsid w:val="004517F3"/>
    <w:rsid w:val="00451869"/>
    <w:rsid w:val="00451C26"/>
    <w:rsid w:val="00451E2F"/>
    <w:rsid w:val="00451E71"/>
    <w:rsid w:val="00451EF4"/>
    <w:rsid w:val="00452163"/>
    <w:rsid w:val="004521CB"/>
    <w:rsid w:val="00452298"/>
    <w:rsid w:val="004522A5"/>
    <w:rsid w:val="00452311"/>
    <w:rsid w:val="0045263C"/>
    <w:rsid w:val="0045263D"/>
    <w:rsid w:val="0045273B"/>
    <w:rsid w:val="004529BE"/>
    <w:rsid w:val="00452ABC"/>
    <w:rsid w:val="00452ACE"/>
    <w:rsid w:val="00452C1C"/>
    <w:rsid w:val="00452DE8"/>
    <w:rsid w:val="00452EC5"/>
    <w:rsid w:val="00452F22"/>
    <w:rsid w:val="00452F7F"/>
    <w:rsid w:val="00452F90"/>
    <w:rsid w:val="00453450"/>
    <w:rsid w:val="00453638"/>
    <w:rsid w:val="00453780"/>
    <w:rsid w:val="0045385E"/>
    <w:rsid w:val="00453992"/>
    <w:rsid w:val="00453E75"/>
    <w:rsid w:val="00453EFE"/>
    <w:rsid w:val="004542DD"/>
    <w:rsid w:val="00454328"/>
    <w:rsid w:val="0045443F"/>
    <w:rsid w:val="0045444E"/>
    <w:rsid w:val="004544CF"/>
    <w:rsid w:val="004544F8"/>
    <w:rsid w:val="004546AA"/>
    <w:rsid w:val="00454C37"/>
    <w:rsid w:val="00455043"/>
    <w:rsid w:val="004550E0"/>
    <w:rsid w:val="00455342"/>
    <w:rsid w:val="0045549E"/>
    <w:rsid w:val="0045563E"/>
    <w:rsid w:val="0045580E"/>
    <w:rsid w:val="00455B87"/>
    <w:rsid w:val="00455C8E"/>
    <w:rsid w:val="00455DF8"/>
    <w:rsid w:val="00455EC7"/>
    <w:rsid w:val="00456127"/>
    <w:rsid w:val="00456212"/>
    <w:rsid w:val="004567EC"/>
    <w:rsid w:val="00456A79"/>
    <w:rsid w:val="00456B99"/>
    <w:rsid w:val="00456EAE"/>
    <w:rsid w:val="00456EFF"/>
    <w:rsid w:val="0045755A"/>
    <w:rsid w:val="00457714"/>
    <w:rsid w:val="00457844"/>
    <w:rsid w:val="00457864"/>
    <w:rsid w:val="00457ADD"/>
    <w:rsid w:val="00457BB1"/>
    <w:rsid w:val="00457BC8"/>
    <w:rsid w:val="00460056"/>
    <w:rsid w:val="004603E5"/>
    <w:rsid w:val="00460448"/>
    <w:rsid w:val="0046047C"/>
    <w:rsid w:val="0046054A"/>
    <w:rsid w:val="00460903"/>
    <w:rsid w:val="00460B7B"/>
    <w:rsid w:val="00460F8B"/>
    <w:rsid w:val="00460F9C"/>
    <w:rsid w:val="0046111C"/>
    <w:rsid w:val="00461135"/>
    <w:rsid w:val="00461365"/>
    <w:rsid w:val="0046173D"/>
    <w:rsid w:val="0046187C"/>
    <w:rsid w:val="004619C8"/>
    <w:rsid w:val="00461AF4"/>
    <w:rsid w:val="00461B0F"/>
    <w:rsid w:val="00461BCF"/>
    <w:rsid w:val="00461C47"/>
    <w:rsid w:val="004622D3"/>
    <w:rsid w:val="00462598"/>
    <w:rsid w:val="004625A4"/>
    <w:rsid w:val="00462788"/>
    <w:rsid w:val="00462D25"/>
    <w:rsid w:val="00463173"/>
    <w:rsid w:val="0046317D"/>
    <w:rsid w:val="004632A6"/>
    <w:rsid w:val="004632E7"/>
    <w:rsid w:val="004632FA"/>
    <w:rsid w:val="004635F6"/>
    <w:rsid w:val="00463651"/>
    <w:rsid w:val="004639FC"/>
    <w:rsid w:val="00463A09"/>
    <w:rsid w:val="00463BD8"/>
    <w:rsid w:val="00463BDB"/>
    <w:rsid w:val="00463C0F"/>
    <w:rsid w:val="00463D6C"/>
    <w:rsid w:val="00463EEB"/>
    <w:rsid w:val="00464542"/>
    <w:rsid w:val="00464544"/>
    <w:rsid w:val="00464708"/>
    <w:rsid w:val="00464963"/>
    <w:rsid w:val="00464C30"/>
    <w:rsid w:val="00464E0E"/>
    <w:rsid w:val="0046522D"/>
    <w:rsid w:val="004653C8"/>
    <w:rsid w:val="0046557A"/>
    <w:rsid w:val="00465654"/>
    <w:rsid w:val="0046587A"/>
    <w:rsid w:val="00465EB7"/>
    <w:rsid w:val="004663DD"/>
    <w:rsid w:val="00466493"/>
    <w:rsid w:val="00466597"/>
    <w:rsid w:val="00466604"/>
    <w:rsid w:val="004666D1"/>
    <w:rsid w:val="004667F4"/>
    <w:rsid w:val="0046686F"/>
    <w:rsid w:val="0046689D"/>
    <w:rsid w:val="00466B18"/>
    <w:rsid w:val="00466C31"/>
    <w:rsid w:val="00466E0B"/>
    <w:rsid w:val="0046742C"/>
    <w:rsid w:val="00467496"/>
    <w:rsid w:val="00467576"/>
    <w:rsid w:val="00467660"/>
    <w:rsid w:val="00467729"/>
    <w:rsid w:val="00467BEF"/>
    <w:rsid w:val="00467BFF"/>
    <w:rsid w:val="00467C50"/>
    <w:rsid w:val="00467D07"/>
    <w:rsid w:val="00467D24"/>
    <w:rsid w:val="00467F4F"/>
    <w:rsid w:val="00467F92"/>
    <w:rsid w:val="00470110"/>
    <w:rsid w:val="004701D3"/>
    <w:rsid w:val="0047047B"/>
    <w:rsid w:val="004707C8"/>
    <w:rsid w:val="0047096B"/>
    <w:rsid w:val="0047145C"/>
    <w:rsid w:val="0047161C"/>
    <w:rsid w:val="004716DB"/>
    <w:rsid w:val="004718A3"/>
    <w:rsid w:val="00471DE4"/>
    <w:rsid w:val="0047221C"/>
    <w:rsid w:val="00472509"/>
    <w:rsid w:val="004725F8"/>
    <w:rsid w:val="0047273C"/>
    <w:rsid w:val="00472A04"/>
    <w:rsid w:val="00472A3E"/>
    <w:rsid w:val="00472A4B"/>
    <w:rsid w:val="00472B80"/>
    <w:rsid w:val="00472FBC"/>
    <w:rsid w:val="0047324A"/>
    <w:rsid w:val="004733B1"/>
    <w:rsid w:val="004733F1"/>
    <w:rsid w:val="004738B8"/>
    <w:rsid w:val="004738FB"/>
    <w:rsid w:val="00473BB9"/>
    <w:rsid w:val="00473D93"/>
    <w:rsid w:val="004741AA"/>
    <w:rsid w:val="004745CC"/>
    <w:rsid w:val="00474A5B"/>
    <w:rsid w:val="00475000"/>
    <w:rsid w:val="00475086"/>
    <w:rsid w:val="004750D1"/>
    <w:rsid w:val="0047524A"/>
    <w:rsid w:val="00475448"/>
    <w:rsid w:val="00475635"/>
    <w:rsid w:val="004759B9"/>
    <w:rsid w:val="00475BDF"/>
    <w:rsid w:val="00475C20"/>
    <w:rsid w:val="00475F8D"/>
    <w:rsid w:val="00476164"/>
    <w:rsid w:val="0047636B"/>
    <w:rsid w:val="00476371"/>
    <w:rsid w:val="0047644F"/>
    <w:rsid w:val="004768AD"/>
    <w:rsid w:val="004769B6"/>
    <w:rsid w:val="00476D52"/>
    <w:rsid w:val="00476DDB"/>
    <w:rsid w:val="004770B2"/>
    <w:rsid w:val="004771D7"/>
    <w:rsid w:val="0047740E"/>
    <w:rsid w:val="004776A1"/>
    <w:rsid w:val="004778B8"/>
    <w:rsid w:val="004778D6"/>
    <w:rsid w:val="00477C91"/>
    <w:rsid w:val="00477CCE"/>
    <w:rsid w:val="00477E73"/>
    <w:rsid w:val="0048004F"/>
    <w:rsid w:val="00480233"/>
    <w:rsid w:val="0048025F"/>
    <w:rsid w:val="004803D9"/>
    <w:rsid w:val="0048076F"/>
    <w:rsid w:val="004807DB"/>
    <w:rsid w:val="00480A9F"/>
    <w:rsid w:val="00480B76"/>
    <w:rsid w:val="00480CE2"/>
    <w:rsid w:val="00480D48"/>
    <w:rsid w:val="00480F00"/>
    <w:rsid w:val="004810D8"/>
    <w:rsid w:val="00481129"/>
    <w:rsid w:val="004811AA"/>
    <w:rsid w:val="00481353"/>
    <w:rsid w:val="004813F2"/>
    <w:rsid w:val="00481A20"/>
    <w:rsid w:val="00481D5E"/>
    <w:rsid w:val="00481EA4"/>
    <w:rsid w:val="00482782"/>
    <w:rsid w:val="004827C9"/>
    <w:rsid w:val="004829CA"/>
    <w:rsid w:val="00482A90"/>
    <w:rsid w:val="00482B3F"/>
    <w:rsid w:val="00482F70"/>
    <w:rsid w:val="00482FDC"/>
    <w:rsid w:val="00483170"/>
    <w:rsid w:val="00483302"/>
    <w:rsid w:val="00483642"/>
    <w:rsid w:val="004837D2"/>
    <w:rsid w:val="00483A7F"/>
    <w:rsid w:val="00483FEE"/>
    <w:rsid w:val="004840FB"/>
    <w:rsid w:val="0048436A"/>
    <w:rsid w:val="0048436E"/>
    <w:rsid w:val="004843BF"/>
    <w:rsid w:val="00484401"/>
    <w:rsid w:val="0048466A"/>
    <w:rsid w:val="0048479A"/>
    <w:rsid w:val="0048482E"/>
    <w:rsid w:val="00484B42"/>
    <w:rsid w:val="00484D69"/>
    <w:rsid w:val="00484E8C"/>
    <w:rsid w:val="00485017"/>
    <w:rsid w:val="00485221"/>
    <w:rsid w:val="004852D8"/>
    <w:rsid w:val="0048543A"/>
    <w:rsid w:val="004854BB"/>
    <w:rsid w:val="004854DD"/>
    <w:rsid w:val="00485595"/>
    <w:rsid w:val="00485619"/>
    <w:rsid w:val="00485C17"/>
    <w:rsid w:val="00485F5E"/>
    <w:rsid w:val="00485FE2"/>
    <w:rsid w:val="004866F6"/>
    <w:rsid w:val="00486A8B"/>
    <w:rsid w:val="00486B03"/>
    <w:rsid w:val="00486CE8"/>
    <w:rsid w:val="00486DEA"/>
    <w:rsid w:val="00486E9C"/>
    <w:rsid w:val="00486EEE"/>
    <w:rsid w:val="00487189"/>
    <w:rsid w:val="0048759A"/>
    <w:rsid w:val="00487C24"/>
    <w:rsid w:val="00487DE1"/>
    <w:rsid w:val="00487E07"/>
    <w:rsid w:val="00487E32"/>
    <w:rsid w:val="00487E5B"/>
    <w:rsid w:val="00490296"/>
    <w:rsid w:val="00490582"/>
    <w:rsid w:val="004906EB"/>
    <w:rsid w:val="00490A11"/>
    <w:rsid w:val="00490BDE"/>
    <w:rsid w:val="00490E5A"/>
    <w:rsid w:val="00490ED8"/>
    <w:rsid w:val="00490FEF"/>
    <w:rsid w:val="00491582"/>
    <w:rsid w:val="00491799"/>
    <w:rsid w:val="00491B9A"/>
    <w:rsid w:val="00492001"/>
    <w:rsid w:val="0049202D"/>
    <w:rsid w:val="0049224C"/>
    <w:rsid w:val="00492270"/>
    <w:rsid w:val="0049244E"/>
    <w:rsid w:val="0049290E"/>
    <w:rsid w:val="004929EF"/>
    <w:rsid w:val="00492CF1"/>
    <w:rsid w:val="00492D6E"/>
    <w:rsid w:val="00493322"/>
    <w:rsid w:val="004933C9"/>
    <w:rsid w:val="00493509"/>
    <w:rsid w:val="00493623"/>
    <w:rsid w:val="004936E8"/>
    <w:rsid w:val="0049390F"/>
    <w:rsid w:val="004939B6"/>
    <w:rsid w:val="00493A43"/>
    <w:rsid w:val="00493A6E"/>
    <w:rsid w:val="00493AD4"/>
    <w:rsid w:val="00493DDE"/>
    <w:rsid w:val="00493F48"/>
    <w:rsid w:val="004943FB"/>
    <w:rsid w:val="0049451D"/>
    <w:rsid w:val="00494592"/>
    <w:rsid w:val="0049482B"/>
    <w:rsid w:val="0049495C"/>
    <w:rsid w:val="004949C5"/>
    <w:rsid w:val="00494BA1"/>
    <w:rsid w:val="00495032"/>
    <w:rsid w:val="004950FE"/>
    <w:rsid w:val="0049544F"/>
    <w:rsid w:val="00495463"/>
    <w:rsid w:val="0049552B"/>
    <w:rsid w:val="0049553C"/>
    <w:rsid w:val="00495616"/>
    <w:rsid w:val="004958D0"/>
    <w:rsid w:val="004959B2"/>
    <w:rsid w:val="004959F5"/>
    <w:rsid w:val="00495AD5"/>
    <w:rsid w:val="00495AE5"/>
    <w:rsid w:val="004961A2"/>
    <w:rsid w:val="004963C7"/>
    <w:rsid w:val="00496990"/>
    <w:rsid w:val="00496AC5"/>
    <w:rsid w:val="00496E90"/>
    <w:rsid w:val="00496F9B"/>
    <w:rsid w:val="0049741B"/>
    <w:rsid w:val="0049754E"/>
    <w:rsid w:val="0049799E"/>
    <w:rsid w:val="00497B53"/>
    <w:rsid w:val="00497F62"/>
    <w:rsid w:val="004A0212"/>
    <w:rsid w:val="004A0490"/>
    <w:rsid w:val="004A09B7"/>
    <w:rsid w:val="004A0C21"/>
    <w:rsid w:val="004A1088"/>
    <w:rsid w:val="004A118A"/>
    <w:rsid w:val="004A16F7"/>
    <w:rsid w:val="004A1B75"/>
    <w:rsid w:val="004A247F"/>
    <w:rsid w:val="004A2897"/>
    <w:rsid w:val="004A2A8A"/>
    <w:rsid w:val="004A2CF1"/>
    <w:rsid w:val="004A2D0A"/>
    <w:rsid w:val="004A2DB5"/>
    <w:rsid w:val="004A2DEA"/>
    <w:rsid w:val="004A3036"/>
    <w:rsid w:val="004A306E"/>
    <w:rsid w:val="004A3424"/>
    <w:rsid w:val="004A3645"/>
    <w:rsid w:val="004A36A9"/>
    <w:rsid w:val="004A3A25"/>
    <w:rsid w:val="004A3BDC"/>
    <w:rsid w:val="004A3C54"/>
    <w:rsid w:val="004A3EC5"/>
    <w:rsid w:val="004A4110"/>
    <w:rsid w:val="004A4194"/>
    <w:rsid w:val="004A4263"/>
    <w:rsid w:val="004A431F"/>
    <w:rsid w:val="004A46D2"/>
    <w:rsid w:val="004A4A0C"/>
    <w:rsid w:val="004A4AC5"/>
    <w:rsid w:val="004A4BF4"/>
    <w:rsid w:val="004A4EED"/>
    <w:rsid w:val="004A52B1"/>
    <w:rsid w:val="004A5322"/>
    <w:rsid w:val="004A53B5"/>
    <w:rsid w:val="004A5536"/>
    <w:rsid w:val="004A5A93"/>
    <w:rsid w:val="004A5E78"/>
    <w:rsid w:val="004A60D4"/>
    <w:rsid w:val="004A69F4"/>
    <w:rsid w:val="004A6BD0"/>
    <w:rsid w:val="004A6F1E"/>
    <w:rsid w:val="004A703C"/>
    <w:rsid w:val="004A7221"/>
    <w:rsid w:val="004A756D"/>
    <w:rsid w:val="004A7838"/>
    <w:rsid w:val="004A7984"/>
    <w:rsid w:val="004A7A14"/>
    <w:rsid w:val="004A7A38"/>
    <w:rsid w:val="004A7F93"/>
    <w:rsid w:val="004A7FBF"/>
    <w:rsid w:val="004B000A"/>
    <w:rsid w:val="004B008C"/>
    <w:rsid w:val="004B0398"/>
    <w:rsid w:val="004B09B1"/>
    <w:rsid w:val="004B0F8C"/>
    <w:rsid w:val="004B103C"/>
    <w:rsid w:val="004B16C5"/>
    <w:rsid w:val="004B18D8"/>
    <w:rsid w:val="004B1B5C"/>
    <w:rsid w:val="004B1B62"/>
    <w:rsid w:val="004B1BA4"/>
    <w:rsid w:val="004B1EBE"/>
    <w:rsid w:val="004B20A7"/>
    <w:rsid w:val="004B2371"/>
    <w:rsid w:val="004B29B0"/>
    <w:rsid w:val="004B2A75"/>
    <w:rsid w:val="004B2A99"/>
    <w:rsid w:val="004B2DB0"/>
    <w:rsid w:val="004B3107"/>
    <w:rsid w:val="004B329B"/>
    <w:rsid w:val="004B3821"/>
    <w:rsid w:val="004B3B43"/>
    <w:rsid w:val="004B3C01"/>
    <w:rsid w:val="004B3E64"/>
    <w:rsid w:val="004B3ECF"/>
    <w:rsid w:val="004B41F7"/>
    <w:rsid w:val="004B45DE"/>
    <w:rsid w:val="004B45F1"/>
    <w:rsid w:val="004B477B"/>
    <w:rsid w:val="004B487C"/>
    <w:rsid w:val="004B4AA6"/>
    <w:rsid w:val="004B4BC6"/>
    <w:rsid w:val="004B5107"/>
    <w:rsid w:val="004B565D"/>
    <w:rsid w:val="004B5744"/>
    <w:rsid w:val="004B5800"/>
    <w:rsid w:val="004B580D"/>
    <w:rsid w:val="004B5BA9"/>
    <w:rsid w:val="004B5D50"/>
    <w:rsid w:val="004B5DE8"/>
    <w:rsid w:val="004B6252"/>
    <w:rsid w:val="004B63DD"/>
    <w:rsid w:val="004B68AC"/>
    <w:rsid w:val="004B68F9"/>
    <w:rsid w:val="004B6DD5"/>
    <w:rsid w:val="004B6DE6"/>
    <w:rsid w:val="004B7142"/>
    <w:rsid w:val="004B7192"/>
    <w:rsid w:val="004B72B6"/>
    <w:rsid w:val="004B7676"/>
    <w:rsid w:val="004B78BA"/>
    <w:rsid w:val="004B7A5A"/>
    <w:rsid w:val="004B7C84"/>
    <w:rsid w:val="004B7CBC"/>
    <w:rsid w:val="004B7D5D"/>
    <w:rsid w:val="004C0593"/>
    <w:rsid w:val="004C05D9"/>
    <w:rsid w:val="004C0804"/>
    <w:rsid w:val="004C0A13"/>
    <w:rsid w:val="004C0CFF"/>
    <w:rsid w:val="004C0DBD"/>
    <w:rsid w:val="004C0E66"/>
    <w:rsid w:val="004C0F9C"/>
    <w:rsid w:val="004C1611"/>
    <w:rsid w:val="004C1642"/>
    <w:rsid w:val="004C1881"/>
    <w:rsid w:val="004C18D9"/>
    <w:rsid w:val="004C1BDA"/>
    <w:rsid w:val="004C1EBD"/>
    <w:rsid w:val="004C227B"/>
    <w:rsid w:val="004C276D"/>
    <w:rsid w:val="004C2BD5"/>
    <w:rsid w:val="004C2D05"/>
    <w:rsid w:val="004C2D35"/>
    <w:rsid w:val="004C2DEE"/>
    <w:rsid w:val="004C2EA2"/>
    <w:rsid w:val="004C30ED"/>
    <w:rsid w:val="004C31C5"/>
    <w:rsid w:val="004C31E9"/>
    <w:rsid w:val="004C31EF"/>
    <w:rsid w:val="004C3269"/>
    <w:rsid w:val="004C35FF"/>
    <w:rsid w:val="004C3780"/>
    <w:rsid w:val="004C3799"/>
    <w:rsid w:val="004C3B79"/>
    <w:rsid w:val="004C3C09"/>
    <w:rsid w:val="004C3C2C"/>
    <w:rsid w:val="004C3CB4"/>
    <w:rsid w:val="004C42B7"/>
    <w:rsid w:val="004C43BB"/>
    <w:rsid w:val="004C4431"/>
    <w:rsid w:val="004C45CA"/>
    <w:rsid w:val="004C4605"/>
    <w:rsid w:val="004C4D4A"/>
    <w:rsid w:val="004C532B"/>
    <w:rsid w:val="004C5A89"/>
    <w:rsid w:val="004C5BD4"/>
    <w:rsid w:val="004C5FB4"/>
    <w:rsid w:val="004C604B"/>
    <w:rsid w:val="004C6241"/>
    <w:rsid w:val="004C63C4"/>
    <w:rsid w:val="004C63D5"/>
    <w:rsid w:val="004C6738"/>
    <w:rsid w:val="004C67FC"/>
    <w:rsid w:val="004C695F"/>
    <w:rsid w:val="004C6D34"/>
    <w:rsid w:val="004C6FBC"/>
    <w:rsid w:val="004C702F"/>
    <w:rsid w:val="004C7414"/>
    <w:rsid w:val="004C745D"/>
    <w:rsid w:val="004C7826"/>
    <w:rsid w:val="004C7C53"/>
    <w:rsid w:val="004C7ECB"/>
    <w:rsid w:val="004C7FB8"/>
    <w:rsid w:val="004C7FF9"/>
    <w:rsid w:val="004D04BB"/>
    <w:rsid w:val="004D06DC"/>
    <w:rsid w:val="004D075F"/>
    <w:rsid w:val="004D0966"/>
    <w:rsid w:val="004D0C27"/>
    <w:rsid w:val="004D15CD"/>
    <w:rsid w:val="004D15DF"/>
    <w:rsid w:val="004D1938"/>
    <w:rsid w:val="004D19E0"/>
    <w:rsid w:val="004D1CC9"/>
    <w:rsid w:val="004D1CFC"/>
    <w:rsid w:val="004D1E28"/>
    <w:rsid w:val="004D1F51"/>
    <w:rsid w:val="004D2095"/>
    <w:rsid w:val="004D22BF"/>
    <w:rsid w:val="004D2390"/>
    <w:rsid w:val="004D2892"/>
    <w:rsid w:val="004D292D"/>
    <w:rsid w:val="004D2A81"/>
    <w:rsid w:val="004D2ACF"/>
    <w:rsid w:val="004D2D18"/>
    <w:rsid w:val="004D3226"/>
    <w:rsid w:val="004D336D"/>
    <w:rsid w:val="004D3468"/>
    <w:rsid w:val="004D34C9"/>
    <w:rsid w:val="004D34FA"/>
    <w:rsid w:val="004D358F"/>
    <w:rsid w:val="004D39B2"/>
    <w:rsid w:val="004D3F6F"/>
    <w:rsid w:val="004D402B"/>
    <w:rsid w:val="004D4410"/>
    <w:rsid w:val="004D4540"/>
    <w:rsid w:val="004D4544"/>
    <w:rsid w:val="004D458D"/>
    <w:rsid w:val="004D49C3"/>
    <w:rsid w:val="004D4A03"/>
    <w:rsid w:val="004D50A8"/>
    <w:rsid w:val="004D5159"/>
    <w:rsid w:val="004D5246"/>
    <w:rsid w:val="004D5606"/>
    <w:rsid w:val="004D5C85"/>
    <w:rsid w:val="004D5C8C"/>
    <w:rsid w:val="004D5FF7"/>
    <w:rsid w:val="004D6436"/>
    <w:rsid w:val="004D64D7"/>
    <w:rsid w:val="004D6594"/>
    <w:rsid w:val="004D66CD"/>
    <w:rsid w:val="004D67CE"/>
    <w:rsid w:val="004D6AB6"/>
    <w:rsid w:val="004D6BAB"/>
    <w:rsid w:val="004D6DAD"/>
    <w:rsid w:val="004D6EE5"/>
    <w:rsid w:val="004D6FF8"/>
    <w:rsid w:val="004D7008"/>
    <w:rsid w:val="004D7121"/>
    <w:rsid w:val="004D72CB"/>
    <w:rsid w:val="004D73C7"/>
    <w:rsid w:val="004D771A"/>
    <w:rsid w:val="004D7727"/>
    <w:rsid w:val="004D772F"/>
    <w:rsid w:val="004D7837"/>
    <w:rsid w:val="004D78FB"/>
    <w:rsid w:val="004D7964"/>
    <w:rsid w:val="004D7C8B"/>
    <w:rsid w:val="004D7F84"/>
    <w:rsid w:val="004E065C"/>
    <w:rsid w:val="004E06D5"/>
    <w:rsid w:val="004E0A43"/>
    <w:rsid w:val="004E0C6C"/>
    <w:rsid w:val="004E0CB8"/>
    <w:rsid w:val="004E102D"/>
    <w:rsid w:val="004E1037"/>
    <w:rsid w:val="004E10CD"/>
    <w:rsid w:val="004E133F"/>
    <w:rsid w:val="004E1BC9"/>
    <w:rsid w:val="004E1D30"/>
    <w:rsid w:val="004E1E35"/>
    <w:rsid w:val="004E241F"/>
    <w:rsid w:val="004E24CD"/>
    <w:rsid w:val="004E2566"/>
    <w:rsid w:val="004E27D8"/>
    <w:rsid w:val="004E28D1"/>
    <w:rsid w:val="004E2B70"/>
    <w:rsid w:val="004E2BF8"/>
    <w:rsid w:val="004E3013"/>
    <w:rsid w:val="004E31DB"/>
    <w:rsid w:val="004E32EC"/>
    <w:rsid w:val="004E34D6"/>
    <w:rsid w:val="004E36D4"/>
    <w:rsid w:val="004E3A82"/>
    <w:rsid w:val="004E3BF8"/>
    <w:rsid w:val="004E420D"/>
    <w:rsid w:val="004E42C8"/>
    <w:rsid w:val="004E444C"/>
    <w:rsid w:val="004E44A8"/>
    <w:rsid w:val="004E44FC"/>
    <w:rsid w:val="004E45D7"/>
    <w:rsid w:val="004E495C"/>
    <w:rsid w:val="004E4B4A"/>
    <w:rsid w:val="004E4CF1"/>
    <w:rsid w:val="004E5066"/>
    <w:rsid w:val="004E508B"/>
    <w:rsid w:val="004E522B"/>
    <w:rsid w:val="004E55AE"/>
    <w:rsid w:val="004E5602"/>
    <w:rsid w:val="004E562E"/>
    <w:rsid w:val="004E57BD"/>
    <w:rsid w:val="004E5D4F"/>
    <w:rsid w:val="004E5DD9"/>
    <w:rsid w:val="004E5E08"/>
    <w:rsid w:val="004E5E19"/>
    <w:rsid w:val="004E6425"/>
    <w:rsid w:val="004E6463"/>
    <w:rsid w:val="004E648E"/>
    <w:rsid w:val="004E652F"/>
    <w:rsid w:val="004E66AD"/>
    <w:rsid w:val="004E687F"/>
    <w:rsid w:val="004E6907"/>
    <w:rsid w:val="004E6BBE"/>
    <w:rsid w:val="004E6FF7"/>
    <w:rsid w:val="004E7093"/>
    <w:rsid w:val="004E70D0"/>
    <w:rsid w:val="004E70E7"/>
    <w:rsid w:val="004E7370"/>
    <w:rsid w:val="004E755D"/>
    <w:rsid w:val="004E75DE"/>
    <w:rsid w:val="004E76B4"/>
    <w:rsid w:val="004E7959"/>
    <w:rsid w:val="004E79DA"/>
    <w:rsid w:val="004E7A6A"/>
    <w:rsid w:val="004E7ACF"/>
    <w:rsid w:val="004E7BA8"/>
    <w:rsid w:val="004E7D2C"/>
    <w:rsid w:val="004E7DD4"/>
    <w:rsid w:val="004E7F73"/>
    <w:rsid w:val="004E7FC8"/>
    <w:rsid w:val="004F025D"/>
    <w:rsid w:val="004F02D0"/>
    <w:rsid w:val="004F035E"/>
    <w:rsid w:val="004F03B2"/>
    <w:rsid w:val="004F08CD"/>
    <w:rsid w:val="004F1095"/>
    <w:rsid w:val="004F11BD"/>
    <w:rsid w:val="004F16BB"/>
    <w:rsid w:val="004F18B6"/>
    <w:rsid w:val="004F18D7"/>
    <w:rsid w:val="004F1C27"/>
    <w:rsid w:val="004F22AD"/>
    <w:rsid w:val="004F2DA2"/>
    <w:rsid w:val="004F2E84"/>
    <w:rsid w:val="004F32FD"/>
    <w:rsid w:val="004F346E"/>
    <w:rsid w:val="004F371F"/>
    <w:rsid w:val="004F375A"/>
    <w:rsid w:val="004F3CF7"/>
    <w:rsid w:val="004F3F9F"/>
    <w:rsid w:val="004F455F"/>
    <w:rsid w:val="004F4574"/>
    <w:rsid w:val="004F46B3"/>
    <w:rsid w:val="004F48F1"/>
    <w:rsid w:val="004F49D0"/>
    <w:rsid w:val="004F4B79"/>
    <w:rsid w:val="004F57D1"/>
    <w:rsid w:val="004F598E"/>
    <w:rsid w:val="004F5A0F"/>
    <w:rsid w:val="004F5AB7"/>
    <w:rsid w:val="004F5BD1"/>
    <w:rsid w:val="004F64D3"/>
    <w:rsid w:val="004F6A17"/>
    <w:rsid w:val="004F6ED3"/>
    <w:rsid w:val="004F6F8B"/>
    <w:rsid w:val="004F7394"/>
    <w:rsid w:val="004F7773"/>
    <w:rsid w:val="004F7814"/>
    <w:rsid w:val="004F7968"/>
    <w:rsid w:val="004F7A62"/>
    <w:rsid w:val="00500017"/>
    <w:rsid w:val="005001AA"/>
    <w:rsid w:val="005001B1"/>
    <w:rsid w:val="00500352"/>
    <w:rsid w:val="0050060F"/>
    <w:rsid w:val="005006D7"/>
    <w:rsid w:val="005008E5"/>
    <w:rsid w:val="005009DD"/>
    <w:rsid w:val="00500CA4"/>
    <w:rsid w:val="005010B6"/>
    <w:rsid w:val="005010E0"/>
    <w:rsid w:val="00501187"/>
    <w:rsid w:val="005012F3"/>
    <w:rsid w:val="00501569"/>
    <w:rsid w:val="005019C1"/>
    <w:rsid w:val="00501E3B"/>
    <w:rsid w:val="00501EDA"/>
    <w:rsid w:val="00501F39"/>
    <w:rsid w:val="00501FF7"/>
    <w:rsid w:val="005026CA"/>
    <w:rsid w:val="0050273C"/>
    <w:rsid w:val="00502775"/>
    <w:rsid w:val="00502804"/>
    <w:rsid w:val="0050297B"/>
    <w:rsid w:val="00502A1F"/>
    <w:rsid w:val="00502F9F"/>
    <w:rsid w:val="0050304F"/>
    <w:rsid w:val="005030FC"/>
    <w:rsid w:val="00503102"/>
    <w:rsid w:val="0050380A"/>
    <w:rsid w:val="00503978"/>
    <w:rsid w:val="00503A9A"/>
    <w:rsid w:val="00503AA2"/>
    <w:rsid w:val="00503B4B"/>
    <w:rsid w:val="00504374"/>
    <w:rsid w:val="00504388"/>
    <w:rsid w:val="005043D5"/>
    <w:rsid w:val="00504561"/>
    <w:rsid w:val="00504662"/>
    <w:rsid w:val="005047D6"/>
    <w:rsid w:val="00504863"/>
    <w:rsid w:val="005048E4"/>
    <w:rsid w:val="00504E7A"/>
    <w:rsid w:val="00505190"/>
    <w:rsid w:val="005053F8"/>
    <w:rsid w:val="0050563F"/>
    <w:rsid w:val="00505765"/>
    <w:rsid w:val="005057EB"/>
    <w:rsid w:val="005058CC"/>
    <w:rsid w:val="00505BA1"/>
    <w:rsid w:val="0050624B"/>
    <w:rsid w:val="0050637A"/>
    <w:rsid w:val="00506574"/>
    <w:rsid w:val="00506D82"/>
    <w:rsid w:val="00506E9E"/>
    <w:rsid w:val="00507099"/>
    <w:rsid w:val="005071C8"/>
    <w:rsid w:val="00507278"/>
    <w:rsid w:val="00507603"/>
    <w:rsid w:val="005078B9"/>
    <w:rsid w:val="00507AFE"/>
    <w:rsid w:val="00507BAC"/>
    <w:rsid w:val="00507E0C"/>
    <w:rsid w:val="00507E85"/>
    <w:rsid w:val="00510126"/>
    <w:rsid w:val="00510361"/>
    <w:rsid w:val="005103AC"/>
    <w:rsid w:val="00510894"/>
    <w:rsid w:val="0051098D"/>
    <w:rsid w:val="005109A7"/>
    <w:rsid w:val="00510A89"/>
    <w:rsid w:val="00510B4C"/>
    <w:rsid w:val="00510DF8"/>
    <w:rsid w:val="00510E4C"/>
    <w:rsid w:val="00510EDA"/>
    <w:rsid w:val="00510F74"/>
    <w:rsid w:val="005111C7"/>
    <w:rsid w:val="00511242"/>
    <w:rsid w:val="005114E3"/>
    <w:rsid w:val="005114EC"/>
    <w:rsid w:val="00511828"/>
    <w:rsid w:val="00511988"/>
    <w:rsid w:val="00511A92"/>
    <w:rsid w:val="00511ABB"/>
    <w:rsid w:val="00511D40"/>
    <w:rsid w:val="00511E34"/>
    <w:rsid w:val="00511FAF"/>
    <w:rsid w:val="00512850"/>
    <w:rsid w:val="00512EC3"/>
    <w:rsid w:val="00513651"/>
    <w:rsid w:val="00513C54"/>
    <w:rsid w:val="005142A1"/>
    <w:rsid w:val="005142AA"/>
    <w:rsid w:val="0051461D"/>
    <w:rsid w:val="0051469D"/>
    <w:rsid w:val="005146A0"/>
    <w:rsid w:val="00514853"/>
    <w:rsid w:val="00514A0A"/>
    <w:rsid w:val="00514AD0"/>
    <w:rsid w:val="00514B63"/>
    <w:rsid w:val="00514BC7"/>
    <w:rsid w:val="00514BEE"/>
    <w:rsid w:val="00514D5D"/>
    <w:rsid w:val="00514DD7"/>
    <w:rsid w:val="00514E1A"/>
    <w:rsid w:val="00514FF7"/>
    <w:rsid w:val="0051501D"/>
    <w:rsid w:val="00515464"/>
    <w:rsid w:val="00515875"/>
    <w:rsid w:val="00515D57"/>
    <w:rsid w:val="00515D64"/>
    <w:rsid w:val="00515EF1"/>
    <w:rsid w:val="0051607D"/>
    <w:rsid w:val="00516176"/>
    <w:rsid w:val="00516185"/>
    <w:rsid w:val="00516323"/>
    <w:rsid w:val="005165A8"/>
    <w:rsid w:val="00516B43"/>
    <w:rsid w:val="00516FDC"/>
    <w:rsid w:val="005170D2"/>
    <w:rsid w:val="0051756C"/>
    <w:rsid w:val="00517C1B"/>
    <w:rsid w:val="00517C7B"/>
    <w:rsid w:val="00517D49"/>
    <w:rsid w:val="00517F5E"/>
    <w:rsid w:val="00517FF4"/>
    <w:rsid w:val="00520352"/>
    <w:rsid w:val="0052038E"/>
    <w:rsid w:val="005205AD"/>
    <w:rsid w:val="00520A3F"/>
    <w:rsid w:val="00520C13"/>
    <w:rsid w:val="00520DC6"/>
    <w:rsid w:val="00520DD9"/>
    <w:rsid w:val="00520E68"/>
    <w:rsid w:val="00521616"/>
    <w:rsid w:val="005216E1"/>
    <w:rsid w:val="00521DBD"/>
    <w:rsid w:val="00521E51"/>
    <w:rsid w:val="00521E7C"/>
    <w:rsid w:val="00521F5D"/>
    <w:rsid w:val="00522283"/>
    <w:rsid w:val="0052234D"/>
    <w:rsid w:val="005225D8"/>
    <w:rsid w:val="00522893"/>
    <w:rsid w:val="005228F7"/>
    <w:rsid w:val="00522B99"/>
    <w:rsid w:val="00522D10"/>
    <w:rsid w:val="00522F78"/>
    <w:rsid w:val="0052305F"/>
    <w:rsid w:val="005230FE"/>
    <w:rsid w:val="0052317F"/>
    <w:rsid w:val="0052332C"/>
    <w:rsid w:val="0052368F"/>
    <w:rsid w:val="005238CA"/>
    <w:rsid w:val="005238F1"/>
    <w:rsid w:val="0052390C"/>
    <w:rsid w:val="00523C16"/>
    <w:rsid w:val="00523DB7"/>
    <w:rsid w:val="00524510"/>
    <w:rsid w:val="005245F5"/>
    <w:rsid w:val="0052463F"/>
    <w:rsid w:val="00524811"/>
    <w:rsid w:val="00524DA0"/>
    <w:rsid w:val="005250A0"/>
    <w:rsid w:val="005255E9"/>
    <w:rsid w:val="00525888"/>
    <w:rsid w:val="00525925"/>
    <w:rsid w:val="00525957"/>
    <w:rsid w:val="00525D6D"/>
    <w:rsid w:val="0052606A"/>
    <w:rsid w:val="00526208"/>
    <w:rsid w:val="005263D5"/>
    <w:rsid w:val="00526499"/>
    <w:rsid w:val="005264F2"/>
    <w:rsid w:val="00526AAA"/>
    <w:rsid w:val="00526BC9"/>
    <w:rsid w:val="00526E44"/>
    <w:rsid w:val="005270CC"/>
    <w:rsid w:val="00527339"/>
    <w:rsid w:val="005273BA"/>
    <w:rsid w:val="005274A1"/>
    <w:rsid w:val="00527868"/>
    <w:rsid w:val="00527A1E"/>
    <w:rsid w:val="00527A52"/>
    <w:rsid w:val="00527D85"/>
    <w:rsid w:val="00527D9D"/>
    <w:rsid w:val="00527DB4"/>
    <w:rsid w:val="00530610"/>
    <w:rsid w:val="00530706"/>
    <w:rsid w:val="00530707"/>
    <w:rsid w:val="00530725"/>
    <w:rsid w:val="00530782"/>
    <w:rsid w:val="0053099B"/>
    <w:rsid w:val="0053099E"/>
    <w:rsid w:val="005309E8"/>
    <w:rsid w:val="00530FAF"/>
    <w:rsid w:val="00531657"/>
    <w:rsid w:val="005317D1"/>
    <w:rsid w:val="005319D8"/>
    <w:rsid w:val="00531A9F"/>
    <w:rsid w:val="00531BD1"/>
    <w:rsid w:val="00531C70"/>
    <w:rsid w:val="00532128"/>
    <w:rsid w:val="005321D9"/>
    <w:rsid w:val="00532254"/>
    <w:rsid w:val="005323F2"/>
    <w:rsid w:val="0053241C"/>
    <w:rsid w:val="005324D2"/>
    <w:rsid w:val="00532913"/>
    <w:rsid w:val="0053297D"/>
    <w:rsid w:val="00532DB0"/>
    <w:rsid w:val="00533204"/>
    <w:rsid w:val="0053361E"/>
    <w:rsid w:val="00533A04"/>
    <w:rsid w:val="00533A1F"/>
    <w:rsid w:val="00533B4F"/>
    <w:rsid w:val="00533C07"/>
    <w:rsid w:val="00533C25"/>
    <w:rsid w:val="00533C5F"/>
    <w:rsid w:val="005340E1"/>
    <w:rsid w:val="005343FA"/>
    <w:rsid w:val="0053448D"/>
    <w:rsid w:val="00534757"/>
    <w:rsid w:val="00534782"/>
    <w:rsid w:val="00534906"/>
    <w:rsid w:val="00534931"/>
    <w:rsid w:val="00534B6A"/>
    <w:rsid w:val="00534BCD"/>
    <w:rsid w:val="00534F80"/>
    <w:rsid w:val="00535558"/>
    <w:rsid w:val="00535730"/>
    <w:rsid w:val="00535877"/>
    <w:rsid w:val="005358DC"/>
    <w:rsid w:val="00535C44"/>
    <w:rsid w:val="00535CF5"/>
    <w:rsid w:val="00536027"/>
    <w:rsid w:val="0053631F"/>
    <w:rsid w:val="00536354"/>
    <w:rsid w:val="00536857"/>
    <w:rsid w:val="00536A81"/>
    <w:rsid w:val="00536C99"/>
    <w:rsid w:val="00537317"/>
    <w:rsid w:val="00537908"/>
    <w:rsid w:val="005401F9"/>
    <w:rsid w:val="005402EB"/>
    <w:rsid w:val="00540501"/>
    <w:rsid w:val="00540776"/>
    <w:rsid w:val="005411FE"/>
    <w:rsid w:val="005412AD"/>
    <w:rsid w:val="00541478"/>
    <w:rsid w:val="00541752"/>
    <w:rsid w:val="00541B4D"/>
    <w:rsid w:val="00541CF0"/>
    <w:rsid w:val="00541D24"/>
    <w:rsid w:val="00541DEF"/>
    <w:rsid w:val="00542032"/>
    <w:rsid w:val="00542589"/>
    <w:rsid w:val="0054295C"/>
    <w:rsid w:val="005429E3"/>
    <w:rsid w:val="00542D7D"/>
    <w:rsid w:val="005431A9"/>
    <w:rsid w:val="005432B3"/>
    <w:rsid w:val="0054331A"/>
    <w:rsid w:val="0054341E"/>
    <w:rsid w:val="005437CE"/>
    <w:rsid w:val="0054388F"/>
    <w:rsid w:val="00543963"/>
    <w:rsid w:val="00543EC6"/>
    <w:rsid w:val="00543FD1"/>
    <w:rsid w:val="00544042"/>
    <w:rsid w:val="00544575"/>
    <w:rsid w:val="0054483C"/>
    <w:rsid w:val="00544FF2"/>
    <w:rsid w:val="00545150"/>
    <w:rsid w:val="00545168"/>
    <w:rsid w:val="00545346"/>
    <w:rsid w:val="00545422"/>
    <w:rsid w:val="00545583"/>
    <w:rsid w:val="005456AB"/>
    <w:rsid w:val="005457AF"/>
    <w:rsid w:val="0054589F"/>
    <w:rsid w:val="00545D55"/>
    <w:rsid w:val="00545DE6"/>
    <w:rsid w:val="00545FF1"/>
    <w:rsid w:val="0054615C"/>
    <w:rsid w:val="005461C2"/>
    <w:rsid w:val="00546202"/>
    <w:rsid w:val="00546227"/>
    <w:rsid w:val="0054630B"/>
    <w:rsid w:val="00546312"/>
    <w:rsid w:val="0054643B"/>
    <w:rsid w:val="005465DE"/>
    <w:rsid w:val="00546691"/>
    <w:rsid w:val="005466B8"/>
    <w:rsid w:val="00546B86"/>
    <w:rsid w:val="00546BE5"/>
    <w:rsid w:val="005470A5"/>
    <w:rsid w:val="00547187"/>
    <w:rsid w:val="005472E7"/>
    <w:rsid w:val="0054742B"/>
    <w:rsid w:val="00547AED"/>
    <w:rsid w:val="00547ECE"/>
    <w:rsid w:val="00550098"/>
    <w:rsid w:val="005504E7"/>
    <w:rsid w:val="005504ED"/>
    <w:rsid w:val="005505E3"/>
    <w:rsid w:val="00550A3A"/>
    <w:rsid w:val="00550E35"/>
    <w:rsid w:val="00550FDA"/>
    <w:rsid w:val="00551248"/>
    <w:rsid w:val="00551265"/>
    <w:rsid w:val="00551409"/>
    <w:rsid w:val="0055163E"/>
    <w:rsid w:val="00551776"/>
    <w:rsid w:val="00551787"/>
    <w:rsid w:val="0055198C"/>
    <w:rsid w:val="00551D26"/>
    <w:rsid w:val="005522D3"/>
    <w:rsid w:val="005522E0"/>
    <w:rsid w:val="00552900"/>
    <w:rsid w:val="0055293E"/>
    <w:rsid w:val="00552B35"/>
    <w:rsid w:val="0055324A"/>
    <w:rsid w:val="005533C9"/>
    <w:rsid w:val="005533CE"/>
    <w:rsid w:val="005535F0"/>
    <w:rsid w:val="00553853"/>
    <w:rsid w:val="00553A6A"/>
    <w:rsid w:val="00553BB2"/>
    <w:rsid w:val="00553C0F"/>
    <w:rsid w:val="00553FDC"/>
    <w:rsid w:val="00554138"/>
    <w:rsid w:val="005543A0"/>
    <w:rsid w:val="005543C8"/>
    <w:rsid w:val="005546CD"/>
    <w:rsid w:val="00554894"/>
    <w:rsid w:val="00554B18"/>
    <w:rsid w:val="00554B3C"/>
    <w:rsid w:val="00554C92"/>
    <w:rsid w:val="00555097"/>
    <w:rsid w:val="005550B9"/>
    <w:rsid w:val="005551C6"/>
    <w:rsid w:val="0055566F"/>
    <w:rsid w:val="0055585C"/>
    <w:rsid w:val="00555B26"/>
    <w:rsid w:val="00555CC6"/>
    <w:rsid w:val="00555D97"/>
    <w:rsid w:val="0055606C"/>
    <w:rsid w:val="0055608B"/>
    <w:rsid w:val="0055623E"/>
    <w:rsid w:val="00556270"/>
    <w:rsid w:val="0055637F"/>
    <w:rsid w:val="00556662"/>
    <w:rsid w:val="00556B6C"/>
    <w:rsid w:val="00556BE6"/>
    <w:rsid w:val="00556C8C"/>
    <w:rsid w:val="00557258"/>
    <w:rsid w:val="0055734D"/>
    <w:rsid w:val="00557408"/>
    <w:rsid w:val="0055747A"/>
    <w:rsid w:val="00557769"/>
    <w:rsid w:val="0055791B"/>
    <w:rsid w:val="005579AD"/>
    <w:rsid w:val="00557BF1"/>
    <w:rsid w:val="00557F26"/>
    <w:rsid w:val="00560127"/>
    <w:rsid w:val="0056044D"/>
    <w:rsid w:val="005605DF"/>
    <w:rsid w:val="0056094A"/>
    <w:rsid w:val="0056095E"/>
    <w:rsid w:val="00560C1E"/>
    <w:rsid w:val="00560C65"/>
    <w:rsid w:val="00560CA2"/>
    <w:rsid w:val="005610E0"/>
    <w:rsid w:val="00561126"/>
    <w:rsid w:val="0056142A"/>
    <w:rsid w:val="005616E1"/>
    <w:rsid w:val="00561A6A"/>
    <w:rsid w:val="00561BB0"/>
    <w:rsid w:val="00561CC8"/>
    <w:rsid w:val="00561D27"/>
    <w:rsid w:val="0056251F"/>
    <w:rsid w:val="00562736"/>
    <w:rsid w:val="00562882"/>
    <w:rsid w:val="0056288D"/>
    <w:rsid w:val="00562EC1"/>
    <w:rsid w:val="0056318C"/>
    <w:rsid w:val="00563449"/>
    <w:rsid w:val="005636CE"/>
    <w:rsid w:val="00563936"/>
    <w:rsid w:val="005639CD"/>
    <w:rsid w:val="00563E85"/>
    <w:rsid w:val="00564006"/>
    <w:rsid w:val="005640EB"/>
    <w:rsid w:val="0056417C"/>
    <w:rsid w:val="005641FD"/>
    <w:rsid w:val="005646DC"/>
    <w:rsid w:val="00564CFC"/>
    <w:rsid w:val="005650FC"/>
    <w:rsid w:val="0056516F"/>
    <w:rsid w:val="00565275"/>
    <w:rsid w:val="005652F5"/>
    <w:rsid w:val="005654AD"/>
    <w:rsid w:val="00565609"/>
    <w:rsid w:val="00565C17"/>
    <w:rsid w:val="00565C1C"/>
    <w:rsid w:val="00565CDF"/>
    <w:rsid w:val="00565EAB"/>
    <w:rsid w:val="00565FD7"/>
    <w:rsid w:val="00566079"/>
    <w:rsid w:val="0056608E"/>
    <w:rsid w:val="005662D5"/>
    <w:rsid w:val="005662FD"/>
    <w:rsid w:val="0056641A"/>
    <w:rsid w:val="005664D6"/>
    <w:rsid w:val="00566765"/>
    <w:rsid w:val="00566939"/>
    <w:rsid w:val="00566E70"/>
    <w:rsid w:val="00566E7D"/>
    <w:rsid w:val="00566FEF"/>
    <w:rsid w:val="0056770F"/>
    <w:rsid w:val="00567765"/>
    <w:rsid w:val="00570269"/>
    <w:rsid w:val="00570475"/>
    <w:rsid w:val="005704F8"/>
    <w:rsid w:val="005704FE"/>
    <w:rsid w:val="0057054C"/>
    <w:rsid w:val="00570587"/>
    <w:rsid w:val="00570591"/>
    <w:rsid w:val="00570780"/>
    <w:rsid w:val="00570924"/>
    <w:rsid w:val="0057104F"/>
    <w:rsid w:val="00571125"/>
    <w:rsid w:val="005711FA"/>
    <w:rsid w:val="005714BF"/>
    <w:rsid w:val="005717F7"/>
    <w:rsid w:val="0057180B"/>
    <w:rsid w:val="00571847"/>
    <w:rsid w:val="005718BF"/>
    <w:rsid w:val="00571900"/>
    <w:rsid w:val="00571941"/>
    <w:rsid w:val="00571AC1"/>
    <w:rsid w:val="00571BCB"/>
    <w:rsid w:val="00571C40"/>
    <w:rsid w:val="00571D96"/>
    <w:rsid w:val="00571E84"/>
    <w:rsid w:val="00572239"/>
    <w:rsid w:val="0057253A"/>
    <w:rsid w:val="00572581"/>
    <w:rsid w:val="00572B8B"/>
    <w:rsid w:val="00572D47"/>
    <w:rsid w:val="00572EE5"/>
    <w:rsid w:val="00572F65"/>
    <w:rsid w:val="00573383"/>
    <w:rsid w:val="005734A7"/>
    <w:rsid w:val="00573529"/>
    <w:rsid w:val="005735FC"/>
    <w:rsid w:val="00573BE4"/>
    <w:rsid w:val="00573D7D"/>
    <w:rsid w:val="00574637"/>
    <w:rsid w:val="00574BB9"/>
    <w:rsid w:val="00574D43"/>
    <w:rsid w:val="00574F58"/>
    <w:rsid w:val="005751CA"/>
    <w:rsid w:val="00575380"/>
    <w:rsid w:val="005758FF"/>
    <w:rsid w:val="00575AA1"/>
    <w:rsid w:val="00575EF9"/>
    <w:rsid w:val="00576028"/>
    <w:rsid w:val="00576555"/>
    <w:rsid w:val="00576BAF"/>
    <w:rsid w:val="00576C38"/>
    <w:rsid w:val="00576DEE"/>
    <w:rsid w:val="00576DF5"/>
    <w:rsid w:val="00576E7E"/>
    <w:rsid w:val="0057705D"/>
    <w:rsid w:val="00577851"/>
    <w:rsid w:val="00577A2A"/>
    <w:rsid w:val="00577A6C"/>
    <w:rsid w:val="00577C4E"/>
    <w:rsid w:val="00577EB8"/>
    <w:rsid w:val="005800E8"/>
    <w:rsid w:val="0058066D"/>
    <w:rsid w:val="00580A61"/>
    <w:rsid w:val="00580DB0"/>
    <w:rsid w:val="00580E81"/>
    <w:rsid w:val="00580FDB"/>
    <w:rsid w:val="00581626"/>
    <w:rsid w:val="005816A1"/>
    <w:rsid w:val="005819A5"/>
    <w:rsid w:val="00581BCB"/>
    <w:rsid w:val="00581DFA"/>
    <w:rsid w:val="00581E11"/>
    <w:rsid w:val="00582058"/>
    <w:rsid w:val="005820C7"/>
    <w:rsid w:val="0058228F"/>
    <w:rsid w:val="005824BF"/>
    <w:rsid w:val="00582617"/>
    <w:rsid w:val="005829CE"/>
    <w:rsid w:val="00582A07"/>
    <w:rsid w:val="00582AAD"/>
    <w:rsid w:val="00582CBC"/>
    <w:rsid w:val="00582D3A"/>
    <w:rsid w:val="00582DBF"/>
    <w:rsid w:val="00582FBF"/>
    <w:rsid w:val="00582FCE"/>
    <w:rsid w:val="0058333C"/>
    <w:rsid w:val="0058352C"/>
    <w:rsid w:val="0058383D"/>
    <w:rsid w:val="00583A68"/>
    <w:rsid w:val="00583CF7"/>
    <w:rsid w:val="00583DE5"/>
    <w:rsid w:val="00583E1C"/>
    <w:rsid w:val="0058413B"/>
    <w:rsid w:val="00584580"/>
    <w:rsid w:val="0058465B"/>
    <w:rsid w:val="005849FC"/>
    <w:rsid w:val="005853F5"/>
    <w:rsid w:val="005854F7"/>
    <w:rsid w:val="005855CA"/>
    <w:rsid w:val="0058563E"/>
    <w:rsid w:val="0058588A"/>
    <w:rsid w:val="00585F4C"/>
    <w:rsid w:val="005861B7"/>
    <w:rsid w:val="005862BC"/>
    <w:rsid w:val="005867EC"/>
    <w:rsid w:val="00586840"/>
    <w:rsid w:val="00586B42"/>
    <w:rsid w:val="00587059"/>
    <w:rsid w:val="0058711C"/>
    <w:rsid w:val="00587194"/>
    <w:rsid w:val="00587313"/>
    <w:rsid w:val="005876EE"/>
    <w:rsid w:val="0058779E"/>
    <w:rsid w:val="00587852"/>
    <w:rsid w:val="00587981"/>
    <w:rsid w:val="00587AC2"/>
    <w:rsid w:val="00587B9E"/>
    <w:rsid w:val="00587EDD"/>
    <w:rsid w:val="00590183"/>
    <w:rsid w:val="00590606"/>
    <w:rsid w:val="00590651"/>
    <w:rsid w:val="00590815"/>
    <w:rsid w:val="00590A9E"/>
    <w:rsid w:val="00590B3F"/>
    <w:rsid w:val="00590B73"/>
    <w:rsid w:val="00590C7C"/>
    <w:rsid w:val="00590CB8"/>
    <w:rsid w:val="005910BB"/>
    <w:rsid w:val="005911DA"/>
    <w:rsid w:val="00591218"/>
    <w:rsid w:val="00591296"/>
    <w:rsid w:val="005913CC"/>
    <w:rsid w:val="005913CF"/>
    <w:rsid w:val="00591466"/>
    <w:rsid w:val="005915E5"/>
    <w:rsid w:val="0059161F"/>
    <w:rsid w:val="00591713"/>
    <w:rsid w:val="005917F9"/>
    <w:rsid w:val="005919D7"/>
    <w:rsid w:val="005919EA"/>
    <w:rsid w:val="00591B39"/>
    <w:rsid w:val="00591DDB"/>
    <w:rsid w:val="00591F1B"/>
    <w:rsid w:val="0059204E"/>
    <w:rsid w:val="0059216C"/>
    <w:rsid w:val="005921E4"/>
    <w:rsid w:val="0059247B"/>
    <w:rsid w:val="00592592"/>
    <w:rsid w:val="005925EB"/>
    <w:rsid w:val="0059263D"/>
    <w:rsid w:val="00592716"/>
    <w:rsid w:val="00592B88"/>
    <w:rsid w:val="00592CF1"/>
    <w:rsid w:val="00592D9C"/>
    <w:rsid w:val="00592E00"/>
    <w:rsid w:val="00592FCD"/>
    <w:rsid w:val="0059308D"/>
    <w:rsid w:val="005933B0"/>
    <w:rsid w:val="0059345B"/>
    <w:rsid w:val="0059357D"/>
    <w:rsid w:val="00593954"/>
    <w:rsid w:val="00593AB1"/>
    <w:rsid w:val="00593D06"/>
    <w:rsid w:val="00593FB6"/>
    <w:rsid w:val="00594B30"/>
    <w:rsid w:val="00594B68"/>
    <w:rsid w:val="0059509B"/>
    <w:rsid w:val="0059570A"/>
    <w:rsid w:val="0059570E"/>
    <w:rsid w:val="00595826"/>
    <w:rsid w:val="005958D9"/>
    <w:rsid w:val="00595AB1"/>
    <w:rsid w:val="00595D9B"/>
    <w:rsid w:val="00595FC9"/>
    <w:rsid w:val="00596025"/>
    <w:rsid w:val="00596111"/>
    <w:rsid w:val="00596117"/>
    <w:rsid w:val="005961E3"/>
    <w:rsid w:val="005965F3"/>
    <w:rsid w:val="00596A62"/>
    <w:rsid w:val="00596BFE"/>
    <w:rsid w:val="00597106"/>
    <w:rsid w:val="005971EE"/>
    <w:rsid w:val="005971F3"/>
    <w:rsid w:val="00597914"/>
    <w:rsid w:val="00597954"/>
    <w:rsid w:val="005A0189"/>
    <w:rsid w:val="005A02B8"/>
    <w:rsid w:val="005A03B9"/>
    <w:rsid w:val="005A0496"/>
    <w:rsid w:val="005A0966"/>
    <w:rsid w:val="005A0A3D"/>
    <w:rsid w:val="005A0BFA"/>
    <w:rsid w:val="005A0CA2"/>
    <w:rsid w:val="005A0D3B"/>
    <w:rsid w:val="005A11F6"/>
    <w:rsid w:val="005A12B7"/>
    <w:rsid w:val="005A1648"/>
    <w:rsid w:val="005A1979"/>
    <w:rsid w:val="005A1A0E"/>
    <w:rsid w:val="005A1CDB"/>
    <w:rsid w:val="005A2111"/>
    <w:rsid w:val="005A23EB"/>
    <w:rsid w:val="005A245E"/>
    <w:rsid w:val="005A24AE"/>
    <w:rsid w:val="005A24C8"/>
    <w:rsid w:val="005A2684"/>
    <w:rsid w:val="005A27F1"/>
    <w:rsid w:val="005A2894"/>
    <w:rsid w:val="005A29DA"/>
    <w:rsid w:val="005A2A24"/>
    <w:rsid w:val="005A2A3F"/>
    <w:rsid w:val="005A2C59"/>
    <w:rsid w:val="005A2E83"/>
    <w:rsid w:val="005A31E1"/>
    <w:rsid w:val="005A37D3"/>
    <w:rsid w:val="005A3E26"/>
    <w:rsid w:val="005A3F37"/>
    <w:rsid w:val="005A3FA7"/>
    <w:rsid w:val="005A3FED"/>
    <w:rsid w:val="005A40C7"/>
    <w:rsid w:val="005A43E0"/>
    <w:rsid w:val="005A446B"/>
    <w:rsid w:val="005A4549"/>
    <w:rsid w:val="005A4813"/>
    <w:rsid w:val="005A4A33"/>
    <w:rsid w:val="005A4B31"/>
    <w:rsid w:val="005A4BF0"/>
    <w:rsid w:val="005A4E3B"/>
    <w:rsid w:val="005A4F1D"/>
    <w:rsid w:val="005A4F34"/>
    <w:rsid w:val="005A5021"/>
    <w:rsid w:val="005A5121"/>
    <w:rsid w:val="005A5273"/>
    <w:rsid w:val="005A54AB"/>
    <w:rsid w:val="005A54ED"/>
    <w:rsid w:val="005A5876"/>
    <w:rsid w:val="005A58D1"/>
    <w:rsid w:val="005A5D45"/>
    <w:rsid w:val="005A61A6"/>
    <w:rsid w:val="005A62B9"/>
    <w:rsid w:val="005A6640"/>
    <w:rsid w:val="005A66E6"/>
    <w:rsid w:val="005A68C1"/>
    <w:rsid w:val="005A69C8"/>
    <w:rsid w:val="005A6ACB"/>
    <w:rsid w:val="005A6C85"/>
    <w:rsid w:val="005A6EF8"/>
    <w:rsid w:val="005A6F5B"/>
    <w:rsid w:val="005A714F"/>
    <w:rsid w:val="005A71E0"/>
    <w:rsid w:val="005A732C"/>
    <w:rsid w:val="005A7373"/>
    <w:rsid w:val="005A737B"/>
    <w:rsid w:val="005A7460"/>
    <w:rsid w:val="005A7806"/>
    <w:rsid w:val="005A78CC"/>
    <w:rsid w:val="005A7C9B"/>
    <w:rsid w:val="005B003C"/>
    <w:rsid w:val="005B0177"/>
    <w:rsid w:val="005B0547"/>
    <w:rsid w:val="005B0557"/>
    <w:rsid w:val="005B06FB"/>
    <w:rsid w:val="005B092A"/>
    <w:rsid w:val="005B09E0"/>
    <w:rsid w:val="005B0B6C"/>
    <w:rsid w:val="005B0F35"/>
    <w:rsid w:val="005B118C"/>
    <w:rsid w:val="005B15AB"/>
    <w:rsid w:val="005B16FC"/>
    <w:rsid w:val="005B17BD"/>
    <w:rsid w:val="005B1937"/>
    <w:rsid w:val="005B1E7A"/>
    <w:rsid w:val="005B2158"/>
    <w:rsid w:val="005B2171"/>
    <w:rsid w:val="005B2173"/>
    <w:rsid w:val="005B2465"/>
    <w:rsid w:val="005B26A6"/>
    <w:rsid w:val="005B2F71"/>
    <w:rsid w:val="005B3076"/>
    <w:rsid w:val="005B31AB"/>
    <w:rsid w:val="005B36D4"/>
    <w:rsid w:val="005B39C1"/>
    <w:rsid w:val="005B3A27"/>
    <w:rsid w:val="005B3A5C"/>
    <w:rsid w:val="005B3B0D"/>
    <w:rsid w:val="005B3C34"/>
    <w:rsid w:val="005B4720"/>
    <w:rsid w:val="005B4925"/>
    <w:rsid w:val="005B4C39"/>
    <w:rsid w:val="005B50D6"/>
    <w:rsid w:val="005B5152"/>
    <w:rsid w:val="005B51D8"/>
    <w:rsid w:val="005B5294"/>
    <w:rsid w:val="005B5747"/>
    <w:rsid w:val="005B58D4"/>
    <w:rsid w:val="005B5A24"/>
    <w:rsid w:val="005B61EC"/>
    <w:rsid w:val="005B6703"/>
    <w:rsid w:val="005B683B"/>
    <w:rsid w:val="005B688E"/>
    <w:rsid w:val="005B69B2"/>
    <w:rsid w:val="005B6DD3"/>
    <w:rsid w:val="005B6E54"/>
    <w:rsid w:val="005B6E89"/>
    <w:rsid w:val="005B7359"/>
    <w:rsid w:val="005B7607"/>
    <w:rsid w:val="005B763A"/>
    <w:rsid w:val="005B77A3"/>
    <w:rsid w:val="005B782C"/>
    <w:rsid w:val="005B7AC8"/>
    <w:rsid w:val="005C006C"/>
    <w:rsid w:val="005C0145"/>
    <w:rsid w:val="005C0192"/>
    <w:rsid w:val="005C0262"/>
    <w:rsid w:val="005C05A2"/>
    <w:rsid w:val="005C083A"/>
    <w:rsid w:val="005C0883"/>
    <w:rsid w:val="005C0902"/>
    <w:rsid w:val="005C0A99"/>
    <w:rsid w:val="005C0EFC"/>
    <w:rsid w:val="005C0F77"/>
    <w:rsid w:val="005C0FBD"/>
    <w:rsid w:val="005C0FF5"/>
    <w:rsid w:val="005C101E"/>
    <w:rsid w:val="005C1030"/>
    <w:rsid w:val="005C10AF"/>
    <w:rsid w:val="005C1191"/>
    <w:rsid w:val="005C12AA"/>
    <w:rsid w:val="005C1687"/>
    <w:rsid w:val="005C16AC"/>
    <w:rsid w:val="005C1752"/>
    <w:rsid w:val="005C175C"/>
    <w:rsid w:val="005C17A4"/>
    <w:rsid w:val="005C18E1"/>
    <w:rsid w:val="005C1965"/>
    <w:rsid w:val="005C19DC"/>
    <w:rsid w:val="005C1A22"/>
    <w:rsid w:val="005C1B3A"/>
    <w:rsid w:val="005C1EE5"/>
    <w:rsid w:val="005C228F"/>
    <w:rsid w:val="005C259E"/>
    <w:rsid w:val="005C272C"/>
    <w:rsid w:val="005C2B71"/>
    <w:rsid w:val="005C2F8C"/>
    <w:rsid w:val="005C30BA"/>
    <w:rsid w:val="005C3153"/>
    <w:rsid w:val="005C3245"/>
    <w:rsid w:val="005C332E"/>
    <w:rsid w:val="005C3A92"/>
    <w:rsid w:val="005C3A99"/>
    <w:rsid w:val="005C3CC3"/>
    <w:rsid w:val="005C3D23"/>
    <w:rsid w:val="005C3E96"/>
    <w:rsid w:val="005C3EC2"/>
    <w:rsid w:val="005C3F44"/>
    <w:rsid w:val="005C40EF"/>
    <w:rsid w:val="005C429F"/>
    <w:rsid w:val="005C42A3"/>
    <w:rsid w:val="005C42F9"/>
    <w:rsid w:val="005C4314"/>
    <w:rsid w:val="005C4412"/>
    <w:rsid w:val="005C44C9"/>
    <w:rsid w:val="005C4630"/>
    <w:rsid w:val="005C4765"/>
    <w:rsid w:val="005C4ADD"/>
    <w:rsid w:val="005C4DC7"/>
    <w:rsid w:val="005C50A0"/>
    <w:rsid w:val="005C50BF"/>
    <w:rsid w:val="005C51E7"/>
    <w:rsid w:val="005C520E"/>
    <w:rsid w:val="005C534C"/>
    <w:rsid w:val="005C5A7A"/>
    <w:rsid w:val="005C5E1C"/>
    <w:rsid w:val="005C6434"/>
    <w:rsid w:val="005C6486"/>
    <w:rsid w:val="005C66D3"/>
    <w:rsid w:val="005C6883"/>
    <w:rsid w:val="005C6890"/>
    <w:rsid w:val="005C6F4D"/>
    <w:rsid w:val="005C70BA"/>
    <w:rsid w:val="005C7543"/>
    <w:rsid w:val="005C7675"/>
    <w:rsid w:val="005C76E3"/>
    <w:rsid w:val="005C7AEF"/>
    <w:rsid w:val="005C7CF6"/>
    <w:rsid w:val="005C7EFA"/>
    <w:rsid w:val="005D0107"/>
    <w:rsid w:val="005D01B9"/>
    <w:rsid w:val="005D0290"/>
    <w:rsid w:val="005D02D5"/>
    <w:rsid w:val="005D02EE"/>
    <w:rsid w:val="005D0394"/>
    <w:rsid w:val="005D08B3"/>
    <w:rsid w:val="005D098D"/>
    <w:rsid w:val="005D0E52"/>
    <w:rsid w:val="005D0F2A"/>
    <w:rsid w:val="005D0F3F"/>
    <w:rsid w:val="005D0F64"/>
    <w:rsid w:val="005D1105"/>
    <w:rsid w:val="005D1245"/>
    <w:rsid w:val="005D1272"/>
    <w:rsid w:val="005D131B"/>
    <w:rsid w:val="005D171D"/>
    <w:rsid w:val="005D1790"/>
    <w:rsid w:val="005D17DE"/>
    <w:rsid w:val="005D181F"/>
    <w:rsid w:val="005D1D85"/>
    <w:rsid w:val="005D1DB8"/>
    <w:rsid w:val="005D20AA"/>
    <w:rsid w:val="005D2411"/>
    <w:rsid w:val="005D268F"/>
    <w:rsid w:val="005D2AA1"/>
    <w:rsid w:val="005D2B1F"/>
    <w:rsid w:val="005D2C58"/>
    <w:rsid w:val="005D2CE8"/>
    <w:rsid w:val="005D2D9E"/>
    <w:rsid w:val="005D2DE0"/>
    <w:rsid w:val="005D2F5F"/>
    <w:rsid w:val="005D353F"/>
    <w:rsid w:val="005D3653"/>
    <w:rsid w:val="005D36C7"/>
    <w:rsid w:val="005D3826"/>
    <w:rsid w:val="005D385E"/>
    <w:rsid w:val="005D389C"/>
    <w:rsid w:val="005D3C22"/>
    <w:rsid w:val="005D3C56"/>
    <w:rsid w:val="005D3EDD"/>
    <w:rsid w:val="005D48D7"/>
    <w:rsid w:val="005D48F1"/>
    <w:rsid w:val="005D4907"/>
    <w:rsid w:val="005D4B50"/>
    <w:rsid w:val="005D4D0A"/>
    <w:rsid w:val="005D4D9E"/>
    <w:rsid w:val="005D4EA2"/>
    <w:rsid w:val="005D51E0"/>
    <w:rsid w:val="005D55E2"/>
    <w:rsid w:val="005D5B35"/>
    <w:rsid w:val="005D5B53"/>
    <w:rsid w:val="005D5D23"/>
    <w:rsid w:val="005D60B3"/>
    <w:rsid w:val="005D60C5"/>
    <w:rsid w:val="005D626E"/>
    <w:rsid w:val="005D642E"/>
    <w:rsid w:val="005D6495"/>
    <w:rsid w:val="005D64B3"/>
    <w:rsid w:val="005D6502"/>
    <w:rsid w:val="005D6505"/>
    <w:rsid w:val="005D6553"/>
    <w:rsid w:val="005D6659"/>
    <w:rsid w:val="005D68DD"/>
    <w:rsid w:val="005D6943"/>
    <w:rsid w:val="005D69FE"/>
    <w:rsid w:val="005D6DDB"/>
    <w:rsid w:val="005D709B"/>
    <w:rsid w:val="005D714A"/>
    <w:rsid w:val="005D726F"/>
    <w:rsid w:val="005D73FC"/>
    <w:rsid w:val="005D7412"/>
    <w:rsid w:val="005D7527"/>
    <w:rsid w:val="005D7766"/>
    <w:rsid w:val="005D780C"/>
    <w:rsid w:val="005D7C0B"/>
    <w:rsid w:val="005D7C5A"/>
    <w:rsid w:val="005D7CE5"/>
    <w:rsid w:val="005E00D7"/>
    <w:rsid w:val="005E03D7"/>
    <w:rsid w:val="005E05FB"/>
    <w:rsid w:val="005E070E"/>
    <w:rsid w:val="005E0823"/>
    <w:rsid w:val="005E0931"/>
    <w:rsid w:val="005E1034"/>
    <w:rsid w:val="005E10DA"/>
    <w:rsid w:val="005E11A0"/>
    <w:rsid w:val="005E150B"/>
    <w:rsid w:val="005E1979"/>
    <w:rsid w:val="005E1D8D"/>
    <w:rsid w:val="005E2426"/>
    <w:rsid w:val="005E28B5"/>
    <w:rsid w:val="005E28CE"/>
    <w:rsid w:val="005E2C0D"/>
    <w:rsid w:val="005E2DC5"/>
    <w:rsid w:val="005E2DF4"/>
    <w:rsid w:val="005E387B"/>
    <w:rsid w:val="005E38A8"/>
    <w:rsid w:val="005E3913"/>
    <w:rsid w:val="005E3CF2"/>
    <w:rsid w:val="005E3DA4"/>
    <w:rsid w:val="005E402A"/>
    <w:rsid w:val="005E43D0"/>
    <w:rsid w:val="005E4408"/>
    <w:rsid w:val="005E4544"/>
    <w:rsid w:val="005E48A3"/>
    <w:rsid w:val="005E49D2"/>
    <w:rsid w:val="005E49DF"/>
    <w:rsid w:val="005E4F0E"/>
    <w:rsid w:val="005E507F"/>
    <w:rsid w:val="005E50FA"/>
    <w:rsid w:val="005E5376"/>
    <w:rsid w:val="005E53BC"/>
    <w:rsid w:val="005E53F2"/>
    <w:rsid w:val="005E54A3"/>
    <w:rsid w:val="005E5AD9"/>
    <w:rsid w:val="005E5CC4"/>
    <w:rsid w:val="005E5EA9"/>
    <w:rsid w:val="005E600C"/>
    <w:rsid w:val="005E609D"/>
    <w:rsid w:val="005E625D"/>
    <w:rsid w:val="005E63FC"/>
    <w:rsid w:val="005E64EF"/>
    <w:rsid w:val="005E6844"/>
    <w:rsid w:val="005E68E2"/>
    <w:rsid w:val="005E6928"/>
    <w:rsid w:val="005E6A66"/>
    <w:rsid w:val="005E6EAB"/>
    <w:rsid w:val="005E702A"/>
    <w:rsid w:val="005E7236"/>
    <w:rsid w:val="005E776D"/>
    <w:rsid w:val="005E7A9D"/>
    <w:rsid w:val="005E7B90"/>
    <w:rsid w:val="005E7D2E"/>
    <w:rsid w:val="005F0020"/>
    <w:rsid w:val="005F03D3"/>
    <w:rsid w:val="005F03E4"/>
    <w:rsid w:val="005F04DD"/>
    <w:rsid w:val="005F096A"/>
    <w:rsid w:val="005F0BC8"/>
    <w:rsid w:val="005F0DDA"/>
    <w:rsid w:val="005F0E05"/>
    <w:rsid w:val="005F1313"/>
    <w:rsid w:val="005F147D"/>
    <w:rsid w:val="005F150A"/>
    <w:rsid w:val="005F18D8"/>
    <w:rsid w:val="005F1A3A"/>
    <w:rsid w:val="005F1C14"/>
    <w:rsid w:val="005F1EDE"/>
    <w:rsid w:val="005F2025"/>
    <w:rsid w:val="005F205B"/>
    <w:rsid w:val="005F2088"/>
    <w:rsid w:val="005F2427"/>
    <w:rsid w:val="005F2659"/>
    <w:rsid w:val="005F2781"/>
    <w:rsid w:val="005F2838"/>
    <w:rsid w:val="005F28A2"/>
    <w:rsid w:val="005F28FD"/>
    <w:rsid w:val="005F299B"/>
    <w:rsid w:val="005F2A3D"/>
    <w:rsid w:val="005F2B37"/>
    <w:rsid w:val="005F2C83"/>
    <w:rsid w:val="005F2FDA"/>
    <w:rsid w:val="005F31CA"/>
    <w:rsid w:val="005F31E8"/>
    <w:rsid w:val="005F32C4"/>
    <w:rsid w:val="005F3354"/>
    <w:rsid w:val="005F3507"/>
    <w:rsid w:val="005F3540"/>
    <w:rsid w:val="005F3599"/>
    <w:rsid w:val="005F35B5"/>
    <w:rsid w:val="005F36E4"/>
    <w:rsid w:val="005F36ED"/>
    <w:rsid w:val="005F373C"/>
    <w:rsid w:val="005F377B"/>
    <w:rsid w:val="005F3B1C"/>
    <w:rsid w:val="005F3C2C"/>
    <w:rsid w:val="005F3D86"/>
    <w:rsid w:val="005F3DF0"/>
    <w:rsid w:val="005F4131"/>
    <w:rsid w:val="005F413A"/>
    <w:rsid w:val="005F4155"/>
    <w:rsid w:val="005F421B"/>
    <w:rsid w:val="005F42FC"/>
    <w:rsid w:val="005F493D"/>
    <w:rsid w:val="005F4C26"/>
    <w:rsid w:val="005F4C8D"/>
    <w:rsid w:val="005F4D5D"/>
    <w:rsid w:val="005F4FFA"/>
    <w:rsid w:val="005F5137"/>
    <w:rsid w:val="005F531B"/>
    <w:rsid w:val="005F56C1"/>
    <w:rsid w:val="005F56ED"/>
    <w:rsid w:val="005F593D"/>
    <w:rsid w:val="005F5B94"/>
    <w:rsid w:val="005F5C91"/>
    <w:rsid w:val="005F5CF8"/>
    <w:rsid w:val="005F5D60"/>
    <w:rsid w:val="005F5DB6"/>
    <w:rsid w:val="005F60A7"/>
    <w:rsid w:val="005F6373"/>
    <w:rsid w:val="005F65DD"/>
    <w:rsid w:val="005F6707"/>
    <w:rsid w:val="005F67DB"/>
    <w:rsid w:val="005F6B83"/>
    <w:rsid w:val="005F6C8B"/>
    <w:rsid w:val="005F6D3D"/>
    <w:rsid w:val="005F6D8A"/>
    <w:rsid w:val="005F6E28"/>
    <w:rsid w:val="005F6F8B"/>
    <w:rsid w:val="005F7036"/>
    <w:rsid w:val="005F711B"/>
    <w:rsid w:val="005F734E"/>
    <w:rsid w:val="005F74C2"/>
    <w:rsid w:val="005F756E"/>
    <w:rsid w:val="005F78F4"/>
    <w:rsid w:val="005F7A68"/>
    <w:rsid w:val="005F7D81"/>
    <w:rsid w:val="005F7EDC"/>
    <w:rsid w:val="006003A8"/>
    <w:rsid w:val="00600716"/>
    <w:rsid w:val="00600CB2"/>
    <w:rsid w:val="00600D59"/>
    <w:rsid w:val="00600DE3"/>
    <w:rsid w:val="00600FE2"/>
    <w:rsid w:val="00601071"/>
    <w:rsid w:val="0060151B"/>
    <w:rsid w:val="006018CA"/>
    <w:rsid w:val="006018F8"/>
    <w:rsid w:val="00601A37"/>
    <w:rsid w:val="00601C6E"/>
    <w:rsid w:val="00601C7C"/>
    <w:rsid w:val="006021A4"/>
    <w:rsid w:val="00602360"/>
    <w:rsid w:val="0060299E"/>
    <w:rsid w:val="00602B15"/>
    <w:rsid w:val="00602BC8"/>
    <w:rsid w:val="00602F43"/>
    <w:rsid w:val="006033B9"/>
    <w:rsid w:val="006038C8"/>
    <w:rsid w:val="00603A7D"/>
    <w:rsid w:val="00603AD1"/>
    <w:rsid w:val="00603D84"/>
    <w:rsid w:val="00603E5C"/>
    <w:rsid w:val="00603E6C"/>
    <w:rsid w:val="00604206"/>
    <w:rsid w:val="00604399"/>
    <w:rsid w:val="00604623"/>
    <w:rsid w:val="006046A3"/>
    <w:rsid w:val="006047CF"/>
    <w:rsid w:val="00604D09"/>
    <w:rsid w:val="00604D6B"/>
    <w:rsid w:val="00605133"/>
    <w:rsid w:val="00605135"/>
    <w:rsid w:val="00605364"/>
    <w:rsid w:val="00605565"/>
    <w:rsid w:val="00605632"/>
    <w:rsid w:val="00605771"/>
    <w:rsid w:val="00605C8E"/>
    <w:rsid w:val="00606108"/>
    <w:rsid w:val="006062EB"/>
    <w:rsid w:val="0060645C"/>
    <w:rsid w:val="0060659C"/>
    <w:rsid w:val="0060690D"/>
    <w:rsid w:val="006069F5"/>
    <w:rsid w:val="00606ADB"/>
    <w:rsid w:val="00606C67"/>
    <w:rsid w:val="00606E03"/>
    <w:rsid w:val="0060709A"/>
    <w:rsid w:val="006071A6"/>
    <w:rsid w:val="00607246"/>
    <w:rsid w:val="00607436"/>
    <w:rsid w:val="00607767"/>
    <w:rsid w:val="006079E1"/>
    <w:rsid w:val="00607D34"/>
    <w:rsid w:val="00607FD9"/>
    <w:rsid w:val="00610268"/>
    <w:rsid w:val="006108BC"/>
    <w:rsid w:val="00610924"/>
    <w:rsid w:val="00610D70"/>
    <w:rsid w:val="00610FD9"/>
    <w:rsid w:val="0061113C"/>
    <w:rsid w:val="0061150E"/>
    <w:rsid w:val="00611CBE"/>
    <w:rsid w:val="00611D6C"/>
    <w:rsid w:val="00611DB7"/>
    <w:rsid w:val="00611EA1"/>
    <w:rsid w:val="00611F48"/>
    <w:rsid w:val="0061241D"/>
    <w:rsid w:val="00612471"/>
    <w:rsid w:val="006125AF"/>
    <w:rsid w:val="00612658"/>
    <w:rsid w:val="0061276C"/>
    <w:rsid w:val="00612ABA"/>
    <w:rsid w:val="00612BDE"/>
    <w:rsid w:val="00612C8E"/>
    <w:rsid w:val="00612F66"/>
    <w:rsid w:val="00613016"/>
    <w:rsid w:val="00613124"/>
    <w:rsid w:val="006131D2"/>
    <w:rsid w:val="006131F9"/>
    <w:rsid w:val="0061323C"/>
    <w:rsid w:val="00613628"/>
    <w:rsid w:val="00613978"/>
    <w:rsid w:val="00613B47"/>
    <w:rsid w:val="00613C90"/>
    <w:rsid w:val="00613EB0"/>
    <w:rsid w:val="00614026"/>
    <w:rsid w:val="006143E5"/>
    <w:rsid w:val="0061495E"/>
    <w:rsid w:val="006149D9"/>
    <w:rsid w:val="006149E0"/>
    <w:rsid w:val="00614ACC"/>
    <w:rsid w:val="00614CB8"/>
    <w:rsid w:val="00614DFC"/>
    <w:rsid w:val="00614F0D"/>
    <w:rsid w:val="00614FBD"/>
    <w:rsid w:val="00615000"/>
    <w:rsid w:val="0061524B"/>
    <w:rsid w:val="006153B8"/>
    <w:rsid w:val="00615485"/>
    <w:rsid w:val="006159BC"/>
    <w:rsid w:val="00616387"/>
    <w:rsid w:val="006163BA"/>
    <w:rsid w:val="00616444"/>
    <w:rsid w:val="006164A5"/>
    <w:rsid w:val="0061688A"/>
    <w:rsid w:val="00616DE3"/>
    <w:rsid w:val="00617164"/>
    <w:rsid w:val="00617240"/>
    <w:rsid w:val="00617242"/>
    <w:rsid w:val="006172E2"/>
    <w:rsid w:val="006172E4"/>
    <w:rsid w:val="00617363"/>
    <w:rsid w:val="0061742C"/>
    <w:rsid w:val="0061764F"/>
    <w:rsid w:val="0061784C"/>
    <w:rsid w:val="00617A25"/>
    <w:rsid w:val="00617C50"/>
    <w:rsid w:val="00617E38"/>
    <w:rsid w:val="00617FBC"/>
    <w:rsid w:val="00617FD2"/>
    <w:rsid w:val="006203EC"/>
    <w:rsid w:val="00620A03"/>
    <w:rsid w:val="006211B5"/>
    <w:rsid w:val="0062157A"/>
    <w:rsid w:val="00621634"/>
    <w:rsid w:val="006216B1"/>
    <w:rsid w:val="00621837"/>
    <w:rsid w:val="00621A51"/>
    <w:rsid w:val="00621C8F"/>
    <w:rsid w:val="006222C3"/>
    <w:rsid w:val="0062238B"/>
    <w:rsid w:val="0062266C"/>
    <w:rsid w:val="006227BF"/>
    <w:rsid w:val="00622A04"/>
    <w:rsid w:val="00622A4D"/>
    <w:rsid w:val="00622EDF"/>
    <w:rsid w:val="00623243"/>
    <w:rsid w:val="00623406"/>
    <w:rsid w:val="0062386E"/>
    <w:rsid w:val="00623A02"/>
    <w:rsid w:val="00623A62"/>
    <w:rsid w:val="00623A7F"/>
    <w:rsid w:val="00623B9F"/>
    <w:rsid w:val="00623BB4"/>
    <w:rsid w:val="00623C2E"/>
    <w:rsid w:val="00623FAE"/>
    <w:rsid w:val="0062407B"/>
    <w:rsid w:val="006241D8"/>
    <w:rsid w:val="006244BB"/>
    <w:rsid w:val="00624575"/>
    <w:rsid w:val="006249E2"/>
    <w:rsid w:val="00624D01"/>
    <w:rsid w:val="00624D76"/>
    <w:rsid w:val="00625024"/>
    <w:rsid w:val="00625260"/>
    <w:rsid w:val="0062555C"/>
    <w:rsid w:val="00625A7A"/>
    <w:rsid w:val="00625D11"/>
    <w:rsid w:val="00625D21"/>
    <w:rsid w:val="00625DD1"/>
    <w:rsid w:val="00626029"/>
    <w:rsid w:val="006263B2"/>
    <w:rsid w:val="00626898"/>
    <w:rsid w:val="006268D4"/>
    <w:rsid w:val="00626A2D"/>
    <w:rsid w:val="00626B08"/>
    <w:rsid w:val="00626BC8"/>
    <w:rsid w:val="00626D76"/>
    <w:rsid w:val="00627390"/>
    <w:rsid w:val="0062754B"/>
    <w:rsid w:val="0062756C"/>
    <w:rsid w:val="006275DE"/>
    <w:rsid w:val="006276E0"/>
    <w:rsid w:val="006279F4"/>
    <w:rsid w:val="00627B83"/>
    <w:rsid w:val="00630643"/>
    <w:rsid w:val="006308BE"/>
    <w:rsid w:val="006309D5"/>
    <w:rsid w:val="00630D10"/>
    <w:rsid w:val="00630D28"/>
    <w:rsid w:val="00630F2A"/>
    <w:rsid w:val="00631A43"/>
    <w:rsid w:val="00631B25"/>
    <w:rsid w:val="00631C90"/>
    <w:rsid w:val="00631F01"/>
    <w:rsid w:val="006321AB"/>
    <w:rsid w:val="006321C9"/>
    <w:rsid w:val="0063232B"/>
    <w:rsid w:val="00632573"/>
    <w:rsid w:val="00632584"/>
    <w:rsid w:val="006325E4"/>
    <w:rsid w:val="00632612"/>
    <w:rsid w:val="00632625"/>
    <w:rsid w:val="006326CA"/>
    <w:rsid w:val="0063283C"/>
    <w:rsid w:val="00632877"/>
    <w:rsid w:val="006328EA"/>
    <w:rsid w:val="00632A2C"/>
    <w:rsid w:val="00632ED5"/>
    <w:rsid w:val="00632F2A"/>
    <w:rsid w:val="0063301B"/>
    <w:rsid w:val="006336A5"/>
    <w:rsid w:val="00633896"/>
    <w:rsid w:val="0063392A"/>
    <w:rsid w:val="00633BF5"/>
    <w:rsid w:val="00633CCE"/>
    <w:rsid w:val="00633F5F"/>
    <w:rsid w:val="006340E3"/>
    <w:rsid w:val="00634390"/>
    <w:rsid w:val="0063446A"/>
    <w:rsid w:val="006345B0"/>
    <w:rsid w:val="00634ABD"/>
    <w:rsid w:val="00634B1A"/>
    <w:rsid w:val="00634B46"/>
    <w:rsid w:val="00634F92"/>
    <w:rsid w:val="00635425"/>
    <w:rsid w:val="006357AE"/>
    <w:rsid w:val="00635817"/>
    <w:rsid w:val="00635AA6"/>
    <w:rsid w:val="00635E0E"/>
    <w:rsid w:val="006362B6"/>
    <w:rsid w:val="006363B0"/>
    <w:rsid w:val="006365A9"/>
    <w:rsid w:val="00636739"/>
    <w:rsid w:val="0063695D"/>
    <w:rsid w:val="00636C16"/>
    <w:rsid w:val="00636D19"/>
    <w:rsid w:val="00636D1B"/>
    <w:rsid w:val="00637288"/>
    <w:rsid w:val="0063740F"/>
    <w:rsid w:val="00637774"/>
    <w:rsid w:val="006377C0"/>
    <w:rsid w:val="00637B58"/>
    <w:rsid w:val="00637DD2"/>
    <w:rsid w:val="00637E6A"/>
    <w:rsid w:val="00637EBC"/>
    <w:rsid w:val="00640003"/>
    <w:rsid w:val="00640005"/>
    <w:rsid w:val="00640231"/>
    <w:rsid w:val="00640470"/>
    <w:rsid w:val="00640495"/>
    <w:rsid w:val="006405F4"/>
    <w:rsid w:val="006405FC"/>
    <w:rsid w:val="00640ACF"/>
    <w:rsid w:val="00640BE7"/>
    <w:rsid w:val="00640C36"/>
    <w:rsid w:val="00640D02"/>
    <w:rsid w:val="00640DEE"/>
    <w:rsid w:val="00640E04"/>
    <w:rsid w:val="00641079"/>
    <w:rsid w:val="006410DE"/>
    <w:rsid w:val="00641170"/>
    <w:rsid w:val="006411DC"/>
    <w:rsid w:val="006414D2"/>
    <w:rsid w:val="00641938"/>
    <w:rsid w:val="00641E98"/>
    <w:rsid w:val="0064224D"/>
    <w:rsid w:val="006422C4"/>
    <w:rsid w:val="00642655"/>
    <w:rsid w:val="00642658"/>
    <w:rsid w:val="006428D0"/>
    <w:rsid w:val="0064295D"/>
    <w:rsid w:val="00642A0B"/>
    <w:rsid w:val="00642D04"/>
    <w:rsid w:val="00642E29"/>
    <w:rsid w:val="00642E3F"/>
    <w:rsid w:val="00642FD3"/>
    <w:rsid w:val="00643277"/>
    <w:rsid w:val="00643600"/>
    <w:rsid w:val="006436BC"/>
    <w:rsid w:val="006438BB"/>
    <w:rsid w:val="00643B51"/>
    <w:rsid w:val="00643E1F"/>
    <w:rsid w:val="00644738"/>
    <w:rsid w:val="006449CB"/>
    <w:rsid w:val="0064518A"/>
    <w:rsid w:val="00645904"/>
    <w:rsid w:val="00645ADA"/>
    <w:rsid w:val="00645B2D"/>
    <w:rsid w:val="00645BA4"/>
    <w:rsid w:val="00645CBE"/>
    <w:rsid w:val="00646382"/>
    <w:rsid w:val="006463D4"/>
    <w:rsid w:val="00646501"/>
    <w:rsid w:val="006466DA"/>
    <w:rsid w:val="006467DE"/>
    <w:rsid w:val="006467E6"/>
    <w:rsid w:val="00646809"/>
    <w:rsid w:val="00646A02"/>
    <w:rsid w:val="00646BD1"/>
    <w:rsid w:val="00646E14"/>
    <w:rsid w:val="00646E1B"/>
    <w:rsid w:val="00646E36"/>
    <w:rsid w:val="00646E56"/>
    <w:rsid w:val="0064717B"/>
    <w:rsid w:val="00647190"/>
    <w:rsid w:val="00647A50"/>
    <w:rsid w:val="00647B04"/>
    <w:rsid w:val="00647D21"/>
    <w:rsid w:val="00647DB6"/>
    <w:rsid w:val="006502F0"/>
    <w:rsid w:val="006504B6"/>
    <w:rsid w:val="006508FF"/>
    <w:rsid w:val="00650DB4"/>
    <w:rsid w:val="00650E18"/>
    <w:rsid w:val="00650EC0"/>
    <w:rsid w:val="006510FB"/>
    <w:rsid w:val="0065114C"/>
    <w:rsid w:val="00651242"/>
    <w:rsid w:val="006514B5"/>
    <w:rsid w:val="0065166D"/>
    <w:rsid w:val="00651CF3"/>
    <w:rsid w:val="00651F87"/>
    <w:rsid w:val="006520C4"/>
    <w:rsid w:val="006520DD"/>
    <w:rsid w:val="006521D2"/>
    <w:rsid w:val="00652548"/>
    <w:rsid w:val="006525E8"/>
    <w:rsid w:val="00652682"/>
    <w:rsid w:val="00652A1A"/>
    <w:rsid w:val="00652B92"/>
    <w:rsid w:val="00652CD8"/>
    <w:rsid w:val="00652D11"/>
    <w:rsid w:val="0065337E"/>
    <w:rsid w:val="00653408"/>
    <w:rsid w:val="006534B0"/>
    <w:rsid w:val="006536AA"/>
    <w:rsid w:val="006537B4"/>
    <w:rsid w:val="00653D2F"/>
    <w:rsid w:val="00653D80"/>
    <w:rsid w:val="00653F1D"/>
    <w:rsid w:val="00653F69"/>
    <w:rsid w:val="00653F7D"/>
    <w:rsid w:val="006542ED"/>
    <w:rsid w:val="006542F6"/>
    <w:rsid w:val="0065448E"/>
    <w:rsid w:val="0065451C"/>
    <w:rsid w:val="00654850"/>
    <w:rsid w:val="00654BC3"/>
    <w:rsid w:val="00654F3D"/>
    <w:rsid w:val="00654FFE"/>
    <w:rsid w:val="00655350"/>
    <w:rsid w:val="0065539F"/>
    <w:rsid w:val="0065541C"/>
    <w:rsid w:val="0065548D"/>
    <w:rsid w:val="0065555D"/>
    <w:rsid w:val="006556B6"/>
    <w:rsid w:val="00655F89"/>
    <w:rsid w:val="006560B5"/>
    <w:rsid w:val="00656369"/>
    <w:rsid w:val="00656587"/>
    <w:rsid w:val="006566C9"/>
    <w:rsid w:val="006566CC"/>
    <w:rsid w:val="00656C6E"/>
    <w:rsid w:val="00656F09"/>
    <w:rsid w:val="00656F7E"/>
    <w:rsid w:val="00656FE1"/>
    <w:rsid w:val="006575E9"/>
    <w:rsid w:val="00657D93"/>
    <w:rsid w:val="00657F30"/>
    <w:rsid w:val="0066012D"/>
    <w:rsid w:val="006601A7"/>
    <w:rsid w:val="006601DA"/>
    <w:rsid w:val="00660274"/>
    <w:rsid w:val="0066032A"/>
    <w:rsid w:val="006604F9"/>
    <w:rsid w:val="0066060E"/>
    <w:rsid w:val="006608F5"/>
    <w:rsid w:val="00660A94"/>
    <w:rsid w:val="00660C4D"/>
    <w:rsid w:val="00660D0B"/>
    <w:rsid w:val="00660D8B"/>
    <w:rsid w:val="00660DC8"/>
    <w:rsid w:val="006610C1"/>
    <w:rsid w:val="006613AF"/>
    <w:rsid w:val="0066145C"/>
    <w:rsid w:val="006614BC"/>
    <w:rsid w:val="0066185E"/>
    <w:rsid w:val="00661A07"/>
    <w:rsid w:val="00661ACB"/>
    <w:rsid w:val="00661C9D"/>
    <w:rsid w:val="00661FD8"/>
    <w:rsid w:val="006621BE"/>
    <w:rsid w:val="006624A7"/>
    <w:rsid w:val="00662665"/>
    <w:rsid w:val="006626AF"/>
    <w:rsid w:val="0066279F"/>
    <w:rsid w:val="00662908"/>
    <w:rsid w:val="00662974"/>
    <w:rsid w:val="00662D0B"/>
    <w:rsid w:val="00663062"/>
    <w:rsid w:val="00663066"/>
    <w:rsid w:val="006633FA"/>
    <w:rsid w:val="00663451"/>
    <w:rsid w:val="006637F4"/>
    <w:rsid w:val="0066398C"/>
    <w:rsid w:val="00663ACB"/>
    <w:rsid w:val="00663AF2"/>
    <w:rsid w:val="00663B7D"/>
    <w:rsid w:val="00663C1C"/>
    <w:rsid w:val="00663C3D"/>
    <w:rsid w:val="00663C68"/>
    <w:rsid w:val="00663EE4"/>
    <w:rsid w:val="00663F3D"/>
    <w:rsid w:val="0066464E"/>
    <w:rsid w:val="00664A5D"/>
    <w:rsid w:val="00664B32"/>
    <w:rsid w:val="006651FA"/>
    <w:rsid w:val="0066527C"/>
    <w:rsid w:val="006654EE"/>
    <w:rsid w:val="0066571A"/>
    <w:rsid w:val="00665844"/>
    <w:rsid w:val="00665996"/>
    <w:rsid w:val="006659AE"/>
    <w:rsid w:val="00666284"/>
    <w:rsid w:val="00666343"/>
    <w:rsid w:val="0066676C"/>
    <w:rsid w:val="00666C00"/>
    <w:rsid w:val="00666C7C"/>
    <w:rsid w:val="00666D25"/>
    <w:rsid w:val="00666D52"/>
    <w:rsid w:val="00666F01"/>
    <w:rsid w:val="006670E5"/>
    <w:rsid w:val="00667484"/>
    <w:rsid w:val="00667528"/>
    <w:rsid w:val="0066753B"/>
    <w:rsid w:val="00667655"/>
    <w:rsid w:val="006679B1"/>
    <w:rsid w:val="00667D09"/>
    <w:rsid w:val="00667EDC"/>
    <w:rsid w:val="00670369"/>
    <w:rsid w:val="00670A57"/>
    <w:rsid w:val="00670ABA"/>
    <w:rsid w:val="00670B61"/>
    <w:rsid w:val="00670BC5"/>
    <w:rsid w:val="00670DE6"/>
    <w:rsid w:val="00670EBD"/>
    <w:rsid w:val="00670EE3"/>
    <w:rsid w:val="0067103D"/>
    <w:rsid w:val="006713F9"/>
    <w:rsid w:val="00671718"/>
    <w:rsid w:val="00671800"/>
    <w:rsid w:val="0067186B"/>
    <w:rsid w:val="00671930"/>
    <w:rsid w:val="00671948"/>
    <w:rsid w:val="006719C7"/>
    <w:rsid w:val="00671C2E"/>
    <w:rsid w:val="006720EA"/>
    <w:rsid w:val="00672293"/>
    <w:rsid w:val="006722CD"/>
    <w:rsid w:val="00672589"/>
    <w:rsid w:val="0067263E"/>
    <w:rsid w:val="00672CA4"/>
    <w:rsid w:val="00672E05"/>
    <w:rsid w:val="00672EDD"/>
    <w:rsid w:val="006737C4"/>
    <w:rsid w:val="00673B7F"/>
    <w:rsid w:val="00673CB6"/>
    <w:rsid w:val="006740F1"/>
    <w:rsid w:val="0067456D"/>
    <w:rsid w:val="006745DD"/>
    <w:rsid w:val="0067463D"/>
    <w:rsid w:val="006746D0"/>
    <w:rsid w:val="00674BFD"/>
    <w:rsid w:val="006750C3"/>
    <w:rsid w:val="00675233"/>
    <w:rsid w:val="006755D2"/>
    <w:rsid w:val="006755F8"/>
    <w:rsid w:val="00675650"/>
    <w:rsid w:val="00675804"/>
    <w:rsid w:val="00675892"/>
    <w:rsid w:val="006759A6"/>
    <w:rsid w:val="00675A96"/>
    <w:rsid w:val="00675C6C"/>
    <w:rsid w:val="00675E47"/>
    <w:rsid w:val="00675F8B"/>
    <w:rsid w:val="0067637D"/>
    <w:rsid w:val="00676399"/>
    <w:rsid w:val="00676422"/>
    <w:rsid w:val="006765BA"/>
    <w:rsid w:val="00676766"/>
    <w:rsid w:val="0067676C"/>
    <w:rsid w:val="00676A6B"/>
    <w:rsid w:val="00676CEF"/>
    <w:rsid w:val="00677042"/>
    <w:rsid w:val="006776A3"/>
    <w:rsid w:val="006777DE"/>
    <w:rsid w:val="00677A19"/>
    <w:rsid w:val="00677A23"/>
    <w:rsid w:val="00677AEE"/>
    <w:rsid w:val="00680221"/>
    <w:rsid w:val="00680710"/>
    <w:rsid w:val="00680E53"/>
    <w:rsid w:val="00680F1A"/>
    <w:rsid w:val="006810D0"/>
    <w:rsid w:val="006810E7"/>
    <w:rsid w:val="0068112C"/>
    <w:rsid w:val="00681386"/>
    <w:rsid w:val="006817C4"/>
    <w:rsid w:val="00681882"/>
    <w:rsid w:val="00681DF0"/>
    <w:rsid w:val="00681E15"/>
    <w:rsid w:val="00681E84"/>
    <w:rsid w:val="00681F66"/>
    <w:rsid w:val="006824F9"/>
    <w:rsid w:val="0068260D"/>
    <w:rsid w:val="006826D5"/>
    <w:rsid w:val="0068276D"/>
    <w:rsid w:val="00682837"/>
    <w:rsid w:val="00682AD0"/>
    <w:rsid w:val="00682B92"/>
    <w:rsid w:val="00682C72"/>
    <w:rsid w:val="00682FBD"/>
    <w:rsid w:val="00682FC5"/>
    <w:rsid w:val="006830B7"/>
    <w:rsid w:val="00683222"/>
    <w:rsid w:val="006832B8"/>
    <w:rsid w:val="006832D8"/>
    <w:rsid w:val="006834E5"/>
    <w:rsid w:val="00683B2D"/>
    <w:rsid w:val="00683C32"/>
    <w:rsid w:val="00683E83"/>
    <w:rsid w:val="006842C1"/>
    <w:rsid w:val="0068433C"/>
    <w:rsid w:val="00684884"/>
    <w:rsid w:val="00684A3B"/>
    <w:rsid w:val="0068505D"/>
    <w:rsid w:val="00685AF1"/>
    <w:rsid w:val="00685CEC"/>
    <w:rsid w:val="00685D85"/>
    <w:rsid w:val="00685F22"/>
    <w:rsid w:val="006861F1"/>
    <w:rsid w:val="006867F6"/>
    <w:rsid w:val="00686855"/>
    <w:rsid w:val="00686BA0"/>
    <w:rsid w:val="00686D2D"/>
    <w:rsid w:val="0068712F"/>
    <w:rsid w:val="0068732E"/>
    <w:rsid w:val="00687788"/>
    <w:rsid w:val="006879D5"/>
    <w:rsid w:val="00687A45"/>
    <w:rsid w:val="00687B2C"/>
    <w:rsid w:val="006901A1"/>
    <w:rsid w:val="00690355"/>
    <w:rsid w:val="0069070D"/>
    <w:rsid w:val="006909D5"/>
    <w:rsid w:val="00690A0B"/>
    <w:rsid w:val="00690C37"/>
    <w:rsid w:val="00690E01"/>
    <w:rsid w:val="00690EBF"/>
    <w:rsid w:val="00690F15"/>
    <w:rsid w:val="00691188"/>
    <w:rsid w:val="00691410"/>
    <w:rsid w:val="006914F6"/>
    <w:rsid w:val="006916CF"/>
    <w:rsid w:val="0069185D"/>
    <w:rsid w:val="00691BB7"/>
    <w:rsid w:val="00691D74"/>
    <w:rsid w:val="00692102"/>
    <w:rsid w:val="006922CE"/>
    <w:rsid w:val="006922FE"/>
    <w:rsid w:val="00692470"/>
    <w:rsid w:val="006925E6"/>
    <w:rsid w:val="006926DE"/>
    <w:rsid w:val="0069290D"/>
    <w:rsid w:val="00692B8C"/>
    <w:rsid w:val="00692E29"/>
    <w:rsid w:val="00692E80"/>
    <w:rsid w:val="006930C4"/>
    <w:rsid w:val="0069318E"/>
    <w:rsid w:val="006935E5"/>
    <w:rsid w:val="006935F3"/>
    <w:rsid w:val="006936AB"/>
    <w:rsid w:val="00693A5A"/>
    <w:rsid w:val="00693B1E"/>
    <w:rsid w:val="00693B71"/>
    <w:rsid w:val="00693C69"/>
    <w:rsid w:val="00693C73"/>
    <w:rsid w:val="00693CD3"/>
    <w:rsid w:val="00693F0F"/>
    <w:rsid w:val="00693F7A"/>
    <w:rsid w:val="00694325"/>
    <w:rsid w:val="006944BC"/>
    <w:rsid w:val="0069455C"/>
    <w:rsid w:val="00694794"/>
    <w:rsid w:val="006947ED"/>
    <w:rsid w:val="0069488F"/>
    <w:rsid w:val="00694AF7"/>
    <w:rsid w:val="00694B3E"/>
    <w:rsid w:val="00694E63"/>
    <w:rsid w:val="00694F70"/>
    <w:rsid w:val="00695016"/>
    <w:rsid w:val="00695662"/>
    <w:rsid w:val="00695703"/>
    <w:rsid w:val="006957BC"/>
    <w:rsid w:val="006957C2"/>
    <w:rsid w:val="00695BF1"/>
    <w:rsid w:val="00695C84"/>
    <w:rsid w:val="00695F9E"/>
    <w:rsid w:val="0069615B"/>
    <w:rsid w:val="0069616D"/>
    <w:rsid w:val="006961FB"/>
    <w:rsid w:val="00696912"/>
    <w:rsid w:val="00696996"/>
    <w:rsid w:val="006969C6"/>
    <w:rsid w:val="00696B52"/>
    <w:rsid w:val="00696D6F"/>
    <w:rsid w:val="006971F9"/>
    <w:rsid w:val="0069780C"/>
    <w:rsid w:val="006979E1"/>
    <w:rsid w:val="00697B79"/>
    <w:rsid w:val="00697CF1"/>
    <w:rsid w:val="00697FB9"/>
    <w:rsid w:val="006A0053"/>
    <w:rsid w:val="006A00D0"/>
    <w:rsid w:val="006A013C"/>
    <w:rsid w:val="006A0394"/>
    <w:rsid w:val="006A04B3"/>
    <w:rsid w:val="006A0693"/>
    <w:rsid w:val="006A070F"/>
    <w:rsid w:val="006A09B4"/>
    <w:rsid w:val="006A0AD8"/>
    <w:rsid w:val="006A0B53"/>
    <w:rsid w:val="006A0C50"/>
    <w:rsid w:val="006A1166"/>
    <w:rsid w:val="006A11F4"/>
    <w:rsid w:val="006A1252"/>
    <w:rsid w:val="006A135E"/>
    <w:rsid w:val="006A1383"/>
    <w:rsid w:val="006A13F4"/>
    <w:rsid w:val="006A14ED"/>
    <w:rsid w:val="006A1677"/>
    <w:rsid w:val="006A18F9"/>
    <w:rsid w:val="006A1A86"/>
    <w:rsid w:val="006A1AE2"/>
    <w:rsid w:val="006A1CFA"/>
    <w:rsid w:val="006A230D"/>
    <w:rsid w:val="006A2492"/>
    <w:rsid w:val="006A2513"/>
    <w:rsid w:val="006A2A31"/>
    <w:rsid w:val="006A2CAF"/>
    <w:rsid w:val="006A2CE2"/>
    <w:rsid w:val="006A2E1E"/>
    <w:rsid w:val="006A2F3F"/>
    <w:rsid w:val="006A2FA0"/>
    <w:rsid w:val="006A3110"/>
    <w:rsid w:val="006A32E4"/>
    <w:rsid w:val="006A33BB"/>
    <w:rsid w:val="006A34E0"/>
    <w:rsid w:val="006A392A"/>
    <w:rsid w:val="006A3946"/>
    <w:rsid w:val="006A408B"/>
    <w:rsid w:val="006A40C5"/>
    <w:rsid w:val="006A44DE"/>
    <w:rsid w:val="006A4709"/>
    <w:rsid w:val="006A4DB3"/>
    <w:rsid w:val="006A4E13"/>
    <w:rsid w:val="006A5018"/>
    <w:rsid w:val="006A53B7"/>
    <w:rsid w:val="006A571E"/>
    <w:rsid w:val="006A5AD2"/>
    <w:rsid w:val="006A5B21"/>
    <w:rsid w:val="006A5C0D"/>
    <w:rsid w:val="006A5D5F"/>
    <w:rsid w:val="006A6161"/>
    <w:rsid w:val="006A631D"/>
    <w:rsid w:val="006A681B"/>
    <w:rsid w:val="006A68BE"/>
    <w:rsid w:val="006A6B88"/>
    <w:rsid w:val="006A70C0"/>
    <w:rsid w:val="006A71C8"/>
    <w:rsid w:val="006A7290"/>
    <w:rsid w:val="006A7451"/>
    <w:rsid w:val="006A76A8"/>
    <w:rsid w:val="006A79FE"/>
    <w:rsid w:val="006A7A04"/>
    <w:rsid w:val="006A7CF0"/>
    <w:rsid w:val="006A7D0F"/>
    <w:rsid w:val="006A7F6F"/>
    <w:rsid w:val="006B02F7"/>
    <w:rsid w:val="006B05E9"/>
    <w:rsid w:val="006B0661"/>
    <w:rsid w:val="006B0664"/>
    <w:rsid w:val="006B0877"/>
    <w:rsid w:val="006B0C0D"/>
    <w:rsid w:val="006B0EC1"/>
    <w:rsid w:val="006B0F45"/>
    <w:rsid w:val="006B101C"/>
    <w:rsid w:val="006B1118"/>
    <w:rsid w:val="006B1459"/>
    <w:rsid w:val="006B14B7"/>
    <w:rsid w:val="006B14C7"/>
    <w:rsid w:val="006B171A"/>
    <w:rsid w:val="006B1CC5"/>
    <w:rsid w:val="006B1D4B"/>
    <w:rsid w:val="006B1DB2"/>
    <w:rsid w:val="006B1FC1"/>
    <w:rsid w:val="006B2023"/>
    <w:rsid w:val="006B203E"/>
    <w:rsid w:val="006B223C"/>
    <w:rsid w:val="006B22DF"/>
    <w:rsid w:val="006B2355"/>
    <w:rsid w:val="006B24E8"/>
    <w:rsid w:val="006B2652"/>
    <w:rsid w:val="006B2BA7"/>
    <w:rsid w:val="006B3254"/>
    <w:rsid w:val="006B3404"/>
    <w:rsid w:val="006B374B"/>
    <w:rsid w:val="006B3798"/>
    <w:rsid w:val="006B389E"/>
    <w:rsid w:val="006B397C"/>
    <w:rsid w:val="006B3F90"/>
    <w:rsid w:val="006B420B"/>
    <w:rsid w:val="006B444E"/>
    <w:rsid w:val="006B452A"/>
    <w:rsid w:val="006B455F"/>
    <w:rsid w:val="006B4926"/>
    <w:rsid w:val="006B4BCD"/>
    <w:rsid w:val="006B4CC9"/>
    <w:rsid w:val="006B57F4"/>
    <w:rsid w:val="006B5816"/>
    <w:rsid w:val="006B598B"/>
    <w:rsid w:val="006B5A05"/>
    <w:rsid w:val="006B5C42"/>
    <w:rsid w:val="006B5F0B"/>
    <w:rsid w:val="006B613B"/>
    <w:rsid w:val="006B6142"/>
    <w:rsid w:val="006B664F"/>
    <w:rsid w:val="006B68F7"/>
    <w:rsid w:val="006B6A64"/>
    <w:rsid w:val="006B6BB4"/>
    <w:rsid w:val="006B6D5C"/>
    <w:rsid w:val="006B6F3A"/>
    <w:rsid w:val="006B70C6"/>
    <w:rsid w:val="006B7351"/>
    <w:rsid w:val="006B7772"/>
    <w:rsid w:val="006B786F"/>
    <w:rsid w:val="006B789A"/>
    <w:rsid w:val="006B78E0"/>
    <w:rsid w:val="006B7A30"/>
    <w:rsid w:val="006B7B73"/>
    <w:rsid w:val="006B7F8E"/>
    <w:rsid w:val="006C03A3"/>
    <w:rsid w:val="006C03A8"/>
    <w:rsid w:val="006C05DC"/>
    <w:rsid w:val="006C07A9"/>
    <w:rsid w:val="006C07DC"/>
    <w:rsid w:val="006C09C5"/>
    <w:rsid w:val="006C0AEE"/>
    <w:rsid w:val="006C0B7B"/>
    <w:rsid w:val="006C0D63"/>
    <w:rsid w:val="006C0D8C"/>
    <w:rsid w:val="006C0DB5"/>
    <w:rsid w:val="006C1104"/>
    <w:rsid w:val="006C14C3"/>
    <w:rsid w:val="006C14DA"/>
    <w:rsid w:val="006C1684"/>
    <w:rsid w:val="006C1F16"/>
    <w:rsid w:val="006C1FEE"/>
    <w:rsid w:val="006C21A6"/>
    <w:rsid w:val="006C2202"/>
    <w:rsid w:val="006C23F1"/>
    <w:rsid w:val="006C25DE"/>
    <w:rsid w:val="006C26E1"/>
    <w:rsid w:val="006C29F5"/>
    <w:rsid w:val="006C2BB8"/>
    <w:rsid w:val="006C2FBA"/>
    <w:rsid w:val="006C31CB"/>
    <w:rsid w:val="006C3456"/>
    <w:rsid w:val="006C34E8"/>
    <w:rsid w:val="006C3B47"/>
    <w:rsid w:val="006C3DCE"/>
    <w:rsid w:val="006C3DD1"/>
    <w:rsid w:val="006C3ED7"/>
    <w:rsid w:val="006C42D0"/>
    <w:rsid w:val="006C489D"/>
    <w:rsid w:val="006C49F1"/>
    <w:rsid w:val="006C4A43"/>
    <w:rsid w:val="006C4C16"/>
    <w:rsid w:val="006C4C26"/>
    <w:rsid w:val="006C4F8D"/>
    <w:rsid w:val="006C5ADA"/>
    <w:rsid w:val="006C5C16"/>
    <w:rsid w:val="006C5C97"/>
    <w:rsid w:val="006C5FC9"/>
    <w:rsid w:val="006C6000"/>
    <w:rsid w:val="006C6689"/>
    <w:rsid w:val="006C6711"/>
    <w:rsid w:val="006C68EF"/>
    <w:rsid w:val="006C6AEE"/>
    <w:rsid w:val="006C6DF3"/>
    <w:rsid w:val="006C6EB1"/>
    <w:rsid w:val="006C6FD3"/>
    <w:rsid w:val="006C6FFF"/>
    <w:rsid w:val="006C7089"/>
    <w:rsid w:val="006C7151"/>
    <w:rsid w:val="006C724A"/>
    <w:rsid w:val="006C737F"/>
    <w:rsid w:val="006C7729"/>
    <w:rsid w:val="006C782E"/>
    <w:rsid w:val="006C79BE"/>
    <w:rsid w:val="006C7C4D"/>
    <w:rsid w:val="006C7C9B"/>
    <w:rsid w:val="006C7FA4"/>
    <w:rsid w:val="006D0201"/>
    <w:rsid w:val="006D0262"/>
    <w:rsid w:val="006D0483"/>
    <w:rsid w:val="006D065C"/>
    <w:rsid w:val="006D06E5"/>
    <w:rsid w:val="006D08E2"/>
    <w:rsid w:val="006D0D21"/>
    <w:rsid w:val="006D14EE"/>
    <w:rsid w:val="006D1506"/>
    <w:rsid w:val="006D17FE"/>
    <w:rsid w:val="006D1A7E"/>
    <w:rsid w:val="006D1CC9"/>
    <w:rsid w:val="006D1D73"/>
    <w:rsid w:val="006D20A7"/>
    <w:rsid w:val="006D2191"/>
    <w:rsid w:val="006D23E0"/>
    <w:rsid w:val="006D24D1"/>
    <w:rsid w:val="006D2948"/>
    <w:rsid w:val="006D2A9D"/>
    <w:rsid w:val="006D2AA2"/>
    <w:rsid w:val="006D2C2D"/>
    <w:rsid w:val="006D2E22"/>
    <w:rsid w:val="006D2F28"/>
    <w:rsid w:val="006D3176"/>
    <w:rsid w:val="006D31C8"/>
    <w:rsid w:val="006D338C"/>
    <w:rsid w:val="006D33E3"/>
    <w:rsid w:val="006D3491"/>
    <w:rsid w:val="006D3547"/>
    <w:rsid w:val="006D35F6"/>
    <w:rsid w:val="006D39AC"/>
    <w:rsid w:val="006D3BD9"/>
    <w:rsid w:val="006D40FF"/>
    <w:rsid w:val="006D42C1"/>
    <w:rsid w:val="006D4499"/>
    <w:rsid w:val="006D44C2"/>
    <w:rsid w:val="006D48BF"/>
    <w:rsid w:val="006D4D31"/>
    <w:rsid w:val="006D4E45"/>
    <w:rsid w:val="006D4FFF"/>
    <w:rsid w:val="006D50E4"/>
    <w:rsid w:val="006D521E"/>
    <w:rsid w:val="006D5240"/>
    <w:rsid w:val="006D5312"/>
    <w:rsid w:val="006D5415"/>
    <w:rsid w:val="006D551C"/>
    <w:rsid w:val="006D57CF"/>
    <w:rsid w:val="006D589F"/>
    <w:rsid w:val="006D5C36"/>
    <w:rsid w:val="006D5DDF"/>
    <w:rsid w:val="006D624F"/>
    <w:rsid w:val="006D6371"/>
    <w:rsid w:val="006D6419"/>
    <w:rsid w:val="006D64BF"/>
    <w:rsid w:val="006D6661"/>
    <w:rsid w:val="006D6704"/>
    <w:rsid w:val="006D6753"/>
    <w:rsid w:val="006D6951"/>
    <w:rsid w:val="006D6AE2"/>
    <w:rsid w:val="006D6D74"/>
    <w:rsid w:val="006D706E"/>
    <w:rsid w:val="006D76C7"/>
    <w:rsid w:val="006D79F5"/>
    <w:rsid w:val="006D7CDA"/>
    <w:rsid w:val="006D7D8A"/>
    <w:rsid w:val="006D7DA0"/>
    <w:rsid w:val="006E010D"/>
    <w:rsid w:val="006E012D"/>
    <w:rsid w:val="006E01F8"/>
    <w:rsid w:val="006E051B"/>
    <w:rsid w:val="006E0A29"/>
    <w:rsid w:val="006E0C03"/>
    <w:rsid w:val="006E0C78"/>
    <w:rsid w:val="006E0D93"/>
    <w:rsid w:val="006E0F19"/>
    <w:rsid w:val="006E102D"/>
    <w:rsid w:val="006E109B"/>
    <w:rsid w:val="006E10CA"/>
    <w:rsid w:val="006E13BF"/>
    <w:rsid w:val="006E13E5"/>
    <w:rsid w:val="006E143F"/>
    <w:rsid w:val="006E1443"/>
    <w:rsid w:val="006E18AC"/>
    <w:rsid w:val="006E1A5C"/>
    <w:rsid w:val="006E1B50"/>
    <w:rsid w:val="006E1D01"/>
    <w:rsid w:val="006E1E1F"/>
    <w:rsid w:val="006E2156"/>
    <w:rsid w:val="006E2782"/>
    <w:rsid w:val="006E2812"/>
    <w:rsid w:val="006E287C"/>
    <w:rsid w:val="006E29AA"/>
    <w:rsid w:val="006E2C03"/>
    <w:rsid w:val="006E2E98"/>
    <w:rsid w:val="006E30D5"/>
    <w:rsid w:val="006E3174"/>
    <w:rsid w:val="006E334A"/>
    <w:rsid w:val="006E345F"/>
    <w:rsid w:val="006E371F"/>
    <w:rsid w:val="006E387A"/>
    <w:rsid w:val="006E3B00"/>
    <w:rsid w:val="006E3CB3"/>
    <w:rsid w:val="006E3E5C"/>
    <w:rsid w:val="006E3F64"/>
    <w:rsid w:val="006E4359"/>
    <w:rsid w:val="006E43B6"/>
    <w:rsid w:val="006E43D3"/>
    <w:rsid w:val="006E44FB"/>
    <w:rsid w:val="006E451C"/>
    <w:rsid w:val="006E465F"/>
    <w:rsid w:val="006E4733"/>
    <w:rsid w:val="006E4888"/>
    <w:rsid w:val="006E4941"/>
    <w:rsid w:val="006E4CDA"/>
    <w:rsid w:val="006E4D3B"/>
    <w:rsid w:val="006E4E08"/>
    <w:rsid w:val="006E4E19"/>
    <w:rsid w:val="006E4ECC"/>
    <w:rsid w:val="006E50AD"/>
    <w:rsid w:val="006E540A"/>
    <w:rsid w:val="006E577A"/>
    <w:rsid w:val="006E5A18"/>
    <w:rsid w:val="006E5BD0"/>
    <w:rsid w:val="006E5CC8"/>
    <w:rsid w:val="006E5DE1"/>
    <w:rsid w:val="006E60C8"/>
    <w:rsid w:val="006E62BD"/>
    <w:rsid w:val="006E6461"/>
    <w:rsid w:val="006E67D8"/>
    <w:rsid w:val="006E6D12"/>
    <w:rsid w:val="006E6E73"/>
    <w:rsid w:val="006E70B2"/>
    <w:rsid w:val="006E7141"/>
    <w:rsid w:val="006E7231"/>
    <w:rsid w:val="006E7931"/>
    <w:rsid w:val="006E7CE8"/>
    <w:rsid w:val="006E7F0F"/>
    <w:rsid w:val="006F031D"/>
    <w:rsid w:val="006F03F7"/>
    <w:rsid w:val="006F0409"/>
    <w:rsid w:val="006F09D0"/>
    <w:rsid w:val="006F0A66"/>
    <w:rsid w:val="006F0B6D"/>
    <w:rsid w:val="006F0BC7"/>
    <w:rsid w:val="006F0C86"/>
    <w:rsid w:val="006F111F"/>
    <w:rsid w:val="006F1592"/>
    <w:rsid w:val="006F15CB"/>
    <w:rsid w:val="006F17E9"/>
    <w:rsid w:val="006F1BA6"/>
    <w:rsid w:val="006F1C03"/>
    <w:rsid w:val="006F1C4B"/>
    <w:rsid w:val="006F1FA7"/>
    <w:rsid w:val="006F1FD9"/>
    <w:rsid w:val="006F2081"/>
    <w:rsid w:val="006F2121"/>
    <w:rsid w:val="006F224F"/>
    <w:rsid w:val="006F228C"/>
    <w:rsid w:val="006F22B5"/>
    <w:rsid w:val="006F26B4"/>
    <w:rsid w:val="006F2A1E"/>
    <w:rsid w:val="006F2C3F"/>
    <w:rsid w:val="006F2DB0"/>
    <w:rsid w:val="006F2ED2"/>
    <w:rsid w:val="006F3561"/>
    <w:rsid w:val="006F407D"/>
    <w:rsid w:val="006F4499"/>
    <w:rsid w:val="006F44A6"/>
    <w:rsid w:val="006F4944"/>
    <w:rsid w:val="006F4C5E"/>
    <w:rsid w:val="006F4CCB"/>
    <w:rsid w:val="006F4ECF"/>
    <w:rsid w:val="006F4FED"/>
    <w:rsid w:val="006F5002"/>
    <w:rsid w:val="006F50F7"/>
    <w:rsid w:val="006F5220"/>
    <w:rsid w:val="006F524F"/>
    <w:rsid w:val="006F52A4"/>
    <w:rsid w:val="006F53A5"/>
    <w:rsid w:val="006F5621"/>
    <w:rsid w:val="006F5769"/>
    <w:rsid w:val="006F5BDD"/>
    <w:rsid w:val="006F5E17"/>
    <w:rsid w:val="006F6016"/>
    <w:rsid w:val="006F62AD"/>
    <w:rsid w:val="006F62EB"/>
    <w:rsid w:val="006F62EF"/>
    <w:rsid w:val="006F63B6"/>
    <w:rsid w:val="006F6438"/>
    <w:rsid w:val="006F6591"/>
    <w:rsid w:val="006F6592"/>
    <w:rsid w:val="006F671B"/>
    <w:rsid w:val="006F6769"/>
    <w:rsid w:val="006F677A"/>
    <w:rsid w:val="006F6B08"/>
    <w:rsid w:val="006F6B93"/>
    <w:rsid w:val="006F6D86"/>
    <w:rsid w:val="006F6EF6"/>
    <w:rsid w:val="006F7191"/>
    <w:rsid w:val="006F7481"/>
    <w:rsid w:val="006F7772"/>
    <w:rsid w:val="006F7FB9"/>
    <w:rsid w:val="007007C8"/>
    <w:rsid w:val="007007E8"/>
    <w:rsid w:val="007009CA"/>
    <w:rsid w:val="00700C10"/>
    <w:rsid w:val="00700FB8"/>
    <w:rsid w:val="00700FC1"/>
    <w:rsid w:val="00701447"/>
    <w:rsid w:val="00701641"/>
    <w:rsid w:val="0070178A"/>
    <w:rsid w:val="00701802"/>
    <w:rsid w:val="00701C71"/>
    <w:rsid w:val="00701D04"/>
    <w:rsid w:val="00701D77"/>
    <w:rsid w:val="00701EB1"/>
    <w:rsid w:val="00702124"/>
    <w:rsid w:val="00702310"/>
    <w:rsid w:val="007023A4"/>
    <w:rsid w:val="00702761"/>
    <w:rsid w:val="007028CB"/>
    <w:rsid w:val="00702D08"/>
    <w:rsid w:val="00702D79"/>
    <w:rsid w:val="00702E4A"/>
    <w:rsid w:val="0070351E"/>
    <w:rsid w:val="007036DB"/>
    <w:rsid w:val="0070379B"/>
    <w:rsid w:val="00703C3D"/>
    <w:rsid w:val="00703CE9"/>
    <w:rsid w:val="00703FE4"/>
    <w:rsid w:val="0070426A"/>
    <w:rsid w:val="00704521"/>
    <w:rsid w:val="0070455C"/>
    <w:rsid w:val="007048DA"/>
    <w:rsid w:val="00704CA1"/>
    <w:rsid w:val="00704DBA"/>
    <w:rsid w:val="00704E6A"/>
    <w:rsid w:val="00705318"/>
    <w:rsid w:val="007056D9"/>
    <w:rsid w:val="00705703"/>
    <w:rsid w:val="00705AEA"/>
    <w:rsid w:val="00705D73"/>
    <w:rsid w:val="00705DFD"/>
    <w:rsid w:val="0070616D"/>
    <w:rsid w:val="007063B3"/>
    <w:rsid w:val="007063F4"/>
    <w:rsid w:val="00706696"/>
    <w:rsid w:val="0070683C"/>
    <w:rsid w:val="00706893"/>
    <w:rsid w:val="00706A5E"/>
    <w:rsid w:val="00706ACF"/>
    <w:rsid w:val="00706E4C"/>
    <w:rsid w:val="007070CE"/>
    <w:rsid w:val="0070713B"/>
    <w:rsid w:val="007071A7"/>
    <w:rsid w:val="007071B1"/>
    <w:rsid w:val="007072CD"/>
    <w:rsid w:val="007073FA"/>
    <w:rsid w:val="00707670"/>
    <w:rsid w:val="007077B0"/>
    <w:rsid w:val="007077B3"/>
    <w:rsid w:val="0070796F"/>
    <w:rsid w:val="00707CF5"/>
    <w:rsid w:val="00707D19"/>
    <w:rsid w:val="00707E9B"/>
    <w:rsid w:val="0071006C"/>
    <w:rsid w:val="0071015C"/>
    <w:rsid w:val="007102ED"/>
    <w:rsid w:val="007104DF"/>
    <w:rsid w:val="007108C2"/>
    <w:rsid w:val="007109C3"/>
    <w:rsid w:val="00710BE7"/>
    <w:rsid w:val="00710FDD"/>
    <w:rsid w:val="0071102F"/>
    <w:rsid w:val="00711116"/>
    <w:rsid w:val="00711130"/>
    <w:rsid w:val="007114EA"/>
    <w:rsid w:val="00711FAB"/>
    <w:rsid w:val="00712131"/>
    <w:rsid w:val="007123F0"/>
    <w:rsid w:val="00712494"/>
    <w:rsid w:val="007124E2"/>
    <w:rsid w:val="0071263A"/>
    <w:rsid w:val="007126E9"/>
    <w:rsid w:val="00713169"/>
    <w:rsid w:val="00713494"/>
    <w:rsid w:val="007136FD"/>
    <w:rsid w:val="00713867"/>
    <w:rsid w:val="00713A66"/>
    <w:rsid w:val="00713F88"/>
    <w:rsid w:val="00713F94"/>
    <w:rsid w:val="00714155"/>
    <w:rsid w:val="007145C6"/>
    <w:rsid w:val="007146B8"/>
    <w:rsid w:val="00714757"/>
    <w:rsid w:val="00715616"/>
    <w:rsid w:val="00715618"/>
    <w:rsid w:val="00715775"/>
    <w:rsid w:val="00715878"/>
    <w:rsid w:val="00715930"/>
    <w:rsid w:val="00715B16"/>
    <w:rsid w:val="00715BB2"/>
    <w:rsid w:val="00715C5D"/>
    <w:rsid w:val="00715E05"/>
    <w:rsid w:val="0071618F"/>
    <w:rsid w:val="007161F5"/>
    <w:rsid w:val="00716371"/>
    <w:rsid w:val="0071660B"/>
    <w:rsid w:val="007166E4"/>
    <w:rsid w:val="0071675C"/>
    <w:rsid w:val="0071693C"/>
    <w:rsid w:val="00716A08"/>
    <w:rsid w:val="00716A1C"/>
    <w:rsid w:val="00716A81"/>
    <w:rsid w:val="00716AA9"/>
    <w:rsid w:val="00716AAC"/>
    <w:rsid w:val="00716CF8"/>
    <w:rsid w:val="00716DB1"/>
    <w:rsid w:val="00716EE7"/>
    <w:rsid w:val="00717003"/>
    <w:rsid w:val="007175AE"/>
    <w:rsid w:val="007175F8"/>
    <w:rsid w:val="007179C9"/>
    <w:rsid w:val="00717DC3"/>
    <w:rsid w:val="007200B8"/>
    <w:rsid w:val="00720176"/>
    <w:rsid w:val="007201AF"/>
    <w:rsid w:val="007203D1"/>
    <w:rsid w:val="00720667"/>
    <w:rsid w:val="00720801"/>
    <w:rsid w:val="00720D14"/>
    <w:rsid w:val="00721540"/>
    <w:rsid w:val="00721779"/>
    <w:rsid w:val="00721AD2"/>
    <w:rsid w:val="00721AED"/>
    <w:rsid w:val="00721BD0"/>
    <w:rsid w:val="00721FF6"/>
    <w:rsid w:val="00722072"/>
    <w:rsid w:val="007220AE"/>
    <w:rsid w:val="007222F9"/>
    <w:rsid w:val="0072236C"/>
    <w:rsid w:val="00722395"/>
    <w:rsid w:val="007226C2"/>
    <w:rsid w:val="00722908"/>
    <w:rsid w:val="00722B02"/>
    <w:rsid w:val="00722C78"/>
    <w:rsid w:val="00722F0D"/>
    <w:rsid w:val="00722FE2"/>
    <w:rsid w:val="007230DE"/>
    <w:rsid w:val="00723172"/>
    <w:rsid w:val="0072321A"/>
    <w:rsid w:val="0072356C"/>
    <w:rsid w:val="0072363C"/>
    <w:rsid w:val="00723BA2"/>
    <w:rsid w:val="00723CBF"/>
    <w:rsid w:val="00723F8A"/>
    <w:rsid w:val="0072429A"/>
    <w:rsid w:val="007245B2"/>
    <w:rsid w:val="00724602"/>
    <w:rsid w:val="00724687"/>
    <w:rsid w:val="007248B1"/>
    <w:rsid w:val="00724A55"/>
    <w:rsid w:val="00724D82"/>
    <w:rsid w:val="00725117"/>
    <w:rsid w:val="0072535C"/>
    <w:rsid w:val="0072549C"/>
    <w:rsid w:val="0072551E"/>
    <w:rsid w:val="007256AA"/>
    <w:rsid w:val="007257AD"/>
    <w:rsid w:val="00725814"/>
    <w:rsid w:val="00725B57"/>
    <w:rsid w:val="00725C45"/>
    <w:rsid w:val="00725CF7"/>
    <w:rsid w:val="00725E0A"/>
    <w:rsid w:val="00725FAE"/>
    <w:rsid w:val="007262DD"/>
    <w:rsid w:val="007264E0"/>
    <w:rsid w:val="007264FF"/>
    <w:rsid w:val="007265B8"/>
    <w:rsid w:val="007265BA"/>
    <w:rsid w:val="00726D18"/>
    <w:rsid w:val="00726EAA"/>
    <w:rsid w:val="00727663"/>
    <w:rsid w:val="00727706"/>
    <w:rsid w:val="007278A3"/>
    <w:rsid w:val="00727AE9"/>
    <w:rsid w:val="00727B0F"/>
    <w:rsid w:val="00727CCC"/>
    <w:rsid w:val="00727D6F"/>
    <w:rsid w:val="0073071F"/>
    <w:rsid w:val="00730722"/>
    <w:rsid w:val="007308F0"/>
    <w:rsid w:val="00730DE7"/>
    <w:rsid w:val="00730E1E"/>
    <w:rsid w:val="0073102C"/>
    <w:rsid w:val="007314A9"/>
    <w:rsid w:val="007314B3"/>
    <w:rsid w:val="007314E8"/>
    <w:rsid w:val="007314ED"/>
    <w:rsid w:val="0073187E"/>
    <w:rsid w:val="00731939"/>
    <w:rsid w:val="00731947"/>
    <w:rsid w:val="00731B12"/>
    <w:rsid w:val="00731C56"/>
    <w:rsid w:val="00731D98"/>
    <w:rsid w:val="007320B4"/>
    <w:rsid w:val="007320D3"/>
    <w:rsid w:val="007324B4"/>
    <w:rsid w:val="00732509"/>
    <w:rsid w:val="007328D9"/>
    <w:rsid w:val="00732943"/>
    <w:rsid w:val="00733069"/>
    <w:rsid w:val="00733248"/>
    <w:rsid w:val="00733378"/>
    <w:rsid w:val="00733995"/>
    <w:rsid w:val="00733C97"/>
    <w:rsid w:val="00733D78"/>
    <w:rsid w:val="00733FDB"/>
    <w:rsid w:val="00734071"/>
    <w:rsid w:val="007341E8"/>
    <w:rsid w:val="007342A5"/>
    <w:rsid w:val="00734324"/>
    <w:rsid w:val="00734346"/>
    <w:rsid w:val="00734511"/>
    <w:rsid w:val="0073481C"/>
    <w:rsid w:val="00734ABB"/>
    <w:rsid w:val="00734C19"/>
    <w:rsid w:val="00734D4C"/>
    <w:rsid w:val="00734ED6"/>
    <w:rsid w:val="00735185"/>
    <w:rsid w:val="00735319"/>
    <w:rsid w:val="00735540"/>
    <w:rsid w:val="007355EF"/>
    <w:rsid w:val="007359AC"/>
    <w:rsid w:val="00735A84"/>
    <w:rsid w:val="00735C94"/>
    <w:rsid w:val="00735EDA"/>
    <w:rsid w:val="00735FFD"/>
    <w:rsid w:val="007362E4"/>
    <w:rsid w:val="0073634F"/>
    <w:rsid w:val="007364AE"/>
    <w:rsid w:val="00736593"/>
    <w:rsid w:val="007366AC"/>
    <w:rsid w:val="00736E9E"/>
    <w:rsid w:val="00736FEA"/>
    <w:rsid w:val="00737273"/>
    <w:rsid w:val="00737636"/>
    <w:rsid w:val="00737C2F"/>
    <w:rsid w:val="00740045"/>
    <w:rsid w:val="0074010C"/>
    <w:rsid w:val="00740707"/>
    <w:rsid w:val="00740C47"/>
    <w:rsid w:val="00740D0B"/>
    <w:rsid w:val="00740EB8"/>
    <w:rsid w:val="00740F62"/>
    <w:rsid w:val="00741035"/>
    <w:rsid w:val="0074127D"/>
    <w:rsid w:val="007412BE"/>
    <w:rsid w:val="007413DA"/>
    <w:rsid w:val="007414F9"/>
    <w:rsid w:val="0074159F"/>
    <w:rsid w:val="00741673"/>
    <w:rsid w:val="0074167F"/>
    <w:rsid w:val="007418F4"/>
    <w:rsid w:val="007418FB"/>
    <w:rsid w:val="00741B27"/>
    <w:rsid w:val="00741E18"/>
    <w:rsid w:val="00741E25"/>
    <w:rsid w:val="00741E59"/>
    <w:rsid w:val="007423ED"/>
    <w:rsid w:val="00742447"/>
    <w:rsid w:val="00742488"/>
    <w:rsid w:val="00742653"/>
    <w:rsid w:val="007427F8"/>
    <w:rsid w:val="007428D0"/>
    <w:rsid w:val="00742C89"/>
    <w:rsid w:val="00742CD1"/>
    <w:rsid w:val="00742EBF"/>
    <w:rsid w:val="00742F95"/>
    <w:rsid w:val="0074324A"/>
    <w:rsid w:val="0074343F"/>
    <w:rsid w:val="00743959"/>
    <w:rsid w:val="0074396A"/>
    <w:rsid w:val="00743A94"/>
    <w:rsid w:val="00743CBC"/>
    <w:rsid w:val="007440B4"/>
    <w:rsid w:val="007440CB"/>
    <w:rsid w:val="00744288"/>
    <w:rsid w:val="00744594"/>
    <w:rsid w:val="007446CF"/>
    <w:rsid w:val="0074487A"/>
    <w:rsid w:val="00744C79"/>
    <w:rsid w:val="00744F3D"/>
    <w:rsid w:val="00745319"/>
    <w:rsid w:val="0074572F"/>
    <w:rsid w:val="00745C13"/>
    <w:rsid w:val="00745C1E"/>
    <w:rsid w:val="00745D83"/>
    <w:rsid w:val="00745E18"/>
    <w:rsid w:val="007462B0"/>
    <w:rsid w:val="007466DB"/>
    <w:rsid w:val="007466F3"/>
    <w:rsid w:val="00746A4B"/>
    <w:rsid w:val="00746C07"/>
    <w:rsid w:val="00746DE1"/>
    <w:rsid w:val="007470E8"/>
    <w:rsid w:val="00747207"/>
    <w:rsid w:val="00747286"/>
    <w:rsid w:val="00747315"/>
    <w:rsid w:val="00747497"/>
    <w:rsid w:val="00747532"/>
    <w:rsid w:val="00747667"/>
    <w:rsid w:val="00747905"/>
    <w:rsid w:val="00747A91"/>
    <w:rsid w:val="00747B3F"/>
    <w:rsid w:val="00747DEB"/>
    <w:rsid w:val="00747F33"/>
    <w:rsid w:val="00750441"/>
    <w:rsid w:val="007504E8"/>
    <w:rsid w:val="00750618"/>
    <w:rsid w:val="0075078E"/>
    <w:rsid w:val="00750795"/>
    <w:rsid w:val="00750B52"/>
    <w:rsid w:val="00750DC6"/>
    <w:rsid w:val="0075110F"/>
    <w:rsid w:val="007511C5"/>
    <w:rsid w:val="00751217"/>
    <w:rsid w:val="007512BA"/>
    <w:rsid w:val="007513B3"/>
    <w:rsid w:val="007513D4"/>
    <w:rsid w:val="007514B5"/>
    <w:rsid w:val="007519B5"/>
    <w:rsid w:val="00751AAE"/>
    <w:rsid w:val="00751AEE"/>
    <w:rsid w:val="00751B79"/>
    <w:rsid w:val="00751CF7"/>
    <w:rsid w:val="00751F39"/>
    <w:rsid w:val="00751FEB"/>
    <w:rsid w:val="0075265E"/>
    <w:rsid w:val="0075267F"/>
    <w:rsid w:val="0075281C"/>
    <w:rsid w:val="00752961"/>
    <w:rsid w:val="00752AE7"/>
    <w:rsid w:val="00752FD1"/>
    <w:rsid w:val="007531E6"/>
    <w:rsid w:val="007531EF"/>
    <w:rsid w:val="00753453"/>
    <w:rsid w:val="00753878"/>
    <w:rsid w:val="00753891"/>
    <w:rsid w:val="007539AE"/>
    <w:rsid w:val="00753A1D"/>
    <w:rsid w:val="00753B6E"/>
    <w:rsid w:val="00753DBB"/>
    <w:rsid w:val="00753FFD"/>
    <w:rsid w:val="00754693"/>
    <w:rsid w:val="00754A5D"/>
    <w:rsid w:val="00754C07"/>
    <w:rsid w:val="00754C0D"/>
    <w:rsid w:val="00754EF0"/>
    <w:rsid w:val="007552E3"/>
    <w:rsid w:val="00755516"/>
    <w:rsid w:val="00755586"/>
    <w:rsid w:val="00755780"/>
    <w:rsid w:val="007559EF"/>
    <w:rsid w:val="00755B5F"/>
    <w:rsid w:val="00755DF8"/>
    <w:rsid w:val="00756159"/>
    <w:rsid w:val="00756229"/>
    <w:rsid w:val="0075626B"/>
    <w:rsid w:val="00756329"/>
    <w:rsid w:val="00756822"/>
    <w:rsid w:val="00756C02"/>
    <w:rsid w:val="00756D6F"/>
    <w:rsid w:val="00756E48"/>
    <w:rsid w:val="007571BD"/>
    <w:rsid w:val="00757270"/>
    <w:rsid w:val="00757E25"/>
    <w:rsid w:val="00757F89"/>
    <w:rsid w:val="00760030"/>
    <w:rsid w:val="0076007E"/>
    <w:rsid w:val="00760315"/>
    <w:rsid w:val="007603DD"/>
    <w:rsid w:val="007603EB"/>
    <w:rsid w:val="007604BE"/>
    <w:rsid w:val="00760BF3"/>
    <w:rsid w:val="00760DFF"/>
    <w:rsid w:val="00760E49"/>
    <w:rsid w:val="00760F33"/>
    <w:rsid w:val="007614E4"/>
    <w:rsid w:val="00761717"/>
    <w:rsid w:val="00761884"/>
    <w:rsid w:val="00761D74"/>
    <w:rsid w:val="00761DB0"/>
    <w:rsid w:val="00761EC4"/>
    <w:rsid w:val="00761ED0"/>
    <w:rsid w:val="00761F97"/>
    <w:rsid w:val="007626B5"/>
    <w:rsid w:val="00762889"/>
    <w:rsid w:val="00762ACF"/>
    <w:rsid w:val="00762AE1"/>
    <w:rsid w:val="00762D90"/>
    <w:rsid w:val="0076319E"/>
    <w:rsid w:val="00763301"/>
    <w:rsid w:val="00763522"/>
    <w:rsid w:val="0076363D"/>
    <w:rsid w:val="00763658"/>
    <w:rsid w:val="00763835"/>
    <w:rsid w:val="007638C5"/>
    <w:rsid w:val="00763A0A"/>
    <w:rsid w:val="0076439F"/>
    <w:rsid w:val="00764528"/>
    <w:rsid w:val="007649BF"/>
    <w:rsid w:val="00764F74"/>
    <w:rsid w:val="00765014"/>
    <w:rsid w:val="007650F6"/>
    <w:rsid w:val="00765A4C"/>
    <w:rsid w:val="0076608B"/>
    <w:rsid w:val="00766109"/>
    <w:rsid w:val="00766209"/>
    <w:rsid w:val="007664B1"/>
    <w:rsid w:val="007666B5"/>
    <w:rsid w:val="0076670C"/>
    <w:rsid w:val="00766760"/>
    <w:rsid w:val="00766776"/>
    <w:rsid w:val="0076689A"/>
    <w:rsid w:val="007669A8"/>
    <w:rsid w:val="00766B00"/>
    <w:rsid w:val="00766BD5"/>
    <w:rsid w:val="0076710D"/>
    <w:rsid w:val="007671A5"/>
    <w:rsid w:val="007673B2"/>
    <w:rsid w:val="007673B6"/>
    <w:rsid w:val="007673CA"/>
    <w:rsid w:val="007675AF"/>
    <w:rsid w:val="00767617"/>
    <w:rsid w:val="00767B1F"/>
    <w:rsid w:val="00767BDB"/>
    <w:rsid w:val="00767C09"/>
    <w:rsid w:val="00770085"/>
    <w:rsid w:val="00770115"/>
    <w:rsid w:val="007701F9"/>
    <w:rsid w:val="0077039D"/>
    <w:rsid w:val="007703B5"/>
    <w:rsid w:val="007705C7"/>
    <w:rsid w:val="00770606"/>
    <w:rsid w:val="00770704"/>
    <w:rsid w:val="00770B7C"/>
    <w:rsid w:val="00770C30"/>
    <w:rsid w:val="00770DF1"/>
    <w:rsid w:val="00770FFB"/>
    <w:rsid w:val="007710C3"/>
    <w:rsid w:val="007713F8"/>
    <w:rsid w:val="0077140C"/>
    <w:rsid w:val="00771492"/>
    <w:rsid w:val="007715FC"/>
    <w:rsid w:val="0077178C"/>
    <w:rsid w:val="007717E0"/>
    <w:rsid w:val="00771865"/>
    <w:rsid w:val="00771BC0"/>
    <w:rsid w:val="00771CA4"/>
    <w:rsid w:val="00771F53"/>
    <w:rsid w:val="007726D8"/>
    <w:rsid w:val="007727F7"/>
    <w:rsid w:val="00772D99"/>
    <w:rsid w:val="00772DB2"/>
    <w:rsid w:val="007736B2"/>
    <w:rsid w:val="00773941"/>
    <w:rsid w:val="00773AD3"/>
    <w:rsid w:val="00773C89"/>
    <w:rsid w:val="00773ECC"/>
    <w:rsid w:val="00773FB4"/>
    <w:rsid w:val="00774045"/>
    <w:rsid w:val="007740FE"/>
    <w:rsid w:val="007743FE"/>
    <w:rsid w:val="007744D5"/>
    <w:rsid w:val="00774564"/>
    <w:rsid w:val="00774571"/>
    <w:rsid w:val="0077497E"/>
    <w:rsid w:val="00774C11"/>
    <w:rsid w:val="00774E51"/>
    <w:rsid w:val="00775102"/>
    <w:rsid w:val="0077526B"/>
    <w:rsid w:val="00775402"/>
    <w:rsid w:val="0077547E"/>
    <w:rsid w:val="00775661"/>
    <w:rsid w:val="00775914"/>
    <w:rsid w:val="00775D68"/>
    <w:rsid w:val="00775DA0"/>
    <w:rsid w:val="0077629D"/>
    <w:rsid w:val="00776640"/>
    <w:rsid w:val="0077669F"/>
    <w:rsid w:val="007767E1"/>
    <w:rsid w:val="00776D0A"/>
    <w:rsid w:val="00777768"/>
    <w:rsid w:val="0077779F"/>
    <w:rsid w:val="007777D5"/>
    <w:rsid w:val="00777AB6"/>
    <w:rsid w:val="00777C2C"/>
    <w:rsid w:val="00777D0A"/>
    <w:rsid w:val="00777D66"/>
    <w:rsid w:val="00780138"/>
    <w:rsid w:val="0078026F"/>
    <w:rsid w:val="00780297"/>
    <w:rsid w:val="007802BE"/>
    <w:rsid w:val="007802F4"/>
    <w:rsid w:val="0078045A"/>
    <w:rsid w:val="007805DB"/>
    <w:rsid w:val="0078067D"/>
    <w:rsid w:val="00780976"/>
    <w:rsid w:val="00780BDC"/>
    <w:rsid w:val="00780C2F"/>
    <w:rsid w:val="00780CD9"/>
    <w:rsid w:val="00780EB6"/>
    <w:rsid w:val="007810F9"/>
    <w:rsid w:val="007812A3"/>
    <w:rsid w:val="00781406"/>
    <w:rsid w:val="00781F51"/>
    <w:rsid w:val="007820EC"/>
    <w:rsid w:val="00782484"/>
    <w:rsid w:val="00782CB6"/>
    <w:rsid w:val="00782E0D"/>
    <w:rsid w:val="00782E69"/>
    <w:rsid w:val="00783392"/>
    <w:rsid w:val="007834A4"/>
    <w:rsid w:val="007836BA"/>
    <w:rsid w:val="007839B5"/>
    <w:rsid w:val="00783AD2"/>
    <w:rsid w:val="00783CFB"/>
    <w:rsid w:val="00783DFB"/>
    <w:rsid w:val="00783E9A"/>
    <w:rsid w:val="00783EB5"/>
    <w:rsid w:val="00783FA1"/>
    <w:rsid w:val="00783FA3"/>
    <w:rsid w:val="007841AD"/>
    <w:rsid w:val="007842DA"/>
    <w:rsid w:val="00784354"/>
    <w:rsid w:val="007845F8"/>
    <w:rsid w:val="00784823"/>
    <w:rsid w:val="00784953"/>
    <w:rsid w:val="00784997"/>
    <w:rsid w:val="00784BAF"/>
    <w:rsid w:val="00784BC7"/>
    <w:rsid w:val="007853F5"/>
    <w:rsid w:val="007855D4"/>
    <w:rsid w:val="0078564D"/>
    <w:rsid w:val="00785659"/>
    <w:rsid w:val="007857F9"/>
    <w:rsid w:val="00785811"/>
    <w:rsid w:val="00785898"/>
    <w:rsid w:val="00785B83"/>
    <w:rsid w:val="00785D09"/>
    <w:rsid w:val="00785D24"/>
    <w:rsid w:val="00785E21"/>
    <w:rsid w:val="00785EE4"/>
    <w:rsid w:val="007864C3"/>
    <w:rsid w:val="0078658B"/>
    <w:rsid w:val="007867D1"/>
    <w:rsid w:val="00786809"/>
    <w:rsid w:val="00786812"/>
    <w:rsid w:val="007869AB"/>
    <w:rsid w:val="00786A3F"/>
    <w:rsid w:val="00787053"/>
    <w:rsid w:val="007873F1"/>
    <w:rsid w:val="0078771D"/>
    <w:rsid w:val="00787738"/>
    <w:rsid w:val="0078789A"/>
    <w:rsid w:val="007878C3"/>
    <w:rsid w:val="00787A86"/>
    <w:rsid w:val="00787BAE"/>
    <w:rsid w:val="00787C01"/>
    <w:rsid w:val="00787D64"/>
    <w:rsid w:val="0079006B"/>
    <w:rsid w:val="007900F0"/>
    <w:rsid w:val="0079014E"/>
    <w:rsid w:val="0079019A"/>
    <w:rsid w:val="00790808"/>
    <w:rsid w:val="0079086F"/>
    <w:rsid w:val="007909DC"/>
    <w:rsid w:val="00790BA7"/>
    <w:rsid w:val="00790C54"/>
    <w:rsid w:val="00790D55"/>
    <w:rsid w:val="007920F8"/>
    <w:rsid w:val="007923B4"/>
    <w:rsid w:val="007923B8"/>
    <w:rsid w:val="007927DC"/>
    <w:rsid w:val="00792887"/>
    <w:rsid w:val="00792995"/>
    <w:rsid w:val="00792AA3"/>
    <w:rsid w:val="00792BBE"/>
    <w:rsid w:val="0079303F"/>
    <w:rsid w:val="00793139"/>
    <w:rsid w:val="00793205"/>
    <w:rsid w:val="007932E1"/>
    <w:rsid w:val="00793C9F"/>
    <w:rsid w:val="00793F35"/>
    <w:rsid w:val="00794086"/>
    <w:rsid w:val="0079432A"/>
    <w:rsid w:val="0079457A"/>
    <w:rsid w:val="0079468B"/>
    <w:rsid w:val="00794836"/>
    <w:rsid w:val="007948ED"/>
    <w:rsid w:val="00794935"/>
    <w:rsid w:val="00794CE0"/>
    <w:rsid w:val="00794E70"/>
    <w:rsid w:val="00794E8C"/>
    <w:rsid w:val="00794ED3"/>
    <w:rsid w:val="00795799"/>
    <w:rsid w:val="00795814"/>
    <w:rsid w:val="0079594C"/>
    <w:rsid w:val="00795AE7"/>
    <w:rsid w:val="00795C1C"/>
    <w:rsid w:val="00795E15"/>
    <w:rsid w:val="00795F56"/>
    <w:rsid w:val="00796056"/>
    <w:rsid w:val="007961D6"/>
    <w:rsid w:val="007962D2"/>
    <w:rsid w:val="00796307"/>
    <w:rsid w:val="007965C7"/>
    <w:rsid w:val="007965E9"/>
    <w:rsid w:val="00796BEE"/>
    <w:rsid w:val="00796C0C"/>
    <w:rsid w:val="00796E4D"/>
    <w:rsid w:val="00796ED9"/>
    <w:rsid w:val="0079716C"/>
    <w:rsid w:val="00797301"/>
    <w:rsid w:val="0079735B"/>
    <w:rsid w:val="0079763A"/>
    <w:rsid w:val="007976E2"/>
    <w:rsid w:val="00797713"/>
    <w:rsid w:val="007979BD"/>
    <w:rsid w:val="00797A16"/>
    <w:rsid w:val="00797A61"/>
    <w:rsid w:val="00797F16"/>
    <w:rsid w:val="007A0804"/>
    <w:rsid w:val="007A08B0"/>
    <w:rsid w:val="007A0E88"/>
    <w:rsid w:val="007A0FAD"/>
    <w:rsid w:val="007A0FCA"/>
    <w:rsid w:val="007A1AAB"/>
    <w:rsid w:val="007A1D0C"/>
    <w:rsid w:val="007A24F6"/>
    <w:rsid w:val="007A26C5"/>
    <w:rsid w:val="007A2A1A"/>
    <w:rsid w:val="007A2DA5"/>
    <w:rsid w:val="007A2DDE"/>
    <w:rsid w:val="007A31D2"/>
    <w:rsid w:val="007A3363"/>
    <w:rsid w:val="007A3419"/>
    <w:rsid w:val="007A39DF"/>
    <w:rsid w:val="007A3B7E"/>
    <w:rsid w:val="007A3C4B"/>
    <w:rsid w:val="007A3CED"/>
    <w:rsid w:val="007A3F20"/>
    <w:rsid w:val="007A4139"/>
    <w:rsid w:val="007A43B9"/>
    <w:rsid w:val="007A4481"/>
    <w:rsid w:val="007A456C"/>
    <w:rsid w:val="007A47F6"/>
    <w:rsid w:val="007A5464"/>
    <w:rsid w:val="007A54A2"/>
    <w:rsid w:val="007A54E8"/>
    <w:rsid w:val="007A56B8"/>
    <w:rsid w:val="007A58C4"/>
    <w:rsid w:val="007A5C75"/>
    <w:rsid w:val="007A5DA6"/>
    <w:rsid w:val="007A5DBE"/>
    <w:rsid w:val="007A605A"/>
    <w:rsid w:val="007A650C"/>
    <w:rsid w:val="007A68C2"/>
    <w:rsid w:val="007A7271"/>
    <w:rsid w:val="007A72AE"/>
    <w:rsid w:val="007A73FC"/>
    <w:rsid w:val="007A749E"/>
    <w:rsid w:val="007A76D9"/>
    <w:rsid w:val="007A77B8"/>
    <w:rsid w:val="007A77E9"/>
    <w:rsid w:val="007B0330"/>
    <w:rsid w:val="007B04C4"/>
    <w:rsid w:val="007B0572"/>
    <w:rsid w:val="007B08B1"/>
    <w:rsid w:val="007B0E26"/>
    <w:rsid w:val="007B0EF4"/>
    <w:rsid w:val="007B104E"/>
    <w:rsid w:val="007B1201"/>
    <w:rsid w:val="007B1295"/>
    <w:rsid w:val="007B14C3"/>
    <w:rsid w:val="007B16CD"/>
    <w:rsid w:val="007B1922"/>
    <w:rsid w:val="007B1BAB"/>
    <w:rsid w:val="007B1E24"/>
    <w:rsid w:val="007B1E2E"/>
    <w:rsid w:val="007B1F99"/>
    <w:rsid w:val="007B209E"/>
    <w:rsid w:val="007B20D6"/>
    <w:rsid w:val="007B252F"/>
    <w:rsid w:val="007B2740"/>
    <w:rsid w:val="007B274A"/>
    <w:rsid w:val="007B2892"/>
    <w:rsid w:val="007B29E7"/>
    <w:rsid w:val="007B2BB9"/>
    <w:rsid w:val="007B2C15"/>
    <w:rsid w:val="007B2E84"/>
    <w:rsid w:val="007B2F42"/>
    <w:rsid w:val="007B31B4"/>
    <w:rsid w:val="007B31CB"/>
    <w:rsid w:val="007B33F7"/>
    <w:rsid w:val="007B3585"/>
    <w:rsid w:val="007B36F9"/>
    <w:rsid w:val="007B3DDB"/>
    <w:rsid w:val="007B3FF3"/>
    <w:rsid w:val="007B46C7"/>
    <w:rsid w:val="007B4CDA"/>
    <w:rsid w:val="007B4CF4"/>
    <w:rsid w:val="007B4CFE"/>
    <w:rsid w:val="007B5090"/>
    <w:rsid w:val="007B5115"/>
    <w:rsid w:val="007B55C4"/>
    <w:rsid w:val="007B5847"/>
    <w:rsid w:val="007B589C"/>
    <w:rsid w:val="007B5954"/>
    <w:rsid w:val="007B5D49"/>
    <w:rsid w:val="007B60BB"/>
    <w:rsid w:val="007B654E"/>
    <w:rsid w:val="007B6617"/>
    <w:rsid w:val="007B661B"/>
    <w:rsid w:val="007B69E7"/>
    <w:rsid w:val="007B6A9A"/>
    <w:rsid w:val="007B6DC5"/>
    <w:rsid w:val="007B6F3E"/>
    <w:rsid w:val="007B726A"/>
    <w:rsid w:val="007B73A3"/>
    <w:rsid w:val="007B75F1"/>
    <w:rsid w:val="007B77A1"/>
    <w:rsid w:val="007B7ADB"/>
    <w:rsid w:val="007B7B93"/>
    <w:rsid w:val="007B7D0A"/>
    <w:rsid w:val="007B7DA9"/>
    <w:rsid w:val="007B7F56"/>
    <w:rsid w:val="007C0030"/>
    <w:rsid w:val="007C023C"/>
    <w:rsid w:val="007C02C7"/>
    <w:rsid w:val="007C0504"/>
    <w:rsid w:val="007C0728"/>
    <w:rsid w:val="007C078A"/>
    <w:rsid w:val="007C0A1C"/>
    <w:rsid w:val="007C0F7A"/>
    <w:rsid w:val="007C12CF"/>
    <w:rsid w:val="007C12E0"/>
    <w:rsid w:val="007C1496"/>
    <w:rsid w:val="007C196F"/>
    <w:rsid w:val="007C19EA"/>
    <w:rsid w:val="007C1A61"/>
    <w:rsid w:val="007C1BAB"/>
    <w:rsid w:val="007C208F"/>
    <w:rsid w:val="007C2234"/>
    <w:rsid w:val="007C231F"/>
    <w:rsid w:val="007C23B7"/>
    <w:rsid w:val="007C23F7"/>
    <w:rsid w:val="007C246B"/>
    <w:rsid w:val="007C297B"/>
    <w:rsid w:val="007C29DF"/>
    <w:rsid w:val="007C2CFF"/>
    <w:rsid w:val="007C2D65"/>
    <w:rsid w:val="007C2F49"/>
    <w:rsid w:val="007C3084"/>
    <w:rsid w:val="007C330B"/>
    <w:rsid w:val="007C3367"/>
    <w:rsid w:val="007C33CA"/>
    <w:rsid w:val="007C3409"/>
    <w:rsid w:val="007C3502"/>
    <w:rsid w:val="007C3B21"/>
    <w:rsid w:val="007C4245"/>
    <w:rsid w:val="007C42BA"/>
    <w:rsid w:val="007C48B5"/>
    <w:rsid w:val="007C4AFF"/>
    <w:rsid w:val="007C4BB8"/>
    <w:rsid w:val="007C4BC3"/>
    <w:rsid w:val="007C4CE1"/>
    <w:rsid w:val="007C52EB"/>
    <w:rsid w:val="007C57BA"/>
    <w:rsid w:val="007C5819"/>
    <w:rsid w:val="007C5995"/>
    <w:rsid w:val="007C5AEE"/>
    <w:rsid w:val="007C5B4F"/>
    <w:rsid w:val="007C5E98"/>
    <w:rsid w:val="007C6097"/>
    <w:rsid w:val="007C611F"/>
    <w:rsid w:val="007C6276"/>
    <w:rsid w:val="007C6494"/>
    <w:rsid w:val="007C67C8"/>
    <w:rsid w:val="007C682F"/>
    <w:rsid w:val="007C6996"/>
    <w:rsid w:val="007C7022"/>
    <w:rsid w:val="007C70D4"/>
    <w:rsid w:val="007C72BC"/>
    <w:rsid w:val="007C7567"/>
    <w:rsid w:val="007C757C"/>
    <w:rsid w:val="007C7830"/>
    <w:rsid w:val="007C7894"/>
    <w:rsid w:val="007C7C00"/>
    <w:rsid w:val="007C7E29"/>
    <w:rsid w:val="007D02AD"/>
    <w:rsid w:val="007D0336"/>
    <w:rsid w:val="007D0445"/>
    <w:rsid w:val="007D0AED"/>
    <w:rsid w:val="007D0EA5"/>
    <w:rsid w:val="007D0F0A"/>
    <w:rsid w:val="007D0F3F"/>
    <w:rsid w:val="007D0FD7"/>
    <w:rsid w:val="007D1063"/>
    <w:rsid w:val="007D1082"/>
    <w:rsid w:val="007D1288"/>
    <w:rsid w:val="007D15F9"/>
    <w:rsid w:val="007D18DB"/>
    <w:rsid w:val="007D21D3"/>
    <w:rsid w:val="007D263F"/>
    <w:rsid w:val="007D26A7"/>
    <w:rsid w:val="007D2A7C"/>
    <w:rsid w:val="007D2B12"/>
    <w:rsid w:val="007D3238"/>
    <w:rsid w:val="007D33A9"/>
    <w:rsid w:val="007D3565"/>
    <w:rsid w:val="007D36A7"/>
    <w:rsid w:val="007D3700"/>
    <w:rsid w:val="007D3764"/>
    <w:rsid w:val="007D3771"/>
    <w:rsid w:val="007D3892"/>
    <w:rsid w:val="007D38C7"/>
    <w:rsid w:val="007D3A3C"/>
    <w:rsid w:val="007D4186"/>
    <w:rsid w:val="007D4727"/>
    <w:rsid w:val="007D47C1"/>
    <w:rsid w:val="007D4904"/>
    <w:rsid w:val="007D4A9E"/>
    <w:rsid w:val="007D4E32"/>
    <w:rsid w:val="007D4EF7"/>
    <w:rsid w:val="007D5004"/>
    <w:rsid w:val="007D500A"/>
    <w:rsid w:val="007D50BA"/>
    <w:rsid w:val="007D50E5"/>
    <w:rsid w:val="007D50FD"/>
    <w:rsid w:val="007D51A5"/>
    <w:rsid w:val="007D53D0"/>
    <w:rsid w:val="007D5406"/>
    <w:rsid w:val="007D563F"/>
    <w:rsid w:val="007D5922"/>
    <w:rsid w:val="007D5BFF"/>
    <w:rsid w:val="007D5E46"/>
    <w:rsid w:val="007D5E97"/>
    <w:rsid w:val="007D608B"/>
    <w:rsid w:val="007D60BC"/>
    <w:rsid w:val="007D683F"/>
    <w:rsid w:val="007D6860"/>
    <w:rsid w:val="007D6B0E"/>
    <w:rsid w:val="007D6BC8"/>
    <w:rsid w:val="007D71C5"/>
    <w:rsid w:val="007D7307"/>
    <w:rsid w:val="007D73F2"/>
    <w:rsid w:val="007D7971"/>
    <w:rsid w:val="007D7A42"/>
    <w:rsid w:val="007D7C64"/>
    <w:rsid w:val="007D7D5D"/>
    <w:rsid w:val="007D7E41"/>
    <w:rsid w:val="007E02FE"/>
    <w:rsid w:val="007E0574"/>
    <w:rsid w:val="007E0772"/>
    <w:rsid w:val="007E09CE"/>
    <w:rsid w:val="007E0D52"/>
    <w:rsid w:val="007E0F8E"/>
    <w:rsid w:val="007E198A"/>
    <w:rsid w:val="007E1AAE"/>
    <w:rsid w:val="007E1B51"/>
    <w:rsid w:val="007E1CE9"/>
    <w:rsid w:val="007E2092"/>
    <w:rsid w:val="007E26DD"/>
    <w:rsid w:val="007E27FD"/>
    <w:rsid w:val="007E285B"/>
    <w:rsid w:val="007E2CF6"/>
    <w:rsid w:val="007E2D5C"/>
    <w:rsid w:val="007E2E6A"/>
    <w:rsid w:val="007E2EDB"/>
    <w:rsid w:val="007E305F"/>
    <w:rsid w:val="007E332C"/>
    <w:rsid w:val="007E3367"/>
    <w:rsid w:val="007E341F"/>
    <w:rsid w:val="007E3A76"/>
    <w:rsid w:val="007E3F83"/>
    <w:rsid w:val="007E4015"/>
    <w:rsid w:val="007E40F1"/>
    <w:rsid w:val="007E4120"/>
    <w:rsid w:val="007E425D"/>
    <w:rsid w:val="007E44B6"/>
    <w:rsid w:val="007E44D6"/>
    <w:rsid w:val="007E4D66"/>
    <w:rsid w:val="007E531A"/>
    <w:rsid w:val="007E5431"/>
    <w:rsid w:val="007E5873"/>
    <w:rsid w:val="007E5C75"/>
    <w:rsid w:val="007E5CF8"/>
    <w:rsid w:val="007E62B8"/>
    <w:rsid w:val="007E661A"/>
    <w:rsid w:val="007E6768"/>
    <w:rsid w:val="007E6977"/>
    <w:rsid w:val="007E69CB"/>
    <w:rsid w:val="007E6A41"/>
    <w:rsid w:val="007E6BAB"/>
    <w:rsid w:val="007E6C4B"/>
    <w:rsid w:val="007E6EF6"/>
    <w:rsid w:val="007E6F1F"/>
    <w:rsid w:val="007E70B9"/>
    <w:rsid w:val="007E72E9"/>
    <w:rsid w:val="007E7BD2"/>
    <w:rsid w:val="007E7BD9"/>
    <w:rsid w:val="007E7D08"/>
    <w:rsid w:val="007E7ED7"/>
    <w:rsid w:val="007F048B"/>
    <w:rsid w:val="007F04E6"/>
    <w:rsid w:val="007F05B8"/>
    <w:rsid w:val="007F0837"/>
    <w:rsid w:val="007F0B07"/>
    <w:rsid w:val="007F0FD0"/>
    <w:rsid w:val="007F1071"/>
    <w:rsid w:val="007F1207"/>
    <w:rsid w:val="007F1322"/>
    <w:rsid w:val="007F1591"/>
    <w:rsid w:val="007F1BDF"/>
    <w:rsid w:val="007F1CCE"/>
    <w:rsid w:val="007F1DC4"/>
    <w:rsid w:val="007F2461"/>
    <w:rsid w:val="007F250A"/>
    <w:rsid w:val="007F254B"/>
    <w:rsid w:val="007F2863"/>
    <w:rsid w:val="007F2985"/>
    <w:rsid w:val="007F30AC"/>
    <w:rsid w:val="007F342F"/>
    <w:rsid w:val="007F373D"/>
    <w:rsid w:val="007F39B8"/>
    <w:rsid w:val="007F4120"/>
    <w:rsid w:val="007F41B2"/>
    <w:rsid w:val="007F4344"/>
    <w:rsid w:val="007F46D6"/>
    <w:rsid w:val="007F4815"/>
    <w:rsid w:val="007F4846"/>
    <w:rsid w:val="007F4B35"/>
    <w:rsid w:val="007F4E5E"/>
    <w:rsid w:val="007F5168"/>
    <w:rsid w:val="007F5204"/>
    <w:rsid w:val="007F528A"/>
    <w:rsid w:val="007F54D3"/>
    <w:rsid w:val="007F565B"/>
    <w:rsid w:val="007F5661"/>
    <w:rsid w:val="007F57FC"/>
    <w:rsid w:val="007F5B9A"/>
    <w:rsid w:val="007F5C05"/>
    <w:rsid w:val="007F5C8B"/>
    <w:rsid w:val="007F61F0"/>
    <w:rsid w:val="007F637B"/>
    <w:rsid w:val="007F6515"/>
    <w:rsid w:val="007F66CF"/>
    <w:rsid w:val="007F6707"/>
    <w:rsid w:val="007F696C"/>
    <w:rsid w:val="007F6A43"/>
    <w:rsid w:val="007F6E03"/>
    <w:rsid w:val="007F6E19"/>
    <w:rsid w:val="007F6E45"/>
    <w:rsid w:val="007F720A"/>
    <w:rsid w:val="007F764D"/>
    <w:rsid w:val="007F76AB"/>
    <w:rsid w:val="007F76E6"/>
    <w:rsid w:val="007F7850"/>
    <w:rsid w:val="007F7A71"/>
    <w:rsid w:val="0080011D"/>
    <w:rsid w:val="00800294"/>
    <w:rsid w:val="00800699"/>
    <w:rsid w:val="0080073B"/>
    <w:rsid w:val="008007A7"/>
    <w:rsid w:val="00800A3D"/>
    <w:rsid w:val="00800F1F"/>
    <w:rsid w:val="0080106B"/>
    <w:rsid w:val="00801126"/>
    <w:rsid w:val="00801707"/>
    <w:rsid w:val="0080188E"/>
    <w:rsid w:val="00801F0B"/>
    <w:rsid w:val="00801F8D"/>
    <w:rsid w:val="00801FA7"/>
    <w:rsid w:val="00802133"/>
    <w:rsid w:val="0080219F"/>
    <w:rsid w:val="00802200"/>
    <w:rsid w:val="0080231B"/>
    <w:rsid w:val="008024BF"/>
    <w:rsid w:val="008024F9"/>
    <w:rsid w:val="00802508"/>
    <w:rsid w:val="008028F2"/>
    <w:rsid w:val="00802F50"/>
    <w:rsid w:val="0080308E"/>
    <w:rsid w:val="0080377A"/>
    <w:rsid w:val="00803A74"/>
    <w:rsid w:val="00803B0D"/>
    <w:rsid w:val="00803D61"/>
    <w:rsid w:val="0080416F"/>
    <w:rsid w:val="008042E8"/>
    <w:rsid w:val="0080460F"/>
    <w:rsid w:val="00804793"/>
    <w:rsid w:val="008048BB"/>
    <w:rsid w:val="00804925"/>
    <w:rsid w:val="00804B84"/>
    <w:rsid w:val="00804B9D"/>
    <w:rsid w:val="008050CD"/>
    <w:rsid w:val="0080542A"/>
    <w:rsid w:val="008054D5"/>
    <w:rsid w:val="00805511"/>
    <w:rsid w:val="00805720"/>
    <w:rsid w:val="008057B8"/>
    <w:rsid w:val="00805D15"/>
    <w:rsid w:val="008060A5"/>
    <w:rsid w:val="008060EA"/>
    <w:rsid w:val="008067E6"/>
    <w:rsid w:val="00806D19"/>
    <w:rsid w:val="00807008"/>
    <w:rsid w:val="00807198"/>
    <w:rsid w:val="008072E5"/>
    <w:rsid w:val="008073C2"/>
    <w:rsid w:val="0080761D"/>
    <w:rsid w:val="00807639"/>
    <w:rsid w:val="00807687"/>
    <w:rsid w:val="0080783A"/>
    <w:rsid w:val="00807A29"/>
    <w:rsid w:val="00807A59"/>
    <w:rsid w:val="00807AEF"/>
    <w:rsid w:val="00807AFB"/>
    <w:rsid w:val="00807BFB"/>
    <w:rsid w:val="00807EDB"/>
    <w:rsid w:val="00807F1D"/>
    <w:rsid w:val="0081006B"/>
    <w:rsid w:val="008101AA"/>
    <w:rsid w:val="00810302"/>
    <w:rsid w:val="008103B1"/>
    <w:rsid w:val="008103DD"/>
    <w:rsid w:val="00810806"/>
    <w:rsid w:val="008109AA"/>
    <w:rsid w:val="008109D5"/>
    <w:rsid w:val="00810DFB"/>
    <w:rsid w:val="00810F44"/>
    <w:rsid w:val="0081111F"/>
    <w:rsid w:val="00811445"/>
    <w:rsid w:val="008116BC"/>
    <w:rsid w:val="008119B8"/>
    <w:rsid w:val="008119C5"/>
    <w:rsid w:val="00811A1D"/>
    <w:rsid w:val="0081216E"/>
    <w:rsid w:val="008121BC"/>
    <w:rsid w:val="0081241D"/>
    <w:rsid w:val="00812598"/>
    <w:rsid w:val="00812929"/>
    <w:rsid w:val="00812A72"/>
    <w:rsid w:val="00812DDE"/>
    <w:rsid w:val="00812F43"/>
    <w:rsid w:val="008131F9"/>
    <w:rsid w:val="00813694"/>
    <w:rsid w:val="008138BE"/>
    <w:rsid w:val="008139E1"/>
    <w:rsid w:val="00813A1A"/>
    <w:rsid w:val="00813CD3"/>
    <w:rsid w:val="00813D07"/>
    <w:rsid w:val="00813F85"/>
    <w:rsid w:val="00813F89"/>
    <w:rsid w:val="008142D0"/>
    <w:rsid w:val="008143FB"/>
    <w:rsid w:val="00814450"/>
    <w:rsid w:val="00814518"/>
    <w:rsid w:val="008148E5"/>
    <w:rsid w:val="00814B75"/>
    <w:rsid w:val="00814DCC"/>
    <w:rsid w:val="00814E10"/>
    <w:rsid w:val="00814EC4"/>
    <w:rsid w:val="00815117"/>
    <w:rsid w:val="00815157"/>
    <w:rsid w:val="00815365"/>
    <w:rsid w:val="008156C2"/>
    <w:rsid w:val="008159E6"/>
    <w:rsid w:val="00815B81"/>
    <w:rsid w:val="00815CCA"/>
    <w:rsid w:val="00815E11"/>
    <w:rsid w:val="00816108"/>
    <w:rsid w:val="00816400"/>
    <w:rsid w:val="00816409"/>
    <w:rsid w:val="0081656C"/>
    <w:rsid w:val="008167CE"/>
    <w:rsid w:val="00816C10"/>
    <w:rsid w:val="00816E9D"/>
    <w:rsid w:val="00817012"/>
    <w:rsid w:val="00817095"/>
    <w:rsid w:val="0081709C"/>
    <w:rsid w:val="0081722C"/>
    <w:rsid w:val="00817464"/>
    <w:rsid w:val="008174EF"/>
    <w:rsid w:val="00817801"/>
    <w:rsid w:val="00817928"/>
    <w:rsid w:val="00817A86"/>
    <w:rsid w:val="00817BB6"/>
    <w:rsid w:val="008200CA"/>
    <w:rsid w:val="0082018C"/>
    <w:rsid w:val="0082050A"/>
    <w:rsid w:val="00820517"/>
    <w:rsid w:val="00820B5A"/>
    <w:rsid w:val="00820B74"/>
    <w:rsid w:val="00820C02"/>
    <w:rsid w:val="00820C27"/>
    <w:rsid w:val="00820FD7"/>
    <w:rsid w:val="0082126B"/>
    <w:rsid w:val="008212A0"/>
    <w:rsid w:val="008213F3"/>
    <w:rsid w:val="00821546"/>
    <w:rsid w:val="00821631"/>
    <w:rsid w:val="00821641"/>
    <w:rsid w:val="00821777"/>
    <w:rsid w:val="00821E59"/>
    <w:rsid w:val="0082253E"/>
    <w:rsid w:val="00822AEC"/>
    <w:rsid w:val="00822B74"/>
    <w:rsid w:val="00822EC9"/>
    <w:rsid w:val="0082312F"/>
    <w:rsid w:val="00823542"/>
    <w:rsid w:val="0082375B"/>
    <w:rsid w:val="00823902"/>
    <w:rsid w:val="00823927"/>
    <w:rsid w:val="00823BE0"/>
    <w:rsid w:val="00823CC8"/>
    <w:rsid w:val="00823E59"/>
    <w:rsid w:val="00824AE2"/>
    <w:rsid w:val="00824EA5"/>
    <w:rsid w:val="008251A7"/>
    <w:rsid w:val="00825328"/>
    <w:rsid w:val="008254E7"/>
    <w:rsid w:val="008255AB"/>
    <w:rsid w:val="00825680"/>
    <w:rsid w:val="008258C9"/>
    <w:rsid w:val="00825A36"/>
    <w:rsid w:val="00825C54"/>
    <w:rsid w:val="00825CFD"/>
    <w:rsid w:val="00825DC0"/>
    <w:rsid w:val="00825E8A"/>
    <w:rsid w:val="00825F88"/>
    <w:rsid w:val="00826037"/>
    <w:rsid w:val="0082604D"/>
    <w:rsid w:val="008262D9"/>
    <w:rsid w:val="0082660C"/>
    <w:rsid w:val="00826612"/>
    <w:rsid w:val="008267D0"/>
    <w:rsid w:val="008268CD"/>
    <w:rsid w:val="00826AC6"/>
    <w:rsid w:val="00826C7C"/>
    <w:rsid w:val="00826D13"/>
    <w:rsid w:val="00826EB1"/>
    <w:rsid w:val="00826EFE"/>
    <w:rsid w:val="00826F18"/>
    <w:rsid w:val="00827098"/>
    <w:rsid w:val="008271F9"/>
    <w:rsid w:val="008274BA"/>
    <w:rsid w:val="0082751C"/>
    <w:rsid w:val="00827A4F"/>
    <w:rsid w:val="00827BEA"/>
    <w:rsid w:val="00827CAD"/>
    <w:rsid w:val="008301D4"/>
    <w:rsid w:val="0083022B"/>
    <w:rsid w:val="00830256"/>
    <w:rsid w:val="0083040D"/>
    <w:rsid w:val="0083044B"/>
    <w:rsid w:val="008305E2"/>
    <w:rsid w:val="00830A46"/>
    <w:rsid w:val="00830E86"/>
    <w:rsid w:val="0083147F"/>
    <w:rsid w:val="0083178B"/>
    <w:rsid w:val="00831842"/>
    <w:rsid w:val="00831845"/>
    <w:rsid w:val="00831938"/>
    <w:rsid w:val="00831C0C"/>
    <w:rsid w:val="00832225"/>
    <w:rsid w:val="008324DB"/>
    <w:rsid w:val="00832646"/>
    <w:rsid w:val="0083275E"/>
    <w:rsid w:val="0083279F"/>
    <w:rsid w:val="008327A9"/>
    <w:rsid w:val="00832945"/>
    <w:rsid w:val="00832A14"/>
    <w:rsid w:val="00832ACA"/>
    <w:rsid w:val="00832DE5"/>
    <w:rsid w:val="00832E22"/>
    <w:rsid w:val="00833071"/>
    <w:rsid w:val="008335A2"/>
    <w:rsid w:val="008340BB"/>
    <w:rsid w:val="00834344"/>
    <w:rsid w:val="00834765"/>
    <w:rsid w:val="00834A30"/>
    <w:rsid w:val="00835017"/>
    <w:rsid w:val="008350C3"/>
    <w:rsid w:val="0083518A"/>
    <w:rsid w:val="008351B6"/>
    <w:rsid w:val="008352BA"/>
    <w:rsid w:val="008352C2"/>
    <w:rsid w:val="0083530E"/>
    <w:rsid w:val="00835790"/>
    <w:rsid w:val="008358F3"/>
    <w:rsid w:val="00835A35"/>
    <w:rsid w:val="00835C16"/>
    <w:rsid w:val="00835CDF"/>
    <w:rsid w:val="00836275"/>
    <w:rsid w:val="00836366"/>
    <w:rsid w:val="00836479"/>
    <w:rsid w:val="0083651E"/>
    <w:rsid w:val="00836559"/>
    <w:rsid w:val="008365B4"/>
    <w:rsid w:val="00836757"/>
    <w:rsid w:val="0083683E"/>
    <w:rsid w:val="00836931"/>
    <w:rsid w:val="00836AE6"/>
    <w:rsid w:val="00836C52"/>
    <w:rsid w:val="00836C62"/>
    <w:rsid w:val="00836CC2"/>
    <w:rsid w:val="00836D42"/>
    <w:rsid w:val="00837476"/>
    <w:rsid w:val="00837674"/>
    <w:rsid w:val="008376BC"/>
    <w:rsid w:val="008378D6"/>
    <w:rsid w:val="00840376"/>
    <w:rsid w:val="00840469"/>
    <w:rsid w:val="0084060B"/>
    <w:rsid w:val="0084094E"/>
    <w:rsid w:val="00840966"/>
    <w:rsid w:val="00840A7F"/>
    <w:rsid w:val="00840AF9"/>
    <w:rsid w:val="00840C1C"/>
    <w:rsid w:val="00840F2A"/>
    <w:rsid w:val="008410F6"/>
    <w:rsid w:val="008414CF"/>
    <w:rsid w:val="00841D18"/>
    <w:rsid w:val="008422B1"/>
    <w:rsid w:val="0084235C"/>
    <w:rsid w:val="008423FC"/>
    <w:rsid w:val="00842664"/>
    <w:rsid w:val="008427E9"/>
    <w:rsid w:val="008430D5"/>
    <w:rsid w:val="0084315B"/>
    <w:rsid w:val="00843288"/>
    <w:rsid w:val="008435A1"/>
    <w:rsid w:val="008435AC"/>
    <w:rsid w:val="008438B0"/>
    <w:rsid w:val="00843A33"/>
    <w:rsid w:val="00843AEA"/>
    <w:rsid w:val="00843D6E"/>
    <w:rsid w:val="00844266"/>
    <w:rsid w:val="008444F8"/>
    <w:rsid w:val="008447DD"/>
    <w:rsid w:val="008449A3"/>
    <w:rsid w:val="00844C47"/>
    <w:rsid w:val="00844F94"/>
    <w:rsid w:val="00844FE4"/>
    <w:rsid w:val="008450AC"/>
    <w:rsid w:val="00845768"/>
    <w:rsid w:val="00845D4A"/>
    <w:rsid w:val="00845D5F"/>
    <w:rsid w:val="00845F02"/>
    <w:rsid w:val="00845F90"/>
    <w:rsid w:val="0084615E"/>
    <w:rsid w:val="00846917"/>
    <w:rsid w:val="00846ABA"/>
    <w:rsid w:val="00846AF6"/>
    <w:rsid w:val="00846D43"/>
    <w:rsid w:val="008470C7"/>
    <w:rsid w:val="00847210"/>
    <w:rsid w:val="00847222"/>
    <w:rsid w:val="00847559"/>
    <w:rsid w:val="00847597"/>
    <w:rsid w:val="00847615"/>
    <w:rsid w:val="00847856"/>
    <w:rsid w:val="00847BED"/>
    <w:rsid w:val="00847EFC"/>
    <w:rsid w:val="00850043"/>
    <w:rsid w:val="008502F5"/>
    <w:rsid w:val="008503E3"/>
    <w:rsid w:val="00850469"/>
    <w:rsid w:val="00850880"/>
    <w:rsid w:val="00850920"/>
    <w:rsid w:val="0085092B"/>
    <w:rsid w:val="00850977"/>
    <w:rsid w:val="00850B34"/>
    <w:rsid w:val="00851002"/>
    <w:rsid w:val="0085110C"/>
    <w:rsid w:val="008512F1"/>
    <w:rsid w:val="008514CC"/>
    <w:rsid w:val="008515AC"/>
    <w:rsid w:val="00851672"/>
    <w:rsid w:val="008517A5"/>
    <w:rsid w:val="00851891"/>
    <w:rsid w:val="00851C2F"/>
    <w:rsid w:val="00851D4E"/>
    <w:rsid w:val="008521A1"/>
    <w:rsid w:val="008522AB"/>
    <w:rsid w:val="0085253E"/>
    <w:rsid w:val="008526D7"/>
    <w:rsid w:val="00853257"/>
    <w:rsid w:val="0085342F"/>
    <w:rsid w:val="00853442"/>
    <w:rsid w:val="008535B3"/>
    <w:rsid w:val="00853632"/>
    <w:rsid w:val="00853CB1"/>
    <w:rsid w:val="00853D68"/>
    <w:rsid w:val="00853F33"/>
    <w:rsid w:val="0085400E"/>
    <w:rsid w:val="0085408F"/>
    <w:rsid w:val="00854AB7"/>
    <w:rsid w:val="00854BBD"/>
    <w:rsid w:val="00854C0E"/>
    <w:rsid w:val="00854DCA"/>
    <w:rsid w:val="0085514B"/>
    <w:rsid w:val="00855432"/>
    <w:rsid w:val="00855638"/>
    <w:rsid w:val="00855761"/>
    <w:rsid w:val="00855B83"/>
    <w:rsid w:val="00855EB9"/>
    <w:rsid w:val="00855ED6"/>
    <w:rsid w:val="00855F7F"/>
    <w:rsid w:val="00855F8E"/>
    <w:rsid w:val="00856108"/>
    <w:rsid w:val="00856127"/>
    <w:rsid w:val="008561C5"/>
    <w:rsid w:val="008561C8"/>
    <w:rsid w:val="00856216"/>
    <w:rsid w:val="008563B3"/>
    <w:rsid w:val="00856496"/>
    <w:rsid w:val="008564C2"/>
    <w:rsid w:val="0085656B"/>
    <w:rsid w:val="0085665B"/>
    <w:rsid w:val="0085676B"/>
    <w:rsid w:val="0085683B"/>
    <w:rsid w:val="00856B7D"/>
    <w:rsid w:val="00856C7A"/>
    <w:rsid w:val="00856CD1"/>
    <w:rsid w:val="00856D72"/>
    <w:rsid w:val="00857321"/>
    <w:rsid w:val="008573F2"/>
    <w:rsid w:val="008576EF"/>
    <w:rsid w:val="00857722"/>
    <w:rsid w:val="0085791B"/>
    <w:rsid w:val="00857BEF"/>
    <w:rsid w:val="00857CC8"/>
    <w:rsid w:val="00857FF8"/>
    <w:rsid w:val="00860202"/>
    <w:rsid w:val="00860232"/>
    <w:rsid w:val="00860303"/>
    <w:rsid w:val="0086035D"/>
    <w:rsid w:val="008604B2"/>
    <w:rsid w:val="008607C5"/>
    <w:rsid w:val="00860A75"/>
    <w:rsid w:val="00860B57"/>
    <w:rsid w:val="00860D12"/>
    <w:rsid w:val="00860F04"/>
    <w:rsid w:val="00860FE3"/>
    <w:rsid w:val="0086112D"/>
    <w:rsid w:val="0086143E"/>
    <w:rsid w:val="00861593"/>
    <w:rsid w:val="008615EF"/>
    <w:rsid w:val="0086164D"/>
    <w:rsid w:val="008618D8"/>
    <w:rsid w:val="00861D16"/>
    <w:rsid w:val="00861E65"/>
    <w:rsid w:val="00861E9B"/>
    <w:rsid w:val="008620A0"/>
    <w:rsid w:val="008620DE"/>
    <w:rsid w:val="00862532"/>
    <w:rsid w:val="00862687"/>
    <w:rsid w:val="00862896"/>
    <w:rsid w:val="008628E5"/>
    <w:rsid w:val="008629A9"/>
    <w:rsid w:val="008629D0"/>
    <w:rsid w:val="00862A54"/>
    <w:rsid w:val="00862A87"/>
    <w:rsid w:val="00862AE5"/>
    <w:rsid w:val="00862D86"/>
    <w:rsid w:val="00862E52"/>
    <w:rsid w:val="00862F39"/>
    <w:rsid w:val="00863071"/>
    <w:rsid w:val="008630A1"/>
    <w:rsid w:val="00863193"/>
    <w:rsid w:val="0086324C"/>
    <w:rsid w:val="008633F9"/>
    <w:rsid w:val="0086356E"/>
    <w:rsid w:val="008636B3"/>
    <w:rsid w:val="008638BC"/>
    <w:rsid w:val="00863A81"/>
    <w:rsid w:val="00863E28"/>
    <w:rsid w:val="00864078"/>
    <w:rsid w:val="0086425C"/>
    <w:rsid w:val="008644DF"/>
    <w:rsid w:val="008645A3"/>
    <w:rsid w:val="008647FE"/>
    <w:rsid w:val="00864A8F"/>
    <w:rsid w:val="00864E74"/>
    <w:rsid w:val="00864FB1"/>
    <w:rsid w:val="00865031"/>
    <w:rsid w:val="0086545F"/>
    <w:rsid w:val="008654F4"/>
    <w:rsid w:val="0086552E"/>
    <w:rsid w:val="008655F1"/>
    <w:rsid w:val="0086588B"/>
    <w:rsid w:val="00865BF2"/>
    <w:rsid w:val="00866478"/>
    <w:rsid w:val="008669E8"/>
    <w:rsid w:val="00866A99"/>
    <w:rsid w:val="00866B32"/>
    <w:rsid w:val="00866B85"/>
    <w:rsid w:val="00866C57"/>
    <w:rsid w:val="00866CED"/>
    <w:rsid w:val="00866D8A"/>
    <w:rsid w:val="00866E83"/>
    <w:rsid w:val="00867305"/>
    <w:rsid w:val="008676F3"/>
    <w:rsid w:val="00867A47"/>
    <w:rsid w:val="00867ABB"/>
    <w:rsid w:val="00870469"/>
    <w:rsid w:val="008706AB"/>
    <w:rsid w:val="008706FF"/>
    <w:rsid w:val="00870A4D"/>
    <w:rsid w:val="00870B65"/>
    <w:rsid w:val="00870EAB"/>
    <w:rsid w:val="00871135"/>
    <w:rsid w:val="00871442"/>
    <w:rsid w:val="008718FF"/>
    <w:rsid w:val="0087191A"/>
    <w:rsid w:val="00871AC1"/>
    <w:rsid w:val="00871FA9"/>
    <w:rsid w:val="008722C1"/>
    <w:rsid w:val="00872428"/>
    <w:rsid w:val="0087246F"/>
    <w:rsid w:val="00872511"/>
    <w:rsid w:val="008727E7"/>
    <w:rsid w:val="00872858"/>
    <w:rsid w:val="00872DB6"/>
    <w:rsid w:val="00872FB9"/>
    <w:rsid w:val="008732D0"/>
    <w:rsid w:val="008732F5"/>
    <w:rsid w:val="0087337B"/>
    <w:rsid w:val="0087346A"/>
    <w:rsid w:val="00873753"/>
    <w:rsid w:val="00873777"/>
    <w:rsid w:val="00873797"/>
    <w:rsid w:val="00873AF2"/>
    <w:rsid w:val="00873B6C"/>
    <w:rsid w:val="00873C75"/>
    <w:rsid w:val="00873CD7"/>
    <w:rsid w:val="008741AC"/>
    <w:rsid w:val="0087444C"/>
    <w:rsid w:val="0087450B"/>
    <w:rsid w:val="008750F0"/>
    <w:rsid w:val="0087512B"/>
    <w:rsid w:val="00875157"/>
    <w:rsid w:val="008751CB"/>
    <w:rsid w:val="00875300"/>
    <w:rsid w:val="008753FE"/>
    <w:rsid w:val="0087551D"/>
    <w:rsid w:val="008759BE"/>
    <w:rsid w:val="0087603E"/>
    <w:rsid w:val="0087619C"/>
    <w:rsid w:val="00876232"/>
    <w:rsid w:val="0087635C"/>
    <w:rsid w:val="00876834"/>
    <w:rsid w:val="0087687B"/>
    <w:rsid w:val="008769E0"/>
    <w:rsid w:val="00876C25"/>
    <w:rsid w:val="00876DF0"/>
    <w:rsid w:val="00876E2F"/>
    <w:rsid w:val="00876E31"/>
    <w:rsid w:val="00876EA5"/>
    <w:rsid w:val="00876EF6"/>
    <w:rsid w:val="008771D9"/>
    <w:rsid w:val="008773BD"/>
    <w:rsid w:val="008773E8"/>
    <w:rsid w:val="00877405"/>
    <w:rsid w:val="008778BD"/>
    <w:rsid w:val="00877963"/>
    <w:rsid w:val="00877A57"/>
    <w:rsid w:val="00877A71"/>
    <w:rsid w:val="00877C14"/>
    <w:rsid w:val="00877C94"/>
    <w:rsid w:val="00877D5D"/>
    <w:rsid w:val="00877F1B"/>
    <w:rsid w:val="008800BC"/>
    <w:rsid w:val="008800DA"/>
    <w:rsid w:val="008801CE"/>
    <w:rsid w:val="008805F2"/>
    <w:rsid w:val="008807B9"/>
    <w:rsid w:val="008807F7"/>
    <w:rsid w:val="00880C43"/>
    <w:rsid w:val="00880E4D"/>
    <w:rsid w:val="00880E6E"/>
    <w:rsid w:val="00880F67"/>
    <w:rsid w:val="00881045"/>
    <w:rsid w:val="00881375"/>
    <w:rsid w:val="008817A6"/>
    <w:rsid w:val="008817F8"/>
    <w:rsid w:val="00881884"/>
    <w:rsid w:val="00881D02"/>
    <w:rsid w:val="00881E54"/>
    <w:rsid w:val="00881FD4"/>
    <w:rsid w:val="008822AB"/>
    <w:rsid w:val="008822F6"/>
    <w:rsid w:val="008823BE"/>
    <w:rsid w:val="008823C8"/>
    <w:rsid w:val="008825CB"/>
    <w:rsid w:val="008826BA"/>
    <w:rsid w:val="00882D3F"/>
    <w:rsid w:val="00882DFD"/>
    <w:rsid w:val="00882EFF"/>
    <w:rsid w:val="0088317F"/>
    <w:rsid w:val="00883443"/>
    <w:rsid w:val="0088354B"/>
    <w:rsid w:val="008835C9"/>
    <w:rsid w:val="00883822"/>
    <w:rsid w:val="00883A77"/>
    <w:rsid w:val="00883AA6"/>
    <w:rsid w:val="00883C1B"/>
    <w:rsid w:val="00883DC2"/>
    <w:rsid w:val="00884274"/>
    <w:rsid w:val="0088446D"/>
    <w:rsid w:val="00884527"/>
    <w:rsid w:val="00884673"/>
    <w:rsid w:val="0088481C"/>
    <w:rsid w:val="0088492F"/>
    <w:rsid w:val="00884C5E"/>
    <w:rsid w:val="00884DA7"/>
    <w:rsid w:val="00884DD9"/>
    <w:rsid w:val="00884DE4"/>
    <w:rsid w:val="00884DFC"/>
    <w:rsid w:val="00884E68"/>
    <w:rsid w:val="00884E79"/>
    <w:rsid w:val="00884FF1"/>
    <w:rsid w:val="008852B6"/>
    <w:rsid w:val="00885335"/>
    <w:rsid w:val="00885573"/>
    <w:rsid w:val="00885688"/>
    <w:rsid w:val="008857ED"/>
    <w:rsid w:val="008858D2"/>
    <w:rsid w:val="00885910"/>
    <w:rsid w:val="00885AED"/>
    <w:rsid w:val="00885B0D"/>
    <w:rsid w:val="00885B49"/>
    <w:rsid w:val="00885BF5"/>
    <w:rsid w:val="00885CFC"/>
    <w:rsid w:val="008865FB"/>
    <w:rsid w:val="00886A91"/>
    <w:rsid w:val="00886C73"/>
    <w:rsid w:val="00886E61"/>
    <w:rsid w:val="00886F6C"/>
    <w:rsid w:val="0088709E"/>
    <w:rsid w:val="00887278"/>
    <w:rsid w:val="00887536"/>
    <w:rsid w:val="0088761C"/>
    <w:rsid w:val="00887B1A"/>
    <w:rsid w:val="00887BF7"/>
    <w:rsid w:val="00887C09"/>
    <w:rsid w:val="00887C32"/>
    <w:rsid w:val="00887CC4"/>
    <w:rsid w:val="00887D18"/>
    <w:rsid w:val="00890460"/>
    <w:rsid w:val="008905B6"/>
    <w:rsid w:val="008908D8"/>
    <w:rsid w:val="00890971"/>
    <w:rsid w:val="00891199"/>
    <w:rsid w:val="00891335"/>
    <w:rsid w:val="0089188C"/>
    <w:rsid w:val="008918E9"/>
    <w:rsid w:val="00891918"/>
    <w:rsid w:val="00891942"/>
    <w:rsid w:val="00891A36"/>
    <w:rsid w:val="00891C11"/>
    <w:rsid w:val="00891C89"/>
    <w:rsid w:val="00891CE7"/>
    <w:rsid w:val="008920BF"/>
    <w:rsid w:val="008921DA"/>
    <w:rsid w:val="0089229A"/>
    <w:rsid w:val="008922A6"/>
    <w:rsid w:val="0089237A"/>
    <w:rsid w:val="008923FC"/>
    <w:rsid w:val="0089249E"/>
    <w:rsid w:val="0089251C"/>
    <w:rsid w:val="00892617"/>
    <w:rsid w:val="008927F0"/>
    <w:rsid w:val="00892910"/>
    <w:rsid w:val="00892B78"/>
    <w:rsid w:val="00892EAD"/>
    <w:rsid w:val="0089310A"/>
    <w:rsid w:val="008932D1"/>
    <w:rsid w:val="0089330E"/>
    <w:rsid w:val="00893668"/>
    <w:rsid w:val="0089383B"/>
    <w:rsid w:val="00893967"/>
    <w:rsid w:val="00893C3E"/>
    <w:rsid w:val="00893FFE"/>
    <w:rsid w:val="00894566"/>
    <w:rsid w:val="008946CE"/>
    <w:rsid w:val="00894C2C"/>
    <w:rsid w:val="00894C4A"/>
    <w:rsid w:val="00894D41"/>
    <w:rsid w:val="00894D74"/>
    <w:rsid w:val="00894DAD"/>
    <w:rsid w:val="00894E3B"/>
    <w:rsid w:val="00894E97"/>
    <w:rsid w:val="008950AF"/>
    <w:rsid w:val="008951CE"/>
    <w:rsid w:val="0089572F"/>
    <w:rsid w:val="00895740"/>
    <w:rsid w:val="00895B49"/>
    <w:rsid w:val="00895B96"/>
    <w:rsid w:val="00895BB1"/>
    <w:rsid w:val="00895CBD"/>
    <w:rsid w:val="00895DDE"/>
    <w:rsid w:val="00896454"/>
    <w:rsid w:val="008966E1"/>
    <w:rsid w:val="008976C1"/>
    <w:rsid w:val="008977BB"/>
    <w:rsid w:val="00897836"/>
    <w:rsid w:val="0089787B"/>
    <w:rsid w:val="00897B2E"/>
    <w:rsid w:val="00897F4B"/>
    <w:rsid w:val="008A0551"/>
    <w:rsid w:val="008A09A2"/>
    <w:rsid w:val="008A0A0D"/>
    <w:rsid w:val="008A0BEC"/>
    <w:rsid w:val="008A0C14"/>
    <w:rsid w:val="008A0D41"/>
    <w:rsid w:val="008A0E9B"/>
    <w:rsid w:val="008A104E"/>
    <w:rsid w:val="008A1138"/>
    <w:rsid w:val="008A1396"/>
    <w:rsid w:val="008A13CF"/>
    <w:rsid w:val="008A14E1"/>
    <w:rsid w:val="008A15A6"/>
    <w:rsid w:val="008A185C"/>
    <w:rsid w:val="008A1DF7"/>
    <w:rsid w:val="008A1E20"/>
    <w:rsid w:val="008A1E60"/>
    <w:rsid w:val="008A1F9E"/>
    <w:rsid w:val="008A290A"/>
    <w:rsid w:val="008A2E19"/>
    <w:rsid w:val="008A329E"/>
    <w:rsid w:val="008A353A"/>
    <w:rsid w:val="008A389D"/>
    <w:rsid w:val="008A3DBA"/>
    <w:rsid w:val="008A3DC5"/>
    <w:rsid w:val="008A3EAA"/>
    <w:rsid w:val="008A3F79"/>
    <w:rsid w:val="008A41D2"/>
    <w:rsid w:val="008A428D"/>
    <w:rsid w:val="008A447E"/>
    <w:rsid w:val="008A4C04"/>
    <w:rsid w:val="008A511A"/>
    <w:rsid w:val="008A5223"/>
    <w:rsid w:val="008A5485"/>
    <w:rsid w:val="008A548D"/>
    <w:rsid w:val="008A56BE"/>
    <w:rsid w:val="008A5728"/>
    <w:rsid w:val="008A572C"/>
    <w:rsid w:val="008A578A"/>
    <w:rsid w:val="008A57EB"/>
    <w:rsid w:val="008A5800"/>
    <w:rsid w:val="008A5884"/>
    <w:rsid w:val="008A5B68"/>
    <w:rsid w:val="008A5CEF"/>
    <w:rsid w:val="008A6005"/>
    <w:rsid w:val="008A6128"/>
    <w:rsid w:val="008A6189"/>
    <w:rsid w:val="008A61EE"/>
    <w:rsid w:val="008A645D"/>
    <w:rsid w:val="008A6509"/>
    <w:rsid w:val="008A6745"/>
    <w:rsid w:val="008A6799"/>
    <w:rsid w:val="008A6AB4"/>
    <w:rsid w:val="008A6B1A"/>
    <w:rsid w:val="008A6D06"/>
    <w:rsid w:val="008A6DC5"/>
    <w:rsid w:val="008A7000"/>
    <w:rsid w:val="008A784B"/>
    <w:rsid w:val="008A7F46"/>
    <w:rsid w:val="008B0294"/>
    <w:rsid w:val="008B0377"/>
    <w:rsid w:val="008B0833"/>
    <w:rsid w:val="008B09AD"/>
    <w:rsid w:val="008B11EA"/>
    <w:rsid w:val="008B1206"/>
    <w:rsid w:val="008B193E"/>
    <w:rsid w:val="008B1CEE"/>
    <w:rsid w:val="008B1EA5"/>
    <w:rsid w:val="008B2000"/>
    <w:rsid w:val="008B21A2"/>
    <w:rsid w:val="008B271E"/>
    <w:rsid w:val="008B284D"/>
    <w:rsid w:val="008B2989"/>
    <w:rsid w:val="008B2A26"/>
    <w:rsid w:val="008B2A7B"/>
    <w:rsid w:val="008B2A95"/>
    <w:rsid w:val="008B2EB2"/>
    <w:rsid w:val="008B2FF2"/>
    <w:rsid w:val="008B3061"/>
    <w:rsid w:val="008B30A3"/>
    <w:rsid w:val="008B3134"/>
    <w:rsid w:val="008B332E"/>
    <w:rsid w:val="008B36E8"/>
    <w:rsid w:val="008B39FD"/>
    <w:rsid w:val="008B3B5D"/>
    <w:rsid w:val="008B3CB4"/>
    <w:rsid w:val="008B4335"/>
    <w:rsid w:val="008B440C"/>
    <w:rsid w:val="008B451F"/>
    <w:rsid w:val="008B45D7"/>
    <w:rsid w:val="008B48B2"/>
    <w:rsid w:val="008B4A60"/>
    <w:rsid w:val="008B4C50"/>
    <w:rsid w:val="008B4E1D"/>
    <w:rsid w:val="008B4E91"/>
    <w:rsid w:val="008B4ECF"/>
    <w:rsid w:val="008B4FD8"/>
    <w:rsid w:val="008B508D"/>
    <w:rsid w:val="008B51FA"/>
    <w:rsid w:val="008B525E"/>
    <w:rsid w:val="008B53E7"/>
    <w:rsid w:val="008B547C"/>
    <w:rsid w:val="008B54B6"/>
    <w:rsid w:val="008B565F"/>
    <w:rsid w:val="008B5744"/>
    <w:rsid w:val="008B5773"/>
    <w:rsid w:val="008B5C55"/>
    <w:rsid w:val="008B5CD2"/>
    <w:rsid w:val="008B5DA0"/>
    <w:rsid w:val="008B607F"/>
    <w:rsid w:val="008B6308"/>
    <w:rsid w:val="008B6559"/>
    <w:rsid w:val="008B6782"/>
    <w:rsid w:val="008B6A48"/>
    <w:rsid w:val="008B6D49"/>
    <w:rsid w:val="008B6E2C"/>
    <w:rsid w:val="008B6E8E"/>
    <w:rsid w:val="008B7031"/>
    <w:rsid w:val="008B7075"/>
    <w:rsid w:val="008B7163"/>
    <w:rsid w:val="008B729E"/>
    <w:rsid w:val="008B746B"/>
    <w:rsid w:val="008B77F9"/>
    <w:rsid w:val="008B78E8"/>
    <w:rsid w:val="008B7B75"/>
    <w:rsid w:val="008B7F81"/>
    <w:rsid w:val="008C00E1"/>
    <w:rsid w:val="008C0369"/>
    <w:rsid w:val="008C046D"/>
    <w:rsid w:val="008C05CA"/>
    <w:rsid w:val="008C086D"/>
    <w:rsid w:val="008C0B1B"/>
    <w:rsid w:val="008C0BE3"/>
    <w:rsid w:val="008C0C87"/>
    <w:rsid w:val="008C0C8A"/>
    <w:rsid w:val="008C0E8B"/>
    <w:rsid w:val="008C113A"/>
    <w:rsid w:val="008C1779"/>
    <w:rsid w:val="008C18C1"/>
    <w:rsid w:val="008C19E2"/>
    <w:rsid w:val="008C1A0B"/>
    <w:rsid w:val="008C1B8B"/>
    <w:rsid w:val="008C1C3A"/>
    <w:rsid w:val="008C2091"/>
    <w:rsid w:val="008C268A"/>
    <w:rsid w:val="008C2E2B"/>
    <w:rsid w:val="008C2F0C"/>
    <w:rsid w:val="008C3215"/>
    <w:rsid w:val="008C3222"/>
    <w:rsid w:val="008C3372"/>
    <w:rsid w:val="008C3403"/>
    <w:rsid w:val="008C3AB0"/>
    <w:rsid w:val="008C3E87"/>
    <w:rsid w:val="008C40BE"/>
    <w:rsid w:val="008C40DB"/>
    <w:rsid w:val="008C4304"/>
    <w:rsid w:val="008C4592"/>
    <w:rsid w:val="008C5034"/>
    <w:rsid w:val="008C5192"/>
    <w:rsid w:val="008C5278"/>
    <w:rsid w:val="008C5713"/>
    <w:rsid w:val="008C5735"/>
    <w:rsid w:val="008C5788"/>
    <w:rsid w:val="008C5876"/>
    <w:rsid w:val="008C5967"/>
    <w:rsid w:val="008C5A30"/>
    <w:rsid w:val="008C5B2D"/>
    <w:rsid w:val="008C5D7D"/>
    <w:rsid w:val="008C61C1"/>
    <w:rsid w:val="008C62CD"/>
    <w:rsid w:val="008C64F8"/>
    <w:rsid w:val="008C6AA6"/>
    <w:rsid w:val="008C6B34"/>
    <w:rsid w:val="008C6CDC"/>
    <w:rsid w:val="008C6D49"/>
    <w:rsid w:val="008C72D5"/>
    <w:rsid w:val="008C75A1"/>
    <w:rsid w:val="008C7934"/>
    <w:rsid w:val="008C79D5"/>
    <w:rsid w:val="008C7C72"/>
    <w:rsid w:val="008C7D8E"/>
    <w:rsid w:val="008D0275"/>
    <w:rsid w:val="008D045C"/>
    <w:rsid w:val="008D0533"/>
    <w:rsid w:val="008D05FE"/>
    <w:rsid w:val="008D0697"/>
    <w:rsid w:val="008D07C7"/>
    <w:rsid w:val="008D0920"/>
    <w:rsid w:val="008D0A4A"/>
    <w:rsid w:val="008D0AC0"/>
    <w:rsid w:val="008D0BAA"/>
    <w:rsid w:val="008D0CF9"/>
    <w:rsid w:val="008D1170"/>
    <w:rsid w:val="008D1232"/>
    <w:rsid w:val="008D14F0"/>
    <w:rsid w:val="008D1853"/>
    <w:rsid w:val="008D1BC1"/>
    <w:rsid w:val="008D20B7"/>
    <w:rsid w:val="008D23CF"/>
    <w:rsid w:val="008D24B3"/>
    <w:rsid w:val="008D2760"/>
    <w:rsid w:val="008D2857"/>
    <w:rsid w:val="008D29ED"/>
    <w:rsid w:val="008D2D39"/>
    <w:rsid w:val="008D2F60"/>
    <w:rsid w:val="008D35DA"/>
    <w:rsid w:val="008D37E4"/>
    <w:rsid w:val="008D3929"/>
    <w:rsid w:val="008D3A89"/>
    <w:rsid w:val="008D3C26"/>
    <w:rsid w:val="008D3D1D"/>
    <w:rsid w:val="008D402F"/>
    <w:rsid w:val="008D417F"/>
    <w:rsid w:val="008D44C3"/>
    <w:rsid w:val="008D45B6"/>
    <w:rsid w:val="008D46A9"/>
    <w:rsid w:val="008D4B28"/>
    <w:rsid w:val="008D52EC"/>
    <w:rsid w:val="008D53BC"/>
    <w:rsid w:val="008D53FE"/>
    <w:rsid w:val="008D567E"/>
    <w:rsid w:val="008D58E7"/>
    <w:rsid w:val="008D5A40"/>
    <w:rsid w:val="008D5ACA"/>
    <w:rsid w:val="008D606A"/>
    <w:rsid w:val="008D61BF"/>
    <w:rsid w:val="008D6897"/>
    <w:rsid w:val="008D6911"/>
    <w:rsid w:val="008D6B6F"/>
    <w:rsid w:val="008D6CAE"/>
    <w:rsid w:val="008D6FC5"/>
    <w:rsid w:val="008D7143"/>
    <w:rsid w:val="008D7215"/>
    <w:rsid w:val="008D73A2"/>
    <w:rsid w:val="008D7963"/>
    <w:rsid w:val="008D7D58"/>
    <w:rsid w:val="008D7DD3"/>
    <w:rsid w:val="008D7E3D"/>
    <w:rsid w:val="008E0445"/>
    <w:rsid w:val="008E089E"/>
    <w:rsid w:val="008E0DB5"/>
    <w:rsid w:val="008E0DE1"/>
    <w:rsid w:val="008E0E83"/>
    <w:rsid w:val="008E0F88"/>
    <w:rsid w:val="008E1A6F"/>
    <w:rsid w:val="008E1ACB"/>
    <w:rsid w:val="008E1B31"/>
    <w:rsid w:val="008E1C64"/>
    <w:rsid w:val="008E1E57"/>
    <w:rsid w:val="008E212E"/>
    <w:rsid w:val="008E26D6"/>
    <w:rsid w:val="008E2724"/>
    <w:rsid w:val="008E27BE"/>
    <w:rsid w:val="008E2B99"/>
    <w:rsid w:val="008E2E6B"/>
    <w:rsid w:val="008E2FAA"/>
    <w:rsid w:val="008E2FF8"/>
    <w:rsid w:val="008E3034"/>
    <w:rsid w:val="008E3042"/>
    <w:rsid w:val="008E3211"/>
    <w:rsid w:val="008E3274"/>
    <w:rsid w:val="008E328D"/>
    <w:rsid w:val="008E33F7"/>
    <w:rsid w:val="008E3525"/>
    <w:rsid w:val="008E35D6"/>
    <w:rsid w:val="008E3E0C"/>
    <w:rsid w:val="008E3FD3"/>
    <w:rsid w:val="008E4339"/>
    <w:rsid w:val="008E4436"/>
    <w:rsid w:val="008E44BC"/>
    <w:rsid w:val="008E45A8"/>
    <w:rsid w:val="008E461D"/>
    <w:rsid w:val="008E46BB"/>
    <w:rsid w:val="008E4921"/>
    <w:rsid w:val="008E4BC2"/>
    <w:rsid w:val="008E4C40"/>
    <w:rsid w:val="008E4C77"/>
    <w:rsid w:val="008E4DED"/>
    <w:rsid w:val="008E51EF"/>
    <w:rsid w:val="008E522F"/>
    <w:rsid w:val="008E5523"/>
    <w:rsid w:val="008E5637"/>
    <w:rsid w:val="008E5722"/>
    <w:rsid w:val="008E5803"/>
    <w:rsid w:val="008E5812"/>
    <w:rsid w:val="008E5BFE"/>
    <w:rsid w:val="008E5DBF"/>
    <w:rsid w:val="008E5FCB"/>
    <w:rsid w:val="008E6020"/>
    <w:rsid w:val="008E6238"/>
    <w:rsid w:val="008E66B0"/>
    <w:rsid w:val="008E6753"/>
    <w:rsid w:val="008E6832"/>
    <w:rsid w:val="008E6B25"/>
    <w:rsid w:val="008E6CD3"/>
    <w:rsid w:val="008E7099"/>
    <w:rsid w:val="008E724D"/>
    <w:rsid w:val="008E761C"/>
    <w:rsid w:val="008E7669"/>
    <w:rsid w:val="008E7876"/>
    <w:rsid w:val="008E79C8"/>
    <w:rsid w:val="008E79EC"/>
    <w:rsid w:val="008E7C31"/>
    <w:rsid w:val="008E7E36"/>
    <w:rsid w:val="008F00EC"/>
    <w:rsid w:val="008F0769"/>
    <w:rsid w:val="008F07ED"/>
    <w:rsid w:val="008F0823"/>
    <w:rsid w:val="008F0B24"/>
    <w:rsid w:val="008F0E42"/>
    <w:rsid w:val="008F0F56"/>
    <w:rsid w:val="008F0F63"/>
    <w:rsid w:val="008F1201"/>
    <w:rsid w:val="008F128A"/>
    <w:rsid w:val="008F133F"/>
    <w:rsid w:val="008F164F"/>
    <w:rsid w:val="008F16B9"/>
    <w:rsid w:val="008F1761"/>
    <w:rsid w:val="008F197D"/>
    <w:rsid w:val="008F19D0"/>
    <w:rsid w:val="008F1BB5"/>
    <w:rsid w:val="008F1CC1"/>
    <w:rsid w:val="008F279A"/>
    <w:rsid w:val="008F2AE7"/>
    <w:rsid w:val="008F2CD4"/>
    <w:rsid w:val="008F2DC8"/>
    <w:rsid w:val="008F3206"/>
    <w:rsid w:val="008F32EB"/>
    <w:rsid w:val="008F3427"/>
    <w:rsid w:val="008F357F"/>
    <w:rsid w:val="008F3A29"/>
    <w:rsid w:val="008F40BF"/>
    <w:rsid w:val="008F41A6"/>
    <w:rsid w:val="008F45E2"/>
    <w:rsid w:val="008F489B"/>
    <w:rsid w:val="008F496D"/>
    <w:rsid w:val="008F4A31"/>
    <w:rsid w:val="008F4AC3"/>
    <w:rsid w:val="008F4AE7"/>
    <w:rsid w:val="008F4B0C"/>
    <w:rsid w:val="008F4BBD"/>
    <w:rsid w:val="008F4DA1"/>
    <w:rsid w:val="008F5017"/>
    <w:rsid w:val="008F52BA"/>
    <w:rsid w:val="008F52BC"/>
    <w:rsid w:val="008F5352"/>
    <w:rsid w:val="008F5504"/>
    <w:rsid w:val="008F57BF"/>
    <w:rsid w:val="008F5BE1"/>
    <w:rsid w:val="008F5D54"/>
    <w:rsid w:val="008F5E9E"/>
    <w:rsid w:val="008F5EF6"/>
    <w:rsid w:val="008F6171"/>
    <w:rsid w:val="008F64AB"/>
    <w:rsid w:val="008F64E8"/>
    <w:rsid w:val="008F6640"/>
    <w:rsid w:val="008F66C6"/>
    <w:rsid w:val="008F6786"/>
    <w:rsid w:val="008F688F"/>
    <w:rsid w:val="008F68D4"/>
    <w:rsid w:val="008F68DB"/>
    <w:rsid w:val="008F6A84"/>
    <w:rsid w:val="008F6A97"/>
    <w:rsid w:val="008F6B8F"/>
    <w:rsid w:val="008F6F1D"/>
    <w:rsid w:val="008F7188"/>
    <w:rsid w:val="008F72B1"/>
    <w:rsid w:val="008F752B"/>
    <w:rsid w:val="008F75F0"/>
    <w:rsid w:val="008F7696"/>
    <w:rsid w:val="008F78E5"/>
    <w:rsid w:val="008F7A7B"/>
    <w:rsid w:val="008F7D9E"/>
    <w:rsid w:val="008F7F37"/>
    <w:rsid w:val="008F7F42"/>
    <w:rsid w:val="008F7F79"/>
    <w:rsid w:val="0090041A"/>
    <w:rsid w:val="009004F5"/>
    <w:rsid w:val="00900599"/>
    <w:rsid w:val="00900714"/>
    <w:rsid w:val="00900801"/>
    <w:rsid w:val="00900911"/>
    <w:rsid w:val="009009E0"/>
    <w:rsid w:val="00900ABA"/>
    <w:rsid w:val="00900CCF"/>
    <w:rsid w:val="009013B6"/>
    <w:rsid w:val="00901469"/>
    <w:rsid w:val="009019D3"/>
    <w:rsid w:val="009019E5"/>
    <w:rsid w:val="00901C87"/>
    <w:rsid w:val="00901E05"/>
    <w:rsid w:val="00901E41"/>
    <w:rsid w:val="00901F14"/>
    <w:rsid w:val="00901FC9"/>
    <w:rsid w:val="009020C1"/>
    <w:rsid w:val="0090224A"/>
    <w:rsid w:val="00902399"/>
    <w:rsid w:val="009024A2"/>
    <w:rsid w:val="009026D7"/>
    <w:rsid w:val="00902719"/>
    <w:rsid w:val="00902A20"/>
    <w:rsid w:val="00902B67"/>
    <w:rsid w:val="00902D31"/>
    <w:rsid w:val="009031EF"/>
    <w:rsid w:val="009033E4"/>
    <w:rsid w:val="00903B41"/>
    <w:rsid w:val="00903D18"/>
    <w:rsid w:val="00903D84"/>
    <w:rsid w:val="00903F45"/>
    <w:rsid w:val="00903F9F"/>
    <w:rsid w:val="009041C4"/>
    <w:rsid w:val="009041FD"/>
    <w:rsid w:val="00904252"/>
    <w:rsid w:val="0090435B"/>
    <w:rsid w:val="009045E9"/>
    <w:rsid w:val="0090465C"/>
    <w:rsid w:val="00904B7C"/>
    <w:rsid w:val="00905193"/>
    <w:rsid w:val="00905321"/>
    <w:rsid w:val="009056B1"/>
    <w:rsid w:val="009058C4"/>
    <w:rsid w:val="00905B1C"/>
    <w:rsid w:val="00906318"/>
    <w:rsid w:val="0090644C"/>
    <w:rsid w:val="0090647E"/>
    <w:rsid w:val="00906544"/>
    <w:rsid w:val="00906709"/>
    <w:rsid w:val="00906C28"/>
    <w:rsid w:val="00906D72"/>
    <w:rsid w:val="00906F47"/>
    <w:rsid w:val="0090708B"/>
    <w:rsid w:val="009075C1"/>
    <w:rsid w:val="0090779E"/>
    <w:rsid w:val="00907BFB"/>
    <w:rsid w:val="00907DC2"/>
    <w:rsid w:val="00907FCE"/>
    <w:rsid w:val="009100E3"/>
    <w:rsid w:val="00910225"/>
    <w:rsid w:val="00910569"/>
    <w:rsid w:val="0091061D"/>
    <w:rsid w:val="00910670"/>
    <w:rsid w:val="009106F9"/>
    <w:rsid w:val="00910981"/>
    <w:rsid w:val="00910B3C"/>
    <w:rsid w:val="00910C49"/>
    <w:rsid w:val="00910D5D"/>
    <w:rsid w:val="00911108"/>
    <w:rsid w:val="00911147"/>
    <w:rsid w:val="00911215"/>
    <w:rsid w:val="00911261"/>
    <w:rsid w:val="009114F7"/>
    <w:rsid w:val="009115A2"/>
    <w:rsid w:val="00911781"/>
    <w:rsid w:val="009117EE"/>
    <w:rsid w:val="009118A8"/>
    <w:rsid w:val="0091196A"/>
    <w:rsid w:val="00911A1A"/>
    <w:rsid w:val="00911B9C"/>
    <w:rsid w:val="00911BC1"/>
    <w:rsid w:val="00911D53"/>
    <w:rsid w:val="00911DC5"/>
    <w:rsid w:val="00911DEC"/>
    <w:rsid w:val="00911EF4"/>
    <w:rsid w:val="00911EF6"/>
    <w:rsid w:val="0091217D"/>
    <w:rsid w:val="0091236A"/>
    <w:rsid w:val="00912652"/>
    <w:rsid w:val="009127F7"/>
    <w:rsid w:val="0091284D"/>
    <w:rsid w:val="00912AB3"/>
    <w:rsid w:val="00912F1E"/>
    <w:rsid w:val="009134BD"/>
    <w:rsid w:val="00913607"/>
    <w:rsid w:val="00913A28"/>
    <w:rsid w:val="00913B16"/>
    <w:rsid w:val="00913C81"/>
    <w:rsid w:val="0091457D"/>
    <w:rsid w:val="009146BD"/>
    <w:rsid w:val="00914891"/>
    <w:rsid w:val="0091495B"/>
    <w:rsid w:val="00914F98"/>
    <w:rsid w:val="009150CC"/>
    <w:rsid w:val="00915346"/>
    <w:rsid w:val="00915408"/>
    <w:rsid w:val="009155CD"/>
    <w:rsid w:val="00915A4A"/>
    <w:rsid w:val="0091602D"/>
    <w:rsid w:val="009162E3"/>
    <w:rsid w:val="00916406"/>
    <w:rsid w:val="00916897"/>
    <w:rsid w:val="00916C9F"/>
    <w:rsid w:val="00916CB5"/>
    <w:rsid w:val="00916E85"/>
    <w:rsid w:val="00916EAD"/>
    <w:rsid w:val="00916FE2"/>
    <w:rsid w:val="00917102"/>
    <w:rsid w:val="00917152"/>
    <w:rsid w:val="00917200"/>
    <w:rsid w:val="00917572"/>
    <w:rsid w:val="00917750"/>
    <w:rsid w:val="00917786"/>
    <w:rsid w:val="0091782E"/>
    <w:rsid w:val="00917831"/>
    <w:rsid w:val="00917835"/>
    <w:rsid w:val="009200EC"/>
    <w:rsid w:val="00920288"/>
    <w:rsid w:val="0092028B"/>
    <w:rsid w:val="00920474"/>
    <w:rsid w:val="00920D75"/>
    <w:rsid w:val="00921828"/>
    <w:rsid w:val="00921900"/>
    <w:rsid w:val="009219C9"/>
    <w:rsid w:val="009219CE"/>
    <w:rsid w:val="00921A7E"/>
    <w:rsid w:val="00921E63"/>
    <w:rsid w:val="00922051"/>
    <w:rsid w:val="009220CA"/>
    <w:rsid w:val="00922310"/>
    <w:rsid w:val="009224A4"/>
    <w:rsid w:val="009225B0"/>
    <w:rsid w:val="00922AF5"/>
    <w:rsid w:val="00922C89"/>
    <w:rsid w:val="00922D7B"/>
    <w:rsid w:val="009230A5"/>
    <w:rsid w:val="0092317F"/>
    <w:rsid w:val="0092363C"/>
    <w:rsid w:val="0092364C"/>
    <w:rsid w:val="009236AD"/>
    <w:rsid w:val="00923780"/>
    <w:rsid w:val="009237A7"/>
    <w:rsid w:val="00923801"/>
    <w:rsid w:val="009238A0"/>
    <w:rsid w:val="00923AD6"/>
    <w:rsid w:val="00923C70"/>
    <w:rsid w:val="00923DD4"/>
    <w:rsid w:val="00923E8F"/>
    <w:rsid w:val="009240C8"/>
    <w:rsid w:val="009241AE"/>
    <w:rsid w:val="00924DEE"/>
    <w:rsid w:val="00925195"/>
    <w:rsid w:val="0092535F"/>
    <w:rsid w:val="009253EE"/>
    <w:rsid w:val="00925487"/>
    <w:rsid w:val="009254B2"/>
    <w:rsid w:val="00925586"/>
    <w:rsid w:val="00925D1C"/>
    <w:rsid w:val="009261BE"/>
    <w:rsid w:val="00926598"/>
    <w:rsid w:val="00926628"/>
    <w:rsid w:val="009266AC"/>
    <w:rsid w:val="009268BD"/>
    <w:rsid w:val="00926941"/>
    <w:rsid w:val="00926ACA"/>
    <w:rsid w:val="00926B9C"/>
    <w:rsid w:val="00926FE4"/>
    <w:rsid w:val="009271A4"/>
    <w:rsid w:val="009271E4"/>
    <w:rsid w:val="0092759D"/>
    <w:rsid w:val="009275AF"/>
    <w:rsid w:val="009275D7"/>
    <w:rsid w:val="0092776B"/>
    <w:rsid w:val="0092794B"/>
    <w:rsid w:val="00927955"/>
    <w:rsid w:val="00927E53"/>
    <w:rsid w:val="009300D3"/>
    <w:rsid w:val="00930115"/>
    <w:rsid w:val="009301C5"/>
    <w:rsid w:val="00930596"/>
    <w:rsid w:val="009306A0"/>
    <w:rsid w:val="009306CF"/>
    <w:rsid w:val="00930908"/>
    <w:rsid w:val="00930924"/>
    <w:rsid w:val="00930948"/>
    <w:rsid w:val="009309CE"/>
    <w:rsid w:val="00930A5C"/>
    <w:rsid w:val="00930A7F"/>
    <w:rsid w:val="00930B76"/>
    <w:rsid w:val="00930D85"/>
    <w:rsid w:val="00930DD4"/>
    <w:rsid w:val="00930E7A"/>
    <w:rsid w:val="00931123"/>
    <w:rsid w:val="0093136D"/>
    <w:rsid w:val="00931520"/>
    <w:rsid w:val="009317EB"/>
    <w:rsid w:val="009319E9"/>
    <w:rsid w:val="00931B41"/>
    <w:rsid w:val="00931BDD"/>
    <w:rsid w:val="00931CC6"/>
    <w:rsid w:val="00931CCE"/>
    <w:rsid w:val="00931EBB"/>
    <w:rsid w:val="00931F02"/>
    <w:rsid w:val="0093203F"/>
    <w:rsid w:val="00932117"/>
    <w:rsid w:val="00932236"/>
    <w:rsid w:val="009324D3"/>
    <w:rsid w:val="0093250D"/>
    <w:rsid w:val="00932758"/>
    <w:rsid w:val="009328BE"/>
    <w:rsid w:val="009329DF"/>
    <w:rsid w:val="00932A12"/>
    <w:rsid w:val="00932A4A"/>
    <w:rsid w:val="00932DC2"/>
    <w:rsid w:val="0093320A"/>
    <w:rsid w:val="00933278"/>
    <w:rsid w:val="00933489"/>
    <w:rsid w:val="009334A6"/>
    <w:rsid w:val="00933538"/>
    <w:rsid w:val="009335C6"/>
    <w:rsid w:val="009335F0"/>
    <w:rsid w:val="00933857"/>
    <w:rsid w:val="00933BFA"/>
    <w:rsid w:val="00933C3A"/>
    <w:rsid w:val="0093428B"/>
    <w:rsid w:val="00934313"/>
    <w:rsid w:val="00934400"/>
    <w:rsid w:val="00934F7E"/>
    <w:rsid w:val="009353FA"/>
    <w:rsid w:val="0093582A"/>
    <w:rsid w:val="00935855"/>
    <w:rsid w:val="00935CEC"/>
    <w:rsid w:val="00935D4C"/>
    <w:rsid w:val="00936067"/>
    <w:rsid w:val="0093637F"/>
    <w:rsid w:val="009363E7"/>
    <w:rsid w:val="00936616"/>
    <w:rsid w:val="00936793"/>
    <w:rsid w:val="0093712F"/>
    <w:rsid w:val="00937294"/>
    <w:rsid w:val="0093761C"/>
    <w:rsid w:val="00937674"/>
    <w:rsid w:val="0093784E"/>
    <w:rsid w:val="009378AF"/>
    <w:rsid w:val="00937E7A"/>
    <w:rsid w:val="00937FF4"/>
    <w:rsid w:val="009401AA"/>
    <w:rsid w:val="009402C6"/>
    <w:rsid w:val="00940522"/>
    <w:rsid w:val="00940563"/>
    <w:rsid w:val="00940C9F"/>
    <w:rsid w:val="00941110"/>
    <w:rsid w:val="00941246"/>
    <w:rsid w:val="009412FE"/>
    <w:rsid w:val="00941548"/>
    <w:rsid w:val="009416A4"/>
    <w:rsid w:val="00941C67"/>
    <w:rsid w:val="00941CB3"/>
    <w:rsid w:val="00941E61"/>
    <w:rsid w:val="00941F02"/>
    <w:rsid w:val="00942164"/>
    <w:rsid w:val="00942196"/>
    <w:rsid w:val="0094219E"/>
    <w:rsid w:val="00942313"/>
    <w:rsid w:val="009426FE"/>
    <w:rsid w:val="0094272D"/>
    <w:rsid w:val="0094293F"/>
    <w:rsid w:val="00942C6E"/>
    <w:rsid w:val="00942CD5"/>
    <w:rsid w:val="00942DFA"/>
    <w:rsid w:val="0094339A"/>
    <w:rsid w:val="0094354A"/>
    <w:rsid w:val="0094368F"/>
    <w:rsid w:val="009436A5"/>
    <w:rsid w:val="009437FC"/>
    <w:rsid w:val="009437FD"/>
    <w:rsid w:val="00943877"/>
    <w:rsid w:val="0094392A"/>
    <w:rsid w:val="00943B1A"/>
    <w:rsid w:val="00943DF5"/>
    <w:rsid w:val="00943E1B"/>
    <w:rsid w:val="00943F56"/>
    <w:rsid w:val="00944086"/>
    <w:rsid w:val="0094413D"/>
    <w:rsid w:val="00944423"/>
    <w:rsid w:val="00944505"/>
    <w:rsid w:val="00944600"/>
    <w:rsid w:val="009446D3"/>
    <w:rsid w:val="009449FA"/>
    <w:rsid w:val="00944D51"/>
    <w:rsid w:val="0094509D"/>
    <w:rsid w:val="00945690"/>
    <w:rsid w:val="00945703"/>
    <w:rsid w:val="00945B8F"/>
    <w:rsid w:val="00945BD2"/>
    <w:rsid w:val="00945EAE"/>
    <w:rsid w:val="00945FEC"/>
    <w:rsid w:val="00946332"/>
    <w:rsid w:val="00946444"/>
    <w:rsid w:val="009466FD"/>
    <w:rsid w:val="009468FD"/>
    <w:rsid w:val="00946923"/>
    <w:rsid w:val="009469F1"/>
    <w:rsid w:val="00946D5B"/>
    <w:rsid w:val="00947090"/>
    <w:rsid w:val="009474A1"/>
    <w:rsid w:val="00947684"/>
    <w:rsid w:val="009476E9"/>
    <w:rsid w:val="009477CD"/>
    <w:rsid w:val="009478EF"/>
    <w:rsid w:val="00947D8F"/>
    <w:rsid w:val="00947DCA"/>
    <w:rsid w:val="00947DCD"/>
    <w:rsid w:val="00950277"/>
    <w:rsid w:val="0095036A"/>
    <w:rsid w:val="009503CA"/>
    <w:rsid w:val="00950721"/>
    <w:rsid w:val="00950746"/>
    <w:rsid w:val="009507F6"/>
    <w:rsid w:val="00950831"/>
    <w:rsid w:val="009509C5"/>
    <w:rsid w:val="009509EA"/>
    <w:rsid w:val="00950A02"/>
    <w:rsid w:val="00950DEF"/>
    <w:rsid w:val="00950F5B"/>
    <w:rsid w:val="00951056"/>
    <w:rsid w:val="0095107B"/>
    <w:rsid w:val="009511F1"/>
    <w:rsid w:val="00951485"/>
    <w:rsid w:val="009515BD"/>
    <w:rsid w:val="0095182F"/>
    <w:rsid w:val="00951C28"/>
    <w:rsid w:val="009520B4"/>
    <w:rsid w:val="0095211A"/>
    <w:rsid w:val="009526D4"/>
    <w:rsid w:val="009528D8"/>
    <w:rsid w:val="009529DD"/>
    <w:rsid w:val="00952A2F"/>
    <w:rsid w:val="00952BDE"/>
    <w:rsid w:val="00952D6F"/>
    <w:rsid w:val="00952FDA"/>
    <w:rsid w:val="009532F7"/>
    <w:rsid w:val="009533CC"/>
    <w:rsid w:val="0095345B"/>
    <w:rsid w:val="00953B19"/>
    <w:rsid w:val="00953CC7"/>
    <w:rsid w:val="00954158"/>
    <w:rsid w:val="0095453D"/>
    <w:rsid w:val="009547EC"/>
    <w:rsid w:val="00954991"/>
    <w:rsid w:val="00954D3C"/>
    <w:rsid w:val="00955106"/>
    <w:rsid w:val="00955218"/>
    <w:rsid w:val="0095547B"/>
    <w:rsid w:val="009555FE"/>
    <w:rsid w:val="009559EA"/>
    <w:rsid w:val="00955CA5"/>
    <w:rsid w:val="00955FA7"/>
    <w:rsid w:val="0095637D"/>
    <w:rsid w:val="00956497"/>
    <w:rsid w:val="00956598"/>
    <w:rsid w:val="009565CC"/>
    <w:rsid w:val="009567D2"/>
    <w:rsid w:val="00956890"/>
    <w:rsid w:val="0095696B"/>
    <w:rsid w:val="00956AE3"/>
    <w:rsid w:val="00956AE7"/>
    <w:rsid w:val="00956B53"/>
    <w:rsid w:val="00956C51"/>
    <w:rsid w:val="00956E13"/>
    <w:rsid w:val="00956E52"/>
    <w:rsid w:val="00956F81"/>
    <w:rsid w:val="00956FF5"/>
    <w:rsid w:val="00957150"/>
    <w:rsid w:val="0095718A"/>
    <w:rsid w:val="009572E8"/>
    <w:rsid w:val="009575A8"/>
    <w:rsid w:val="009575CE"/>
    <w:rsid w:val="009576EE"/>
    <w:rsid w:val="00957F9E"/>
    <w:rsid w:val="00960014"/>
    <w:rsid w:val="00960537"/>
    <w:rsid w:val="00960747"/>
    <w:rsid w:val="009609E5"/>
    <w:rsid w:val="00960AB4"/>
    <w:rsid w:val="00960D36"/>
    <w:rsid w:val="00960D4F"/>
    <w:rsid w:val="00960E75"/>
    <w:rsid w:val="00960F38"/>
    <w:rsid w:val="00961281"/>
    <w:rsid w:val="0096156C"/>
    <w:rsid w:val="00961B23"/>
    <w:rsid w:val="00961DEB"/>
    <w:rsid w:val="00961E72"/>
    <w:rsid w:val="00962257"/>
    <w:rsid w:val="00962309"/>
    <w:rsid w:val="009628CF"/>
    <w:rsid w:val="00962A22"/>
    <w:rsid w:val="00962F25"/>
    <w:rsid w:val="0096303E"/>
    <w:rsid w:val="009630A4"/>
    <w:rsid w:val="00963259"/>
    <w:rsid w:val="009639CE"/>
    <w:rsid w:val="009639F7"/>
    <w:rsid w:val="00963A78"/>
    <w:rsid w:val="00963AD5"/>
    <w:rsid w:val="00963D5D"/>
    <w:rsid w:val="00963EC4"/>
    <w:rsid w:val="00963EC7"/>
    <w:rsid w:val="00963F2E"/>
    <w:rsid w:val="00963FD1"/>
    <w:rsid w:val="00963FFF"/>
    <w:rsid w:val="0096478C"/>
    <w:rsid w:val="00964B44"/>
    <w:rsid w:val="00964CEC"/>
    <w:rsid w:val="00964EE3"/>
    <w:rsid w:val="0096557F"/>
    <w:rsid w:val="009659F6"/>
    <w:rsid w:val="00965AA7"/>
    <w:rsid w:val="00965AD8"/>
    <w:rsid w:val="00965B86"/>
    <w:rsid w:val="00965D64"/>
    <w:rsid w:val="00966034"/>
    <w:rsid w:val="00966058"/>
    <w:rsid w:val="009662BA"/>
    <w:rsid w:val="00966314"/>
    <w:rsid w:val="009663C3"/>
    <w:rsid w:val="00966485"/>
    <w:rsid w:val="0096653C"/>
    <w:rsid w:val="00966A7F"/>
    <w:rsid w:val="00966B2F"/>
    <w:rsid w:val="00966CAB"/>
    <w:rsid w:val="009672F3"/>
    <w:rsid w:val="00967529"/>
    <w:rsid w:val="00967530"/>
    <w:rsid w:val="00967536"/>
    <w:rsid w:val="0096761E"/>
    <w:rsid w:val="00967699"/>
    <w:rsid w:val="0096799C"/>
    <w:rsid w:val="009679E8"/>
    <w:rsid w:val="00970216"/>
    <w:rsid w:val="00970312"/>
    <w:rsid w:val="00970CA9"/>
    <w:rsid w:val="00970E36"/>
    <w:rsid w:val="00970EA0"/>
    <w:rsid w:val="00970F15"/>
    <w:rsid w:val="00970FD9"/>
    <w:rsid w:val="0097123E"/>
    <w:rsid w:val="009712CE"/>
    <w:rsid w:val="0097146F"/>
    <w:rsid w:val="00971658"/>
    <w:rsid w:val="009717C6"/>
    <w:rsid w:val="00971833"/>
    <w:rsid w:val="00971A21"/>
    <w:rsid w:val="00971B28"/>
    <w:rsid w:val="00971E18"/>
    <w:rsid w:val="0097201A"/>
    <w:rsid w:val="0097251B"/>
    <w:rsid w:val="00972576"/>
    <w:rsid w:val="00972835"/>
    <w:rsid w:val="0097298C"/>
    <w:rsid w:val="009729CE"/>
    <w:rsid w:val="009729E1"/>
    <w:rsid w:val="00972B94"/>
    <w:rsid w:val="00972C33"/>
    <w:rsid w:val="00972D2A"/>
    <w:rsid w:val="009730E5"/>
    <w:rsid w:val="00973229"/>
    <w:rsid w:val="00973364"/>
    <w:rsid w:val="00973405"/>
    <w:rsid w:val="0097349C"/>
    <w:rsid w:val="00973CC7"/>
    <w:rsid w:val="00974276"/>
    <w:rsid w:val="00974359"/>
    <w:rsid w:val="0097495E"/>
    <w:rsid w:val="00974A1A"/>
    <w:rsid w:val="00974BE0"/>
    <w:rsid w:val="00974FA9"/>
    <w:rsid w:val="00975039"/>
    <w:rsid w:val="009751D0"/>
    <w:rsid w:val="0097536F"/>
    <w:rsid w:val="009755C5"/>
    <w:rsid w:val="00975604"/>
    <w:rsid w:val="0097573B"/>
    <w:rsid w:val="00975893"/>
    <w:rsid w:val="00975ADE"/>
    <w:rsid w:val="00975C62"/>
    <w:rsid w:val="009760B2"/>
    <w:rsid w:val="009761C7"/>
    <w:rsid w:val="009763D7"/>
    <w:rsid w:val="009765A7"/>
    <w:rsid w:val="00976A9D"/>
    <w:rsid w:val="00976B69"/>
    <w:rsid w:val="00976D0E"/>
    <w:rsid w:val="00977064"/>
    <w:rsid w:val="009770EB"/>
    <w:rsid w:val="009771A8"/>
    <w:rsid w:val="009771BB"/>
    <w:rsid w:val="009771BE"/>
    <w:rsid w:val="00977542"/>
    <w:rsid w:val="009775F1"/>
    <w:rsid w:val="009777CD"/>
    <w:rsid w:val="0097787A"/>
    <w:rsid w:val="0097788E"/>
    <w:rsid w:val="00977B81"/>
    <w:rsid w:val="00977DEC"/>
    <w:rsid w:val="009804C9"/>
    <w:rsid w:val="0098069A"/>
    <w:rsid w:val="00980F34"/>
    <w:rsid w:val="0098122C"/>
    <w:rsid w:val="00981243"/>
    <w:rsid w:val="00981588"/>
    <w:rsid w:val="009816A5"/>
    <w:rsid w:val="009816DB"/>
    <w:rsid w:val="00981D26"/>
    <w:rsid w:val="00981D44"/>
    <w:rsid w:val="00982036"/>
    <w:rsid w:val="00982085"/>
    <w:rsid w:val="0098209C"/>
    <w:rsid w:val="009822F6"/>
    <w:rsid w:val="00982769"/>
    <w:rsid w:val="009827EC"/>
    <w:rsid w:val="00982A44"/>
    <w:rsid w:val="00982D89"/>
    <w:rsid w:val="00983123"/>
    <w:rsid w:val="00983188"/>
    <w:rsid w:val="0098326A"/>
    <w:rsid w:val="00983320"/>
    <w:rsid w:val="00983485"/>
    <w:rsid w:val="009837D8"/>
    <w:rsid w:val="009838DC"/>
    <w:rsid w:val="009842FE"/>
    <w:rsid w:val="0098463E"/>
    <w:rsid w:val="00984936"/>
    <w:rsid w:val="00984C10"/>
    <w:rsid w:val="00984CC4"/>
    <w:rsid w:val="00984D91"/>
    <w:rsid w:val="00984F79"/>
    <w:rsid w:val="00984FAF"/>
    <w:rsid w:val="00984FF0"/>
    <w:rsid w:val="00985090"/>
    <w:rsid w:val="009855F4"/>
    <w:rsid w:val="00985681"/>
    <w:rsid w:val="009856A2"/>
    <w:rsid w:val="0098580B"/>
    <w:rsid w:val="00985E1D"/>
    <w:rsid w:val="00986949"/>
    <w:rsid w:val="00986A3D"/>
    <w:rsid w:val="00986D07"/>
    <w:rsid w:val="00986D9B"/>
    <w:rsid w:val="00986F9C"/>
    <w:rsid w:val="00986FEB"/>
    <w:rsid w:val="009874C4"/>
    <w:rsid w:val="009879CF"/>
    <w:rsid w:val="00987A01"/>
    <w:rsid w:val="00987A7F"/>
    <w:rsid w:val="009901C6"/>
    <w:rsid w:val="009902A5"/>
    <w:rsid w:val="009905A6"/>
    <w:rsid w:val="00990C18"/>
    <w:rsid w:val="00990C99"/>
    <w:rsid w:val="00990C9B"/>
    <w:rsid w:val="00990ED2"/>
    <w:rsid w:val="009910A7"/>
    <w:rsid w:val="00991152"/>
    <w:rsid w:val="0099126B"/>
    <w:rsid w:val="0099146D"/>
    <w:rsid w:val="00991867"/>
    <w:rsid w:val="0099199A"/>
    <w:rsid w:val="00991A49"/>
    <w:rsid w:val="00991D48"/>
    <w:rsid w:val="00991F63"/>
    <w:rsid w:val="00991FBF"/>
    <w:rsid w:val="0099201E"/>
    <w:rsid w:val="0099241E"/>
    <w:rsid w:val="0099259F"/>
    <w:rsid w:val="0099297C"/>
    <w:rsid w:val="00992A98"/>
    <w:rsid w:val="00992C99"/>
    <w:rsid w:val="0099303D"/>
    <w:rsid w:val="0099373E"/>
    <w:rsid w:val="00993ACB"/>
    <w:rsid w:val="00993C94"/>
    <w:rsid w:val="00993CA4"/>
    <w:rsid w:val="009941C4"/>
    <w:rsid w:val="009942BA"/>
    <w:rsid w:val="009945FC"/>
    <w:rsid w:val="00994717"/>
    <w:rsid w:val="009949BE"/>
    <w:rsid w:val="00994A21"/>
    <w:rsid w:val="00994BFC"/>
    <w:rsid w:val="00994FB5"/>
    <w:rsid w:val="00995303"/>
    <w:rsid w:val="00995321"/>
    <w:rsid w:val="009953F5"/>
    <w:rsid w:val="009957B5"/>
    <w:rsid w:val="009958A5"/>
    <w:rsid w:val="009958BD"/>
    <w:rsid w:val="0099591F"/>
    <w:rsid w:val="0099599A"/>
    <w:rsid w:val="00995A81"/>
    <w:rsid w:val="00996123"/>
    <w:rsid w:val="0099616B"/>
    <w:rsid w:val="00996240"/>
    <w:rsid w:val="009962FD"/>
    <w:rsid w:val="0099642C"/>
    <w:rsid w:val="009964CE"/>
    <w:rsid w:val="009964FE"/>
    <w:rsid w:val="009965FE"/>
    <w:rsid w:val="009966D3"/>
    <w:rsid w:val="0099691E"/>
    <w:rsid w:val="00996B8F"/>
    <w:rsid w:val="00996C07"/>
    <w:rsid w:val="00996E20"/>
    <w:rsid w:val="00996F21"/>
    <w:rsid w:val="00996FAE"/>
    <w:rsid w:val="00997100"/>
    <w:rsid w:val="0099739D"/>
    <w:rsid w:val="00997438"/>
    <w:rsid w:val="009974CC"/>
    <w:rsid w:val="00997630"/>
    <w:rsid w:val="00997FBC"/>
    <w:rsid w:val="009A0202"/>
    <w:rsid w:val="009A097C"/>
    <w:rsid w:val="009A0C13"/>
    <w:rsid w:val="009A0C25"/>
    <w:rsid w:val="009A0C78"/>
    <w:rsid w:val="009A0FEE"/>
    <w:rsid w:val="009A0FFD"/>
    <w:rsid w:val="009A1050"/>
    <w:rsid w:val="009A11A4"/>
    <w:rsid w:val="009A11D4"/>
    <w:rsid w:val="009A1592"/>
    <w:rsid w:val="009A15E3"/>
    <w:rsid w:val="009A15F1"/>
    <w:rsid w:val="009A18CC"/>
    <w:rsid w:val="009A1926"/>
    <w:rsid w:val="009A1927"/>
    <w:rsid w:val="009A1AF4"/>
    <w:rsid w:val="009A1B9F"/>
    <w:rsid w:val="009A1F42"/>
    <w:rsid w:val="009A256C"/>
    <w:rsid w:val="009A25E1"/>
    <w:rsid w:val="009A27E2"/>
    <w:rsid w:val="009A2B0F"/>
    <w:rsid w:val="009A2C92"/>
    <w:rsid w:val="009A2C94"/>
    <w:rsid w:val="009A2CAB"/>
    <w:rsid w:val="009A304F"/>
    <w:rsid w:val="009A3096"/>
    <w:rsid w:val="009A337F"/>
    <w:rsid w:val="009A35C2"/>
    <w:rsid w:val="009A37C1"/>
    <w:rsid w:val="009A3AD6"/>
    <w:rsid w:val="009A3E9D"/>
    <w:rsid w:val="009A3FD7"/>
    <w:rsid w:val="009A404C"/>
    <w:rsid w:val="009A471E"/>
    <w:rsid w:val="009A4747"/>
    <w:rsid w:val="009A4B17"/>
    <w:rsid w:val="009A4EAE"/>
    <w:rsid w:val="009A4F65"/>
    <w:rsid w:val="009A51DE"/>
    <w:rsid w:val="009A5495"/>
    <w:rsid w:val="009A5699"/>
    <w:rsid w:val="009A5970"/>
    <w:rsid w:val="009A5A45"/>
    <w:rsid w:val="009A5A52"/>
    <w:rsid w:val="009A5DFA"/>
    <w:rsid w:val="009A5E1E"/>
    <w:rsid w:val="009A6252"/>
    <w:rsid w:val="009A65B1"/>
    <w:rsid w:val="009A65BE"/>
    <w:rsid w:val="009A66F9"/>
    <w:rsid w:val="009A68F5"/>
    <w:rsid w:val="009A6926"/>
    <w:rsid w:val="009A6CC9"/>
    <w:rsid w:val="009A6FD0"/>
    <w:rsid w:val="009A740A"/>
    <w:rsid w:val="009A7485"/>
    <w:rsid w:val="009A7545"/>
    <w:rsid w:val="009A76FD"/>
    <w:rsid w:val="009A796F"/>
    <w:rsid w:val="009A7B35"/>
    <w:rsid w:val="009A7B4C"/>
    <w:rsid w:val="009A7C6A"/>
    <w:rsid w:val="009A7D00"/>
    <w:rsid w:val="009A7E96"/>
    <w:rsid w:val="009A7F4E"/>
    <w:rsid w:val="009B0020"/>
    <w:rsid w:val="009B00B9"/>
    <w:rsid w:val="009B0131"/>
    <w:rsid w:val="009B0350"/>
    <w:rsid w:val="009B054D"/>
    <w:rsid w:val="009B06D2"/>
    <w:rsid w:val="009B06EC"/>
    <w:rsid w:val="009B07DD"/>
    <w:rsid w:val="009B0835"/>
    <w:rsid w:val="009B0C81"/>
    <w:rsid w:val="009B0E27"/>
    <w:rsid w:val="009B13B8"/>
    <w:rsid w:val="009B13D9"/>
    <w:rsid w:val="009B147A"/>
    <w:rsid w:val="009B1725"/>
    <w:rsid w:val="009B1785"/>
    <w:rsid w:val="009B1A52"/>
    <w:rsid w:val="009B1A58"/>
    <w:rsid w:val="009B1ABE"/>
    <w:rsid w:val="009B1DF7"/>
    <w:rsid w:val="009B1F80"/>
    <w:rsid w:val="009B200A"/>
    <w:rsid w:val="009B2079"/>
    <w:rsid w:val="009B239B"/>
    <w:rsid w:val="009B288B"/>
    <w:rsid w:val="009B2E9A"/>
    <w:rsid w:val="009B308B"/>
    <w:rsid w:val="009B30A3"/>
    <w:rsid w:val="009B351E"/>
    <w:rsid w:val="009B381C"/>
    <w:rsid w:val="009B39D0"/>
    <w:rsid w:val="009B4035"/>
    <w:rsid w:val="009B45BB"/>
    <w:rsid w:val="009B4634"/>
    <w:rsid w:val="009B4704"/>
    <w:rsid w:val="009B50A2"/>
    <w:rsid w:val="009B516D"/>
    <w:rsid w:val="009B51D8"/>
    <w:rsid w:val="009B51F3"/>
    <w:rsid w:val="009B5594"/>
    <w:rsid w:val="009B559F"/>
    <w:rsid w:val="009B5868"/>
    <w:rsid w:val="009B5AB1"/>
    <w:rsid w:val="009B5B05"/>
    <w:rsid w:val="009B5B25"/>
    <w:rsid w:val="009B5B27"/>
    <w:rsid w:val="009B5BCC"/>
    <w:rsid w:val="009B5BE6"/>
    <w:rsid w:val="009B5C93"/>
    <w:rsid w:val="009B5DC6"/>
    <w:rsid w:val="009B605C"/>
    <w:rsid w:val="009B60C1"/>
    <w:rsid w:val="009B62C1"/>
    <w:rsid w:val="009B633D"/>
    <w:rsid w:val="009B67A7"/>
    <w:rsid w:val="009B6800"/>
    <w:rsid w:val="009B6CBB"/>
    <w:rsid w:val="009B6D15"/>
    <w:rsid w:val="009B6F09"/>
    <w:rsid w:val="009B7087"/>
    <w:rsid w:val="009B70E7"/>
    <w:rsid w:val="009B7280"/>
    <w:rsid w:val="009B72C8"/>
    <w:rsid w:val="009B74FB"/>
    <w:rsid w:val="009B7587"/>
    <w:rsid w:val="009B75C8"/>
    <w:rsid w:val="009B78D1"/>
    <w:rsid w:val="009B78EC"/>
    <w:rsid w:val="009B79B1"/>
    <w:rsid w:val="009B7D24"/>
    <w:rsid w:val="009B7E35"/>
    <w:rsid w:val="009B7E5A"/>
    <w:rsid w:val="009B7E74"/>
    <w:rsid w:val="009B7F5F"/>
    <w:rsid w:val="009C028A"/>
    <w:rsid w:val="009C057F"/>
    <w:rsid w:val="009C0640"/>
    <w:rsid w:val="009C0978"/>
    <w:rsid w:val="009C0AC8"/>
    <w:rsid w:val="009C0C22"/>
    <w:rsid w:val="009C0FBA"/>
    <w:rsid w:val="009C1085"/>
    <w:rsid w:val="009C10E1"/>
    <w:rsid w:val="009C1174"/>
    <w:rsid w:val="009C160E"/>
    <w:rsid w:val="009C1731"/>
    <w:rsid w:val="009C17F5"/>
    <w:rsid w:val="009C1821"/>
    <w:rsid w:val="009C1C31"/>
    <w:rsid w:val="009C1DA1"/>
    <w:rsid w:val="009C2189"/>
    <w:rsid w:val="009C21B2"/>
    <w:rsid w:val="009C2218"/>
    <w:rsid w:val="009C22C3"/>
    <w:rsid w:val="009C233A"/>
    <w:rsid w:val="009C2595"/>
    <w:rsid w:val="009C2836"/>
    <w:rsid w:val="009C2925"/>
    <w:rsid w:val="009C297E"/>
    <w:rsid w:val="009C2B81"/>
    <w:rsid w:val="009C2F2B"/>
    <w:rsid w:val="009C30E0"/>
    <w:rsid w:val="009C31C5"/>
    <w:rsid w:val="009C3233"/>
    <w:rsid w:val="009C36DF"/>
    <w:rsid w:val="009C3740"/>
    <w:rsid w:val="009C38FF"/>
    <w:rsid w:val="009C3C0A"/>
    <w:rsid w:val="009C3D82"/>
    <w:rsid w:val="009C3DE3"/>
    <w:rsid w:val="009C4755"/>
    <w:rsid w:val="009C487F"/>
    <w:rsid w:val="009C4939"/>
    <w:rsid w:val="009C4AE9"/>
    <w:rsid w:val="009C4F7B"/>
    <w:rsid w:val="009C5237"/>
    <w:rsid w:val="009C5475"/>
    <w:rsid w:val="009C56BD"/>
    <w:rsid w:val="009C582A"/>
    <w:rsid w:val="009C5EC3"/>
    <w:rsid w:val="009C5ED0"/>
    <w:rsid w:val="009C6153"/>
    <w:rsid w:val="009C6411"/>
    <w:rsid w:val="009C64F0"/>
    <w:rsid w:val="009C65C9"/>
    <w:rsid w:val="009C662A"/>
    <w:rsid w:val="009C6692"/>
    <w:rsid w:val="009C730A"/>
    <w:rsid w:val="009C7386"/>
    <w:rsid w:val="009C73C0"/>
    <w:rsid w:val="009C7831"/>
    <w:rsid w:val="009C7DD0"/>
    <w:rsid w:val="009C7E2A"/>
    <w:rsid w:val="009C7F33"/>
    <w:rsid w:val="009D004B"/>
    <w:rsid w:val="009D01FB"/>
    <w:rsid w:val="009D04AF"/>
    <w:rsid w:val="009D0661"/>
    <w:rsid w:val="009D077F"/>
    <w:rsid w:val="009D09DE"/>
    <w:rsid w:val="009D0C0E"/>
    <w:rsid w:val="009D0CFF"/>
    <w:rsid w:val="009D10F0"/>
    <w:rsid w:val="009D173B"/>
    <w:rsid w:val="009D1A3A"/>
    <w:rsid w:val="009D1AD3"/>
    <w:rsid w:val="009D1EE6"/>
    <w:rsid w:val="009D2521"/>
    <w:rsid w:val="009D2538"/>
    <w:rsid w:val="009D2960"/>
    <w:rsid w:val="009D2ABC"/>
    <w:rsid w:val="009D2B9C"/>
    <w:rsid w:val="009D3405"/>
    <w:rsid w:val="009D368D"/>
    <w:rsid w:val="009D36EE"/>
    <w:rsid w:val="009D37CA"/>
    <w:rsid w:val="009D3A06"/>
    <w:rsid w:val="009D3C72"/>
    <w:rsid w:val="009D3D2D"/>
    <w:rsid w:val="009D3D34"/>
    <w:rsid w:val="009D3E6C"/>
    <w:rsid w:val="009D3EE3"/>
    <w:rsid w:val="009D3F55"/>
    <w:rsid w:val="009D4002"/>
    <w:rsid w:val="009D437B"/>
    <w:rsid w:val="009D43FA"/>
    <w:rsid w:val="009D4495"/>
    <w:rsid w:val="009D44AF"/>
    <w:rsid w:val="009D47BB"/>
    <w:rsid w:val="009D47BC"/>
    <w:rsid w:val="009D4829"/>
    <w:rsid w:val="009D4868"/>
    <w:rsid w:val="009D4BE1"/>
    <w:rsid w:val="009D4C3E"/>
    <w:rsid w:val="009D4CD4"/>
    <w:rsid w:val="009D4D58"/>
    <w:rsid w:val="009D5137"/>
    <w:rsid w:val="009D55D7"/>
    <w:rsid w:val="009D56FC"/>
    <w:rsid w:val="009D5886"/>
    <w:rsid w:val="009D5B4F"/>
    <w:rsid w:val="009D5B56"/>
    <w:rsid w:val="009D5C56"/>
    <w:rsid w:val="009D5CDE"/>
    <w:rsid w:val="009D5DF3"/>
    <w:rsid w:val="009D5E3A"/>
    <w:rsid w:val="009D60AF"/>
    <w:rsid w:val="009D61A1"/>
    <w:rsid w:val="009D61BA"/>
    <w:rsid w:val="009D6218"/>
    <w:rsid w:val="009D63C2"/>
    <w:rsid w:val="009D6470"/>
    <w:rsid w:val="009D6490"/>
    <w:rsid w:val="009D652F"/>
    <w:rsid w:val="009D659B"/>
    <w:rsid w:val="009D662C"/>
    <w:rsid w:val="009D6729"/>
    <w:rsid w:val="009D6B67"/>
    <w:rsid w:val="009D6E3D"/>
    <w:rsid w:val="009D6EAF"/>
    <w:rsid w:val="009D7154"/>
    <w:rsid w:val="009D72E5"/>
    <w:rsid w:val="009D7531"/>
    <w:rsid w:val="009D77B5"/>
    <w:rsid w:val="009D7C81"/>
    <w:rsid w:val="009D7D16"/>
    <w:rsid w:val="009E0426"/>
    <w:rsid w:val="009E042E"/>
    <w:rsid w:val="009E0522"/>
    <w:rsid w:val="009E0632"/>
    <w:rsid w:val="009E06B2"/>
    <w:rsid w:val="009E0988"/>
    <w:rsid w:val="009E0BFD"/>
    <w:rsid w:val="009E0CA7"/>
    <w:rsid w:val="009E1027"/>
    <w:rsid w:val="009E184C"/>
    <w:rsid w:val="009E188D"/>
    <w:rsid w:val="009E18F1"/>
    <w:rsid w:val="009E1A1F"/>
    <w:rsid w:val="009E1C1C"/>
    <w:rsid w:val="009E1D74"/>
    <w:rsid w:val="009E1E70"/>
    <w:rsid w:val="009E1EAD"/>
    <w:rsid w:val="009E1FB2"/>
    <w:rsid w:val="009E21E5"/>
    <w:rsid w:val="009E2516"/>
    <w:rsid w:val="009E2537"/>
    <w:rsid w:val="009E2A14"/>
    <w:rsid w:val="009E2B66"/>
    <w:rsid w:val="009E2E51"/>
    <w:rsid w:val="009E2EB7"/>
    <w:rsid w:val="009E2F1E"/>
    <w:rsid w:val="009E33A6"/>
    <w:rsid w:val="009E38AB"/>
    <w:rsid w:val="009E38BE"/>
    <w:rsid w:val="009E3E64"/>
    <w:rsid w:val="009E42D1"/>
    <w:rsid w:val="009E4304"/>
    <w:rsid w:val="009E43AB"/>
    <w:rsid w:val="009E44BE"/>
    <w:rsid w:val="009E4771"/>
    <w:rsid w:val="009E48B3"/>
    <w:rsid w:val="009E4A4E"/>
    <w:rsid w:val="009E4BED"/>
    <w:rsid w:val="009E4D9F"/>
    <w:rsid w:val="009E50BA"/>
    <w:rsid w:val="009E515D"/>
    <w:rsid w:val="009E5488"/>
    <w:rsid w:val="009E5A40"/>
    <w:rsid w:val="009E5AD3"/>
    <w:rsid w:val="009E5CF5"/>
    <w:rsid w:val="009E5DC7"/>
    <w:rsid w:val="009E5F6D"/>
    <w:rsid w:val="009E5FE6"/>
    <w:rsid w:val="009E604A"/>
    <w:rsid w:val="009E6116"/>
    <w:rsid w:val="009E61BE"/>
    <w:rsid w:val="009E63DE"/>
    <w:rsid w:val="009E6A24"/>
    <w:rsid w:val="009E6B4B"/>
    <w:rsid w:val="009E6C8C"/>
    <w:rsid w:val="009E6DBE"/>
    <w:rsid w:val="009E6DFC"/>
    <w:rsid w:val="009E6EC4"/>
    <w:rsid w:val="009E74E1"/>
    <w:rsid w:val="009E7555"/>
    <w:rsid w:val="009E7593"/>
    <w:rsid w:val="009E7630"/>
    <w:rsid w:val="009E77CD"/>
    <w:rsid w:val="009E796F"/>
    <w:rsid w:val="009F00CE"/>
    <w:rsid w:val="009F00F5"/>
    <w:rsid w:val="009F032C"/>
    <w:rsid w:val="009F059A"/>
    <w:rsid w:val="009F06A2"/>
    <w:rsid w:val="009F0BE5"/>
    <w:rsid w:val="009F0DFB"/>
    <w:rsid w:val="009F1198"/>
    <w:rsid w:val="009F124D"/>
    <w:rsid w:val="009F14DB"/>
    <w:rsid w:val="009F14FC"/>
    <w:rsid w:val="009F179F"/>
    <w:rsid w:val="009F1B10"/>
    <w:rsid w:val="009F1EFE"/>
    <w:rsid w:val="009F21FE"/>
    <w:rsid w:val="009F2274"/>
    <w:rsid w:val="009F239C"/>
    <w:rsid w:val="009F23D3"/>
    <w:rsid w:val="009F23DA"/>
    <w:rsid w:val="009F249F"/>
    <w:rsid w:val="009F2AB1"/>
    <w:rsid w:val="009F2B97"/>
    <w:rsid w:val="009F2F57"/>
    <w:rsid w:val="009F3083"/>
    <w:rsid w:val="009F37E2"/>
    <w:rsid w:val="009F3911"/>
    <w:rsid w:val="009F39BA"/>
    <w:rsid w:val="009F3AB3"/>
    <w:rsid w:val="009F3CD4"/>
    <w:rsid w:val="009F3D1C"/>
    <w:rsid w:val="009F400E"/>
    <w:rsid w:val="009F42CD"/>
    <w:rsid w:val="009F4350"/>
    <w:rsid w:val="009F4364"/>
    <w:rsid w:val="009F4419"/>
    <w:rsid w:val="009F4B58"/>
    <w:rsid w:val="009F4C05"/>
    <w:rsid w:val="009F4C90"/>
    <w:rsid w:val="009F4EBD"/>
    <w:rsid w:val="009F4F90"/>
    <w:rsid w:val="009F52C9"/>
    <w:rsid w:val="009F5498"/>
    <w:rsid w:val="009F5971"/>
    <w:rsid w:val="009F5BD2"/>
    <w:rsid w:val="009F5EDF"/>
    <w:rsid w:val="009F5F12"/>
    <w:rsid w:val="009F62C9"/>
    <w:rsid w:val="009F632C"/>
    <w:rsid w:val="009F6770"/>
    <w:rsid w:val="009F6BB7"/>
    <w:rsid w:val="009F6DE1"/>
    <w:rsid w:val="009F71F9"/>
    <w:rsid w:val="009F7322"/>
    <w:rsid w:val="009F7469"/>
    <w:rsid w:val="009F75E6"/>
    <w:rsid w:val="009F7668"/>
    <w:rsid w:val="009F768C"/>
    <w:rsid w:val="009F76E6"/>
    <w:rsid w:val="009F78C8"/>
    <w:rsid w:val="009F795C"/>
    <w:rsid w:val="009F7DC0"/>
    <w:rsid w:val="00A00006"/>
    <w:rsid w:val="00A006BF"/>
    <w:rsid w:val="00A006CD"/>
    <w:rsid w:val="00A00833"/>
    <w:rsid w:val="00A009D8"/>
    <w:rsid w:val="00A00D60"/>
    <w:rsid w:val="00A01183"/>
    <w:rsid w:val="00A01226"/>
    <w:rsid w:val="00A012A1"/>
    <w:rsid w:val="00A01326"/>
    <w:rsid w:val="00A01357"/>
    <w:rsid w:val="00A01831"/>
    <w:rsid w:val="00A01D40"/>
    <w:rsid w:val="00A0207A"/>
    <w:rsid w:val="00A020B8"/>
    <w:rsid w:val="00A020CD"/>
    <w:rsid w:val="00A02364"/>
    <w:rsid w:val="00A02585"/>
    <w:rsid w:val="00A026F8"/>
    <w:rsid w:val="00A02810"/>
    <w:rsid w:val="00A028B0"/>
    <w:rsid w:val="00A02E05"/>
    <w:rsid w:val="00A02E65"/>
    <w:rsid w:val="00A02F6E"/>
    <w:rsid w:val="00A030F3"/>
    <w:rsid w:val="00A03154"/>
    <w:rsid w:val="00A035B1"/>
    <w:rsid w:val="00A037AA"/>
    <w:rsid w:val="00A03A33"/>
    <w:rsid w:val="00A03B36"/>
    <w:rsid w:val="00A03C8E"/>
    <w:rsid w:val="00A03F0E"/>
    <w:rsid w:val="00A042A0"/>
    <w:rsid w:val="00A043A1"/>
    <w:rsid w:val="00A0461F"/>
    <w:rsid w:val="00A047DD"/>
    <w:rsid w:val="00A04AC2"/>
    <w:rsid w:val="00A04D1D"/>
    <w:rsid w:val="00A04EAB"/>
    <w:rsid w:val="00A04EEA"/>
    <w:rsid w:val="00A05046"/>
    <w:rsid w:val="00A05539"/>
    <w:rsid w:val="00A055C2"/>
    <w:rsid w:val="00A0568B"/>
    <w:rsid w:val="00A05824"/>
    <w:rsid w:val="00A058D0"/>
    <w:rsid w:val="00A05B39"/>
    <w:rsid w:val="00A05B72"/>
    <w:rsid w:val="00A05C0D"/>
    <w:rsid w:val="00A05C48"/>
    <w:rsid w:val="00A05E80"/>
    <w:rsid w:val="00A05F14"/>
    <w:rsid w:val="00A05FCA"/>
    <w:rsid w:val="00A068A5"/>
    <w:rsid w:val="00A06B7E"/>
    <w:rsid w:val="00A06DB3"/>
    <w:rsid w:val="00A07102"/>
    <w:rsid w:val="00A07534"/>
    <w:rsid w:val="00A0769D"/>
    <w:rsid w:val="00A07B13"/>
    <w:rsid w:val="00A10316"/>
    <w:rsid w:val="00A10364"/>
    <w:rsid w:val="00A1040D"/>
    <w:rsid w:val="00A1046F"/>
    <w:rsid w:val="00A10898"/>
    <w:rsid w:val="00A109CE"/>
    <w:rsid w:val="00A10AC3"/>
    <w:rsid w:val="00A10B8B"/>
    <w:rsid w:val="00A10F6E"/>
    <w:rsid w:val="00A11106"/>
    <w:rsid w:val="00A1129D"/>
    <w:rsid w:val="00A11508"/>
    <w:rsid w:val="00A11C9A"/>
    <w:rsid w:val="00A120B7"/>
    <w:rsid w:val="00A121F1"/>
    <w:rsid w:val="00A12841"/>
    <w:rsid w:val="00A12F7A"/>
    <w:rsid w:val="00A12FD5"/>
    <w:rsid w:val="00A1335A"/>
    <w:rsid w:val="00A13441"/>
    <w:rsid w:val="00A13466"/>
    <w:rsid w:val="00A13B84"/>
    <w:rsid w:val="00A13C57"/>
    <w:rsid w:val="00A13CA1"/>
    <w:rsid w:val="00A13D6E"/>
    <w:rsid w:val="00A14200"/>
    <w:rsid w:val="00A1429B"/>
    <w:rsid w:val="00A142E5"/>
    <w:rsid w:val="00A14675"/>
    <w:rsid w:val="00A14AA0"/>
    <w:rsid w:val="00A14B5C"/>
    <w:rsid w:val="00A14CBD"/>
    <w:rsid w:val="00A14F18"/>
    <w:rsid w:val="00A14F2E"/>
    <w:rsid w:val="00A150AE"/>
    <w:rsid w:val="00A150DE"/>
    <w:rsid w:val="00A15880"/>
    <w:rsid w:val="00A15CA6"/>
    <w:rsid w:val="00A15F82"/>
    <w:rsid w:val="00A160C2"/>
    <w:rsid w:val="00A16192"/>
    <w:rsid w:val="00A16423"/>
    <w:rsid w:val="00A16AD6"/>
    <w:rsid w:val="00A16C83"/>
    <w:rsid w:val="00A16CAA"/>
    <w:rsid w:val="00A16D2C"/>
    <w:rsid w:val="00A16F3E"/>
    <w:rsid w:val="00A17035"/>
    <w:rsid w:val="00A174A1"/>
    <w:rsid w:val="00A176D9"/>
    <w:rsid w:val="00A17707"/>
    <w:rsid w:val="00A17B70"/>
    <w:rsid w:val="00A17BE9"/>
    <w:rsid w:val="00A17C03"/>
    <w:rsid w:val="00A17C2D"/>
    <w:rsid w:val="00A20088"/>
    <w:rsid w:val="00A20A5F"/>
    <w:rsid w:val="00A20BAF"/>
    <w:rsid w:val="00A20BDA"/>
    <w:rsid w:val="00A20CDD"/>
    <w:rsid w:val="00A20D66"/>
    <w:rsid w:val="00A20F5D"/>
    <w:rsid w:val="00A215BA"/>
    <w:rsid w:val="00A21AA2"/>
    <w:rsid w:val="00A21B16"/>
    <w:rsid w:val="00A22211"/>
    <w:rsid w:val="00A2268A"/>
    <w:rsid w:val="00A22A59"/>
    <w:rsid w:val="00A22F1D"/>
    <w:rsid w:val="00A22FEF"/>
    <w:rsid w:val="00A23058"/>
    <w:rsid w:val="00A232B8"/>
    <w:rsid w:val="00A233BE"/>
    <w:rsid w:val="00A23550"/>
    <w:rsid w:val="00A23642"/>
    <w:rsid w:val="00A239E0"/>
    <w:rsid w:val="00A23A66"/>
    <w:rsid w:val="00A23B06"/>
    <w:rsid w:val="00A23C24"/>
    <w:rsid w:val="00A23ED1"/>
    <w:rsid w:val="00A24167"/>
    <w:rsid w:val="00A2422D"/>
    <w:rsid w:val="00A244DE"/>
    <w:rsid w:val="00A2497C"/>
    <w:rsid w:val="00A24B52"/>
    <w:rsid w:val="00A24C14"/>
    <w:rsid w:val="00A24DFE"/>
    <w:rsid w:val="00A2526F"/>
    <w:rsid w:val="00A2562D"/>
    <w:rsid w:val="00A25B23"/>
    <w:rsid w:val="00A25CF8"/>
    <w:rsid w:val="00A25D1B"/>
    <w:rsid w:val="00A262BB"/>
    <w:rsid w:val="00A26334"/>
    <w:rsid w:val="00A2645C"/>
    <w:rsid w:val="00A2659B"/>
    <w:rsid w:val="00A26871"/>
    <w:rsid w:val="00A26D21"/>
    <w:rsid w:val="00A26F74"/>
    <w:rsid w:val="00A272E4"/>
    <w:rsid w:val="00A27502"/>
    <w:rsid w:val="00A275AA"/>
    <w:rsid w:val="00A2783D"/>
    <w:rsid w:val="00A27BB5"/>
    <w:rsid w:val="00A27E22"/>
    <w:rsid w:val="00A27ED5"/>
    <w:rsid w:val="00A3051E"/>
    <w:rsid w:val="00A30599"/>
    <w:rsid w:val="00A30669"/>
    <w:rsid w:val="00A30BE4"/>
    <w:rsid w:val="00A30E79"/>
    <w:rsid w:val="00A30EDE"/>
    <w:rsid w:val="00A310B0"/>
    <w:rsid w:val="00A311C6"/>
    <w:rsid w:val="00A31204"/>
    <w:rsid w:val="00A312A7"/>
    <w:rsid w:val="00A314CD"/>
    <w:rsid w:val="00A316AA"/>
    <w:rsid w:val="00A3172F"/>
    <w:rsid w:val="00A318A2"/>
    <w:rsid w:val="00A31E13"/>
    <w:rsid w:val="00A3216A"/>
    <w:rsid w:val="00A32677"/>
    <w:rsid w:val="00A3320B"/>
    <w:rsid w:val="00A335C2"/>
    <w:rsid w:val="00A339C8"/>
    <w:rsid w:val="00A33B9A"/>
    <w:rsid w:val="00A33C94"/>
    <w:rsid w:val="00A33EFF"/>
    <w:rsid w:val="00A34392"/>
    <w:rsid w:val="00A34497"/>
    <w:rsid w:val="00A34C63"/>
    <w:rsid w:val="00A34D5A"/>
    <w:rsid w:val="00A34E88"/>
    <w:rsid w:val="00A34FB5"/>
    <w:rsid w:val="00A350ED"/>
    <w:rsid w:val="00A35146"/>
    <w:rsid w:val="00A351A0"/>
    <w:rsid w:val="00A353DB"/>
    <w:rsid w:val="00A3575A"/>
    <w:rsid w:val="00A357AA"/>
    <w:rsid w:val="00A35875"/>
    <w:rsid w:val="00A3595D"/>
    <w:rsid w:val="00A36015"/>
    <w:rsid w:val="00A3619E"/>
    <w:rsid w:val="00A3640F"/>
    <w:rsid w:val="00A367CE"/>
    <w:rsid w:val="00A36930"/>
    <w:rsid w:val="00A36C76"/>
    <w:rsid w:val="00A374D3"/>
    <w:rsid w:val="00A37809"/>
    <w:rsid w:val="00A37978"/>
    <w:rsid w:val="00A37B27"/>
    <w:rsid w:val="00A37D96"/>
    <w:rsid w:val="00A40028"/>
    <w:rsid w:val="00A40045"/>
    <w:rsid w:val="00A402D2"/>
    <w:rsid w:val="00A403F1"/>
    <w:rsid w:val="00A40421"/>
    <w:rsid w:val="00A405E5"/>
    <w:rsid w:val="00A40802"/>
    <w:rsid w:val="00A408EB"/>
    <w:rsid w:val="00A408EC"/>
    <w:rsid w:val="00A40B62"/>
    <w:rsid w:val="00A40B75"/>
    <w:rsid w:val="00A40DFC"/>
    <w:rsid w:val="00A41339"/>
    <w:rsid w:val="00A41740"/>
    <w:rsid w:val="00A419E9"/>
    <w:rsid w:val="00A424C9"/>
    <w:rsid w:val="00A42507"/>
    <w:rsid w:val="00A4264C"/>
    <w:rsid w:val="00A4271F"/>
    <w:rsid w:val="00A42791"/>
    <w:rsid w:val="00A42A0E"/>
    <w:rsid w:val="00A42B38"/>
    <w:rsid w:val="00A42B51"/>
    <w:rsid w:val="00A42CC9"/>
    <w:rsid w:val="00A42FA4"/>
    <w:rsid w:val="00A4320D"/>
    <w:rsid w:val="00A436ED"/>
    <w:rsid w:val="00A43867"/>
    <w:rsid w:val="00A43ACB"/>
    <w:rsid w:val="00A43AED"/>
    <w:rsid w:val="00A43D64"/>
    <w:rsid w:val="00A43E3C"/>
    <w:rsid w:val="00A4403D"/>
    <w:rsid w:val="00A4413C"/>
    <w:rsid w:val="00A4434D"/>
    <w:rsid w:val="00A44354"/>
    <w:rsid w:val="00A444B2"/>
    <w:rsid w:val="00A44653"/>
    <w:rsid w:val="00A446AD"/>
    <w:rsid w:val="00A4489A"/>
    <w:rsid w:val="00A449B5"/>
    <w:rsid w:val="00A44A6C"/>
    <w:rsid w:val="00A44EF5"/>
    <w:rsid w:val="00A452C0"/>
    <w:rsid w:val="00A454C8"/>
    <w:rsid w:val="00A45BBC"/>
    <w:rsid w:val="00A45D3F"/>
    <w:rsid w:val="00A45F41"/>
    <w:rsid w:val="00A462C4"/>
    <w:rsid w:val="00A46371"/>
    <w:rsid w:val="00A46813"/>
    <w:rsid w:val="00A46A4E"/>
    <w:rsid w:val="00A4791E"/>
    <w:rsid w:val="00A47988"/>
    <w:rsid w:val="00A47C92"/>
    <w:rsid w:val="00A47EBD"/>
    <w:rsid w:val="00A47FC1"/>
    <w:rsid w:val="00A50411"/>
    <w:rsid w:val="00A50421"/>
    <w:rsid w:val="00A50554"/>
    <w:rsid w:val="00A50628"/>
    <w:rsid w:val="00A5073C"/>
    <w:rsid w:val="00A50ABB"/>
    <w:rsid w:val="00A50AE8"/>
    <w:rsid w:val="00A50D28"/>
    <w:rsid w:val="00A50E12"/>
    <w:rsid w:val="00A50EF6"/>
    <w:rsid w:val="00A511B0"/>
    <w:rsid w:val="00A511F5"/>
    <w:rsid w:val="00A51611"/>
    <w:rsid w:val="00A5165B"/>
    <w:rsid w:val="00A519AA"/>
    <w:rsid w:val="00A51A62"/>
    <w:rsid w:val="00A51D83"/>
    <w:rsid w:val="00A51E5A"/>
    <w:rsid w:val="00A51F7A"/>
    <w:rsid w:val="00A524C5"/>
    <w:rsid w:val="00A524F7"/>
    <w:rsid w:val="00A52A7B"/>
    <w:rsid w:val="00A52B5B"/>
    <w:rsid w:val="00A52C2E"/>
    <w:rsid w:val="00A52D57"/>
    <w:rsid w:val="00A5337E"/>
    <w:rsid w:val="00A53425"/>
    <w:rsid w:val="00A534E9"/>
    <w:rsid w:val="00A53507"/>
    <w:rsid w:val="00A53585"/>
    <w:rsid w:val="00A53593"/>
    <w:rsid w:val="00A53716"/>
    <w:rsid w:val="00A53A8E"/>
    <w:rsid w:val="00A53BC7"/>
    <w:rsid w:val="00A53BF8"/>
    <w:rsid w:val="00A53F08"/>
    <w:rsid w:val="00A5427C"/>
    <w:rsid w:val="00A54C89"/>
    <w:rsid w:val="00A54CF5"/>
    <w:rsid w:val="00A54D6B"/>
    <w:rsid w:val="00A550C1"/>
    <w:rsid w:val="00A5523D"/>
    <w:rsid w:val="00A5570F"/>
    <w:rsid w:val="00A558A1"/>
    <w:rsid w:val="00A5598A"/>
    <w:rsid w:val="00A55D94"/>
    <w:rsid w:val="00A55FC2"/>
    <w:rsid w:val="00A56508"/>
    <w:rsid w:val="00A56535"/>
    <w:rsid w:val="00A56705"/>
    <w:rsid w:val="00A5689A"/>
    <w:rsid w:val="00A5690C"/>
    <w:rsid w:val="00A56976"/>
    <w:rsid w:val="00A56CB6"/>
    <w:rsid w:val="00A56E05"/>
    <w:rsid w:val="00A5715F"/>
    <w:rsid w:val="00A574ED"/>
    <w:rsid w:val="00A57A6D"/>
    <w:rsid w:val="00A57A98"/>
    <w:rsid w:val="00A57B73"/>
    <w:rsid w:val="00A60004"/>
    <w:rsid w:val="00A601B1"/>
    <w:rsid w:val="00A601F9"/>
    <w:rsid w:val="00A6026A"/>
    <w:rsid w:val="00A6035D"/>
    <w:rsid w:val="00A60464"/>
    <w:rsid w:val="00A605D8"/>
    <w:rsid w:val="00A60653"/>
    <w:rsid w:val="00A6067B"/>
    <w:rsid w:val="00A60801"/>
    <w:rsid w:val="00A60B1D"/>
    <w:rsid w:val="00A60D3E"/>
    <w:rsid w:val="00A60D6E"/>
    <w:rsid w:val="00A60E7D"/>
    <w:rsid w:val="00A60ED6"/>
    <w:rsid w:val="00A611BB"/>
    <w:rsid w:val="00A612C3"/>
    <w:rsid w:val="00A612EE"/>
    <w:rsid w:val="00A6169F"/>
    <w:rsid w:val="00A61BA0"/>
    <w:rsid w:val="00A61DEF"/>
    <w:rsid w:val="00A61EBD"/>
    <w:rsid w:val="00A62169"/>
    <w:rsid w:val="00A62197"/>
    <w:rsid w:val="00A622B0"/>
    <w:rsid w:val="00A626AC"/>
    <w:rsid w:val="00A6271A"/>
    <w:rsid w:val="00A62B5C"/>
    <w:rsid w:val="00A62F28"/>
    <w:rsid w:val="00A62F56"/>
    <w:rsid w:val="00A6304C"/>
    <w:rsid w:val="00A634E8"/>
    <w:rsid w:val="00A6357E"/>
    <w:rsid w:val="00A63C5F"/>
    <w:rsid w:val="00A63C77"/>
    <w:rsid w:val="00A63D09"/>
    <w:rsid w:val="00A63D17"/>
    <w:rsid w:val="00A63E67"/>
    <w:rsid w:val="00A6402E"/>
    <w:rsid w:val="00A6403B"/>
    <w:rsid w:val="00A6406E"/>
    <w:rsid w:val="00A640D5"/>
    <w:rsid w:val="00A64327"/>
    <w:rsid w:val="00A643EA"/>
    <w:rsid w:val="00A644A7"/>
    <w:rsid w:val="00A64571"/>
    <w:rsid w:val="00A645B3"/>
    <w:rsid w:val="00A64688"/>
    <w:rsid w:val="00A6493F"/>
    <w:rsid w:val="00A64BE6"/>
    <w:rsid w:val="00A64CC9"/>
    <w:rsid w:val="00A65089"/>
    <w:rsid w:val="00A650A7"/>
    <w:rsid w:val="00A6510D"/>
    <w:rsid w:val="00A65405"/>
    <w:rsid w:val="00A6545A"/>
    <w:rsid w:val="00A654A3"/>
    <w:rsid w:val="00A658C8"/>
    <w:rsid w:val="00A658D0"/>
    <w:rsid w:val="00A65A43"/>
    <w:rsid w:val="00A65C66"/>
    <w:rsid w:val="00A65E6A"/>
    <w:rsid w:val="00A6638A"/>
    <w:rsid w:val="00A6644D"/>
    <w:rsid w:val="00A66649"/>
    <w:rsid w:val="00A66667"/>
    <w:rsid w:val="00A66679"/>
    <w:rsid w:val="00A6671E"/>
    <w:rsid w:val="00A6686D"/>
    <w:rsid w:val="00A66A73"/>
    <w:rsid w:val="00A66F59"/>
    <w:rsid w:val="00A67389"/>
    <w:rsid w:val="00A673CB"/>
    <w:rsid w:val="00A67641"/>
    <w:rsid w:val="00A679B4"/>
    <w:rsid w:val="00A67D74"/>
    <w:rsid w:val="00A7000D"/>
    <w:rsid w:val="00A701BA"/>
    <w:rsid w:val="00A70262"/>
    <w:rsid w:val="00A70478"/>
    <w:rsid w:val="00A70A60"/>
    <w:rsid w:val="00A70B79"/>
    <w:rsid w:val="00A70C99"/>
    <w:rsid w:val="00A70E0E"/>
    <w:rsid w:val="00A710B3"/>
    <w:rsid w:val="00A71298"/>
    <w:rsid w:val="00A7129A"/>
    <w:rsid w:val="00A7133F"/>
    <w:rsid w:val="00A71386"/>
    <w:rsid w:val="00A716C4"/>
    <w:rsid w:val="00A716DB"/>
    <w:rsid w:val="00A71708"/>
    <w:rsid w:val="00A71976"/>
    <w:rsid w:val="00A71B39"/>
    <w:rsid w:val="00A71DB6"/>
    <w:rsid w:val="00A7225E"/>
    <w:rsid w:val="00A729C1"/>
    <w:rsid w:val="00A72CB0"/>
    <w:rsid w:val="00A72F41"/>
    <w:rsid w:val="00A73055"/>
    <w:rsid w:val="00A732D9"/>
    <w:rsid w:val="00A7343C"/>
    <w:rsid w:val="00A736E0"/>
    <w:rsid w:val="00A737E4"/>
    <w:rsid w:val="00A737EF"/>
    <w:rsid w:val="00A73F49"/>
    <w:rsid w:val="00A74173"/>
    <w:rsid w:val="00A742BF"/>
    <w:rsid w:val="00A743C3"/>
    <w:rsid w:val="00A74911"/>
    <w:rsid w:val="00A74BF8"/>
    <w:rsid w:val="00A74F58"/>
    <w:rsid w:val="00A752B5"/>
    <w:rsid w:val="00A75569"/>
    <w:rsid w:val="00A75628"/>
    <w:rsid w:val="00A7595C"/>
    <w:rsid w:val="00A75A74"/>
    <w:rsid w:val="00A75D32"/>
    <w:rsid w:val="00A75E0F"/>
    <w:rsid w:val="00A762A8"/>
    <w:rsid w:val="00A76475"/>
    <w:rsid w:val="00A764C7"/>
    <w:rsid w:val="00A76ADE"/>
    <w:rsid w:val="00A76C3F"/>
    <w:rsid w:val="00A76DD1"/>
    <w:rsid w:val="00A7703D"/>
    <w:rsid w:val="00A7712C"/>
    <w:rsid w:val="00A771B5"/>
    <w:rsid w:val="00A771C5"/>
    <w:rsid w:val="00A773CF"/>
    <w:rsid w:val="00A778D0"/>
    <w:rsid w:val="00A779B6"/>
    <w:rsid w:val="00A77BCF"/>
    <w:rsid w:val="00A77C02"/>
    <w:rsid w:val="00A77C3B"/>
    <w:rsid w:val="00A801F2"/>
    <w:rsid w:val="00A80506"/>
    <w:rsid w:val="00A80900"/>
    <w:rsid w:val="00A80F67"/>
    <w:rsid w:val="00A81003"/>
    <w:rsid w:val="00A811C9"/>
    <w:rsid w:val="00A815E7"/>
    <w:rsid w:val="00A817C9"/>
    <w:rsid w:val="00A82045"/>
    <w:rsid w:val="00A82189"/>
    <w:rsid w:val="00A82302"/>
    <w:rsid w:val="00A8238E"/>
    <w:rsid w:val="00A82725"/>
    <w:rsid w:val="00A82844"/>
    <w:rsid w:val="00A82C5C"/>
    <w:rsid w:val="00A82C70"/>
    <w:rsid w:val="00A82DBB"/>
    <w:rsid w:val="00A82E27"/>
    <w:rsid w:val="00A82F1A"/>
    <w:rsid w:val="00A82FDB"/>
    <w:rsid w:val="00A830B2"/>
    <w:rsid w:val="00A834AD"/>
    <w:rsid w:val="00A834CF"/>
    <w:rsid w:val="00A8385F"/>
    <w:rsid w:val="00A83990"/>
    <w:rsid w:val="00A83EC2"/>
    <w:rsid w:val="00A8447B"/>
    <w:rsid w:val="00A844E5"/>
    <w:rsid w:val="00A8495E"/>
    <w:rsid w:val="00A849D8"/>
    <w:rsid w:val="00A84A46"/>
    <w:rsid w:val="00A84E2A"/>
    <w:rsid w:val="00A84F24"/>
    <w:rsid w:val="00A85045"/>
    <w:rsid w:val="00A850E1"/>
    <w:rsid w:val="00A852CA"/>
    <w:rsid w:val="00A85334"/>
    <w:rsid w:val="00A85626"/>
    <w:rsid w:val="00A85710"/>
    <w:rsid w:val="00A85DE8"/>
    <w:rsid w:val="00A85E25"/>
    <w:rsid w:val="00A864A2"/>
    <w:rsid w:val="00A864EA"/>
    <w:rsid w:val="00A86E7A"/>
    <w:rsid w:val="00A86E9F"/>
    <w:rsid w:val="00A8701A"/>
    <w:rsid w:val="00A872F0"/>
    <w:rsid w:val="00A873AD"/>
    <w:rsid w:val="00A87559"/>
    <w:rsid w:val="00A8780B"/>
    <w:rsid w:val="00A87ABA"/>
    <w:rsid w:val="00A87BD7"/>
    <w:rsid w:val="00A87D61"/>
    <w:rsid w:val="00A87FA2"/>
    <w:rsid w:val="00A900FB"/>
    <w:rsid w:val="00A90343"/>
    <w:rsid w:val="00A9036D"/>
    <w:rsid w:val="00A9050B"/>
    <w:rsid w:val="00A907C9"/>
    <w:rsid w:val="00A90A37"/>
    <w:rsid w:val="00A90B6B"/>
    <w:rsid w:val="00A9117E"/>
    <w:rsid w:val="00A9164F"/>
    <w:rsid w:val="00A91711"/>
    <w:rsid w:val="00A917A4"/>
    <w:rsid w:val="00A91BAD"/>
    <w:rsid w:val="00A91BBB"/>
    <w:rsid w:val="00A91DE8"/>
    <w:rsid w:val="00A91E21"/>
    <w:rsid w:val="00A91FBF"/>
    <w:rsid w:val="00A92214"/>
    <w:rsid w:val="00A9229F"/>
    <w:rsid w:val="00A923D9"/>
    <w:rsid w:val="00A92469"/>
    <w:rsid w:val="00A92915"/>
    <w:rsid w:val="00A92D25"/>
    <w:rsid w:val="00A92D85"/>
    <w:rsid w:val="00A931AF"/>
    <w:rsid w:val="00A93271"/>
    <w:rsid w:val="00A937A9"/>
    <w:rsid w:val="00A93B29"/>
    <w:rsid w:val="00A93B94"/>
    <w:rsid w:val="00A93DA2"/>
    <w:rsid w:val="00A941DE"/>
    <w:rsid w:val="00A9447F"/>
    <w:rsid w:val="00A94722"/>
    <w:rsid w:val="00A94AC2"/>
    <w:rsid w:val="00A95A6D"/>
    <w:rsid w:val="00A96282"/>
    <w:rsid w:val="00A9634E"/>
    <w:rsid w:val="00A96875"/>
    <w:rsid w:val="00A96B86"/>
    <w:rsid w:val="00A96CBA"/>
    <w:rsid w:val="00A96D78"/>
    <w:rsid w:val="00A96F6D"/>
    <w:rsid w:val="00A96F71"/>
    <w:rsid w:val="00A97021"/>
    <w:rsid w:val="00A9709A"/>
    <w:rsid w:val="00A97176"/>
    <w:rsid w:val="00A971F0"/>
    <w:rsid w:val="00A972C0"/>
    <w:rsid w:val="00A978DC"/>
    <w:rsid w:val="00A97ED4"/>
    <w:rsid w:val="00A97F76"/>
    <w:rsid w:val="00A97FCD"/>
    <w:rsid w:val="00AA030F"/>
    <w:rsid w:val="00AA05A9"/>
    <w:rsid w:val="00AA0718"/>
    <w:rsid w:val="00AA0BBA"/>
    <w:rsid w:val="00AA1702"/>
    <w:rsid w:val="00AA1805"/>
    <w:rsid w:val="00AA1951"/>
    <w:rsid w:val="00AA1A64"/>
    <w:rsid w:val="00AA1BCD"/>
    <w:rsid w:val="00AA1F92"/>
    <w:rsid w:val="00AA2207"/>
    <w:rsid w:val="00AA2603"/>
    <w:rsid w:val="00AA2612"/>
    <w:rsid w:val="00AA276D"/>
    <w:rsid w:val="00AA2862"/>
    <w:rsid w:val="00AA296A"/>
    <w:rsid w:val="00AA2A72"/>
    <w:rsid w:val="00AA2FB3"/>
    <w:rsid w:val="00AA311D"/>
    <w:rsid w:val="00AA37B9"/>
    <w:rsid w:val="00AA3A7A"/>
    <w:rsid w:val="00AA3C4A"/>
    <w:rsid w:val="00AA3CA3"/>
    <w:rsid w:val="00AA3F43"/>
    <w:rsid w:val="00AA4135"/>
    <w:rsid w:val="00AA43F7"/>
    <w:rsid w:val="00AA460C"/>
    <w:rsid w:val="00AA47E0"/>
    <w:rsid w:val="00AA4C1C"/>
    <w:rsid w:val="00AA4E25"/>
    <w:rsid w:val="00AA512F"/>
    <w:rsid w:val="00AA540B"/>
    <w:rsid w:val="00AA56A9"/>
    <w:rsid w:val="00AA58DB"/>
    <w:rsid w:val="00AA5BA1"/>
    <w:rsid w:val="00AA5BE8"/>
    <w:rsid w:val="00AA5EF9"/>
    <w:rsid w:val="00AA6196"/>
    <w:rsid w:val="00AA62EC"/>
    <w:rsid w:val="00AA64C8"/>
    <w:rsid w:val="00AA6C98"/>
    <w:rsid w:val="00AA6E24"/>
    <w:rsid w:val="00AA6F4F"/>
    <w:rsid w:val="00AA6FAE"/>
    <w:rsid w:val="00AA6FFB"/>
    <w:rsid w:val="00AA6FFE"/>
    <w:rsid w:val="00AA7143"/>
    <w:rsid w:val="00AA73EE"/>
    <w:rsid w:val="00AA776B"/>
    <w:rsid w:val="00AA7CC0"/>
    <w:rsid w:val="00AB02C6"/>
    <w:rsid w:val="00AB0397"/>
    <w:rsid w:val="00AB06D1"/>
    <w:rsid w:val="00AB0886"/>
    <w:rsid w:val="00AB09F7"/>
    <w:rsid w:val="00AB0CA2"/>
    <w:rsid w:val="00AB0CF4"/>
    <w:rsid w:val="00AB0DC9"/>
    <w:rsid w:val="00AB0F13"/>
    <w:rsid w:val="00AB1209"/>
    <w:rsid w:val="00AB16FF"/>
    <w:rsid w:val="00AB1C78"/>
    <w:rsid w:val="00AB1D3C"/>
    <w:rsid w:val="00AB1FA6"/>
    <w:rsid w:val="00AB2253"/>
    <w:rsid w:val="00AB2397"/>
    <w:rsid w:val="00AB2421"/>
    <w:rsid w:val="00AB2484"/>
    <w:rsid w:val="00AB2558"/>
    <w:rsid w:val="00AB27F9"/>
    <w:rsid w:val="00AB28BA"/>
    <w:rsid w:val="00AB2930"/>
    <w:rsid w:val="00AB2A39"/>
    <w:rsid w:val="00AB34C4"/>
    <w:rsid w:val="00AB34D9"/>
    <w:rsid w:val="00AB3689"/>
    <w:rsid w:val="00AB36A0"/>
    <w:rsid w:val="00AB3E4E"/>
    <w:rsid w:val="00AB408D"/>
    <w:rsid w:val="00AB40D7"/>
    <w:rsid w:val="00AB4104"/>
    <w:rsid w:val="00AB431A"/>
    <w:rsid w:val="00AB432E"/>
    <w:rsid w:val="00AB4AE4"/>
    <w:rsid w:val="00AB4CCD"/>
    <w:rsid w:val="00AB4D3F"/>
    <w:rsid w:val="00AB4D57"/>
    <w:rsid w:val="00AB4F40"/>
    <w:rsid w:val="00AB502C"/>
    <w:rsid w:val="00AB5081"/>
    <w:rsid w:val="00AB520B"/>
    <w:rsid w:val="00AB54A9"/>
    <w:rsid w:val="00AB5639"/>
    <w:rsid w:val="00AB591A"/>
    <w:rsid w:val="00AB5985"/>
    <w:rsid w:val="00AB5AB7"/>
    <w:rsid w:val="00AB603E"/>
    <w:rsid w:val="00AB62A0"/>
    <w:rsid w:val="00AB63D8"/>
    <w:rsid w:val="00AB69C4"/>
    <w:rsid w:val="00AB6C87"/>
    <w:rsid w:val="00AB6EDA"/>
    <w:rsid w:val="00AB6F11"/>
    <w:rsid w:val="00AB6F81"/>
    <w:rsid w:val="00AB730A"/>
    <w:rsid w:val="00AB7834"/>
    <w:rsid w:val="00AB7D05"/>
    <w:rsid w:val="00AB7F52"/>
    <w:rsid w:val="00AC00B9"/>
    <w:rsid w:val="00AC0132"/>
    <w:rsid w:val="00AC020B"/>
    <w:rsid w:val="00AC03A6"/>
    <w:rsid w:val="00AC09A7"/>
    <w:rsid w:val="00AC0D9F"/>
    <w:rsid w:val="00AC0FD9"/>
    <w:rsid w:val="00AC1059"/>
    <w:rsid w:val="00AC1712"/>
    <w:rsid w:val="00AC17A8"/>
    <w:rsid w:val="00AC1894"/>
    <w:rsid w:val="00AC190A"/>
    <w:rsid w:val="00AC1C8F"/>
    <w:rsid w:val="00AC1D7A"/>
    <w:rsid w:val="00AC1E04"/>
    <w:rsid w:val="00AC1E64"/>
    <w:rsid w:val="00AC261B"/>
    <w:rsid w:val="00AC2794"/>
    <w:rsid w:val="00AC284D"/>
    <w:rsid w:val="00AC2BF6"/>
    <w:rsid w:val="00AC2FB7"/>
    <w:rsid w:val="00AC30B7"/>
    <w:rsid w:val="00AC3515"/>
    <w:rsid w:val="00AC384C"/>
    <w:rsid w:val="00AC395A"/>
    <w:rsid w:val="00AC3B36"/>
    <w:rsid w:val="00AC3D0E"/>
    <w:rsid w:val="00AC3FED"/>
    <w:rsid w:val="00AC40A6"/>
    <w:rsid w:val="00AC4389"/>
    <w:rsid w:val="00AC472A"/>
    <w:rsid w:val="00AC4CD9"/>
    <w:rsid w:val="00AC4EAC"/>
    <w:rsid w:val="00AC50C4"/>
    <w:rsid w:val="00AC5160"/>
    <w:rsid w:val="00AC51A4"/>
    <w:rsid w:val="00AC559F"/>
    <w:rsid w:val="00AC5D3F"/>
    <w:rsid w:val="00AC5DB5"/>
    <w:rsid w:val="00AC63A0"/>
    <w:rsid w:val="00AC6551"/>
    <w:rsid w:val="00AC66CC"/>
    <w:rsid w:val="00AC676E"/>
    <w:rsid w:val="00AC68ED"/>
    <w:rsid w:val="00AC6BA2"/>
    <w:rsid w:val="00AC6C00"/>
    <w:rsid w:val="00AC6CDF"/>
    <w:rsid w:val="00AC6E03"/>
    <w:rsid w:val="00AC6FD6"/>
    <w:rsid w:val="00AC7054"/>
    <w:rsid w:val="00AC7397"/>
    <w:rsid w:val="00AC73D1"/>
    <w:rsid w:val="00AC754B"/>
    <w:rsid w:val="00AC76F2"/>
    <w:rsid w:val="00AC7C9B"/>
    <w:rsid w:val="00AD01A9"/>
    <w:rsid w:val="00AD063A"/>
    <w:rsid w:val="00AD076A"/>
    <w:rsid w:val="00AD07A2"/>
    <w:rsid w:val="00AD07E7"/>
    <w:rsid w:val="00AD0BD3"/>
    <w:rsid w:val="00AD0EEA"/>
    <w:rsid w:val="00AD104F"/>
    <w:rsid w:val="00AD107B"/>
    <w:rsid w:val="00AD10F1"/>
    <w:rsid w:val="00AD129F"/>
    <w:rsid w:val="00AD15B8"/>
    <w:rsid w:val="00AD161D"/>
    <w:rsid w:val="00AD18A2"/>
    <w:rsid w:val="00AD18F5"/>
    <w:rsid w:val="00AD1C32"/>
    <w:rsid w:val="00AD1DCB"/>
    <w:rsid w:val="00AD206F"/>
    <w:rsid w:val="00AD22B7"/>
    <w:rsid w:val="00AD258C"/>
    <w:rsid w:val="00AD261B"/>
    <w:rsid w:val="00AD266F"/>
    <w:rsid w:val="00AD2822"/>
    <w:rsid w:val="00AD29D4"/>
    <w:rsid w:val="00AD2AC0"/>
    <w:rsid w:val="00AD2C4F"/>
    <w:rsid w:val="00AD2E67"/>
    <w:rsid w:val="00AD3000"/>
    <w:rsid w:val="00AD3286"/>
    <w:rsid w:val="00AD33C0"/>
    <w:rsid w:val="00AD35AD"/>
    <w:rsid w:val="00AD36D2"/>
    <w:rsid w:val="00AD3730"/>
    <w:rsid w:val="00AD375A"/>
    <w:rsid w:val="00AD3952"/>
    <w:rsid w:val="00AD3A3A"/>
    <w:rsid w:val="00AD3D97"/>
    <w:rsid w:val="00AD3FDF"/>
    <w:rsid w:val="00AD422C"/>
    <w:rsid w:val="00AD435B"/>
    <w:rsid w:val="00AD4380"/>
    <w:rsid w:val="00AD462E"/>
    <w:rsid w:val="00AD4AAF"/>
    <w:rsid w:val="00AD4BF2"/>
    <w:rsid w:val="00AD4D5B"/>
    <w:rsid w:val="00AD4D7D"/>
    <w:rsid w:val="00AD5125"/>
    <w:rsid w:val="00AD523D"/>
    <w:rsid w:val="00AD5297"/>
    <w:rsid w:val="00AD534E"/>
    <w:rsid w:val="00AD5547"/>
    <w:rsid w:val="00AD564E"/>
    <w:rsid w:val="00AD57C9"/>
    <w:rsid w:val="00AD5B89"/>
    <w:rsid w:val="00AD5BD8"/>
    <w:rsid w:val="00AD5ED6"/>
    <w:rsid w:val="00AD5EE6"/>
    <w:rsid w:val="00AD62AB"/>
    <w:rsid w:val="00AD64E6"/>
    <w:rsid w:val="00AD64FC"/>
    <w:rsid w:val="00AD68E3"/>
    <w:rsid w:val="00AD6927"/>
    <w:rsid w:val="00AD6D35"/>
    <w:rsid w:val="00AD6DC5"/>
    <w:rsid w:val="00AD7738"/>
    <w:rsid w:val="00AD78CB"/>
    <w:rsid w:val="00AD7922"/>
    <w:rsid w:val="00AD7D91"/>
    <w:rsid w:val="00AE033A"/>
    <w:rsid w:val="00AE036F"/>
    <w:rsid w:val="00AE06D3"/>
    <w:rsid w:val="00AE0A3D"/>
    <w:rsid w:val="00AE0A8F"/>
    <w:rsid w:val="00AE0D4A"/>
    <w:rsid w:val="00AE106B"/>
    <w:rsid w:val="00AE1293"/>
    <w:rsid w:val="00AE19A6"/>
    <w:rsid w:val="00AE1AF1"/>
    <w:rsid w:val="00AE1F0E"/>
    <w:rsid w:val="00AE1F7C"/>
    <w:rsid w:val="00AE2186"/>
    <w:rsid w:val="00AE2200"/>
    <w:rsid w:val="00AE2308"/>
    <w:rsid w:val="00AE2492"/>
    <w:rsid w:val="00AE2805"/>
    <w:rsid w:val="00AE2D23"/>
    <w:rsid w:val="00AE2E8E"/>
    <w:rsid w:val="00AE30FB"/>
    <w:rsid w:val="00AE34CD"/>
    <w:rsid w:val="00AE35FF"/>
    <w:rsid w:val="00AE38F3"/>
    <w:rsid w:val="00AE3C42"/>
    <w:rsid w:val="00AE3D94"/>
    <w:rsid w:val="00AE4299"/>
    <w:rsid w:val="00AE455E"/>
    <w:rsid w:val="00AE4590"/>
    <w:rsid w:val="00AE49D7"/>
    <w:rsid w:val="00AE4ADC"/>
    <w:rsid w:val="00AE4C6F"/>
    <w:rsid w:val="00AE4C8E"/>
    <w:rsid w:val="00AE50DD"/>
    <w:rsid w:val="00AE519A"/>
    <w:rsid w:val="00AE550C"/>
    <w:rsid w:val="00AE5BFB"/>
    <w:rsid w:val="00AE5C74"/>
    <w:rsid w:val="00AE5F46"/>
    <w:rsid w:val="00AE5F63"/>
    <w:rsid w:val="00AE62A7"/>
    <w:rsid w:val="00AE6694"/>
    <w:rsid w:val="00AE6712"/>
    <w:rsid w:val="00AE6FD3"/>
    <w:rsid w:val="00AE7075"/>
    <w:rsid w:val="00AE7082"/>
    <w:rsid w:val="00AE7235"/>
    <w:rsid w:val="00AE73A3"/>
    <w:rsid w:val="00AE79CB"/>
    <w:rsid w:val="00AE7AAC"/>
    <w:rsid w:val="00AE7C05"/>
    <w:rsid w:val="00AE7D1B"/>
    <w:rsid w:val="00AF0137"/>
    <w:rsid w:val="00AF059E"/>
    <w:rsid w:val="00AF0D83"/>
    <w:rsid w:val="00AF0DEC"/>
    <w:rsid w:val="00AF0FB8"/>
    <w:rsid w:val="00AF1322"/>
    <w:rsid w:val="00AF1550"/>
    <w:rsid w:val="00AF15F4"/>
    <w:rsid w:val="00AF15FE"/>
    <w:rsid w:val="00AF16A4"/>
    <w:rsid w:val="00AF18F3"/>
    <w:rsid w:val="00AF1D10"/>
    <w:rsid w:val="00AF20F5"/>
    <w:rsid w:val="00AF215E"/>
    <w:rsid w:val="00AF21BB"/>
    <w:rsid w:val="00AF22FF"/>
    <w:rsid w:val="00AF2570"/>
    <w:rsid w:val="00AF275B"/>
    <w:rsid w:val="00AF285C"/>
    <w:rsid w:val="00AF29C8"/>
    <w:rsid w:val="00AF2FD1"/>
    <w:rsid w:val="00AF3160"/>
    <w:rsid w:val="00AF316D"/>
    <w:rsid w:val="00AF32DF"/>
    <w:rsid w:val="00AF3B01"/>
    <w:rsid w:val="00AF3B66"/>
    <w:rsid w:val="00AF4585"/>
    <w:rsid w:val="00AF463C"/>
    <w:rsid w:val="00AF47BD"/>
    <w:rsid w:val="00AF47D0"/>
    <w:rsid w:val="00AF484E"/>
    <w:rsid w:val="00AF4D6F"/>
    <w:rsid w:val="00AF4FE5"/>
    <w:rsid w:val="00AF5342"/>
    <w:rsid w:val="00AF548F"/>
    <w:rsid w:val="00AF5A71"/>
    <w:rsid w:val="00AF5E13"/>
    <w:rsid w:val="00AF5E94"/>
    <w:rsid w:val="00AF61F5"/>
    <w:rsid w:val="00AF6246"/>
    <w:rsid w:val="00AF62B9"/>
    <w:rsid w:val="00AF6314"/>
    <w:rsid w:val="00AF65AB"/>
    <w:rsid w:val="00AF682F"/>
    <w:rsid w:val="00AF6C7A"/>
    <w:rsid w:val="00AF6F0A"/>
    <w:rsid w:val="00AF718E"/>
    <w:rsid w:val="00AF7446"/>
    <w:rsid w:val="00AF74FA"/>
    <w:rsid w:val="00AF792F"/>
    <w:rsid w:val="00B00111"/>
    <w:rsid w:val="00B005D1"/>
    <w:rsid w:val="00B0074E"/>
    <w:rsid w:val="00B0083D"/>
    <w:rsid w:val="00B00877"/>
    <w:rsid w:val="00B00BFD"/>
    <w:rsid w:val="00B00F05"/>
    <w:rsid w:val="00B01205"/>
    <w:rsid w:val="00B01452"/>
    <w:rsid w:val="00B01558"/>
    <w:rsid w:val="00B01605"/>
    <w:rsid w:val="00B018F8"/>
    <w:rsid w:val="00B01BEE"/>
    <w:rsid w:val="00B01CC6"/>
    <w:rsid w:val="00B01D3C"/>
    <w:rsid w:val="00B01E40"/>
    <w:rsid w:val="00B01F3A"/>
    <w:rsid w:val="00B0243B"/>
    <w:rsid w:val="00B026A1"/>
    <w:rsid w:val="00B029FE"/>
    <w:rsid w:val="00B02C8F"/>
    <w:rsid w:val="00B02CF0"/>
    <w:rsid w:val="00B02F21"/>
    <w:rsid w:val="00B0308B"/>
    <w:rsid w:val="00B03148"/>
    <w:rsid w:val="00B0330C"/>
    <w:rsid w:val="00B0335C"/>
    <w:rsid w:val="00B0344E"/>
    <w:rsid w:val="00B03852"/>
    <w:rsid w:val="00B038AC"/>
    <w:rsid w:val="00B03ACE"/>
    <w:rsid w:val="00B03B41"/>
    <w:rsid w:val="00B03C1B"/>
    <w:rsid w:val="00B03D38"/>
    <w:rsid w:val="00B03F82"/>
    <w:rsid w:val="00B04533"/>
    <w:rsid w:val="00B048C1"/>
    <w:rsid w:val="00B04CBB"/>
    <w:rsid w:val="00B05071"/>
    <w:rsid w:val="00B0510D"/>
    <w:rsid w:val="00B0514A"/>
    <w:rsid w:val="00B05236"/>
    <w:rsid w:val="00B052A5"/>
    <w:rsid w:val="00B0542C"/>
    <w:rsid w:val="00B05560"/>
    <w:rsid w:val="00B05644"/>
    <w:rsid w:val="00B05A32"/>
    <w:rsid w:val="00B05A40"/>
    <w:rsid w:val="00B05ED3"/>
    <w:rsid w:val="00B06020"/>
    <w:rsid w:val="00B060E4"/>
    <w:rsid w:val="00B06326"/>
    <w:rsid w:val="00B0648C"/>
    <w:rsid w:val="00B064D8"/>
    <w:rsid w:val="00B0659E"/>
    <w:rsid w:val="00B06813"/>
    <w:rsid w:val="00B069FD"/>
    <w:rsid w:val="00B06D81"/>
    <w:rsid w:val="00B06E07"/>
    <w:rsid w:val="00B06EDA"/>
    <w:rsid w:val="00B07110"/>
    <w:rsid w:val="00B073DF"/>
    <w:rsid w:val="00B07497"/>
    <w:rsid w:val="00B07884"/>
    <w:rsid w:val="00B07BA6"/>
    <w:rsid w:val="00B07DDD"/>
    <w:rsid w:val="00B07DDE"/>
    <w:rsid w:val="00B104A7"/>
    <w:rsid w:val="00B105FC"/>
    <w:rsid w:val="00B10916"/>
    <w:rsid w:val="00B109B3"/>
    <w:rsid w:val="00B10E49"/>
    <w:rsid w:val="00B10E65"/>
    <w:rsid w:val="00B1122E"/>
    <w:rsid w:val="00B1131E"/>
    <w:rsid w:val="00B113A2"/>
    <w:rsid w:val="00B11457"/>
    <w:rsid w:val="00B116BE"/>
    <w:rsid w:val="00B11828"/>
    <w:rsid w:val="00B11BB3"/>
    <w:rsid w:val="00B11C3C"/>
    <w:rsid w:val="00B11C91"/>
    <w:rsid w:val="00B11D21"/>
    <w:rsid w:val="00B11DB8"/>
    <w:rsid w:val="00B11E5A"/>
    <w:rsid w:val="00B12235"/>
    <w:rsid w:val="00B125BA"/>
    <w:rsid w:val="00B12876"/>
    <w:rsid w:val="00B12B32"/>
    <w:rsid w:val="00B12DF3"/>
    <w:rsid w:val="00B1392B"/>
    <w:rsid w:val="00B1394A"/>
    <w:rsid w:val="00B139F2"/>
    <w:rsid w:val="00B13B3A"/>
    <w:rsid w:val="00B13D85"/>
    <w:rsid w:val="00B13EF9"/>
    <w:rsid w:val="00B1460B"/>
    <w:rsid w:val="00B14703"/>
    <w:rsid w:val="00B1484C"/>
    <w:rsid w:val="00B14909"/>
    <w:rsid w:val="00B14F3C"/>
    <w:rsid w:val="00B153BB"/>
    <w:rsid w:val="00B153CB"/>
    <w:rsid w:val="00B156DB"/>
    <w:rsid w:val="00B15746"/>
    <w:rsid w:val="00B15750"/>
    <w:rsid w:val="00B15893"/>
    <w:rsid w:val="00B15ADC"/>
    <w:rsid w:val="00B15FBE"/>
    <w:rsid w:val="00B15FEB"/>
    <w:rsid w:val="00B1634B"/>
    <w:rsid w:val="00B1647B"/>
    <w:rsid w:val="00B164EC"/>
    <w:rsid w:val="00B167DD"/>
    <w:rsid w:val="00B16914"/>
    <w:rsid w:val="00B16AD6"/>
    <w:rsid w:val="00B16C8A"/>
    <w:rsid w:val="00B16D2F"/>
    <w:rsid w:val="00B172A0"/>
    <w:rsid w:val="00B172A5"/>
    <w:rsid w:val="00B173BE"/>
    <w:rsid w:val="00B17893"/>
    <w:rsid w:val="00B17B69"/>
    <w:rsid w:val="00B200A1"/>
    <w:rsid w:val="00B2026B"/>
    <w:rsid w:val="00B20349"/>
    <w:rsid w:val="00B20501"/>
    <w:rsid w:val="00B2052D"/>
    <w:rsid w:val="00B2067B"/>
    <w:rsid w:val="00B20741"/>
    <w:rsid w:val="00B207BF"/>
    <w:rsid w:val="00B2082A"/>
    <w:rsid w:val="00B20A76"/>
    <w:rsid w:val="00B20DA8"/>
    <w:rsid w:val="00B20F1D"/>
    <w:rsid w:val="00B21112"/>
    <w:rsid w:val="00B21180"/>
    <w:rsid w:val="00B2127E"/>
    <w:rsid w:val="00B21709"/>
    <w:rsid w:val="00B217D6"/>
    <w:rsid w:val="00B21AA2"/>
    <w:rsid w:val="00B21F55"/>
    <w:rsid w:val="00B22055"/>
    <w:rsid w:val="00B2230E"/>
    <w:rsid w:val="00B2255E"/>
    <w:rsid w:val="00B22579"/>
    <w:rsid w:val="00B22841"/>
    <w:rsid w:val="00B22A15"/>
    <w:rsid w:val="00B22A70"/>
    <w:rsid w:val="00B22BB1"/>
    <w:rsid w:val="00B22BCD"/>
    <w:rsid w:val="00B22C31"/>
    <w:rsid w:val="00B22CDD"/>
    <w:rsid w:val="00B22D8C"/>
    <w:rsid w:val="00B22DE1"/>
    <w:rsid w:val="00B22E80"/>
    <w:rsid w:val="00B22FF7"/>
    <w:rsid w:val="00B23033"/>
    <w:rsid w:val="00B233FA"/>
    <w:rsid w:val="00B236D0"/>
    <w:rsid w:val="00B23A17"/>
    <w:rsid w:val="00B23AC2"/>
    <w:rsid w:val="00B24490"/>
    <w:rsid w:val="00B24826"/>
    <w:rsid w:val="00B24914"/>
    <w:rsid w:val="00B24AA7"/>
    <w:rsid w:val="00B24AF0"/>
    <w:rsid w:val="00B24B6D"/>
    <w:rsid w:val="00B24DFC"/>
    <w:rsid w:val="00B24EB5"/>
    <w:rsid w:val="00B24EB8"/>
    <w:rsid w:val="00B250E7"/>
    <w:rsid w:val="00B253D5"/>
    <w:rsid w:val="00B254FE"/>
    <w:rsid w:val="00B2567A"/>
    <w:rsid w:val="00B25733"/>
    <w:rsid w:val="00B258F4"/>
    <w:rsid w:val="00B25CC6"/>
    <w:rsid w:val="00B25DD9"/>
    <w:rsid w:val="00B26668"/>
    <w:rsid w:val="00B269D5"/>
    <w:rsid w:val="00B26E15"/>
    <w:rsid w:val="00B27196"/>
    <w:rsid w:val="00B27457"/>
    <w:rsid w:val="00B27692"/>
    <w:rsid w:val="00B27915"/>
    <w:rsid w:val="00B279DC"/>
    <w:rsid w:val="00B27B38"/>
    <w:rsid w:val="00B302F3"/>
    <w:rsid w:val="00B30C86"/>
    <w:rsid w:val="00B315F1"/>
    <w:rsid w:val="00B31B59"/>
    <w:rsid w:val="00B31C1B"/>
    <w:rsid w:val="00B31C41"/>
    <w:rsid w:val="00B31E8D"/>
    <w:rsid w:val="00B328D8"/>
    <w:rsid w:val="00B32D49"/>
    <w:rsid w:val="00B32EAB"/>
    <w:rsid w:val="00B32ECD"/>
    <w:rsid w:val="00B32FA9"/>
    <w:rsid w:val="00B330FE"/>
    <w:rsid w:val="00B3313E"/>
    <w:rsid w:val="00B331D3"/>
    <w:rsid w:val="00B332CC"/>
    <w:rsid w:val="00B334CC"/>
    <w:rsid w:val="00B33636"/>
    <w:rsid w:val="00B33745"/>
    <w:rsid w:val="00B33A5A"/>
    <w:rsid w:val="00B33BA2"/>
    <w:rsid w:val="00B33CA1"/>
    <w:rsid w:val="00B34405"/>
    <w:rsid w:val="00B344F2"/>
    <w:rsid w:val="00B34629"/>
    <w:rsid w:val="00B347BD"/>
    <w:rsid w:val="00B347F4"/>
    <w:rsid w:val="00B349F9"/>
    <w:rsid w:val="00B34B0F"/>
    <w:rsid w:val="00B34F2B"/>
    <w:rsid w:val="00B351B6"/>
    <w:rsid w:val="00B351F2"/>
    <w:rsid w:val="00B35467"/>
    <w:rsid w:val="00B354BD"/>
    <w:rsid w:val="00B35672"/>
    <w:rsid w:val="00B3594B"/>
    <w:rsid w:val="00B35A0F"/>
    <w:rsid w:val="00B35C95"/>
    <w:rsid w:val="00B36166"/>
    <w:rsid w:val="00B362A9"/>
    <w:rsid w:val="00B366DA"/>
    <w:rsid w:val="00B36A8B"/>
    <w:rsid w:val="00B36FB7"/>
    <w:rsid w:val="00B374C0"/>
    <w:rsid w:val="00B3766D"/>
    <w:rsid w:val="00B37973"/>
    <w:rsid w:val="00B37DBE"/>
    <w:rsid w:val="00B4018B"/>
    <w:rsid w:val="00B401A9"/>
    <w:rsid w:val="00B40280"/>
    <w:rsid w:val="00B402AB"/>
    <w:rsid w:val="00B40610"/>
    <w:rsid w:val="00B4061B"/>
    <w:rsid w:val="00B406BF"/>
    <w:rsid w:val="00B408A7"/>
    <w:rsid w:val="00B40919"/>
    <w:rsid w:val="00B40CDC"/>
    <w:rsid w:val="00B40DDF"/>
    <w:rsid w:val="00B40ECB"/>
    <w:rsid w:val="00B41115"/>
    <w:rsid w:val="00B4114A"/>
    <w:rsid w:val="00B413BE"/>
    <w:rsid w:val="00B41624"/>
    <w:rsid w:val="00B41BD5"/>
    <w:rsid w:val="00B41DEB"/>
    <w:rsid w:val="00B41E77"/>
    <w:rsid w:val="00B41EE8"/>
    <w:rsid w:val="00B42142"/>
    <w:rsid w:val="00B424F9"/>
    <w:rsid w:val="00B42776"/>
    <w:rsid w:val="00B42947"/>
    <w:rsid w:val="00B429E6"/>
    <w:rsid w:val="00B42BF3"/>
    <w:rsid w:val="00B42FD9"/>
    <w:rsid w:val="00B43004"/>
    <w:rsid w:val="00B43072"/>
    <w:rsid w:val="00B432BB"/>
    <w:rsid w:val="00B43384"/>
    <w:rsid w:val="00B43595"/>
    <w:rsid w:val="00B43885"/>
    <w:rsid w:val="00B43964"/>
    <w:rsid w:val="00B43B22"/>
    <w:rsid w:val="00B43BF1"/>
    <w:rsid w:val="00B43C06"/>
    <w:rsid w:val="00B43FE0"/>
    <w:rsid w:val="00B4403C"/>
    <w:rsid w:val="00B44430"/>
    <w:rsid w:val="00B446CA"/>
    <w:rsid w:val="00B446F8"/>
    <w:rsid w:val="00B44741"/>
    <w:rsid w:val="00B449E5"/>
    <w:rsid w:val="00B44C7D"/>
    <w:rsid w:val="00B44E50"/>
    <w:rsid w:val="00B450C8"/>
    <w:rsid w:val="00B454C3"/>
    <w:rsid w:val="00B4559A"/>
    <w:rsid w:val="00B45AB6"/>
    <w:rsid w:val="00B45D39"/>
    <w:rsid w:val="00B45E35"/>
    <w:rsid w:val="00B45E46"/>
    <w:rsid w:val="00B45FC0"/>
    <w:rsid w:val="00B46016"/>
    <w:rsid w:val="00B46081"/>
    <w:rsid w:val="00B46173"/>
    <w:rsid w:val="00B462CE"/>
    <w:rsid w:val="00B46B05"/>
    <w:rsid w:val="00B46E79"/>
    <w:rsid w:val="00B4700F"/>
    <w:rsid w:val="00B470E8"/>
    <w:rsid w:val="00B4730F"/>
    <w:rsid w:val="00B4731D"/>
    <w:rsid w:val="00B47354"/>
    <w:rsid w:val="00B47427"/>
    <w:rsid w:val="00B47805"/>
    <w:rsid w:val="00B4787D"/>
    <w:rsid w:val="00B47B2C"/>
    <w:rsid w:val="00B47DEB"/>
    <w:rsid w:val="00B47F2F"/>
    <w:rsid w:val="00B47FB5"/>
    <w:rsid w:val="00B50113"/>
    <w:rsid w:val="00B505C0"/>
    <w:rsid w:val="00B5082E"/>
    <w:rsid w:val="00B508BF"/>
    <w:rsid w:val="00B508C5"/>
    <w:rsid w:val="00B508D2"/>
    <w:rsid w:val="00B50BFE"/>
    <w:rsid w:val="00B50C15"/>
    <w:rsid w:val="00B50C9D"/>
    <w:rsid w:val="00B50E6B"/>
    <w:rsid w:val="00B50F22"/>
    <w:rsid w:val="00B5107E"/>
    <w:rsid w:val="00B5155A"/>
    <w:rsid w:val="00B5156B"/>
    <w:rsid w:val="00B5156F"/>
    <w:rsid w:val="00B51586"/>
    <w:rsid w:val="00B5176E"/>
    <w:rsid w:val="00B51923"/>
    <w:rsid w:val="00B51D70"/>
    <w:rsid w:val="00B51F8C"/>
    <w:rsid w:val="00B52291"/>
    <w:rsid w:val="00B52485"/>
    <w:rsid w:val="00B5249F"/>
    <w:rsid w:val="00B524FA"/>
    <w:rsid w:val="00B52828"/>
    <w:rsid w:val="00B52A2E"/>
    <w:rsid w:val="00B52C56"/>
    <w:rsid w:val="00B52D2B"/>
    <w:rsid w:val="00B52DF1"/>
    <w:rsid w:val="00B53043"/>
    <w:rsid w:val="00B5328D"/>
    <w:rsid w:val="00B533FC"/>
    <w:rsid w:val="00B53508"/>
    <w:rsid w:val="00B536C0"/>
    <w:rsid w:val="00B537C1"/>
    <w:rsid w:val="00B538BF"/>
    <w:rsid w:val="00B53937"/>
    <w:rsid w:val="00B539A3"/>
    <w:rsid w:val="00B54213"/>
    <w:rsid w:val="00B544A7"/>
    <w:rsid w:val="00B547D6"/>
    <w:rsid w:val="00B54CAD"/>
    <w:rsid w:val="00B54E94"/>
    <w:rsid w:val="00B54F58"/>
    <w:rsid w:val="00B560AD"/>
    <w:rsid w:val="00B56431"/>
    <w:rsid w:val="00B567D8"/>
    <w:rsid w:val="00B56E47"/>
    <w:rsid w:val="00B56F72"/>
    <w:rsid w:val="00B57355"/>
    <w:rsid w:val="00B57623"/>
    <w:rsid w:val="00B5772D"/>
    <w:rsid w:val="00B57745"/>
    <w:rsid w:val="00B57A32"/>
    <w:rsid w:val="00B57C90"/>
    <w:rsid w:val="00B57DC3"/>
    <w:rsid w:val="00B57FFB"/>
    <w:rsid w:val="00B60012"/>
    <w:rsid w:val="00B60283"/>
    <w:rsid w:val="00B60321"/>
    <w:rsid w:val="00B6039E"/>
    <w:rsid w:val="00B60523"/>
    <w:rsid w:val="00B6056B"/>
    <w:rsid w:val="00B605B0"/>
    <w:rsid w:val="00B6091C"/>
    <w:rsid w:val="00B61179"/>
    <w:rsid w:val="00B61765"/>
    <w:rsid w:val="00B61A65"/>
    <w:rsid w:val="00B61DEA"/>
    <w:rsid w:val="00B62052"/>
    <w:rsid w:val="00B62216"/>
    <w:rsid w:val="00B623E8"/>
    <w:rsid w:val="00B6247D"/>
    <w:rsid w:val="00B624FB"/>
    <w:rsid w:val="00B6258F"/>
    <w:rsid w:val="00B627EB"/>
    <w:rsid w:val="00B62CEF"/>
    <w:rsid w:val="00B62F8B"/>
    <w:rsid w:val="00B6336E"/>
    <w:rsid w:val="00B63399"/>
    <w:rsid w:val="00B6344E"/>
    <w:rsid w:val="00B63B67"/>
    <w:rsid w:val="00B63D1F"/>
    <w:rsid w:val="00B63D25"/>
    <w:rsid w:val="00B63E66"/>
    <w:rsid w:val="00B6408B"/>
    <w:rsid w:val="00B641E9"/>
    <w:rsid w:val="00B64504"/>
    <w:rsid w:val="00B64585"/>
    <w:rsid w:val="00B646C0"/>
    <w:rsid w:val="00B649D8"/>
    <w:rsid w:val="00B64B49"/>
    <w:rsid w:val="00B64E14"/>
    <w:rsid w:val="00B65457"/>
    <w:rsid w:val="00B654BD"/>
    <w:rsid w:val="00B65536"/>
    <w:rsid w:val="00B65579"/>
    <w:rsid w:val="00B656FF"/>
    <w:rsid w:val="00B65804"/>
    <w:rsid w:val="00B65949"/>
    <w:rsid w:val="00B65C40"/>
    <w:rsid w:val="00B65FAF"/>
    <w:rsid w:val="00B6600B"/>
    <w:rsid w:val="00B6608D"/>
    <w:rsid w:val="00B66111"/>
    <w:rsid w:val="00B66648"/>
    <w:rsid w:val="00B66EE6"/>
    <w:rsid w:val="00B673B5"/>
    <w:rsid w:val="00B67663"/>
    <w:rsid w:val="00B676CD"/>
    <w:rsid w:val="00B678F2"/>
    <w:rsid w:val="00B678F9"/>
    <w:rsid w:val="00B679A4"/>
    <w:rsid w:val="00B67A7C"/>
    <w:rsid w:val="00B67BD2"/>
    <w:rsid w:val="00B67FAF"/>
    <w:rsid w:val="00B70209"/>
    <w:rsid w:val="00B702B1"/>
    <w:rsid w:val="00B703D5"/>
    <w:rsid w:val="00B706CC"/>
    <w:rsid w:val="00B70B8D"/>
    <w:rsid w:val="00B70BB1"/>
    <w:rsid w:val="00B70C11"/>
    <w:rsid w:val="00B70CA3"/>
    <w:rsid w:val="00B7108B"/>
    <w:rsid w:val="00B710C2"/>
    <w:rsid w:val="00B7124A"/>
    <w:rsid w:val="00B71503"/>
    <w:rsid w:val="00B71520"/>
    <w:rsid w:val="00B71559"/>
    <w:rsid w:val="00B71B73"/>
    <w:rsid w:val="00B71D48"/>
    <w:rsid w:val="00B71E80"/>
    <w:rsid w:val="00B71E82"/>
    <w:rsid w:val="00B72180"/>
    <w:rsid w:val="00B721ED"/>
    <w:rsid w:val="00B722E6"/>
    <w:rsid w:val="00B727B1"/>
    <w:rsid w:val="00B727C8"/>
    <w:rsid w:val="00B728D3"/>
    <w:rsid w:val="00B72B6F"/>
    <w:rsid w:val="00B72BBF"/>
    <w:rsid w:val="00B73102"/>
    <w:rsid w:val="00B7346E"/>
    <w:rsid w:val="00B734E4"/>
    <w:rsid w:val="00B73553"/>
    <w:rsid w:val="00B7373C"/>
    <w:rsid w:val="00B73847"/>
    <w:rsid w:val="00B738F2"/>
    <w:rsid w:val="00B73F62"/>
    <w:rsid w:val="00B740C2"/>
    <w:rsid w:val="00B745F9"/>
    <w:rsid w:val="00B74738"/>
    <w:rsid w:val="00B749EC"/>
    <w:rsid w:val="00B74AF5"/>
    <w:rsid w:val="00B74C63"/>
    <w:rsid w:val="00B74F56"/>
    <w:rsid w:val="00B75396"/>
    <w:rsid w:val="00B75411"/>
    <w:rsid w:val="00B75544"/>
    <w:rsid w:val="00B7560B"/>
    <w:rsid w:val="00B75FBC"/>
    <w:rsid w:val="00B7629A"/>
    <w:rsid w:val="00B76755"/>
    <w:rsid w:val="00B76A52"/>
    <w:rsid w:val="00B76F45"/>
    <w:rsid w:val="00B77037"/>
    <w:rsid w:val="00B77165"/>
    <w:rsid w:val="00B77627"/>
    <w:rsid w:val="00B7769D"/>
    <w:rsid w:val="00B77808"/>
    <w:rsid w:val="00B77923"/>
    <w:rsid w:val="00B77DBA"/>
    <w:rsid w:val="00B77F47"/>
    <w:rsid w:val="00B8012C"/>
    <w:rsid w:val="00B80166"/>
    <w:rsid w:val="00B80290"/>
    <w:rsid w:val="00B8030A"/>
    <w:rsid w:val="00B8043E"/>
    <w:rsid w:val="00B80690"/>
    <w:rsid w:val="00B806B1"/>
    <w:rsid w:val="00B808B2"/>
    <w:rsid w:val="00B809C4"/>
    <w:rsid w:val="00B80D66"/>
    <w:rsid w:val="00B80D7A"/>
    <w:rsid w:val="00B812DC"/>
    <w:rsid w:val="00B814F4"/>
    <w:rsid w:val="00B81552"/>
    <w:rsid w:val="00B816F0"/>
    <w:rsid w:val="00B8182E"/>
    <w:rsid w:val="00B81958"/>
    <w:rsid w:val="00B81BE3"/>
    <w:rsid w:val="00B81D8E"/>
    <w:rsid w:val="00B82387"/>
    <w:rsid w:val="00B823C6"/>
    <w:rsid w:val="00B82411"/>
    <w:rsid w:val="00B824E1"/>
    <w:rsid w:val="00B824F1"/>
    <w:rsid w:val="00B82530"/>
    <w:rsid w:val="00B82787"/>
    <w:rsid w:val="00B82999"/>
    <w:rsid w:val="00B82A6E"/>
    <w:rsid w:val="00B82AFD"/>
    <w:rsid w:val="00B82FC9"/>
    <w:rsid w:val="00B83106"/>
    <w:rsid w:val="00B8315C"/>
    <w:rsid w:val="00B831DB"/>
    <w:rsid w:val="00B8348E"/>
    <w:rsid w:val="00B83521"/>
    <w:rsid w:val="00B83785"/>
    <w:rsid w:val="00B838C6"/>
    <w:rsid w:val="00B83C76"/>
    <w:rsid w:val="00B84107"/>
    <w:rsid w:val="00B8411C"/>
    <w:rsid w:val="00B8418D"/>
    <w:rsid w:val="00B8438C"/>
    <w:rsid w:val="00B84511"/>
    <w:rsid w:val="00B848EF"/>
    <w:rsid w:val="00B84A71"/>
    <w:rsid w:val="00B84A84"/>
    <w:rsid w:val="00B84BDB"/>
    <w:rsid w:val="00B84DF7"/>
    <w:rsid w:val="00B85032"/>
    <w:rsid w:val="00B85185"/>
    <w:rsid w:val="00B851C7"/>
    <w:rsid w:val="00B85434"/>
    <w:rsid w:val="00B85580"/>
    <w:rsid w:val="00B856B6"/>
    <w:rsid w:val="00B8598C"/>
    <w:rsid w:val="00B85FAB"/>
    <w:rsid w:val="00B86515"/>
    <w:rsid w:val="00B86742"/>
    <w:rsid w:val="00B86773"/>
    <w:rsid w:val="00B868E0"/>
    <w:rsid w:val="00B8692E"/>
    <w:rsid w:val="00B86DAF"/>
    <w:rsid w:val="00B86F67"/>
    <w:rsid w:val="00B86F85"/>
    <w:rsid w:val="00B87431"/>
    <w:rsid w:val="00B87B91"/>
    <w:rsid w:val="00B87DF5"/>
    <w:rsid w:val="00B90149"/>
    <w:rsid w:val="00B901AD"/>
    <w:rsid w:val="00B901FE"/>
    <w:rsid w:val="00B90777"/>
    <w:rsid w:val="00B90EE8"/>
    <w:rsid w:val="00B911A0"/>
    <w:rsid w:val="00B9128A"/>
    <w:rsid w:val="00B912D5"/>
    <w:rsid w:val="00B915E5"/>
    <w:rsid w:val="00B918B8"/>
    <w:rsid w:val="00B9191F"/>
    <w:rsid w:val="00B91995"/>
    <w:rsid w:val="00B919F7"/>
    <w:rsid w:val="00B91C33"/>
    <w:rsid w:val="00B91C7A"/>
    <w:rsid w:val="00B91CE4"/>
    <w:rsid w:val="00B92368"/>
    <w:rsid w:val="00B924CC"/>
    <w:rsid w:val="00B92850"/>
    <w:rsid w:val="00B928D8"/>
    <w:rsid w:val="00B92A13"/>
    <w:rsid w:val="00B92DF6"/>
    <w:rsid w:val="00B92F8B"/>
    <w:rsid w:val="00B9319A"/>
    <w:rsid w:val="00B9326B"/>
    <w:rsid w:val="00B9340B"/>
    <w:rsid w:val="00B93808"/>
    <w:rsid w:val="00B93852"/>
    <w:rsid w:val="00B940B6"/>
    <w:rsid w:val="00B94486"/>
    <w:rsid w:val="00B94550"/>
    <w:rsid w:val="00B94616"/>
    <w:rsid w:val="00B947BE"/>
    <w:rsid w:val="00B949E5"/>
    <w:rsid w:val="00B94B42"/>
    <w:rsid w:val="00B94D87"/>
    <w:rsid w:val="00B94EEE"/>
    <w:rsid w:val="00B9504F"/>
    <w:rsid w:val="00B95216"/>
    <w:rsid w:val="00B9528C"/>
    <w:rsid w:val="00B95382"/>
    <w:rsid w:val="00B953E9"/>
    <w:rsid w:val="00B95443"/>
    <w:rsid w:val="00B9552D"/>
    <w:rsid w:val="00B957C6"/>
    <w:rsid w:val="00B95ABA"/>
    <w:rsid w:val="00B95C37"/>
    <w:rsid w:val="00B95D63"/>
    <w:rsid w:val="00B95E96"/>
    <w:rsid w:val="00B95F01"/>
    <w:rsid w:val="00B95F6A"/>
    <w:rsid w:val="00B96059"/>
    <w:rsid w:val="00B961A0"/>
    <w:rsid w:val="00B96225"/>
    <w:rsid w:val="00B963E1"/>
    <w:rsid w:val="00B965A5"/>
    <w:rsid w:val="00B96610"/>
    <w:rsid w:val="00B96780"/>
    <w:rsid w:val="00B96A13"/>
    <w:rsid w:val="00B96A1B"/>
    <w:rsid w:val="00B96AAA"/>
    <w:rsid w:val="00B96C3D"/>
    <w:rsid w:val="00B96D8F"/>
    <w:rsid w:val="00B972AD"/>
    <w:rsid w:val="00B972FE"/>
    <w:rsid w:val="00B9738D"/>
    <w:rsid w:val="00B974A2"/>
    <w:rsid w:val="00B9779B"/>
    <w:rsid w:val="00B977B5"/>
    <w:rsid w:val="00B9791F"/>
    <w:rsid w:val="00B97C9B"/>
    <w:rsid w:val="00B97CAE"/>
    <w:rsid w:val="00BA0011"/>
    <w:rsid w:val="00BA0132"/>
    <w:rsid w:val="00BA057A"/>
    <w:rsid w:val="00BA071E"/>
    <w:rsid w:val="00BA0BCF"/>
    <w:rsid w:val="00BA0FBE"/>
    <w:rsid w:val="00BA18D2"/>
    <w:rsid w:val="00BA18F5"/>
    <w:rsid w:val="00BA1B36"/>
    <w:rsid w:val="00BA2050"/>
    <w:rsid w:val="00BA21E4"/>
    <w:rsid w:val="00BA261F"/>
    <w:rsid w:val="00BA2839"/>
    <w:rsid w:val="00BA284A"/>
    <w:rsid w:val="00BA2B57"/>
    <w:rsid w:val="00BA2BE8"/>
    <w:rsid w:val="00BA2D56"/>
    <w:rsid w:val="00BA3256"/>
    <w:rsid w:val="00BA3321"/>
    <w:rsid w:val="00BA3674"/>
    <w:rsid w:val="00BA3A0F"/>
    <w:rsid w:val="00BA3E37"/>
    <w:rsid w:val="00BA4869"/>
    <w:rsid w:val="00BA4997"/>
    <w:rsid w:val="00BA49D6"/>
    <w:rsid w:val="00BA4D1E"/>
    <w:rsid w:val="00BA5023"/>
    <w:rsid w:val="00BA5113"/>
    <w:rsid w:val="00BA513A"/>
    <w:rsid w:val="00BA5532"/>
    <w:rsid w:val="00BA55BA"/>
    <w:rsid w:val="00BA55FF"/>
    <w:rsid w:val="00BA5E43"/>
    <w:rsid w:val="00BA5FFE"/>
    <w:rsid w:val="00BA62B1"/>
    <w:rsid w:val="00BA6486"/>
    <w:rsid w:val="00BA66FB"/>
    <w:rsid w:val="00BA6A0D"/>
    <w:rsid w:val="00BA6D84"/>
    <w:rsid w:val="00BA6E4F"/>
    <w:rsid w:val="00BA6FD1"/>
    <w:rsid w:val="00BA7008"/>
    <w:rsid w:val="00BA74B9"/>
    <w:rsid w:val="00BA74E6"/>
    <w:rsid w:val="00BA75D4"/>
    <w:rsid w:val="00BA77FD"/>
    <w:rsid w:val="00BA7867"/>
    <w:rsid w:val="00BA7CB2"/>
    <w:rsid w:val="00BA7EC5"/>
    <w:rsid w:val="00BB0059"/>
    <w:rsid w:val="00BB0088"/>
    <w:rsid w:val="00BB015B"/>
    <w:rsid w:val="00BB0236"/>
    <w:rsid w:val="00BB0799"/>
    <w:rsid w:val="00BB07D8"/>
    <w:rsid w:val="00BB08A6"/>
    <w:rsid w:val="00BB0C0F"/>
    <w:rsid w:val="00BB0C17"/>
    <w:rsid w:val="00BB0EDA"/>
    <w:rsid w:val="00BB0F5D"/>
    <w:rsid w:val="00BB0F89"/>
    <w:rsid w:val="00BB1054"/>
    <w:rsid w:val="00BB12DC"/>
    <w:rsid w:val="00BB1318"/>
    <w:rsid w:val="00BB1428"/>
    <w:rsid w:val="00BB1576"/>
    <w:rsid w:val="00BB19B0"/>
    <w:rsid w:val="00BB1A3F"/>
    <w:rsid w:val="00BB1B31"/>
    <w:rsid w:val="00BB1DBC"/>
    <w:rsid w:val="00BB1DDE"/>
    <w:rsid w:val="00BB1F1D"/>
    <w:rsid w:val="00BB2154"/>
    <w:rsid w:val="00BB21D8"/>
    <w:rsid w:val="00BB229C"/>
    <w:rsid w:val="00BB22B2"/>
    <w:rsid w:val="00BB260C"/>
    <w:rsid w:val="00BB273B"/>
    <w:rsid w:val="00BB2A9A"/>
    <w:rsid w:val="00BB2AEE"/>
    <w:rsid w:val="00BB2E8E"/>
    <w:rsid w:val="00BB305A"/>
    <w:rsid w:val="00BB309B"/>
    <w:rsid w:val="00BB30CC"/>
    <w:rsid w:val="00BB310F"/>
    <w:rsid w:val="00BB334E"/>
    <w:rsid w:val="00BB336E"/>
    <w:rsid w:val="00BB3798"/>
    <w:rsid w:val="00BB3C9A"/>
    <w:rsid w:val="00BB3DFB"/>
    <w:rsid w:val="00BB3F4C"/>
    <w:rsid w:val="00BB3F7C"/>
    <w:rsid w:val="00BB405E"/>
    <w:rsid w:val="00BB4488"/>
    <w:rsid w:val="00BB45D7"/>
    <w:rsid w:val="00BB4689"/>
    <w:rsid w:val="00BB4A31"/>
    <w:rsid w:val="00BB4CDC"/>
    <w:rsid w:val="00BB4D8E"/>
    <w:rsid w:val="00BB51F8"/>
    <w:rsid w:val="00BB52BC"/>
    <w:rsid w:val="00BB57EC"/>
    <w:rsid w:val="00BB5B45"/>
    <w:rsid w:val="00BB5B7B"/>
    <w:rsid w:val="00BB5BA6"/>
    <w:rsid w:val="00BB5C97"/>
    <w:rsid w:val="00BB5D17"/>
    <w:rsid w:val="00BB5D21"/>
    <w:rsid w:val="00BB609D"/>
    <w:rsid w:val="00BB63F8"/>
    <w:rsid w:val="00BB6670"/>
    <w:rsid w:val="00BB6930"/>
    <w:rsid w:val="00BB6987"/>
    <w:rsid w:val="00BB69E1"/>
    <w:rsid w:val="00BB6C0E"/>
    <w:rsid w:val="00BB702F"/>
    <w:rsid w:val="00BB7285"/>
    <w:rsid w:val="00BB7483"/>
    <w:rsid w:val="00BB766A"/>
    <w:rsid w:val="00BB7749"/>
    <w:rsid w:val="00BB7BB6"/>
    <w:rsid w:val="00BB7BCA"/>
    <w:rsid w:val="00BB7CA8"/>
    <w:rsid w:val="00BB7F4B"/>
    <w:rsid w:val="00BC001A"/>
    <w:rsid w:val="00BC0902"/>
    <w:rsid w:val="00BC09AB"/>
    <w:rsid w:val="00BC0AFD"/>
    <w:rsid w:val="00BC0C08"/>
    <w:rsid w:val="00BC0E41"/>
    <w:rsid w:val="00BC1908"/>
    <w:rsid w:val="00BC1B63"/>
    <w:rsid w:val="00BC2064"/>
    <w:rsid w:val="00BC232C"/>
    <w:rsid w:val="00BC23AC"/>
    <w:rsid w:val="00BC247F"/>
    <w:rsid w:val="00BC24D6"/>
    <w:rsid w:val="00BC2A2D"/>
    <w:rsid w:val="00BC2A55"/>
    <w:rsid w:val="00BC2A86"/>
    <w:rsid w:val="00BC2BDE"/>
    <w:rsid w:val="00BC2EE2"/>
    <w:rsid w:val="00BC2EF6"/>
    <w:rsid w:val="00BC30F1"/>
    <w:rsid w:val="00BC3348"/>
    <w:rsid w:val="00BC385A"/>
    <w:rsid w:val="00BC38EB"/>
    <w:rsid w:val="00BC39ED"/>
    <w:rsid w:val="00BC3C02"/>
    <w:rsid w:val="00BC3F33"/>
    <w:rsid w:val="00BC4046"/>
    <w:rsid w:val="00BC4551"/>
    <w:rsid w:val="00BC4802"/>
    <w:rsid w:val="00BC4928"/>
    <w:rsid w:val="00BC492F"/>
    <w:rsid w:val="00BC4A2D"/>
    <w:rsid w:val="00BC4A34"/>
    <w:rsid w:val="00BC4B40"/>
    <w:rsid w:val="00BC4C01"/>
    <w:rsid w:val="00BC4D72"/>
    <w:rsid w:val="00BC507D"/>
    <w:rsid w:val="00BC546C"/>
    <w:rsid w:val="00BC5491"/>
    <w:rsid w:val="00BC562F"/>
    <w:rsid w:val="00BC596A"/>
    <w:rsid w:val="00BC5B8F"/>
    <w:rsid w:val="00BC5FC4"/>
    <w:rsid w:val="00BC6023"/>
    <w:rsid w:val="00BC6038"/>
    <w:rsid w:val="00BC604B"/>
    <w:rsid w:val="00BC6405"/>
    <w:rsid w:val="00BC64B4"/>
    <w:rsid w:val="00BC6523"/>
    <w:rsid w:val="00BC6810"/>
    <w:rsid w:val="00BC6916"/>
    <w:rsid w:val="00BC696D"/>
    <w:rsid w:val="00BC6B2E"/>
    <w:rsid w:val="00BC6C51"/>
    <w:rsid w:val="00BC6E4C"/>
    <w:rsid w:val="00BC706C"/>
    <w:rsid w:val="00BC72C1"/>
    <w:rsid w:val="00BC735D"/>
    <w:rsid w:val="00BC73E1"/>
    <w:rsid w:val="00BC748C"/>
    <w:rsid w:val="00BC78D4"/>
    <w:rsid w:val="00BC7C1C"/>
    <w:rsid w:val="00BC7C20"/>
    <w:rsid w:val="00BC7E7B"/>
    <w:rsid w:val="00BC7F8E"/>
    <w:rsid w:val="00BD01CF"/>
    <w:rsid w:val="00BD07AB"/>
    <w:rsid w:val="00BD09A7"/>
    <w:rsid w:val="00BD0A71"/>
    <w:rsid w:val="00BD0B3C"/>
    <w:rsid w:val="00BD0F98"/>
    <w:rsid w:val="00BD1083"/>
    <w:rsid w:val="00BD1296"/>
    <w:rsid w:val="00BD1306"/>
    <w:rsid w:val="00BD145A"/>
    <w:rsid w:val="00BD153F"/>
    <w:rsid w:val="00BD1669"/>
    <w:rsid w:val="00BD19DA"/>
    <w:rsid w:val="00BD19E6"/>
    <w:rsid w:val="00BD1A9F"/>
    <w:rsid w:val="00BD1DA1"/>
    <w:rsid w:val="00BD21D4"/>
    <w:rsid w:val="00BD22D3"/>
    <w:rsid w:val="00BD24C6"/>
    <w:rsid w:val="00BD2D09"/>
    <w:rsid w:val="00BD2D9C"/>
    <w:rsid w:val="00BD2E1E"/>
    <w:rsid w:val="00BD31C1"/>
    <w:rsid w:val="00BD3450"/>
    <w:rsid w:val="00BD3750"/>
    <w:rsid w:val="00BD383A"/>
    <w:rsid w:val="00BD3965"/>
    <w:rsid w:val="00BD399D"/>
    <w:rsid w:val="00BD39F6"/>
    <w:rsid w:val="00BD3A74"/>
    <w:rsid w:val="00BD3B05"/>
    <w:rsid w:val="00BD3D6E"/>
    <w:rsid w:val="00BD3EF0"/>
    <w:rsid w:val="00BD3F05"/>
    <w:rsid w:val="00BD4171"/>
    <w:rsid w:val="00BD4328"/>
    <w:rsid w:val="00BD4338"/>
    <w:rsid w:val="00BD452D"/>
    <w:rsid w:val="00BD4DEA"/>
    <w:rsid w:val="00BD53BB"/>
    <w:rsid w:val="00BD541B"/>
    <w:rsid w:val="00BD5831"/>
    <w:rsid w:val="00BD5C6D"/>
    <w:rsid w:val="00BD5C76"/>
    <w:rsid w:val="00BD5DCF"/>
    <w:rsid w:val="00BD5E72"/>
    <w:rsid w:val="00BD5F6D"/>
    <w:rsid w:val="00BD6423"/>
    <w:rsid w:val="00BD6544"/>
    <w:rsid w:val="00BD6839"/>
    <w:rsid w:val="00BD6B28"/>
    <w:rsid w:val="00BD6BF5"/>
    <w:rsid w:val="00BD6E80"/>
    <w:rsid w:val="00BD6F59"/>
    <w:rsid w:val="00BD6FB8"/>
    <w:rsid w:val="00BD7356"/>
    <w:rsid w:val="00BD73CF"/>
    <w:rsid w:val="00BD7499"/>
    <w:rsid w:val="00BD74A6"/>
    <w:rsid w:val="00BD75CE"/>
    <w:rsid w:val="00BD769D"/>
    <w:rsid w:val="00BD7780"/>
    <w:rsid w:val="00BD77C1"/>
    <w:rsid w:val="00BD786F"/>
    <w:rsid w:val="00BD7876"/>
    <w:rsid w:val="00BD7B11"/>
    <w:rsid w:val="00BD7C61"/>
    <w:rsid w:val="00BD7F16"/>
    <w:rsid w:val="00BE0029"/>
    <w:rsid w:val="00BE038D"/>
    <w:rsid w:val="00BE03E9"/>
    <w:rsid w:val="00BE0624"/>
    <w:rsid w:val="00BE0986"/>
    <w:rsid w:val="00BE0BAF"/>
    <w:rsid w:val="00BE0D30"/>
    <w:rsid w:val="00BE0F03"/>
    <w:rsid w:val="00BE0F8D"/>
    <w:rsid w:val="00BE0FA4"/>
    <w:rsid w:val="00BE17CC"/>
    <w:rsid w:val="00BE18B8"/>
    <w:rsid w:val="00BE1C77"/>
    <w:rsid w:val="00BE1D93"/>
    <w:rsid w:val="00BE1DB0"/>
    <w:rsid w:val="00BE25BA"/>
    <w:rsid w:val="00BE25D1"/>
    <w:rsid w:val="00BE2898"/>
    <w:rsid w:val="00BE2B1D"/>
    <w:rsid w:val="00BE2E0F"/>
    <w:rsid w:val="00BE2F59"/>
    <w:rsid w:val="00BE2F5E"/>
    <w:rsid w:val="00BE3101"/>
    <w:rsid w:val="00BE3103"/>
    <w:rsid w:val="00BE3396"/>
    <w:rsid w:val="00BE37C0"/>
    <w:rsid w:val="00BE3855"/>
    <w:rsid w:val="00BE3A7A"/>
    <w:rsid w:val="00BE3ABC"/>
    <w:rsid w:val="00BE3BCB"/>
    <w:rsid w:val="00BE3F2E"/>
    <w:rsid w:val="00BE44B7"/>
    <w:rsid w:val="00BE49D6"/>
    <w:rsid w:val="00BE4E1B"/>
    <w:rsid w:val="00BE4F43"/>
    <w:rsid w:val="00BE5150"/>
    <w:rsid w:val="00BE556E"/>
    <w:rsid w:val="00BE56A8"/>
    <w:rsid w:val="00BE5C2C"/>
    <w:rsid w:val="00BE5CC5"/>
    <w:rsid w:val="00BE5D63"/>
    <w:rsid w:val="00BE5E90"/>
    <w:rsid w:val="00BE661E"/>
    <w:rsid w:val="00BE68DF"/>
    <w:rsid w:val="00BE6AB5"/>
    <w:rsid w:val="00BE7248"/>
    <w:rsid w:val="00BE7702"/>
    <w:rsid w:val="00BE785A"/>
    <w:rsid w:val="00BE7B65"/>
    <w:rsid w:val="00BE7F6E"/>
    <w:rsid w:val="00BF026D"/>
    <w:rsid w:val="00BF0297"/>
    <w:rsid w:val="00BF02C8"/>
    <w:rsid w:val="00BF0315"/>
    <w:rsid w:val="00BF0375"/>
    <w:rsid w:val="00BF05CB"/>
    <w:rsid w:val="00BF07DD"/>
    <w:rsid w:val="00BF0AB7"/>
    <w:rsid w:val="00BF0AD0"/>
    <w:rsid w:val="00BF0B7B"/>
    <w:rsid w:val="00BF0CEF"/>
    <w:rsid w:val="00BF1075"/>
    <w:rsid w:val="00BF11C2"/>
    <w:rsid w:val="00BF1287"/>
    <w:rsid w:val="00BF1296"/>
    <w:rsid w:val="00BF1339"/>
    <w:rsid w:val="00BF133E"/>
    <w:rsid w:val="00BF164C"/>
    <w:rsid w:val="00BF1683"/>
    <w:rsid w:val="00BF189A"/>
    <w:rsid w:val="00BF19E0"/>
    <w:rsid w:val="00BF1B4B"/>
    <w:rsid w:val="00BF1C51"/>
    <w:rsid w:val="00BF1CCA"/>
    <w:rsid w:val="00BF1CEF"/>
    <w:rsid w:val="00BF1EB8"/>
    <w:rsid w:val="00BF1F29"/>
    <w:rsid w:val="00BF21CD"/>
    <w:rsid w:val="00BF2390"/>
    <w:rsid w:val="00BF264C"/>
    <w:rsid w:val="00BF2952"/>
    <w:rsid w:val="00BF29EE"/>
    <w:rsid w:val="00BF2A95"/>
    <w:rsid w:val="00BF2E2B"/>
    <w:rsid w:val="00BF2EA6"/>
    <w:rsid w:val="00BF2EB3"/>
    <w:rsid w:val="00BF30AE"/>
    <w:rsid w:val="00BF315F"/>
    <w:rsid w:val="00BF3228"/>
    <w:rsid w:val="00BF383C"/>
    <w:rsid w:val="00BF386B"/>
    <w:rsid w:val="00BF3B4C"/>
    <w:rsid w:val="00BF4217"/>
    <w:rsid w:val="00BF45BE"/>
    <w:rsid w:val="00BF47F1"/>
    <w:rsid w:val="00BF4A12"/>
    <w:rsid w:val="00BF4B98"/>
    <w:rsid w:val="00BF4F6C"/>
    <w:rsid w:val="00BF4F8A"/>
    <w:rsid w:val="00BF5227"/>
    <w:rsid w:val="00BF5245"/>
    <w:rsid w:val="00BF52E2"/>
    <w:rsid w:val="00BF5387"/>
    <w:rsid w:val="00BF58AD"/>
    <w:rsid w:val="00BF58B4"/>
    <w:rsid w:val="00BF5909"/>
    <w:rsid w:val="00BF599F"/>
    <w:rsid w:val="00BF59F3"/>
    <w:rsid w:val="00BF5AD8"/>
    <w:rsid w:val="00BF5BDC"/>
    <w:rsid w:val="00BF5DDB"/>
    <w:rsid w:val="00BF5F74"/>
    <w:rsid w:val="00BF6481"/>
    <w:rsid w:val="00BF64D7"/>
    <w:rsid w:val="00BF6525"/>
    <w:rsid w:val="00BF6647"/>
    <w:rsid w:val="00BF6A68"/>
    <w:rsid w:val="00BF6C44"/>
    <w:rsid w:val="00BF6D99"/>
    <w:rsid w:val="00BF7022"/>
    <w:rsid w:val="00BF7178"/>
    <w:rsid w:val="00BF7273"/>
    <w:rsid w:val="00BF73D9"/>
    <w:rsid w:val="00BF7554"/>
    <w:rsid w:val="00BF7684"/>
    <w:rsid w:val="00BF7A4E"/>
    <w:rsid w:val="00C0059D"/>
    <w:rsid w:val="00C00CAF"/>
    <w:rsid w:val="00C00D1F"/>
    <w:rsid w:val="00C00D20"/>
    <w:rsid w:val="00C00E92"/>
    <w:rsid w:val="00C0105E"/>
    <w:rsid w:val="00C011DA"/>
    <w:rsid w:val="00C0132B"/>
    <w:rsid w:val="00C01452"/>
    <w:rsid w:val="00C01734"/>
    <w:rsid w:val="00C01B2B"/>
    <w:rsid w:val="00C01D42"/>
    <w:rsid w:val="00C01E98"/>
    <w:rsid w:val="00C02288"/>
    <w:rsid w:val="00C025F1"/>
    <w:rsid w:val="00C02795"/>
    <w:rsid w:val="00C02859"/>
    <w:rsid w:val="00C02B69"/>
    <w:rsid w:val="00C02D67"/>
    <w:rsid w:val="00C02D75"/>
    <w:rsid w:val="00C032A2"/>
    <w:rsid w:val="00C0355E"/>
    <w:rsid w:val="00C03606"/>
    <w:rsid w:val="00C0375B"/>
    <w:rsid w:val="00C03D00"/>
    <w:rsid w:val="00C03D64"/>
    <w:rsid w:val="00C03F7D"/>
    <w:rsid w:val="00C04496"/>
    <w:rsid w:val="00C0451F"/>
    <w:rsid w:val="00C0470E"/>
    <w:rsid w:val="00C0473E"/>
    <w:rsid w:val="00C04799"/>
    <w:rsid w:val="00C04822"/>
    <w:rsid w:val="00C048DC"/>
    <w:rsid w:val="00C0495F"/>
    <w:rsid w:val="00C049A1"/>
    <w:rsid w:val="00C04BA9"/>
    <w:rsid w:val="00C04F39"/>
    <w:rsid w:val="00C05047"/>
    <w:rsid w:val="00C052AA"/>
    <w:rsid w:val="00C05346"/>
    <w:rsid w:val="00C056DA"/>
    <w:rsid w:val="00C0593B"/>
    <w:rsid w:val="00C05F34"/>
    <w:rsid w:val="00C05F38"/>
    <w:rsid w:val="00C05F74"/>
    <w:rsid w:val="00C06144"/>
    <w:rsid w:val="00C06381"/>
    <w:rsid w:val="00C068C2"/>
    <w:rsid w:val="00C06A9C"/>
    <w:rsid w:val="00C06B37"/>
    <w:rsid w:val="00C06B6C"/>
    <w:rsid w:val="00C06F7A"/>
    <w:rsid w:val="00C07064"/>
    <w:rsid w:val="00C07069"/>
    <w:rsid w:val="00C07218"/>
    <w:rsid w:val="00C076C5"/>
    <w:rsid w:val="00C076D7"/>
    <w:rsid w:val="00C0776D"/>
    <w:rsid w:val="00C10072"/>
    <w:rsid w:val="00C100BC"/>
    <w:rsid w:val="00C10216"/>
    <w:rsid w:val="00C103D3"/>
    <w:rsid w:val="00C10687"/>
    <w:rsid w:val="00C108EE"/>
    <w:rsid w:val="00C109EA"/>
    <w:rsid w:val="00C10D56"/>
    <w:rsid w:val="00C10D7C"/>
    <w:rsid w:val="00C10DD7"/>
    <w:rsid w:val="00C1124F"/>
    <w:rsid w:val="00C112B7"/>
    <w:rsid w:val="00C112CF"/>
    <w:rsid w:val="00C114B1"/>
    <w:rsid w:val="00C11621"/>
    <w:rsid w:val="00C116AE"/>
    <w:rsid w:val="00C11797"/>
    <w:rsid w:val="00C122A4"/>
    <w:rsid w:val="00C12369"/>
    <w:rsid w:val="00C12395"/>
    <w:rsid w:val="00C123FD"/>
    <w:rsid w:val="00C12777"/>
    <w:rsid w:val="00C1285E"/>
    <w:rsid w:val="00C12AA0"/>
    <w:rsid w:val="00C12AA9"/>
    <w:rsid w:val="00C12C92"/>
    <w:rsid w:val="00C12E82"/>
    <w:rsid w:val="00C12EB0"/>
    <w:rsid w:val="00C1304B"/>
    <w:rsid w:val="00C133AC"/>
    <w:rsid w:val="00C133F0"/>
    <w:rsid w:val="00C138B9"/>
    <w:rsid w:val="00C138E3"/>
    <w:rsid w:val="00C13977"/>
    <w:rsid w:val="00C13CCA"/>
    <w:rsid w:val="00C13CFA"/>
    <w:rsid w:val="00C13E43"/>
    <w:rsid w:val="00C13EA2"/>
    <w:rsid w:val="00C13F5D"/>
    <w:rsid w:val="00C13FB0"/>
    <w:rsid w:val="00C140F4"/>
    <w:rsid w:val="00C14272"/>
    <w:rsid w:val="00C144E5"/>
    <w:rsid w:val="00C148BE"/>
    <w:rsid w:val="00C14A62"/>
    <w:rsid w:val="00C14D5F"/>
    <w:rsid w:val="00C14F56"/>
    <w:rsid w:val="00C14FAC"/>
    <w:rsid w:val="00C14FF7"/>
    <w:rsid w:val="00C15087"/>
    <w:rsid w:val="00C151F9"/>
    <w:rsid w:val="00C156FF"/>
    <w:rsid w:val="00C15B42"/>
    <w:rsid w:val="00C16562"/>
    <w:rsid w:val="00C1671E"/>
    <w:rsid w:val="00C16906"/>
    <w:rsid w:val="00C16C45"/>
    <w:rsid w:val="00C17223"/>
    <w:rsid w:val="00C17343"/>
    <w:rsid w:val="00C17441"/>
    <w:rsid w:val="00C17711"/>
    <w:rsid w:val="00C17808"/>
    <w:rsid w:val="00C20625"/>
    <w:rsid w:val="00C20A3C"/>
    <w:rsid w:val="00C20D27"/>
    <w:rsid w:val="00C20E1A"/>
    <w:rsid w:val="00C20E8D"/>
    <w:rsid w:val="00C21058"/>
    <w:rsid w:val="00C21159"/>
    <w:rsid w:val="00C21442"/>
    <w:rsid w:val="00C2146C"/>
    <w:rsid w:val="00C21537"/>
    <w:rsid w:val="00C21559"/>
    <w:rsid w:val="00C218BF"/>
    <w:rsid w:val="00C219F2"/>
    <w:rsid w:val="00C21A16"/>
    <w:rsid w:val="00C21A63"/>
    <w:rsid w:val="00C21AB0"/>
    <w:rsid w:val="00C224B3"/>
    <w:rsid w:val="00C225B8"/>
    <w:rsid w:val="00C2273A"/>
    <w:rsid w:val="00C227CE"/>
    <w:rsid w:val="00C22855"/>
    <w:rsid w:val="00C22946"/>
    <w:rsid w:val="00C229DA"/>
    <w:rsid w:val="00C22B04"/>
    <w:rsid w:val="00C22EE1"/>
    <w:rsid w:val="00C231FB"/>
    <w:rsid w:val="00C232B8"/>
    <w:rsid w:val="00C232E0"/>
    <w:rsid w:val="00C233C0"/>
    <w:rsid w:val="00C23533"/>
    <w:rsid w:val="00C23537"/>
    <w:rsid w:val="00C23D74"/>
    <w:rsid w:val="00C23D7D"/>
    <w:rsid w:val="00C23D98"/>
    <w:rsid w:val="00C24410"/>
    <w:rsid w:val="00C244D5"/>
    <w:rsid w:val="00C244E3"/>
    <w:rsid w:val="00C245A2"/>
    <w:rsid w:val="00C24623"/>
    <w:rsid w:val="00C24877"/>
    <w:rsid w:val="00C24B3E"/>
    <w:rsid w:val="00C24EC4"/>
    <w:rsid w:val="00C24F14"/>
    <w:rsid w:val="00C250CD"/>
    <w:rsid w:val="00C250EF"/>
    <w:rsid w:val="00C25210"/>
    <w:rsid w:val="00C254C3"/>
    <w:rsid w:val="00C25509"/>
    <w:rsid w:val="00C255AA"/>
    <w:rsid w:val="00C25685"/>
    <w:rsid w:val="00C2593F"/>
    <w:rsid w:val="00C25AE4"/>
    <w:rsid w:val="00C25C0E"/>
    <w:rsid w:val="00C25CFD"/>
    <w:rsid w:val="00C25E6F"/>
    <w:rsid w:val="00C26059"/>
    <w:rsid w:val="00C261E5"/>
    <w:rsid w:val="00C2629D"/>
    <w:rsid w:val="00C262F3"/>
    <w:rsid w:val="00C263A3"/>
    <w:rsid w:val="00C26977"/>
    <w:rsid w:val="00C26A40"/>
    <w:rsid w:val="00C26FB1"/>
    <w:rsid w:val="00C27143"/>
    <w:rsid w:val="00C271EC"/>
    <w:rsid w:val="00C272B3"/>
    <w:rsid w:val="00C27400"/>
    <w:rsid w:val="00C2747A"/>
    <w:rsid w:val="00C27483"/>
    <w:rsid w:val="00C27B98"/>
    <w:rsid w:val="00C30424"/>
    <w:rsid w:val="00C305F2"/>
    <w:rsid w:val="00C3061E"/>
    <w:rsid w:val="00C3075B"/>
    <w:rsid w:val="00C30EFE"/>
    <w:rsid w:val="00C31321"/>
    <w:rsid w:val="00C313AE"/>
    <w:rsid w:val="00C31615"/>
    <w:rsid w:val="00C31662"/>
    <w:rsid w:val="00C31764"/>
    <w:rsid w:val="00C32413"/>
    <w:rsid w:val="00C325D1"/>
    <w:rsid w:val="00C32909"/>
    <w:rsid w:val="00C32B81"/>
    <w:rsid w:val="00C32C97"/>
    <w:rsid w:val="00C32C99"/>
    <w:rsid w:val="00C331CF"/>
    <w:rsid w:val="00C33A34"/>
    <w:rsid w:val="00C33B3E"/>
    <w:rsid w:val="00C33C99"/>
    <w:rsid w:val="00C33CE2"/>
    <w:rsid w:val="00C33E0F"/>
    <w:rsid w:val="00C33F75"/>
    <w:rsid w:val="00C34168"/>
    <w:rsid w:val="00C341E9"/>
    <w:rsid w:val="00C3426B"/>
    <w:rsid w:val="00C3448A"/>
    <w:rsid w:val="00C344DA"/>
    <w:rsid w:val="00C34634"/>
    <w:rsid w:val="00C34A64"/>
    <w:rsid w:val="00C34B03"/>
    <w:rsid w:val="00C34DC5"/>
    <w:rsid w:val="00C34E25"/>
    <w:rsid w:val="00C34E43"/>
    <w:rsid w:val="00C34F42"/>
    <w:rsid w:val="00C34FA3"/>
    <w:rsid w:val="00C35416"/>
    <w:rsid w:val="00C35517"/>
    <w:rsid w:val="00C358AC"/>
    <w:rsid w:val="00C358F8"/>
    <w:rsid w:val="00C3594C"/>
    <w:rsid w:val="00C35A8E"/>
    <w:rsid w:val="00C35B19"/>
    <w:rsid w:val="00C35CCD"/>
    <w:rsid w:val="00C35E45"/>
    <w:rsid w:val="00C35F90"/>
    <w:rsid w:val="00C3658F"/>
    <w:rsid w:val="00C36C07"/>
    <w:rsid w:val="00C3717B"/>
    <w:rsid w:val="00C3718A"/>
    <w:rsid w:val="00C3731D"/>
    <w:rsid w:val="00C373AD"/>
    <w:rsid w:val="00C374AA"/>
    <w:rsid w:val="00C375A5"/>
    <w:rsid w:val="00C37659"/>
    <w:rsid w:val="00C377D5"/>
    <w:rsid w:val="00C378E8"/>
    <w:rsid w:val="00C379D5"/>
    <w:rsid w:val="00C379EA"/>
    <w:rsid w:val="00C37BA8"/>
    <w:rsid w:val="00C37D69"/>
    <w:rsid w:val="00C37EB3"/>
    <w:rsid w:val="00C37F62"/>
    <w:rsid w:val="00C40684"/>
    <w:rsid w:val="00C409EA"/>
    <w:rsid w:val="00C40C34"/>
    <w:rsid w:val="00C40E2A"/>
    <w:rsid w:val="00C4142F"/>
    <w:rsid w:val="00C415D6"/>
    <w:rsid w:val="00C41CCF"/>
    <w:rsid w:val="00C420FF"/>
    <w:rsid w:val="00C421BA"/>
    <w:rsid w:val="00C421FA"/>
    <w:rsid w:val="00C4224E"/>
    <w:rsid w:val="00C42327"/>
    <w:rsid w:val="00C42911"/>
    <w:rsid w:val="00C42FE1"/>
    <w:rsid w:val="00C431EF"/>
    <w:rsid w:val="00C43247"/>
    <w:rsid w:val="00C432AD"/>
    <w:rsid w:val="00C43367"/>
    <w:rsid w:val="00C4349D"/>
    <w:rsid w:val="00C434AF"/>
    <w:rsid w:val="00C434B9"/>
    <w:rsid w:val="00C436D6"/>
    <w:rsid w:val="00C43D98"/>
    <w:rsid w:val="00C43FBE"/>
    <w:rsid w:val="00C4463B"/>
    <w:rsid w:val="00C447A3"/>
    <w:rsid w:val="00C448F4"/>
    <w:rsid w:val="00C44FA8"/>
    <w:rsid w:val="00C4532C"/>
    <w:rsid w:val="00C456C8"/>
    <w:rsid w:val="00C45A54"/>
    <w:rsid w:val="00C45EA1"/>
    <w:rsid w:val="00C462AA"/>
    <w:rsid w:val="00C46401"/>
    <w:rsid w:val="00C46660"/>
    <w:rsid w:val="00C4678E"/>
    <w:rsid w:val="00C46D24"/>
    <w:rsid w:val="00C47065"/>
    <w:rsid w:val="00C47445"/>
    <w:rsid w:val="00C47505"/>
    <w:rsid w:val="00C47A24"/>
    <w:rsid w:val="00C47AD2"/>
    <w:rsid w:val="00C47B6E"/>
    <w:rsid w:val="00C47C16"/>
    <w:rsid w:val="00C47F78"/>
    <w:rsid w:val="00C50132"/>
    <w:rsid w:val="00C5016C"/>
    <w:rsid w:val="00C507DA"/>
    <w:rsid w:val="00C5086D"/>
    <w:rsid w:val="00C5094D"/>
    <w:rsid w:val="00C50EB9"/>
    <w:rsid w:val="00C50F1E"/>
    <w:rsid w:val="00C5161B"/>
    <w:rsid w:val="00C51761"/>
    <w:rsid w:val="00C518CC"/>
    <w:rsid w:val="00C5193D"/>
    <w:rsid w:val="00C51C61"/>
    <w:rsid w:val="00C51E99"/>
    <w:rsid w:val="00C5222A"/>
    <w:rsid w:val="00C523BD"/>
    <w:rsid w:val="00C52DED"/>
    <w:rsid w:val="00C52EFB"/>
    <w:rsid w:val="00C52FAA"/>
    <w:rsid w:val="00C53098"/>
    <w:rsid w:val="00C530CB"/>
    <w:rsid w:val="00C531F7"/>
    <w:rsid w:val="00C53266"/>
    <w:rsid w:val="00C53588"/>
    <w:rsid w:val="00C5375E"/>
    <w:rsid w:val="00C538F6"/>
    <w:rsid w:val="00C53C3B"/>
    <w:rsid w:val="00C53E3D"/>
    <w:rsid w:val="00C540BA"/>
    <w:rsid w:val="00C5437D"/>
    <w:rsid w:val="00C5449A"/>
    <w:rsid w:val="00C54589"/>
    <w:rsid w:val="00C5467A"/>
    <w:rsid w:val="00C547D5"/>
    <w:rsid w:val="00C5495B"/>
    <w:rsid w:val="00C5499B"/>
    <w:rsid w:val="00C549B0"/>
    <w:rsid w:val="00C549E4"/>
    <w:rsid w:val="00C54C18"/>
    <w:rsid w:val="00C54E4C"/>
    <w:rsid w:val="00C55121"/>
    <w:rsid w:val="00C55225"/>
    <w:rsid w:val="00C55388"/>
    <w:rsid w:val="00C55432"/>
    <w:rsid w:val="00C554A2"/>
    <w:rsid w:val="00C556A9"/>
    <w:rsid w:val="00C5576F"/>
    <w:rsid w:val="00C55A91"/>
    <w:rsid w:val="00C55BD3"/>
    <w:rsid w:val="00C55F6F"/>
    <w:rsid w:val="00C55F76"/>
    <w:rsid w:val="00C55FFE"/>
    <w:rsid w:val="00C560CD"/>
    <w:rsid w:val="00C56237"/>
    <w:rsid w:val="00C567E9"/>
    <w:rsid w:val="00C56828"/>
    <w:rsid w:val="00C56D3B"/>
    <w:rsid w:val="00C56E50"/>
    <w:rsid w:val="00C56F53"/>
    <w:rsid w:val="00C571F3"/>
    <w:rsid w:val="00C5786E"/>
    <w:rsid w:val="00C57C9A"/>
    <w:rsid w:val="00C60170"/>
    <w:rsid w:val="00C60596"/>
    <w:rsid w:val="00C60807"/>
    <w:rsid w:val="00C60C38"/>
    <w:rsid w:val="00C61226"/>
    <w:rsid w:val="00C6140C"/>
    <w:rsid w:val="00C6147E"/>
    <w:rsid w:val="00C61826"/>
    <w:rsid w:val="00C61D2E"/>
    <w:rsid w:val="00C61DBE"/>
    <w:rsid w:val="00C621BF"/>
    <w:rsid w:val="00C625ED"/>
    <w:rsid w:val="00C62691"/>
    <w:rsid w:val="00C62782"/>
    <w:rsid w:val="00C628F8"/>
    <w:rsid w:val="00C62BB9"/>
    <w:rsid w:val="00C62CE4"/>
    <w:rsid w:val="00C62F26"/>
    <w:rsid w:val="00C63053"/>
    <w:rsid w:val="00C63332"/>
    <w:rsid w:val="00C639FC"/>
    <w:rsid w:val="00C63B7C"/>
    <w:rsid w:val="00C63DD1"/>
    <w:rsid w:val="00C63EA5"/>
    <w:rsid w:val="00C63FA7"/>
    <w:rsid w:val="00C646CF"/>
    <w:rsid w:val="00C64798"/>
    <w:rsid w:val="00C647A6"/>
    <w:rsid w:val="00C647D9"/>
    <w:rsid w:val="00C648FF"/>
    <w:rsid w:val="00C64990"/>
    <w:rsid w:val="00C649DB"/>
    <w:rsid w:val="00C64B6F"/>
    <w:rsid w:val="00C64BA2"/>
    <w:rsid w:val="00C64CAB"/>
    <w:rsid w:val="00C64FF0"/>
    <w:rsid w:val="00C64FFF"/>
    <w:rsid w:val="00C651A3"/>
    <w:rsid w:val="00C65289"/>
    <w:rsid w:val="00C652D0"/>
    <w:rsid w:val="00C65395"/>
    <w:rsid w:val="00C65548"/>
    <w:rsid w:val="00C65626"/>
    <w:rsid w:val="00C6599D"/>
    <w:rsid w:val="00C65AA9"/>
    <w:rsid w:val="00C65B2D"/>
    <w:rsid w:val="00C65CD7"/>
    <w:rsid w:val="00C65D2F"/>
    <w:rsid w:val="00C65E7F"/>
    <w:rsid w:val="00C65FBE"/>
    <w:rsid w:val="00C65FEA"/>
    <w:rsid w:val="00C66081"/>
    <w:rsid w:val="00C6615D"/>
    <w:rsid w:val="00C6617D"/>
    <w:rsid w:val="00C662C0"/>
    <w:rsid w:val="00C66450"/>
    <w:rsid w:val="00C664A3"/>
    <w:rsid w:val="00C66510"/>
    <w:rsid w:val="00C66541"/>
    <w:rsid w:val="00C66855"/>
    <w:rsid w:val="00C66A45"/>
    <w:rsid w:val="00C66A9C"/>
    <w:rsid w:val="00C66B5D"/>
    <w:rsid w:val="00C66BC1"/>
    <w:rsid w:val="00C671A6"/>
    <w:rsid w:val="00C67265"/>
    <w:rsid w:val="00C67636"/>
    <w:rsid w:val="00C6774D"/>
    <w:rsid w:val="00C678F3"/>
    <w:rsid w:val="00C67928"/>
    <w:rsid w:val="00C67C52"/>
    <w:rsid w:val="00C67C59"/>
    <w:rsid w:val="00C702C4"/>
    <w:rsid w:val="00C7035F"/>
    <w:rsid w:val="00C70655"/>
    <w:rsid w:val="00C7078E"/>
    <w:rsid w:val="00C7099D"/>
    <w:rsid w:val="00C70C38"/>
    <w:rsid w:val="00C71005"/>
    <w:rsid w:val="00C71135"/>
    <w:rsid w:val="00C7127F"/>
    <w:rsid w:val="00C715FF"/>
    <w:rsid w:val="00C7161A"/>
    <w:rsid w:val="00C717F5"/>
    <w:rsid w:val="00C71966"/>
    <w:rsid w:val="00C71A1B"/>
    <w:rsid w:val="00C71A97"/>
    <w:rsid w:val="00C71C3B"/>
    <w:rsid w:val="00C71CF4"/>
    <w:rsid w:val="00C71D16"/>
    <w:rsid w:val="00C71E16"/>
    <w:rsid w:val="00C71ECB"/>
    <w:rsid w:val="00C7213F"/>
    <w:rsid w:val="00C722E6"/>
    <w:rsid w:val="00C72452"/>
    <w:rsid w:val="00C725E4"/>
    <w:rsid w:val="00C72711"/>
    <w:rsid w:val="00C72787"/>
    <w:rsid w:val="00C7290B"/>
    <w:rsid w:val="00C729BE"/>
    <w:rsid w:val="00C72B13"/>
    <w:rsid w:val="00C72DB8"/>
    <w:rsid w:val="00C73038"/>
    <w:rsid w:val="00C730D5"/>
    <w:rsid w:val="00C73222"/>
    <w:rsid w:val="00C7379E"/>
    <w:rsid w:val="00C73826"/>
    <w:rsid w:val="00C73879"/>
    <w:rsid w:val="00C738A5"/>
    <w:rsid w:val="00C73922"/>
    <w:rsid w:val="00C73A8B"/>
    <w:rsid w:val="00C73B03"/>
    <w:rsid w:val="00C73B2E"/>
    <w:rsid w:val="00C73D9B"/>
    <w:rsid w:val="00C740D9"/>
    <w:rsid w:val="00C741FF"/>
    <w:rsid w:val="00C749AD"/>
    <w:rsid w:val="00C749D0"/>
    <w:rsid w:val="00C74B01"/>
    <w:rsid w:val="00C74B92"/>
    <w:rsid w:val="00C74C11"/>
    <w:rsid w:val="00C74CAF"/>
    <w:rsid w:val="00C74EA3"/>
    <w:rsid w:val="00C74FC9"/>
    <w:rsid w:val="00C75052"/>
    <w:rsid w:val="00C7523F"/>
    <w:rsid w:val="00C7568B"/>
    <w:rsid w:val="00C7581F"/>
    <w:rsid w:val="00C75A9B"/>
    <w:rsid w:val="00C75B77"/>
    <w:rsid w:val="00C75BC4"/>
    <w:rsid w:val="00C75CCB"/>
    <w:rsid w:val="00C75D7E"/>
    <w:rsid w:val="00C762D3"/>
    <w:rsid w:val="00C7685B"/>
    <w:rsid w:val="00C7689F"/>
    <w:rsid w:val="00C76943"/>
    <w:rsid w:val="00C76B6F"/>
    <w:rsid w:val="00C76B8A"/>
    <w:rsid w:val="00C771C2"/>
    <w:rsid w:val="00C77394"/>
    <w:rsid w:val="00C774D7"/>
    <w:rsid w:val="00C77594"/>
    <w:rsid w:val="00C77A25"/>
    <w:rsid w:val="00C77B37"/>
    <w:rsid w:val="00C77B74"/>
    <w:rsid w:val="00C77D9A"/>
    <w:rsid w:val="00C77D9C"/>
    <w:rsid w:val="00C77ED7"/>
    <w:rsid w:val="00C8009D"/>
    <w:rsid w:val="00C8085C"/>
    <w:rsid w:val="00C80CEB"/>
    <w:rsid w:val="00C80D86"/>
    <w:rsid w:val="00C80E8C"/>
    <w:rsid w:val="00C80EFF"/>
    <w:rsid w:val="00C811BE"/>
    <w:rsid w:val="00C8140F"/>
    <w:rsid w:val="00C81411"/>
    <w:rsid w:val="00C8143E"/>
    <w:rsid w:val="00C81564"/>
    <w:rsid w:val="00C816CD"/>
    <w:rsid w:val="00C8172F"/>
    <w:rsid w:val="00C8191A"/>
    <w:rsid w:val="00C819BD"/>
    <w:rsid w:val="00C81BE4"/>
    <w:rsid w:val="00C81C68"/>
    <w:rsid w:val="00C8233A"/>
    <w:rsid w:val="00C826DE"/>
    <w:rsid w:val="00C827E8"/>
    <w:rsid w:val="00C828AD"/>
    <w:rsid w:val="00C82B29"/>
    <w:rsid w:val="00C82B62"/>
    <w:rsid w:val="00C82C06"/>
    <w:rsid w:val="00C82D13"/>
    <w:rsid w:val="00C82DD1"/>
    <w:rsid w:val="00C82EA6"/>
    <w:rsid w:val="00C82F55"/>
    <w:rsid w:val="00C82FB1"/>
    <w:rsid w:val="00C82FF1"/>
    <w:rsid w:val="00C8312A"/>
    <w:rsid w:val="00C831E8"/>
    <w:rsid w:val="00C831F3"/>
    <w:rsid w:val="00C8372A"/>
    <w:rsid w:val="00C839A4"/>
    <w:rsid w:val="00C83AEC"/>
    <w:rsid w:val="00C83C31"/>
    <w:rsid w:val="00C83D7B"/>
    <w:rsid w:val="00C84113"/>
    <w:rsid w:val="00C844AC"/>
    <w:rsid w:val="00C84D4C"/>
    <w:rsid w:val="00C84EEF"/>
    <w:rsid w:val="00C84FAB"/>
    <w:rsid w:val="00C85140"/>
    <w:rsid w:val="00C8520C"/>
    <w:rsid w:val="00C85331"/>
    <w:rsid w:val="00C855DF"/>
    <w:rsid w:val="00C857C6"/>
    <w:rsid w:val="00C85966"/>
    <w:rsid w:val="00C85B6D"/>
    <w:rsid w:val="00C85C1A"/>
    <w:rsid w:val="00C85D51"/>
    <w:rsid w:val="00C85E02"/>
    <w:rsid w:val="00C861FC"/>
    <w:rsid w:val="00C86389"/>
    <w:rsid w:val="00C864C7"/>
    <w:rsid w:val="00C8659F"/>
    <w:rsid w:val="00C865BC"/>
    <w:rsid w:val="00C8678D"/>
    <w:rsid w:val="00C8709A"/>
    <w:rsid w:val="00C876A6"/>
    <w:rsid w:val="00C8798F"/>
    <w:rsid w:val="00C87C00"/>
    <w:rsid w:val="00C9012B"/>
    <w:rsid w:val="00C901A2"/>
    <w:rsid w:val="00C901C0"/>
    <w:rsid w:val="00C90471"/>
    <w:rsid w:val="00C9071D"/>
    <w:rsid w:val="00C908C1"/>
    <w:rsid w:val="00C90B85"/>
    <w:rsid w:val="00C90B94"/>
    <w:rsid w:val="00C90D59"/>
    <w:rsid w:val="00C90F16"/>
    <w:rsid w:val="00C913AC"/>
    <w:rsid w:val="00C9141D"/>
    <w:rsid w:val="00C914FD"/>
    <w:rsid w:val="00C91AE7"/>
    <w:rsid w:val="00C91B78"/>
    <w:rsid w:val="00C9238F"/>
    <w:rsid w:val="00C92442"/>
    <w:rsid w:val="00C9250E"/>
    <w:rsid w:val="00C92624"/>
    <w:rsid w:val="00C92C5C"/>
    <w:rsid w:val="00C9343F"/>
    <w:rsid w:val="00C93482"/>
    <w:rsid w:val="00C93855"/>
    <w:rsid w:val="00C93AB4"/>
    <w:rsid w:val="00C93AFE"/>
    <w:rsid w:val="00C93BA0"/>
    <w:rsid w:val="00C940C1"/>
    <w:rsid w:val="00C945BC"/>
    <w:rsid w:val="00C9485D"/>
    <w:rsid w:val="00C951AC"/>
    <w:rsid w:val="00C95228"/>
    <w:rsid w:val="00C95397"/>
    <w:rsid w:val="00C9541F"/>
    <w:rsid w:val="00C95BC0"/>
    <w:rsid w:val="00C95D85"/>
    <w:rsid w:val="00C95E2F"/>
    <w:rsid w:val="00C95E5A"/>
    <w:rsid w:val="00C96177"/>
    <w:rsid w:val="00C9630F"/>
    <w:rsid w:val="00C9639A"/>
    <w:rsid w:val="00C9643B"/>
    <w:rsid w:val="00C964AD"/>
    <w:rsid w:val="00C964D8"/>
    <w:rsid w:val="00C96CA6"/>
    <w:rsid w:val="00C97102"/>
    <w:rsid w:val="00C9729B"/>
    <w:rsid w:val="00C9770C"/>
    <w:rsid w:val="00C978EB"/>
    <w:rsid w:val="00C97AEC"/>
    <w:rsid w:val="00C97BCE"/>
    <w:rsid w:val="00C97BD1"/>
    <w:rsid w:val="00C97D13"/>
    <w:rsid w:val="00C97D52"/>
    <w:rsid w:val="00C97E93"/>
    <w:rsid w:val="00C97F23"/>
    <w:rsid w:val="00CA00DD"/>
    <w:rsid w:val="00CA0178"/>
    <w:rsid w:val="00CA0289"/>
    <w:rsid w:val="00CA02FB"/>
    <w:rsid w:val="00CA057A"/>
    <w:rsid w:val="00CA065B"/>
    <w:rsid w:val="00CA09A7"/>
    <w:rsid w:val="00CA0BBD"/>
    <w:rsid w:val="00CA0DB4"/>
    <w:rsid w:val="00CA0E01"/>
    <w:rsid w:val="00CA1127"/>
    <w:rsid w:val="00CA1653"/>
    <w:rsid w:val="00CA1971"/>
    <w:rsid w:val="00CA1AA0"/>
    <w:rsid w:val="00CA1B3A"/>
    <w:rsid w:val="00CA1C83"/>
    <w:rsid w:val="00CA1DC2"/>
    <w:rsid w:val="00CA1EA6"/>
    <w:rsid w:val="00CA1EF9"/>
    <w:rsid w:val="00CA2148"/>
    <w:rsid w:val="00CA21C2"/>
    <w:rsid w:val="00CA23A9"/>
    <w:rsid w:val="00CA27C7"/>
    <w:rsid w:val="00CA2893"/>
    <w:rsid w:val="00CA29D9"/>
    <w:rsid w:val="00CA2DB1"/>
    <w:rsid w:val="00CA2FBD"/>
    <w:rsid w:val="00CA324F"/>
    <w:rsid w:val="00CA3895"/>
    <w:rsid w:val="00CA3A8E"/>
    <w:rsid w:val="00CA3EB0"/>
    <w:rsid w:val="00CA44E2"/>
    <w:rsid w:val="00CA46D3"/>
    <w:rsid w:val="00CA474E"/>
    <w:rsid w:val="00CA4859"/>
    <w:rsid w:val="00CA4A05"/>
    <w:rsid w:val="00CA4B38"/>
    <w:rsid w:val="00CA4DAF"/>
    <w:rsid w:val="00CA4FF1"/>
    <w:rsid w:val="00CA5578"/>
    <w:rsid w:val="00CA55AE"/>
    <w:rsid w:val="00CA56CA"/>
    <w:rsid w:val="00CA5826"/>
    <w:rsid w:val="00CA5970"/>
    <w:rsid w:val="00CA5A13"/>
    <w:rsid w:val="00CA5B7C"/>
    <w:rsid w:val="00CA5B83"/>
    <w:rsid w:val="00CA5BA8"/>
    <w:rsid w:val="00CA5C98"/>
    <w:rsid w:val="00CA5DF3"/>
    <w:rsid w:val="00CA5E72"/>
    <w:rsid w:val="00CA619B"/>
    <w:rsid w:val="00CA61D8"/>
    <w:rsid w:val="00CA6517"/>
    <w:rsid w:val="00CA69C6"/>
    <w:rsid w:val="00CA69E5"/>
    <w:rsid w:val="00CA6C39"/>
    <w:rsid w:val="00CA70BC"/>
    <w:rsid w:val="00CA7202"/>
    <w:rsid w:val="00CA7286"/>
    <w:rsid w:val="00CA72D0"/>
    <w:rsid w:val="00CA761F"/>
    <w:rsid w:val="00CA7DA0"/>
    <w:rsid w:val="00CA7DB9"/>
    <w:rsid w:val="00CA7E56"/>
    <w:rsid w:val="00CA7ED1"/>
    <w:rsid w:val="00CA7F8B"/>
    <w:rsid w:val="00CB0112"/>
    <w:rsid w:val="00CB01B0"/>
    <w:rsid w:val="00CB03C3"/>
    <w:rsid w:val="00CB043A"/>
    <w:rsid w:val="00CB13BC"/>
    <w:rsid w:val="00CB1430"/>
    <w:rsid w:val="00CB161C"/>
    <w:rsid w:val="00CB1CF2"/>
    <w:rsid w:val="00CB1D29"/>
    <w:rsid w:val="00CB1FBB"/>
    <w:rsid w:val="00CB2138"/>
    <w:rsid w:val="00CB2213"/>
    <w:rsid w:val="00CB23FE"/>
    <w:rsid w:val="00CB246E"/>
    <w:rsid w:val="00CB253A"/>
    <w:rsid w:val="00CB2631"/>
    <w:rsid w:val="00CB2633"/>
    <w:rsid w:val="00CB26E0"/>
    <w:rsid w:val="00CB276E"/>
    <w:rsid w:val="00CB29B0"/>
    <w:rsid w:val="00CB29B1"/>
    <w:rsid w:val="00CB2D43"/>
    <w:rsid w:val="00CB2D7B"/>
    <w:rsid w:val="00CB2DCD"/>
    <w:rsid w:val="00CB30CF"/>
    <w:rsid w:val="00CB349F"/>
    <w:rsid w:val="00CB3725"/>
    <w:rsid w:val="00CB37C7"/>
    <w:rsid w:val="00CB39B6"/>
    <w:rsid w:val="00CB3A8D"/>
    <w:rsid w:val="00CB3B10"/>
    <w:rsid w:val="00CB3C6A"/>
    <w:rsid w:val="00CB3D3C"/>
    <w:rsid w:val="00CB4915"/>
    <w:rsid w:val="00CB495E"/>
    <w:rsid w:val="00CB49F0"/>
    <w:rsid w:val="00CB4C3C"/>
    <w:rsid w:val="00CB4ED6"/>
    <w:rsid w:val="00CB51B0"/>
    <w:rsid w:val="00CB51CC"/>
    <w:rsid w:val="00CB51DF"/>
    <w:rsid w:val="00CB53EB"/>
    <w:rsid w:val="00CB5453"/>
    <w:rsid w:val="00CB5888"/>
    <w:rsid w:val="00CB596C"/>
    <w:rsid w:val="00CB5BB6"/>
    <w:rsid w:val="00CB5E42"/>
    <w:rsid w:val="00CB608D"/>
    <w:rsid w:val="00CB60D3"/>
    <w:rsid w:val="00CB6240"/>
    <w:rsid w:val="00CB6359"/>
    <w:rsid w:val="00CB639F"/>
    <w:rsid w:val="00CB63BA"/>
    <w:rsid w:val="00CB66E4"/>
    <w:rsid w:val="00CB684C"/>
    <w:rsid w:val="00CB6C8C"/>
    <w:rsid w:val="00CB6CA4"/>
    <w:rsid w:val="00CB6E7B"/>
    <w:rsid w:val="00CB71AB"/>
    <w:rsid w:val="00CB731D"/>
    <w:rsid w:val="00CB78BE"/>
    <w:rsid w:val="00CB79EF"/>
    <w:rsid w:val="00CB7ADE"/>
    <w:rsid w:val="00CB7CDC"/>
    <w:rsid w:val="00CB7D2D"/>
    <w:rsid w:val="00CC026D"/>
    <w:rsid w:val="00CC02E8"/>
    <w:rsid w:val="00CC0317"/>
    <w:rsid w:val="00CC0670"/>
    <w:rsid w:val="00CC06C8"/>
    <w:rsid w:val="00CC0740"/>
    <w:rsid w:val="00CC086D"/>
    <w:rsid w:val="00CC0A07"/>
    <w:rsid w:val="00CC0C4B"/>
    <w:rsid w:val="00CC0E83"/>
    <w:rsid w:val="00CC0F4B"/>
    <w:rsid w:val="00CC0F81"/>
    <w:rsid w:val="00CC0FC1"/>
    <w:rsid w:val="00CC1095"/>
    <w:rsid w:val="00CC139B"/>
    <w:rsid w:val="00CC1674"/>
    <w:rsid w:val="00CC1B43"/>
    <w:rsid w:val="00CC1CE9"/>
    <w:rsid w:val="00CC21DF"/>
    <w:rsid w:val="00CC24B2"/>
    <w:rsid w:val="00CC2639"/>
    <w:rsid w:val="00CC2B57"/>
    <w:rsid w:val="00CC2D36"/>
    <w:rsid w:val="00CC3432"/>
    <w:rsid w:val="00CC361B"/>
    <w:rsid w:val="00CC39DB"/>
    <w:rsid w:val="00CC426A"/>
    <w:rsid w:val="00CC470C"/>
    <w:rsid w:val="00CC485C"/>
    <w:rsid w:val="00CC491A"/>
    <w:rsid w:val="00CC4BE4"/>
    <w:rsid w:val="00CC4C51"/>
    <w:rsid w:val="00CC4D0F"/>
    <w:rsid w:val="00CC4DFD"/>
    <w:rsid w:val="00CC4E95"/>
    <w:rsid w:val="00CC4EB9"/>
    <w:rsid w:val="00CC4F4B"/>
    <w:rsid w:val="00CC520B"/>
    <w:rsid w:val="00CC5272"/>
    <w:rsid w:val="00CC5318"/>
    <w:rsid w:val="00CC54C1"/>
    <w:rsid w:val="00CC5739"/>
    <w:rsid w:val="00CC5FC7"/>
    <w:rsid w:val="00CC605D"/>
    <w:rsid w:val="00CC60E7"/>
    <w:rsid w:val="00CC62C5"/>
    <w:rsid w:val="00CC647C"/>
    <w:rsid w:val="00CC6481"/>
    <w:rsid w:val="00CC6485"/>
    <w:rsid w:val="00CC648D"/>
    <w:rsid w:val="00CC667B"/>
    <w:rsid w:val="00CC688F"/>
    <w:rsid w:val="00CC6A7D"/>
    <w:rsid w:val="00CC6E54"/>
    <w:rsid w:val="00CC735F"/>
    <w:rsid w:val="00CC7383"/>
    <w:rsid w:val="00CC7405"/>
    <w:rsid w:val="00CC7485"/>
    <w:rsid w:val="00CC759A"/>
    <w:rsid w:val="00CC7903"/>
    <w:rsid w:val="00CC7A97"/>
    <w:rsid w:val="00CC7D4B"/>
    <w:rsid w:val="00CC7D4E"/>
    <w:rsid w:val="00CC7FBC"/>
    <w:rsid w:val="00CD02FB"/>
    <w:rsid w:val="00CD040A"/>
    <w:rsid w:val="00CD0451"/>
    <w:rsid w:val="00CD0999"/>
    <w:rsid w:val="00CD0BD6"/>
    <w:rsid w:val="00CD0D99"/>
    <w:rsid w:val="00CD0EA6"/>
    <w:rsid w:val="00CD0EDE"/>
    <w:rsid w:val="00CD124D"/>
    <w:rsid w:val="00CD125C"/>
    <w:rsid w:val="00CD16D8"/>
    <w:rsid w:val="00CD18EC"/>
    <w:rsid w:val="00CD1CFA"/>
    <w:rsid w:val="00CD1E5C"/>
    <w:rsid w:val="00CD1F60"/>
    <w:rsid w:val="00CD217A"/>
    <w:rsid w:val="00CD2593"/>
    <w:rsid w:val="00CD2740"/>
    <w:rsid w:val="00CD2A26"/>
    <w:rsid w:val="00CD2A8C"/>
    <w:rsid w:val="00CD2D6C"/>
    <w:rsid w:val="00CD2E86"/>
    <w:rsid w:val="00CD3312"/>
    <w:rsid w:val="00CD33C6"/>
    <w:rsid w:val="00CD34A0"/>
    <w:rsid w:val="00CD36F1"/>
    <w:rsid w:val="00CD38E3"/>
    <w:rsid w:val="00CD3D62"/>
    <w:rsid w:val="00CD3F32"/>
    <w:rsid w:val="00CD4104"/>
    <w:rsid w:val="00CD444B"/>
    <w:rsid w:val="00CD4501"/>
    <w:rsid w:val="00CD465E"/>
    <w:rsid w:val="00CD47BE"/>
    <w:rsid w:val="00CD4873"/>
    <w:rsid w:val="00CD48D2"/>
    <w:rsid w:val="00CD49F0"/>
    <w:rsid w:val="00CD4CA7"/>
    <w:rsid w:val="00CD4E14"/>
    <w:rsid w:val="00CD4EE0"/>
    <w:rsid w:val="00CD5281"/>
    <w:rsid w:val="00CD5595"/>
    <w:rsid w:val="00CD599F"/>
    <w:rsid w:val="00CD6126"/>
    <w:rsid w:val="00CD6289"/>
    <w:rsid w:val="00CD68AA"/>
    <w:rsid w:val="00CD6977"/>
    <w:rsid w:val="00CD6FE6"/>
    <w:rsid w:val="00CD730B"/>
    <w:rsid w:val="00CD7386"/>
    <w:rsid w:val="00CD76F6"/>
    <w:rsid w:val="00CD7902"/>
    <w:rsid w:val="00CD7993"/>
    <w:rsid w:val="00CD79AA"/>
    <w:rsid w:val="00CD7A00"/>
    <w:rsid w:val="00CE064A"/>
    <w:rsid w:val="00CE1230"/>
    <w:rsid w:val="00CE12B0"/>
    <w:rsid w:val="00CE1D06"/>
    <w:rsid w:val="00CE1E40"/>
    <w:rsid w:val="00CE1EEA"/>
    <w:rsid w:val="00CE2513"/>
    <w:rsid w:val="00CE29EA"/>
    <w:rsid w:val="00CE2B79"/>
    <w:rsid w:val="00CE2D7C"/>
    <w:rsid w:val="00CE2EAD"/>
    <w:rsid w:val="00CE30A2"/>
    <w:rsid w:val="00CE331B"/>
    <w:rsid w:val="00CE357B"/>
    <w:rsid w:val="00CE3977"/>
    <w:rsid w:val="00CE3DAC"/>
    <w:rsid w:val="00CE3E20"/>
    <w:rsid w:val="00CE3FD5"/>
    <w:rsid w:val="00CE4515"/>
    <w:rsid w:val="00CE4C81"/>
    <w:rsid w:val="00CE503E"/>
    <w:rsid w:val="00CE5389"/>
    <w:rsid w:val="00CE5624"/>
    <w:rsid w:val="00CE58C5"/>
    <w:rsid w:val="00CE5BCA"/>
    <w:rsid w:val="00CE5D1D"/>
    <w:rsid w:val="00CE5D2F"/>
    <w:rsid w:val="00CE6175"/>
    <w:rsid w:val="00CE6338"/>
    <w:rsid w:val="00CE6345"/>
    <w:rsid w:val="00CE65F7"/>
    <w:rsid w:val="00CE6C18"/>
    <w:rsid w:val="00CE7015"/>
    <w:rsid w:val="00CE7034"/>
    <w:rsid w:val="00CE7059"/>
    <w:rsid w:val="00CE709E"/>
    <w:rsid w:val="00CE7116"/>
    <w:rsid w:val="00CE719E"/>
    <w:rsid w:val="00CE71A0"/>
    <w:rsid w:val="00CE73B1"/>
    <w:rsid w:val="00CE73FA"/>
    <w:rsid w:val="00CE75A1"/>
    <w:rsid w:val="00CE76A3"/>
    <w:rsid w:val="00CE7993"/>
    <w:rsid w:val="00CE7A48"/>
    <w:rsid w:val="00CE7A6C"/>
    <w:rsid w:val="00CE7E55"/>
    <w:rsid w:val="00CF032B"/>
    <w:rsid w:val="00CF03FD"/>
    <w:rsid w:val="00CF0512"/>
    <w:rsid w:val="00CF060F"/>
    <w:rsid w:val="00CF0A3F"/>
    <w:rsid w:val="00CF0BF3"/>
    <w:rsid w:val="00CF0D20"/>
    <w:rsid w:val="00CF0D9C"/>
    <w:rsid w:val="00CF1016"/>
    <w:rsid w:val="00CF119C"/>
    <w:rsid w:val="00CF11D6"/>
    <w:rsid w:val="00CF1233"/>
    <w:rsid w:val="00CF131B"/>
    <w:rsid w:val="00CF1485"/>
    <w:rsid w:val="00CF14DF"/>
    <w:rsid w:val="00CF1703"/>
    <w:rsid w:val="00CF1880"/>
    <w:rsid w:val="00CF18BC"/>
    <w:rsid w:val="00CF19BC"/>
    <w:rsid w:val="00CF1A3A"/>
    <w:rsid w:val="00CF1ADB"/>
    <w:rsid w:val="00CF1C35"/>
    <w:rsid w:val="00CF20DF"/>
    <w:rsid w:val="00CF2189"/>
    <w:rsid w:val="00CF2853"/>
    <w:rsid w:val="00CF2974"/>
    <w:rsid w:val="00CF2AC0"/>
    <w:rsid w:val="00CF3017"/>
    <w:rsid w:val="00CF3213"/>
    <w:rsid w:val="00CF32F0"/>
    <w:rsid w:val="00CF3363"/>
    <w:rsid w:val="00CF343A"/>
    <w:rsid w:val="00CF3798"/>
    <w:rsid w:val="00CF38A0"/>
    <w:rsid w:val="00CF3A39"/>
    <w:rsid w:val="00CF3B31"/>
    <w:rsid w:val="00CF3B8A"/>
    <w:rsid w:val="00CF3BDD"/>
    <w:rsid w:val="00CF3E46"/>
    <w:rsid w:val="00CF3FD9"/>
    <w:rsid w:val="00CF41F7"/>
    <w:rsid w:val="00CF43E1"/>
    <w:rsid w:val="00CF44E3"/>
    <w:rsid w:val="00CF44E8"/>
    <w:rsid w:val="00CF45D9"/>
    <w:rsid w:val="00CF4701"/>
    <w:rsid w:val="00CF4785"/>
    <w:rsid w:val="00CF47F9"/>
    <w:rsid w:val="00CF496F"/>
    <w:rsid w:val="00CF49B8"/>
    <w:rsid w:val="00CF4C26"/>
    <w:rsid w:val="00CF4CF8"/>
    <w:rsid w:val="00CF4DE8"/>
    <w:rsid w:val="00CF4F1A"/>
    <w:rsid w:val="00CF4FC9"/>
    <w:rsid w:val="00CF532E"/>
    <w:rsid w:val="00CF5350"/>
    <w:rsid w:val="00CF5482"/>
    <w:rsid w:val="00CF54B5"/>
    <w:rsid w:val="00CF59C2"/>
    <w:rsid w:val="00CF59D6"/>
    <w:rsid w:val="00CF5FFC"/>
    <w:rsid w:val="00CF60D5"/>
    <w:rsid w:val="00CF64C2"/>
    <w:rsid w:val="00CF6539"/>
    <w:rsid w:val="00CF6ABD"/>
    <w:rsid w:val="00CF6E56"/>
    <w:rsid w:val="00CF6F6A"/>
    <w:rsid w:val="00CF714F"/>
    <w:rsid w:val="00CF74B1"/>
    <w:rsid w:val="00CF79C9"/>
    <w:rsid w:val="00CF7EAB"/>
    <w:rsid w:val="00D00112"/>
    <w:rsid w:val="00D0019C"/>
    <w:rsid w:val="00D00A3E"/>
    <w:rsid w:val="00D00F2E"/>
    <w:rsid w:val="00D012E3"/>
    <w:rsid w:val="00D015D3"/>
    <w:rsid w:val="00D016A4"/>
    <w:rsid w:val="00D01F11"/>
    <w:rsid w:val="00D02501"/>
    <w:rsid w:val="00D02AA2"/>
    <w:rsid w:val="00D02B09"/>
    <w:rsid w:val="00D02B56"/>
    <w:rsid w:val="00D02D1F"/>
    <w:rsid w:val="00D02D20"/>
    <w:rsid w:val="00D02D96"/>
    <w:rsid w:val="00D02E9B"/>
    <w:rsid w:val="00D02F90"/>
    <w:rsid w:val="00D02FF6"/>
    <w:rsid w:val="00D03123"/>
    <w:rsid w:val="00D033FC"/>
    <w:rsid w:val="00D0358F"/>
    <w:rsid w:val="00D03765"/>
    <w:rsid w:val="00D03964"/>
    <w:rsid w:val="00D039AD"/>
    <w:rsid w:val="00D039F4"/>
    <w:rsid w:val="00D03D1E"/>
    <w:rsid w:val="00D040A2"/>
    <w:rsid w:val="00D040C8"/>
    <w:rsid w:val="00D041E0"/>
    <w:rsid w:val="00D0442C"/>
    <w:rsid w:val="00D0470B"/>
    <w:rsid w:val="00D047F9"/>
    <w:rsid w:val="00D04850"/>
    <w:rsid w:val="00D04903"/>
    <w:rsid w:val="00D0496A"/>
    <w:rsid w:val="00D04E88"/>
    <w:rsid w:val="00D05713"/>
    <w:rsid w:val="00D05722"/>
    <w:rsid w:val="00D05841"/>
    <w:rsid w:val="00D058C9"/>
    <w:rsid w:val="00D0593E"/>
    <w:rsid w:val="00D059F3"/>
    <w:rsid w:val="00D05E41"/>
    <w:rsid w:val="00D05EC7"/>
    <w:rsid w:val="00D06048"/>
    <w:rsid w:val="00D061FE"/>
    <w:rsid w:val="00D0637A"/>
    <w:rsid w:val="00D065C5"/>
    <w:rsid w:val="00D06670"/>
    <w:rsid w:val="00D06781"/>
    <w:rsid w:val="00D06790"/>
    <w:rsid w:val="00D0683C"/>
    <w:rsid w:val="00D069A9"/>
    <w:rsid w:val="00D06DB8"/>
    <w:rsid w:val="00D06EC0"/>
    <w:rsid w:val="00D06F63"/>
    <w:rsid w:val="00D070DA"/>
    <w:rsid w:val="00D07224"/>
    <w:rsid w:val="00D072C4"/>
    <w:rsid w:val="00D07F73"/>
    <w:rsid w:val="00D10076"/>
    <w:rsid w:val="00D1046C"/>
    <w:rsid w:val="00D105B1"/>
    <w:rsid w:val="00D10B1F"/>
    <w:rsid w:val="00D10B59"/>
    <w:rsid w:val="00D10C66"/>
    <w:rsid w:val="00D11115"/>
    <w:rsid w:val="00D1124B"/>
    <w:rsid w:val="00D112B7"/>
    <w:rsid w:val="00D1135D"/>
    <w:rsid w:val="00D1171D"/>
    <w:rsid w:val="00D11727"/>
    <w:rsid w:val="00D11A07"/>
    <w:rsid w:val="00D11BAA"/>
    <w:rsid w:val="00D11C21"/>
    <w:rsid w:val="00D11C74"/>
    <w:rsid w:val="00D11D18"/>
    <w:rsid w:val="00D11F79"/>
    <w:rsid w:val="00D11FD2"/>
    <w:rsid w:val="00D121A3"/>
    <w:rsid w:val="00D124C9"/>
    <w:rsid w:val="00D12543"/>
    <w:rsid w:val="00D126F7"/>
    <w:rsid w:val="00D1272F"/>
    <w:rsid w:val="00D1283B"/>
    <w:rsid w:val="00D12CDC"/>
    <w:rsid w:val="00D12F00"/>
    <w:rsid w:val="00D1310A"/>
    <w:rsid w:val="00D133F1"/>
    <w:rsid w:val="00D137C3"/>
    <w:rsid w:val="00D13984"/>
    <w:rsid w:val="00D139FE"/>
    <w:rsid w:val="00D13B39"/>
    <w:rsid w:val="00D13C00"/>
    <w:rsid w:val="00D1426F"/>
    <w:rsid w:val="00D14609"/>
    <w:rsid w:val="00D146BE"/>
    <w:rsid w:val="00D148F6"/>
    <w:rsid w:val="00D14935"/>
    <w:rsid w:val="00D14B34"/>
    <w:rsid w:val="00D14B63"/>
    <w:rsid w:val="00D14D3A"/>
    <w:rsid w:val="00D14F4F"/>
    <w:rsid w:val="00D16131"/>
    <w:rsid w:val="00D16759"/>
    <w:rsid w:val="00D16894"/>
    <w:rsid w:val="00D16B90"/>
    <w:rsid w:val="00D16BC7"/>
    <w:rsid w:val="00D16D34"/>
    <w:rsid w:val="00D16FEB"/>
    <w:rsid w:val="00D16FF8"/>
    <w:rsid w:val="00D17168"/>
    <w:rsid w:val="00D17199"/>
    <w:rsid w:val="00D171E3"/>
    <w:rsid w:val="00D172D1"/>
    <w:rsid w:val="00D17368"/>
    <w:rsid w:val="00D17461"/>
    <w:rsid w:val="00D174E0"/>
    <w:rsid w:val="00D1768D"/>
    <w:rsid w:val="00D1780A"/>
    <w:rsid w:val="00D1780E"/>
    <w:rsid w:val="00D178E3"/>
    <w:rsid w:val="00D17D2E"/>
    <w:rsid w:val="00D17DAD"/>
    <w:rsid w:val="00D203E7"/>
    <w:rsid w:val="00D2046C"/>
    <w:rsid w:val="00D206A3"/>
    <w:rsid w:val="00D20773"/>
    <w:rsid w:val="00D2082B"/>
    <w:rsid w:val="00D20B7A"/>
    <w:rsid w:val="00D20BFB"/>
    <w:rsid w:val="00D21037"/>
    <w:rsid w:val="00D21482"/>
    <w:rsid w:val="00D21530"/>
    <w:rsid w:val="00D216D2"/>
    <w:rsid w:val="00D21C14"/>
    <w:rsid w:val="00D21CDC"/>
    <w:rsid w:val="00D2204D"/>
    <w:rsid w:val="00D22500"/>
    <w:rsid w:val="00D2267E"/>
    <w:rsid w:val="00D226CA"/>
    <w:rsid w:val="00D227D8"/>
    <w:rsid w:val="00D229DE"/>
    <w:rsid w:val="00D22BBD"/>
    <w:rsid w:val="00D22C09"/>
    <w:rsid w:val="00D22D7F"/>
    <w:rsid w:val="00D22DD8"/>
    <w:rsid w:val="00D2344C"/>
    <w:rsid w:val="00D23907"/>
    <w:rsid w:val="00D23B57"/>
    <w:rsid w:val="00D23FCF"/>
    <w:rsid w:val="00D24419"/>
    <w:rsid w:val="00D2486C"/>
    <w:rsid w:val="00D24D48"/>
    <w:rsid w:val="00D24D85"/>
    <w:rsid w:val="00D24F81"/>
    <w:rsid w:val="00D25207"/>
    <w:rsid w:val="00D252DB"/>
    <w:rsid w:val="00D25740"/>
    <w:rsid w:val="00D25828"/>
    <w:rsid w:val="00D25AB7"/>
    <w:rsid w:val="00D25B8E"/>
    <w:rsid w:val="00D25BB1"/>
    <w:rsid w:val="00D26283"/>
    <w:rsid w:val="00D26426"/>
    <w:rsid w:val="00D26541"/>
    <w:rsid w:val="00D2675A"/>
    <w:rsid w:val="00D269E3"/>
    <w:rsid w:val="00D269F5"/>
    <w:rsid w:val="00D26F44"/>
    <w:rsid w:val="00D26F7C"/>
    <w:rsid w:val="00D273EA"/>
    <w:rsid w:val="00D2746A"/>
    <w:rsid w:val="00D274F5"/>
    <w:rsid w:val="00D27694"/>
    <w:rsid w:val="00D27788"/>
    <w:rsid w:val="00D277DD"/>
    <w:rsid w:val="00D277FC"/>
    <w:rsid w:val="00D27AB2"/>
    <w:rsid w:val="00D27B8D"/>
    <w:rsid w:val="00D27C6B"/>
    <w:rsid w:val="00D27FDA"/>
    <w:rsid w:val="00D3038F"/>
    <w:rsid w:val="00D306AC"/>
    <w:rsid w:val="00D3080C"/>
    <w:rsid w:val="00D308E9"/>
    <w:rsid w:val="00D30B10"/>
    <w:rsid w:val="00D30C10"/>
    <w:rsid w:val="00D30C29"/>
    <w:rsid w:val="00D30F26"/>
    <w:rsid w:val="00D3122C"/>
    <w:rsid w:val="00D31404"/>
    <w:rsid w:val="00D31732"/>
    <w:rsid w:val="00D31B46"/>
    <w:rsid w:val="00D31BC1"/>
    <w:rsid w:val="00D31EE7"/>
    <w:rsid w:val="00D31F9B"/>
    <w:rsid w:val="00D31FE3"/>
    <w:rsid w:val="00D322E9"/>
    <w:rsid w:val="00D324E0"/>
    <w:rsid w:val="00D32588"/>
    <w:rsid w:val="00D32908"/>
    <w:rsid w:val="00D32B3B"/>
    <w:rsid w:val="00D32BFB"/>
    <w:rsid w:val="00D32CF2"/>
    <w:rsid w:val="00D32FD9"/>
    <w:rsid w:val="00D32FEB"/>
    <w:rsid w:val="00D3358D"/>
    <w:rsid w:val="00D33BE4"/>
    <w:rsid w:val="00D33C14"/>
    <w:rsid w:val="00D33C32"/>
    <w:rsid w:val="00D33D18"/>
    <w:rsid w:val="00D33D48"/>
    <w:rsid w:val="00D33DFC"/>
    <w:rsid w:val="00D3405B"/>
    <w:rsid w:val="00D343BE"/>
    <w:rsid w:val="00D34ACE"/>
    <w:rsid w:val="00D34ED7"/>
    <w:rsid w:val="00D35062"/>
    <w:rsid w:val="00D35107"/>
    <w:rsid w:val="00D35217"/>
    <w:rsid w:val="00D35299"/>
    <w:rsid w:val="00D3594D"/>
    <w:rsid w:val="00D35ACE"/>
    <w:rsid w:val="00D35BF2"/>
    <w:rsid w:val="00D35C7C"/>
    <w:rsid w:val="00D35F06"/>
    <w:rsid w:val="00D363EB"/>
    <w:rsid w:val="00D36520"/>
    <w:rsid w:val="00D367A2"/>
    <w:rsid w:val="00D368B1"/>
    <w:rsid w:val="00D36AE4"/>
    <w:rsid w:val="00D36AE5"/>
    <w:rsid w:val="00D36CEC"/>
    <w:rsid w:val="00D373F8"/>
    <w:rsid w:val="00D374D0"/>
    <w:rsid w:val="00D37551"/>
    <w:rsid w:val="00D376D2"/>
    <w:rsid w:val="00D37903"/>
    <w:rsid w:val="00D379CF"/>
    <w:rsid w:val="00D37A8B"/>
    <w:rsid w:val="00D37B8B"/>
    <w:rsid w:val="00D40140"/>
    <w:rsid w:val="00D401F5"/>
    <w:rsid w:val="00D4038B"/>
    <w:rsid w:val="00D40440"/>
    <w:rsid w:val="00D40443"/>
    <w:rsid w:val="00D4066A"/>
    <w:rsid w:val="00D40756"/>
    <w:rsid w:val="00D407AD"/>
    <w:rsid w:val="00D407FF"/>
    <w:rsid w:val="00D40A35"/>
    <w:rsid w:val="00D40AED"/>
    <w:rsid w:val="00D40B05"/>
    <w:rsid w:val="00D40BD4"/>
    <w:rsid w:val="00D41078"/>
    <w:rsid w:val="00D4113B"/>
    <w:rsid w:val="00D41160"/>
    <w:rsid w:val="00D411D8"/>
    <w:rsid w:val="00D41201"/>
    <w:rsid w:val="00D412B5"/>
    <w:rsid w:val="00D4145C"/>
    <w:rsid w:val="00D41591"/>
    <w:rsid w:val="00D41668"/>
    <w:rsid w:val="00D41703"/>
    <w:rsid w:val="00D419BD"/>
    <w:rsid w:val="00D41A36"/>
    <w:rsid w:val="00D41B6A"/>
    <w:rsid w:val="00D41EFC"/>
    <w:rsid w:val="00D42057"/>
    <w:rsid w:val="00D42807"/>
    <w:rsid w:val="00D42C17"/>
    <w:rsid w:val="00D433F9"/>
    <w:rsid w:val="00D43438"/>
    <w:rsid w:val="00D4391D"/>
    <w:rsid w:val="00D43C23"/>
    <w:rsid w:val="00D43DBD"/>
    <w:rsid w:val="00D43E84"/>
    <w:rsid w:val="00D43F14"/>
    <w:rsid w:val="00D43F6B"/>
    <w:rsid w:val="00D4423A"/>
    <w:rsid w:val="00D4468C"/>
    <w:rsid w:val="00D446BF"/>
    <w:rsid w:val="00D44823"/>
    <w:rsid w:val="00D44A2C"/>
    <w:rsid w:val="00D44A61"/>
    <w:rsid w:val="00D44EA6"/>
    <w:rsid w:val="00D44EAF"/>
    <w:rsid w:val="00D45123"/>
    <w:rsid w:val="00D454B8"/>
    <w:rsid w:val="00D45A97"/>
    <w:rsid w:val="00D45BC5"/>
    <w:rsid w:val="00D45BEE"/>
    <w:rsid w:val="00D45BFB"/>
    <w:rsid w:val="00D45E35"/>
    <w:rsid w:val="00D46022"/>
    <w:rsid w:val="00D4628C"/>
    <w:rsid w:val="00D4629F"/>
    <w:rsid w:val="00D465C2"/>
    <w:rsid w:val="00D4662C"/>
    <w:rsid w:val="00D466D5"/>
    <w:rsid w:val="00D468EA"/>
    <w:rsid w:val="00D46B46"/>
    <w:rsid w:val="00D46C27"/>
    <w:rsid w:val="00D46CDD"/>
    <w:rsid w:val="00D4720F"/>
    <w:rsid w:val="00D47294"/>
    <w:rsid w:val="00D472A7"/>
    <w:rsid w:val="00D473C2"/>
    <w:rsid w:val="00D474C7"/>
    <w:rsid w:val="00D4766C"/>
    <w:rsid w:val="00D476F8"/>
    <w:rsid w:val="00D478DA"/>
    <w:rsid w:val="00D47928"/>
    <w:rsid w:val="00D47A93"/>
    <w:rsid w:val="00D47BC0"/>
    <w:rsid w:val="00D47E8E"/>
    <w:rsid w:val="00D47F7F"/>
    <w:rsid w:val="00D506CE"/>
    <w:rsid w:val="00D50798"/>
    <w:rsid w:val="00D50809"/>
    <w:rsid w:val="00D50898"/>
    <w:rsid w:val="00D50900"/>
    <w:rsid w:val="00D50A18"/>
    <w:rsid w:val="00D50A8E"/>
    <w:rsid w:val="00D50B8B"/>
    <w:rsid w:val="00D50C48"/>
    <w:rsid w:val="00D50CC9"/>
    <w:rsid w:val="00D50EAD"/>
    <w:rsid w:val="00D5111D"/>
    <w:rsid w:val="00D51166"/>
    <w:rsid w:val="00D5128C"/>
    <w:rsid w:val="00D5210B"/>
    <w:rsid w:val="00D5211F"/>
    <w:rsid w:val="00D5257A"/>
    <w:rsid w:val="00D52956"/>
    <w:rsid w:val="00D52A3D"/>
    <w:rsid w:val="00D52A9F"/>
    <w:rsid w:val="00D52F85"/>
    <w:rsid w:val="00D53067"/>
    <w:rsid w:val="00D53369"/>
    <w:rsid w:val="00D5336F"/>
    <w:rsid w:val="00D53874"/>
    <w:rsid w:val="00D53AEC"/>
    <w:rsid w:val="00D53B9D"/>
    <w:rsid w:val="00D53D68"/>
    <w:rsid w:val="00D5409F"/>
    <w:rsid w:val="00D540ED"/>
    <w:rsid w:val="00D5418F"/>
    <w:rsid w:val="00D541A3"/>
    <w:rsid w:val="00D541DF"/>
    <w:rsid w:val="00D542B6"/>
    <w:rsid w:val="00D54408"/>
    <w:rsid w:val="00D54482"/>
    <w:rsid w:val="00D54672"/>
    <w:rsid w:val="00D54EF0"/>
    <w:rsid w:val="00D54F0E"/>
    <w:rsid w:val="00D55529"/>
    <w:rsid w:val="00D5555D"/>
    <w:rsid w:val="00D55690"/>
    <w:rsid w:val="00D557B4"/>
    <w:rsid w:val="00D5594C"/>
    <w:rsid w:val="00D55B10"/>
    <w:rsid w:val="00D55E13"/>
    <w:rsid w:val="00D55F94"/>
    <w:rsid w:val="00D56078"/>
    <w:rsid w:val="00D5616A"/>
    <w:rsid w:val="00D56AF8"/>
    <w:rsid w:val="00D56C20"/>
    <w:rsid w:val="00D56C3D"/>
    <w:rsid w:val="00D56D9A"/>
    <w:rsid w:val="00D56F16"/>
    <w:rsid w:val="00D57055"/>
    <w:rsid w:val="00D57147"/>
    <w:rsid w:val="00D57331"/>
    <w:rsid w:val="00D57417"/>
    <w:rsid w:val="00D5752D"/>
    <w:rsid w:val="00D5773E"/>
    <w:rsid w:val="00D57794"/>
    <w:rsid w:val="00D579F0"/>
    <w:rsid w:val="00D57D09"/>
    <w:rsid w:val="00D57D1E"/>
    <w:rsid w:val="00D57D8E"/>
    <w:rsid w:val="00D60132"/>
    <w:rsid w:val="00D6019F"/>
    <w:rsid w:val="00D6076E"/>
    <w:rsid w:val="00D60BEA"/>
    <w:rsid w:val="00D60CCE"/>
    <w:rsid w:val="00D60E48"/>
    <w:rsid w:val="00D610E5"/>
    <w:rsid w:val="00D611C1"/>
    <w:rsid w:val="00D611E1"/>
    <w:rsid w:val="00D6126E"/>
    <w:rsid w:val="00D61418"/>
    <w:rsid w:val="00D614FF"/>
    <w:rsid w:val="00D61651"/>
    <w:rsid w:val="00D61ECB"/>
    <w:rsid w:val="00D61EFD"/>
    <w:rsid w:val="00D61F4B"/>
    <w:rsid w:val="00D62246"/>
    <w:rsid w:val="00D6245C"/>
    <w:rsid w:val="00D627CF"/>
    <w:rsid w:val="00D6281F"/>
    <w:rsid w:val="00D62913"/>
    <w:rsid w:val="00D6292C"/>
    <w:rsid w:val="00D62D62"/>
    <w:rsid w:val="00D62E43"/>
    <w:rsid w:val="00D62F77"/>
    <w:rsid w:val="00D631F4"/>
    <w:rsid w:val="00D6330F"/>
    <w:rsid w:val="00D63345"/>
    <w:rsid w:val="00D634B0"/>
    <w:rsid w:val="00D6371C"/>
    <w:rsid w:val="00D6382A"/>
    <w:rsid w:val="00D63BE4"/>
    <w:rsid w:val="00D63D2D"/>
    <w:rsid w:val="00D63DF4"/>
    <w:rsid w:val="00D63E26"/>
    <w:rsid w:val="00D63EAA"/>
    <w:rsid w:val="00D64062"/>
    <w:rsid w:val="00D64064"/>
    <w:rsid w:val="00D64283"/>
    <w:rsid w:val="00D648B4"/>
    <w:rsid w:val="00D64A13"/>
    <w:rsid w:val="00D64A37"/>
    <w:rsid w:val="00D64A73"/>
    <w:rsid w:val="00D64F98"/>
    <w:rsid w:val="00D650E4"/>
    <w:rsid w:val="00D651A3"/>
    <w:rsid w:val="00D6529D"/>
    <w:rsid w:val="00D65302"/>
    <w:rsid w:val="00D65363"/>
    <w:rsid w:val="00D65555"/>
    <w:rsid w:val="00D65BDE"/>
    <w:rsid w:val="00D65E3A"/>
    <w:rsid w:val="00D661E6"/>
    <w:rsid w:val="00D66310"/>
    <w:rsid w:val="00D66715"/>
    <w:rsid w:val="00D66DB5"/>
    <w:rsid w:val="00D66ED4"/>
    <w:rsid w:val="00D66EF6"/>
    <w:rsid w:val="00D66F0A"/>
    <w:rsid w:val="00D671A6"/>
    <w:rsid w:val="00D6727C"/>
    <w:rsid w:val="00D674EB"/>
    <w:rsid w:val="00D677AB"/>
    <w:rsid w:val="00D67A65"/>
    <w:rsid w:val="00D67C97"/>
    <w:rsid w:val="00D67D04"/>
    <w:rsid w:val="00D700EC"/>
    <w:rsid w:val="00D70104"/>
    <w:rsid w:val="00D70392"/>
    <w:rsid w:val="00D70399"/>
    <w:rsid w:val="00D70531"/>
    <w:rsid w:val="00D7064D"/>
    <w:rsid w:val="00D706A4"/>
    <w:rsid w:val="00D708C6"/>
    <w:rsid w:val="00D70987"/>
    <w:rsid w:val="00D70A41"/>
    <w:rsid w:val="00D70D18"/>
    <w:rsid w:val="00D70E3B"/>
    <w:rsid w:val="00D71497"/>
    <w:rsid w:val="00D71811"/>
    <w:rsid w:val="00D71CA4"/>
    <w:rsid w:val="00D72574"/>
    <w:rsid w:val="00D7275E"/>
    <w:rsid w:val="00D728FE"/>
    <w:rsid w:val="00D72910"/>
    <w:rsid w:val="00D72F82"/>
    <w:rsid w:val="00D73033"/>
    <w:rsid w:val="00D7304C"/>
    <w:rsid w:val="00D733A1"/>
    <w:rsid w:val="00D7386D"/>
    <w:rsid w:val="00D73870"/>
    <w:rsid w:val="00D73A88"/>
    <w:rsid w:val="00D73D3C"/>
    <w:rsid w:val="00D73FDB"/>
    <w:rsid w:val="00D74023"/>
    <w:rsid w:val="00D74339"/>
    <w:rsid w:val="00D74606"/>
    <w:rsid w:val="00D747FC"/>
    <w:rsid w:val="00D74886"/>
    <w:rsid w:val="00D74B3F"/>
    <w:rsid w:val="00D74B50"/>
    <w:rsid w:val="00D74BC4"/>
    <w:rsid w:val="00D74D05"/>
    <w:rsid w:val="00D74F7D"/>
    <w:rsid w:val="00D75208"/>
    <w:rsid w:val="00D75219"/>
    <w:rsid w:val="00D75623"/>
    <w:rsid w:val="00D758E2"/>
    <w:rsid w:val="00D75A37"/>
    <w:rsid w:val="00D75B13"/>
    <w:rsid w:val="00D76004"/>
    <w:rsid w:val="00D76108"/>
    <w:rsid w:val="00D76161"/>
    <w:rsid w:val="00D764C9"/>
    <w:rsid w:val="00D76527"/>
    <w:rsid w:val="00D7662B"/>
    <w:rsid w:val="00D76733"/>
    <w:rsid w:val="00D768B7"/>
    <w:rsid w:val="00D76A10"/>
    <w:rsid w:val="00D76B90"/>
    <w:rsid w:val="00D76E1C"/>
    <w:rsid w:val="00D76F0B"/>
    <w:rsid w:val="00D7726D"/>
    <w:rsid w:val="00D772F2"/>
    <w:rsid w:val="00D774B4"/>
    <w:rsid w:val="00D774E4"/>
    <w:rsid w:val="00D7754F"/>
    <w:rsid w:val="00D779D5"/>
    <w:rsid w:val="00D77AB1"/>
    <w:rsid w:val="00D77FD7"/>
    <w:rsid w:val="00D8006C"/>
    <w:rsid w:val="00D80335"/>
    <w:rsid w:val="00D803D1"/>
    <w:rsid w:val="00D8041E"/>
    <w:rsid w:val="00D809D2"/>
    <w:rsid w:val="00D80B76"/>
    <w:rsid w:val="00D80E29"/>
    <w:rsid w:val="00D80F14"/>
    <w:rsid w:val="00D80F42"/>
    <w:rsid w:val="00D8139C"/>
    <w:rsid w:val="00D81459"/>
    <w:rsid w:val="00D81486"/>
    <w:rsid w:val="00D8170E"/>
    <w:rsid w:val="00D81838"/>
    <w:rsid w:val="00D818E1"/>
    <w:rsid w:val="00D81936"/>
    <w:rsid w:val="00D81C7A"/>
    <w:rsid w:val="00D81F2E"/>
    <w:rsid w:val="00D821AC"/>
    <w:rsid w:val="00D82480"/>
    <w:rsid w:val="00D82567"/>
    <w:rsid w:val="00D827E8"/>
    <w:rsid w:val="00D8292F"/>
    <w:rsid w:val="00D82991"/>
    <w:rsid w:val="00D82DBE"/>
    <w:rsid w:val="00D8322D"/>
    <w:rsid w:val="00D83763"/>
    <w:rsid w:val="00D837D0"/>
    <w:rsid w:val="00D83867"/>
    <w:rsid w:val="00D83905"/>
    <w:rsid w:val="00D83A13"/>
    <w:rsid w:val="00D83CDA"/>
    <w:rsid w:val="00D83DF2"/>
    <w:rsid w:val="00D83EE8"/>
    <w:rsid w:val="00D84169"/>
    <w:rsid w:val="00D84171"/>
    <w:rsid w:val="00D841DB"/>
    <w:rsid w:val="00D842C2"/>
    <w:rsid w:val="00D85145"/>
    <w:rsid w:val="00D853AE"/>
    <w:rsid w:val="00D855B6"/>
    <w:rsid w:val="00D85823"/>
    <w:rsid w:val="00D85889"/>
    <w:rsid w:val="00D858FF"/>
    <w:rsid w:val="00D85AC3"/>
    <w:rsid w:val="00D85CC8"/>
    <w:rsid w:val="00D85DAF"/>
    <w:rsid w:val="00D85E2F"/>
    <w:rsid w:val="00D860FD"/>
    <w:rsid w:val="00D865A5"/>
    <w:rsid w:val="00D866FE"/>
    <w:rsid w:val="00D86CE9"/>
    <w:rsid w:val="00D870AD"/>
    <w:rsid w:val="00D87144"/>
    <w:rsid w:val="00D8770B"/>
    <w:rsid w:val="00D8780E"/>
    <w:rsid w:val="00D87859"/>
    <w:rsid w:val="00D879F5"/>
    <w:rsid w:val="00D87D7D"/>
    <w:rsid w:val="00D87F7B"/>
    <w:rsid w:val="00D900CC"/>
    <w:rsid w:val="00D90571"/>
    <w:rsid w:val="00D906A9"/>
    <w:rsid w:val="00D91353"/>
    <w:rsid w:val="00D913C6"/>
    <w:rsid w:val="00D9168E"/>
    <w:rsid w:val="00D9176A"/>
    <w:rsid w:val="00D9189A"/>
    <w:rsid w:val="00D91B60"/>
    <w:rsid w:val="00D91F17"/>
    <w:rsid w:val="00D920DD"/>
    <w:rsid w:val="00D923A2"/>
    <w:rsid w:val="00D92483"/>
    <w:rsid w:val="00D92ED6"/>
    <w:rsid w:val="00D92F10"/>
    <w:rsid w:val="00D92FEB"/>
    <w:rsid w:val="00D930B5"/>
    <w:rsid w:val="00D9316C"/>
    <w:rsid w:val="00D93190"/>
    <w:rsid w:val="00D93258"/>
    <w:rsid w:val="00D93C83"/>
    <w:rsid w:val="00D94026"/>
    <w:rsid w:val="00D9453B"/>
    <w:rsid w:val="00D94888"/>
    <w:rsid w:val="00D94D43"/>
    <w:rsid w:val="00D951E3"/>
    <w:rsid w:val="00D953B0"/>
    <w:rsid w:val="00D9558F"/>
    <w:rsid w:val="00D95D6A"/>
    <w:rsid w:val="00D961F0"/>
    <w:rsid w:val="00D9622F"/>
    <w:rsid w:val="00D962E3"/>
    <w:rsid w:val="00D96351"/>
    <w:rsid w:val="00D963A3"/>
    <w:rsid w:val="00D96494"/>
    <w:rsid w:val="00D96987"/>
    <w:rsid w:val="00D96B50"/>
    <w:rsid w:val="00D96C38"/>
    <w:rsid w:val="00D96CCD"/>
    <w:rsid w:val="00D9736A"/>
    <w:rsid w:val="00D97523"/>
    <w:rsid w:val="00D97665"/>
    <w:rsid w:val="00D97752"/>
    <w:rsid w:val="00D97982"/>
    <w:rsid w:val="00D97DDA"/>
    <w:rsid w:val="00D97F0D"/>
    <w:rsid w:val="00D97F27"/>
    <w:rsid w:val="00DA02F2"/>
    <w:rsid w:val="00DA045A"/>
    <w:rsid w:val="00DA060B"/>
    <w:rsid w:val="00DA096B"/>
    <w:rsid w:val="00DA0FAB"/>
    <w:rsid w:val="00DA103E"/>
    <w:rsid w:val="00DA10CC"/>
    <w:rsid w:val="00DA10ED"/>
    <w:rsid w:val="00DA1273"/>
    <w:rsid w:val="00DA1589"/>
    <w:rsid w:val="00DA182E"/>
    <w:rsid w:val="00DA1DC2"/>
    <w:rsid w:val="00DA2025"/>
    <w:rsid w:val="00DA225B"/>
    <w:rsid w:val="00DA255B"/>
    <w:rsid w:val="00DA2666"/>
    <w:rsid w:val="00DA295E"/>
    <w:rsid w:val="00DA2B4E"/>
    <w:rsid w:val="00DA2C8E"/>
    <w:rsid w:val="00DA2D6F"/>
    <w:rsid w:val="00DA2D9B"/>
    <w:rsid w:val="00DA2E79"/>
    <w:rsid w:val="00DA3AFA"/>
    <w:rsid w:val="00DA3B98"/>
    <w:rsid w:val="00DA3CD0"/>
    <w:rsid w:val="00DA3D18"/>
    <w:rsid w:val="00DA3F4D"/>
    <w:rsid w:val="00DA3F97"/>
    <w:rsid w:val="00DA40AC"/>
    <w:rsid w:val="00DA40E0"/>
    <w:rsid w:val="00DA4793"/>
    <w:rsid w:val="00DA4B74"/>
    <w:rsid w:val="00DA4E65"/>
    <w:rsid w:val="00DA535B"/>
    <w:rsid w:val="00DA5574"/>
    <w:rsid w:val="00DA5637"/>
    <w:rsid w:val="00DA5694"/>
    <w:rsid w:val="00DA5822"/>
    <w:rsid w:val="00DA5992"/>
    <w:rsid w:val="00DA5A19"/>
    <w:rsid w:val="00DA5A3B"/>
    <w:rsid w:val="00DA5AC5"/>
    <w:rsid w:val="00DA5D90"/>
    <w:rsid w:val="00DA5FE6"/>
    <w:rsid w:val="00DA620F"/>
    <w:rsid w:val="00DA625D"/>
    <w:rsid w:val="00DA662A"/>
    <w:rsid w:val="00DA66D0"/>
    <w:rsid w:val="00DA6BB0"/>
    <w:rsid w:val="00DA71F5"/>
    <w:rsid w:val="00DA7257"/>
    <w:rsid w:val="00DA72ED"/>
    <w:rsid w:val="00DA739E"/>
    <w:rsid w:val="00DA74AC"/>
    <w:rsid w:val="00DA763B"/>
    <w:rsid w:val="00DA7858"/>
    <w:rsid w:val="00DA7F40"/>
    <w:rsid w:val="00DB0195"/>
    <w:rsid w:val="00DB0215"/>
    <w:rsid w:val="00DB02AB"/>
    <w:rsid w:val="00DB0540"/>
    <w:rsid w:val="00DB056E"/>
    <w:rsid w:val="00DB06C8"/>
    <w:rsid w:val="00DB0D22"/>
    <w:rsid w:val="00DB0DB5"/>
    <w:rsid w:val="00DB0FA2"/>
    <w:rsid w:val="00DB1037"/>
    <w:rsid w:val="00DB10C0"/>
    <w:rsid w:val="00DB110F"/>
    <w:rsid w:val="00DB134A"/>
    <w:rsid w:val="00DB16BA"/>
    <w:rsid w:val="00DB16EA"/>
    <w:rsid w:val="00DB172D"/>
    <w:rsid w:val="00DB1797"/>
    <w:rsid w:val="00DB18F0"/>
    <w:rsid w:val="00DB1BF2"/>
    <w:rsid w:val="00DB1DDD"/>
    <w:rsid w:val="00DB1E0A"/>
    <w:rsid w:val="00DB1F41"/>
    <w:rsid w:val="00DB22B4"/>
    <w:rsid w:val="00DB23A4"/>
    <w:rsid w:val="00DB242D"/>
    <w:rsid w:val="00DB2622"/>
    <w:rsid w:val="00DB27CE"/>
    <w:rsid w:val="00DB2812"/>
    <w:rsid w:val="00DB2B03"/>
    <w:rsid w:val="00DB2B06"/>
    <w:rsid w:val="00DB2B69"/>
    <w:rsid w:val="00DB2BCB"/>
    <w:rsid w:val="00DB2BE6"/>
    <w:rsid w:val="00DB2BEB"/>
    <w:rsid w:val="00DB2EEA"/>
    <w:rsid w:val="00DB31B2"/>
    <w:rsid w:val="00DB33C5"/>
    <w:rsid w:val="00DB33FC"/>
    <w:rsid w:val="00DB344C"/>
    <w:rsid w:val="00DB3661"/>
    <w:rsid w:val="00DB3C37"/>
    <w:rsid w:val="00DB3E32"/>
    <w:rsid w:val="00DB3EB2"/>
    <w:rsid w:val="00DB430C"/>
    <w:rsid w:val="00DB4384"/>
    <w:rsid w:val="00DB4605"/>
    <w:rsid w:val="00DB4746"/>
    <w:rsid w:val="00DB475C"/>
    <w:rsid w:val="00DB4768"/>
    <w:rsid w:val="00DB48D6"/>
    <w:rsid w:val="00DB4B3D"/>
    <w:rsid w:val="00DB4C40"/>
    <w:rsid w:val="00DB4C8E"/>
    <w:rsid w:val="00DB50CB"/>
    <w:rsid w:val="00DB538C"/>
    <w:rsid w:val="00DB56AB"/>
    <w:rsid w:val="00DB572F"/>
    <w:rsid w:val="00DB59AA"/>
    <w:rsid w:val="00DB59B1"/>
    <w:rsid w:val="00DB5B4F"/>
    <w:rsid w:val="00DB5C74"/>
    <w:rsid w:val="00DB5DEA"/>
    <w:rsid w:val="00DB614A"/>
    <w:rsid w:val="00DB64D3"/>
    <w:rsid w:val="00DB6729"/>
    <w:rsid w:val="00DB6835"/>
    <w:rsid w:val="00DB6C7B"/>
    <w:rsid w:val="00DB6D7B"/>
    <w:rsid w:val="00DB6D85"/>
    <w:rsid w:val="00DB6FFA"/>
    <w:rsid w:val="00DB704F"/>
    <w:rsid w:val="00DB7799"/>
    <w:rsid w:val="00DB7AEE"/>
    <w:rsid w:val="00DB7C49"/>
    <w:rsid w:val="00DB7CEA"/>
    <w:rsid w:val="00DB7F95"/>
    <w:rsid w:val="00DC0161"/>
    <w:rsid w:val="00DC0238"/>
    <w:rsid w:val="00DC0239"/>
    <w:rsid w:val="00DC03E0"/>
    <w:rsid w:val="00DC0703"/>
    <w:rsid w:val="00DC0744"/>
    <w:rsid w:val="00DC0804"/>
    <w:rsid w:val="00DC1129"/>
    <w:rsid w:val="00DC116B"/>
    <w:rsid w:val="00DC119C"/>
    <w:rsid w:val="00DC1216"/>
    <w:rsid w:val="00DC12A9"/>
    <w:rsid w:val="00DC161B"/>
    <w:rsid w:val="00DC1ABE"/>
    <w:rsid w:val="00DC1DEB"/>
    <w:rsid w:val="00DC1E2F"/>
    <w:rsid w:val="00DC1E62"/>
    <w:rsid w:val="00DC2245"/>
    <w:rsid w:val="00DC2322"/>
    <w:rsid w:val="00DC241B"/>
    <w:rsid w:val="00DC2560"/>
    <w:rsid w:val="00DC27FA"/>
    <w:rsid w:val="00DC2917"/>
    <w:rsid w:val="00DC2963"/>
    <w:rsid w:val="00DC298A"/>
    <w:rsid w:val="00DC2AA4"/>
    <w:rsid w:val="00DC2AC0"/>
    <w:rsid w:val="00DC316B"/>
    <w:rsid w:val="00DC3353"/>
    <w:rsid w:val="00DC33EF"/>
    <w:rsid w:val="00DC3691"/>
    <w:rsid w:val="00DC3B2A"/>
    <w:rsid w:val="00DC3CEC"/>
    <w:rsid w:val="00DC3D89"/>
    <w:rsid w:val="00DC4200"/>
    <w:rsid w:val="00DC44F4"/>
    <w:rsid w:val="00DC4659"/>
    <w:rsid w:val="00DC47E4"/>
    <w:rsid w:val="00DC47F8"/>
    <w:rsid w:val="00DC4876"/>
    <w:rsid w:val="00DC4EAB"/>
    <w:rsid w:val="00DC4F3E"/>
    <w:rsid w:val="00DC513D"/>
    <w:rsid w:val="00DC52F9"/>
    <w:rsid w:val="00DC5326"/>
    <w:rsid w:val="00DC5835"/>
    <w:rsid w:val="00DC5878"/>
    <w:rsid w:val="00DC5E15"/>
    <w:rsid w:val="00DC5ED6"/>
    <w:rsid w:val="00DC5F15"/>
    <w:rsid w:val="00DC60ED"/>
    <w:rsid w:val="00DC6275"/>
    <w:rsid w:val="00DC62E5"/>
    <w:rsid w:val="00DC631E"/>
    <w:rsid w:val="00DC66A1"/>
    <w:rsid w:val="00DC67DE"/>
    <w:rsid w:val="00DC68A9"/>
    <w:rsid w:val="00DC6976"/>
    <w:rsid w:val="00DC69DA"/>
    <w:rsid w:val="00DC6DC5"/>
    <w:rsid w:val="00DC7054"/>
    <w:rsid w:val="00DC70F4"/>
    <w:rsid w:val="00DC728C"/>
    <w:rsid w:val="00DC759C"/>
    <w:rsid w:val="00DC76B1"/>
    <w:rsid w:val="00DC7847"/>
    <w:rsid w:val="00DC78A0"/>
    <w:rsid w:val="00DC7BF0"/>
    <w:rsid w:val="00DC7E4C"/>
    <w:rsid w:val="00DC7F64"/>
    <w:rsid w:val="00DD0311"/>
    <w:rsid w:val="00DD04AE"/>
    <w:rsid w:val="00DD0508"/>
    <w:rsid w:val="00DD0959"/>
    <w:rsid w:val="00DD0A47"/>
    <w:rsid w:val="00DD0AB4"/>
    <w:rsid w:val="00DD13A1"/>
    <w:rsid w:val="00DD13A2"/>
    <w:rsid w:val="00DD143F"/>
    <w:rsid w:val="00DD1536"/>
    <w:rsid w:val="00DD1BAD"/>
    <w:rsid w:val="00DD1FB3"/>
    <w:rsid w:val="00DD215D"/>
    <w:rsid w:val="00DD21C6"/>
    <w:rsid w:val="00DD222B"/>
    <w:rsid w:val="00DD22DD"/>
    <w:rsid w:val="00DD2312"/>
    <w:rsid w:val="00DD2376"/>
    <w:rsid w:val="00DD238D"/>
    <w:rsid w:val="00DD248B"/>
    <w:rsid w:val="00DD24BA"/>
    <w:rsid w:val="00DD24C6"/>
    <w:rsid w:val="00DD287B"/>
    <w:rsid w:val="00DD2C61"/>
    <w:rsid w:val="00DD2CB9"/>
    <w:rsid w:val="00DD2D2F"/>
    <w:rsid w:val="00DD2F95"/>
    <w:rsid w:val="00DD3029"/>
    <w:rsid w:val="00DD3265"/>
    <w:rsid w:val="00DD347D"/>
    <w:rsid w:val="00DD361D"/>
    <w:rsid w:val="00DD3C73"/>
    <w:rsid w:val="00DD46C6"/>
    <w:rsid w:val="00DD4A05"/>
    <w:rsid w:val="00DD4B34"/>
    <w:rsid w:val="00DD4E02"/>
    <w:rsid w:val="00DD4EAF"/>
    <w:rsid w:val="00DD53F5"/>
    <w:rsid w:val="00DD54D0"/>
    <w:rsid w:val="00DD5531"/>
    <w:rsid w:val="00DD569C"/>
    <w:rsid w:val="00DD56E9"/>
    <w:rsid w:val="00DD58A7"/>
    <w:rsid w:val="00DD5910"/>
    <w:rsid w:val="00DD5912"/>
    <w:rsid w:val="00DD5C94"/>
    <w:rsid w:val="00DD5CB7"/>
    <w:rsid w:val="00DD5F84"/>
    <w:rsid w:val="00DD60F3"/>
    <w:rsid w:val="00DD61FE"/>
    <w:rsid w:val="00DD63C4"/>
    <w:rsid w:val="00DD6B6E"/>
    <w:rsid w:val="00DD6B9D"/>
    <w:rsid w:val="00DD7287"/>
    <w:rsid w:val="00DD732A"/>
    <w:rsid w:val="00DD73C2"/>
    <w:rsid w:val="00DD78C8"/>
    <w:rsid w:val="00DD7A48"/>
    <w:rsid w:val="00DD7B43"/>
    <w:rsid w:val="00DD7F36"/>
    <w:rsid w:val="00DE001A"/>
    <w:rsid w:val="00DE0195"/>
    <w:rsid w:val="00DE047C"/>
    <w:rsid w:val="00DE06CD"/>
    <w:rsid w:val="00DE0CD0"/>
    <w:rsid w:val="00DE0FBD"/>
    <w:rsid w:val="00DE10B8"/>
    <w:rsid w:val="00DE1181"/>
    <w:rsid w:val="00DE143E"/>
    <w:rsid w:val="00DE1634"/>
    <w:rsid w:val="00DE1783"/>
    <w:rsid w:val="00DE17DF"/>
    <w:rsid w:val="00DE19F5"/>
    <w:rsid w:val="00DE1CE6"/>
    <w:rsid w:val="00DE1EBA"/>
    <w:rsid w:val="00DE1EFC"/>
    <w:rsid w:val="00DE22F9"/>
    <w:rsid w:val="00DE2408"/>
    <w:rsid w:val="00DE2BFA"/>
    <w:rsid w:val="00DE2DEB"/>
    <w:rsid w:val="00DE30E3"/>
    <w:rsid w:val="00DE3309"/>
    <w:rsid w:val="00DE3611"/>
    <w:rsid w:val="00DE3C2B"/>
    <w:rsid w:val="00DE3D2E"/>
    <w:rsid w:val="00DE4345"/>
    <w:rsid w:val="00DE46DF"/>
    <w:rsid w:val="00DE4A50"/>
    <w:rsid w:val="00DE4AE1"/>
    <w:rsid w:val="00DE50C5"/>
    <w:rsid w:val="00DE50D6"/>
    <w:rsid w:val="00DE549D"/>
    <w:rsid w:val="00DE5628"/>
    <w:rsid w:val="00DE56FD"/>
    <w:rsid w:val="00DE5859"/>
    <w:rsid w:val="00DE5A29"/>
    <w:rsid w:val="00DE5AD6"/>
    <w:rsid w:val="00DE5BA4"/>
    <w:rsid w:val="00DE5E09"/>
    <w:rsid w:val="00DE5F0A"/>
    <w:rsid w:val="00DE6192"/>
    <w:rsid w:val="00DE628D"/>
    <w:rsid w:val="00DE64D8"/>
    <w:rsid w:val="00DE6599"/>
    <w:rsid w:val="00DE66D9"/>
    <w:rsid w:val="00DE6713"/>
    <w:rsid w:val="00DE69D1"/>
    <w:rsid w:val="00DE6BF4"/>
    <w:rsid w:val="00DE71BE"/>
    <w:rsid w:val="00DE752A"/>
    <w:rsid w:val="00DE75FF"/>
    <w:rsid w:val="00DE766B"/>
    <w:rsid w:val="00DE7AB8"/>
    <w:rsid w:val="00DF003E"/>
    <w:rsid w:val="00DF0360"/>
    <w:rsid w:val="00DF056F"/>
    <w:rsid w:val="00DF09F8"/>
    <w:rsid w:val="00DF0DFE"/>
    <w:rsid w:val="00DF0E3F"/>
    <w:rsid w:val="00DF0FD4"/>
    <w:rsid w:val="00DF136F"/>
    <w:rsid w:val="00DF13B9"/>
    <w:rsid w:val="00DF14EE"/>
    <w:rsid w:val="00DF150C"/>
    <w:rsid w:val="00DF17A5"/>
    <w:rsid w:val="00DF1CA4"/>
    <w:rsid w:val="00DF1CB5"/>
    <w:rsid w:val="00DF1D2A"/>
    <w:rsid w:val="00DF1D52"/>
    <w:rsid w:val="00DF1D65"/>
    <w:rsid w:val="00DF1EE1"/>
    <w:rsid w:val="00DF1FAB"/>
    <w:rsid w:val="00DF20AB"/>
    <w:rsid w:val="00DF212A"/>
    <w:rsid w:val="00DF2130"/>
    <w:rsid w:val="00DF21BA"/>
    <w:rsid w:val="00DF2389"/>
    <w:rsid w:val="00DF2666"/>
    <w:rsid w:val="00DF2979"/>
    <w:rsid w:val="00DF2A03"/>
    <w:rsid w:val="00DF2E16"/>
    <w:rsid w:val="00DF2FA0"/>
    <w:rsid w:val="00DF30CB"/>
    <w:rsid w:val="00DF3221"/>
    <w:rsid w:val="00DF331C"/>
    <w:rsid w:val="00DF3451"/>
    <w:rsid w:val="00DF353B"/>
    <w:rsid w:val="00DF37AC"/>
    <w:rsid w:val="00DF386B"/>
    <w:rsid w:val="00DF3CC0"/>
    <w:rsid w:val="00DF3D72"/>
    <w:rsid w:val="00DF3D91"/>
    <w:rsid w:val="00DF444A"/>
    <w:rsid w:val="00DF45A3"/>
    <w:rsid w:val="00DF48F2"/>
    <w:rsid w:val="00DF4CF1"/>
    <w:rsid w:val="00DF4E95"/>
    <w:rsid w:val="00DF5028"/>
    <w:rsid w:val="00DF5164"/>
    <w:rsid w:val="00DF52B1"/>
    <w:rsid w:val="00DF52B9"/>
    <w:rsid w:val="00DF532A"/>
    <w:rsid w:val="00DF54D9"/>
    <w:rsid w:val="00DF595D"/>
    <w:rsid w:val="00DF5C5D"/>
    <w:rsid w:val="00DF5E00"/>
    <w:rsid w:val="00DF5E45"/>
    <w:rsid w:val="00DF5ED1"/>
    <w:rsid w:val="00DF6170"/>
    <w:rsid w:val="00DF620D"/>
    <w:rsid w:val="00DF623C"/>
    <w:rsid w:val="00DF6400"/>
    <w:rsid w:val="00DF6994"/>
    <w:rsid w:val="00DF6A8C"/>
    <w:rsid w:val="00DF6AF3"/>
    <w:rsid w:val="00DF6C30"/>
    <w:rsid w:val="00DF6DDF"/>
    <w:rsid w:val="00DF6E7A"/>
    <w:rsid w:val="00DF6F32"/>
    <w:rsid w:val="00DF6F66"/>
    <w:rsid w:val="00DF711A"/>
    <w:rsid w:val="00DF715B"/>
    <w:rsid w:val="00DF723D"/>
    <w:rsid w:val="00DF72B9"/>
    <w:rsid w:val="00DF7332"/>
    <w:rsid w:val="00DF742F"/>
    <w:rsid w:val="00DF7933"/>
    <w:rsid w:val="00DF7B49"/>
    <w:rsid w:val="00DF7D2C"/>
    <w:rsid w:val="00DF7DCE"/>
    <w:rsid w:val="00DF7E90"/>
    <w:rsid w:val="00E000B3"/>
    <w:rsid w:val="00E003BF"/>
    <w:rsid w:val="00E00509"/>
    <w:rsid w:val="00E006B7"/>
    <w:rsid w:val="00E0081A"/>
    <w:rsid w:val="00E013C8"/>
    <w:rsid w:val="00E0193F"/>
    <w:rsid w:val="00E0194A"/>
    <w:rsid w:val="00E019A0"/>
    <w:rsid w:val="00E01A9C"/>
    <w:rsid w:val="00E01BFA"/>
    <w:rsid w:val="00E01C3F"/>
    <w:rsid w:val="00E01D70"/>
    <w:rsid w:val="00E01DBF"/>
    <w:rsid w:val="00E01EFA"/>
    <w:rsid w:val="00E02393"/>
    <w:rsid w:val="00E02827"/>
    <w:rsid w:val="00E028A0"/>
    <w:rsid w:val="00E02BEC"/>
    <w:rsid w:val="00E02EDB"/>
    <w:rsid w:val="00E02FE4"/>
    <w:rsid w:val="00E0353C"/>
    <w:rsid w:val="00E03653"/>
    <w:rsid w:val="00E036DE"/>
    <w:rsid w:val="00E03701"/>
    <w:rsid w:val="00E03AC5"/>
    <w:rsid w:val="00E03D51"/>
    <w:rsid w:val="00E04161"/>
    <w:rsid w:val="00E045C6"/>
    <w:rsid w:val="00E04630"/>
    <w:rsid w:val="00E04691"/>
    <w:rsid w:val="00E04738"/>
    <w:rsid w:val="00E04976"/>
    <w:rsid w:val="00E04C3A"/>
    <w:rsid w:val="00E04CB9"/>
    <w:rsid w:val="00E04F73"/>
    <w:rsid w:val="00E051FD"/>
    <w:rsid w:val="00E05633"/>
    <w:rsid w:val="00E05831"/>
    <w:rsid w:val="00E05B25"/>
    <w:rsid w:val="00E06003"/>
    <w:rsid w:val="00E06060"/>
    <w:rsid w:val="00E0610E"/>
    <w:rsid w:val="00E0615C"/>
    <w:rsid w:val="00E06307"/>
    <w:rsid w:val="00E06337"/>
    <w:rsid w:val="00E064BD"/>
    <w:rsid w:val="00E06B98"/>
    <w:rsid w:val="00E06BD0"/>
    <w:rsid w:val="00E06E59"/>
    <w:rsid w:val="00E06F4C"/>
    <w:rsid w:val="00E07192"/>
    <w:rsid w:val="00E07258"/>
    <w:rsid w:val="00E07463"/>
    <w:rsid w:val="00E07CE9"/>
    <w:rsid w:val="00E07D01"/>
    <w:rsid w:val="00E1007B"/>
    <w:rsid w:val="00E102F7"/>
    <w:rsid w:val="00E10411"/>
    <w:rsid w:val="00E10702"/>
    <w:rsid w:val="00E1072B"/>
    <w:rsid w:val="00E1079F"/>
    <w:rsid w:val="00E10CBA"/>
    <w:rsid w:val="00E10FF1"/>
    <w:rsid w:val="00E11497"/>
    <w:rsid w:val="00E117F0"/>
    <w:rsid w:val="00E11A13"/>
    <w:rsid w:val="00E11C8B"/>
    <w:rsid w:val="00E11E8C"/>
    <w:rsid w:val="00E123B5"/>
    <w:rsid w:val="00E12414"/>
    <w:rsid w:val="00E124C9"/>
    <w:rsid w:val="00E124CF"/>
    <w:rsid w:val="00E12B16"/>
    <w:rsid w:val="00E12D4B"/>
    <w:rsid w:val="00E131BF"/>
    <w:rsid w:val="00E13641"/>
    <w:rsid w:val="00E1379B"/>
    <w:rsid w:val="00E13E34"/>
    <w:rsid w:val="00E140B6"/>
    <w:rsid w:val="00E14276"/>
    <w:rsid w:val="00E14310"/>
    <w:rsid w:val="00E14339"/>
    <w:rsid w:val="00E1464C"/>
    <w:rsid w:val="00E146CA"/>
    <w:rsid w:val="00E14792"/>
    <w:rsid w:val="00E147BA"/>
    <w:rsid w:val="00E14C0E"/>
    <w:rsid w:val="00E14C2D"/>
    <w:rsid w:val="00E14C7A"/>
    <w:rsid w:val="00E14E30"/>
    <w:rsid w:val="00E150B4"/>
    <w:rsid w:val="00E15321"/>
    <w:rsid w:val="00E156BD"/>
    <w:rsid w:val="00E15734"/>
    <w:rsid w:val="00E157FF"/>
    <w:rsid w:val="00E15BC7"/>
    <w:rsid w:val="00E15FC5"/>
    <w:rsid w:val="00E16021"/>
    <w:rsid w:val="00E16152"/>
    <w:rsid w:val="00E16BE1"/>
    <w:rsid w:val="00E16BF9"/>
    <w:rsid w:val="00E16CBC"/>
    <w:rsid w:val="00E16DA1"/>
    <w:rsid w:val="00E16ED1"/>
    <w:rsid w:val="00E16F65"/>
    <w:rsid w:val="00E170B8"/>
    <w:rsid w:val="00E17419"/>
    <w:rsid w:val="00E175F9"/>
    <w:rsid w:val="00E176AC"/>
    <w:rsid w:val="00E17869"/>
    <w:rsid w:val="00E17E20"/>
    <w:rsid w:val="00E200DF"/>
    <w:rsid w:val="00E200F6"/>
    <w:rsid w:val="00E20232"/>
    <w:rsid w:val="00E20264"/>
    <w:rsid w:val="00E20352"/>
    <w:rsid w:val="00E203DD"/>
    <w:rsid w:val="00E204A3"/>
    <w:rsid w:val="00E20538"/>
    <w:rsid w:val="00E207FE"/>
    <w:rsid w:val="00E20A3F"/>
    <w:rsid w:val="00E20B31"/>
    <w:rsid w:val="00E20B72"/>
    <w:rsid w:val="00E20F99"/>
    <w:rsid w:val="00E20FC1"/>
    <w:rsid w:val="00E21076"/>
    <w:rsid w:val="00E211D9"/>
    <w:rsid w:val="00E2123A"/>
    <w:rsid w:val="00E21413"/>
    <w:rsid w:val="00E21747"/>
    <w:rsid w:val="00E21752"/>
    <w:rsid w:val="00E219EA"/>
    <w:rsid w:val="00E219FB"/>
    <w:rsid w:val="00E21F05"/>
    <w:rsid w:val="00E21F65"/>
    <w:rsid w:val="00E22396"/>
    <w:rsid w:val="00E22620"/>
    <w:rsid w:val="00E22670"/>
    <w:rsid w:val="00E22A0C"/>
    <w:rsid w:val="00E22ADA"/>
    <w:rsid w:val="00E22B04"/>
    <w:rsid w:val="00E22C19"/>
    <w:rsid w:val="00E22EBD"/>
    <w:rsid w:val="00E23560"/>
    <w:rsid w:val="00E2369A"/>
    <w:rsid w:val="00E23709"/>
    <w:rsid w:val="00E23738"/>
    <w:rsid w:val="00E238BE"/>
    <w:rsid w:val="00E23A04"/>
    <w:rsid w:val="00E23C4E"/>
    <w:rsid w:val="00E23C93"/>
    <w:rsid w:val="00E23D79"/>
    <w:rsid w:val="00E23E76"/>
    <w:rsid w:val="00E23FCD"/>
    <w:rsid w:val="00E2414C"/>
    <w:rsid w:val="00E24225"/>
    <w:rsid w:val="00E24230"/>
    <w:rsid w:val="00E2454D"/>
    <w:rsid w:val="00E2465D"/>
    <w:rsid w:val="00E24B8E"/>
    <w:rsid w:val="00E24E75"/>
    <w:rsid w:val="00E24EAE"/>
    <w:rsid w:val="00E24F04"/>
    <w:rsid w:val="00E24F2D"/>
    <w:rsid w:val="00E25177"/>
    <w:rsid w:val="00E251DF"/>
    <w:rsid w:val="00E25228"/>
    <w:rsid w:val="00E253A4"/>
    <w:rsid w:val="00E253C5"/>
    <w:rsid w:val="00E25434"/>
    <w:rsid w:val="00E25781"/>
    <w:rsid w:val="00E257CD"/>
    <w:rsid w:val="00E25924"/>
    <w:rsid w:val="00E25BA6"/>
    <w:rsid w:val="00E25F27"/>
    <w:rsid w:val="00E261A5"/>
    <w:rsid w:val="00E26312"/>
    <w:rsid w:val="00E2659E"/>
    <w:rsid w:val="00E26895"/>
    <w:rsid w:val="00E268CF"/>
    <w:rsid w:val="00E2697A"/>
    <w:rsid w:val="00E26AFF"/>
    <w:rsid w:val="00E26B63"/>
    <w:rsid w:val="00E26BB2"/>
    <w:rsid w:val="00E26CA1"/>
    <w:rsid w:val="00E27066"/>
    <w:rsid w:val="00E274CA"/>
    <w:rsid w:val="00E2763B"/>
    <w:rsid w:val="00E2779F"/>
    <w:rsid w:val="00E27810"/>
    <w:rsid w:val="00E27861"/>
    <w:rsid w:val="00E278F7"/>
    <w:rsid w:val="00E27C29"/>
    <w:rsid w:val="00E27C52"/>
    <w:rsid w:val="00E304F9"/>
    <w:rsid w:val="00E3069D"/>
    <w:rsid w:val="00E306C7"/>
    <w:rsid w:val="00E30850"/>
    <w:rsid w:val="00E30998"/>
    <w:rsid w:val="00E30B4C"/>
    <w:rsid w:val="00E30E9B"/>
    <w:rsid w:val="00E30F7F"/>
    <w:rsid w:val="00E311D6"/>
    <w:rsid w:val="00E3149B"/>
    <w:rsid w:val="00E31615"/>
    <w:rsid w:val="00E3192B"/>
    <w:rsid w:val="00E3224E"/>
    <w:rsid w:val="00E32540"/>
    <w:rsid w:val="00E32871"/>
    <w:rsid w:val="00E32C79"/>
    <w:rsid w:val="00E32D0D"/>
    <w:rsid w:val="00E32D42"/>
    <w:rsid w:val="00E32FA1"/>
    <w:rsid w:val="00E33240"/>
    <w:rsid w:val="00E3331D"/>
    <w:rsid w:val="00E337DD"/>
    <w:rsid w:val="00E33B76"/>
    <w:rsid w:val="00E33C6B"/>
    <w:rsid w:val="00E33D86"/>
    <w:rsid w:val="00E33EFD"/>
    <w:rsid w:val="00E34303"/>
    <w:rsid w:val="00E34407"/>
    <w:rsid w:val="00E3466E"/>
    <w:rsid w:val="00E3469A"/>
    <w:rsid w:val="00E3473A"/>
    <w:rsid w:val="00E34885"/>
    <w:rsid w:val="00E34981"/>
    <w:rsid w:val="00E34F76"/>
    <w:rsid w:val="00E35231"/>
    <w:rsid w:val="00E35285"/>
    <w:rsid w:val="00E353CB"/>
    <w:rsid w:val="00E355FD"/>
    <w:rsid w:val="00E35617"/>
    <w:rsid w:val="00E35657"/>
    <w:rsid w:val="00E356E2"/>
    <w:rsid w:val="00E35854"/>
    <w:rsid w:val="00E35919"/>
    <w:rsid w:val="00E359DC"/>
    <w:rsid w:val="00E35C61"/>
    <w:rsid w:val="00E35CCA"/>
    <w:rsid w:val="00E35D7C"/>
    <w:rsid w:val="00E35FF6"/>
    <w:rsid w:val="00E36046"/>
    <w:rsid w:val="00E362BF"/>
    <w:rsid w:val="00E36305"/>
    <w:rsid w:val="00E363FD"/>
    <w:rsid w:val="00E3645F"/>
    <w:rsid w:val="00E3650E"/>
    <w:rsid w:val="00E365F5"/>
    <w:rsid w:val="00E3698F"/>
    <w:rsid w:val="00E36B36"/>
    <w:rsid w:val="00E36CF6"/>
    <w:rsid w:val="00E36F29"/>
    <w:rsid w:val="00E36F32"/>
    <w:rsid w:val="00E36F55"/>
    <w:rsid w:val="00E37041"/>
    <w:rsid w:val="00E370F6"/>
    <w:rsid w:val="00E3715B"/>
    <w:rsid w:val="00E37617"/>
    <w:rsid w:val="00E37741"/>
    <w:rsid w:val="00E377A3"/>
    <w:rsid w:val="00E37CA5"/>
    <w:rsid w:val="00E37F22"/>
    <w:rsid w:val="00E401BE"/>
    <w:rsid w:val="00E4027D"/>
    <w:rsid w:val="00E406EE"/>
    <w:rsid w:val="00E41088"/>
    <w:rsid w:val="00E41404"/>
    <w:rsid w:val="00E4155B"/>
    <w:rsid w:val="00E41656"/>
    <w:rsid w:val="00E419D3"/>
    <w:rsid w:val="00E41A91"/>
    <w:rsid w:val="00E4207D"/>
    <w:rsid w:val="00E420E9"/>
    <w:rsid w:val="00E42156"/>
    <w:rsid w:val="00E42601"/>
    <w:rsid w:val="00E42903"/>
    <w:rsid w:val="00E42971"/>
    <w:rsid w:val="00E42E20"/>
    <w:rsid w:val="00E42FCB"/>
    <w:rsid w:val="00E43485"/>
    <w:rsid w:val="00E434FA"/>
    <w:rsid w:val="00E43956"/>
    <w:rsid w:val="00E43E0F"/>
    <w:rsid w:val="00E43E8D"/>
    <w:rsid w:val="00E44101"/>
    <w:rsid w:val="00E44510"/>
    <w:rsid w:val="00E44768"/>
    <w:rsid w:val="00E4479F"/>
    <w:rsid w:val="00E44F6B"/>
    <w:rsid w:val="00E45447"/>
    <w:rsid w:val="00E45571"/>
    <w:rsid w:val="00E4564E"/>
    <w:rsid w:val="00E456F8"/>
    <w:rsid w:val="00E457BD"/>
    <w:rsid w:val="00E45800"/>
    <w:rsid w:val="00E458EA"/>
    <w:rsid w:val="00E45A90"/>
    <w:rsid w:val="00E45CBC"/>
    <w:rsid w:val="00E45D30"/>
    <w:rsid w:val="00E45F70"/>
    <w:rsid w:val="00E46162"/>
    <w:rsid w:val="00E4641E"/>
    <w:rsid w:val="00E4668A"/>
    <w:rsid w:val="00E46776"/>
    <w:rsid w:val="00E4696D"/>
    <w:rsid w:val="00E46D69"/>
    <w:rsid w:val="00E46D6D"/>
    <w:rsid w:val="00E4718D"/>
    <w:rsid w:val="00E476B8"/>
    <w:rsid w:val="00E479A7"/>
    <w:rsid w:val="00E47B32"/>
    <w:rsid w:val="00E47FCD"/>
    <w:rsid w:val="00E50108"/>
    <w:rsid w:val="00E5056B"/>
    <w:rsid w:val="00E505B6"/>
    <w:rsid w:val="00E50864"/>
    <w:rsid w:val="00E5098A"/>
    <w:rsid w:val="00E50A3C"/>
    <w:rsid w:val="00E50C62"/>
    <w:rsid w:val="00E50CA0"/>
    <w:rsid w:val="00E5140D"/>
    <w:rsid w:val="00E5151C"/>
    <w:rsid w:val="00E5171E"/>
    <w:rsid w:val="00E51AD4"/>
    <w:rsid w:val="00E51B8A"/>
    <w:rsid w:val="00E51D38"/>
    <w:rsid w:val="00E51E43"/>
    <w:rsid w:val="00E51E8A"/>
    <w:rsid w:val="00E51F0D"/>
    <w:rsid w:val="00E52541"/>
    <w:rsid w:val="00E526EE"/>
    <w:rsid w:val="00E527AA"/>
    <w:rsid w:val="00E527EB"/>
    <w:rsid w:val="00E5294B"/>
    <w:rsid w:val="00E52A4D"/>
    <w:rsid w:val="00E52C0C"/>
    <w:rsid w:val="00E52F1F"/>
    <w:rsid w:val="00E52FE5"/>
    <w:rsid w:val="00E5330F"/>
    <w:rsid w:val="00E53455"/>
    <w:rsid w:val="00E5351B"/>
    <w:rsid w:val="00E5359E"/>
    <w:rsid w:val="00E53AE1"/>
    <w:rsid w:val="00E53AF5"/>
    <w:rsid w:val="00E53DB5"/>
    <w:rsid w:val="00E5400A"/>
    <w:rsid w:val="00E54078"/>
    <w:rsid w:val="00E5410A"/>
    <w:rsid w:val="00E54615"/>
    <w:rsid w:val="00E54684"/>
    <w:rsid w:val="00E5473D"/>
    <w:rsid w:val="00E55219"/>
    <w:rsid w:val="00E554C3"/>
    <w:rsid w:val="00E556BD"/>
    <w:rsid w:val="00E55950"/>
    <w:rsid w:val="00E55AEF"/>
    <w:rsid w:val="00E55C3C"/>
    <w:rsid w:val="00E55CDC"/>
    <w:rsid w:val="00E55D7B"/>
    <w:rsid w:val="00E55E46"/>
    <w:rsid w:val="00E560E3"/>
    <w:rsid w:val="00E562E9"/>
    <w:rsid w:val="00E56635"/>
    <w:rsid w:val="00E569D3"/>
    <w:rsid w:val="00E56A42"/>
    <w:rsid w:val="00E56B8D"/>
    <w:rsid w:val="00E56DCE"/>
    <w:rsid w:val="00E57196"/>
    <w:rsid w:val="00E571FA"/>
    <w:rsid w:val="00E57242"/>
    <w:rsid w:val="00E57341"/>
    <w:rsid w:val="00E5754A"/>
    <w:rsid w:val="00E575AD"/>
    <w:rsid w:val="00E576A9"/>
    <w:rsid w:val="00E578B3"/>
    <w:rsid w:val="00E57BF2"/>
    <w:rsid w:val="00E6006E"/>
    <w:rsid w:val="00E60291"/>
    <w:rsid w:val="00E60690"/>
    <w:rsid w:val="00E6069E"/>
    <w:rsid w:val="00E608E2"/>
    <w:rsid w:val="00E60969"/>
    <w:rsid w:val="00E60B97"/>
    <w:rsid w:val="00E60C87"/>
    <w:rsid w:val="00E60EA4"/>
    <w:rsid w:val="00E60EAC"/>
    <w:rsid w:val="00E60F5F"/>
    <w:rsid w:val="00E60FE6"/>
    <w:rsid w:val="00E61264"/>
    <w:rsid w:val="00E61469"/>
    <w:rsid w:val="00E6185D"/>
    <w:rsid w:val="00E61A87"/>
    <w:rsid w:val="00E61B17"/>
    <w:rsid w:val="00E61FE5"/>
    <w:rsid w:val="00E620AF"/>
    <w:rsid w:val="00E622C3"/>
    <w:rsid w:val="00E624BD"/>
    <w:rsid w:val="00E6283B"/>
    <w:rsid w:val="00E62A11"/>
    <w:rsid w:val="00E63041"/>
    <w:rsid w:val="00E634F4"/>
    <w:rsid w:val="00E63592"/>
    <w:rsid w:val="00E6369F"/>
    <w:rsid w:val="00E63A52"/>
    <w:rsid w:val="00E63BFD"/>
    <w:rsid w:val="00E63EC4"/>
    <w:rsid w:val="00E63EE1"/>
    <w:rsid w:val="00E64108"/>
    <w:rsid w:val="00E641E8"/>
    <w:rsid w:val="00E644ED"/>
    <w:rsid w:val="00E6460A"/>
    <w:rsid w:val="00E64A4C"/>
    <w:rsid w:val="00E64D2E"/>
    <w:rsid w:val="00E64D82"/>
    <w:rsid w:val="00E64EAC"/>
    <w:rsid w:val="00E651D9"/>
    <w:rsid w:val="00E65324"/>
    <w:rsid w:val="00E653DF"/>
    <w:rsid w:val="00E6540D"/>
    <w:rsid w:val="00E6550A"/>
    <w:rsid w:val="00E6561D"/>
    <w:rsid w:val="00E658DA"/>
    <w:rsid w:val="00E65954"/>
    <w:rsid w:val="00E65CE2"/>
    <w:rsid w:val="00E65E79"/>
    <w:rsid w:val="00E66999"/>
    <w:rsid w:val="00E66B9D"/>
    <w:rsid w:val="00E66C50"/>
    <w:rsid w:val="00E66D1E"/>
    <w:rsid w:val="00E66D41"/>
    <w:rsid w:val="00E66D64"/>
    <w:rsid w:val="00E66E3E"/>
    <w:rsid w:val="00E671C8"/>
    <w:rsid w:val="00E674E3"/>
    <w:rsid w:val="00E676F1"/>
    <w:rsid w:val="00E67FD4"/>
    <w:rsid w:val="00E700AC"/>
    <w:rsid w:val="00E70265"/>
    <w:rsid w:val="00E705DE"/>
    <w:rsid w:val="00E706D3"/>
    <w:rsid w:val="00E70853"/>
    <w:rsid w:val="00E70B4D"/>
    <w:rsid w:val="00E70CA1"/>
    <w:rsid w:val="00E71055"/>
    <w:rsid w:val="00E711B5"/>
    <w:rsid w:val="00E713AA"/>
    <w:rsid w:val="00E71475"/>
    <w:rsid w:val="00E71596"/>
    <w:rsid w:val="00E7159F"/>
    <w:rsid w:val="00E71914"/>
    <w:rsid w:val="00E71BE7"/>
    <w:rsid w:val="00E71C51"/>
    <w:rsid w:val="00E71D87"/>
    <w:rsid w:val="00E71E5F"/>
    <w:rsid w:val="00E71E66"/>
    <w:rsid w:val="00E71EBC"/>
    <w:rsid w:val="00E722FE"/>
    <w:rsid w:val="00E724F6"/>
    <w:rsid w:val="00E728B2"/>
    <w:rsid w:val="00E72B01"/>
    <w:rsid w:val="00E72C35"/>
    <w:rsid w:val="00E72C3C"/>
    <w:rsid w:val="00E72D6D"/>
    <w:rsid w:val="00E72DB0"/>
    <w:rsid w:val="00E72F96"/>
    <w:rsid w:val="00E72FD9"/>
    <w:rsid w:val="00E731A3"/>
    <w:rsid w:val="00E7325E"/>
    <w:rsid w:val="00E73649"/>
    <w:rsid w:val="00E736EA"/>
    <w:rsid w:val="00E73ACC"/>
    <w:rsid w:val="00E73B41"/>
    <w:rsid w:val="00E73B7F"/>
    <w:rsid w:val="00E73D23"/>
    <w:rsid w:val="00E73DCD"/>
    <w:rsid w:val="00E73DFE"/>
    <w:rsid w:val="00E742CD"/>
    <w:rsid w:val="00E744F3"/>
    <w:rsid w:val="00E74725"/>
    <w:rsid w:val="00E74EF3"/>
    <w:rsid w:val="00E7506F"/>
    <w:rsid w:val="00E7549B"/>
    <w:rsid w:val="00E755E0"/>
    <w:rsid w:val="00E75606"/>
    <w:rsid w:val="00E7588F"/>
    <w:rsid w:val="00E75A3F"/>
    <w:rsid w:val="00E75BAD"/>
    <w:rsid w:val="00E75CA6"/>
    <w:rsid w:val="00E75D2F"/>
    <w:rsid w:val="00E75D6C"/>
    <w:rsid w:val="00E75E28"/>
    <w:rsid w:val="00E75FDC"/>
    <w:rsid w:val="00E76058"/>
    <w:rsid w:val="00E76423"/>
    <w:rsid w:val="00E7690C"/>
    <w:rsid w:val="00E769E1"/>
    <w:rsid w:val="00E76A19"/>
    <w:rsid w:val="00E76CEA"/>
    <w:rsid w:val="00E76EEC"/>
    <w:rsid w:val="00E76EF6"/>
    <w:rsid w:val="00E76F72"/>
    <w:rsid w:val="00E77501"/>
    <w:rsid w:val="00E777BF"/>
    <w:rsid w:val="00E77AFE"/>
    <w:rsid w:val="00E77B0C"/>
    <w:rsid w:val="00E77DCA"/>
    <w:rsid w:val="00E77E2A"/>
    <w:rsid w:val="00E77E5A"/>
    <w:rsid w:val="00E8000C"/>
    <w:rsid w:val="00E803A8"/>
    <w:rsid w:val="00E804B9"/>
    <w:rsid w:val="00E807D5"/>
    <w:rsid w:val="00E807F3"/>
    <w:rsid w:val="00E80B28"/>
    <w:rsid w:val="00E80CDF"/>
    <w:rsid w:val="00E812F7"/>
    <w:rsid w:val="00E814EC"/>
    <w:rsid w:val="00E81B74"/>
    <w:rsid w:val="00E81F9C"/>
    <w:rsid w:val="00E81FC8"/>
    <w:rsid w:val="00E82667"/>
    <w:rsid w:val="00E82A57"/>
    <w:rsid w:val="00E82C4F"/>
    <w:rsid w:val="00E82FCA"/>
    <w:rsid w:val="00E831AD"/>
    <w:rsid w:val="00E8361A"/>
    <w:rsid w:val="00E83B04"/>
    <w:rsid w:val="00E83B47"/>
    <w:rsid w:val="00E83C68"/>
    <w:rsid w:val="00E83DB2"/>
    <w:rsid w:val="00E83EBE"/>
    <w:rsid w:val="00E841E6"/>
    <w:rsid w:val="00E84461"/>
    <w:rsid w:val="00E8489E"/>
    <w:rsid w:val="00E84F20"/>
    <w:rsid w:val="00E84FD3"/>
    <w:rsid w:val="00E8512B"/>
    <w:rsid w:val="00E8534D"/>
    <w:rsid w:val="00E85737"/>
    <w:rsid w:val="00E85A14"/>
    <w:rsid w:val="00E85A36"/>
    <w:rsid w:val="00E85AF9"/>
    <w:rsid w:val="00E85C65"/>
    <w:rsid w:val="00E85EFA"/>
    <w:rsid w:val="00E85F09"/>
    <w:rsid w:val="00E86025"/>
    <w:rsid w:val="00E86065"/>
    <w:rsid w:val="00E861D1"/>
    <w:rsid w:val="00E8632C"/>
    <w:rsid w:val="00E8634C"/>
    <w:rsid w:val="00E866CE"/>
    <w:rsid w:val="00E86752"/>
    <w:rsid w:val="00E86773"/>
    <w:rsid w:val="00E86BCC"/>
    <w:rsid w:val="00E86C3B"/>
    <w:rsid w:val="00E873DB"/>
    <w:rsid w:val="00E87710"/>
    <w:rsid w:val="00E87981"/>
    <w:rsid w:val="00E87D1D"/>
    <w:rsid w:val="00E87FB1"/>
    <w:rsid w:val="00E9028C"/>
    <w:rsid w:val="00E90389"/>
    <w:rsid w:val="00E90479"/>
    <w:rsid w:val="00E9078C"/>
    <w:rsid w:val="00E907F5"/>
    <w:rsid w:val="00E90809"/>
    <w:rsid w:val="00E90AFA"/>
    <w:rsid w:val="00E90B1B"/>
    <w:rsid w:val="00E90C40"/>
    <w:rsid w:val="00E90F63"/>
    <w:rsid w:val="00E90FEC"/>
    <w:rsid w:val="00E9104D"/>
    <w:rsid w:val="00E91254"/>
    <w:rsid w:val="00E91313"/>
    <w:rsid w:val="00E9181A"/>
    <w:rsid w:val="00E9192D"/>
    <w:rsid w:val="00E91A10"/>
    <w:rsid w:val="00E91ABE"/>
    <w:rsid w:val="00E91B40"/>
    <w:rsid w:val="00E91DC7"/>
    <w:rsid w:val="00E91EBF"/>
    <w:rsid w:val="00E91FA9"/>
    <w:rsid w:val="00E91FC5"/>
    <w:rsid w:val="00E9221E"/>
    <w:rsid w:val="00E924FD"/>
    <w:rsid w:val="00E92718"/>
    <w:rsid w:val="00E92944"/>
    <w:rsid w:val="00E92CC8"/>
    <w:rsid w:val="00E92EC0"/>
    <w:rsid w:val="00E93080"/>
    <w:rsid w:val="00E93181"/>
    <w:rsid w:val="00E93287"/>
    <w:rsid w:val="00E9347A"/>
    <w:rsid w:val="00E93836"/>
    <w:rsid w:val="00E93AE0"/>
    <w:rsid w:val="00E93B40"/>
    <w:rsid w:val="00E93EC0"/>
    <w:rsid w:val="00E940CC"/>
    <w:rsid w:val="00E945D5"/>
    <w:rsid w:val="00E947BD"/>
    <w:rsid w:val="00E947EA"/>
    <w:rsid w:val="00E948AC"/>
    <w:rsid w:val="00E94985"/>
    <w:rsid w:val="00E94A0F"/>
    <w:rsid w:val="00E94A66"/>
    <w:rsid w:val="00E94DBB"/>
    <w:rsid w:val="00E94E26"/>
    <w:rsid w:val="00E95083"/>
    <w:rsid w:val="00E95097"/>
    <w:rsid w:val="00E9509D"/>
    <w:rsid w:val="00E9555F"/>
    <w:rsid w:val="00E9599D"/>
    <w:rsid w:val="00E95DB4"/>
    <w:rsid w:val="00E96020"/>
    <w:rsid w:val="00E963BD"/>
    <w:rsid w:val="00E965F4"/>
    <w:rsid w:val="00E9662E"/>
    <w:rsid w:val="00E96972"/>
    <w:rsid w:val="00E96BD2"/>
    <w:rsid w:val="00E96E46"/>
    <w:rsid w:val="00E97060"/>
    <w:rsid w:val="00E971D1"/>
    <w:rsid w:val="00E97352"/>
    <w:rsid w:val="00E97386"/>
    <w:rsid w:val="00E97523"/>
    <w:rsid w:val="00E97544"/>
    <w:rsid w:val="00E9783C"/>
    <w:rsid w:val="00E979A0"/>
    <w:rsid w:val="00E97F32"/>
    <w:rsid w:val="00E97F95"/>
    <w:rsid w:val="00EA01D9"/>
    <w:rsid w:val="00EA0259"/>
    <w:rsid w:val="00EA0378"/>
    <w:rsid w:val="00EA04B0"/>
    <w:rsid w:val="00EA05C4"/>
    <w:rsid w:val="00EA0889"/>
    <w:rsid w:val="00EA09A3"/>
    <w:rsid w:val="00EA0C6D"/>
    <w:rsid w:val="00EA0C71"/>
    <w:rsid w:val="00EA0D7F"/>
    <w:rsid w:val="00EA10CC"/>
    <w:rsid w:val="00EA14F2"/>
    <w:rsid w:val="00EA166A"/>
    <w:rsid w:val="00EA1716"/>
    <w:rsid w:val="00EA20B9"/>
    <w:rsid w:val="00EA20EA"/>
    <w:rsid w:val="00EA2350"/>
    <w:rsid w:val="00EA26C1"/>
    <w:rsid w:val="00EA278E"/>
    <w:rsid w:val="00EA29F9"/>
    <w:rsid w:val="00EA2A77"/>
    <w:rsid w:val="00EA2B7F"/>
    <w:rsid w:val="00EA2E58"/>
    <w:rsid w:val="00EA31FB"/>
    <w:rsid w:val="00EA33F6"/>
    <w:rsid w:val="00EA35E7"/>
    <w:rsid w:val="00EA3682"/>
    <w:rsid w:val="00EA3691"/>
    <w:rsid w:val="00EA387D"/>
    <w:rsid w:val="00EA38DC"/>
    <w:rsid w:val="00EA3968"/>
    <w:rsid w:val="00EA39AB"/>
    <w:rsid w:val="00EA3B80"/>
    <w:rsid w:val="00EA3C06"/>
    <w:rsid w:val="00EA3F1A"/>
    <w:rsid w:val="00EA41B8"/>
    <w:rsid w:val="00EA41C5"/>
    <w:rsid w:val="00EA42A7"/>
    <w:rsid w:val="00EA45D2"/>
    <w:rsid w:val="00EA4683"/>
    <w:rsid w:val="00EA46A0"/>
    <w:rsid w:val="00EA46C2"/>
    <w:rsid w:val="00EA4723"/>
    <w:rsid w:val="00EA4A35"/>
    <w:rsid w:val="00EA4AAA"/>
    <w:rsid w:val="00EA4B8D"/>
    <w:rsid w:val="00EA5051"/>
    <w:rsid w:val="00EA52BE"/>
    <w:rsid w:val="00EA53B6"/>
    <w:rsid w:val="00EA5697"/>
    <w:rsid w:val="00EA5D81"/>
    <w:rsid w:val="00EA637D"/>
    <w:rsid w:val="00EA63F5"/>
    <w:rsid w:val="00EA671E"/>
    <w:rsid w:val="00EA6A0B"/>
    <w:rsid w:val="00EA6D4B"/>
    <w:rsid w:val="00EA6E83"/>
    <w:rsid w:val="00EA701D"/>
    <w:rsid w:val="00EA70A3"/>
    <w:rsid w:val="00EA70E3"/>
    <w:rsid w:val="00EA71F6"/>
    <w:rsid w:val="00EA763C"/>
    <w:rsid w:val="00EA774F"/>
    <w:rsid w:val="00EA7834"/>
    <w:rsid w:val="00EA7AFC"/>
    <w:rsid w:val="00EA7CC9"/>
    <w:rsid w:val="00EB02DE"/>
    <w:rsid w:val="00EB042A"/>
    <w:rsid w:val="00EB065C"/>
    <w:rsid w:val="00EB06CE"/>
    <w:rsid w:val="00EB06ED"/>
    <w:rsid w:val="00EB0BD9"/>
    <w:rsid w:val="00EB0C71"/>
    <w:rsid w:val="00EB0C93"/>
    <w:rsid w:val="00EB0F32"/>
    <w:rsid w:val="00EB1356"/>
    <w:rsid w:val="00EB1550"/>
    <w:rsid w:val="00EB195E"/>
    <w:rsid w:val="00EB19AB"/>
    <w:rsid w:val="00EB1DCC"/>
    <w:rsid w:val="00EB217E"/>
    <w:rsid w:val="00EB264F"/>
    <w:rsid w:val="00EB2710"/>
    <w:rsid w:val="00EB2AE8"/>
    <w:rsid w:val="00EB342C"/>
    <w:rsid w:val="00EB3809"/>
    <w:rsid w:val="00EB381B"/>
    <w:rsid w:val="00EB3936"/>
    <w:rsid w:val="00EB3965"/>
    <w:rsid w:val="00EB3A1A"/>
    <w:rsid w:val="00EB3A3C"/>
    <w:rsid w:val="00EB3E2D"/>
    <w:rsid w:val="00EB3FE7"/>
    <w:rsid w:val="00EB4019"/>
    <w:rsid w:val="00EB44C8"/>
    <w:rsid w:val="00EB45EC"/>
    <w:rsid w:val="00EB461A"/>
    <w:rsid w:val="00EB4B02"/>
    <w:rsid w:val="00EB4BAC"/>
    <w:rsid w:val="00EB4C08"/>
    <w:rsid w:val="00EB4C46"/>
    <w:rsid w:val="00EB4EEF"/>
    <w:rsid w:val="00EB5187"/>
    <w:rsid w:val="00EB5212"/>
    <w:rsid w:val="00EB5266"/>
    <w:rsid w:val="00EB5397"/>
    <w:rsid w:val="00EB53F9"/>
    <w:rsid w:val="00EB5467"/>
    <w:rsid w:val="00EB571A"/>
    <w:rsid w:val="00EB5A0C"/>
    <w:rsid w:val="00EB5C30"/>
    <w:rsid w:val="00EB5C5D"/>
    <w:rsid w:val="00EB6003"/>
    <w:rsid w:val="00EB66DF"/>
    <w:rsid w:val="00EB67A6"/>
    <w:rsid w:val="00EB7019"/>
    <w:rsid w:val="00EB73E5"/>
    <w:rsid w:val="00EB75A9"/>
    <w:rsid w:val="00EB76B5"/>
    <w:rsid w:val="00EB7F77"/>
    <w:rsid w:val="00EC0262"/>
    <w:rsid w:val="00EC042D"/>
    <w:rsid w:val="00EC0639"/>
    <w:rsid w:val="00EC06C6"/>
    <w:rsid w:val="00EC0A2D"/>
    <w:rsid w:val="00EC0A65"/>
    <w:rsid w:val="00EC0AAC"/>
    <w:rsid w:val="00EC0DAB"/>
    <w:rsid w:val="00EC102F"/>
    <w:rsid w:val="00EC113F"/>
    <w:rsid w:val="00EC131C"/>
    <w:rsid w:val="00EC149B"/>
    <w:rsid w:val="00EC1CE5"/>
    <w:rsid w:val="00EC2163"/>
    <w:rsid w:val="00EC2165"/>
    <w:rsid w:val="00EC2260"/>
    <w:rsid w:val="00EC259F"/>
    <w:rsid w:val="00EC264A"/>
    <w:rsid w:val="00EC29A8"/>
    <w:rsid w:val="00EC2E81"/>
    <w:rsid w:val="00EC321A"/>
    <w:rsid w:val="00EC3360"/>
    <w:rsid w:val="00EC3464"/>
    <w:rsid w:val="00EC3465"/>
    <w:rsid w:val="00EC35E4"/>
    <w:rsid w:val="00EC36DF"/>
    <w:rsid w:val="00EC3842"/>
    <w:rsid w:val="00EC3BFF"/>
    <w:rsid w:val="00EC3C1C"/>
    <w:rsid w:val="00EC3F10"/>
    <w:rsid w:val="00EC4187"/>
    <w:rsid w:val="00EC43D5"/>
    <w:rsid w:val="00EC46B0"/>
    <w:rsid w:val="00EC4C0A"/>
    <w:rsid w:val="00EC5479"/>
    <w:rsid w:val="00EC5544"/>
    <w:rsid w:val="00EC5BE4"/>
    <w:rsid w:val="00EC5D16"/>
    <w:rsid w:val="00EC5DAE"/>
    <w:rsid w:val="00EC5FE1"/>
    <w:rsid w:val="00EC665B"/>
    <w:rsid w:val="00EC6692"/>
    <w:rsid w:val="00EC66EE"/>
    <w:rsid w:val="00EC712D"/>
    <w:rsid w:val="00EC71C5"/>
    <w:rsid w:val="00EC7538"/>
    <w:rsid w:val="00EC7566"/>
    <w:rsid w:val="00EC7586"/>
    <w:rsid w:val="00EC780F"/>
    <w:rsid w:val="00EC78E8"/>
    <w:rsid w:val="00EC797E"/>
    <w:rsid w:val="00EC7E37"/>
    <w:rsid w:val="00ED00B8"/>
    <w:rsid w:val="00ED00FD"/>
    <w:rsid w:val="00ED0466"/>
    <w:rsid w:val="00ED0504"/>
    <w:rsid w:val="00ED0509"/>
    <w:rsid w:val="00ED0B42"/>
    <w:rsid w:val="00ED0DD0"/>
    <w:rsid w:val="00ED0F3D"/>
    <w:rsid w:val="00ED10F0"/>
    <w:rsid w:val="00ED123D"/>
    <w:rsid w:val="00ED12B1"/>
    <w:rsid w:val="00ED1384"/>
    <w:rsid w:val="00ED16A9"/>
    <w:rsid w:val="00ED17B7"/>
    <w:rsid w:val="00ED19C8"/>
    <w:rsid w:val="00ED1B9F"/>
    <w:rsid w:val="00ED1BA4"/>
    <w:rsid w:val="00ED1D36"/>
    <w:rsid w:val="00ED1D52"/>
    <w:rsid w:val="00ED1DA2"/>
    <w:rsid w:val="00ED23FB"/>
    <w:rsid w:val="00ED24A6"/>
    <w:rsid w:val="00ED24D6"/>
    <w:rsid w:val="00ED280D"/>
    <w:rsid w:val="00ED2963"/>
    <w:rsid w:val="00ED29D3"/>
    <w:rsid w:val="00ED2AF7"/>
    <w:rsid w:val="00ED2B0A"/>
    <w:rsid w:val="00ED2BE9"/>
    <w:rsid w:val="00ED2F51"/>
    <w:rsid w:val="00ED3560"/>
    <w:rsid w:val="00ED38CB"/>
    <w:rsid w:val="00ED3986"/>
    <w:rsid w:val="00ED3A9E"/>
    <w:rsid w:val="00ED3FEB"/>
    <w:rsid w:val="00ED4122"/>
    <w:rsid w:val="00ED4333"/>
    <w:rsid w:val="00ED4352"/>
    <w:rsid w:val="00ED4679"/>
    <w:rsid w:val="00ED4903"/>
    <w:rsid w:val="00ED4929"/>
    <w:rsid w:val="00ED4D0B"/>
    <w:rsid w:val="00ED50D2"/>
    <w:rsid w:val="00ED535F"/>
    <w:rsid w:val="00ED53C7"/>
    <w:rsid w:val="00ED5443"/>
    <w:rsid w:val="00ED571F"/>
    <w:rsid w:val="00ED5861"/>
    <w:rsid w:val="00ED587B"/>
    <w:rsid w:val="00ED58B4"/>
    <w:rsid w:val="00ED5902"/>
    <w:rsid w:val="00ED5B41"/>
    <w:rsid w:val="00ED5B75"/>
    <w:rsid w:val="00ED5DAE"/>
    <w:rsid w:val="00ED5DF1"/>
    <w:rsid w:val="00ED5EFD"/>
    <w:rsid w:val="00ED654E"/>
    <w:rsid w:val="00ED6736"/>
    <w:rsid w:val="00ED6841"/>
    <w:rsid w:val="00ED6A76"/>
    <w:rsid w:val="00ED6AAF"/>
    <w:rsid w:val="00ED6C43"/>
    <w:rsid w:val="00ED6E5A"/>
    <w:rsid w:val="00ED6EAE"/>
    <w:rsid w:val="00ED6F3A"/>
    <w:rsid w:val="00ED702A"/>
    <w:rsid w:val="00ED73CD"/>
    <w:rsid w:val="00ED755F"/>
    <w:rsid w:val="00ED7A59"/>
    <w:rsid w:val="00ED7B49"/>
    <w:rsid w:val="00ED7B6F"/>
    <w:rsid w:val="00ED7D45"/>
    <w:rsid w:val="00ED7D7B"/>
    <w:rsid w:val="00ED7FB6"/>
    <w:rsid w:val="00ED7FF2"/>
    <w:rsid w:val="00EE005D"/>
    <w:rsid w:val="00EE02C5"/>
    <w:rsid w:val="00EE0388"/>
    <w:rsid w:val="00EE0CFE"/>
    <w:rsid w:val="00EE0F5C"/>
    <w:rsid w:val="00EE1054"/>
    <w:rsid w:val="00EE1167"/>
    <w:rsid w:val="00EE136A"/>
    <w:rsid w:val="00EE1677"/>
    <w:rsid w:val="00EE16D0"/>
    <w:rsid w:val="00EE1997"/>
    <w:rsid w:val="00EE1B6F"/>
    <w:rsid w:val="00EE1FF1"/>
    <w:rsid w:val="00EE2511"/>
    <w:rsid w:val="00EE26CD"/>
    <w:rsid w:val="00EE27ED"/>
    <w:rsid w:val="00EE28D5"/>
    <w:rsid w:val="00EE2959"/>
    <w:rsid w:val="00EE2A64"/>
    <w:rsid w:val="00EE2B2C"/>
    <w:rsid w:val="00EE2B7D"/>
    <w:rsid w:val="00EE2BD6"/>
    <w:rsid w:val="00EE3162"/>
    <w:rsid w:val="00EE334D"/>
    <w:rsid w:val="00EE33D1"/>
    <w:rsid w:val="00EE3659"/>
    <w:rsid w:val="00EE367B"/>
    <w:rsid w:val="00EE373D"/>
    <w:rsid w:val="00EE376D"/>
    <w:rsid w:val="00EE3817"/>
    <w:rsid w:val="00EE3839"/>
    <w:rsid w:val="00EE3873"/>
    <w:rsid w:val="00EE395E"/>
    <w:rsid w:val="00EE3A89"/>
    <w:rsid w:val="00EE3B03"/>
    <w:rsid w:val="00EE3B8C"/>
    <w:rsid w:val="00EE3B9D"/>
    <w:rsid w:val="00EE3E8F"/>
    <w:rsid w:val="00EE41BE"/>
    <w:rsid w:val="00EE43A2"/>
    <w:rsid w:val="00EE44E1"/>
    <w:rsid w:val="00EE455C"/>
    <w:rsid w:val="00EE470F"/>
    <w:rsid w:val="00EE47FA"/>
    <w:rsid w:val="00EE4976"/>
    <w:rsid w:val="00EE4C39"/>
    <w:rsid w:val="00EE4C3C"/>
    <w:rsid w:val="00EE4C47"/>
    <w:rsid w:val="00EE4D38"/>
    <w:rsid w:val="00EE51D6"/>
    <w:rsid w:val="00EE51EF"/>
    <w:rsid w:val="00EE5400"/>
    <w:rsid w:val="00EE5526"/>
    <w:rsid w:val="00EE5A9D"/>
    <w:rsid w:val="00EE5E50"/>
    <w:rsid w:val="00EE62D1"/>
    <w:rsid w:val="00EE62DF"/>
    <w:rsid w:val="00EE63F9"/>
    <w:rsid w:val="00EE6408"/>
    <w:rsid w:val="00EE66B1"/>
    <w:rsid w:val="00EE673D"/>
    <w:rsid w:val="00EE6A4A"/>
    <w:rsid w:val="00EE6F02"/>
    <w:rsid w:val="00EE7280"/>
    <w:rsid w:val="00EE7551"/>
    <w:rsid w:val="00EE7CA3"/>
    <w:rsid w:val="00EE7EAA"/>
    <w:rsid w:val="00EF0246"/>
    <w:rsid w:val="00EF0507"/>
    <w:rsid w:val="00EF0B55"/>
    <w:rsid w:val="00EF0C3E"/>
    <w:rsid w:val="00EF0DE2"/>
    <w:rsid w:val="00EF1020"/>
    <w:rsid w:val="00EF10EE"/>
    <w:rsid w:val="00EF182A"/>
    <w:rsid w:val="00EF1CC3"/>
    <w:rsid w:val="00EF1F14"/>
    <w:rsid w:val="00EF2033"/>
    <w:rsid w:val="00EF24DE"/>
    <w:rsid w:val="00EF25DD"/>
    <w:rsid w:val="00EF284B"/>
    <w:rsid w:val="00EF2941"/>
    <w:rsid w:val="00EF2AA5"/>
    <w:rsid w:val="00EF2C26"/>
    <w:rsid w:val="00EF3147"/>
    <w:rsid w:val="00EF3300"/>
    <w:rsid w:val="00EF3310"/>
    <w:rsid w:val="00EF3866"/>
    <w:rsid w:val="00EF3B5B"/>
    <w:rsid w:val="00EF3C54"/>
    <w:rsid w:val="00EF3D55"/>
    <w:rsid w:val="00EF3DBA"/>
    <w:rsid w:val="00EF3E2A"/>
    <w:rsid w:val="00EF3EC3"/>
    <w:rsid w:val="00EF432B"/>
    <w:rsid w:val="00EF45A8"/>
    <w:rsid w:val="00EF4E4A"/>
    <w:rsid w:val="00EF4EE7"/>
    <w:rsid w:val="00EF50F0"/>
    <w:rsid w:val="00EF5221"/>
    <w:rsid w:val="00EF55D7"/>
    <w:rsid w:val="00EF58F5"/>
    <w:rsid w:val="00EF591A"/>
    <w:rsid w:val="00EF5E4A"/>
    <w:rsid w:val="00EF5F38"/>
    <w:rsid w:val="00EF628D"/>
    <w:rsid w:val="00EF62BE"/>
    <w:rsid w:val="00EF6576"/>
    <w:rsid w:val="00EF6581"/>
    <w:rsid w:val="00EF65B0"/>
    <w:rsid w:val="00EF670E"/>
    <w:rsid w:val="00EF6FCB"/>
    <w:rsid w:val="00EF723D"/>
    <w:rsid w:val="00EF7280"/>
    <w:rsid w:val="00EF74BE"/>
    <w:rsid w:val="00EF751E"/>
    <w:rsid w:val="00EF7A34"/>
    <w:rsid w:val="00EF7B9B"/>
    <w:rsid w:val="00EF7F3C"/>
    <w:rsid w:val="00F00216"/>
    <w:rsid w:val="00F00480"/>
    <w:rsid w:val="00F0065C"/>
    <w:rsid w:val="00F006E3"/>
    <w:rsid w:val="00F0079C"/>
    <w:rsid w:val="00F009B4"/>
    <w:rsid w:val="00F009D6"/>
    <w:rsid w:val="00F00CB9"/>
    <w:rsid w:val="00F00E54"/>
    <w:rsid w:val="00F01068"/>
    <w:rsid w:val="00F010EF"/>
    <w:rsid w:val="00F0115A"/>
    <w:rsid w:val="00F011F4"/>
    <w:rsid w:val="00F01320"/>
    <w:rsid w:val="00F0136F"/>
    <w:rsid w:val="00F01893"/>
    <w:rsid w:val="00F01A93"/>
    <w:rsid w:val="00F01DEC"/>
    <w:rsid w:val="00F01E0A"/>
    <w:rsid w:val="00F01EEE"/>
    <w:rsid w:val="00F01FD4"/>
    <w:rsid w:val="00F022AC"/>
    <w:rsid w:val="00F02483"/>
    <w:rsid w:val="00F02839"/>
    <w:rsid w:val="00F0292F"/>
    <w:rsid w:val="00F0296F"/>
    <w:rsid w:val="00F02A62"/>
    <w:rsid w:val="00F02BEB"/>
    <w:rsid w:val="00F02EDE"/>
    <w:rsid w:val="00F031F4"/>
    <w:rsid w:val="00F03A2C"/>
    <w:rsid w:val="00F03D77"/>
    <w:rsid w:val="00F03D93"/>
    <w:rsid w:val="00F0429A"/>
    <w:rsid w:val="00F042DE"/>
    <w:rsid w:val="00F043FE"/>
    <w:rsid w:val="00F0446C"/>
    <w:rsid w:val="00F048D2"/>
    <w:rsid w:val="00F04AE2"/>
    <w:rsid w:val="00F04C41"/>
    <w:rsid w:val="00F04F54"/>
    <w:rsid w:val="00F05115"/>
    <w:rsid w:val="00F051A6"/>
    <w:rsid w:val="00F0547C"/>
    <w:rsid w:val="00F05551"/>
    <w:rsid w:val="00F058B0"/>
    <w:rsid w:val="00F059F5"/>
    <w:rsid w:val="00F05C6D"/>
    <w:rsid w:val="00F05CD2"/>
    <w:rsid w:val="00F05D39"/>
    <w:rsid w:val="00F05F7E"/>
    <w:rsid w:val="00F05F96"/>
    <w:rsid w:val="00F05FF3"/>
    <w:rsid w:val="00F060A4"/>
    <w:rsid w:val="00F061E2"/>
    <w:rsid w:val="00F067A7"/>
    <w:rsid w:val="00F067B3"/>
    <w:rsid w:val="00F06BEF"/>
    <w:rsid w:val="00F06CE8"/>
    <w:rsid w:val="00F06D4D"/>
    <w:rsid w:val="00F06E4D"/>
    <w:rsid w:val="00F07120"/>
    <w:rsid w:val="00F07544"/>
    <w:rsid w:val="00F075E4"/>
    <w:rsid w:val="00F07618"/>
    <w:rsid w:val="00F07699"/>
    <w:rsid w:val="00F07793"/>
    <w:rsid w:val="00F0780E"/>
    <w:rsid w:val="00F07857"/>
    <w:rsid w:val="00F078D6"/>
    <w:rsid w:val="00F079A4"/>
    <w:rsid w:val="00F07A6A"/>
    <w:rsid w:val="00F07D7C"/>
    <w:rsid w:val="00F1066F"/>
    <w:rsid w:val="00F108F5"/>
    <w:rsid w:val="00F109A6"/>
    <w:rsid w:val="00F10B88"/>
    <w:rsid w:val="00F10C1F"/>
    <w:rsid w:val="00F10C5A"/>
    <w:rsid w:val="00F10ED2"/>
    <w:rsid w:val="00F10F8E"/>
    <w:rsid w:val="00F111C5"/>
    <w:rsid w:val="00F11257"/>
    <w:rsid w:val="00F112CE"/>
    <w:rsid w:val="00F112D9"/>
    <w:rsid w:val="00F11481"/>
    <w:rsid w:val="00F1158A"/>
    <w:rsid w:val="00F115BC"/>
    <w:rsid w:val="00F1167B"/>
    <w:rsid w:val="00F11710"/>
    <w:rsid w:val="00F11855"/>
    <w:rsid w:val="00F11EFF"/>
    <w:rsid w:val="00F11FA6"/>
    <w:rsid w:val="00F123AC"/>
    <w:rsid w:val="00F1268A"/>
    <w:rsid w:val="00F12A74"/>
    <w:rsid w:val="00F12B4F"/>
    <w:rsid w:val="00F12CCA"/>
    <w:rsid w:val="00F13608"/>
    <w:rsid w:val="00F1369D"/>
    <w:rsid w:val="00F136F7"/>
    <w:rsid w:val="00F1377E"/>
    <w:rsid w:val="00F13B99"/>
    <w:rsid w:val="00F13FFE"/>
    <w:rsid w:val="00F14408"/>
    <w:rsid w:val="00F1449E"/>
    <w:rsid w:val="00F145D4"/>
    <w:rsid w:val="00F145F7"/>
    <w:rsid w:val="00F14663"/>
    <w:rsid w:val="00F14820"/>
    <w:rsid w:val="00F14C57"/>
    <w:rsid w:val="00F14D7E"/>
    <w:rsid w:val="00F14DE6"/>
    <w:rsid w:val="00F14EC7"/>
    <w:rsid w:val="00F1500A"/>
    <w:rsid w:val="00F152DF"/>
    <w:rsid w:val="00F15A13"/>
    <w:rsid w:val="00F15A40"/>
    <w:rsid w:val="00F15ADF"/>
    <w:rsid w:val="00F15B5F"/>
    <w:rsid w:val="00F16073"/>
    <w:rsid w:val="00F160A6"/>
    <w:rsid w:val="00F160C9"/>
    <w:rsid w:val="00F1611A"/>
    <w:rsid w:val="00F161FD"/>
    <w:rsid w:val="00F1632F"/>
    <w:rsid w:val="00F163AB"/>
    <w:rsid w:val="00F16C76"/>
    <w:rsid w:val="00F16CC6"/>
    <w:rsid w:val="00F16D5B"/>
    <w:rsid w:val="00F172CC"/>
    <w:rsid w:val="00F17397"/>
    <w:rsid w:val="00F1742E"/>
    <w:rsid w:val="00F17507"/>
    <w:rsid w:val="00F17649"/>
    <w:rsid w:val="00F1791A"/>
    <w:rsid w:val="00F179FE"/>
    <w:rsid w:val="00F17B49"/>
    <w:rsid w:val="00F17BF9"/>
    <w:rsid w:val="00F17CB6"/>
    <w:rsid w:val="00F206DF"/>
    <w:rsid w:val="00F20715"/>
    <w:rsid w:val="00F20B8D"/>
    <w:rsid w:val="00F20C80"/>
    <w:rsid w:val="00F20D5A"/>
    <w:rsid w:val="00F212C9"/>
    <w:rsid w:val="00F21917"/>
    <w:rsid w:val="00F21C3C"/>
    <w:rsid w:val="00F21C7D"/>
    <w:rsid w:val="00F21DE5"/>
    <w:rsid w:val="00F221BB"/>
    <w:rsid w:val="00F22762"/>
    <w:rsid w:val="00F228E6"/>
    <w:rsid w:val="00F229BA"/>
    <w:rsid w:val="00F22B22"/>
    <w:rsid w:val="00F22C19"/>
    <w:rsid w:val="00F22C6B"/>
    <w:rsid w:val="00F22D60"/>
    <w:rsid w:val="00F22ED7"/>
    <w:rsid w:val="00F22F8A"/>
    <w:rsid w:val="00F22FB8"/>
    <w:rsid w:val="00F2322E"/>
    <w:rsid w:val="00F232B2"/>
    <w:rsid w:val="00F232C4"/>
    <w:rsid w:val="00F234AF"/>
    <w:rsid w:val="00F235E3"/>
    <w:rsid w:val="00F23A13"/>
    <w:rsid w:val="00F23AA1"/>
    <w:rsid w:val="00F23B96"/>
    <w:rsid w:val="00F23B9E"/>
    <w:rsid w:val="00F23F8B"/>
    <w:rsid w:val="00F2400F"/>
    <w:rsid w:val="00F24125"/>
    <w:rsid w:val="00F245B5"/>
    <w:rsid w:val="00F24AA7"/>
    <w:rsid w:val="00F24AEA"/>
    <w:rsid w:val="00F24B5C"/>
    <w:rsid w:val="00F24BBD"/>
    <w:rsid w:val="00F24C4C"/>
    <w:rsid w:val="00F24C4E"/>
    <w:rsid w:val="00F24D55"/>
    <w:rsid w:val="00F24DD6"/>
    <w:rsid w:val="00F250EF"/>
    <w:rsid w:val="00F2528E"/>
    <w:rsid w:val="00F2538A"/>
    <w:rsid w:val="00F2541E"/>
    <w:rsid w:val="00F2555B"/>
    <w:rsid w:val="00F25757"/>
    <w:rsid w:val="00F25896"/>
    <w:rsid w:val="00F258EB"/>
    <w:rsid w:val="00F25AB1"/>
    <w:rsid w:val="00F25B3B"/>
    <w:rsid w:val="00F25C1E"/>
    <w:rsid w:val="00F25CC2"/>
    <w:rsid w:val="00F25D97"/>
    <w:rsid w:val="00F26001"/>
    <w:rsid w:val="00F26390"/>
    <w:rsid w:val="00F263E2"/>
    <w:rsid w:val="00F26545"/>
    <w:rsid w:val="00F269D7"/>
    <w:rsid w:val="00F26E5C"/>
    <w:rsid w:val="00F26F52"/>
    <w:rsid w:val="00F270B2"/>
    <w:rsid w:val="00F273AA"/>
    <w:rsid w:val="00F2750B"/>
    <w:rsid w:val="00F2754C"/>
    <w:rsid w:val="00F276A0"/>
    <w:rsid w:val="00F2770C"/>
    <w:rsid w:val="00F27728"/>
    <w:rsid w:val="00F27AAF"/>
    <w:rsid w:val="00F27BA1"/>
    <w:rsid w:val="00F27DCA"/>
    <w:rsid w:val="00F3056D"/>
    <w:rsid w:val="00F307B1"/>
    <w:rsid w:val="00F30883"/>
    <w:rsid w:val="00F308C2"/>
    <w:rsid w:val="00F309E9"/>
    <w:rsid w:val="00F309F6"/>
    <w:rsid w:val="00F30BD0"/>
    <w:rsid w:val="00F30E10"/>
    <w:rsid w:val="00F313FA"/>
    <w:rsid w:val="00F31713"/>
    <w:rsid w:val="00F317E1"/>
    <w:rsid w:val="00F3180C"/>
    <w:rsid w:val="00F31881"/>
    <w:rsid w:val="00F31897"/>
    <w:rsid w:val="00F31AC3"/>
    <w:rsid w:val="00F31B4C"/>
    <w:rsid w:val="00F31F55"/>
    <w:rsid w:val="00F321C3"/>
    <w:rsid w:val="00F322BE"/>
    <w:rsid w:val="00F322E1"/>
    <w:rsid w:val="00F322FA"/>
    <w:rsid w:val="00F32301"/>
    <w:rsid w:val="00F324A3"/>
    <w:rsid w:val="00F32F42"/>
    <w:rsid w:val="00F330CD"/>
    <w:rsid w:val="00F330D8"/>
    <w:rsid w:val="00F33168"/>
    <w:rsid w:val="00F33265"/>
    <w:rsid w:val="00F33726"/>
    <w:rsid w:val="00F33966"/>
    <w:rsid w:val="00F33A09"/>
    <w:rsid w:val="00F33C77"/>
    <w:rsid w:val="00F33E93"/>
    <w:rsid w:val="00F34141"/>
    <w:rsid w:val="00F3425B"/>
    <w:rsid w:val="00F3433E"/>
    <w:rsid w:val="00F34693"/>
    <w:rsid w:val="00F34761"/>
    <w:rsid w:val="00F34A6B"/>
    <w:rsid w:val="00F34D6A"/>
    <w:rsid w:val="00F34EC0"/>
    <w:rsid w:val="00F3522B"/>
    <w:rsid w:val="00F35710"/>
    <w:rsid w:val="00F35762"/>
    <w:rsid w:val="00F36124"/>
    <w:rsid w:val="00F36291"/>
    <w:rsid w:val="00F364A2"/>
    <w:rsid w:val="00F364B6"/>
    <w:rsid w:val="00F36662"/>
    <w:rsid w:val="00F36702"/>
    <w:rsid w:val="00F3692D"/>
    <w:rsid w:val="00F36967"/>
    <w:rsid w:val="00F36B92"/>
    <w:rsid w:val="00F36C18"/>
    <w:rsid w:val="00F36CD3"/>
    <w:rsid w:val="00F36D7A"/>
    <w:rsid w:val="00F372D9"/>
    <w:rsid w:val="00F37627"/>
    <w:rsid w:val="00F3778D"/>
    <w:rsid w:val="00F37C49"/>
    <w:rsid w:val="00F37C7D"/>
    <w:rsid w:val="00F37CF7"/>
    <w:rsid w:val="00F37E7D"/>
    <w:rsid w:val="00F37E98"/>
    <w:rsid w:val="00F40064"/>
    <w:rsid w:val="00F4029F"/>
    <w:rsid w:val="00F40361"/>
    <w:rsid w:val="00F4042D"/>
    <w:rsid w:val="00F40849"/>
    <w:rsid w:val="00F40CBE"/>
    <w:rsid w:val="00F40D78"/>
    <w:rsid w:val="00F40E4D"/>
    <w:rsid w:val="00F410C8"/>
    <w:rsid w:val="00F4115C"/>
    <w:rsid w:val="00F41212"/>
    <w:rsid w:val="00F412E7"/>
    <w:rsid w:val="00F41447"/>
    <w:rsid w:val="00F4147F"/>
    <w:rsid w:val="00F415BC"/>
    <w:rsid w:val="00F41786"/>
    <w:rsid w:val="00F41937"/>
    <w:rsid w:val="00F419C3"/>
    <w:rsid w:val="00F41A34"/>
    <w:rsid w:val="00F41ACE"/>
    <w:rsid w:val="00F41E07"/>
    <w:rsid w:val="00F42396"/>
    <w:rsid w:val="00F425D8"/>
    <w:rsid w:val="00F425EE"/>
    <w:rsid w:val="00F4261C"/>
    <w:rsid w:val="00F427A8"/>
    <w:rsid w:val="00F427F6"/>
    <w:rsid w:val="00F42B10"/>
    <w:rsid w:val="00F42BA6"/>
    <w:rsid w:val="00F42E22"/>
    <w:rsid w:val="00F42E74"/>
    <w:rsid w:val="00F42E82"/>
    <w:rsid w:val="00F433C3"/>
    <w:rsid w:val="00F436B9"/>
    <w:rsid w:val="00F439B8"/>
    <w:rsid w:val="00F43A91"/>
    <w:rsid w:val="00F43DFC"/>
    <w:rsid w:val="00F4402D"/>
    <w:rsid w:val="00F44323"/>
    <w:rsid w:val="00F443EB"/>
    <w:rsid w:val="00F44465"/>
    <w:rsid w:val="00F445CB"/>
    <w:rsid w:val="00F44931"/>
    <w:rsid w:val="00F44D7E"/>
    <w:rsid w:val="00F44DB1"/>
    <w:rsid w:val="00F44FC7"/>
    <w:rsid w:val="00F45071"/>
    <w:rsid w:val="00F4508D"/>
    <w:rsid w:val="00F4537B"/>
    <w:rsid w:val="00F455FA"/>
    <w:rsid w:val="00F4578E"/>
    <w:rsid w:val="00F459AF"/>
    <w:rsid w:val="00F45D7C"/>
    <w:rsid w:val="00F45DE0"/>
    <w:rsid w:val="00F45F96"/>
    <w:rsid w:val="00F4603C"/>
    <w:rsid w:val="00F46142"/>
    <w:rsid w:val="00F4620E"/>
    <w:rsid w:val="00F4621E"/>
    <w:rsid w:val="00F4625B"/>
    <w:rsid w:val="00F4679D"/>
    <w:rsid w:val="00F46843"/>
    <w:rsid w:val="00F46D9B"/>
    <w:rsid w:val="00F46DB4"/>
    <w:rsid w:val="00F46EE4"/>
    <w:rsid w:val="00F46FB4"/>
    <w:rsid w:val="00F4715C"/>
    <w:rsid w:val="00F47327"/>
    <w:rsid w:val="00F4779A"/>
    <w:rsid w:val="00F47D73"/>
    <w:rsid w:val="00F47EF5"/>
    <w:rsid w:val="00F47F84"/>
    <w:rsid w:val="00F501D4"/>
    <w:rsid w:val="00F50AD9"/>
    <w:rsid w:val="00F50F92"/>
    <w:rsid w:val="00F51393"/>
    <w:rsid w:val="00F513B2"/>
    <w:rsid w:val="00F516C6"/>
    <w:rsid w:val="00F516DA"/>
    <w:rsid w:val="00F519F4"/>
    <w:rsid w:val="00F519F5"/>
    <w:rsid w:val="00F51A79"/>
    <w:rsid w:val="00F51D1D"/>
    <w:rsid w:val="00F51D43"/>
    <w:rsid w:val="00F51EC9"/>
    <w:rsid w:val="00F51FDD"/>
    <w:rsid w:val="00F52294"/>
    <w:rsid w:val="00F52332"/>
    <w:rsid w:val="00F5256C"/>
    <w:rsid w:val="00F52650"/>
    <w:rsid w:val="00F5287D"/>
    <w:rsid w:val="00F52ACE"/>
    <w:rsid w:val="00F52B14"/>
    <w:rsid w:val="00F534C3"/>
    <w:rsid w:val="00F53617"/>
    <w:rsid w:val="00F5367F"/>
    <w:rsid w:val="00F537EA"/>
    <w:rsid w:val="00F538F4"/>
    <w:rsid w:val="00F53A76"/>
    <w:rsid w:val="00F53D20"/>
    <w:rsid w:val="00F53E3C"/>
    <w:rsid w:val="00F53E78"/>
    <w:rsid w:val="00F53F2D"/>
    <w:rsid w:val="00F546A3"/>
    <w:rsid w:val="00F546B5"/>
    <w:rsid w:val="00F54A64"/>
    <w:rsid w:val="00F54F6D"/>
    <w:rsid w:val="00F54FAC"/>
    <w:rsid w:val="00F55109"/>
    <w:rsid w:val="00F552CA"/>
    <w:rsid w:val="00F553E8"/>
    <w:rsid w:val="00F553EB"/>
    <w:rsid w:val="00F55A75"/>
    <w:rsid w:val="00F55EF8"/>
    <w:rsid w:val="00F55FC3"/>
    <w:rsid w:val="00F5610C"/>
    <w:rsid w:val="00F56214"/>
    <w:rsid w:val="00F5621F"/>
    <w:rsid w:val="00F56716"/>
    <w:rsid w:val="00F567D0"/>
    <w:rsid w:val="00F56F45"/>
    <w:rsid w:val="00F57051"/>
    <w:rsid w:val="00F57563"/>
    <w:rsid w:val="00F575E3"/>
    <w:rsid w:val="00F5778B"/>
    <w:rsid w:val="00F57792"/>
    <w:rsid w:val="00F57B1D"/>
    <w:rsid w:val="00F57B26"/>
    <w:rsid w:val="00F57E38"/>
    <w:rsid w:val="00F6045F"/>
    <w:rsid w:val="00F60736"/>
    <w:rsid w:val="00F60A47"/>
    <w:rsid w:val="00F60AA2"/>
    <w:rsid w:val="00F60B79"/>
    <w:rsid w:val="00F60CE3"/>
    <w:rsid w:val="00F60D6F"/>
    <w:rsid w:val="00F60F5B"/>
    <w:rsid w:val="00F6132B"/>
    <w:rsid w:val="00F61381"/>
    <w:rsid w:val="00F6145C"/>
    <w:rsid w:val="00F61541"/>
    <w:rsid w:val="00F6157A"/>
    <w:rsid w:val="00F6158A"/>
    <w:rsid w:val="00F6179F"/>
    <w:rsid w:val="00F61886"/>
    <w:rsid w:val="00F619CD"/>
    <w:rsid w:val="00F61A5F"/>
    <w:rsid w:val="00F61AD6"/>
    <w:rsid w:val="00F61B76"/>
    <w:rsid w:val="00F61C42"/>
    <w:rsid w:val="00F62053"/>
    <w:rsid w:val="00F620B1"/>
    <w:rsid w:val="00F62253"/>
    <w:rsid w:val="00F62361"/>
    <w:rsid w:val="00F62463"/>
    <w:rsid w:val="00F62573"/>
    <w:rsid w:val="00F6261C"/>
    <w:rsid w:val="00F62798"/>
    <w:rsid w:val="00F629FF"/>
    <w:rsid w:val="00F62A42"/>
    <w:rsid w:val="00F62F8F"/>
    <w:rsid w:val="00F63045"/>
    <w:rsid w:val="00F630D1"/>
    <w:rsid w:val="00F633CC"/>
    <w:rsid w:val="00F63569"/>
    <w:rsid w:val="00F6357B"/>
    <w:rsid w:val="00F63709"/>
    <w:rsid w:val="00F63D03"/>
    <w:rsid w:val="00F63EB9"/>
    <w:rsid w:val="00F63FC4"/>
    <w:rsid w:val="00F641DB"/>
    <w:rsid w:val="00F64269"/>
    <w:rsid w:val="00F64323"/>
    <w:rsid w:val="00F64366"/>
    <w:rsid w:val="00F64525"/>
    <w:rsid w:val="00F64538"/>
    <w:rsid w:val="00F64609"/>
    <w:rsid w:val="00F64639"/>
    <w:rsid w:val="00F64785"/>
    <w:rsid w:val="00F649C7"/>
    <w:rsid w:val="00F64B24"/>
    <w:rsid w:val="00F64B8C"/>
    <w:rsid w:val="00F64C1E"/>
    <w:rsid w:val="00F64C4F"/>
    <w:rsid w:val="00F64D4F"/>
    <w:rsid w:val="00F64F84"/>
    <w:rsid w:val="00F64FCD"/>
    <w:rsid w:val="00F6523B"/>
    <w:rsid w:val="00F6528A"/>
    <w:rsid w:val="00F65AA4"/>
    <w:rsid w:val="00F65BEC"/>
    <w:rsid w:val="00F65BFE"/>
    <w:rsid w:val="00F65C7A"/>
    <w:rsid w:val="00F66551"/>
    <w:rsid w:val="00F665A5"/>
    <w:rsid w:val="00F66807"/>
    <w:rsid w:val="00F669DE"/>
    <w:rsid w:val="00F6724C"/>
    <w:rsid w:val="00F6746A"/>
    <w:rsid w:val="00F674F9"/>
    <w:rsid w:val="00F67CF4"/>
    <w:rsid w:val="00F67D3E"/>
    <w:rsid w:val="00F67E15"/>
    <w:rsid w:val="00F70097"/>
    <w:rsid w:val="00F700B1"/>
    <w:rsid w:val="00F7012C"/>
    <w:rsid w:val="00F703B4"/>
    <w:rsid w:val="00F708F1"/>
    <w:rsid w:val="00F70D9F"/>
    <w:rsid w:val="00F70DED"/>
    <w:rsid w:val="00F70E40"/>
    <w:rsid w:val="00F7130D"/>
    <w:rsid w:val="00F71390"/>
    <w:rsid w:val="00F71470"/>
    <w:rsid w:val="00F71569"/>
    <w:rsid w:val="00F715CB"/>
    <w:rsid w:val="00F7168D"/>
    <w:rsid w:val="00F7172F"/>
    <w:rsid w:val="00F71834"/>
    <w:rsid w:val="00F71912"/>
    <w:rsid w:val="00F71E98"/>
    <w:rsid w:val="00F720EE"/>
    <w:rsid w:val="00F72255"/>
    <w:rsid w:val="00F722E5"/>
    <w:rsid w:val="00F72338"/>
    <w:rsid w:val="00F72407"/>
    <w:rsid w:val="00F725E3"/>
    <w:rsid w:val="00F7287C"/>
    <w:rsid w:val="00F728DB"/>
    <w:rsid w:val="00F729D3"/>
    <w:rsid w:val="00F72C5A"/>
    <w:rsid w:val="00F72FE3"/>
    <w:rsid w:val="00F73041"/>
    <w:rsid w:val="00F73410"/>
    <w:rsid w:val="00F7351C"/>
    <w:rsid w:val="00F7382E"/>
    <w:rsid w:val="00F73867"/>
    <w:rsid w:val="00F73F92"/>
    <w:rsid w:val="00F74136"/>
    <w:rsid w:val="00F74583"/>
    <w:rsid w:val="00F74F9A"/>
    <w:rsid w:val="00F7500E"/>
    <w:rsid w:val="00F751EA"/>
    <w:rsid w:val="00F756E7"/>
    <w:rsid w:val="00F756FD"/>
    <w:rsid w:val="00F75A3A"/>
    <w:rsid w:val="00F75B03"/>
    <w:rsid w:val="00F75B4D"/>
    <w:rsid w:val="00F761D7"/>
    <w:rsid w:val="00F7657F"/>
    <w:rsid w:val="00F7658D"/>
    <w:rsid w:val="00F7667D"/>
    <w:rsid w:val="00F76DE9"/>
    <w:rsid w:val="00F76F53"/>
    <w:rsid w:val="00F77402"/>
    <w:rsid w:val="00F7764C"/>
    <w:rsid w:val="00F77669"/>
    <w:rsid w:val="00F7773B"/>
    <w:rsid w:val="00F77C21"/>
    <w:rsid w:val="00F77D08"/>
    <w:rsid w:val="00F77D4F"/>
    <w:rsid w:val="00F77E5F"/>
    <w:rsid w:val="00F77E91"/>
    <w:rsid w:val="00F77EC5"/>
    <w:rsid w:val="00F81145"/>
    <w:rsid w:val="00F8117C"/>
    <w:rsid w:val="00F811C8"/>
    <w:rsid w:val="00F81688"/>
    <w:rsid w:val="00F81730"/>
    <w:rsid w:val="00F8177A"/>
    <w:rsid w:val="00F81914"/>
    <w:rsid w:val="00F819F0"/>
    <w:rsid w:val="00F81CA9"/>
    <w:rsid w:val="00F81F16"/>
    <w:rsid w:val="00F82232"/>
    <w:rsid w:val="00F824A9"/>
    <w:rsid w:val="00F8250B"/>
    <w:rsid w:val="00F8264D"/>
    <w:rsid w:val="00F827FE"/>
    <w:rsid w:val="00F82848"/>
    <w:rsid w:val="00F828F7"/>
    <w:rsid w:val="00F82D83"/>
    <w:rsid w:val="00F82FEB"/>
    <w:rsid w:val="00F83134"/>
    <w:rsid w:val="00F8319D"/>
    <w:rsid w:val="00F8327D"/>
    <w:rsid w:val="00F8328E"/>
    <w:rsid w:val="00F832FE"/>
    <w:rsid w:val="00F833B7"/>
    <w:rsid w:val="00F83BF4"/>
    <w:rsid w:val="00F843EA"/>
    <w:rsid w:val="00F843FE"/>
    <w:rsid w:val="00F844EA"/>
    <w:rsid w:val="00F848B2"/>
    <w:rsid w:val="00F8499B"/>
    <w:rsid w:val="00F84A49"/>
    <w:rsid w:val="00F84B3A"/>
    <w:rsid w:val="00F84B65"/>
    <w:rsid w:val="00F84DB3"/>
    <w:rsid w:val="00F84E98"/>
    <w:rsid w:val="00F850A1"/>
    <w:rsid w:val="00F85253"/>
    <w:rsid w:val="00F8531B"/>
    <w:rsid w:val="00F8592B"/>
    <w:rsid w:val="00F859A2"/>
    <w:rsid w:val="00F8616D"/>
    <w:rsid w:val="00F8620B"/>
    <w:rsid w:val="00F8622A"/>
    <w:rsid w:val="00F8636A"/>
    <w:rsid w:val="00F863FC"/>
    <w:rsid w:val="00F86857"/>
    <w:rsid w:val="00F86B5E"/>
    <w:rsid w:val="00F86E54"/>
    <w:rsid w:val="00F86F6F"/>
    <w:rsid w:val="00F8716F"/>
    <w:rsid w:val="00F8736D"/>
    <w:rsid w:val="00F8744A"/>
    <w:rsid w:val="00F87741"/>
    <w:rsid w:val="00F87A7B"/>
    <w:rsid w:val="00F87F03"/>
    <w:rsid w:val="00F87FE1"/>
    <w:rsid w:val="00F90936"/>
    <w:rsid w:val="00F90F94"/>
    <w:rsid w:val="00F9109D"/>
    <w:rsid w:val="00F910F0"/>
    <w:rsid w:val="00F9110F"/>
    <w:rsid w:val="00F91227"/>
    <w:rsid w:val="00F91736"/>
    <w:rsid w:val="00F917CE"/>
    <w:rsid w:val="00F91866"/>
    <w:rsid w:val="00F918F0"/>
    <w:rsid w:val="00F91900"/>
    <w:rsid w:val="00F91C89"/>
    <w:rsid w:val="00F924F1"/>
    <w:rsid w:val="00F9270C"/>
    <w:rsid w:val="00F927E3"/>
    <w:rsid w:val="00F92A85"/>
    <w:rsid w:val="00F92B5D"/>
    <w:rsid w:val="00F92D04"/>
    <w:rsid w:val="00F92F06"/>
    <w:rsid w:val="00F92F65"/>
    <w:rsid w:val="00F92F77"/>
    <w:rsid w:val="00F933DF"/>
    <w:rsid w:val="00F9351F"/>
    <w:rsid w:val="00F9354E"/>
    <w:rsid w:val="00F9363B"/>
    <w:rsid w:val="00F93698"/>
    <w:rsid w:val="00F936B7"/>
    <w:rsid w:val="00F93918"/>
    <w:rsid w:val="00F93933"/>
    <w:rsid w:val="00F93BBF"/>
    <w:rsid w:val="00F93C25"/>
    <w:rsid w:val="00F93D25"/>
    <w:rsid w:val="00F93F12"/>
    <w:rsid w:val="00F93F50"/>
    <w:rsid w:val="00F93FD9"/>
    <w:rsid w:val="00F9417D"/>
    <w:rsid w:val="00F94271"/>
    <w:rsid w:val="00F943B0"/>
    <w:rsid w:val="00F9443B"/>
    <w:rsid w:val="00F944E9"/>
    <w:rsid w:val="00F944FE"/>
    <w:rsid w:val="00F94D71"/>
    <w:rsid w:val="00F954AD"/>
    <w:rsid w:val="00F954CA"/>
    <w:rsid w:val="00F95633"/>
    <w:rsid w:val="00F958B1"/>
    <w:rsid w:val="00F95AB9"/>
    <w:rsid w:val="00F95BB8"/>
    <w:rsid w:val="00F95D36"/>
    <w:rsid w:val="00F95F4D"/>
    <w:rsid w:val="00F961DE"/>
    <w:rsid w:val="00F96CF1"/>
    <w:rsid w:val="00F9716C"/>
    <w:rsid w:val="00F97561"/>
    <w:rsid w:val="00F9758F"/>
    <w:rsid w:val="00F97983"/>
    <w:rsid w:val="00F97A7A"/>
    <w:rsid w:val="00F97B22"/>
    <w:rsid w:val="00F97B30"/>
    <w:rsid w:val="00F97B7F"/>
    <w:rsid w:val="00F97BBA"/>
    <w:rsid w:val="00F97CF0"/>
    <w:rsid w:val="00F97D82"/>
    <w:rsid w:val="00F97F35"/>
    <w:rsid w:val="00F97FEC"/>
    <w:rsid w:val="00FA016C"/>
    <w:rsid w:val="00FA0342"/>
    <w:rsid w:val="00FA03B7"/>
    <w:rsid w:val="00FA0575"/>
    <w:rsid w:val="00FA0953"/>
    <w:rsid w:val="00FA0A19"/>
    <w:rsid w:val="00FA0AE0"/>
    <w:rsid w:val="00FA0FD7"/>
    <w:rsid w:val="00FA1108"/>
    <w:rsid w:val="00FA123B"/>
    <w:rsid w:val="00FA1311"/>
    <w:rsid w:val="00FA13D4"/>
    <w:rsid w:val="00FA1436"/>
    <w:rsid w:val="00FA1703"/>
    <w:rsid w:val="00FA1719"/>
    <w:rsid w:val="00FA1764"/>
    <w:rsid w:val="00FA188C"/>
    <w:rsid w:val="00FA1929"/>
    <w:rsid w:val="00FA1989"/>
    <w:rsid w:val="00FA1A27"/>
    <w:rsid w:val="00FA1C9B"/>
    <w:rsid w:val="00FA20D7"/>
    <w:rsid w:val="00FA2238"/>
    <w:rsid w:val="00FA247B"/>
    <w:rsid w:val="00FA2B2A"/>
    <w:rsid w:val="00FA2BB1"/>
    <w:rsid w:val="00FA2CF5"/>
    <w:rsid w:val="00FA2D34"/>
    <w:rsid w:val="00FA2FFE"/>
    <w:rsid w:val="00FA31B5"/>
    <w:rsid w:val="00FA3488"/>
    <w:rsid w:val="00FA3725"/>
    <w:rsid w:val="00FA3803"/>
    <w:rsid w:val="00FA3FB8"/>
    <w:rsid w:val="00FA4053"/>
    <w:rsid w:val="00FA4153"/>
    <w:rsid w:val="00FA42B6"/>
    <w:rsid w:val="00FA43CE"/>
    <w:rsid w:val="00FA4638"/>
    <w:rsid w:val="00FA47FD"/>
    <w:rsid w:val="00FA49EE"/>
    <w:rsid w:val="00FA4A0F"/>
    <w:rsid w:val="00FA4B9A"/>
    <w:rsid w:val="00FA538C"/>
    <w:rsid w:val="00FA5515"/>
    <w:rsid w:val="00FA5535"/>
    <w:rsid w:val="00FA570F"/>
    <w:rsid w:val="00FA5731"/>
    <w:rsid w:val="00FA5893"/>
    <w:rsid w:val="00FA591F"/>
    <w:rsid w:val="00FA5981"/>
    <w:rsid w:val="00FA5E09"/>
    <w:rsid w:val="00FA5F93"/>
    <w:rsid w:val="00FA6576"/>
    <w:rsid w:val="00FA6817"/>
    <w:rsid w:val="00FA6B2B"/>
    <w:rsid w:val="00FA721E"/>
    <w:rsid w:val="00FA7BFA"/>
    <w:rsid w:val="00FA7CCC"/>
    <w:rsid w:val="00FA7FFA"/>
    <w:rsid w:val="00FB028A"/>
    <w:rsid w:val="00FB0359"/>
    <w:rsid w:val="00FB096C"/>
    <w:rsid w:val="00FB0AEB"/>
    <w:rsid w:val="00FB0AEF"/>
    <w:rsid w:val="00FB0BD2"/>
    <w:rsid w:val="00FB0C0E"/>
    <w:rsid w:val="00FB0D83"/>
    <w:rsid w:val="00FB1034"/>
    <w:rsid w:val="00FB170A"/>
    <w:rsid w:val="00FB1906"/>
    <w:rsid w:val="00FB190A"/>
    <w:rsid w:val="00FB23F7"/>
    <w:rsid w:val="00FB245F"/>
    <w:rsid w:val="00FB263F"/>
    <w:rsid w:val="00FB276A"/>
    <w:rsid w:val="00FB2893"/>
    <w:rsid w:val="00FB2ACC"/>
    <w:rsid w:val="00FB2B91"/>
    <w:rsid w:val="00FB2D80"/>
    <w:rsid w:val="00FB2ECC"/>
    <w:rsid w:val="00FB2F0F"/>
    <w:rsid w:val="00FB2F24"/>
    <w:rsid w:val="00FB3406"/>
    <w:rsid w:val="00FB3512"/>
    <w:rsid w:val="00FB3D81"/>
    <w:rsid w:val="00FB3DD6"/>
    <w:rsid w:val="00FB3E22"/>
    <w:rsid w:val="00FB3FAE"/>
    <w:rsid w:val="00FB3FC7"/>
    <w:rsid w:val="00FB41E0"/>
    <w:rsid w:val="00FB4280"/>
    <w:rsid w:val="00FB4294"/>
    <w:rsid w:val="00FB42CB"/>
    <w:rsid w:val="00FB4569"/>
    <w:rsid w:val="00FB46CD"/>
    <w:rsid w:val="00FB4979"/>
    <w:rsid w:val="00FB49B2"/>
    <w:rsid w:val="00FB4AFF"/>
    <w:rsid w:val="00FB4B6D"/>
    <w:rsid w:val="00FB4BD5"/>
    <w:rsid w:val="00FB4CBE"/>
    <w:rsid w:val="00FB4D34"/>
    <w:rsid w:val="00FB4ED1"/>
    <w:rsid w:val="00FB4F2F"/>
    <w:rsid w:val="00FB5431"/>
    <w:rsid w:val="00FB5516"/>
    <w:rsid w:val="00FB562B"/>
    <w:rsid w:val="00FB5700"/>
    <w:rsid w:val="00FB5714"/>
    <w:rsid w:val="00FB571B"/>
    <w:rsid w:val="00FB575D"/>
    <w:rsid w:val="00FB5847"/>
    <w:rsid w:val="00FB5A9C"/>
    <w:rsid w:val="00FB5ED3"/>
    <w:rsid w:val="00FB62BD"/>
    <w:rsid w:val="00FB62E5"/>
    <w:rsid w:val="00FB6584"/>
    <w:rsid w:val="00FB6656"/>
    <w:rsid w:val="00FB6832"/>
    <w:rsid w:val="00FB684A"/>
    <w:rsid w:val="00FB6867"/>
    <w:rsid w:val="00FB6915"/>
    <w:rsid w:val="00FB6B40"/>
    <w:rsid w:val="00FB6D5A"/>
    <w:rsid w:val="00FB7510"/>
    <w:rsid w:val="00FB7878"/>
    <w:rsid w:val="00FB7919"/>
    <w:rsid w:val="00FB7D81"/>
    <w:rsid w:val="00FB7F45"/>
    <w:rsid w:val="00FB7F5E"/>
    <w:rsid w:val="00FC01A4"/>
    <w:rsid w:val="00FC023E"/>
    <w:rsid w:val="00FC0635"/>
    <w:rsid w:val="00FC08C8"/>
    <w:rsid w:val="00FC0A77"/>
    <w:rsid w:val="00FC0B08"/>
    <w:rsid w:val="00FC0C1B"/>
    <w:rsid w:val="00FC10EF"/>
    <w:rsid w:val="00FC1243"/>
    <w:rsid w:val="00FC12C8"/>
    <w:rsid w:val="00FC141C"/>
    <w:rsid w:val="00FC1518"/>
    <w:rsid w:val="00FC16DA"/>
    <w:rsid w:val="00FC1788"/>
    <w:rsid w:val="00FC17F6"/>
    <w:rsid w:val="00FC2228"/>
    <w:rsid w:val="00FC255B"/>
    <w:rsid w:val="00FC26E5"/>
    <w:rsid w:val="00FC28D9"/>
    <w:rsid w:val="00FC2A93"/>
    <w:rsid w:val="00FC2AEA"/>
    <w:rsid w:val="00FC2C30"/>
    <w:rsid w:val="00FC2D56"/>
    <w:rsid w:val="00FC2F8A"/>
    <w:rsid w:val="00FC3407"/>
    <w:rsid w:val="00FC35E8"/>
    <w:rsid w:val="00FC3B50"/>
    <w:rsid w:val="00FC3E46"/>
    <w:rsid w:val="00FC408F"/>
    <w:rsid w:val="00FC4512"/>
    <w:rsid w:val="00FC4C21"/>
    <w:rsid w:val="00FC4D70"/>
    <w:rsid w:val="00FC50A9"/>
    <w:rsid w:val="00FC54CB"/>
    <w:rsid w:val="00FC55F8"/>
    <w:rsid w:val="00FC57B8"/>
    <w:rsid w:val="00FC5C6F"/>
    <w:rsid w:val="00FC5E6A"/>
    <w:rsid w:val="00FC5E77"/>
    <w:rsid w:val="00FC629E"/>
    <w:rsid w:val="00FC6452"/>
    <w:rsid w:val="00FC64EC"/>
    <w:rsid w:val="00FC65B3"/>
    <w:rsid w:val="00FC67CD"/>
    <w:rsid w:val="00FC6968"/>
    <w:rsid w:val="00FC6B1D"/>
    <w:rsid w:val="00FC6DE5"/>
    <w:rsid w:val="00FC7007"/>
    <w:rsid w:val="00FC75BB"/>
    <w:rsid w:val="00FC79F9"/>
    <w:rsid w:val="00FC7BF4"/>
    <w:rsid w:val="00FD002E"/>
    <w:rsid w:val="00FD00A2"/>
    <w:rsid w:val="00FD0252"/>
    <w:rsid w:val="00FD039D"/>
    <w:rsid w:val="00FD0504"/>
    <w:rsid w:val="00FD0919"/>
    <w:rsid w:val="00FD0961"/>
    <w:rsid w:val="00FD0AEB"/>
    <w:rsid w:val="00FD0C35"/>
    <w:rsid w:val="00FD0CE2"/>
    <w:rsid w:val="00FD0DD3"/>
    <w:rsid w:val="00FD0DE5"/>
    <w:rsid w:val="00FD10E3"/>
    <w:rsid w:val="00FD12DF"/>
    <w:rsid w:val="00FD12FA"/>
    <w:rsid w:val="00FD1307"/>
    <w:rsid w:val="00FD130A"/>
    <w:rsid w:val="00FD137B"/>
    <w:rsid w:val="00FD1467"/>
    <w:rsid w:val="00FD14B0"/>
    <w:rsid w:val="00FD150C"/>
    <w:rsid w:val="00FD1534"/>
    <w:rsid w:val="00FD1657"/>
    <w:rsid w:val="00FD16A1"/>
    <w:rsid w:val="00FD1E17"/>
    <w:rsid w:val="00FD20BB"/>
    <w:rsid w:val="00FD2794"/>
    <w:rsid w:val="00FD289E"/>
    <w:rsid w:val="00FD2A99"/>
    <w:rsid w:val="00FD2B9D"/>
    <w:rsid w:val="00FD2C29"/>
    <w:rsid w:val="00FD2C84"/>
    <w:rsid w:val="00FD2C8B"/>
    <w:rsid w:val="00FD2CD0"/>
    <w:rsid w:val="00FD2D59"/>
    <w:rsid w:val="00FD2D9B"/>
    <w:rsid w:val="00FD2E95"/>
    <w:rsid w:val="00FD2EF1"/>
    <w:rsid w:val="00FD2F71"/>
    <w:rsid w:val="00FD3046"/>
    <w:rsid w:val="00FD3671"/>
    <w:rsid w:val="00FD37AA"/>
    <w:rsid w:val="00FD3915"/>
    <w:rsid w:val="00FD3CA0"/>
    <w:rsid w:val="00FD41C8"/>
    <w:rsid w:val="00FD464E"/>
    <w:rsid w:val="00FD4703"/>
    <w:rsid w:val="00FD4903"/>
    <w:rsid w:val="00FD4D2C"/>
    <w:rsid w:val="00FD4E04"/>
    <w:rsid w:val="00FD4E0B"/>
    <w:rsid w:val="00FD4ED3"/>
    <w:rsid w:val="00FD550F"/>
    <w:rsid w:val="00FD5898"/>
    <w:rsid w:val="00FD5939"/>
    <w:rsid w:val="00FD5986"/>
    <w:rsid w:val="00FD5D6A"/>
    <w:rsid w:val="00FD5EC4"/>
    <w:rsid w:val="00FD5F08"/>
    <w:rsid w:val="00FD60A5"/>
    <w:rsid w:val="00FD65A9"/>
    <w:rsid w:val="00FD65BA"/>
    <w:rsid w:val="00FD679A"/>
    <w:rsid w:val="00FD6CC9"/>
    <w:rsid w:val="00FD6DE5"/>
    <w:rsid w:val="00FD6E69"/>
    <w:rsid w:val="00FD708D"/>
    <w:rsid w:val="00FD721A"/>
    <w:rsid w:val="00FD724F"/>
    <w:rsid w:val="00FD777D"/>
    <w:rsid w:val="00FD77BE"/>
    <w:rsid w:val="00FD7814"/>
    <w:rsid w:val="00FD790B"/>
    <w:rsid w:val="00FD7A1F"/>
    <w:rsid w:val="00FD7CBF"/>
    <w:rsid w:val="00FD7D20"/>
    <w:rsid w:val="00FD7EB0"/>
    <w:rsid w:val="00FE065F"/>
    <w:rsid w:val="00FE0723"/>
    <w:rsid w:val="00FE0765"/>
    <w:rsid w:val="00FE0C5C"/>
    <w:rsid w:val="00FE0EAB"/>
    <w:rsid w:val="00FE0F52"/>
    <w:rsid w:val="00FE10A9"/>
    <w:rsid w:val="00FE1239"/>
    <w:rsid w:val="00FE13A7"/>
    <w:rsid w:val="00FE1579"/>
    <w:rsid w:val="00FE1BD7"/>
    <w:rsid w:val="00FE1F23"/>
    <w:rsid w:val="00FE2958"/>
    <w:rsid w:val="00FE2B43"/>
    <w:rsid w:val="00FE2DF7"/>
    <w:rsid w:val="00FE310C"/>
    <w:rsid w:val="00FE34C4"/>
    <w:rsid w:val="00FE3560"/>
    <w:rsid w:val="00FE3812"/>
    <w:rsid w:val="00FE3913"/>
    <w:rsid w:val="00FE3AFB"/>
    <w:rsid w:val="00FE4129"/>
    <w:rsid w:val="00FE4261"/>
    <w:rsid w:val="00FE4279"/>
    <w:rsid w:val="00FE42D6"/>
    <w:rsid w:val="00FE44DE"/>
    <w:rsid w:val="00FE4C94"/>
    <w:rsid w:val="00FE4DED"/>
    <w:rsid w:val="00FE5042"/>
    <w:rsid w:val="00FE50C5"/>
    <w:rsid w:val="00FE5100"/>
    <w:rsid w:val="00FE5607"/>
    <w:rsid w:val="00FE5654"/>
    <w:rsid w:val="00FE5952"/>
    <w:rsid w:val="00FE5969"/>
    <w:rsid w:val="00FE5CEF"/>
    <w:rsid w:val="00FE5DAA"/>
    <w:rsid w:val="00FE5DEF"/>
    <w:rsid w:val="00FE5F7E"/>
    <w:rsid w:val="00FE607F"/>
    <w:rsid w:val="00FE61F7"/>
    <w:rsid w:val="00FE690A"/>
    <w:rsid w:val="00FE78DF"/>
    <w:rsid w:val="00FE7B5C"/>
    <w:rsid w:val="00FE7B66"/>
    <w:rsid w:val="00FE7C2B"/>
    <w:rsid w:val="00FE7E7F"/>
    <w:rsid w:val="00FE7ED0"/>
    <w:rsid w:val="00FE7EE7"/>
    <w:rsid w:val="00FF000B"/>
    <w:rsid w:val="00FF01E5"/>
    <w:rsid w:val="00FF0420"/>
    <w:rsid w:val="00FF048D"/>
    <w:rsid w:val="00FF05A6"/>
    <w:rsid w:val="00FF0959"/>
    <w:rsid w:val="00FF0DF4"/>
    <w:rsid w:val="00FF0F22"/>
    <w:rsid w:val="00FF0FF8"/>
    <w:rsid w:val="00FF1398"/>
    <w:rsid w:val="00FF177D"/>
    <w:rsid w:val="00FF1BC8"/>
    <w:rsid w:val="00FF1CBA"/>
    <w:rsid w:val="00FF1EEA"/>
    <w:rsid w:val="00FF21E4"/>
    <w:rsid w:val="00FF23FA"/>
    <w:rsid w:val="00FF2490"/>
    <w:rsid w:val="00FF24D5"/>
    <w:rsid w:val="00FF2627"/>
    <w:rsid w:val="00FF26CB"/>
    <w:rsid w:val="00FF2778"/>
    <w:rsid w:val="00FF2BBB"/>
    <w:rsid w:val="00FF2D4F"/>
    <w:rsid w:val="00FF2ECA"/>
    <w:rsid w:val="00FF30FD"/>
    <w:rsid w:val="00FF318E"/>
    <w:rsid w:val="00FF3479"/>
    <w:rsid w:val="00FF37E8"/>
    <w:rsid w:val="00FF3877"/>
    <w:rsid w:val="00FF3C0F"/>
    <w:rsid w:val="00FF3F00"/>
    <w:rsid w:val="00FF41F3"/>
    <w:rsid w:val="00FF4211"/>
    <w:rsid w:val="00FF43E8"/>
    <w:rsid w:val="00FF441C"/>
    <w:rsid w:val="00FF44CA"/>
    <w:rsid w:val="00FF46D6"/>
    <w:rsid w:val="00FF4711"/>
    <w:rsid w:val="00FF4995"/>
    <w:rsid w:val="00FF4C3A"/>
    <w:rsid w:val="00FF51D2"/>
    <w:rsid w:val="00FF536E"/>
    <w:rsid w:val="00FF5375"/>
    <w:rsid w:val="00FF548B"/>
    <w:rsid w:val="00FF576B"/>
    <w:rsid w:val="00FF5804"/>
    <w:rsid w:val="00FF58AB"/>
    <w:rsid w:val="00FF5C1D"/>
    <w:rsid w:val="00FF60CD"/>
    <w:rsid w:val="00FF6207"/>
    <w:rsid w:val="00FF620B"/>
    <w:rsid w:val="00FF6284"/>
    <w:rsid w:val="00FF6465"/>
    <w:rsid w:val="00FF6613"/>
    <w:rsid w:val="00FF66B0"/>
    <w:rsid w:val="00FF6A14"/>
    <w:rsid w:val="00FF70DF"/>
    <w:rsid w:val="00FF7359"/>
    <w:rsid w:val="00FF7366"/>
    <w:rsid w:val="00FF73C5"/>
    <w:rsid w:val="00FF743F"/>
    <w:rsid w:val="00FF74E2"/>
    <w:rsid w:val="00FF74E6"/>
    <w:rsid w:val="00FF7739"/>
    <w:rsid w:val="00FF7AD1"/>
    <w:rsid w:val="00FF7C3E"/>
    <w:rsid w:val="00FF7C78"/>
    <w:rsid w:val="00FF7CE3"/>
    <w:rsid w:val="00FF7DA8"/>
    <w:rsid w:val="00FF7E30"/>
    <w:rsid w:val="00FF7E9F"/>
    <w:rsid w:val="00FF7F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5"/>
    <o:shapelayout v:ext="edit">
      <o:idmap v:ext="edit" data="1"/>
    </o:shapelayout>
  </w:shapeDefaults>
  <w:decimalSymbol w:val="."/>
  <w:listSeparator w:val=","/>
  <w14:docId w14:val="5932D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2974"/>
    <w:pPr>
      <w:spacing w:after="120"/>
    </w:pPr>
    <w:rPr>
      <w:rFonts w:ascii="Arial" w:hAnsi="Arial"/>
      <w:sz w:val="20"/>
    </w:rPr>
  </w:style>
  <w:style w:type="paragraph" w:styleId="Heading1">
    <w:name w:val="heading 1"/>
    <w:next w:val="TextPara"/>
    <w:link w:val="Heading1Char"/>
    <w:uiPriority w:val="9"/>
    <w:qFormat/>
    <w:rsid w:val="006713F9"/>
    <w:pPr>
      <w:keepNext/>
      <w:numPr>
        <w:numId w:val="14"/>
      </w:numPr>
      <w:tabs>
        <w:tab w:val="left" w:pos="851"/>
      </w:tabs>
      <w:spacing w:before="120" w:after="120" w:line="240" w:lineRule="auto"/>
      <w:outlineLvl w:val="0"/>
    </w:pPr>
    <w:rPr>
      <w:rFonts w:ascii="Segoe UI" w:eastAsiaTheme="majorEastAsia" w:hAnsi="Segoe UI" w:cs="Segoe UI"/>
      <w:b/>
      <w:bCs/>
      <w:noProof/>
      <w:color w:val="404040" w:themeColor="text1" w:themeTint="BF"/>
      <w:sz w:val="28"/>
      <w:szCs w:val="28"/>
      <w:lang w:eastAsia="en-AU"/>
    </w:rPr>
  </w:style>
  <w:style w:type="paragraph" w:styleId="Heading2">
    <w:name w:val="heading 2"/>
    <w:basedOn w:val="Normal"/>
    <w:next w:val="TextPara"/>
    <w:link w:val="Heading2Char"/>
    <w:uiPriority w:val="9"/>
    <w:unhideWhenUsed/>
    <w:qFormat/>
    <w:rsid w:val="001A063E"/>
    <w:pPr>
      <w:keepNext/>
      <w:keepLines/>
      <w:numPr>
        <w:ilvl w:val="1"/>
        <w:numId w:val="14"/>
      </w:numPr>
      <w:spacing w:before="180" w:line="240" w:lineRule="auto"/>
      <w:outlineLvl w:val="1"/>
    </w:pPr>
    <w:rPr>
      <w:rFonts w:ascii="Segoe UI" w:eastAsiaTheme="majorEastAsia" w:hAnsi="Segoe UI" w:cs="Segoe UI"/>
      <w:b/>
      <w:bCs/>
      <w:color w:val="404040" w:themeColor="text1" w:themeTint="BF"/>
      <w:sz w:val="24"/>
      <w:szCs w:val="26"/>
      <w:lang w:eastAsia="en-AU"/>
    </w:rPr>
  </w:style>
  <w:style w:type="paragraph" w:styleId="Heading3">
    <w:name w:val="heading 3"/>
    <w:basedOn w:val="Normal"/>
    <w:next w:val="TextPara"/>
    <w:link w:val="Heading3Char"/>
    <w:uiPriority w:val="9"/>
    <w:unhideWhenUsed/>
    <w:qFormat/>
    <w:rsid w:val="006713F9"/>
    <w:pPr>
      <w:keepNext/>
      <w:keepLines/>
      <w:numPr>
        <w:ilvl w:val="2"/>
        <w:numId w:val="14"/>
      </w:numPr>
      <w:spacing w:before="120" w:line="240" w:lineRule="auto"/>
      <w:outlineLvl w:val="2"/>
    </w:pPr>
    <w:rPr>
      <w:rFonts w:ascii="Segoe UI" w:eastAsiaTheme="majorEastAsia" w:hAnsi="Segoe UI" w:cs="Segoe UI"/>
      <w:b/>
      <w:bCs/>
      <w:color w:val="404040" w:themeColor="text1" w:themeTint="BF"/>
      <w:sz w:val="22"/>
      <w:szCs w:val="26"/>
      <w:lang w:eastAsia="en-AU"/>
    </w:rPr>
  </w:style>
  <w:style w:type="paragraph" w:styleId="Heading4">
    <w:name w:val="heading 4"/>
    <w:basedOn w:val="Normal"/>
    <w:next w:val="TextPara"/>
    <w:link w:val="Heading4Char"/>
    <w:uiPriority w:val="9"/>
    <w:unhideWhenUsed/>
    <w:qFormat/>
    <w:rsid w:val="00EA637D"/>
    <w:pPr>
      <w:keepNext/>
      <w:keepLines/>
      <w:numPr>
        <w:ilvl w:val="3"/>
        <w:numId w:val="14"/>
      </w:numPr>
      <w:spacing w:before="240"/>
      <w:ind w:left="851" w:hanging="851"/>
      <w:outlineLvl w:val="3"/>
    </w:pPr>
    <w:rPr>
      <w:rFonts w:ascii="Segoe UI" w:eastAsiaTheme="majorEastAsia" w:hAnsi="Segoe UI" w:cs="Segoe UI"/>
      <w:b/>
      <w:bCs/>
      <w:iCs/>
      <w:color w:val="404040" w:themeColor="text1" w:themeTint="BF"/>
      <w:lang w:eastAsia="en-AU"/>
    </w:rPr>
  </w:style>
  <w:style w:type="paragraph" w:styleId="Heading5">
    <w:name w:val="heading 5"/>
    <w:basedOn w:val="Normal"/>
    <w:next w:val="Normal"/>
    <w:link w:val="Heading5Char"/>
    <w:uiPriority w:val="9"/>
    <w:unhideWhenUsed/>
    <w:rsid w:val="00404672"/>
    <w:pPr>
      <w:keepNext/>
      <w:keepLines/>
      <w:numPr>
        <w:ilvl w:val="4"/>
        <w:numId w:val="14"/>
      </w:numPr>
      <w:spacing w:before="200" w:after="0"/>
      <w:outlineLvl w:val="4"/>
    </w:pPr>
    <w:rPr>
      <w:rFonts w:ascii="Segoe UI" w:eastAsiaTheme="majorEastAsia" w:hAnsi="Segoe UI" w:cstheme="majorBidi"/>
      <w:b/>
      <w:color w:val="404040" w:themeColor="text1" w:themeTint="BF"/>
    </w:rPr>
  </w:style>
  <w:style w:type="paragraph" w:styleId="Heading6">
    <w:name w:val="heading 6"/>
    <w:basedOn w:val="Normal"/>
    <w:next w:val="Normal"/>
    <w:link w:val="Heading6Char"/>
    <w:uiPriority w:val="9"/>
    <w:semiHidden/>
    <w:unhideWhenUsed/>
    <w:rsid w:val="008718FF"/>
    <w:pPr>
      <w:keepNext/>
      <w:keepLines/>
      <w:numPr>
        <w:ilvl w:val="5"/>
        <w:numId w:val="14"/>
      </w:numPr>
      <w:spacing w:before="40" w:after="0"/>
      <w:outlineLvl w:val="5"/>
    </w:pPr>
    <w:rPr>
      <w:rFonts w:asciiTheme="majorHAnsi" w:eastAsiaTheme="majorEastAsia" w:hAnsiTheme="majorHAnsi" w:cstheme="majorBidi"/>
      <w:color w:val="1C5924" w:themeColor="accent1" w:themeShade="7F"/>
    </w:rPr>
  </w:style>
  <w:style w:type="paragraph" w:styleId="Heading7">
    <w:name w:val="heading 7"/>
    <w:basedOn w:val="Normal"/>
    <w:next w:val="Normal"/>
    <w:link w:val="Heading7Char"/>
    <w:uiPriority w:val="9"/>
    <w:semiHidden/>
    <w:unhideWhenUsed/>
    <w:qFormat/>
    <w:rsid w:val="008718FF"/>
    <w:pPr>
      <w:keepNext/>
      <w:keepLines/>
      <w:numPr>
        <w:ilvl w:val="6"/>
        <w:numId w:val="14"/>
      </w:numPr>
      <w:spacing w:before="40" w:after="0"/>
      <w:outlineLvl w:val="6"/>
    </w:pPr>
    <w:rPr>
      <w:rFonts w:asciiTheme="majorHAnsi" w:eastAsiaTheme="majorEastAsia" w:hAnsiTheme="majorHAnsi" w:cstheme="majorBidi"/>
      <w:i/>
      <w:iCs/>
      <w:color w:val="1C5924" w:themeColor="accent1" w:themeShade="7F"/>
    </w:rPr>
  </w:style>
  <w:style w:type="paragraph" w:styleId="Heading8">
    <w:name w:val="heading 8"/>
    <w:basedOn w:val="Normal"/>
    <w:next w:val="Normal"/>
    <w:link w:val="Heading8Char"/>
    <w:uiPriority w:val="9"/>
    <w:semiHidden/>
    <w:unhideWhenUsed/>
    <w:qFormat/>
    <w:rsid w:val="008718FF"/>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18FF"/>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3F9"/>
    <w:rPr>
      <w:rFonts w:ascii="Segoe UI" w:eastAsiaTheme="majorEastAsia" w:hAnsi="Segoe UI" w:cs="Segoe UI"/>
      <w:b/>
      <w:bCs/>
      <w:noProof/>
      <w:color w:val="404040" w:themeColor="text1" w:themeTint="BF"/>
      <w:sz w:val="28"/>
      <w:szCs w:val="28"/>
      <w:lang w:eastAsia="en-AU"/>
    </w:rPr>
  </w:style>
  <w:style w:type="character" w:customStyle="1" w:styleId="Heading2Char">
    <w:name w:val="Heading 2 Char"/>
    <w:basedOn w:val="DefaultParagraphFont"/>
    <w:link w:val="Heading2"/>
    <w:uiPriority w:val="9"/>
    <w:rsid w:val="001A063E"/>
    <w:rPr>
      <w:rFonts w:ascii="Segoe UI" w:eastAsiaTheme="majorEastAsia" w:hAnsi="Segoe UI" w:cs="Segoe UI"/>
      <w:b/>
      <w:bCs/>
      <w:color w:val="404040" w:themeColor="text1" w:themeTint="BF"/>
      <w:sz w:val="24"/>
      <w:szCs w:val="26"/>
      <w:lang w:eastAsia="en-AU"/>
    </w:rPr>
  </w:style>
  <w:style w:type="character" w:customStyle="1" w:styleId="Heading3Char">
    <w:name w:val="Heading 3 Char"/>
    <w:basedOn w:val="DefaultParagraphFont"/>
    <w:link w:val="Heading3"/>
    <w:uiPriority w:val="9"/>
    <w:rsid w:val="006713F9"/>
    <w:rPr>
      <w:rFonts w:ascii="Segoe UI" w:eastAsiaTheme="majorEastAsia" w:hAnsi="Segoe UI" w:cs="Segoe UI"/>
      <w:b/>
      <w:bCs/>
      <w:color w:val="404040" w:themeColor="text1" w:themeTint="BF"/>
      <w:szCs w:val="26"/>
      <w:lang w:eastAsia="en-AU"/>
    </w:rPr>
  </w:style>
  <w:style w:type="character" w:customStyle="1" w:styleId="Heading4Char">
    <w:name w:val="Heading 4 Char"/>
    <w:basedOn w:val="DefaultParagraphFont"/>
    <w:link w:val="Heading4"/>
    <w:uiPriority w:val="9"/>
    <w:rsid w:val="00EA637D"/>
    <w:rPr>
      <w:rFonts w:ascii="Segoe UI" w:eastAsiaTheme="majorEastAsia" w:hAnsi="Segoe UI" w:cs="Segoe UI"/>
      <w:b/>
      <w:bCs/>
      <w:iCs/>
      <w:color w:val="404040" w:themeColor="text1" w:themeTint="BF"/>
      <w:sz w:val="20"/>
      <w:lang w:eastAsia="en-AU"/>
    </w:rPr>
  </w:style>
  <w:style w:type="character" w:customStyle="1" w:styleId="Heading5Char">
    <w:name w:val="Heading 5 Char"/>
    <w:basedOn w:val="DefaultParagraphFont"/>
    <w:link w:val="Heading5"/>
    <w:uiPriority w:val="9"/>
    <w:rsid w:val="00404672"/>
    <w:rPr>
      <w:rFonts w:ascii="Segoe UI" w:eastAsiaTheme="majorEastAsia" w:hAnsi="Segoe UI" w:cstheme="majorBidi"/>
      <w:b/>
      <w:color w:val="404040" w:themeColor="text1" w:themeTint="BF"/>
      <w:sz w:val="20"/>
    </w:rPr>
  </w:style>
  <w:style w:type="paragraph" w:styleId="Title">
    <w:name w:val="Title"/>
    <w:basedOn w:val="Normal"/>
    <w:next w:val="Normal"/>
    <w:link w:val="TitleChar"/>
    <w:uiPriority w:val="10"/>
    <w:qFormat/>
    <w:rsid w:val="00FC3B50"/>
    <w:pPr>
      <w:spacing w:after="300" w:line="240" w:lineRule="auto"/>
      <w:contextualSpacing/>
    </w:pPr>
    <w:rPr>
      <w:rFonts w:eastAsiaTheme="majorEastAsia" w:cstheme="majorBidi"/>
      <w:color w:val="0F1D30"/>
      <w:spacing w:val="5"/>
      <w:kern w:val="28"/>
      <w:sz w:val="52"/>
      <w:szCs w:val="52"/>
    </w:rPr>
  </w:style>
  <w:style w:type="character" w:customStyle="1" w:styleId="TitleChar">
    <w:name w:val="Title Char"/>
    <w:basedOn w:val="DefaultParagraphFont"/>
    <w:link w:val="Title"/>
    <w:uiPriority w:val="10"/>
    <w:rsid w:val="00FC3B50"/>
    <w:rPr>
      <w:rFonts w:ascii="Arial" w:eastAsiaTheme="majorEastAsia" w:hAnsi="Arial" w:cstheme="majorBidi"/>
      <w:color w:val="0F1D30"/>
      <w:spacing w:val="5"/>
      <w:kern w:val="28"/>
      <w:sz w:val="52"/>
      <w:szCs w:val="52"/>
    </w:rPr>
  </w:style>
  <w:style w:type="paragraph" w:styleId="Subtitle">
    <w:name w:val="Subtitle"/>
    <w:basedOn w:val="Normal"/>
    <w:next w:val="Normal"/>
    <w:link w:val="SubtitleChar"/>
    <w:uiPriority w:val="11"/>
    <w:rsid w:val="00BA0FBE"/>
    <w:pPr>
      <w:numPr>
        <w:ilvl w:val="1"/>
      </w:numPr>
    </w:pPr>
    <w:rPr>
      <w:rFonts w:asciiTheme="majorHAnsi" w:eastAsiaTheme="majorEastAsia" w:hAnsiTheme="majorHAnsi" w:cstheme="majorBidi"/>
      <w:i/>
      <w:iCs/>
      <w:color w:val="39B54A"/>
      <w:spacing w:val="15"/>
      <w:sz w:val="24"/>
      <w:szCs w:val="24"/>
    </w:rPr>
  </w:style>
  <w:style w:type="character" w:customStyle="1" w:styleId="SubtitleChar">
    <w:name w:val="Subtitle Char"/>
    <w:basedOn w:val="DefaultParagraphFont"/>
    <w:link w:val="Subtitle"/>
    <w:uiPriority w:val="11"/>
    <w:rsid w:val="00BA0FBE"/>
    <w:rPr>
      <w:rFonts w:asciiTheme="majorHAnsi" w:eastAsiaTheme="majorEastAsia" w:hAnsiTheme="majorHAnsi" w:cstheme="majorBidi"/>
      <w:i/>
      <w:iCs/>
      <w:color w:val="39B54A"/>
      <w:spacing w:val="15"/>
      <w:sz w:val="24"/>
      <w:szCs w:val="24"/>
    </w:rPr>
  </w:style>
  <w:style w:type="paragraph" w:styleId="ListParagraph">
    <w:name w:val="List Paragraph"/>
    <w:basedOn w:val="Normal"/>
    <w:link w:val="ListParagraphChar"/>
    <w:uiPriority w:val="34"/>
    <w:qFormat/>
    <w:rsid w:val="00103CD3"/>
    <w:pPr>
      <w:keepNext/>
      <w:numPr>
        <w:numId w:val="11"/>
      </w:numPr>
      <w:spacing w:line="280" w:lineRule="exact"/>
    </w:pPr>
    <w:rPr>
      <w:rFonts w:ascii="Segoe UI" w:hAnsi="Segoe UI" w:cs="Segoe UI"/>
    </w:rPr>
  </w:style>
  <w:style w:type="character" w:customStyle="1" w:styleId="ListParagraphChar">
    <w:name w:val="List Paragraph Char"/>
    <w:basedOn w:val="DefaultParagraphFont"/>
    <w:link w:val="ListParagraph"/>
    <w:uiPriority w:val="34"/>
    <w:rsid w:val="00103CD3"/>
    <w:rPr>
      <w:rFonts w:ascii="Segoe UI" w:hAnsi="Segoe UI" w:cs="Segoe UI"/>
      <w:sz w:val="20"/>
    </w:rPr>
  </w:style>
  <w:style w:type="table" w:styleId="TableGrid">
    <w:name w:val="Table Grid"/>
    <w:basedOn w:val="TableNormal"/>
    <w:uiPriority w:val="39"/>
    <w:rsid w:val="00BB1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
    <w:name w:val="Table Headers"/>
    <w:basedOn w:val="TableParagraph"/>
    <w:qFormat/>
    <w:rsid w:val="00F37CF7"/>
    <w:pPr>
      <w:spacing w:line="240" w:lineRule="auto"/>
      <w:jc w:val="center"/>
    </w:pPr>
    <w:rPr>
      <w:bCs w:val="0"/>
      <w:color w:val="FFFFFF" w:themeColor="background1"/>
    </w:rPr>
  </w:style>
  <w:style w:type="paragraph" w:customStyle="1" w:styleId="TableParagraph">
    <w:name w:val="Table Paragraph"/>
    <w:basedOn w:val="Normal"/>
    <w:qFormat/>
    <w:rsid w:val="00B3313E"/>
    <w:pPr>
      <w:spacing w:before="60" w:after="60" w:line="240" w:lineRule="exact"/>
    </w:pPr>
    <w:rPr>
      <w:rFonts w:ascii="Segoe UI" w:hAnsi="Segoe UI"/>
      <w:bCs/>
      <w:sz w:val="18"/>
      <w:szCs w:val="20"/>
      <w:lang w:eastAsia="en-AU"/>
    </w:rPr>
  </w:style>
  <w:style w:type="paragraph" w:customStyle="1" w:styleId="TableList1">
    <w:name w:val="Table List1"/>
    <w:basedOn w:val="Bullet1-Black"/>
    <w:link w:val="TableList1Char"/>
    <w:qFormat/>
    <w:rsid w:val="005A2C59"/>
    <w:pPr>
      <w:numPr>
        <w:numId w:val="20"/>
      </w:numPr>
      <w:spacing w:before="40" w:line="240" w:lineRule="atLeast"/>
      <w:ind w:left="208" w:hanging="208"/>
    </w:pPr>
    <w:rPr>
      <w:sz w:val="18"/>
      <w:szCs w:val="18"/>
    </w:rPr>
  </w:style>
  <w:style w:type="paragraph" w:styleId="NoSpacing">
    <w:name w:val="No Spacing"/>
    <w:aliases w:val="SubHeading"/>
    <w:next w:val="TextPara"/>
    <w:link w:val="NoSpacingChar"/>
    <w:uiPriority w:val="1"/>
    <w:qFormat/>
    <w:rsid w:val="000F4889"/>
    <w:pPr>
      <w:keepNext/>
      <w:spacing w:before="240" w:after="120" w:line="240" w:lineRule="auto"/>
    </w:pPr>
    <w:rPr>
      <w:rFonts w:ascii="Segoe UI" w:hAnsi="Segoe UI" w:cs="Segoe UI"/>
      <w:b/>
      <w:i/>
      <w:color w:val="0C81BC"/>
      <w:sz w:val="20"/>
      <w:szCs w:val="26"/>
    </w:rPr>
  </w:style>
  <w:style w:type="table" w:customStyle="1" w:styleId="VicroadsSimpleGrey">
    <w:name w:val="Vicroads Simple Grey"/>
    <w:basedOn w:val="TableNormal"/>
    <w:uiPriority w:val="99"/>
    <w:qFormat/>
    <w:rsid w:val="00324EDF"/>
    <w:pPr>
      <w:spacing w:before="80" w:after="0" w:line="240" w:lineRule="auto"/>
    </w:pPr>
    <w:rPr>
      <w:rFonts w:ascii="Arial" w:hAnsi="Arial"/>
    </w:rPr>
    <w:tblPr>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85" w:type="dxa"/>
        <w:right w:w="85" w:type="dxa"/>
      </w:tblCellMar>
    </w:tblPr>
    <w:tcPr>
      <w:shd w:val="clear" w:color="auto" w:fill="E8E8E8"/>
    </w:tcPr>
    <w:tblStylePr w:type="firstRow">
      <w:pPr>
        <w:wordWrap/>
        <w:spacing w:beforeLines="0" w:beforeAutospacing="0" w:afterLines="0" w:afterAutospacing="0"/>
      </w:pPr>
      <w:rPr>
        <w:rFonts w:ascii="Arial" w:hAnsi="Arial"/>
        <w:b/>
        <w:sz w:val="22"/>
      </w:rPr>
      <w:tblPr/>
      <w:tcPr>
        <w:shd w:val="clear" w:color="auto" w:fill="C8C8C8"/>
      </w:tcPr>
    </w:tblStylePr>
  </w:style>
  <w:style w:type="paragraph" w:styleId="Caption">
    <w:name w:val="caption"/>
    <w:aliases w:val="Caption Tables"/>
    <w:basedOn w:val="Normal"/>
    <w:next w:val="Normal"/>
    <w:link w:val="CaptionChar"/>
    <w:uiPriority w:val="35"/>
    <w:unhideWhenUsed/>
    <w:qFormat/>
    <w:rsid w:val="00AA0BBA"/>
    <w:pPr>
      <w:keepNext/>
      <w:spacing w:before="240" w:line="240" w:lineRule="auto"/>
      <w:ind w:left="851" w:hanging="851"/>
    </w:pPr>
    <w:rPr>
      <w:rFonts w:ascii="Segoe UI" w:hAnsi="Segoe UI" w:cs="Segoe UI"/>
      <w:b/>
      <w:bCs/>
      <w:color w:val="0A1F3F"/>
      <w:sz w:val="18"/>
      <w:szCs w:val="18"/>
    </w:rPr>
  </w:style>
  <w:style w:type="paragraph" w:customStyle="1" w:styleId="Bullet1-Black">
    <w:name w:val="Bullet 1 - Black"/>
    <w:basedOn w:val="ListParagraph"/>
    <w:link w:val="Bullet1-BlackChar"/>
    <w:qFormat/>
    <w:rsid w:val="005F6F8B"/>
    <w:pPr>
      <w:keepNext w:val="0"/>
      <w:numPr>
        <w:numId w:val="1"/>
      </w:numPr>
      <w:spacing w:before="80" w:after="40"/>
    </w:pPr>
    <w:rPr>
      <w:lang w:eastAsia="en-AU"/>
    </w:rPr>
  </w:style>
  <w:style w:type="character" w:customStyle="1" w:styleId="Bullet1-BlackChar">
    <w:name w:val="Bullet 1 - Black Char"/>
    <w:basedOn w:val="ListParagraphChar"/>
    <w:link w:val="Bullet1-Black"/>
    <w:rsid w:val="005F6F8B"/>
    <w:rPr>
      <w:rFonts w:ascii="Segoe UI" w:hAnsi="Segoe UI" w:cs="Segoe UI"/>
      <w:sz w:val="20"/>
      <w:lang w:eastAsia="en-AU"/>
    </w:rPr>
  </w:style>
  <w:style w:type="paragraph" w:customStyle="1" w:styleId="Bullet2-Green">
    <w:name w:val="Bullet 2 - Green"/>
    <w:basedOn w:val="Bullet1-Black"/>
    <w:qFormat/>
    <w:rsid w:val="00456127"/>
    <w:pPr>
      <w:numPr>
        <w:numId w:val="2"/>
      </w:numPr>
      <w:ind w:hanging="294"/>
    </w:pPr>
  </w:style>
  <w:style w:type="paragraph" w:styleId="TOCHeading">
    <w:name w:val="TOC Heading"/>
    <w:basedOn w:val="Heading1"/>
    <w:next w:val="Normal"/>
    <w:uiPriority w:val="39"/>
    <w:semiHidden/>
    <w:unhideWhenUsed/>
    <w:qFormat/>
    <w:rsid w:val="004E76B4"/>
    <w:pPr>
      <w:spacing w:before="0"/>
      <w:outlineLvl w:val="9"/>
    </w:pPr>
    <w:rPr>
      <w:color w:val="000000" w:themeColor="text1"/>
      <w:sz w:val="24"/>
    </w:rPr>
  </w:style>
  <w:style w:type="paragraph" w:styleId="TOC1">
    <w:name w:val="toc 1"/>
    <w:basedOn w:val="Normal"/>
    <w:next w:val="Normal"/>
    <w:link w:val="TOC1Char"/>
    <w:autoRedefine/>
    <w:uiPriority w:val="39"/>
    <w:unhideWhenUsed/>
    <w:qFormat/>
    <w:rsid w:val="006B5816"/>
    <w:pPr>
      <w:keepNext/>
      <w:tabs>
        <w:tab w:val="left" w:pos="426"/>
        <w:tab w:val="left" w:pos="993"/>
        <w:tab w:val="right" w:leader="dot" w:pos="9464"/>
      </w:tabs>
      <w:spacing w:before="120" w:after="0" w:line="240" w:lineRule="auto"/>
    </w:pPr>
    <w:rPr>
      <w:rFonts w:ascii="Segoe UI" w:hAnsi="Segoe UI" w:cstheme="majorHAnsi"/>
      <w:b/>
      <w:bCs/>
      <w:noProof/>
      <w:sz w:val="22"/>
      <w:szCs w:val="24"/>
    </w:rPr>
  </w:style>
  <w:style w:type="paragraph" w:styleId="TOC2">
    <w:name w:val="toc 2"/>
    <w:basedOn w:val="Normal"/>
    <w:next w:val="Normal"/>
    <w:autoRedefine/>
    <w:uiPriority w:val="39"/>
    <w:unhideWhenUsed/>
    <w:qFormat/>
    <w:rsid w:val="008103DD"/>
    <w:pPr>
      <w:keepNext/>
      <w:tabs>
        <w:tab w:val="left" w:pos="993"/>
        <w:tab w:val="right" w:leader="dot" w:pos="9464"/>
      </w:tabs>
      <w:spacing w:before="60" w:after="60" w:line="240" w:lineRule="auto"/>
      <w:ind w:left="425"/>
    </w:pPr>
    <w:rPr>
      <w:rFonts w:ascii="Segoe UI" w:hAnsi="Segoe UI" w:cstheme="minorHAnsi"/>
      <w:bCs/>
      <w:noProof/>
      <w:szCs w:val="20"/>
    </w:rPr>
  </w:style>
  <w:style w:type="character" w:styleId="Hyperlink">
    <w:name w:val="Hyperlink"/>
    <w:basedOn w:val="DefaultParagraphFont"/>
    <w:uiPriority w:val="99"/>
    <w:unhideWhenUsed/>
    <w:rsid w:val="00D40443"/>
    <w:rPr>
      <w:color w:val="2D5A92" w:themeColor="text2" w:themeTint="BF"/>
      <w:u w:val="single"/>
    </w:rPr>
  </w:style>
  <w:style w:type="paragraph" w:styleId="BalloonText">
    <w:name w:val="Balloon Text"/>
    <w:basedOn w:val="Normal"/>
    <w:link w:val="BalloonTextChar"/>
    <w:uiPriority w:val="99"/>
    <w:semiHidden/>
    <w:unhideWhenUsed/>
    <w:rsid w:val="004E7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6B4"/>
    <w:rPr>
      <w:rFonts w:ascii="Tahoma" w:hAnsi="Tahoma" w:cs="Tahoma"/>
      <w:sz w:val="16"/>
      <w:szCs w:val="16"/>
    </w:rPr>
  </w:style>
  <w:style w:type="paragraph" w:styleId="TOC3">
    <w:name w:val="toc 3"/>
    <w:basedOn w:val="TOC2"/>
    <w:next w:val="Normal"/>
    <w:autoRedefine/>
    <w:uiPriority w:val="39"/>
    <w:unhideWhenUsed/>
    <w:qFormat/>
    <w:rsid w:val="001E7078"/>
    <w:pPr>
      <w:tabs>
        <w:tab w:val="left" w:pos="1701"/>
      </w:tabs>
      <w:spacing w:before="0"/>
      <w:ind w:left="993"/>
    </w:pPr>
    <w:rPr>
      <w:rFonts w:cs="Segoe UI"/>
      <w:bCs w:val="0"/>
    </w:rPr>
  </w:style>
  <w:style w:type="table" w:customStyle="1" w:styleId="VicRoadsSimpleGreen">
    <w:name w:val="VicRoads Simple Green"/>
    <w:basedOn w:val="VicroadsSimpleGrey"/>
    <w:uiPriority w:val="99"/>
    <w:qFormat/>
    <w:rsid w:val="00324EDF"/>
    <w:tblPr/>
    <w:tcPr>
      <w:shd w:val="clear" w:color="auto" w:fill="CEE7B4"/>
    </w:tcPr>
    <w:tblStylePr w:type="firstRow">
      <w:pPr>
        <w:wordWrap/>
        <w:spacing w:beforeLines="0" w:beforeAutospacing="0" w:afterLines="0" w:afterAutospacing="0"/>
      </w:pPr>
      <w:rPr>
        <w:rFonts w:ascii="Arial" w:hAnsi="Arial"/>
        <w:b/>
        <w:sz w:val="22"/>
      </w:rPr>
      <w:tblPr/>
      <w:tcPr>
        <w:shd w:val="clear" w:color="auto" w:fill="B5DB8F"/>
      </w:tcPr>
    </w:tblStylePr>
  </w:style>
  <w:style w:type="paragraph" w:customStyle="1" w:styleId="Heading1Numbered">
    <w:name w:val="Heading 1 (Numbered)"/>
    <w:basedOn w:val="Heading1"/>
    <w:next w:val="Normal"/>
    <w:link w:val="Heading1NumberedChar"/>
    <w:qFormat/>
    <w:rsid w:val="00625A7A"/>
    <w:pPr>
      <w:numPr>
        <w:numId w:val="0"/>
      </w:numPr>
    </w:pPr>
    <w:rPr>
      <w:rFonts w:asciiTheme="minorHAnsi" w:hAnsiTheme="minorHAnsi" w:cstheme="minorHAnsi"/>
    </w:rPr>
  </w:style>
  <w:style w:type="paragraph" w:customStyle="1" w:styleId="Heading2Numbered">
    <w:name w:val="Heading 2 (Numbered)"/>
    <w:basedOn w:val="Heading2"/>
    <w:next w:val="Normal"/>
    <w:link w:val="Heading2NumberedChar"/>
    <w:qFormat/>
    <w:rsid w:val="006A2F3F"/>
  </w:style>
  <w:style w:type="paragraph" w:customStyle="1" w:styleId="Heading3Numbered">
    <w:name w:val="Heading 3 (Numbered)"/>
    <w:basedOn w:val="Heading3"/>
    <w:next w:val="Normal"/>
    <w:qFormat/>
    <w:rsid w:val="00BA4D1E"/>
    <w:pPr>
      <w:numPr>
        <w:ilvl w:val="0"/>
        <w:numId w:val="0"/>
      </w:numPr>
    </w:pPr>
    <w:rPr>
      <w:rFonts w:asciiTheme="minorHAnsi" w:hAnsiTheme="minorHAnsi" w:cstheme="minorHAnsi"/>
    </w:rPr>
  </w:style>
  <w:style w:type="paragraph" w:styleId="TOC4">
    <w:name w:val="toc 4"/>
    <w:basedOn w:val="TOC1"/>
    <w:next w:val="Normal"/>
    <w:autoRedefine/>
    <w:uiPriority w:val="39"/>
    <w:unhideWhenUsed/>
    <w:rsid w:val="00701D04"/>
    <w:pPr>
      <w:spacing w:before="0"/>
      <w:ind w:left="400"/>
    </w:pPr>
    <w:rPr>
      <w:rFonts w:asciiTheme="minorHAnsi" w:hAnsiTheme="minorHAnsi" w:cstheme="minorHAnsi"/>
      <w:b w:val="0"/>
      <w:bCs w:val="0"/>
      <w:caps/>
      <w:sz w:val="20"/>
      <w:szCs w:val="20"/>
    </w:rPr>
  </w:style>
  <w:style w:type="paragraph" w:styleId="TOC5">
    <w:name w:val="toc 5"/>
    <w:basedOn w:val="TOC2"/>
    <w:next w:val="Normal"/>
    <w:autoRedefine/>
    <w:uiPriority w:val="39"/>
    <w:unhideWhenUsed/>
    <w:rsid w:val="003B0B17"/>
    <w:pPr>
      <w:spacing w:before="0"/>
      <w:ind w:left="600"/>
    </w:pPr>
    <w:rPr>
      <w:b/>
      <w:bCs w:val="0"/>
    </w:rPr>
  </w:style>
  <w:style w:type="paragraph" w:styleId="TOC6">
    <w:name w:val="toc 6"/>
    <w:basedOn w:val="TOC3"/>
    <w:next w:val="Normal"/>
    <w:autoRedefine/>
    <w:uiPriority w:val="39"/>
    <w:unhideWhenUsed/>
    <w:rsid w:val="003B0B17"/>
    <w:pPr>
      <w:ind w:left="800"/>
    </w:pPr>
  </w:style>
  <w:style w:type="character" w:styleId="PlaceholderText">
    <w:name w:val="Placeholder Text"/>
    <w:basedOn w:val="DefaultParagraphFont"/>
    <w:uiPriority w:val="99"/>
    <w:semiHidden/>
    <w:rsid w:val="00507E0C"/>
    <w:rPr>
      <w:color w:val="808080"/>
    </w:rPr>
  </w:style>
  <w:style w:type="paragraph" w:styleId="Header">
    <w:name w:val="header"/>
    <w:basedOn w:val="Normal"/>
    <w:link w:val="HeaderChar"/>
    <w:unhideWhenUsed/>
    <w:rsid w:val="00507E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E0C"/>
    <w:rPr>
      <w:sz w:val="20"/>
    </w:rPr>
  </w:style>
  <w:style w:type="paragraph" w:styleId="Footer">
    <w:name w:val="footer"/>
    <w:basedOn w:val="Normal"/>
    <w:link w:val="FooterChar"/>
    <w:uiPriority w:val="99"/>
    <w:unhideWhenUsed/>
    <w:rsid w:val="00507E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E0C"/>
    <w:rPr>
      <w:sz w:val="20"/>
    </w:rPr>
  </w:style>
  <w:style w:type="paragraph" w:customStyle="1" w:styleId="2183409D935E4D55ADDFC96B50F64B16">
    <w:name w:val="2183409D935E4D55ADDFC96B50F64B16"/>
    <w:rsid w:val="00701D04"/>
    <w:rPr>
      <w:rFonts w:eastAsiaTheme="minorEastAsia"/>
      <w:lang w:eastAsia="en-AU"/>
    </w:rPr>
  </w:style>
  <w:style w:type="character" w:styleId="IntenseEmphasis">
    <w:name w:val="Intense Emphasis"/>
    <w:basedOn w:val="DefaultParagraphFont"/>
    <w:uiPriority w:val="21"/>
    <w:qFormat/>
    <w:rsid w:val="00BA0FBE"/>
    <w:rPr>
      <w:b/>
      <w:bCs/>
      <w:i/>
      <w:iCs/>
      <w:color w:val="39B54A"/>
    </w:rPr>
  </w:style>
  <w:style w:type="character" w:styleId="Emphasis">
    <w:name w:val="Emphasis"/>
    <w:basedOn w:val="DefaultParagraphFont"/>
    <w:uiPriority w:val="20"/>
    <w:qFormat/>
    <w:rsid w:val="007D2A7C"/>
    <w:rPr>
      <w:i/>
      <w:iCs/>
    </w:rPr>
  </w:style>
  <w:style w:type="paragraph" w:styleId="TableofFigures">
    <w:name w:val="table of figures"/>
    <w:basedOn w:val="Normal"/>
    <w:next w:val="Normal"/>
    <w:uiPriority w:val="99"/>
    <w:unhideWhenUsed/>
    <w:rsid w:val="007D15F9"/>
    <w:pPr>
      <w:spacing w:after="0" w:line="320" w:lineRule="exact"/>
      <w:ind w:left="992" w:hanging="992"/>
    </w:pPr>
    <w:rPr>
      <w:rFonts w:ascii="Segoe UI" w:hAnsi="Segoe UI"/>
    </w:rPr>
  </w:style>
  <w:style w:type="paragraph" w:styleId="IntenseQuote">
    <w:name w:val="Intense Quote"/>
    <w:basedOn w:val="Normal"/>
    <w:next w:val="Normal"/>
    <w:link w:val="IntenseQuoteChar"/>
    <w:uiPriority w:val="30"/>
    <w:rsid w:val="00BA0FBE"/>
    <w:pPr>
      <w:pBdr>
        <w:bottom w:val="single" w:sz="4" w:space="4" w:color="39B54A"/>
      </w:pBdr>
      <w:spacing w:before="200" w:after="280"/>
      <w:ind w:left="936" w:right="936"/>
    </w:pPr>
    <w:rPr>
      <w:b/>
      <w:bCs/>
      <w:i/>
      <w:iCs/>
      <w:color w:val="39B54A"/>
    </w:rPr>
  </w:style>
  <w:style w:type="character" w:customStyle="1" w:styleId="IntenseQuoteChar">
    <w:name w:val="Intense Quote Char"/>
    <w:basedOn w:val="DefaultParagraphFont"/>
    <w:link w:val="IntenseQuote"/>
    <w:uiPriority w:val="30"/>
    <w:rsid w:val="00BA0FBE"/>
    <w:rPr>
      <w:rFonts w:ascii="Arial" w:hAnsi="Arial"/>
      <w:b/>
      <w:bCs/>
      <w:i/>
      <w:iCs/>
      <w:color w:val="39B54A"/>
      <w:sz w:val="20"/>
    </w:rPr>
  </w:style>
  <w:style w:type="character" w:styleId="SubtleReference">
    <w:name w:val="Subtle Reference"/>
    <w:basedOn w:val="DefaultParagraphFont"/>
    <w:uiPriority w:val="31"/>
    <w:rsid w:val="00BA0FBE"/>
    <w:rPr>
      <w:smallCaps/>
      <w:color w:val="39B54A"/>
      <w:u w:val="single"/>
    </w:rPr>
  </w:style>
  <w:style w:type="character" w:styleId="IntenseReference">
    <w:name w:val="Intense Reference"/>
    <w:basedOn w:val="DefaultParagraphFont"/>
    <w:uiPriority w:val="32"/>
    <w:rsid w:val="00BA0FBE"/>
    <w:rPr>
      <w:b/>
      <w:bCs/>
      <w:smallCaps/>
      <w:color w:val="39B54A"/>
      <w:spacing w:val="5"/>
      <w:u w:val="single"/>
    </w:rPr>
  </w:style>
  <w:style w:type="paragraph" w:customStyle="1" w:styleId="Verdana25ptlightgreen">
    <w:name w:val="Verdana 25pt light green"/>
    <w:basedOn w:val="Normal"/>
    <w:rsid w:val="005E68E2"/>
    <w:pPr>
      <w:spacing w:after="400" w:line="240" w:lineRule="auto"/>
    </w:pPr>
    <w:rPr>
      <w:rFonts w:ascii="Verdana-Bold" w:eastAsia="Times New Roman" w:hAnsi="Verdana-Bold" w:cs="Verdana-Bold"/>
      <w:b/>
      <w:bCs/>
      <w:color w:val="8CC63F"/>
      <w:sz w:val="50"/>
      <w:szCs w:val="50"/>
      <w:lang w:val="en-US"/>
    </w:rPr>
  </w:style>
  <w:style w:type="paragraph" w:customStyle="1" w:styleId="Footer1">
    <w:name w:val="Footer1"/>
    <w:basedOn w:val="Normal"/>
    <w:uiPriority w:val="99"/>
    <w:rsid w:val="005E68E2"/>
    <w:pPr>
      <w:tabs>
        <w:tab w:val="center" w:pos="4820"/>
      </w:tabs>
      <w:spacing w:after="240" w:line="240" w:lineRule="auto"/>
    </w:pPr>
    <w:rPr>
      <w:rFonts w:ascii="Verdana" w:eastAsia="Times New Roman" w:hAnsi="Verdana" w:cs="Times New Roman"/>
      <w:caps/>
      <w:color w:val="818A8F"/>
      <w:sz w:val="14"/>
      <w:szCs w:val="24"/>
    </w:rPr>
  </w:style>
  <w:style w:type="paragraph" w:customStyle="1" w:styleId="Verdana14ptlightgrey">
    <w:name w:val="Verdana 14pt light grey"/>
    <w:basedOn w:val="Normal"/>
    <w:uiPriority w:val="99"/>
    <w:rsid w:val="005E68E2"/>
    <w:pPr>
      <w:spacing w:after="240" w:line="240" w:lineRule="auto"/>
    </w:pPr>
    <w:rPr>
      <w:rFonts w:ascii="Verdana" w:eastAsia="Times New Roman" w:hAnsi="Verdana" w:cs="Verdana"/>
      <w:color w:val="818A8F"/>
      <w:sz w:val="28"/>
      <w:szCs w:val="28"/>
      <w:lang w:val="en-US"/>
    </w:rPr>
  </w:style>
  <w:style w:type="paragraph" w:styleId="NormalIndent">
    <w:name w:val="Normal Indent"/>
    <w:basedOn w:val="Normal"/>
    <w:uiPriority w:val="99"/>
    <w:rsid w:val="005E68E2"/>
    <w:pPr>
      <w:spacing w:after="240" w:line="240" w:lineRule="auto"/>
      <w:ind w:left="851"/>
    </w:pPr>
    <w:rPr>
      <w:rFonts w:ascii="Verdana" w:eastAsia="Times New Roman" w:hAnsi="Verdana" w:cs="Times New Roman"/>
      <w:color w:val="37424A"/>
      <w:sz w:val="18"/>
      <w:szCs w:val="24"/>
    </w:rPr>
  </w:style>
  <w:style w:type="paragraph" w:customStyle="1" w:styleId="Tabletext">
    <w:name w:val="Table text"/>
    <w:basedOn w:val="Normal"/>
    <w:uiPriority w:val="99"/>
    <w:rsid w:val="005E68E2"/>
    <w:pPr>
      <w:spacing w:before="60" w:after="60" w:line="240" w:lineRule="auto"/>
    </w:pPr>
    <w:rPr>
      <w:rFonts w:ascii="Verdana" w:eastAsia="Times New Roman" w:hAnsi="Verdana" w:cs="Times New Roman"/>
      <w:color w:val="333333"/>
      <w:sz w:val="18"/>
      <w:szCs w:val="24"/>
    </w:rPr>
  </w:style>
  <w:style w:type="paragraph" w:customStyle="1" w:styleId="Tableheading">
    <w:name w:val="Table heading"/>
    <w:basedOn w:val="Normal"/>
    <w:rsid w:val="005E68E2"/>
    <w:pPr>
      <w:widowControl w:val="0"/>
      <w:spacing w:before="120" w:line="240" w:lineRule="auto"/>
    </w:pPr>
    <w:rPr>
      <w:rFonts w:ascii="Verdana" w:eastAsia="Times New Roman" w:hAnsi="Verdana" w:cs="Times New Roman"/>
      <w:b/>
      <w:color w:val="FFFFFF"/>
      <w:sz w:val="18"/>
      <w:szCs w:val="18"/>
      <w:lang w:val="en-US"/>
    </w:rPr>
  </w:style>
  <w:style w:type="paragraph" w:customStyle="1" w:styleId="Verdana14ptlightgreen">
    <w:name w:val="Verdana 14pt light green"/>
    <w:basedOn w:val="Normal"/>
    <w:uiPriority w:val="99"/>
    <w:rsid w:val="005E68E2"/>
    <w:pPr>
      <w:keepNext/>
      <w:spacing w:line="240" w:lineRule="auto"/>
    </w:pPr>
    <w:rPr>
      <w:rFonts w:ascii="Verdana" w:eastAsia="Times New Roman" w:hAnsi="Verdana" w:cs="Times New Roman"/>
      <w:b/>
      <w:bCs/>
      <w:color w:val="8CC63F"/>
      <w:sz w:val="24"/>
      <w:szCs w:val="20"/>
    </w:rPr>
  </w:style>
  <w:style w:type="paragraph" w:customStyle="1" w:styleId="StyleHeading1TopicHeading1h1BoldCustomColorRGB140198">
    <w:name w:val="Style Heading 1Topic Heading 1h1 + Bold Custom Color(RGB(140198..."/>
    <w:basedOn w:val="Heading1"/>
    <w:autoRedefine/>
    <w:uiPriority w:val="99"/>
    <w:rsid w:val="005E68E2"/>
    <w:pPr>
      <w:spacing w:after="60"/>
      <w:ind w:left="360"/>
    </w:pPr>
    <w:rPr>
      <w:rFonts w:ascii="Verdana" w:eastAsia="Times New Roman" w:hAnsi="Verdana" w:cs="Times New Roman"/>
      <w:color w:val="37424A"/>
      <w:sz w:val="22"/>
      <w:szCs w:val="36"/>
    </w:rPr>
  </w:style>
  <w:style w:type="character" w:styleId="CommentReference">
    <w:name w:val="annotation reference"/>
    <w:basedOn w:val="DefaultParagraphFont"/>
    <w:uiPriority w:val="99"/>
    <w:semiHidden/>
    <w:unhideWhenUsed/>
    <w:rsid w:val="005E68E2"/>
    <w:rPr>
      <w:sz w:val="16"/>
      <w:szCs w:val="16"/>
    </w:rPr>
  </w:style>
  <w:style w:type="paragraph" w:styleId="CommentText">
    <w:name w:val="annotation text"/>
    <w:basedOn w:val="Normal"/>
    <w:link w:val="CommentTextChar"/>
    <w:uiPriority w:val="99"/>
    <w:unhideWhenUsed/>
    <w:rsid w:val="005E68E2"/>
    <w:pPr>
      <w:spacing w:line="240" w:lineRule="auto"/>
    </w:pPr>
    <w:rPr>
      <w:szCs w:val="20"/>
    </w:rPr>
  </w:style>
  <w:style w:type="character" w:customStyle="1" w:styleId="CommentTextChar">
    <w:name w:val="Comment Text Char"/>
    <w:basedOn w:val="DefaultParagraphFont"/>
    <w:link w:val="CommentText"/>
    <w:uiPriority w:val="99"/>
    <w:rsid w:val="005E68E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E68E2"/>
    <w:rPr>
      <w:b/>
      <w:bCs/>
    </w:rPr>
  </w:style>
  <w:style w:type="character" w:customStyle="1" w:styleId="CommentSubjectChar">
    <w:name w:val="Comment Subject Char"/>
    <w:basedOn w:val="CommentTextChar"/>
    <w:link w:val="CommentSubject"/>
    <w:uiPriority w:val="99"/>
    <w:semiHidden/>
    <w:rsid w:val="005E68E2"/>
    <w:rPr>
      <w:rFonts w:ascii="Arial" w:hAnsi="Arial"/>
      <w:b/>
      <w:bCs/>
      <w:sz w:val="20"/>
      <w:szCs w:val="20"/>
    </w:rPr>
  </w:style>
  <w:style w:type="paragraph" w:customStyle="1" w:styleId="TableText0">
    <w:name w:val="Table Text"/>
    <w:aliases w:val="tt,Tabletext"/>
    <w:basedOn w:val="Normal"/>
    <w:rsid w:val="001B4A5E"/>
    <w:pPr>
      <w:spacing w:before="60" w:after="60" w:line="240" w:lineRule="auto"/>
    </w:pPr>
    <w:rPr>
      <w:rFonts w:ascii="Verdana" w:eastAsia="Times New Roman" w:hAnsi="Verdana" w:cs="Times New Roman"/>
      <w:color w:val="37424A"/>
      <w:sz w:val="18"/>
      <w:szCs w:val="24"/>
    </w:rPr>
  </w:style>
  <w:style w:type="paragraph" w:customStyle="1" w:styleId="TableHeading0">
    <w:name w:val="Table Heading"/>
    <w:basedOn w:val="TableText0"/>
    <w:next w:val="TableText0"/>
    <w:link w:val="TableHeadingChar"/>
    <w:rsid w:val="001B4A5E"/>
    <w:pPr>
      <w:tabs>
        <w:tab w:val="left" w:pos="567"/>
        <w:tab w:val="left" w:pos="1134"/>
        <w:tab w:val="left" w:pos="1797"/>
        <w:tab w:val="left" w:pos="5398"/>
        <w:tab w:val="right" w:pos="6521"/>
      </w:tabs>
      <w:spacing w:before="80" w:after="80" w:line="200" w:lineRule="atLeast"/>
    </w:pPr>
    <w:rPr>
      <w:rFonts w:ascii="Arial Bold" w:hAnsi="Arial Bold"/>
      <w:color w:val="000000"/>
      <w:sz w:val="20"/>
    </w:rPr>
  </w:style>
  <w:style w:type="character" w:customStyle="1" w:styleId="TableHeadingChar">
    <w:name w:val="Table Heading Char"/>
    <w:basedOn w:val="DefaultParagraphFont"/>
    <w:link w:val="TableHeading0"/>
    <w:rsid w:val="001B4A5E"/>
    <w:rPr>
      <w:rFonts w:ascii="Arial Bold" w:eastAsia="Times New Roman" w:hAnsi="Arial Bold" w:cs="Times New Roman"/>
      <w:color w:val="000000"/>
      <w:sz w:val="20"/>
      <w:szCs w:val="24"/>
    </w:rPr>
  </w:style>
  <w:style w:type="paragraph" w:customStyle="1" w:styleId="Default">
    <w:name w:val="Default"/>
    <w:rsid w:val="001B4A5E"/>
    <w:pPr>
      <w:autoSpaceDE w:val="0"/>
      <w:autoSpaceDN w:val="0"/>
      <w:adjustRightInd w:val="0"/>
      <w:spacing w:after="0" w:line="240" w:lineRule="auto"/>
    </w:pPr>
    <w:rPr>
      <w:rFonts w:ascii="Verdana" w:eastAsia="Times New Roman" w:hAnsi="Verdana" w:cs="Verdana"/>
      <w:color w:val="000000"/>
      <w:sz w:val="24"/>
      <w:szCs w:val="24"/>
      <w:lang w:eastAsia="en-AU"/>
    </w:rPr>
  </w:style>
  <w:style w:type="paragraph" w:styleId="FootnoteText">
    <w:name w:val="footnote text"/>
    <w:aliases w:val="fn,FT,ft,SD Footnote Text,Footnote Text AG"/>
    <w:basedOn w:val="Normal"/>
    <w:link w:val="FootnoteTextChar"/>
    <w:uiPriority w:val="99"/>
    <w:unhideWhenUsed/>
    <w:rsid w:val="00753DBB"/>
    <w:pPr>
      <w:spacing w:after="0" w:line="240" w:lineRule="auto"/>
    </w:pPr>
    <w:rPr>
      <w:rFonts w:asciiTheme="minorHAnsi" w:hAnsiTheme="minorHAnsi"/>
      <w:szCs w:val="20"/>
    </w:rPr>
  </w:style>
  <w:style w:type="character" w:customStyle="1" w:styleId="FootnoteTextChar">
    <w:name w:val="Footnote Text Char"/>
    <w:aliases w:val="fn Char,FT Char,ft Char,SD Footnote Text Char,Footnote Text AG Char"/>
    <w:basedOn w:val="DefaultParagraphFont"/>
    <w:link w:val="FootnoteText"/>
    <w:uiPriority w:val="99"/>
    <w:rsid w:val="00753DBB"/>
    <w:rPr>
      <w:sz w:val="20"/>
      <w:szCs w:val="20"/>
    </w:rPr>
  </w:style>
  <w:style w:type="character" w:styleId="FootnoteReference">
    <w:name w:val="footnote reference"/>
    <w:basedOn w:val="DefaultParagraphFont"/>
    <w:uiPriority w:val="99"/>
    <w:unhideWhenUsed/>
    <w:rsid w:val="00753DBB"/>
    <w:rPr>
      <w:vertAlign w:val="superscript"/>
    </w:rPr>
  </w:style>
  <w:style w:type="paragraph" w:styleId="NormalWeb">
    <w:name w:val="Normal (Web)"/>
    <w:basedOn w:val="Normal"/>
    <w:uiPriority w:val="99"/>
    <w:unhideWhenUsed/>
    <w:rsid w:val="004639FC"/>
    <w:pPr>
      <w:spacing w:before="100" w:beforeAutospacing="1" w:after="100" w:afterAutospacing="1" w:line="240" w:lineRule="auto"/>
    </w:pPr>
    <w:rPr>
      <w:rFonts w:ascii="Times" w:hAnsi="Times" w:cs="Times New Roman"/>
      <w:szCs w:val="20"/>
      <w:lang w:val="en-US"/>
    </w:rPr>
  </w:style>
  <w:style w:type="paragraph" w:styleId="TOC7">
    <w:name w:val="toc 7"/>
    <w:basedOn w:val="Normal"/>
    <w:next w:val="Normal"/>
    <w:autoRedefine/>
    <w:uiPriority w:val="39"/>
    <w:unhideWhenUsed/>
    <w:rsid w:val="00CC7D4B"/>
    <w:pPr>
      <w:spacing w:after="0"/>
      <w:ind w:left="1000"/>
    </w:pPr>
    <w:rPr>
      <w:rFonts w:asciiTheme="minorHAnsi" w:hAnsiTheme="minorHAnsi" w:cstheme="minorHAnsi"/>
      <w:szCs w:val="20"/>
    </w:rPr>
  </w:style>
  <w:style w:type="paragraph" w:styleId="TOC8">
    <w:name w:val="toc 8"/>
    <w:basedOn w:val="Normal"/>
    <w:next w:val="Normal"/>
    <w:autoRedefine/>
    <w:uiPriority w:val="39"/>
    <w:unhideWhenUsed/>
    <w:rsid w:val="00CC7D4B"/>
    <w:pPr>
      <w:spacing w:after="0"/>
      <w:ind w:left="1200"/>
    </w:pPr>
    <w:rPr>
      <w:rFonts w:asciiTheme="minorHAnsi" w:hAnsiTheme="minorHAnsi" w:cstheme="minorHAnsi"/>
      <w:szCs w:val="20"/>
    </w:rPr>
  </w:style>
  <w:style w:type="paragraph" w:styleId="TOC9">
    <w:name w:val="toc 9"/>
    <w:basedOn w:val="Normal"/>
    <w:next w:val="Normal"/>
    <w:autoRedefine/>
    <w:uiPriority w:val="39"/>
    <w:unhideWhenUsed/>
    <w:rsid w:val="00CC7D4B"/>
    <w:pPr>
      <w:spacing w:after="0"/>
      <w:ind w:left="1400"/>
    </w:pPr>
    <w:rPr>
      <w:rFonts w:asciiTheme="minorHAnsi" w:hAnsiTheme="minorHAnsi" w:cstheme="minorHAnsi"/>
      <w:szCs w:val="20"/>
    </w:rPr>
  </w:style>
  <w:style w:type="table" w:customStyle="1" w:styleId="LightShading1">
    <w:name w:val="Light Shading1"/>
    <w:basedOn w:val="TableNormal"/>
    <w:uiPriority w:val="60"/>
    <w:rsid w:val="0057190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D401F5"/>
    <w:pPr>
      <w:spacing w:after="0" w:line="240" w:lineRule="auto"/>
    </w:pPr>
    <w:tblPr>
      <w:tblStyleRowBandSize w:val="1"/>
      <w:tblStyleColBandSize w:val="1"/>
      <w:tblBorders>
        <w:top w:val="single" w:sz="8" w:space="0" w:color="39B54A" w:themeColor="accent1"/>
        <w:left w:val="single" w:sz="8" w:space="0" w:color="39B54A" w:themeColor="accent1"/>
        <w:bottom w:val="single" w:sz="8" w:space="0" w:color="39B54A" w:themeColor="accent1"/>
        <w:right w:val="single" w:sz="8" w:space="0" w:color="39B54A" w:themeColor="accent1"/>
      </w:tblBorders>
    </w:tblPr>
    <w:tblStylePr w:type="firstRow">
      <w:pPr>
        <w:spacing w:before="0" w:after="0" w:line="240" w:lineRule="auto"/>
      </w:pPr>
      <w:rPr>
        <w:b/>
        <w:bCs/>
        <w:color w:val="FFFFFF" w:themeColor="background1"/>
      </w:rPr>
      <w:tblPr/>
      <w:tcPr>
        <w:shd w:val="clear" w:color="auto" w:fill="39B54A" w:themeFill="accent1"/>
      </w:tcPr>
    </w:tblStylePr>
    <w:tblStylePr w:type="lastRow">
      <w:pPr>
        <w:spacing w:before="0" w:after="0" w:line="240" w:lineRule="auto"/>
      </w:pPr>
      <w:rPr>
        <w:b/>
        <w:bCs/>
      </w:rPr>
      <w:tblPr/>
      <w:tcPr>
        <w:tcBorders>
          <w:top w:val="double" w:sz="6" w:space="0" w:color="39B54A" w:themeColor="accent1"/>
          <w:left w:val="single" w:sz="8" w:space="0" w:color="39B54A" w:themeColor="accent1"/>
          <w:bottom w:val="single" w:sz="8" w:space="0" w:color="39B54A" w:themeColor="accent1"/>
          <w:right w:val="single" w:sz="8" w:space="0" w:color="39B54A" w:themeColor="accent1"/>
        </w:tcBorders>
      </w:tcPr>
    </w:tblStylePr>
    <w:tblStylePr w:type="firstCol">
      <w:rPr>
        <w:b/>
        <w:bCs/>
      </w:rPr>
    </w:tblStylePr>
    <w:tblStylePr w:type="lastCol">
      <w:rPr>
        <w:b/>
        <w:bCs/>
      </w:rPr>
    </w:tblStylePr>
    <w:tblStylePr w:type="band1Vert">
      <w:tblPr/>
      <w:tcPr>
        <w:tcBorders>
          <w:top w:val="single" w:sz="8" w:space="0" w:color="39B54A" w:themeColor="accent1"/>
          <w:left w:val="single" w:sz="8" w:space="0" w:color="39B54A" w:themeColor="accent1"/>
          <w:bottom w:val="single" w:sz="8" w:space="0" w:color="39B54A" w:themeColor="accent1"/>
          <w:right w:val="single" w:sz="8" w:space="0" w:color="39B54A" w:themeColor="accent1"/>
        </w:tcBorders>
      </w:tcPr>
    </w:tblStylePr>
    <w:tblStylePr w:type="band1Horz">
      <w:tblPr/>
      <w:tcPr>
        <w:tcBorders>
          <w:top w:val="single" w:sz="8" w:space="0" w:color="39B54A" w:themeColor="accent1"/>
          <w:left w:val="single" w:sz="8" w:space="0" w:color="39B54A" w:themeColor="accent1"/>
          <w:bottom w:val="single" w:sz="8" w:space="0" w:color="39B54A" w:themeColor="accent1"/>
          <w:right w:val="single" w:sz="8" w:space="0" w:color="39B54A" w:themeColor="accent1"/>
        </w:tcBorders>
      </w:tcPr>
    </w:tblStylePr>
  </w:style>
  <w:style w:type="table" w:styleId="LightList-Accent4">
    <w:name w:val="Light List Accent 4"/>
    <w:basedOn w:val="TableNormal"/>
    <w:uiPriority w:val="61"/>
    <w:rsid w:val="00EA46C2"/>
    <w:pPr>
      <w:spacing w:after="0" w:line="240" w:lineRule="auto"/>
    </w:pPr>
    <w:tblPr>
      <w:tblStyleRowBandSize w:val="1"/>
      <w:tblStyleColBandSize w:val="1"/>
    </w:tblPr>
    <w:tblStylePr w:type="firstRow">
      <w:pPr>
        <w:spacing w:before="0" w:after="0" w:line="240" w:lineRule="auto"/>
      </w:pPr>
      <w:rPr>
        <w:b/>
        <w:bCs/>
        <w:color w:val="FFFFFF" w:themeColor="background1"/>
      </w:rPr>
      <w:tblPr/>
      <w:tcPr>
        <w:shd w:val="clear" w:color="auto" w:fill="00673E" w:themeFill="accent4"/>
      </w:tcPr>
    </w:tblStylePr>
    <w:tblStylePr w:type="lastRow">
      <w:pPr>
        <w:spacing w:before="0" w:after="0" w:line="240" w:lineRule="auto"/>
      </w:pPr>
      <w:rPr>
        <w:b/>
        <w:bCs/>
      </w:rPr>
      <w:tblPr/>
      <w:tcPr>
        <w:tcBorders>
          <w:top w:val="double" w:sz="6" w:space="0" w:color="00673E" w:themeColor="accent4"/>
          <w:left w:val="single" w:sz="8" w:space="0" w:color="00673E" w:themeColor="accent4"/>
          <w:bottom w:val="single" w:sz="8" w:space="0" w:color="00673E" w:themeColor="accent4"/>
          <w:right w:val="single" w:sz="8" w:space="0" w:color="00673E" w:themeColor="accent4"/>
        </w:tcBorders>
      </w:tcPr>
    </w:tblStylePr>
    <w:tblStylePr w:type="firstCol">
      <w:rPr>
        <w:b/>
        <w:bCs/>
      </w:rPr>
    </w:tblStylePr>
    <w:tblStylePr w:type="lastCol">
      <w:rPr>
        <w:b/>
        <w:bCs/>
      </w:rPr>
    </w:tblStylePr>
    <w:tblStylePr w:type="band1Vert">
      <w:tblPr/>
      <w:tcPr>
        <w:tcBorders>
          <w:top w:val="single" w:sz="8" w:space="0" w:color="00673E" w:themeColor="accent4"/>
          <w:left w:val="single" w:sz="8" w:space="0" w:color="00673E" w:themeColor="accent4"/>
          <w:bottom w:val="single" w:sz="8" w:space="0" w:color="00673E" w:themeColor="accent4"/>
          <w:right w:val="single" w:sz="8" w:space="0" w:color="00673E" w:themeColor="accent4"/>
        </w:tcBorders>
      </w:tcPr>
    </w:tblStylePr>
    <w:tblStylePr w:type="band1Horz">
      <w:tblPr/>
      <w:tcPr>
        <w:tcBorders>
          <w:top w:val="single" w:sz="8" w:space="0" w:color="00673E" w:themeColor="accent4"/>
          <w:left w:val="single" w:sz="8" w:space="0" w:color="00673E" w:themeColor="accent4"/>
          <w:bottom w:val="single" w:sz="8" w:space="0" w:color="00673E" w:themeColor="accent4"/>
          <w:right w:val="single" w:sz="8" w:space="0" w:color="00673E" w:themeColor="accent4"/>
        </w:tcBorders>
      </w:tcPr>
    </w:tblStylePr>
  </w:style>
  <w:style w:type="paragraph" w:customStyle="1" w:styleId="Heading-PART">
    <w:name w:val="Heading - PART"/>
    <w:next w:val="Normal"/>
    <w:link w:val="Heading-PARTChar"/>
    <w:rsid w:val="004632A6"/>
    <w:pPr>
      <w:overflowPunct w:val="0"/>
      <w:autoSpaceDE w:val="0"/>
      <w:autoSpaceDN w:val="0"/>
      <w:adjustRightInd w:val="0"/>
      <w:spacing w:before="240" w:after="120" w:line="240" w:lineRule="auto"/>
      <w:jc w:val="center"/>
      <w:textAlignment w:val="baseline"/>
      <w:outlineLvl w:val="0"/>
    </w:pPr>
    <w:rPr>
      <w:rFonts w:ascii="Times New Roman" w:eastAsia="Times New Roman" w:hAnsi="Times New Roman" w:cs="Times New Roman"/>
      <w:b/>
      <w:caps/>
      <w:szCs w:val="20"/>
    </w:rPr>
  </w:style>
  <w:style w:type="paragraph" w:styleId="ListBullet">
    <w:name w:val="List Bullet"/>
    <w:basedOn w:val="Normal"/>
    <w:autoRedefine/>
    <w:rsid w:val="004632A6"/>
    <w:pPr>
      <w:numPr>
        <w:numId w:val="3"/>
      </w:numPr>
      <w:suppressLineNumber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Normal-Schedule">
    <w:name w:val="Normal - Schedule"/>
    <w:rsid w:val="004632A6"/>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table" w:styleId="MediumShading1-Accent4">
    <w:name w:val="Medium Shading 1 Accent 4"/>
    <w:basedOn w:val="TableNormal"/>
    <w:uiPriority w:val="63"/>
    <w:rsid w:val="003A1189"/>
    <w:pPr>
      <w:spacing w:after="0" w:line="240" w:lineRule="auto"/>
    </w:pPr>
    <w:tblPr>
      <w:tblStyleRowBandSize w:val="1"/>
      <w:tblStyleColBandSize w:val="1"/>
      <w:tblBorders>
        <w:top w:val="single" w:sz="8" w:space="0" w:color="00CD7B" w:themeColor="accent4" w:themeTint="BF"/>
        <w:left w:val="single" w:sz="8" w:space="0" w:color="00CD7B" w:themeColor="accent4" w:themeTint="BF"/>
        <w:bottom w:val="single" w:sz="8" w:space="0" w:color="00CD7B" w:themeColor="accent4" w:themeTint="BF"/>
        <w:right w:val="single" w:sz="8" w:space="0" w:color="00CD7B" w:themeColor="accent4" w:themeTint="BF"/>
        <w:insideH w:val="single" w:sz="8" w:space="0" w:color="00CD7B" w:themeColor="accent4" w:themeTint="BF"/>
      </w:tblBorders>
    </w:tblPr>
    <w:tblStylePr w:type="firstRow">
      <w:pPr>
        <w:spacing w:before="0" w:after="0" w:line="240" w:lineRule="auto"/>
      </w:pPr>
      <w:rPr>
        <w:b/>
        <w:bCs/>
        <w:color w:val="FFFFFF" w:themeColor="background1"/>
      </w:rPr>
      <w:tblPr/>
      <w:tcPr>
        <w:tcBorders>
          <w:top w:val="single" w:sz="8" w:space="0" w:color="00CD7B" w:themeColor="accent4" w:themeTint="BF"/>
          <w:left w:val="single" w:sz="8" w:space="0" w:color="00CD7B" w:themeColor="accent4" w:themeTint="BF"/>
          <w:bottom w:val="single" w:sz="8" w:space="0" w:color="00CD7B" w:themeColor="accent4" w:themeTint="BF"/>
          <w:right w:val="single" w:sz="8" w:space="0" w:color="00CD7B" w:themeColor="accent4" w:themeTint="BF"/>
          <w:insideH w:val="nil"/>
          <w:insideV w:val="nil"/>
        </w:tcBorders>
        <w:shd w:val="clear" w:color="auto" w:fill="00673E" w:themeFill="accent4"/>
      </w:tcPr>
    </w:tblStylePr>
    <w:tblStylePr w:type="lastRow">
      <w:pPr>
        <w:spacing w:before="0" w:after="0" w:line="240" w:lineRule="auto"/>
      </w:pPr>
      <w:rPr>
        <w:b/>
        <w:bCs/>
      </w:rPr>
      <w:tblPr/>
      <w:tcPr>
        <w:tcBorders>
          <w:top w:val="double" w:sz="6" w:space="0" w:color="00CD7B" w:themeColor="accent4" w:themeTint="BF"/>
          <w:left w:val="single" w:sz="8" w:space="0" w:color="00CD7B" w:themeColor="accent4" w:themeTint="BF"/>
          <w:bottom w:val="single" w:sz="8" w:space="0" w:color="00CD7B" w:themeColor="accent4" w:themeTint="BF"/>
          <w:right w:val="single" w:sz="8" w:space="0" w:color="00CD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9AFFD6" w:themeFill="accent4" w:themeFillTint="3F"/>
      </w:tcPr>
    </w:tblStylePr>
    <w:tblStylePr w:type="band1Horz">
      <w:tblPr/>
      <w:tcPr>
        <w:tcBorders>
          <w:insideH w:val="nil"/>
          <w:insideV w:val="nil"/>
        </w:tcBorders>
        <w:shd w:val="clear" w:color="auto" w:fill="9AFFD6" w:themeFill="accent4" w:themeFillTint="3F"/>
      </w:tcPr>
    </w:tblStylePr>
    <w:tblStylePr w:type="band2Horz">
      <w:tblPr/>
      <w:tcPr>
        <w:tcBorders>
          <w:insideH w:val="nil"/>
          <w:insideV w:val="nil"/>
        </w:tcBorders>
      </w:tcPr>
    </w:tblStylePr>
  </w:style>
  <w:style w:type="character" w:styleId="Strong">
    <w:name w:val="Strong"/>
    <w:basedOn w:val="HeadingSubNoNumChar"/>
    <w:uiPriority w:val="22"/>
    <w:qFormat/>
    <w:rsid w:val="00816E9D"/>
    <w:rPr>
      <w:rFonts w:ascii="Segoe UI" w:eastAsiaTheme="majorEastAsia" w:hAnsi="Segoe UI" w:cs="Segoe UI"/>
      <w:b/>
      <w:bCs/>
      <w:color w:val="0C81BC"/>
      <w:sz w:val="16"/>
      <w:szCs w:val="28"/>
    </w:rPr>
  </w:style>
  <w:style w:type="paragraph" w:styleId="Revision">
    <w:name w:val="Revision"/>
    <w:hidden/>
    <w:uiPriority w:val="99"/>
    <w:semiHidden/>
    <w:rsid w:val="00BA4869"/>
    <w:pPr>
      <w:spacing w:after="0" w:line="240" w:lineRule="auto"/>
    </w:pPr>
    <w:rPr>
      <w:rFonts w:ascii="Arial" w:hAnsi="Arial"/>
      <w:sz w:val="20"/>
    </w:rPr>
  </w:style>
  <w:style w:type="table" w:styleId="MediumList1-Accent5">
    <w:name w:val="Medium List 1 Accent 5"/>
    <w:basedOn w:val="TableNormal"/>
    <w:uiPriority w:val="65"/>
    <w:rsid w:val="00B544A7"/>
    <w:pPr>
      <w:spacing w:after="0" w:line="240" w:lineRule="auto"/>
    </w:pPr>
    <w:rPr>
      <w:color w:val="000000" w:themeColor="text1"/>
    </w:rPr>
    <w:tblPr>
      <w:tblStyleRowBandSize w:val="1"/>
      <w:tblStyleColBandSize w:val="1"/>
      <w:tblBorders>
        <w:top w:val="single" w:sz="8" w:space="0" w:color="E7B513" w:themeColor="accent5"/>
        <w:bottom w:val="single" w:sz="8" w:space="0" w:color="E7B513" w:themeColor="accent5"/>
      </w:tblBorders>
    </w:tblPr>
    <w:tblStylePr w:type="firstRow">
      <w:rPr>
        <w:rFonts w:asciiTheme="majorHAnsi" w:eastAsiaTheme="majorEastAsia" w:hAnsiTheme="majorHAnsi" w:cstheme="majorBidi"/>
      </w:rPr>
      <w:tblPr/>
      <w:tcPr>
        <w:tcBorders>
          <w:top w:val="nil"/>
          <w:bottom w:val="single" w:sz="8" w:space="0" w:color="E7B513" w:themeColor="accent5"/>
        </w:tcBorders>
      </w:tcPr>
    </w:tblStylePr>
    <w:tblStylePr w:type="lastRow">
      <w:rPr>
        <w:b/>
        <w:bCs/>
        <w:color w:val="142841" w:themeColor="text2"/>
      </w:rPr>
      <w:tblPr/>
      <w:tcPr>
        <w:tcBorders>
          <w:top w:val="single" w:sz="8" w:space="0" w:color="E7B513" w:themeColor="accent5"/>
          <w:bottom w:val="single" w:sz="8" w:space="0" w:color="E7B513" w:themeColor="accent5"/>
        </w:tcBorders>
      </w:tcPr>
    </w:tblStylePr>
    <w:tblStylePr w:type="firstCol">
      <w:rPr>
        <w:b/>
        <w:bCs/>
      </w:rPr>
    </w:tblStylePr>
    <w:tblStylePr w:type="lastCol">
      <w:rPr>
        <w:b/>
        <w:bCs/>
      </w:rPr>
      <w:tblPr/>
      <w:tcPr>
        <w:tcBorders>
          <w:top w:val="single" w:sz="8" w:space="0" w:color="E7B513" w:themeColor="accent5"/>
          <w:bottom w:val="single" w:sz="8" w:space="0" w:color="E7B513" w:themeColor="accent5"/>
        </w:tcBorders>
      </w:tcPr>
    </w:tblStylePr>
    <w:tblStylePr w:type="band1Vert">
      <w:tblPr/>
      <w:tcPr>
        <w:shd w:val="clear" w:color="auto" w:fill="FAEDC3" w:themeFill="accent5" w:themeFillTint="3F"/>
      </w:tcPr>
    </w:tblStylePr>
    <w:tblStylePr w:type="band1Horz">
      <w:tblPr/>
      <w:tcPr>
        <w:shd w:val="clear" w:color="auto" w:fill="FAEDC3" w:themeFill="accent5" w:themeFillTint="3F"/>
      </w:tcPr>
    </w:tblStylePr>
  </w:style>
  <w:style w:type="paragraph" w:customStyle="1" w:styleId="AmendHeading1">
    <w:name w:val="Amend. Heading 1"/>
    <w:basedOn w:val="Normal"/>
    <w:next w:val="Normal"/>
    <w:link w:val="AmendHeading1Char"/>
    <w:rsid w:val="00A23B06"/>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character" w:customStyle="1" w:styleId="AmendHeading1Char">
    <w:name w:val="Amend. Heading 1 Char"/>
    <w:basedOn w:val="DefaultParagraphFont"/>
    <w:link w:val="AmendHeading1"/>
    <w:locked/>
    <w:rsid w:val="00A23B06"/>
    <w:rPr>
      <w:rFonts w:ascii="Times New Roman" w:eastAsia="Times New Roman" w:hAnsi="Times New Roman" w:cs="Times New Roman"/>
      <w:sz w:val="24"/>
      <w:szCs w:val="20"/>
    </w:rPr>
  </w:style>
  <w:style w:type="paragraph" w:customStyle="1" w:styleId="TableHeading1">
    <w:name w:val="TableHeading"/>
    <w:aliases w:val="th"/>
    <w:basedOn w:val="Normal"/>
    <w:next w:val="TableText0"/>
    <w:rsid w:val="009100E3"/>
    <w:pPr>
      <w:keepNext/>
      <w:spacing w:before="60" w:after="0" w:line="240" w:lineRule="atLeast"/>
    </w:pPr>
    <w:rPr>
      <w:rFonts w:ascii="Times New Roman" w:eastAsia="Times New Roman" w:hAnsi="Times New Roman" w:cs="Times New Roman"/>
      <w:b/>
      <w:szCs w:val="20"/>
      <w:lang w:eastAsia="en-AU"/>
    </w:rPr>
  </w:style>
  <w:style w:type="table" w:styleId="MediumGrid3-Accent2">
    <w:name w:val="Medium Grid 3 Accent 2"/>
    <w:basedOn w:val="TableNormal"/>
    <w:uiPriority w:val="69"/>
    <w:rsid w:val="009100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262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262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262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262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2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292" w:themeFill="accent2" w:themeFillTint="7F"/>
      </w:tcPr>
    </w:tblStylePr>
  </w:style>
  <w:style w:type="paragraph" w:customStyle="1" w:styleId="ShortT">
    <w:name w:val="ShortT"/>
    <w:basedOn w:val="Normal"/>
    <w:next w:val="Normal"/>
    <w:qFormat/>
    <w:rsid w:val="009100E3"/>
    <w:pPr>
      <w:spacing w:after="0" w:line="240" w:lineRule="auto"/>
    </w:pPr>
    <w:rPr>
      <w:rFonts w:ascii="Times New Roman" w:eastAsia="Times New Roman" w:hAnsi="Times New Roman" w:cs="Times New Roman"/>
      <w:b/>
      <w:sz w:val="40"/>
      <w:szCs w:val="20"/>
      <w:lang w:eastAsia="en-AU"/>
    </w:rPr>
  </w:style>
  <w:style w:type="paragraph" w:customStyle="1" w:styleId="CompiledActNo">
    <w:name w:val="CompiledActNo"/>
    <w:basedOn w:val="Normal"/>
    <w:next w:val="Normal"/>
    <w:rsid w:val="009100E3"/>
    <w:pPr>
      <w:spacing w:after="0" w:line="260" w:lineRule="atLeast"/>
    </w:pPr>
    <w:rPr>
      <w:rFonts w:ascii="Times New Roman" w:eastAsia="Times New Roman" w:hAnsi="Times New Roman" w:cs="Times New Roman"/>
      <w:b/>
      <w:sz w:val="24"/>
      <w:szCs w:val="24"/>
      <w:lang w:eastAsia="en-AU"/>
    </w:rPr>
  </w:style>
  <w:style w:type="paragraph" w:customStyle="1" w:styleId="notetext">
    <w:name w:val="note(text)"/>
    <w:aliases w:val="n"/>
    <w:basedOn w:val="Normal"/>
    <w:link w:val="notetextChar"/>
    <w:rsid w:val="00140982"/>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notetextChar">
    <w:name w:val="note(text) Char"/>
    <w:aliases w:val="n Char"/>
    <w:basedOn w:val="DefaultParagraphFont"/>
    <w:link w:val="notetext"/>
    <w:rsid w:val="00140982"/>
    <w:rPr>
      <w:rFonts w:ascii="Times New Roman" w:eastAsia="Times New Roman" w:hAnsi="Times New Roman" w:cs="Times New Roman"/>
      <w:sz w:val="18"/>
      <w:szCs w:val="20"/>
      <w:lang w:eastAsia="en-AU"/>
    </w:rPr>
  </w:style>
  <w:style w:type="paragraph" w:customStyle="1" w:styleId="DocInstructions">
    <w:name w:val="DocInstructions"/>
    <w:link w:val="DocInstructionsChar"/>
    <w:qFormat/>
    <w:rsid w:val="00AC395A"/>
    <w:pPr>
      <w:spacing w:after="0" w:line="240" w:lineRule="auto"/>
      <w:ind w:left="567"/>
    </w:pPr>
    <w:rPr>
      <w:rFonts w:ascii="Arial" w:eastAsia="Times New Roman" w:hAnsi="Arial" w:cs="Arial"/>
      <w:i/>
      <w:color w:val="79320B" w:themeColor="accent6" w:themeShade="80"/>
      <w:sz w:val="18"/>
      <w:szCs w:val="20"/>
    </w:rPr>
  </w:style>
  <w:style w:type="character" w:customStyle="1" w:styleId="DocInstructionsChar">
    <w:name w:val="DocInstructions Char"/>
    <w:basedOn w:val="DefaultParagraphFont"/>
    <w:link w:val="DocInstructions"/>
    <w:rsid w:val="00AC395A"/>
    <w:rPr>
      <w:rFonts w:ascii="Arial" w:eastAsia="Times New Roman" w:hAnsi="Arial" w:cs="Arial"/>
      <w:i/>
      <w:color w:val="79320B" w:themeColor="accent6" w:themeShade="80"/>
      <w:sz w:val="18"/>
      <w:szCs w:val="20"/>
    </w:rPr>
  </w:style>
  <w:style w:type="paragraph" w:customStyle="1" w:styleId="TableName">
    <w:name w:val="TableName"/>
    <w:basedOn w:val="Heading-PART"/>
    <w:link w:val="TableNameChar"/>
    <w:qFormat/>
    <w:rsid w:val="0071006C"/>
    <w:pPr>
      <w:spacing w:after="240"/>
      <w:jc w:val="left"/>
    </w:pPr>
    <w:rPr>
      <w:rFonts w:asciiTheme="minorHAnsi" w:hAnsiTheme="minorHAnsi" w:cstheme="minorHAnsi"/>
      <w:caps w:val="0"/>
      <w:color w:val="7F7F7F" w:themeColor="text1" w:themeTint="80"/>
      <w:szCs w:val="24"/>
    </w:rPr>
  </w:style>
  <w:style w:type="character" w:customStyle="1" w:styleId="Mention1">
    <w:name w:val="Mention1"/>
    <w:basedOn w:val="DefaultParagraphFont"/>
    <w:uiPriority w:val="99"/>
    <w:semiHidden/>
    <w:unhideWhenUsed/>
    <w:rsid w:val="007673B2"/>
    <w:rPr>
      <w:color w:val="2B579A"/>
      <w:shd w:val="clear" w:color="auto" w:fill="E6E6E6"/>
    </w:rPr>
  </w:style>
  <w:style w:type="character" w:customStyle="1" w:styleId="Heading-PARTChar">
    <w:name w:val="Heading - PART Char"/>
    <w:basedOn w:val="DefaultParagraphFont"/>
    <w:link w:val="Heading-PART"/>
    <w:rsid w:val="00D02FF6"/>
    <w:rPr>
      <w:rFonts w:ascii="Times New Roman" w:eastAsia="Times New Roman" w:hAnsi="Times New Roman" w:cs="Times New Roman"/>
      <w:b/>
      <w:caps/>
      <w:szCs w:val="20"/>
    </w:rPr>
  </w:style>
  <w:style w:type="character" w:customStyle="1" w:styleId="TableNameChar">
    <w:name w:val="TableName Char"/>
    <w:basedOn w:val="Heading-PARTChar"/>
    <w:link w:val="TableName"/>
    <w:rsid w:val="0071006C"/>
    <w:rPr>
      <w:rFonts w:ascii="Times New Roman" w:eastAsia="Times New Roman" w:hAnsi="Times New Roman" w:cstheme="minorHAnsi"/>
      <w:b/>
      <w:caps w:val="0"/>
      <w:color w:val="7F7F7F" w:themeColor="text1" w:themeTint="80"/>
      <w:szCs w:val="24"/>
    </w:rPr>
  </w:style>
  <w:style w:type="paragraph" w:customStyle="1" w:styleId="AppendixHeading1">
    <w:name w:val="AppendixHeading1"/>
    <w:basedOn w:val="Heading1Numbered"/>
    <w:link w:val="AppendixHeading1Char"/>
    <w:qFormat/>
    <w:rsid w:val="000525EB"/>
    <w:rPr>
      <w:sz w:val="32"/>
    </w:rPr>
  </w:style>
  <w:style w:type="paragraph" w:customStyle="1" w:styleId="CaptionFigures">
    <w:name w:val="Caption Figures"/>
    <w:basedOn w:val="Caption"/>
    <w:link w:val="CaptionFiguresChar"/>
    <w:qFormat/>
    <w:rsid w:val="00510126"/>
    <w:pPr>
      <w:ind w:left="993" w:hanging="992"/>
    </w:pPr>
  </w:style>
  <w:style w:type="character" w:customStyle="1" w:styleId="Heading1NumberedChar">
    <w:name w:val="Heading 1 (Numbered) Char"/>
    <w:basedOn w:val="Heading1Char"/>
    <w:link w:val="Heading1Numbered"/>
    <w:rsid w:val="00625A7A"/>
    <w:rPr>
      <w:rFonts w:ascii="Arial" w:eastAsiaTheme="majorEastAsia" w:hAnsi="Arial" w:cstheme="minorHAnsi"/>
      <w:b/>
      <w:bCs/>
      <w:noProof/>
      <w:color w:val="39B54A"/>
      <w:sz w:val="36"/>
      <w:szCs w:val="28"/>
      <w:lang w:eastAsia="en-AU"/>
    </w:rPr>
  </w:style>
  <w:style w:type="character" w:customStyle="1" w:styleId="AppendixHeading1Char">
    <w:name w:val="AppendixHeading1 Char"/>
    <w:basedOn w:val="Heading1NumberedChar"/>
    <w:link w:val="AppendixHeading1"/>
    <w:rsid w:val="000525EB"/>
    <w:rPr>
      <w:rFonts w:ascii="Arial" w:eastAsiaTheme="majorEastAsia" w:hAnsi="Arial" w:cstheme="minorHAnsi"/>
      <w:b/>
      <w:bCs/>
      <w:noProof/>
      <w:color w:val="595959" w:themeColor="text1" w:themeTint="A6"/>
      <w:sz w:val="32"/>
      <w:szCs w:val="28"/>
      <w:lang w:eastAsia="en-AU"/>
    </w:rPr>
  </w:style>
  <w:style w:type="character" w:customStyle="1" w:styleId="CaptionChar">
    <w:name w:val="Caption Char"/>
    <w:aliases w:val="Caption Tables Char"/>
    <w:basedOn w:val="DefaultParagraphFont"/>
    <w:link w:val="Caption"/>
    <w:uiPriority w:val="35"/>
    <w:rsid w:val="00AA0BBA"/>
    <w:rPr>
      <w:rFonts w:ascii="Segoe UI" w:hAnsi="Segoe UI" w:cs="Segoe UI"/>
      <w:b/>
      <w:bCs/>
      <w:color w:val="0A1F3F"/>
      <w:sz w:val="18"/>
      <w:szCs w:val="18"/>
    </w:rPr>
  </w:style>
  <w:style w:type="character" w:customStyle="1" w:styleId="CaptionFiguresChar">
    <w:name w:val="Caption Figures Char"/>
    <w:basedOn w:val="CaptionChar"/>
    <w:link w:val="CaptionFigures"/>
    <w:rsid w:val="00510126"/>
    <w:rPr>
      <w:rFonts w:ascii="Segoe UI" w:hAnsi="Segoe UI" w:cs="Segoe UI"/>
      <w:b/>
      <w:bCs/>
      <w:color w:val="2D8F3B"/>
      <w:sz w:val="18"/>
      <w:szCs w:val="18"/>
    </w:rPr>
  </w:style>
  <w:style w:type="character" w:customStyle="1" w:styleId="Heading6Char">
    <w:name w:val="Heading 6 Char"/>
    <w:basedOn w:val="DefaultParagraphFont"/>
    <w:link w:val="Heading6"/>
    <w:uiPriority w:val="9"/>
    <w:semiHidden/>
    <w:rsid w:val="008718FF"/>
    <w:rPr>
      <w:rFonts w:asciiTheme="majorHAnsi" w:eastAsiaTheme="majorEastAsia" w:hAnsiTheme="majorHAnsi" w:cstheme="majorBidi"/>
      <w:color w:val="1C5924" w:themeColor="accent1" w:themeShade="7F"/>
      <w:sz w:val="20"/>
    </w:rPr>
  </w:style>
  <w:style w:type="character" w:customStyle="1" w:styleId="Heading7Char">
    <w:name w:val="Heading 7 Char"/>
    <w:basedOn w:val="DefaultParagraphFont"/>
    <w:link w:val="Heading7"/>
    <w:uiPriority w:val="9"/>
    <w:semiHidden/>
    <w:rsid w:val="008718FF"/>
    <w:rPr>
      <w:rFonts w:asciiTheme="majorHAnsi" w:eastAsiaTheme="majorEastAsia" w:hAnsiTheme="majorHAnsi" w:cstheme="majorBidi"/>
      <w:i/>
      <w:iCs/>
      <w:color w:val="1C5924" w:themeColor="accent1" w:themeShade="7F"/>
      <w:sz w:val="20"/>
    </w:rPr>
  </w:style>
  <w:style w:type="character" w:customStyle="1" w:styleId="Heading8Char">
    <w:name w:val="Heading 8 Char"/>
    <w:basedOn w:val="DefaultParagraphFont"/>
    <w:link w:val="Heading8"/>
    <w:uiPriority w:val="9"/>
    <w:semiHidden/>
    <w:rsid w:val="008718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18FF"/>
    <w:rPr>
      <w:rFonts w:asciiTheme="majorHAnsi" w:eastAsiaTheme="majorEastAsia" w:hAnsiTheme="majorHAnsi" w:cstheme="majorBidi"/>
      <w:i/>
      <w:iCs/>
      <w:color w:val="272727" w:themeColor="text1" w:themeTint="D8"/>
      <w:sz w:val="21"/>
      <w:szCs w:val="21"/>
    </w:rPr>
  </w:style>
  <w:style w:type="paragraph" w:customStyle="1" w:styleId="Heading1-NoNum">
    <w:name w:val="Heading1-NoNum"/>
    <w:basedOn w:val="Heading1"/>
    <w:link w:val="Heading1-NoNumChar"/>
    <w:rsid w:val="009C2F2B"/>
    <w:rPr>
      <w:rFonts w:asciiTheme="minorHAnsi" w:hAnsiTheme="minorHAnsi" w:cstheme="minorHAnsi"/>
    </w:rPr>
  </w:style>
  <w:style w:type="character" w:customStyle="1" w:styleId="Heading1-NoNumChar">
    <w:name w:val="Heading1-NoNum Char"/>
    <w:basedOn w:val="Heading1Char"/>
    <w:link w:val="Heading1-NoNum"/>
    <w:rsid w:val="009C2F2B"/>
    <w:rPr>
      <w:rFonts w:ascii="Segoe UI" w:eastAsiaTheme="majorEastAsia" w:hAnsi="Segoe UI" w:cstheme="minorHAnsi"/>
      <w:b/>
      <w:bCs/>
      <w:noProof/>
      <w:color w:val="404040" w:themeColor="text1" w:themeTint="BF"/>
      <w:sz w:val="28"/>
      <w:szCs w:val="28"/>
      <w:lang w:eastAsia="en-AU"/>
    </w:rPr>
  </w:style>
  <w:style w:type="paragraph" w:customStyle="1" w:styleId="Appendix1">
    <w:name w:val="Appendix1"/>
    <w:basedOn w:val="Heading1"/>
    <w:next w:val="TextPara"/>
    <w:link w:val="Appendix1Char"/>
    <w:qFormat/>
    <w:rsid w:val="00D50809"/>
    <w:pPr>
      <w:numPr>
        <w:numId w:val="9"/>
      </w:numPr>
    </w:pPr>
    <w:rPr>
      <w:bCs w:val="0"/>
      <w:sz w:val="32"/>
    </w:rPr>
  </w:style>
  <w:style w:type="paragraph" w:customStyle="1" w:styleId="Appendix2">
    <w:name w:val="Appendix2"/>
    <w:basedOn w:val="Heading2"/>
    <w:next w:val="Normal"/>
    <w:link w:val="Appendix2Char1"/>
    <w:qFormat/>
    <w:rsid w:val="00AC7C9B"/>
    <w:pPr>
      <w:numPr>
        <w:numId w:val="9"/>
      </w:numPr>
      <w:ind w:left="993" w:hanging="993"/>
    </w:pPr>
    <w:rPr>
      <w:sz w:val="28"/>
    </w:rPr>
  </w:style>
  <w:style w:type="character" w:customStyle="1" w:styleId="Appendix1Char">
    <w:name w:val="Appendix1 Char"/>
    <w:basedOn w:val="Heading1NumberedChar"/>
    <w:link w:val="Appendix1"/>
    <w:rsid w:val="00D50809"/>
    <w:rPr>
      <w:rFonts w:ascii="Segoe UI" w:eastAsiaTheme="majorEastAsia" w:hAnsi="Segoe UI" w:cs="Segoe UI"/>
      <w:b/>
      <w:bCs w:val="0"/>
      <w:noProof/>
      <w:color w:val="404040" w:themeColor="text1" w:themeTint="BF"/>
      <w:sz w:val="32"/>
      <w:szCs w:val="28"/>
      <w:lang w:eastAsia="en-AU"/>
    </w:rPr>
  </w:style>
  <w:style w:type="paragraph" w:customStyle="1" w:styleId="Appendix3">
    <w:name w:val="Appendix3"/>
    <w:basedOn w:val="Heading3"/>
    <w:next w:val="TextPara"/>
    <w:link w:val="Appendix3Char"/>
    <w:qFormat/>
    <w:rsid w:val="00AC7C9B"/>
    <w:pPr>
      <w:numPr>
        <w:numId w:val="9"/>
      </w:numPr>
      <w:ind w:left="993" w:hanging="993"/>
    </w:pPr>
    <w:rPr>
      <w:sz w:val="24"/>
    </w:rPr>
  </w:style>
  <w:style w:type="character" w:customStyle="1" w:styleId="Heading2NumberedChar">
    <w:name w:val="Heading 2 (Numbered) Char"/>
    <w:basedOn w:val="Heading2Char"/>
    <w:link w:val="Heading2Numbered"/>
    <w:rsid w:val="006A2F3F"/>
    <w:rPr>
      <w:rFonts w:ascii="Segoe UI" w:eastAsiaTheme="majorEastAsia" w:hAnsi="Segoe UI" w:cs="Segoe UI"/>
      <w:b/>
      <w:bCs/>
      <w:color w:val="404040" w:themeColor="text1" w:themeTint="BF"/>
      <w:sz w:val="24"/>
      <w:szCs w:val="26"/>
      <w:lang w:eastAsia="en-AU"/>
    </w:rPr>
  </w:style>
  <w:style w:type="character" w:customStyle="1" w:styleId="Appendix2Char">
    <w:name w:val="Appendix2 Char"/>
    <w:basedOn w:val="Heading2NumberedChar"/>
    <w:rsid w:val="00C43367"/>
    <w:rPr>
      <w:rFonts w:ascii="Arial Bold" w:eastAsiaTheme="majorEastAsia" w:hAnsi="Arial Bold" w:cstheme="minorHAnsi"/>
      <w:b/>
      <w:bCs/>
      <w:color w:val="39B54A"/>
      <w:sz w:val="28"/>
      <w:szCs w:val="26"/>
      <w:lang w:eastAsia="en-AU"/>
    </w:rPr>
  </w:style>
  <w:style w:type="numbering" w:customStyle="1" w:styleId="AppendixHeadings">
    <w:name w:val="AppendixHeadings"/>
    <w:uiPriority w:val="99"/>
    <w:rsid w:val="009C36DF"/>
    <w:pPr>
      <w:numPr>
        <w:numId w:val="5"/>
      </w:numPr>
    </w:pPr>
  </w:style>
  <w:style w:type="character" w:customStyle="1" w:styleId="Appendix2Char1">
    <w:name w:val="Appendix2 Char1"/>
    <w:basedOn w:val="Appendix1Char"/>
    <w:link w:val="Appendix2"/>
    <w:rsid w:val="00AC7C9B"/>
    <w:rPr>
      <w:rFonts w:ascii="Segoe UI" w:eastAsiaTheme="majorEastAsia" w:hAnsi="Segoe UI" w:cs="Segoe UI"/>
      <w:b/>
      <w:bCs/>
      <w:noProof/>
      <w:color w:val="404040" w:themeColor="text1" w:themeTint="BF"/>
      <w:sz w:val="28"/>
      <w:szCs w:val="26"/>
      <w:lang w:eastAsia="en-AU"/>
    </w:rPr>
  </w:style>
  <w:style w:type="character" w:customStyle="1" w:styleId="Appendix3Char">
    <w:name w:val="Appendix3 Char"/>
    <w:basedOn w:val="Appendix2Char1"/>
    <w:link w:val="Appendix3"/>
    <w:rsid w:val="00AC7C9B"/>
    <w:rPr>
      <w:rFonts w:ascii="Segoe UI" w:eastAsiaTheme="majorEastAsia" w:hAnsi="Segoe UI" w:cs="Segoe UI"/>
      <w:b/>
      <w:bCs/>
      <w:noProof/>
      <w:color w:val="404040" w:themeColor="text1" w:themeTint="BF"/>
      <w:sz w:val="24"/>
      <w:szCs w:val="26"/>
      <w:lang w:eastAsia="en-AU"/>
    </w:rPr>
  </w:style>
  <w:style w:type="paragraph" w:customStyle="1" w:styleId="BulletPara1">
    <w:name w:val="BulletPara1"/>
    <w:basedOn w:val="ListParagraph"/>
    <w:link w:val="BulletPara1Char"/>
    <w:qFormat/>
    <w:rsid w:val="00282517"/>
    <w:pPr>
      <w:keepNext w:val="0"/>
      <w:widowControl w:val="0"/>
      <w:numPr>
        <w:numId w:val="6"/>
      </w:numPr>
      <w:spacing w:after="60"/>
    </w:pPr>
    <w:rPr>
      <w:lang w:eastAsia="en-AU"/>
    </w:rPr>
  </w:style>
  <w:style w:type="paragraph" w:customStyle="1" w:styleId="Footnote">
    <w:name w:val="Footnote"/>
    <w:basedOn w:val="FootnoteText"/>
    <w:link w:val="FootnoteChar"/>
    <w:qFormat/>
    <w:rsid w:val="00E80CDF"/>
    <w:pPr>
      <w:keepLines/>
      <w:spacing w:before="20" w:after="40"/>
      <w:ind w:left="272" w:hanging="272"/>
    </w:pPr>
    <w:rPr>
      <w:rFonts w:ascii="Segoe UI" w:hAnsi="Segoe UI"/>
      <w:sz w:val="16"/>
    </w:rPr>
  </w:style>
  <w:style w:type="character" w:customStyle="1" w:styleId="BulletPara1Char">
    <w:name w:val="BulletPara1 Char"/>
    <w:basedOn w:val="ListParagraphChar"/>
    <w:link w:val="BulletPara1"/>
    <w:rsid w:val="00282517"/>
    <w:rPr>
      <w:rFonts w:ascii="Segoe UI" w:hAnsi="Segoe UI" w:cs="Segoe UI"/>
      <w:sz w:val="20"/>
      <w:lang w:eastAsia="en-AU"/>
    </w:rPr>
  </w:style>
  <w:style w:type="paragraph" w:customStyle="1" w:styleId="Source">
    <w:name w:val="Source"/>
    <w:basedOn w:val="Normal"/>
    <w:link w:val="SourceChar"/>
    <w:qFormat/>
    <w:rsid w:val="00B43004"/>
    <w:pPr>
      <w:tabs>
        <w:tab w:val="left" w:pos="851"/>
      </w:tabs>
      <w:spacing w:before="40" w:line="240" w:lineRule="auto"/>
      <w:ind w:left="851" w:hanging="709"/>
    </w:pPr>
    <w:rPr>
      <w:rFonts w:ascii="Segoe UI" w:hAnsi="Segoe UI" w:cstheme="minorHAnsi"/>
      <w:i/>
      <w:sz w:val="16"/>
      <w:lang w:eastAsia="en-AU"/>
    </w:rPr>
  </w:style>
  <w:style w:type="character" w:customStyle="1" w:styleId="FootnoteChar">
    <w:name w:val="Footnote Char"/>
    <w:basedOn w:val="FootnoteTextChar"/>
    <w:link w:val="Footnote"/>
    <w:rsid w:val="00E80CDF"/>
    <w:rPr>
      <w:rFonts w:ascii="Segoe UI" w:hAnsi="Segoe UI"/>
      <w:sz w:val="16"/>
      <w:szCs w:val="20"/>
    </w:rPr>
  </w:style>
  <w:style w:type="paragraph" w:customStyle="1" w:styleId="BulletList2">
    <w:name w:val="BulletList2"/>
    <w:basedOn w:val="ListParagraph"/>
    <w:link w:val="BulletList2Char"/>
    <w:qFormat/>
    <w:rsid w:val="00D4423A"/>
    <w:pPr>
      <w:numPr>
        <w:ilvl w:val="1"/>
        <w:numId w:val="4"/>
      </w:numPr>
      <w:ind w:left="992" w:hanging="283"/>
    </w:pPr>
  </w:style>
  <w:style w:type="character" w:customStyle="1" w:styleId="SourceChar">
    <w:name w:val="Source Char"/>
    <w:basedOn w:val="DefaultParagraphFont"/>
    <w:link w:val="Source"/>
    <w:rsid w:val="00B43004"/>
    <w:rPr>
      <w:rFonts w:ascii="Segoe UI" w:hAnsi="Segoe UI" w:cstheme="minorHAnsi"/>
      <w:i/>
      <w:sz w:val="16"/>
      <w:lang w:eastAsia="en-AU"/>
    </w:rPr>
  </w:style>
  <w:style w:type="character" w:customStyle="1" w:styleId="BulletList2Char">
    <w:name w:val="BulletList2 Char"/>
    <w:basedOn w:val="ListParagraphChar"/>
    <w:link w:val="BulletList2"/>
    <w:rsid w:val="00D4423A"/>
    <w:rPr>
      <w:rFonts w:ascii="Segoe UI" w:hAnsi="Segoe UI" w:cs="Segoe UI"/>
      <w:sz w:val="20"/>
    </w:rPr>
  </w:style>
  <w:style w:type="character" w:customStyle="1" w:styleId="UnresolvedMention1">
    <w:name w:val="Unresolved Mention1"/>
    <w:basedOn w:val="DefaultParagraphFont"/>
    <w:uiPriority w:val="99"/>
    <w:semiHidden/>
    <w:unhideWhenUsed/>
    <w:rsid w:val="00FF6A14"/>
    <w:rPr>
      <w:color w:val="808080"/>
      <w:shd w:val="clear" w:color="auto" w:fill="E6E6E6"/>
    </w:rPr>
  </w:style>
  <w:style w:type="paragraph" w:customStyle="1" w:styleId="TextPara">
    <w:name w:val="TextPara"/>
    <w:basedOn w:val="Normal"/>
    <w:link w:val="TextParaChar"/>
    <w:qFormat/>
    <w:rsid w:val="00EE7551"/>
    <w:pPr>
      <w:spacing w:before="120" w:line="280" w:lineRule="exact"/>
    </w:pPr>
    <w:rPr>
      <w:rFonts w:ascii="Segoe UI" w:hAnsi="Segoe UI"/>
    </w:rPr>
  </w:style>
  <w:style w:type="character" w:customStyle="1" w:styleId="TextParaChar">
    <w:name w:val="TextPara Char"/>
    <w:basedOn w:val="DefaultParagraphFont"/>
    <w:link w:val="TextPara"/>
    <w:rsid w:val="00EE7551"/>
    <w:rPr>
      <w:rFonts w:ascii="Segoe UI" w:hAnsi="Segoe UI"/>
      <w:sz w:val="20"/>
    </w:rPr>
  </w:style>
  <w:style w:type="paragraph" w:customStyle="1" w:styleId="NumText">
    <w:name w:val="NumText"/>
    <w:basedOn w:val="TextPara"/>
    <w:link w:val="NumTextChar"/>
    <w:qFormat/>
    <w:rsid w:val="003350AF"/>
    <w:pPr>
      <w:numPr>
        <w:numId w:val="7"/>
      </w:numPr>
    </w:pPr>
  </w:style>
  <w:style w:type="character" w:customStyle="1" w:styleId="NumTextChar">
    <w:name w:val="NumText Char"/>
    <w:basedOn w:val="TextParaChar"/>
    <w:link w:val="NumText"/>
    <w:rsid w:val="003350AF"/>
    <w:rPr>
      <w:rFonts w:ascii="Segoe UI" w:hAnsi="Segoe UI"/>
      <w:sz w:val="20"/>
    </w:rPr>
  </w:style>
  <w:style w:type="character" w:styleId="HTMLCite">
    <w:name w:val="HTML Cite"/>
    <w:basedOn w:val="DefaultParagraphFont"/>
    <w:uiPriority w:val="99"/>
    <w:semiHidden/>
    <w:unhideWhenUsed/>
    <w:rsid w:val="00204F53"/>
    <w:rPr>
      <w:i/>
      <w:iCs/>
    </w:rPr>
  </w:style>
  <w:style w:type="character" w:styleId="FollowedHyperlink">
    <w:name w:val="FollowedHyperlink"/>
    <w:basedOn w:val="DefaultParagraphFont"/>
    <w:uiPriority w:val="99"/>
    <w:semiHidden/>
    <w:unhideWhenUsed/>
    <w:rsid w:val="00736E9E"/>
    <w:rPr>
      <w:color w:val="33CCFF"/>
      <w:u w:val="single"/>
    </w:rPr>
  </w:style>
  <w:style w:type="paragraph" w:customStyle="1" w:styleId="Appendix4">
    <w:name w:val="Appendix4"/>
    <w:basedOn w:val="Heading4"/>
    <w:next w:val="TextPara"/>
    <w:link w:val="Appendix4Char"/>
    <w:qFormat/>
    <w:rsid w:val="000A677A"/>
    <w:pPr>
      <w:numPr>
        <w:numId w:val="9"/>
      </w:numPr>
      <w:spacing w:after="240"/>
    </w:pPr>
    <w:rPr>
      <w:rFonts w:cstheme="minorHAnsi"/>
      <w:bCs w:val="0"/>
      <w:sz w:val="24"/>
      <w:szCs w:val="28"/>
    </w:rPr>
  </w:style>
  <w:style w:type="character" w:customStyle="1" w:styleId="Appendix4Char">
    <w:name w:val="Appendix4 Char"/>
    <w:basedOn w:val="Appendix3Char"/>
    <w:link w:val="Appendix4"/>
    <w:rsid w:val="000A677A"/>
    <w:rPr>
      <w:rFonts w:ascii="Segoe UI" w:eastAsiaTheme="majorEastAsia" w:hAnsi="Segoe UI" w:cstheme="minorHAnsi"/>
      <w:b/>
      <w:bCs w:val="0"/>
      <w:iCs/>
      <w:noProof/>
      <w:color w:val="404040" w:themeColor="text1" w:themeTint="BF"/>
      <w:sz w:val="24"/>
      <w:szCs w:val="28"/>
      <w:lang w:eastAsia="en-AU"/>
    </w:rPr>
  </w:style>
  <w:style w:type="paragraph" w:customStyle="1" w:styleId="HeadingNoNum">
    <w:name w:val="HeadingNoNum"/>
    <w:basedOn w:val="Heading1"/>
    <w:link w:val="HeadingNoNumChar"/>
    <w:qFormat/>
    <w:rsid w:val="006D624F"/>
    <w:pPr>
      <w:numPr>
        <w:numId w:val="0"/>
      </w:numPr>
    </w:pPr>
    <w:rPr>
      <w:noProof w:val="0"/>
      <w:sz w:val="32"/>
    </w:rPr>
  </w:style>
  <w:style w:type="paragraph" w:customStyle="1" w:styleId="HeadingSubNoNum">
    <w:name w:val="HeadingSubNoNum"/>
    <w:basedOn w:val="Heading2"/>
    <w:next w:val="TextPara"/>
    <w:link w:val="HeadingSubNoNumChar"/>
    <w:qFormat/>
    <w:rsid w:val="006D624F"/>
    <w:pPr>
      <w:numPr>
        <w:ilvl w:val="0"/>
        <w:numId w:val="0"/>
      </w:numPr>
    </w:pPr>
  </w:style>
  <w:style w:type="character" w:customStyle="1" w:styleId="HeadingNoNumChar">
    <w:name w:val="HeadingNoNum Char"/>
    <w:basedOn w:val="Heading1Char"/>
    <w:link w:val="HeadingNoNum"/>
    <w:rsid w:val="006D624F"/>
    <w:rPr>
      <w:rFonts w:ascii="Segoe UI" w:eastAsiaTheme="majorEastAsia" w:hAnsi="Segoe UI" w:cs="Segoe UI"/>
      <w:b/>
      <w:bCs/>
      <w:noProof/>
      <w:color w:val="595959" w:themeColor="text1" w:themeTint="A6"/>
      <w:sz w:val="32"/>
      <w:szCs w:val="28"/>
      <w:lang w:eastAsia="en-AU"/>
    </w:rPr>
  </w:style>
  <w:style w:type="paragraph" w:customStyle="1" w:styleId="PartHeading">
    <w:name w:val="PartHeading"/>
    <w:basedOn w:val="Heading-PART"/>
    <w:next w:val="TextPara"/>
    <w:link w:val="PartHeadingChar"/>
    <w:qFormat/>
    <w:rsid w:val="006713F9"/>
    <w:pPr>
      <w:keepNext/>
      <w:pageBreakBefore/>
      <w:numPr>
        <w:numId w:val="8"/>
      </w:numPr>
      <w:spacing w:before="120" w:line="400" w:lineRule="exact"/>
      <w:jc w:val="left"/>
    </w:pPr>
    <w:rPr>
      <w:rFonts w:ascii="Segoe UI" w:eastAsiaTheme="majorEastAsia" w:hAnsi="Segoe UI" w:cstheme="majorBidi"/>
      <w:bCs/>
      <w:caps w:val="0"/>
      <w:color w:val="0C81BC"/>
      <w:sz w:val="32"/>
      <w:szCs w:val="28"/>
    </w:rPr>
  </w:style>
  <w:style w:type="character" w:customStyle="1" w:styleId="HeadingSubNoNumChar">
    <w:name w:val="HeadingSubNoNum Char"/>
    <w:basedOn w:val="TextParaChar"/>
    <w:link w:val="HeadingSubNoNum"/>
    <w:rsid w:val="006D624F"/>
    <w:rPr>
      <w:rFonts w:ascii="Segoe UI" w:eastAsiaTheme="majorEastAsia" w:hAnsi="Segoe UI" w:cstheme="minorHAnsi"/>
      <w:b/>
      <w:bCs/>
      <w:color w:val="595959" w:themeColor="text1" w:themeTint="A6"/>
      <w:sz w:val="24"/>
      <w:szCs w:val="26"/>
    </w:rPr>
  </w:style>
  <w:style w:type="character" w:customStyle="1" w:styleId="UnresolvedMention2">
    <w:name w:val="Unresolved Mention2"/>
    <w:basedOn w:val="DefaultParagraphFont"/>
    <w:uiPriority w:val="99"/>
    <w:semiHidden/>
    <w:unhideWhenUsed/>
    <w:rsid w:val="0059570E"/>
    <w:rPr>
      <w:color w:val="808080"/>
      <w:shd w:val="clear" w:color="auto" w:fill="E6E6E6"/>
    </w:rPr>
  </w:style>
  <w:style w:type="character" w:customStyle="1" w:styleId="PartHeadingChar">
    <w:name w:val="PartHeading Char"/>
    <w:basedOn w:val="Heading1Char"/>
    <w:link w:val="PartHeading"/>
    <w:rsid w:val="006713F9"/>
    <w:rPr>
      <w:rFonts w:ascii="Segoe UI" w:eastAsiaTheme="majorEastAsia" w:hAnsi="Segoe UI" w:cstheme="majorBidi"/>
      <w:b/>
      <w:bCs/>
      <w:noProof/>
      <w:color w:val="0C81BC"/>
      <w:sz w:val="32"/>
      <w:szCs w:val="28"/>
      <w:lang w:eastAsia="en-AU"/>
    </w:rPr>
  </w:style>
  <w:style w:type="character" w:customStyle="1" w:styleId="UnresolvedMention21">
    <w:name w:val="Unresolved Mention21"/>
    <w:basedOn w:val="DefaultParagraphFont"/>
    <w:uiPriority w:val="99"/>
    <w:semiHidden/>
    <w:unhideWhenUsed/>
    <w:rsid w:val="00BF599F"/>
    <w:rPr>
      <w:color w:val="808080"/>
      <w:shd w:val="clear" w:color="auto" w:fill="E6E6E6"/>
    </w:rPr>
  </w:style>
  <w:style w:type="character" w:customStyle="1" w:styleId="UnresolvedMention3">
    <w:name w:val="Unresolved Mention3"/>
    <w:basedOn w:val="DefaultParagraphFont"/>
    <w:uiPriority w:val="99"/>
    <w:semiHidden/>
    <w:unhideWhenUsed/>
    <w:rsid w:val="00BF5387"/>
    <w:rPr>
      <w:color w:val="808080"/>
      <w:shd w:val="clear" w:color="auto" w:fill="E6E6E6"/>
    </w:rPr>
  </w:style>
  <w:style w:type="character" w:customStyle="1" w:styleId="UnresolvedMention4">
    <w:name w:val="Unresolved Mention4"/>
    <w:basedOn w:val="DefaultParagraphFont"/>
    <w:uiPriority w:val="99"/>
    <w:semiHidden/>
    <w:unhideWhenUsed/>
    <w:rsid w:val="000E3134"/>
    <w:rPr>
      <w:color w:val="808080"/>
      <w:shd w:val="clear" w:color="auto" w:fill="E6E6E6"/>
    </w:rPr>
  </w:style>
  <w:style w:type="character" w:customStyle="1" w:styleId="UnresolvedMention5">
    <w:name w:val="Unresolved Mention5"/>
    <w:basedOn w:val="DefaultParagraphFont"/>
    <w:uiPriority w:val="99"/>
    <w:semiHidden/>
    <w:unhideWhenUsed/>
    <w:rsid w:val="007923B4"/>
    <w:rPr>
      <w:color w:val="808080"/>
      <w:shd w:val="clear" w:color="auto" w:fill="E6E6E6"/>
    </w:rPr>
  </w:style>
  <w:style w:type="paragraph" w:customStyle="1" w:styleId="NumAlpha">
    <w:name w:val="NumAlpha"/>
    <w:basedOn w:val="TextPara"/>
    <w:link w:val="NumAlphaChar"/>
    <w:qFormat/>
    <w:rsid w:val="00D7275E"/>
    <w:pPr>
      <w:numPr>
        <w:numId w:val="16"/>
      </w:numPr>
      <w:ind w:left="426" w:hanging="284"/>
    </w:pPr>
  </w:style>
  <w:style w:type="character" w:customStyle="1" w:styleId="NumAlphaChar">
    <w:name w:val="NumAlpha Char"/>
    <w:basedOn w:val="TextParaChar"/>
    <w:link w:val="NumAlpha"/>
    <w:rsid w:val="00D7275E"/>
    <w:rPr>
      <w:rFonts w:ascii="Segoe UI" w:hAnsi="Segoe UI"/>
      <w:sz w:val="20"/>
    </w:rPr>
  </w:style>
  <w:style w:type="character" w:customStyle="1" w:styleId="UnresolvedMention6">
    <w:name w:val="Unresolved Mention6"/>
    <w:basedOn w:val="DefaultParagraphFont"/>
    <w:uiPriority w:val="99"/>
    <w:semiHidden/>
    <w:unhideWhenUsed/>
    <w:rsid w:val="000B1F3B"/>
    <w:rPr>
      <w:color w:val="808080"/>
      <w:shd w:val="clear" w:color="auto" w:fill="E6E6E6"/>
    </w:rPr>
  </w:style>
  <w:style w:type="character" w:customStyle="1" w:styleId="UnresolvedMention7">
    <w:name w:val="Unresolved Mention7"/>
    <w:basedOn w:val="DefaultParagraphFont"/>
    <w:uiPriority w:val="99"/>
    <w:semiHidden/>
    <w:unhideWhenUsed/>
    <w:rsid w:val="00F97D82"/>
    <w:rPr>
      <w:color w:val="808080"/>
      <w:shd w:val="clear" w:color="auto" w:fill="E6E6E6"/>
    </w:rPr>
  </w:style>
  <w:style w:type="character" w:customStyle="1" w:styleId="UnresolvedMention8">
    <w:name w:val="Unresolved Mention8"/>
    <w:basedOn w:val="DefaultParagraphFont"/>
    <w:uiPriority w:val="99"/>
    <w:semiHidden/>
    <w:unhideWhenUsed/>
    <w:rsid w:val="00181A79"/>
    <w:rPr>
      <w:color w:val="808080"/>
      <w:shd w:val="clear" w:color="auto" w:fill="E6E6E6"/>
    </w:rPr>
  </w:style>
  <w:style w:type="character" w:customStyle="1" w:styleId="UnresolvedMention9">
    <w:name w:val="Unresolved Mention9"/>
    <w:basedOn w:val="DefaultParagraphFont"/>
    <w:uiPriority w:val="99"/>
    <w:semiHidden/>
    <w:unhideWhenUsed/>
    <w:rsid w:val="00F87F03"/>
    <w:rPr>
      <w:color w:val="808080"/>
      <w:shd w:val="clear" w:color="auto" w:fill="E6E6E6"/>
    </w:rPr>
  </w:style>
  <w:style w:type="character" w:customStyle="1" w:styleId="UnresolvedMention10">
    <w:name w:val="Unresolved Mention10"/>
    <w:basedOn w:val="DefaultParagraphFont"/>
    <w:uiPriority w:val="99"/>
    <w:semiHidden/>
    <w:unhideWhenUsed/>
    <w:rsid w:val="00B11D21"/>
    <w:rPr>
      <w:color w:val="808080"/>
      <w:shd w:val="clear" w:color="auto" w:fill="E6E6E6"/>
    </w:rPr>
  </w:style>
  <w:style w:type="character" w:customStyle="1" w:styleId="UnresolvedMention11">
    <w:name w:val="Unresolved Mention11"/>
    <w:basedOn w:val="DefaultParagraphFont"/>
    <w:uiPriority w:val="99"/>
    <w:semiHidden/>
    <w:unhideWhenUsed/>
    <w:rsid w:val="0058465B"/>
    <w:rPr>
      <w:color w:val="808080"/>
      <w:shd w:val="clear" w:color="auto" w:fill="E6E6E6"/>
    </w:rPr>
  </w:style>
  <w:style w:type="paragraph" w:customStyle="1" w:styleId="Picture">
    <w:name w:val="Picture"/>
    <w:basedOn w:val="TextPara"/>
    <w:link w:val="PictureChar"/>
    <w:qFormat/>
    <w:rsid w:val="00AB2253"/>
    <w:pPr>
      <w:spacing w:line="240" w:lineRule="auto"/>
      <w:ind w:left="142"/>
    </w:pPr>
    <w:rPr>
      <w:noProof/>
      <w:lang w:eastAsia="en-AU"/>
    </w:rPr>
  </w:style>
  <w:style w:type="character" w:customStyle="1" w:styleId="PictureChar">
    <w:name w:val="Picture Char"/>
    <w:basedOn w:val="TextParaChar"/>
    <w:link w:val="Picture"/>
    <w:rsid w:val="00AB2253"/>
    <w:rPr>
      <w:rFonts w:ascii="Arial" w:hAnsi="Arial"/>
      <w:noProof/>
      <w:sz w:val="20"/>
      <w:lang w:eastAsia="en-AU"/>
    </w:rPr>
  </w:style>
  <w:style w:type="table" w:styleId="LightList-Accent3">
    <w:name w:val="Light List Accent 3"/>
    <w:basedOn w:val="TableNormal"/>
    <w:uiPriority w:val="61"/>
    <w:rsid w:val="000439BE"/>
    <w:pPr>
      <w:spacing w:after="0" w:line="240" w:lineRule="auto"/>
    </w:pPr>
    <w:tblPr>
      <w:tblStyleRowBandSize w:val="1"/>
      <w:tblStyleColBandSize w:val="1"/>
      <w:tblBorders>
        <w:top w:val="single" w:sz="8" w:space="0" w:color="85C446" w:themeColor="accent3"/>
        <w:left w:val="single" w:sz="8" w:space="0" w:color="85C446" w:themeColor="accent3"/>
        <w:bottom w:val="single" w:sz="8" w:space="0" w:color="85C446" w:themeColor="accent3"/>
        <w:right w:val="single" w:sz="8" w:space="0" w:color="85C446" w:themeColor="accent3"/>
      </w:tblBorders>
    </w:tblPr>
    <w:tblStylePr w:type="firstRow">
      <w:pPr>
        <w:spacing w:before="0" w:after="0" w:line="240" w:lineRule="auto"/>
      </w:pPr>
      <w:rPr>
        <w:b/>
        <w:bCs/>
        <w:color w:val="FFFFFF" w:themeColor="background1"/>
      </w:rPr>
      <w:tblPr/>
      <w:tcPr>
        <w:shd w:val="clear" w:color="auto" w:fill="85C446" w:themeFill="accent3"/>
      </w:tcPr>
    </w:tblStylePr>
    <w:tblStylePr w:type="lastRow">
      <w:pPr>
        <w:spacing w:before="0" w:after="0" w:line="240" w:lineRule="auto"/>
      </w:pPr>
      <w:rPr>
        <w:b/>
        <w:bCs/>
      </w:rPr>
      <w:tblPr/>
      <w:tcPr>
        <w:tcBorders>
          <w:top w:val="double" w:sz="6" w:space="0" w:color="85C446" w:themeColor="accent3"/>
          <w:left w:val="single" w:sz="8" w:space="0" w:color="85C446" w:themeColor="accent3"/>
          <w:bottom w:val="single" w:sz="8" w:space="0" w:color="85C446" w:themeColor="accent3"/>
          <w:right w:val="single" w:sz="8" w:space="0" w:color="85C446" w:themeColor="accent3"/>
        </w:tcBorders>
      </w:tcPr>
    </w:tblStylePr>
    <w:tblStylePr w:type="firstCol">
      <w:rPr>
        <w:b/>
        <w:bCs/>
      </w:rPr>
    </w:tblStylePr>
    <w:tblStylePr w:type="lastCol">
      <w:rPr>
        <w:b/>
        <w:bCs/>
      </w:rPr>
    </w:tblStylePr>
    <w:tblStylePr w:type="band1Vert">
      <w:tblPr/>
      <w:tcPr>
        <w:tcBorders>
          <w:top w:val="single" w:sz="8" w:space="0" w:color="85C446" w:themeColor="accent3"/>
          <w:left w:val="single" w:sz="8" w:space="0" w:color="85C446" w:themeColor="accent3"/>
          <w:bottom w:val="single" w:sz="8" w:space="0" w:color="85C446" w:themeColor="accent3"/>
          <w:right w:val="single" w:sz="8" w:space="0" w:color="85C446" w:themeColor="accent3"/>
        </w:tcBorders>
      </w:tcPr>
    </w:tblStylePr>
    <w:tblStylePr w:type="band1Horz">
      <w:tblPr/>
      <w:tcPr>
        <w:tcBorders>
          <w:top w:val="single" w:sz="8" w:space="0" w:color="85C446" w:themeColor="accent3"/>
          <w:left w:val="single" w:sz="8" w:space="0" w:color="85C446" w:themeColor="accent3"/>
          <w:bottom w:val="single" w:sz="8" w:space="0" w:color="85C446" w:themeColor="accent3"/>
          <w:right w:val="single" w:sz="8" w:space="0" w:color="85C446" w:themeColor="accent3"/>
        </w:tcBorders>
      </w:tcPr>
    </w:tblStylePr>
  </w:style>
  <w:style w:type="table" w:customStyle="1" w:styleId="MediumShading1-Accent11">
    <w:name w:val="Medium Shading 1 - Accent 11"/>
    <w:basedOn w:val="TableNormal"/>
    <w:uiPriority w:val="63"/>
    <w:rsid w:val="00117C96"/>
    <w:pPr>
      <w:spacing w:after="0" w:line="240" w:lineRule="auto"/>
    </w:pPr>
    <w:tblPr>
      <w:tblStyleRowBandSize w:val="1"/>
      <w:tblStyleColBandSize w:val="1"/>
      <w:tblBorders>
        <w:top w:val="single" w:sz="8" w:space="0" w:color="63CE72" w:themeColor="accent1" w:themeTint="BF"/>
        <w:left w:val="single" w:sz="8" w:space="0" w:color="63CE72" w:themeColor="accent1" w:themeTint="BF"/>
        <w:bottom w:val="single" w:sz="8" w:space="0" w:color="63CE72" w:themeColor="accent1" w:themeTint="BF"/>
        <w:right w:val="single" w:sz="8" w:space="0" w:color="63CE72" w:themeColor="accent1" w:themeTint="BF"/>
        <w:insideH w:val="single" w:sz="8" w:space="0" w:color="63CE72" w:themeColor="accent1" w:themeTint="BF"/>
      </w:tblBorders>
    </w:tblPr>
    <w:tblStylePr w:type="firstRow">
      <w:pPr>
        <w:spacing w:before="0" w:after="0" w:line="240" w:lineRule="auto"/>
      </w:pPr>
      <w:rPr>
        <w:b/>
        <w:bCs/>
        <w:color w:val="FFFFFF" w:themeColor="background1"/>
      </w:rPr>
      <w:tblPr/>
      <w:tcPr>
        <w:tcBorders>
          <w:top w:val="single" w:sz="8" w:space="0" w:color="63CE72" w:themeColor="accent1" w:themeTint="BF"/>
          <w:left w:val="single" w:sz="8" w:space="0" w:color="63CE72" w:themeColor="accent1" w:themeTint="BF"/>
          <w:bottom w:val="single" w:sz="8" w:space="0" w:color="63CE72" w:themeColor="accent1" w:themeTint="BF"/>
          <w:right w:val="single" w:sz="8" w:space="0" w:color="63CE72" w:themeColor="accent1" w:themeTint="BF"/>
          <w:insideH w:val="nil"/>
          <w:insideV w:val="nil"/>
        </w:tcBorders>
        <w:shd w:val="clear" w:color="auto" w:fill="39B54A" w:themeFill="accent1"/>
      </w:tcPr>
    </w:tblStylePr>
    <w:tblStylePr w:type="lastRow">
      <w:pPr>
        <w:spacing w:before="0" w:after="0" w:line="240" w:lineRule="auto"/>
      </w:pPr>
      <w:rPr>
        <w:b/>
        <w:bCs/>
      </w:rPr>
      <w:tblPr/>
      <w:tcPr>
        <w:tcBorders>
          <w:top w:val="double" w:sz="6" w:space="0" w:color="63CE72" w:themeColor="accent1" w:themeTint="BF"/>
          <w:left w:val="single" w:sz="8" w:space="0" w:color="63CE72" w:themeColor="accent1" w:themeTint="BF"/>
          <w:bottom w:val="single" w:sz="8" w:space="0" w:color="63CE72" w:themeColor="accent1" w:themeTint="BF"/>
          <w:right w:val="single" w:sz="8" w:space="0" w:color="63CE7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EFD0" w:themeFill="accent1" w:themeFillTint="3F"/>
      </w:tcPr>
    </w:tblStylePr>
    <w:tblStylePr w:type="band1Horz">
      <w:tblPr/>
      <w:tcPr>
        <w:tcBorders>
          <w:insideH w:val="nil"/>
          <w:insideV w:val="nil"/>
        </w:tcBorders>
        <w:shd w:val="clear" w:color="auto" w:fill="CBEFD0"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17C96"/>
    <w:pPr>
      <w:spacing w:after="0" w:line="240" w:lineRule="auto"/>
    </w:pPr>
    <w:tblPr>
      <w:tblStyleRowBandSize w:val="1"/>
      <w:tblStyleColBandSize w:val="1"/>
      <w:tblBorders>
        <w:top w:val="single" w:sz="8" w:space="0" w:color="A3D274" w:themeColor="accent3" w:themeTint="BF"/>
        <w:left w:val="single" w:sz="8" w:space="0" w:color="A3D274" w:themeColor="accent3" w:themeTint="BF"/>
        <w:bottom w:val="single" w:sz="8" w:space="0" w:color="A3D274" w:themeColor="accent3" w:themeTint="BF"/>
        <w:right w:val="single" w:sz="8" w:space="0" w:color="A3D274" w:themeColor="accent3" w:themeTint="BF"/>
        <w:insideH w:val="single" w:sz="8" w:space="0" w:color="A3D274" w:themeColor="accent3" w:themeTint="BF"/>
      </w:tblBorders>
    </w:tblPr>
    <w:tblStylePr w:type="firstRow">
      <w:pPr>
        <w:spacing w:before="0" w:after="0" w:line="240" w:lineRule="auto"/>
      </w:pPr>
      <w:rPr>
        <w:b/>
        <w:bCs/>
        <w:color w:val="FFFFFF" w:themeColor="background1"/>
      </w:rPr>
      <w:tblPr/>
      <w:tcPr>
        <w:tcBorders>
          <w:top w:val="single" w:sz="8" w:space="0" w:color="A3D274" w:themeColor="accent3" w:themeTint="BF"/>
          <w:left w:val="single" w:sz="8" w:space="0" w:color="A3D274" w:themeColor="accent3" w:themeTint="BF"/>
          <w:bottom w:val="single" w:sz="8" w:space="0" w:color="A3D274" w:themeColor="accent3" w:themeTint="BF"/>
          <w:right w:val="single" w:sz="8" w:space="0" w:color="A3D274" w:themeColor="accent3" w:themeTint="BF"/>
          <w:insideH w:val="nil"/>
          <w:insideV w:val="nil"/>
        </w:tcBorders>
        <w:shd w:val="clear" w:color="auto" w:fill="85C446" w:themeFill="accent3"/>
      </w:tcPr>
    </w:tblStylePr>
    <w:tblStylePr w:type="lastRow">
      <w:pPr>
        <w:spacing w:before="0" w:after="0" w:line="240" w:lineRule="auto"/>
      </w:pPr>
      <w:rPr>
        <w:b/>
        <w:bCs/>
      </w:rPr>
      <w:tblPr/>
      <w:tcPr>
        <w:tcBorders>
          <w:top w:val="double" w:sz="6" w:space="0" w:color="A3D274" w:themeColor="accent3" w:themeTint="BF"/>
          <w:left w:val="single" w:sz="8" w:space="0" w:color="A3D274" w:themeColor="accent3" w:themeTint="BF"/>
          <w:bottom w:val="single" w:sz="8" w:space="0" w:color="A3D274" w:themeColor="accent3" w:themeTint="BF"/>
          <w:right w:val="single" w:sz="8" w:space="0" w:color="A3D27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0F0D1" w:themeFill="accent3" w:themeFillTint="3F"/>
      </w:tcPr>
    </w:tblStylePr>
    <w:tblStylePr w:type="band1Horz">
      <w:tblPr/>
      <w:tcPr>
        <w:tcBorders>
          <w:insideH w:val="nil"/>
          <w:insideV w:val="nil"/>
        </w:tcBorders>
        <w:shd w:val="clear" w:color="auto" w:fill="E0F0D1" w:themeFill="accent3"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EF7B9B"/>
    <w:pPr>
      <w:spacing w:after="0" w:line="240" w:lineRule="auto"/>
    </w:pPr>
    <w:tblPr>
      <w:tblStyleRowBandSize w:val="1"/>
      <w:tblStyleColBandSize w:val="1"/>
      <w:tblBorders>
        <w:top w:val="single" w:sz="8" w:space="0" w:color="39B54A" w:themeColor="accent1"/>
        <w:left w:val="single" w:sz="8" w:space="0" w:color="39B54A" w:themeColor="accent1"/>
        <w:bottom w:val="single" w:sz="8" w:space="0" w:color="39B54A" w:themeColor="accent1"/>
        <w:right w:val="single" w:sz="8" w:space="0" w:color="39B54A" w:themeColor="accent1"/>
        <w:insideH w:val="single" w:sz="8" w:space="0" w:color="39B54A" w:themeColor="accent1"/>
        <w:insideV w:val="single" w:sz="8" w:space="0" w:color="39B54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B54A" w:themeColor="accent1"/>
          <w:left w:val="single" w:sz="8" w:space="0" w:color="39B54A" w:themeColor="accent1"/>
          <w:bottom w:val="single" w:sz="18" w:space="0" w:color="39B54A" w:themeColor="accent1"/>
          <w:right w:val="single" w:sz="8" w:space="0" w:color="39B54A" w:themeColor="accent1"/>
          <w:insideH w:val="nil"/>
          <w:insideV w:val="single" w:sz="8" w:space="0" w:color="39B54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B54A" w:themeColor="accent1"/>
          <w:left w:val="single" w:sz="8" w:space="0" w:color="39B54A" w:themeColor="accent1"/>
          <w:bottom w:val="single" w:sz="8" w:space="0" w:color="39B54A" w:themeColor="accent1"/>
          <w:right w:val="single" w:sz="8" w:space="0" w:color="39B54A" w:themeColor="accent1"/>
          <w:insideH w:val="nil"/>
          <w:insideV w:val="single" w:sz="8" w:space="0" w:color="39B54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B54A" w:themeColor="accent1"/>
          <w:left w:val="single" w:sz="8" w:space="0" w:color="39B54A" w:themeColor="accent1"/>
          <w:bottom w:val="single" w:sz="8" w:space="0" w:color="39B54A" w:themeColor="accent1"/>
          <w:right w:val="single" w:sz="8" w:space="0" w:color="39B54A" w:themeColor="accent1"/>
        </w:tcBorders>
      </w:tcPr>
    </w:tblStylePr>
    <w:tblStylePr w:type="band1Vert">
      <w:tblPr/>
      <w:tcPr>
        <w:tcBorders>
          <w:top w:val="single" w:sz="8" w:space="0" w:color="39B54A" w:themeColor="accent1"/>
          <w:left w:val="single" w:sz="8" w:space="0" w:color="39B54A" w:themeColor="accent1"/>
          <w:bottom w:val="single" w:sz="8" w:space="0" w:color="39B54A" w:themeColor="accent1"/>
          <w:right w:val="single" w:sz="8" w:space="0" w:color="39B54A" w:themeColor="accent1"/>
        </w:tcBorders>
        <w:shd w:val="clear" w:color="auto" w:fill="CBEFD0" w:themeFill="accent1" w:themeFillTint="3F"/>
      </w:tcPr>
    </w:tblStylePr>
    <w:tblStylePr w:type="band1Horz">
      <w:tblPr/>
      <w:tcPr>
        <w:tcBorders>
          <w:top w:val="single" w:sz="8" w:space="0" w:color="39B54A" w:themeColor="accent1"/>
          <w:left w:val="single" w:sz="8" w:space="0" w:color="39B54A" w:themeColor="accent1"/>
          <w:bottom w:val="single" w:sz="8" w:space="0" w:color="39B54A" w:themeColor="accent1"/>
          <w:right w:val="single" w:sz="8" w:space="0" w:color="39B54A" w:themeColor="accent1"/>
          <w:insideV w:val="single" w:sz="8" w:space="0" w:color="39B54A" w:themeColor="accent1"/>
        </w:tcBorders>
        <w:shd w:val="clear" w:color="auto" w:fill="CBEFD0" w:themeFill="accent1" w:themeFillTint="3F"/>
      </w:tcPr>
    </w:tblStylePr>
    <w:tblStylePr w:type="band2Horz">
      <w:tblPr/>
      <w:tcPr>
        <w:tcBorders>
          <w:top w:val="single" w:sz="8" w:space="0" w:color="39B54A" w:themeColor="accent1"/>
          <w:left w:val="single" w:sz="8" w:space="0" w:color="39B54A" w:themeColor="accent1"/>
          <w:bottom w:val="single" w:sz="8" w:space="0" w:color="39B54A" w:themeColor="accent1"/>
          <w:right w:val="single" w:sz="8" w:space="0" w:color="39B54A" w:themeColor="accent1"/>
          <w:insideV w:val="single" w:sz="8" w:space="0" w:color="39B54A" w:themeColor="accent1"/>
        </w:tcBorders>
      </w:tcPr>
    </w:tblStylePr>
  </w:style>
  <w:style w:type="table" w:styleId="LightGrid-Accent4">
    <w:name w:val="Light Grid Accent 4"/>
    <w:basedOn w:val="TableNormal"/>
    <w:uiPriority w:val="62"/>
    <w:rsid w:val="00EF7B9B"/>
    <w:pPr>
      <w:spacing w:after="0" w:line="240" w:lineRule="auto"/>
    </w:pPr>
    <w:tblPr>
      <w:tblStyleRowBandSize w:val="1"/>
      <w:tblStyleColBandSize w:val="1"/>
      <w:tblBorders>
        <w:top w:val="single" w:sz="8" w:space="0" w:color="00673E" w:themeColor="accent4"/>
        <w:left w:val="single" w:sz="8" w:space="0" w:color="00673E" w:themeColor="accent4"/>
        <w:bottom w:val="single" w:sz="8" w:space="0" w:color="00673E" w:themeColor="accent4"/>
        <w:right w:val="single" w:sz="8" w:space="0" w:color="00673E" w:themeColor="accent4"/>
        <w:insideH w:val="single" w:sz="8" w:space="0" w:color="00673E" w:themeColor="accent4"/>
        <w:insideV w:val="single" w:sz="8" w:space="0" w:color="00673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73E" w:themeColor="accent4"/>
          <w:left w:val="single" w:sz="8" w:space="0" w:color="00673E" w:themeColor="accent4"/>
          <w:bottom w:val="single" w:sz="18" w:space="0" w:color="00673E" w:themeColor="accent4"/>
          <w:right w:val="single" w:sz="8" w:space="0" w:color="00673E" w:themeColor="accent4"/>
          <w:insideH w:val="nil"/>
          <w:insideV w:val="single" w:sz="8" w:space="0" w:color="00673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73E" w:themeColor="accent4"/>
          <w:left w:val="single" w:sz="8" w:space="0" w:color="00673E" w:themeColor="accent4"/>
          <w:bottom w:val="single" w:sz="8" w:space="0" w:color="00673E" w:themeColor="accent4"/>
          <w:right w:val="single" w:sz="8" w:space="0" w:color="00673E" w:themeColor="accent4"/>
          <w:insideH w:val="nil"/>
          <w:insideV w:val="single" w:sz="8" w:space="0" w:color="00673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73E" w:themeColor="accent4"/>
          <w:left w:val="single" w:sz="8" w:space="0" w:color="00673E" w:themeColor="accent4"/>
          <w:bottom w:val="single" w:sz="8" w:space="0" w:color="00673E" w:themeColor="accent4"/>
          <w:right w:val="single" w:sz="8" w:space="0" w:color="00673E" w:themeColor="accent4"/>
        </w:tcBorders>
      </w:tcPr>
    </w:tblStylePr>
    <w:tblStylePr w:type="band1Vert">
      <w:tblPr/>
      <w:tcPr>
        <w:tcBorders>
          <w:top w:val="single" w:sz="8" w:space="0" w:color="00673E" w:themeColor="accent4"/>
          <w:left w:val="single" w:sz="8" w:space="0" w:color="00673E" w:themeColor="accent4"/>
          <w:bottom w:val="single" w:sz="8" w:space="0" w:color="00673E" w:themeColor="accent4"/>
          <w:right w:val="single" w:sz="8" w:space="0" w:color="00673E" w:themeColor="accent4"/>
        </w:tcBorders>
        <w:shd w:val="clear" w:color="auto" w:fill="9AFFD6" w:themeFill="accent4" w:themeFillTint="3F"/>
      </w:tcPr>
    </w:tblStylePr>
    <w:tblStylePr w:type="band1Horz">
      <w:tblPr/>
      <w:tcPr>
        <w:tcBorders>
          <w:top w:val="single" w:sz="8" w:space="0" w:color="00673E" w:themeColor="accent4"/>
          <w:left w:val="single" w:sz="8" w:space="0" w:color="00673E" w:themeColor="accent4"/>
          <w:bottom w:val="single" w:sz="8" w:space="0" w:color="00673E" w:themeColor="accent4"/>
          <w:right w:val="single" w:sz="8" w:space="0" w:color="00673E" w:themeColor="accent4"/>
          <w:insideV w:val="single" w:sz="8" w:space="0" w:color="00673E" w:themeColor="accent4"/>
        </w:tcBorders>
        <w:shd w:val="clear" w:color="auto" w:fill="9AFFD6" w:themeFill="accent4" w:themeFillTint="3F"/>
      </w:tcPr>
    </w:tblStylePr>
    <w:tblStylePr w:type="band2Horz">
      <w:tblPr/>
      <w:tcPr>
        <w:tcBorders>
          <w:top w:val="single" w:sz="8" w:space="0" w:color="00673E" w:themeColor="accent4"/>
          <w:left w:val="single" w:sz="8" w:space="0" w:color="00673E" w:themeColor="accent4"/>
          <w:bottom w:val="single" w:sz="8" w:space="0" w:color="00673E" w:themeColor="accent4"/>
          <w:right w:val="single" w:sz="8" w:space="0" w:color="00673E" w:themeColor="accent4"/>
          <w:insideV w:val="single" w:sz="8" w:space="0" w:color="00673E" w:themeColor="accent4"/>
        </w:tcBorders>
      </w:tcPr>
    </w:tblStylePr>
  </w:style>
  <w:style w:type="table" w:customStyle="1" w:styleId="LightShading-Accent11">
    <w:name w:val="Light Shading - Accent 11"/>
    <w:basedOn w:val="TableNormal"/>
    <w:uiPriority w:val="60"/>
    <w:rsid w:val="00D02AA2"/>
    <w:pPr>
      <w:spacing w:after="0" w:line="240" w:lineRule="auto"/>
    </w:pPr>
    <w:rPr>
      <w:color w:val="2A8737" w:themeColor="accent1" w:themeShade="BF"/>
    </w:rPr>
    <w:tblPr>
      <w:tblStyleRowBandSize w:val="1"/>
      <w:tblStyleColBandSize w:val="1"/>
      <w:tblBorders>
        <w:top w:val="single" w:sz="8" w:space="0" w:color="39B54A" w:themeColor="accent1"/>
        <w:bottom w:val="single" w:sz="8" w:space="0" w:color="39B54A" w:themeColor="accent1"/>
      </w:tblBorders>
    </w:tblPr>
    <w:tblStylePr w:type="firstRow">
      <w:pPr>
        <w:spacing w:before="0" w:after="0" w:line="240" w:lineRule="auto"/>
      </w:pPr>
      <w:rPr>
        <w:b/>
        <w:bCs/>
      </w:rPr>
      <w:tblPr/>
      <w:tcPr>
        <w:tcBorders>
          <w:top w:val="single" w:sz="8" w:space="0" w:color="39B54A" w:themeColor="accent1"/>
          <w:left w:val="nil"/>
          <w:bottom w:val="single" w:sz="8" w:space="0" w:color="39B54A" w:themeColor="accent1"/>
          <w:right w:val="nil"/>
          <w:insideH w:val="nil"/>
          <w:insideV w:val="nil"/>
        </w:tcBorders>
      </w:tcPr>
    </w:tblStylePr>
    <w:tblStylePr w:type="lastRow">
      <w:pPr>
        <w:spacing w:before="0" w:after="0" w:line="240" w:lineRule="auto"/>
      </w:pPr>
      <w:rPr>
        <w:b/>
        <w:bCs/>
      </w:rPr>
      <w:tblPr/>
      <w:tcPr>
        <w:tcBorders>
          <w:top w:val="single" w:sz="8" w:space="0" w:color="39B54A" w:themeColor="accent1"/>
          <w:left w:val="nil"/>
          <w:bottom w:val="single" w:sz="8" w:space="0" w:color="39B54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FD0" w:themeFill="accent1" w:themeFillTint="3F"/>
      </w:tcPr>
    </w:tblStylePr>
    <w:tblStylePr w:type="band1Horz">
      <w:tblPr/>
      <w:tcPr>
        <w:tcBorders>
          <w:left w:val="nil"/>
          <w:right w:val="nil"/>
          <w:insideH w:val="nil"/>
          <w:insideV w:val="nil"/>
        </w:tcBorders>
        <w:shd w:val="clear" w:color="auto" w:fill="CBEFD0" w:themeFill="accent1" w:themeFillTint="3F"/>
      </w:tcPr>
    </w:tblStylePr>
  </w:style>
  <w:style w:type="table" w:customStyle="1" w:styleId="RIS-Table">
    <w:name w:val="RIS-Table"/>
    <w:basedOn w:val="TableGridLight1"/>
    <w:uiPriority w:val="99"/>
    <w:rsid w:val="003C78A2"/>
    <w:pPr>
      <w:spacing w:before="40" w:after="40"/>
    </w:pPr>
    <w:rPr>
      <w:rFonts w:ascii="Segoe UI" w:hAnsi="Segoe UI"/>
      <w:sz w:val="20"/>
      <w:szCs w:val="20"/>
      <w:lang w:val="en-GB" w:eastAsia="en-AU"/>
    </w:rPr>
    <w:tblPr>
      <w:tblStyleRowBandSize w:val="1"/>
    </w:tblPr>
    <w:tblStylePr w:type="firstRow">
      <w:pPr>
        <w:wordWrap/>
        <w:spacing w:beforeLines="0" w:beforeAutospacing="0" w:afterLines="0" w:afterAutospacing="0" w:line="240" w:lineRule="auto"/>
        <w:contextualSpacing w:val="0"/>
        <w:jc w:val="center"/>
      </w:pPr>
      <w:rPr>
        <w:b/>
        <w:color w:val="FFFFFF" w:themeColor="background1"/>
      </w:rPr>
      <w:tblPr/>
      <w:trPr>
        <w:tblHeader/>
      </w:trPr>
      <w:tcPr>
        <w:shd w:val="clear" w:color="auto" w:fill="0A1F3F"/>
      </w:tcPr>
    </w:tblStylePr>
    <w:tblStylePr w:type="band2Horz">
      <w:tblPr/>
      <w:tcPr>
        <w:shd w:val="clear" w:color="auto" w:fill="E5EEF7"/>
      </w:tcPr>
    </w:tblStylePr>
  </w:style>
  <w:style w:type="character" w:customStyle="1" w:styleId="UnresolvedMention12">
    <w:name w:val="Unresolved Mention12"/>
    <w:basedOn w:val="DefaultParagraphFont"/>
    <w:uiPriority w:val="99"/>
    <w:semiHidden/>
    <w:unhideWhenUsed/>
    <w:rsid w:val="00983123"/>
    <w:rPr>
      <w:color w:val="808080"/>
      <w:shd w:val="clear" w:color="auto" w:fill="E6E6E6"/>
    </w:rPr>
  </w:style>
  <w:style w:type="table" w:customStyle="1" w:styleId="TableGridLight1">
    <w:name w:val="Table Grid Light1"/>
    <w:basedOn w:val="TableNormal"/>
    <w:uiPriority w:val="40"/>
    <w:rsid w:val="00245C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IS-Table2">
    <w:name w:val="RIS-Table2"/>
    <w:basedOn w:val="RIS-Table"/>
    <w:uiPriority w:val="99"/>
    <w:rsid w:val="001E019C"/>
    <w:pPr>
      <w:spacing w:after="0"/>
    </w:pPr>
    <w:tblPr/>
    <w:tblStylePr w:type="firstRow">
      <w:pPr>
        <w:wordWrap/>
        <w:spacing w:beforeLines="0" w:beforeAutospacing="0" w:afterLines="0" w:afterAutospacing="0" w:line="240" w:lineRule="auto"/>
        <w:contextualSpacing w:val="0"/>
        <w:jc w:val="center"/>
      </w:pPr>
      <w:rPr>
        <w:b/>
        <w:color w:val="FFFFFF" w:themeColor="background1"/>
      </w:rPr>
      <w:tblPr/>
      <w:trPr>
        <w:tblHeader/>
      </w:trPr>
      <w:tcPr>
        <w:shd w:val="clear" w:color="auto" w:fill="0A1F3F"/>
        <w:vAlign w:val="center"/>
      </w:tcPr>
    </w:tblStylePr>
    <w:tblStylePr w:type="band2Horz">
      <w:tblPr/>
      <w:tcPr>
        <w:shd w:val="clear" w:color="auto" w:fill="FFFFFF" w:themeFill="background1"/>
      </w:tcPr>
    </w:tblStylePr>
  </w:style>
  <w:style w:type="character" w:customStyle="1" w:styleId="UnresolvedMention13">
    <w:name w:val="Unresolved Mention13"/>
    <w:basedOn w:val="DefaultParagraphFont"/>
    <w:uiPriority w:val="99"/>
    <w:semiHidden/>
    <w:unhideWhenUsed/>
    <w:rsid w:val="00EF284B"/>
    <w:rPr>
      <w:color w:val="808080"/>
      <w:shd w:val="clear" w:color="auto" w:fill="E6E6E6"/>
    </w:rPr>
  </w:style>
  <w:style w:type="character" w:customStyle="1" w:styleId="UnresolvedMention14">
    <w:name w:val="Unresolved Mention14"/>
    <w:basedOn w:val="DefaultParagraphFont"/>
    <w:uiPriority w:val="99"/>
    <w:semiHidden/>
    <w:unhideWhenUsed/>
    <w:rsid w:val="009E5A40"/>
    <w:rPr>
      <w:color w:val="808080"/>
      <w:shd w:val="clear" w:color="auto" w:fill="E6E6E6"/>
    </w:rPr>
  </w:style>
  <w:style w:type="character" w:customStyle="1" w:styleId="UnresolvedMention15">
    <w:name w:val="Unresolved Mention15"/>
    <w:basedOn w:val="DefaultParagraphFont"/>
    <w:uiPriority w:val="99"/>
    <w:semiHidden/>
    <w:unhideWhenUsed/>
    <w:rsid w:val="001C1903"/>
    <w:rPr>
      <w:color w:val="808080"/>
      <w:shd w:val="clear" w:color="auto" w:fill="E6E6E6"/>
    </w:rPr>
  </w:style>
  <w:style w:type="character" w:customStyle="1" w:styleId="UnresolvedMention16">
    <w:name w:val="Unresolved Mention16"/>
    <w:basedOn w:val="DefaultParagraphFont"/>
    <w:uiPriority w:val="99"/>
    <w:semiHidden/>
    <w:unhideWhenUsed/>
    <w:rsid w:val="00B2230E"/>
    <w:rPr>
      <w:color w:val="808080"/>
      <w:shd w:val="clear" w:color="auto" w:fill="E6E6E6"/>
    </w:rPr>
  </w:style>
  <w:style w:type="character" w:customStyle="1" w:styleId="UnresolvedMention17">
    <w:name w:val="Unresolved Mention17"/>
    <w:basedOn w:val="DefaultParagraphFont"/>
    <w:uiPriority w:val="99"/>
    <w:semiHidden/>
    <w:unhideWhenUsed/>
    <w:rsid w:val="006B14C7"/>
    <w:rPr>
      <w:color w:val="808080"/>
      <w:shd w:val="clear" w:color="auto" w:fill="E6E6E6"/>
    </w:rPr>
  </w:style>
  <w:style w:type="character" w:customStyle="1" w:styleId="UnresolvedMention18">
    <w:name w:val="Unresolved Mention18"/>
    <w:basedOn w:val="DefaultParagraphFont"/>
    <w:uiPriority w:val="99"/>
    <w:semiHidden/>
    <w:unhideWhenUsed/>
    <w:rsid w:val="000C7A5E"/>
    <w:rPr>
      <w:color w:val="808080"/>
      <w:shd w:val="clear" w:color="auto" w:fill="E6E6E6"/>
    </w:rPr>
  </w:style>
  <w:style w:type="character" w:customStyle="1" w:styleId="UnresolvedMention19">
    <w:name w:val="Unresolved Mention19"/>
    <w:basedOn w:val="DefaultParagraphFont"/>
    <w:uiPriority w:val="99"/>
    <w:semiHidden/>
    <w:unhideWhenUsed/>
    <w:rsid w:val="006F1C03"/>
    <w:rPr>
      <w:color w:val="808080"/>
      <w:shd w:val="clear" w:color="auto" w:fill="E6E6E6"/>
    </w:rPr>
  </w:style>
  <w:style w:type="character" w:customStyle="1" w:styleId="UnresolvedMention20">
    <w:name w:val="Unresolved Mention20"/>
    <w:basedOn w:val="DefaultParagraphFont"/>
    <w:uiPriority w:val="99"/>
    <w:semiHidden/>
    <w:unhideWhenUsed/>
    <w:rsid w:val="000C1FD9"/>
    <w:rPr>
      <w:color w:val="808080"/>
      <w:shd w:val="clear" w:color="auto" w:fill="E6E6E6"/>
    </w:rPr>
  </w:style>
  <w:style w:type="character" w:customStyle="1" w:styleId="UnresolvedMention22">
    <w:name w:val="Unresolved Mention22"/>
    <w:basedOn w:val="DefaultParagraphFont"/>
    <w:uiPriority w:val="99"/>
    <w:semiHidden/>
    <w:unhideWhenUsed/>
    <w:rsid w:val="00DB59AA"/>
    <w:rPr>
      <w:color w:val="808080"/>
      <w:shd w:val="clear" w:color="auto" w:fill="E6E6E6"/>
    </w:rPr>
  </w:style>
  <w:style w:type="paragraph" w:customStyle="1" w:styleId="TableNum">
    <w:name w:val="TableNum"/>
    <w:basedOn w:val="TableList1"/>
    <w:link w:val="TableNumChar"/>
    <w:qFormat/>
    <w:rsid w:val="00011677"/>
    <w:pPr>
      <w:numPr>
        <w:numId w:val="12"/>
      </w:numPr>
      <w:ind w:left="177" w:hanging="218"/>
    </w:pPr>
  </w:style>
  <w:style w:type="character" w:customStyle="1" w:styleId="TableList1Char">
    <w:name w:val="Table List1 Char"/>
    <w:basedOn w:val="Bullet1-BlackChar"/>
    <w:link w:val="TableList1"/>
    <w:rsid w:val="005A2C59"/>
    <w:rPr>
      <w:rFonts w:ascii="Segoe UI" w:hAnsi="Segoe UI" w:cs="Segoe UI"/>
      <w:sz w:val="18"/>
      <w:szCs w:val="18"/>
      <w:lang w:eastAsia="en-AU"/>
    </w:rPr>
  </w:style>
  <w:style w:type="character" w:customStyle="1" w:styleId="TableNumChar">
    <w:name w:val="TableNum Char"/>
    <w:basedOn w:val="TableList1Char"/>
    <w:link w:val="TableNum"/>
    <w:rsid w:val="00011677"/>
    <w:rPr>
      <w:rFonts w:ascii="Segoe UI" w:hAnsi="Segoe UI" w:cs="Segoe UI"/>
      <w:sz w:val="18"/>
      <w:szCs w:val="18"/>
      <w:lang w:eastAsia="en-AU"/>
    </w:rPr>
  </w:style>
  <w:style w:type="character" w:customStyle="1" w:styleId="field">
    <w:name w:val="field"/>
    <w:basedOn w:val="DefaultParagraphFont"/>
    <w:rsid w:val="00DF20AB"/>
  </w:style>
  <w:style w:type="character" w:customStyle="1" w:styleId="UnresolvedMention23">
    <w:name w:val="Unresolved Mention23"/>
    <w:basedOn w:val="DefaultParagraphFont"/>
    <w:uiPriority w:val="99"/>
    <w:semiHidden/>
    <w:unhideWhenUsed/>
    <w:rsid w:val="00907DC2"/>
    <w:rPr>
      <w:color w:val="808080"/>
      <w:shd w:val="clear" w:color="auto" w:fill="E6E6E6"/>
    </w:rPr>
  </w:style>
  <w:style w:type="character" w:customStyle="1" w:styleId="UnresolvedMention24">
    <w:name w:val="Unresolved Mention24"/>
    <w:basedOn w:val="DefaultParagraphFont"/>
    <w:uiPriority w:val="99"/>
    <w:semiHidden/>
    <w:unhideWhenUsed/>
    <w:rsid w:val="00AD375A"/>
    <w:rPr>
      <w:color w:val="808080"/>
      <w:shd w:val="clear" w:color="auto" w:fill="E6E6E6"/>
    </w:rPr>
  </w:style>
  <w:style w:type="character" w:customStyle="1" w:styleId="UnresolvedMention25">
    <w:name w:val="Unresolved Mention25"/>
    <w:basedOn w:val="DefaultParagraphFont"/>
    <w:uiPriority w:val="99"/>
    <w:semiHidden/>
    <w:unhideWhenUsed/>
    <w:rsid w:val="006926DE"/>
    <w:rPr>
      <w:color w:val="808080"/>
      <w:shd w:val="clear" w:color="auto" w:fill="E6E6E6"/>
    </w:rPr>
  </w:style>
  <w:style w:type="character" w:customStyle="1" w:styleId="UnresolvedMention26">
    <w:name w:val="Unresolved Mention26"/>
    <w:basedOn w:val="DefaultParagraphFont"/>
    <w:uiPriority w:val="99"/>
    <w:semiHidden/>
    <w:unhideWhenUsed/>
    <w:rsid w:val="007200B8"/>
    <w:rPr>
      <w:color w:val="808080"/>
      <w:shd w:val="clear" w:color="auto" w:fill="E6E6E6"/>
    </w:rPr>
  </w:style>
  <w:style w:type="character" w:customStyle="1" w:styleId="UnresolvedMention27">
    <w:name w:val="Unresolved Mention27"/>
    <w:basedOn w:val="DefaultParagraphFont"/>
    <w:uiPriority w:val="99"/>
    <w:semiHidden/>
    <w:unhideWhenUsed/>
    <w:rsid w:val="00200DEE"/>
    <w:rPr>
      <w:color w:val="808080"/>
      <w:shd w:val="clear" w:color="auto" w:fill="E6E6E6"/>
    </w:rPr>
  </w:style>
  <w:style w:type="character" w:customStyle="1" w:styleId="UnresolvedMention28">
    <w:name w:val="Unresolved Mention28"/>
    <w:basedOn w:val="DefaultParagraphFont"/>
    <w:uiPriority w:val="99"/>
    <w:semiHidden/>
    <w:unhideWhenUsed/>
    <w:rsid w:val="005C0FBD"/>
    <w:rPr>
      <w:color w:val="808080"/>
      <w:shd w:val="clear" w:color="auto" w:fill="E6E6E6"/>
    </w:rPr>
  </w:style>
  <w:style w:type="character" w:customStyle="1" w:styleId="UnresolvedMention29">
    <w:name w:val="Unresolved Mention29"/>
    <w:basedOn w:val="DefaultParagraphFont"/>
    <w:uiPriority w:val="99"/>
    <w:semiHidden/>
    <w:unhideWhenUsed/>
    <w:rsid w:val="00F22B22"/>
    <w:rPr>
      <w:color w:val="808080"/>
      <w:shd w:val="clear" w:color="auto" w:fill="E6E6E6"/>
    </w:rPr>
  </w:style>
  <w:style w:type="character" w:customStyle="1" w:styleId="UnresolvedMention30">
    <w:name w:val="Unresolved Mention30"/>
    <w:basedOn w:val="DefaultParagraphFont"/>
    <w:uiPriority w:val="99"/>
    <w:semiHidden/>
    <w:unhideWhenUsed/>
    <w:rsid w:val="007B2740"/>
    <w:rPr>
      <w:color w:val="808080"/>
      <w:shd w:val="clear" w:color="auto" w:fill="E6E6E6"/>
    </w:rPr>
  </w:style>
  <w:style w:type="character" w:customStyle="1" w:styleId="UnresolvedMention31">
    <w:name w:val="Unresolved Mention31"/>
    <w:basedOn w:val="DefaultParagraphFont"/>
    <w:uiPriority w:val="99"/>
    <w:semiHidden/>
    <w:unhideWhenUsed/>
    <w:rsid w:val="00301D21"/>
    <w:rPr>
      <w:color w:val="808080"/>
      <w:shd w:val="clear" w:color="auto" w:fill="E6E6E6"/>
    </w:rPr>
  </w:style>
  <w:style w:type="paragraph" w:customStyle="1" w:styleId="BulletHeading">
    <w:name w:val="BulletHeading"/>
    <w:basedOn w:val="BulletPara1"/>
    <w:link w:val="BulletHeadingChar"/>
    <w:qFormat/>
    <w:rsid w:val="00734511"/>
    <w:rPr>
      <w:b/>
      <w:color w:val="7F7F7F" w:themeColor="text1" w:themeTint="80"/>
    </w:rPr>
  </w:style>
  <w:style w:type="paragraph" w:customStyle="1" w:styleId="TableList20">
    <w:name w:val="TableList2"/>
    <w:basedOn w:val="TableList1"/>
    <w:link w:val="TableList2Char"/>
    <w:qFormat/>
    <w:rsid w:val="008103DD"/>
    <w:pPr>
      <w:numPr>
        <w:numId w:val="15"/>
      </w:numPr>
    </w:pPr>
  </w:style>
  <w:style w:type="character" w:customStyle="1" w:styleId="BulletHeadingChar">
    <w:name w:val="BulletHeading Char"/>
    <w:basedOn w:val="BulletPara1Char"/>
    <w:link w:val="BulletHeading"/>
    <w:rsid w:val="00734511"/>
    <w:rPr>
      <w:rFonts w:ascii="Segoe UI" w:hAnsi="Segoe UI" w:cs="Segoe UI"/>
      <w:b/>
      <w:color w:val="7F7F7F" w:themeColor="text1" w:themeTint="80"/>
      <w:sz w:val="20"/>
      <w:lang w:eastAsia="en-AU"/>
    </w:rPr>
  </w:style>
  <w:style w:type="paragraph" w:customStyle="1" w:styleId="TableListLetter">
    <w:name w:val="TableListLetter"/>
    <w:basedOn w:val="ListParagraph"/>
    <w:link w:val="TableListLetterChar"/>
    <w:qFormat/>
    <w:rsid w:val="00355A09"/>
    <w:pPr>
      <w:numPr>
        <w:numId w:val="13"/>
      </w:numPr>
      <w:spacing w:before="40" w:after="0" w:line="240" w:lineRule="auto"/>
      <w:ind w:left="340" w:hanging="340"/>
    </w:pPr>
    <w:rPr>
      <w:sz w:val="18"/>
      <w:szCs w:val="20"/>
      <w:lang w:eastAsia="en-AU"/>
    </w:rPr>
  </w:style>
  <w:style w:type="character" w:customStyle="1" w:styleId="TableList2Char">
    <w:name w:val="TableList2 Char"/>
    <w:basedOn w:val="TableList1Char"/>
    <w:link w:val="TableList20"/>
    <w:rsid w:val="00802200"/>
    <w:rPr>
      <w:rFonts w:ascii="Segoe UI" w:hAnsi="Segoe UI" w:cs="Segoe UI"/>
      <w:sz w:val="18"/>
      <w:szCs w:val="18"/>
      <w:lang w:eastAsia="en-AU"/>
    </w:rPr>
  </w:style>
  <w:style w:type="character" w:customStyle="1" w:styleId="TableListLetterChar">
    <w:name w:val="TableListLetter Char"/>
    <w:basedOn w:val="ListParagraphChar"/>
    <w:link w:val="TableListLetter"/>
    <w:rsid w:val="00355A09"/>
    <w:rPr>
      <w:rFonts w:ascii="Segoe UI" w:hAnsi="Segoe UI" w:cs="Segoe UI"/>
      <w:sz w:val="18"/>
      <w:szCs w:val="20"/>
      <w:lang w:eastAsia="en-AU"/>
    </w:rPr>
  </w:style>
  <w:style w:type="character" w:customStyle="1" w:styleId="UnresolvedMention32">
    <w:name w:val="Unresolved Mention32"/>
    <w:basedOn w:val="DefaultParagraphFont"/>
    <w:uiPriority w:val="99"/>
    <w:semiHidden/>
    <w:unhideWhenUsed/>
    <w:rsid w:val="00503102"/>
    <w:rPr>
      <w:color w:val="808080"/>
      <w:shd w:val="clear" w:color="auto" w:fill="E6E6E6"/>
    </w:rPr>
  </w:style>
  <w:style w:type="paragraph" w:customStyle="1" w:styleId="Table-Bullet">
    <w:name w:val="Table-Bullet"/>
    <w:basedOn w:val="ListParagraph"/>
    <w:qFormat/>
    <w:rsid w:val="00F73410"/>
    <w:pPr>
      <w:keepNext w:val="0"/>
      <w:numPr>
        <w:numId w:val="0"/>
      </w:numPr>
      <w:spacing w:before="40" w:after="40" w:line="240" w:lineRule="auto"/>
      <w:ind w:left="432" w:hanging="432"/>
      <w:contextualSpacing/>
    </w:pPr>
    <w:rPr>
      <w:rFonts w:eastAsia="Times New Roman"/>
      <w:sz w:val="18"/>
      <w:szCs w:val="20"/>
    </w:rPr>
  </w:style>
  <w:style w:type="table" w:customStyle="1" w:styleId="RIS-Table1">
    <w:name w:val="RIS-Table1"/>
    <w:basedOn w:val="TableGridLight1"/>
    <w:uiPriority w:val="99"/>
    <w:rsid w:val="003C78A2"/>
    <w:pPr>
      <w:spacing w:before="40" w:after="40"/>
    </w:pPr>
    <w:rPr>
      <w:rFonts w:ascii="Segoe UI" w:hAnsi="Segoe UI"/>
      <w:sz w:val="20"/>
      <w:szCs w:val="20"/>
      <w:lang w:eastAsia="en-AU"/>
    </w:rPr>
    <w:tblPr>
      <w:tblStyleRowBandSize w:val="1"/>
    </w:tblPr>
    <w:tblStylePr w:type="firstRow">
      <w:pPr>
        <w:wordWrap/>
        <w:spacing w:beforeLines="0" w:beforeAutospacing="0" w:afterLines="0" w:afterAutospacing="0" w:line="240" w:lineRule="auto"/>
        <w:contextualSpacing w:val="0"/>
        <w:jc w:val="center"/>
      </w:pPr>
      <w:rPr>
        <w:b/>
        <w:color w:val="FFFFFF" w:themeColor="background1"/>
      </w:rPr>
      <w:tblPr/>
      <w:trPr>
        <w:tblHeader/>
      </w:trPr>
      <w:tcPr>
        <w:shd w:val="clear" w:color="auto" w:fill="0A1F3F"/>
        <w:vAlign w:val="center"/>
      </w:tcPr>
    </w:tblStylePr>
    <w:tblStylePr w:type="band2Horz">
      <w:tblPr/>
      <w:tcPr>
        <w:shd w:val="clear" w:color="auto" w:fill="E5EEF7"/>
      </w:tcPr>
    </w:tblStylePr>
  </w:style>
  <w:style w:type="table" w:customStyle="1" w:styleId="RIS-Table3">
    <w:name w:val="RIS-Table3"/>
    <w:basedOn w:val="TableGridLight1"/>
    <w:uiPriority w:val="99"/>
    <w:rsid w:val="00FF4211"/>
    <w:pPr>
      <w:spacing w:before="40" w:after="40"/>
    </w:pPr>
    <w:rPr>
      <w:rFonts w:ascii="Segoe UI" w:hAnsi="Segoe UI"/>
      <w:sz w:val="20"/>
      <w:szCs w:val="20"/>
      <w:lang w:eastAsia="en-AU"/>
    </w:rPr>
    <w:tblPr>
      <w:tblStyleRowBandSize w:val="1"/>
    </w:tblPr>
    <w:tblStylePr w:type="firstRow">
      <w:pPr>
        <w:wordWrap/>
        <w:spacing w:beforeLines="0" w:beforeAutospacing="0" w:afterLines="0" w:afterAutospacing="0" w:line="240" w:lineRule="auto"/>
        <w:contextualSpacing w:val="0"/>
        <w:jc w:val="center"/>
      </w:pPr>
      <w:rPr>
        <w:b/>
        <w:color w:val="FFFFFF" w:themeColor="background1"/>
      </w:rPr>
      <w:tblPr/>
      <w:tcPr>
        <w:shd w:val="clear" w:color="auto" w:fill="39B54A"/>
        <w:vAlign w:val="center"/>
      </w:tcPr>
    </w:tblStylePr>
    <w:tblStylePr w:type="band2Horz">
      <w:tblPr/>
      <w:tcPr>
        <w:shd w:val="clear" w:color="auto" w:fill="E6E8E8" w:themeFill="background2" w:themeFillTint="33"/>
      </w:tcPr>
    </w:tblStylePr>
  </w:style>
  <w:style w:type="numbering" w:customStyle="1" w:styleId="Style2">
    <w:name w:val="Style2"/>
    <w:uiPriority w:val="99"/>
    <w:rsid w:val="00364105"/>
    <w:pPr>
      <w:numPr>
        <w:numId w:val="19"/>
      </w:numPr>
    </w:pPr>
  </w:style>
  <w:style w:type="paragraph" w:customStyle="1" w:styleId="TableList2">
    <w:name w:val="Table List2"/>
    <w:basedOn w:val="TableList1"/>
    <w:link w:val="TableList2Char0"/>
    <w:qFormat/>
    <w:rsid w:val="0059161F"/>
    <w:pPr>
      <w:numPr>
        <w:numId w:val="21"/>
      </w:numPr>
      <w:spacing w:after="80" w:line="240" w:lineRule="auto"/>
      <w:ind w:left="453" w:hanging="215"/>
    </w:pPr>
  </w:style>
  <w:style w:type="paragraph" w:customStyle="1" w:styleId="TableList3">
    <w:name w:val="Table List3"/>
    <w:basedOn w:val="Normal"/>
    <w:next w:val="TableList1"/>
    <w:link w:val="TableList3Char"/>
    <w:qFormat/>
    <w:rsid w:val="006149E0"/>
    <w:pPr>
      <w:numPr>
        <w:numId w:val="22"/>
      </w:numPr>
      <w:spacing w:before="60" w:after="60" w:line="240" w:lineRule="auto"/>
      <w:ind w:left="624" w:hanging="142"/>
    </w:pPr>
    <w:rPr>
      <w:rFonts w:ascii="Segoe UI" w:hAnsi="Segoe UI" w:cs="Segoe UI"/>
      <w:sz w:val="18"/>
      <w:szCs w:val="18"/>
      <w:lang w:eastAsia="en-AU"/>
    </w:rPr>
  </w:style>
  <w:style w:type="character" w:customStyle="1" w:styleId="TableList2Char0">
    <w:name w:val="Table List2 Char"/>
    <w:basedOn w:val="TableList1Char"/>
    <w:link w:val="TableList2"/>
    <w:rsid w:val="0059161F"/>
    <w:rPr>
      <w:rFonts w:ascii="Segoe UI" w:hAnsi="Segoe UI" w:cs="Segoe UI"/>
      <w:sz w:val="18"/>
      <w:szCs w:val="18"/>
      <w:lang w:eastAsia="en-AU"/>
    </w:rPr>
  </w:style>
  <w:style w:type="character" w:customStyle="1" w:styleId="TableList3Char">
    <w:name w:val="Table List3 Char"/>
    <w:basedOn w:val="DefaultParagraphFont"/>
    <w:link w:val="TableList3"/>
    <w:rsid w:val="006149E0"/>
    <w:rPr>
      <w:rFonts w:ascii="Segoe UI" w:hAnsi="Segoe UI" w:cs="Segoe UI"/>
      <w:sz w:val="18"/>
      <w:szCs w:val="18"/>
      <w:lang w:eastAsia="en-AU"/>
    </w:rPr>
  </w:style>
  <w:style w:type="paragraph" w:customStyle="1" w:styleId="SubHeading2">
    <w:name w:val="SubHeading2"/>
    <w:basedOn w:val="NoSpacing"/>
    <w:link w:val="SubHeading2Char"/>
    <w:qFormat/>
    <w:rsid w:val="001848A0"/>
    <w:rPr>
      <w:i w:val="0"/>
      <w:color w:val="595959" w:themeColor="text1" w:themeTint="A6"/>
    </w:rPr>
  </w:style>
  <w:style w:type="character" w:customStyle="1" w:styleId="NoSpacingChar">
    <w:name w:val="No Spacing Char"/>
    <w:aliases w:val="SubHeading Char"/>
    <w:basedOn w:val="DefaultParagraphFont"/>
    <w:link w:val="NoSpacing"/>
    <w:uiPriority w:val="1"/>
    <w:rsid w:val="000F4889"/>
    <w:rPr>
      <w:rFonts w:ascii="Segoe UI" w:hAnsi="Segoe UI" w:cs="Segoe UI"/>
      <w:b/>
      <w:i/>
      <w:color w:val="0C81BC"/>
      <w:sz w:val="20"/>
      <w:szCs w:val="26"/>
    </w:rPr>
  </w:style>
  <w:style w:type="character" w:customStyle="1" w:styleId="SubHeading2Char">
    <w:name w:val="SubHeading2 Char"/>
    <w:basedOn w:val="NoSpacingChar"/>
    <w:link w:val="SubHeading2"/>
    <w:rsid w:val="001848A0"/>
    <w:rPr>
      <w:rFonts w:ascii="Segoe UI" w:hAnsi="Segoe UI" w:cs="Segoe UI"/>
      <w:b/>
      <w:i w:val="0"/>
      <w:color w:val="595959" w:themeColor="text1" w:themeTint="A6"/>
      <w:sz w:val="20"/>
      <w:szCs w:val="26"/>
    </w:rPr>
  </w:style>
  <w:style w:type="character" w:customStyle="1" w:styleId="UnresolvedMention33">
    <w:name w:val="Unresolved Mention33"/>
    <w:basedOn w:val="DefaultParagraphFont"/>
    <w:uiPriority w:val="99"/>
    <w:semiHidden/>
    <w:unhideWhenUsed/>
    <w:rsid w:val="00267326"/>
    <w:rPr>
      <w:color w:val="808080"/>
      <w:shd w:val="clear" w:color="auto" w:fill="E6E6E6"/>
    </w:rPr>
  </w:style>
  <w:style w:type="paragraph" w:customStyle="1" w:styleId="PartTOCStyle">
    <w:name w:val="Part TOC Style"/>
    <w:basedOn w:val="TOC1"/>
    <w:next w:val="TOC1"/>
    <w:link w:val="PartTOCStyleChar"/>
    <w:qFormat/>
    <w:rsid w:val="00F250EF"/>
    <w:rPr>
      <w:rFonts w:eastAsiaTheme="minorEastAsia" w:cs="Segoe UI"/>
      <w:szCs w:val="22"/>
      <w:lang w:eastAsia="en-AU"/>
    </w:rPr>
  </w:style>
  <w:style w:type="character" w:customStyle="1" w:styleId="TOC1Char">
    <w:name w:val="TOC 1 Char"/>
    <w:basedOn w:val="DefaultParagraphFont"/>
    <w:link w:val="TOC1"/>
    <w:uiPriority w:val="39"/>
    <w:rsid w:val="006B5816"/>
    <w:rPr>
      <w:rFonts w:ascii="Segoe UI" w:hAnsi="Segoe UI" w:cstheme="majorHAnsi"/>
      <w:b/>
      <w:bCs/>
      <w:noProof/>
      <w:szCs w:val="24"/>
    </w:rPr>
  </w:style>
  <w:style w:type="character" w:customStyle="1" w:styleId="PartTOCStyleChar">
    <w:name w:val="Part TOC Style Char"/>
    <w:basedOn w:val="TOC1Char"/>
    <w:link w:val="PartTOCStyle"/>
    <w:rsid w:val="00F250EF"/>
    <w:rPr>
      <w:rFonts w:ascii="Segoe UI" w:eastAsiaTheme="minorEastAsia" w:hAnsi="Segoe UI" w:cs="Segoe UI"/>
      <w:b/>
      <w:bCs/>
      <w:noProof/>
      <w:sz w:val="24"/>
      <w:szCs w:val="24"/>
      <w:lang w:eastAsia="en-AU"/>
    </w:rPr>
  </w:style>
  <w:style w:type="paragraph" w:styleId="EndnoteText">
    <w:name w:val="endnote text"/>
    <w:basedOn w:val="Normal"/>
    <w:link w:val="EndnoteTextChar"/>
    <w:uiPriority w:val="99"/>
    <w:unhideWhenUsed/>
    <w:rsid w:val="008B6782"/>
    <w:pPr>
      <w:spacing w:after="0" w:line="240" w:lineRule="auto"/>
    </w:pPr>
    <w:rPr>
      <w:szCs w:val="20"/>
    </w:rPr>
  </w:style>
  <w:style w:type="character" w:customStyle="1" w:styleId="EndnoteTextChar">
    <w:name w:val="Endnote Text Char"/>
    <w:basedOn w:val="DefaultParagraphFont"/>
    <w:link w:val="EndnoteText"/>
    <w:uiPriority w:val="99"/>
    <w:rsid w:val="008B6782"/>
    <w:rPr>
      <w:rFonts w:ascii="Arial" w:hAnsi="Arial"/>
      <w:sz w:val="20"/>
      <w:szCs w:val="20"/>
    </w:rPr>
  </w:style>
  <w:style w:type="character" w:styleId="EndnoteReference">
    <w:name w:val="endnote reference"/>
    <w:basedOn w:val="DefaultParagraphFont"/>
    <w:uiPriority w:val="99"/>
    <w:unhideWhenUsed/>
    <w:rsid w:val="008B6782"/>
    <w:rPr>
      <w:vertAlign w:val="superscript"/>
    </w:rPr>
  </w:style>
  <w:style w:type="character" w:customStyle="1" w:styleId="text-nowrap1">
    <w:name w:val="text-nowrap1"/>
    <w:basedOn w:val="DefaultParagraphFont"/>
    <w:rsid w:val="008F19D0"/>
  </w:style>
  <w:style w:type="paragraph" w:customStyle="1" w:styleId="Pa1">
    <w:name w:val="Pa1"/>
    <w:basedOn w:val="Default"/>
    <w:next w:val="Default"/>
    <w:uiPriority w:val="99"/>
    <w:rsid w:val="00EB76B5"/>
    <w:pPr>
      <w:spacing w:line="201" w:lineRule="atLeast"/>
    </w:pPr>
    <w:rPr>
      <w:rFonts w:ascii="GLFWRE+Univers-CondensedLight" w:eastAsiaTheme="minorHAnsi" w:hAnsi="GLFWRE+Univers-CondensedLight" w:cstheme="minorBidi"/>
      <w:color w:val="auto"/>
      <w:lang w:eastAsia="en-US"/>
    </w:rPr>
  </w:style>
  <w:style w:type="paragraph" w:customStyle="1" w:styleId="Pa3">
    <w:name w:val="Pa3"/>
    <w:basedOn w:val="Default"/>
    <w:next w:val="Default"/>
    <w:uiPriority w:val="99"/>
    <w:rsid w:val="00223F82"/>
    <w:pPr>
      <w:spacing w:line="281" w:lineRule="atLeast"/>
    </w:pPr>
    <w:rPr>
      <w:rFonts w:ascii="TransText Md" w:eastAsiaTheme="minorHAnsi" w:hAnsi="TransText Md" w:cstheme="minorBidi"/>
      <w:color w:val="auto"/>
      <w:lang w:eastAsia="en-US"/>
    </w:rPr>
  </w:style>
  <w:style w:type="paragraph" w:customStyle="1" w:styleId="Pa4">
    <w:name w:val="Pa4"/>
    <w:basedOn w:val="Default"/>
    <w:next w:val="Default"/>
    <w:uiPriority w:val="99"/>
    <w:rsid w:val="00223F82"/>
    <w:pPr>
      <w:spacing w:line="221" w:lineRule="atLeast"/>
    </w:pPr>
    <w:rPr>
      <w:rFonts w:ascii="TransText Md" w:eastAsiaTheme="minorHAnsi" w:hAnsi="TransText Md" w:cstheme="minorBidi"/>
      <w:color w:val="auto"/>
      <w:lang w:eastAsia="en-US"/>
    </w:rPr>
  </w:style>
  <w:style w:type="paragraph" w:customStyle="1" w:styleId="TableSubhead">
    <w:name w:val="TableSubhead"/>
    <w:basedOn w:val="NoSpacing"/>
    <w:link w:val="TableSubheadChar"/>
    <w:qFormat/>
    <w:rsid w:val="006149E0"/>
    <w:pPr>
      <w:spacing w:before="60"/>
    </w:pPr>
    <w:rPr>
      <w:i w:val="0"/>
      <w:color w:val="404040" w:themeColor="text1" w:themeTint="BF"/>
      <w:lang w:eastAsia="en-AU"/>
    </w:rPr>
  </w:style>
  <w:style w:type="character" w:customStyle="1" w:styleId="TableSubheadChar">
    <w:name w:val="TableSubhead Char"/>
    <w:basedOn w:val="NoSpacingChar"/>
    <w:link w:val="TableSubhead"/>
    <w:rsid w:val="006149E0"/>
    <w:rPr>
      <w:rFonts w:ascii="Segoe UI" w:hAnsi="Segoe UI" w:cs="Segoe UI"/>
      <w:b/>
      <w:i w:val="0"/>
      <w:color w:val="404040" w:themeColor="text1" w:themeTint="BF"/>
      <w:sz w:val="20"/>
      <w:szCs w:val="26"/>
      <w:lang w:eastAsia="en-AU"/>
    </w:rPr>
  </w:style>
  <w:style w:type="character" w:customStyle="1" w:styleId="serialtitle">
    <w:name w:val="serial_title"/>
    <w:basedOn w:val="DefaultParagraphFont"/>
    <w:rsid w:val="00C652D0"/>
  </w:style>
  <w:style w:type="character" w:customStyle="1" w:styleId="volumeissue">
    <w:name w:val="volume_issue"/>
    <w:basedOn w:val="DefaultParagraphFont"/>
    <w:rsid w:val="00C652D0"/>
  </w:style>
  <w:style w:type="character" w:customStyle="1" w:styleId="pagerange">
    <w:name w:val="page_range"/>
    <w:basedOn w:val="DefaultParagraphFont"/>
    <w:rsid w:val="00C652D0"/>
  </w:style>
  <w:style w:type="character" w:customStyle="1" w:styleId="doilink">
    <w:name w:val="doi_link"/>
    <w:basedOn w:val="DefaultParagraphFont"/>
    <w:rsid w:val="00C652D0"/>
  </w:style>
  <w:style w:type="paragraph" w:customStyle="1" w:styleId="IntroParagraph">
    <w:name w:val="Intro Paragraph"/>
    <w:qFormat/>
    <w:rsid w:val="00EA35E7"/>
    <w:rPr>
      <w:rFonts w:ascii="Arial" w:hAnsi="Arial"/>
      <w:iCs/>
      <w:color w:val="39B54A"/>
      <w:sz w:val="31"/>
    </w:rPr>
  </w:style>
  <w:style w:type="paragraph" w:customStyle="1" w:styleId="xmsonormal">
    <w:name w:val="x_msonormal"/>
    <w:basedOn w:val="Normal"/>
    <w:rsid w:val="006263B2"/>
    <w:pPr>
      <w:spacing w:after="0" w:line="240" w:lineRule="auto"/>
    </w:pPr>
    <w:rPr>
      <w:rFonts w:ascii="Calibri" w:hAnsi="Calibri" w:cs="Calibri"/>
      <w:sz w:val="22"/>
      <w:lang w:eastAsia="en-AU"/>
    </w:rPr>
  </w:style>
  <w:style w:type="table" w:customStyle="1" w:styleId="TableGrid0">
    <w:name w:val="TableGrid"/>
    <w:rsid w:val="00CB49F0"/>
    <w:pPr>
      <w:spacing w:after="0" w:line="240" w:lineRule="auto"/>
    </w:pPr>
    <w:rPr>
      <w:rFonts w:eastAsiaTheme="minorEastAsia"/>
      <w:lang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260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596">
      <w:bodyDiv w:val="1"/>
      <w:marLeft w:val="0"/>
      <w:marRight w:val="0"/>
      <w:marTop w:val="0"/>
      <w:marBottom w:val="0"/>
      <w:divBdr>
        <w:top w:val="none" w:sz="0" w:space="0" w:color="auto"/>
        <w:left w:val="none" w:sz="0" w:space="0" w:color="auto"/>
        <w:bottom w:val="none" w:sz="0" w:space="0" w:color="auto"/>
        <w:right w:val="none" w:sz="0" w:space="0" w:color="auto"/>
      </w:divBdr>
    </w:div>
    <w:div w:id="7567815">
      <w:bodyDiv w:val="1"/>
      <w:marLeft w:val="0"/>
      <w:marRight w:val="0"/>
      <w:marTop w:val="0"/>
      <w:marBottom w:val="0"/>
      <w:divBdr>
        <w:top w:val="none" w:sz="0" w:space="0" w:color="auto"/>
        <w:left w:val="none" w:sz="0" w:space="0" w:color="auto"/>
        <w:bottom w:val="none" w:sz="0" w:space="0" w:color="auto"/>
        <w:right w:val="none" w:sz="0" w:space="0" w:color="auto"/>
      </w:divBdr>
    </w:div>
    <w:div w:id="12003388">
      <w:bodyDiv w:val="1"/>
      <w:marLeft w:val="0"/>
      <w:marRight w:val="0"/>
      <w:marTop w:val="0"/>
      <w:marBottom w:val="0"/>
      <w:divBdr>
        <w:top w:val="none" w:sz="0" w:space="0" w:color="auto"/>
        <w:left w:val="none" w:sz="0" w:space="0" w:color="auto"/>
        <w:bottom w:val="none" w:sz="0" w:space="0" w:color="auto"/>
        <w:right w:val="none" w:sz="0" w:space="0" w:color="auto"/>
      </w:divBdr>
    </w:div>
    <w:div w:id="64761890">
      <w:bodyDiv w:val="1"/>
      <w:marLeft w:val="0"/>
      <w:marRight w:val="0"/>
      <w:marTop w:val="0"/>
      <w:marBottom w:val="0"/>
      <w:divBdr>
        <w:top w:val="none" w:sz="0" w:space="0" w:color="auto"/>
        <w:left w:val="none" w:sz="0" w:space="0" w:color="auto"/>
        <w:bottom w:val="none" w:sz="0" w:space="0" w:color="auto"/>
        <w:right w:val="none" w:sz="0" w:space="0" w:color="auto"/>
      </w:divBdr>
    </w:div>
    <w:div w:id="65685738">
      <w:bodyDiv w:val="1"/>
      <w:marLeft w:val="0"/>
      <w:marRight w:val="0"/>
      <w:marTop w:val="0"/>
      <w:marBottom w:val="0"/>
      <w:divBdr>
        <w:top w:val="none" w:sz="0" w:space="0" w:color="auto"/>
        <w:left w:val="none" w:sz="0" w:space="0" w:color="auto"/>
        <w:bottom w:val="none" w:sz="0" w:space="0" w:color="auto"/>
        <w:right w:val="none" w:sz="0" w:space="0" w:color="auto"/>
      </w:divBdr>
    </w:div>
    <w:div w:id="68231233">
      <w:bodyDiv w:val="1"/>
      <w:marLeft w:val="0"/>
      <w:marRight w:val="0"/>
      <w:marTop w:val="0"/>
      <w:marBottom w:val="0"/>
      <w:divBdr>
        <w:top w:val="none" w:sz="0" w:space="0" w:color="auto"/>
        <w:left w:val="none" w:sz="0" w:space="0" w:color="auto"/>
        <w:bottom w:val="none" w:sz="0" w:space="0" w:color="auto"/>
        <w:right w:val="none" w:sz="0" w:space="0" w:color="auto"/>
      </w:divBdr>
    </w:div>
    <w:div w:id="93215106">
      <w:bodyDiv w:val="1"/>
      <w:marLeft w:val="0"/>
      <w:marRight w:val="0"/>
      <w:marTop w:val="0"/>
      <w:marBottom w:val="0"/>
      <w:divBdr>
        <w:top w:val="none" w:sz="0" w:space="0" w:color="auto"/>
        <w:left w:val="none" w:sz="0" w:space="0" w:color="auto"/>
        <w:bottom w:val="none" w:sz="0" w:space="0" w:color="auto"/>
        <w:right w:val="none" w:sz="0" w:space="0" w:color="auto"/>
      </w:divBdr>
    </w:div>
    <w:div w:id="101850707">
      <w:bodyDiv w:val="1"/>
      <w:marLeft w:val="0"/>
      <w:marRight w:val="0"/>
      <w:marTop w:val="0"/>
      <w:marBottom w:val="0"/>
      <w:divBdr>
        <w:top w:val="none" w:sz="0" w:space="0" w:color="auto"/>
        <w:left w:val="none" w:sz="0" w:space="0" w:color="auto"/>
        <w:bottom w:val="none" w:sz="0" w:space="0" w:color="auto"/>
        <w:right w:val="none" w:sz="0" w:space="0" w:color="auto"/>
      </w:divBdr>
    </w:div>
    <w:div w:id="109007994">
      <w:bodyDiv w:val="1"/>
      <w:marLeft w:val="0"/>
      <w:marRight w:val="0"/>
      <w:marTop w:val="0"/>
      <w:marBottom w:val="0"/>
      <w:divBdr>
        <w:top w:val="none" w:sz="0" w:space="0" w:color="auto"/>
        <w:left w:val="none" w:sz="0" w:space="0" w:color="auto"/>
        <w:bottom w:val="none" w:sz="0" w:space="0" w:color="auto"/>
        <w:right w:val="none" w:sz="0" w:space="0" w:color="auto"/>
      </w:divBdr>
    </w:div>
    <w:div w:id="122699256">
      <w:bodyDiv w:val="1"/>
      <w:marLeft w:val="0"/>
      <w:marRight w:val="0"/>
      <w:marTop w:val="0"/>
      <w:marBottom w:val="0"/>
      <w:divBdr>
        <w:top w:val="none" w:sz="0" w:space="0" w:color="auto"/>
        <w:left w:val="none" w:sz="0" w:space="0" w:color="auto"/>
        <w:bottom w:val="none" w:sz="0" w:space="0" w:color="auto"/>
        <w:right w:val="none" w:sz="0" w:space="0" w:color="auto"/>
      </w:divBdr>
    </w:div>
    <w:div w:id="125006258">
      <w:bodyDiv w:val="1"/>
      <w:marLeft w:val="0"/>
      <w:marRight w:val="0"/>
      <w:marTop w:val="0"/>
      <w:marBottom w:val="0"/>
      <w:divBdr>
        <w:top w:val="none" w:sz="0" w:space="0" w:color="auto"/>
        <w:left w:val="none" w:sz="0" w:space="0" w:color="auto"/>
        <w:bottom w:val="none" w:sz="0" w:space="0" w:color="auto"/>
        <w:right w:val="none" w:sz="0" w:space="0" w:color="auto"/>
      </w:divBdr>
    </w:div>
    <w:div w:id="126095372">
      <w:bodyDiv w:val="1"/>
      <w:marLeft w:val="0"/>
      <w:marRight w:val="0"/>
      <w:marTop w:val="0"/>
      <w:marBottom w:val="0"/>
      <w:divBdr>
        <w:top w:val="none" w:sz="0" w:space="0" w:color="auto"/>
        <w:left w:val="none" w:sz="0" w:space="0" w:color="auto"/>
        <w:bottom w:val="none" w:sz="0" w:space="0" w:color="auto"/>
        <w:right w:val="none" w:sz="0" w:space="0" w:color="auto"/>
      </w:divBdr>
    </w:div>
    <w:div w:id="130170847">
      <w:bodyDiv w:val="1"/>
      <w:marLeft w:val="0"/>
      <w:marRight w:val="0"/>
      <w:marTop w:val="0"/>
      <w:marBottom w:val="0"/>
      <w:divBdr>
        <w:top w:val="none" w:sz="0" w:space="0" w:color="auto"/>
        <w:left w:val="none" w:sz="0" w:space="0" w:color="auto"/>
        <w:bottom w:val="none" w:sz="0" w:space="0" w:color="auto"/>
        <w:right w:val="none" w:sz="0" w:space="0" w:color="auto"/>
      </w:divBdr>
    </w:div>
    <w:div w:id="141626781">
      <w:bodyDiv w:val="1"/>
      <w:marLeft w:val="0"/>
      <w:marRight w:val="0"/>
      <w:marTop w:val="0"/>
      <w:marBottom w:val="0"/>
      <w:divBdr>
        <w:top w:val="none" w:sz="0" w:space="0" w:color="auto"/>
        <w:left w:val="none" w:sz="0" w:space="0" w:color="auto"/>
        <w:bottom w:val="none" w:sz="0" w:space="0" w:color="auto"/>
        <w:right w:val="none" w:sz="0" w:space="0" w:color="auto"/>
      </w:divBdr>
      <w:divsChild>
        <w:div w:id="969744446">
          <w:marLeft w:val="288"/>
          <w:marRight w:val="0"/>
          <w:marTop w:val="120"/>
          <w:marBottom w:val="120"/>
          <w:divBdr>
            <w:top w:val="none" w:sz="0" w:space="0" w:color="auto"/>
            <w:left w:val="none" w:sz="0" w:space="0" w:color="auto"/>
            <w:bottom w:val="none" w:sz="0" w:space="0" w:color="auto"/>
            <w:right w:val="none" w:sz="0" w:space="0" w:color="auto"/>
          </w:divBdr>
        </w:div>
        <w:div w:id="1134635987">
          <w:marLeft w:val="288"/>
          <w:marRight w:val="0"/>
          <w:marTop w:val="120"/>
          <w:marBottom w:val="120"/>
          <w:divBdr>
            <w:top w:val="none" w:sz="0" w:space="0" w:color="auto"/>
            <w:left w:val="none" w:sz="0" w:space="0" w:color="auto"/>
            <w:bottom w:val="none" w:sz="0" w:space="0" w:color="auto"/>
            <w:right w:val="none" w:sz="0" w:space="0" w:color="auto"/>
          </w:divBdr>
        </w:div>
        <w:div w:id="1270548844">
          <w:marLeft w:val="288"/>
          <w:marRight w:val="0"/>
          <w:marTop w:val="120"/>
          <w:marBottom w:val="120"/>
          <w:divBdr>
            <w:top w:val="none" w:sz="0" w:space="0" w:color="auto"/>
            <w:left w:val="none" w:sz="0" w:space="0" w:color="auto"/>
            <w:bottom w:val="none" w:sz="0" w:space="0" w:color="auto"/>
            <w:right w:val="none" w:sz="0" w:space="0" w:color="auto"/>
          </w:divBdr>
        </w:div>
        <w:div w:id="1382292085">
          <w:marLeft w:val="288"/>
          <w:marRight w:val="0"/>
          <w:marTop w:val="120"/>
          <w:marBottom w:val="120"/>
          <w:divBdr>
            <w:top w:val="none" w:sz="0" w:space="0" w:color="auto"/>
            <w:left w:val="none" w:sz="0" w:space="0" w:color="auto"/>
            <w:bottom w:val="none" w:sz="0" w:space="0" w:color="auto"/>
            <w:right w:val="none" w:sz="0" w:space="0" w:color="auto"/>
          </w:divBdr>
        </w:div>
        <w:div w:id="1730687531">
          <w:marLeft w:val="288"/>
          <w:marRight w:val="0"/>
          <w:marTop w:val="120"/>
          <w:marBottom w:val="120"/>
          <w:divBdr>
            <w:top w:val="none" w:sz="0" w:space="0" w:color="auto"/>
            <w:left w:val="none" w:sz="0" w:space="0" w:color="auto"/>
            <w:bottom w:val="none" w:sz="0" w:space="0" w:color="auto"/>
            <w:right w:val="none" w:sz="0" w:space="0" w:color="auto"/>
          </w:divBdr>
        </w:div>
        <w:div w:id="1893229101">
          <w:marLeft w:val="288"/>
          <w:marRight w:val="0"/>
          <w:marTop w:val="120"/>
          <w:marBottom w:val="120"/>
          <w:divBdr>
            <w:top w:val="none" w:sz="0" w:space="0" w:color="auto"/>
            <w:left w:val="none" w:sz="0" w:space="0" w:color="auto"/>
            <w:bottom w:val="none" w:sz="0" w:space="0" w:color="auto"/>
            <w:right w:val="none" w:sz="0" w:space="0" w:color="auto"/>
          </w:divBdr>
        </w:div>
      </w:divsChild>
    </w:div>
    <w:div w:id="166409675">
      <w:bodyDiv w:val="1"/>
      <w:marLeft w:val="0"/>
      <w:marRight w:val="0"/>
      <w:marTop w:val="0"/>
      <w:marBottom w:val="0"/>
      <w:divBdr>
        <w:top w:val="none" w:sz="0" w:space="0" w:color="auto"/>
        <w:left w:val="none" w:sz="0" w:space="0" w:color="auto"/>
        <w:bottom w:val="none" w:sz="0" w:space="0" w:color="auto"/>
        <w:right w:val="none" w:sz="0" w:space="0" w:color="auto"/>
      </w:divBdr>
    </w:div>
    <w:div w:id="167404489">
      <w:bodyDiv w:val="1"/>
      <w:marLeft w:val="0"/>
      <w:marRight w:val="0"/>
      <w:marTop w:val="0"/>
      <w:marBottom w:val="0"/>
      <w:divBdr>
        <w:top w:val="none" w:sz="0" w:space="0" w:color="auto"/>
        <w:left w:val="none" w:sz="0" w:space="0" w:color="auto"/>
        <w:bottom w:val="none" w:sz="0" w:space="0" w:color="auto"/>
        <w:right w:val="none" w:sz="0" w:space="0" w:color="auto"/>
      </w:divBdr>
    </w:div>
    <w:div w:id="178275939">
      <w:bodyDiv w:val="1"/>
      <w:marLeft w:val="0"/>
      <w:marRight w:val="0"/>
      <w:marTop w:val="0"/>
      <w:marBottom w:val="0"/>
      <w:divBdr>
        <w:top w:val="none" w:sz="0" w:space="0" w:color="auto"/>
        <w:left w:val="none" w:sz="0" w:space="0" w:color="auto"/>
        <w:bottom w:val="none" w:sz="0" w:space="0" w:color="auto"/>
        <w:right w:val="none" w:sz="0" w:space="0" w:color="auto"/>
      </w:divBdr>
    </w:div>
    <w:div w:id="199976109">
      <w:bodyDiv w:val="1"/>
      <w:marLeft w:val="0"/>
      <w:marRight w:val="0"/>
      <w:marTop w:val="0"/>
      <w:marBottom w:val="0"/>
      <w:divBdr>
        <w:top w:val="none" w:sz="0" w:space="0" w:color="auto"/>
        <w:left w:val="none" w:sz="0" w:space="0" w:color="auto"/>
        <w:bottom w:val="none" w:sz="0" w:space="0" w:color="auto"/>
        <w:right w:val="none" w:sz="0" w:space="0" w:color="auto"/>
      </w:divBdr>
    </w:div>
    <w:div w:id="201141328">
      <w:bodyDiv w:val="1"/>
      <w:marLeft w:val="0"/>
      <w:marRight w:val="0"/>
      <w:marTop w:val="0"/>
      <w:marBottom w:val="0"/>
      <w:divBdr>
        <w:top w:val="none" w:sz="0" w:space="0" w:color="auto"/>
        <w:left w:val="none" w:sz="0" w:space="0" w:color="auto"/>
        <w:bottom w:val="none" w:sz="0" w:space="0" w:color="auto"/>
        <w:right w:val="none" w:sz="0" w:space="0" w:color="auto"/>
      </w:divBdr>
    </w:div>
    <w:div w:id="201479887">
      <w:bodyDiv w:val="1"/>
      <w:marLeft w:val="0"/>
      <w:marRight w:val="0"/>
      <w:marTop w:val="0"/>
      <w:marBottom w:val="0"/>
      <w:divBdr>
        <w:top w:val="none" w:sz="0" w:space="0" w:color="auto"/>
        <w:left w:val="none" w:sz="0" w:space="0" w:color="auto"/>
        <w:bottom w:val="none" w:sz="0" w:space="0" w:color="auto"/>
        <w:right w:val="none" w:sz="0" w:space="0" w:color="auto"/>
      </w:divBdr>
      <w:divsChild>
        <w:div w:id="493036854">
          <w:marLeft w:val="0"/>
          <w:marRight w:val="0"/>
          <w:marTop w:val="0"/>
          <w:marBottom w:val="0"/>
          <w:divBdr>
            <w:top w:val="none" w:sz="0" w:space="0" w:color="auto"/>
            <w:left w:val="none" w:sz="0" w:space="0" w:color="auto"/>
            <w:bottom w:val="none" w:sz="0" w:space="0" w:color="auto"/>
            <w:right w:val="none" w:sz="0" w:space="0" w:color="auto"/>
          </w:divBdr>
          <w:divsChild>
            <w:div w:id="381173735">
              <w:marLeft w:val="-300"/>
              <w:marRight w:val="0"/>
              <w:marTop w:val="0"/>
              <w:marBottom w:val="0"/>
              <w:divBdr>
                <w:top w:val="none" w:sz="0" w:space="0" w:color="auto"/>
                <w:left w:val="none" w:sz="0" w:space="0" w:color="auto"/>
                <w:bottom w:val="none" w:sz="0" w:space="0" w:color="auto"/>
                <w:right w:val="none" w:sz="0" w:space="0" w:color="auto"/>
              </w:divBdr>
              <w:divsChild>
                <w:div w:id="1835409421">
                  <w:marLeft w:val="0"/>
                  <w:marRight w:val="0"/>
                  <w:marTop w:val="0"/>
                  <w:marBottom w:val="0"/>
                  <w:divBdr>
                    <w:top w:val="none" w:sz="0" w:space="0" w:color="auto"/>
                    <w:left w:val="none" w:sz="0" w:space="0" w:color="auto"/>
                    <w:bottom w:val="none" w:sz="0" w:space="0" w:color="auto"/>
                    <w:right w:val="none" w:sz="0" w:space="0" w:color="auto"/>
                  </w:divBdr>
                  <w:divsChild>
                    <w:div w:id="756287358">
                      <w:marLeft w:val="0"/>
                      <w:marRight w:val="0"/>
                      <w:marTop w:val="0"/>
                      <w:marBottom w:val="360"/>
                      <w:divBdr>
                        <w:top w:val="none" w:sz="0" w:space="0" w:color="auto"/>
                        <w:left w:val="none" w:sz="0" w:space="0" w:color="auto"/>
                        <w:bottom w:val="none" w:sz="0" w:space="0" w:color="auto"/>
                        <w:right w:val="none" w:sz="0" w:space="0" w:color="auto"/>
                      </w:divBdr>
                      <w:divsChild>
                        <w:div w:id="743454488">
                          <w:marLeft w:val="0"/>
                          <w:marRight w:val="0"/>
                          <w:marTop w:val="0"/>
                          <w:marBottom w:val="0"/>
                          <w:divBdr>
                            <w:top w:val="none" w:sz="0" w:space="0" w:color="auto"/>
                            <w:left w:val="none" w:sz="0" w:space="0" w:color="auto"/>
                            <w:bottom w:val="none" w:sz="0" w:space="0" w:color="auto"/>
                            <w:right w:val="none" w:sz="0" w:space="0" w:color="auto"/>
                          </w:divBdr>
                          <w:divsChild>
                            <w:div w:id="15317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430342">
      <w:bodyDiv w:val="1"/>
      <w:marLeft w:val="0"/>
      <w:marRight w:val="0"/>
      <w:marTop w:val="0"/>
      <w:marBottom w:val="0"/>
      <w:divBdr>
        <w:top w:val="none" w:sz="0" w:space="0" w:color="auto"/>
        <w:left w:val="none" w:sz="0" w:space="0" w:color="auto"/>
        <w:bottom w:val="none" w:sz="0" w:space="0" w:color="auto"/>
        <w:right w:val="none" w:sz="0" w:space="0" w:color="auto"/>
      </w:divBdr>
    </w:div>
    <w:div w:id="245922984">
      <w:bodyDiv w:val="1"/>
      <w:marLeft w:val="0"/>
      <w:marRight w:val="0"/>
      <w:marTop w:val="0"/>
      <w:marBottom w:val="0"/>
      <w:divBdr>
        <w:top w:val="none" w:sz="0" w:space="0" w:color="auto"/>
        <w:left w:val="none" w:sz="0" w:space="0" w:color="auto"/>
        <w:bottom w:val="none" w:sz="0" w:space="0" w:color="auto"/>
        <w:right w:val="none" w:sz="0" w:space="0" w:color="auto"/>
      </w:divBdr>
    </w:div>
    <w:div w:id="253437241">
      <w:bodyDiv w:val="1"/>
      <w:marLeft w:val="0"/>
      <w:marRight w:val="0"/>
      <w:marTop w:val="0"/>
      <w:marBottom w:val="0"/>
      <w:divBdr>
        <w:top w:val="none" w:sz="0" w:space="0" w:color="auto"/>
        <w:left w:val="none" w:sz="0" w:space="0" w:color="auto"/>
        <w:bottom w:val="none" w:sz="0" w:space="0" w:color="auto"/>
        <w:right w:val="none" w:sz="0" w:space="0" w:color="auto"/>
      </w:divBdr>
    </w:div>
    <w:div w:id="263151341">
      <w:bodyDiv w:val="1"/>
      <w:marLeft w:val="0"/>
      <w:marRight w:val="0"/>
      <w:marTop w:val="0"/>
      <w:marBottom w:val="0"/>
      <w:divBdr>
        <w:top w:val="none" w:sz="0" w:space="0" w:color="auto"/>
        <w:left w:val="none" w:sz="0" w:space="0" w:color="auto"/>
        <w:bottom w:val="none" w:sz="0" w:space="0" w:color="auto"/>
        <w:right w:val="none" w:sz="0" w:space="0" w:color="auto"/>
      </w:divBdr>
      <w:divsChild>
        <w:div w:id="1023285941">
          <w:marLeft w:val="0"/>
          <w:marRight w:val="0"/>
          <w:marTop w:val="0"/>
          <w:marBottom w:val="0"/>
          <w:divBdr>
            <w:top w:val="none" w:sz="0" w:space="0" w:color="auto"/>
            <w:left w:val="none" w:sz="0" w:space="0" w:color="auto"/>
            <w:bottom w:val="none" w:sz="0" w:space="0" w:color="auto"/>
            <w:right w:val="none" w:sz="0" w:space="0" w:color="auto"/>
          </w:divBdr>
          <w:divsChild>
            <w:div w:id="156388482">
              <w:marLeft w:val="-200"/>
              <w:marRight w:val="0"/>
              <w:marTop w:val="0"/>
              <w:marBottom w:val="0"/>
              <w:divBdr>
                <w:top w:val="none" w:sz="0" w:space="0" w:color="auto"/>
                <w:left w:val="none" w:sz="0" w:space="0" w:color="auto"/>
                <w:bottom w:val="none" w:sz="0" w:space="0" w:color="auto"/>
                <w:right w:val="none" w:sz="0" w:space="0" w:color="auto"/>
              </w:divBdr>
              <w:divsChild>
                <w:div w:id="1005015503">
                  <w:marLeft w:val="0"/>
                  <w:marRight w:val="0"/>
                  <w:marTop w:val="0"/>
                  <w:marBottom w:val="0"/>
                  <w:divBdr>
                    <w:top w:val="none" w:sz="0" w:space="0" w:color="auto"/>
                    <w:left w:val="none" w:sz="0" w:space="0" w:color="auto"/>
                    <w:bottom w:val="none" w:sz="0" w:space="0" w:color="auto"/>
                    <w:right w:val="none" w:sz="0" w:space="0" w:color="auto"/>
                  </w:divBdr>
                  <w:divsChild>
                    <w:div w:id="1761754548">
                      <w:marLeft w:val="0"/>
                      <w:marRight w:val="0"/>
                      <w:marTop w:val="0"/>
                      <w:marBottom w:val="240"/>
                      <w:divBdr>
                        <w:top w:val="none" w:sz="0" w:space="0" w:color="auto"/>
                        <w:left w:val="none" w:sz="0" w:space="0" w:color="auto"/>
                        <w:bottom w:val="none" w:sz="0" w:space="0" w:color="auto"/>
                        <w:right w:val="none" w:sz="0" w:space="0" w:color="auto"/>
                      </w:divBdr>
                      <w:divsChild>
                        <w:div w:id="661350373">
                          <w:marLeft w:val="0"/>
                          <w:marRight w:val="0"/>
                          <w:marTop w:val="0"/>
                          <w:marBottom w:val="0"/>
                          <w:divBdr>
                            <w:top w:val="none" w:sz="0" w:space="0" w:color="auto"/>
                            <w:left w:val="none" w:sz="0" w:space="0" w:color="auto"/>
                            <w:bottom w:val="none" w:sz="0" w:space="0" w:color="auto"/>
                            <w:right w:val="none" w:sz="0" w:space="0" w:color="auto"/>
                          </w:divBdr>
                          <w:divsChild>
                            <w:div w:id="3651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036857">
      <w:bodyDiv w:val="1"/>
      <w:marLeft w:val="0"/>
      <w:marRight w:val="0"/>
      <w:marTop w:val="0"/>
      <w:marBottom w:val="0"/>
      <w:divBdr>
        <w:top w:val="none" w:sz="0" w:space="0" w:color="auto"/>
        <w:left w:val="none" w:sz="0" w:space="0" w:color="auto"/>
        <w:bottom w:val="none" w:sz="0" w:space="0" w:color="auto"/>
        <w:right w:val="none" w:sz="0" w:space="0" w:color="auto"/>
      </w:divBdr>
    </w:div>
    <w:div w:id="295452026">
      <w:bodyDiv w:val="1"/>
      <w:marLeft w:val="0"/>
      <w:marRight w:val="0"/>
      <w:marTop w:val="0"/>
      <w:marBottom w:val="0"/>
      <w:divBdr>
        <w:top w:val="none" w:sz="0" w:space="0" w:color="auto"/>
        <w:left w:val="none" w:sz="0" w:space="0" w:color="auto"/>
        <w:bottom w:val="none" w:sz="0" w:space="0" w:color="auto"/>
        <w:right w:val="none" w:sz="0" w:space="0" w:color="auto"/>
      </w:divBdr>
    </w:div>
    <w:div w:id="312216876">
      <w:bodyDiv w:val="1"/>
      <w:marLeft w:val="0"/>
      <w:marRight w:val="0"/>
      <w:marTop w:val="0"/>
      <w:marBottom w:val="0"/>
      <w:divBdr>
        <w:top w:val="none" w:sz="0" w:space="0" w:color="auto"/>
        <w:left w:val="none" w:sz="0" w:space="0" w:color="auto"/>
        <w:bottom w:val="none" w:sz="0" w:space="0" w:color="auto"/>
        <w:right w:val="none" w:sz="0" w:space="0" w:color="auto"/>
      </w:divBdr>
    </w:div>
    <w:div w:id="316224270">
      <w:bodyDiv w:val="1"/>
      <w:marLeft w:val="0"/>
      <w:marRight w:val="0"/>
      <w:marTop w:val="0"/>
      <w:marBottom w:val="0"/>
      <w:divBdr>
        <w:top w:val="none" w:sz="0" w:space="0" w:color="auto"/>
        <w:left w:val="none" w:sz="0" w:space="0" w:color="auto"/>
        <w:bottom w:val="none" w:sz="0" w:space="0" w:color="auto"/>
        <w:right w:val="none" w:sz="0" w:space="0" w:color="auto"/>
      </w:divBdr>
      <w:divsChild>
        <w:div w:id="1682512498">
          <w:marLeft w:val="0"/>
          <w:marRight w:val="0"/>
          <w:marTop w:val="0"/>
          <w:marBottom w:val="0"/>
          <w:divBdr>
            <w:top w:val="none" w:sz="0" w:space="0" w:color="auto"/>
            <w:left w:val="none" w:sz="0" w:space="0" w:color="auto"/>
            <w:bottom w:val="none" w:sz="0" w:space="0" w:color="auto"/>
            <w:right w:val="none" w:sz="0" w:space="0" w:color="auto"/>
          </w:divBdr>
          <w:divsChild>
            <w:div w:id="1777870333">
              <w:marLeft w:val="0"/>
              <w:marRight w:val="0"/>
              <w:marTop w:val="0"/>
              <w:marBottom w:val="0"/>
              <w:divBdr>
                <w:top w:val="none" w:sz="0" w:space="0" w:color="auto"/>
                <w:left w:val="none" w:sz="0" w:space="0" w:color="auto"/>
                <w:bottom w:val="none" w:sz="0" w:space="0" w:color="auto"/>
                <w:right w:val="none" w:sz="0" w:space="0" w:color="auto"/>
              </w:divBdr>
              <w:divsChild>
                <w:div w:id="1907451810">
                  <w:marLeft w:val="0"/>
                  <w:marRight w:val="0"/>
                  <w:marTop w:val="0"/>
                  <w:marBottom w:val="0"/>
                  <w:divBdr>
                    <w:top w:val="none" w:sz="0" w:space="0" w:color="auto"/>
                    <w:left w:val="none" w:sz="0" w:space="0" w:color="auto"/>
                    <w:bottom w:val="none" w:sz="0" w:space="0" w:color="auto"/>
                    <w:right w:val="none" w:sz="0" w:space="0" w:color="auto"/>
                  </w:divBdr>
                  <w:divsChild>
                    <w:div w:id="1332484441">
                      <w:marLeft w:val="0"/>
                      <w:marRight w:val="0"/>
                      <w:marTop w:val="0"/>
                      <w:marBottom w:val="0"/>
                      <w:divBdr>
                        <w:top w:val="none" w:sz="0" w:space="0" w:color="auto"/>
                        <w:left w:val="none" w:sz="0" w:space="0" w:color="auto"/>
                        <w:bottom w:val="none" w:sz="0" w:space="0" w:color="auto"/>
                        <w:right w:val="none" w:sz="0" w:space="0" w:color="auto"/>
                      </w:divBdr>
                      <w:divsChild>
                        <w:div w:id="383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290301">
      <w:bodyDiv w:val="1"/>
      <w:marLeft w:val="0"/>
      <w:marRight w:val="0"/>
      <w:marTop w:val="0"/>
      <w:marBottom w:val="0"/>
      <w:divBdr>
        <w:top w:val="none" w:sz="0" w:space="0" w:color="auto"/>
        <w:left w:val="none" w:sz="0" w:space="0" w:color="auto"/>
        <w:bottom w:val="none" w:sz="0" w:space="0" w:color="auto"/>
        <w:right w:val="none" w:sz="0" w:space="0" w:color="auto"/>
      </w:divBdr>
    </w:div>
    <w:div w:id="332034632">
      <w:bodyDiv w:val="1"/>
      <w:marLeft w:val="0"/>
      <w:marRight w:val="0"/>
      <w:marTop w:val="0"/>
      <w:marBottom w:val="0"/>
      <w:divBdr>
        <w:top w:val="none" w:sz="0" w:space="0" w:color="auto"/>
        <w:left w:val="none" w:sz="0" w:space="0" w:color="auto"/>
        <w:bottom w:val="none" w:sz="0" w:space="0" w:color="auto"/>
        <w:right w:val="none" w:sz="0" w:space="0" w:color="auto"/>
      </w:divBdr>
    </w:div>
    <w:div w:id="344408350">
      <w:bodyDiv w:val="1"/>
      <w:marLeft w:val="0"/>
      <w:marRight w:val="0"/>
      <w:marTop w:val="0"/>
      <w:marBottom w:val="0"/>
      <w:divBdr>
        <w:top w:val="none" w:sz="0" w:space="0" w:color="auto"/>
        <w:left w:val="none" w:sz="0" w:space="0" w:color="auto"/>
        <w:bottom w:val="none" w:sz="0" w:space="0" w:color="auto"/>
        <w:right w:val="none" w:sz="0" w:space="0" w:color="auto"/>
      </w:divBdr>
    </w:div>
    <w:div w:id="363294549">
      <w:bodyDiv w:val="1"/>
      <w:marLeft w:val="0"/>
      <w:marRight w:val="0"/>
      <w:marTop w:val="0"/>
      <w:marBottom w:val="0"/>
      <w:divBdr>
        <w:top w:val="none" w:sz="0" w:space="0" w:color="auto"/>
        <w:left w:val="none" w:sz="0" w:space="0" w:color="auto"/>
        <w:bottom w:val="none" w:sz="0" w:space="0" w:color="auto"/>
        <w:right w:val="none" w:sz="0" w:space="0" w:color="auto"/>
      </w:divBdr>
    </w:div>
    <w:div w:id="373038964">
      <w:bodyDiv w:val="1"/>
      <w:marLeft w:val="0"/>
      <w:marRight w:val="0"/>
      <w:marTop w:val="0"/>
      <w:marBottom w:val="0"/>
      <w:divBdr>
        <w:top w:val="none" w:sz="0" w:space="0" w:color="auto"/>
        <w:left w:val="none" w:sz="0" w:space="0" w:color="auto"/>
        <w:bottom w:val="none" w:sz="0" w:space="0" w:color="auto"/>
        <w:right w:val="none" w:sz="0" w:space="0" w:color="auto"/>
      </w:divBdr>
    </w:div>
    <w:div w:id="374622528">
      <w:bodyDiv w:val="1"/>
      <w:marLeft w:val="0"/>
      <w:marRight w:val="0"/>
      <w:marTop w:val="0"/>
      <w:marBottom w:val="0"/>
      <w:divBdr>
        <w:top w:val="none" w:sz="0" w:space="0" w:color="auto"/>
        <w:left w:val="none" w:sz="0" w:space="0" w:color="auto"/>
        <w:bottom w:val="none" w:sz="0" w:space="0" w:color="auto"/>
        <w:right w:val="none" w:sz="0" w:space="0" w:color="auto"/>
      </w:divBdr>
    </w:div>
    <w:div w:id="403260284">
      <w:bodyDiv w:val="1"/>
      <w:marLeft w:val="0"/>
      <w:marRight w:val="0"/>
      <w:marTop w:val="0"/>
      <w:marBottom w:val="0"/>
      <w:divBdr>
        <w:top w:val="none" w:sz="0" w:space="0" w:color="auto"/>
        <w:left w:val="none" w:sz="0" w:space="0" w:color="auto"/>
        <w:bottom w:val="none" w:sz="0" w:space="0" w:color="auto"/>
        <w:right w:val="none" w:sz="0" w:space="0" w:color="auto"/>
      </w:divBdr>
      <w:divsChild>
        <w:div w:id="1139036312">
          <w:marLeft w:val="288"/>
          <w:marRight w:val="0"/>
          <w:marTop w:val="120"/>
          <w:marBottom w:val="120"/>
          <w:divBdr>
            <w:top w:val="none" w:sz="0" w:space="0" w:color="auto"/>
            <w:left w:val="none" w:sz="0" w:space="0" w:color="auto"/>
            <w:bottom w:val="none" w:sz="0" w:space="0" w:color="auto"/>
            <w:right w:val="none" w:sz="0" w:space="0" w:color="auto"/>
          </w:divBdr>
        </w:div>
        <w:div w:id="1545017891">
          <w:marLeft w:val="288"/>
          <w:marRight w:val="0"/>
          <w:marTop w:val="120"/>
          <w:marBottom w:val="120"/>
          <w:divBdr>
            <w:top w:val="none" w:sz="0" w:space="0" w:color="auto"/>
            <w:left w:val="none" w:sz="0" w:space="0" w:color="auto"/>
            <w:bottom w:val="none" w:sz="0" w:space="0" w:color="auto"/>
            <w:right w:val="none" w:sz="0" w:space="0" w:color="auto"/>
          </w:divBdr>
        </w:div>
      </w:divsChild>
    </w:div>
    <w:div w:id="411238588">
      <w:bodyDiv w:val="1"/>
      <w:marLeft w:val="0"/>
      <w:marRight w:val="0"/>
      <w:marTop w:val="0"/>
      <w:marBottom w:val="0"/>
      <w:divBdr>
        <w:top w:val="none" w:sz="0" w:space="0" w:color="auto"/>
        <w:left w:val="none" w:sz="0" w:space="0" w:color="auto"/>
        <w:bottom w:val="none" w:sz="0" w:space="0" w:color="auto"/>
        <w:right w:val="none" w:sz="0" w:space="0" w:color="auto"/>
      </w:divBdr>
    </w:div>
    <w:div w:id="428358890">
      <w:bodyDiv w:val="1"/>
      <w:marLeft w:val="0"/>
      <w:marRight w:val="0"/>
      <w:marTop w:val="0"/>
      <w:marBottom w:val="0"/>
      <w:divBdr>
        <w:top w:val="none" w:sz="0" w:space="0" w:color="auto"/>
        <w:left w:val="none" w:sz="0" w:space="0" w:color="auto"/>
        <w:bottom w:val="none" w:sz="0" w:space="0" w:color="auto"/>
        <w:right w:val="none" w:sz="0" w:space="0" w:color="auto"/>
      </w:divBdr>
    </w:div>
    <w:div w:id="429278276">
      <w:bodyDiv w:val="1"/>
      <w:marLeft w:val="0"/>
      <w:marRight w:val="0"/>
      <w:marTop w:val="0"/>
      <w:marBottom w:val="0"/>
      <w:divBdr>
        <w:top w:val="none" w:sz="0" w:space="0" w:color="auto"/>
        <w:left w:val="none" w:sz="0" w:space="0" w:color="auto"/>
        <w:bottom w:val="none" w:sz="0" w:space="0" w:color="auto"/>
        <w:right w:val="none" w:sz="0" w:space="0" w:color="auto"/>
      </w:divBdr>
    </w:div>
    <w:div w:id="452093021">
      <w:bodyDiv w:val="1"/>
      <w:marLeft w:val="0"/>
      <w:marRight w:val="0"/>
      <w:marTop w:val="0"/>
      <w:marBottom w:val="0"/>
      <w:divBdr>
        <w:top w:val="none" w:sz="0" w:space="0" w:color="auto"/>
        <w:left w:val="none" w:sz="0" w:space="0" w:color="auto"/>
        <w:bottom w:val="none" w:sz="0" w:space="0" w:color="auto"/>
        <w:right w:val="none" w:sz="0" w:space="0" w:color="auto"/>
      </w:divBdr>
    </w:div>
    <w:div w:id="474955707">
      <w:bodyDiv w:val="1"/>
      <w:marLeft w:val="0"/>
      <w:marRight w:val="0"/>
      <w:marTop w:val="0"/>
      <w:marBottom w:val="0"/>
      <w:divBdr>
        <w:top w:val="none" w:sz="0" w:space="0" w:color="auto"/>
        <w:left w:val="none" w:sz="0" w:space="0" w:color="auto"/>
        <w:bottom w:val="none" w:sz="0" w:space="0" w:color="auto"/>
        <w:right w:val="none" w:sz="0" w:space="0" w:color="auto"/>
      </w:divBdr>
    </w:div>
    <w:div w:id="476269449">
      <w:bodyDiv w:val="1"/>
      <w:marLeft w:val="0"/>
      <w:marRight w:val="0"/>
      <w:marTop w:val="0"/>
      <w:marBottom w:val="0"/>
      <w:divBdr>
        <w:top w:val="none" w:sz="0" w:space="0" w:color="auto"/>
        <w:left w:val="none" w:sz="0" w:space="0" w:color="auto"/>
        <w:bottom w:val="none" w:sz="0" w:space="0" w:color="auto"/>
        <w:right w:val="none" w:sz="0" w:space="0" w:color="auto"/>
      </w:divBdr>
    </w:div>
    <w:div w:id="483737835">
      <w:bodyDiv w:val="1"/>
      <w:marLeft w:val="0"/>
      <w:marRight w:val="0"/>
      <w:marTop w:val="0"/>
      <w:marBottom w:val="0"/>
      <w:divBdr>
        <w:top w:val="none" w:sz="0" w:space="0" w:color="auto"/>
        <w:left w:val="none" w:sz="0" w:space="0" w:color="auto"/>
        <w:bottom w:val="none" w:sz="0" w:space="0" w:color="auto"/>
        <w:right w:val="none" w:sz="0" w:space="0" w:color="auto"/>
      </w:divBdr>
    </w:div>
    <w:div w:id="497964304">
      <w:bodyDiv w:val="1"/>
      <w:marLeft w:val="0"/>
      <w:marRight w:val="0"/>
      <w:marTop w:val="0"/>
      <w:marBottom w:val="0"/>
      <w:divBdr>
        <w:top w:val="none" w:sz="0" w:space="0" w:color="auto"/>
        <w:left w:val="none" w:sz="0" w:space="0" w:color="auto"/>
        <w:bottom w:val="none" w:sz="0" w:space="0" w:color="auto"/>
        <w:right w:val="none" w:sz="0" w:space="0" w:color="auto"/>
      </w:divBdr>
      <w:divsChild>
        <w:div w:id="200753908">
          <w:marLeft w:val="0"/>
          <w:marRight w:val="0"/>
          <w:marTop w:val="0"/>
          <w:marBottom w:val="0"/>
          <w:divBdr>
            <w:top w:val="none" w:sz="0" w:space="0" w:color="auto"/>
            <w:left w:val="none" w:sz="0" w:space="0" w:color="auto"/>
            <w:bottom w:val="none" w:sz="0" w:space="0" w:color="auto"/>
            <w:right w:val="none" w:sz="0" w:space="0" w:color="auto"/>
          </w:divBdr>
          <w:divsChild>
            <w:div w:id="1349675152">
              <w:marLeft w:val="-200"/>
              <w:marRight w:val="0"/>
              <w:marTop w:val="0"/>
              <w:marBottom w:val="0"/>
              <w:divBdr>
                <w:top w:val="none" w:sz="0" w:space="0" w:color="auto"/>
                <w:left w:val="none" w:sz="0" w:space="0" w:color="auto"/>
                <w:bottom w:val="none" w:sz="0" w:space="0" w:color="auto"/>
                <w:right w:val="none" w:sz="0" w:space="0" w:color="auto"/>
              </w:divBdr>
              <w:divsChild>
                <w:div w:id="262423022">
                  <w:marLeft w:val="0"/>
                  <w:marRight w:val="0"/>
                  <w:marTop w:val="0"/>
                  <w:marBottom w:val="0"/>
                  <w:divBdr>
                    <w:top w:val="none" w:sz="0" w:space="0" w:color="auto"/>
                    <w:left w:val="none" w:sz="0" w:space="0" w:color="auto"/>
                    <w:bottom w:val="none" w:sz="0" w:space="0" w:color="auto"/>
                    <w:right w:val="none" w:sz="0" w:space="0" w:color="auto"/>
                  </w:divBdr>
                  <w:divsChild>
                    <w:div w:id="1629118087">
                      <w:marLeft w:val="0"/>
                      <w:marRight w:val="0"/>
                      <w:marTop w:val="0"/>
                      <w:marBottom w:val="240"/>
                      <w:divBdr>
                        <w:top w:val="none" w:sz="0" w:space="0" w:color="auto"/>
                        <w:left w:val="none" w:sz="0" w:space="0" w:color="auto"/>
                        <w:bottom w:val="none" w:sz="0" w:space="0" w:color="auto"/>
                        <w:right w:val="none" w:sz="0" w:space="0" w:color="auto"/>
                      </w:divBdr>
                      <w:divsChild>
                        <w:div w:id="1957978778">
                          <w:marLeft w:val="0"/>
                          <w:marRight w:val="0"/>
                          <w:marTop w:val="0"/>
                          <w:marBottom w:val="0"/>
                          <w:divBdr>
                            <w:top w:val="none" w:sz="0" w:space="0" w:color="auto"/>
                            <w:left w:val="none" w:sz="0" w:space="0" w:color="auto"/>
                            <w:bottom w:val="none" w:sz="0" w:space="0" w:color="auto"/>
                            <w:right w:val="none" w:sz="0" w:space="0" w:color="auto"/>
                          </w:divBdr>
                          <w:divsChild>
                            <w:div w:id="18532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346371">
      <w:bodyDiv w:val="1"/>
      <w:marLeft w:val="0"/>
      <w:marRight w:val="0"/>
      <w:marTop w:val="0"/>
      <w:marBottom w:val="0"/>
      <w:divBdr>
        <w:top w:val="none" w:sz="0" w:space="0" w:color="auto"/>
        <w:left w:val="none" w:sz="0" w:space="0" w:color="auto"/>
        <w:bottom w:val="none" w:sz="0" w:space="0" w:color="auto"/>
        <w:right w:val="none" w:sz="0" w:space="0" w:color="auto"/>
      </w:divBdr>
    </w:div>
    <w:div w:id="548105139">
      <w:bodyDiv w:val="1"/>
      <w:marLeft w:val="0"/>
      <w:marRight w:val="0"/>
      <w:marTop w:val="0"/>
      <w:marBottom w:val="0"/>
      <w:divBdr>
        <w:top w:val="none" w:sz="0" w:space="0" w:color="auto"/>
        <w:left w:val="none" w:sz="0" w:space="0" w:color="auto"/>
        <w:bottom w:val="none" w:sz="0" w:space="0" w:color="auto"/>
        <w:right w:val="none" w:sz="0" w:space="0" w:color="auto"/>
      </w:divBdr>
    </w:div>
    <w:div w:id="559753486">
      <w:bodyDiv w:val="1"/>
      <w:marLeft w:val="0"/>
      <w:marRight w:val="0"/>
      <w:marTop w:val="0"/>
      <w:marBottom w:val="0"/>
      <w:divBdr>
        <w:top w:val="none" w:sz="0" w:space="0" w:color="auto"/>
        <w:left w:val="none" w:sz="0" w:space="0" w:color="auto"/>
        <w:bottom w:val="none" w:sz="0" w:space="0" w:color="auto"/>
        <w:right w:val="none" w:sz="0" w:space="0" w:color="auto"/>
      </w:divBdr>
    </w:div>
    <w:div w:id="560870779">
      <w:bodyDiv w:val="1"/>
      <w:marLeft w:val="0"/>
      <w:marRight w:val="0"/>
      <w:marTop w:val="0"/>
      <w:marBottom w:val="0"/>
      <w:divBdr>
        <w:top w:val="none" w:sz="0" w:space="0" w:color="auto"/>
        <w:left w:val="none" w:sz="0" w:space="0" w:color="auto"/>
        <w:bottom w:val="none" w:sz="0" w:space="0" w:color="auto"/>
        <w:right w:val="none" w:sz="0" w:space="0" w:color="auto"/>
      </w:divBdr>
    </w:div>
    <w:div w:id="584924443">
      <w:bodyDiv w:val="1"/>
      <w:marLeft w:val="0"/>
      <w:marRight w:val="0"/>
      <w:marTop w:val="0"/>
      <w:marBottom w:val="0"/>
      <w:divBdr>
        <w:top w:val="none" w:sz="0" w:space="0" w:color="auto"/>
        <w:left w:val="none" w:sz="0" w:space="0" w:color="auto"/>
        <w:bottom w:val="none" w:sz="0" w:space="0" w:color="auto"/>
        <w:right w:val="none" w:sz="0" w:space="0" w:color="auto"/>
      </w:divBdr>
      <w:divsChild>
        <w:div w:id="185869763">
          <w:marLeft w:val="533"/>
          <w:marRight w:val="0"/>
          <w:marTop w:val="60"/>
          <w:marBottom w:val="0"/>
          <w:divBdr>
            <w:top w:val="none" w:sz="0" w:space="0" w:color="auto"/>
            <w:left w:val="none" w:sz="0" w:space="0" w:color="auto"/>
            <w:bottom w:val="none" w:sz="0" w:space="0" w:color="auto"/>
            <w:right w:val="none" w:sz="0" w:space="0" w:color="auto"/>
          </w:divBdr>
        </w:div>
        <w:div w:id="1281761747">
          <w:marLeft w:val="533"/>
          <w:marRight w:val="0"/>
          <w:marTop w:val="60"/>
          <w:marBottom w:val="0"/>
          <w:divBdr>
            <w:top w:val="none" w:sz="0" w:space="0" w:color="auto"/>
            <w:left w:val="none" w:sz="0" w:space="0" w:color="auto"/>
            <w:bottom w:val="none" w:sz="0" w:space="0" w:color="auto"/>
            <w:right w:val="none" w:sz="0" w:space="0" w:color="auto"/>
          </w:divBdr>
        </w:div>
        <w:div w:id="1650745321">
          <w:marLeft w:val="533"/>
          <w:marRight w:val="0"/>
          <w:marTop w:val="60"/>
          <w:marBottom w:val="0"/>
          <w:divBdr>
            <w:top w:val="none" w:sz="0" w:space="0" w:color="auto"/>
            <w:left w:val="none" w:sz="0" w:space="0" w:color="auto"/>
            <w:bottom w:val="none" w:sz="0" w:space="0" w:color="auto"/>
            <w:right w:val="none" w:sz="0" w:space="0" w:color="auto"/>
          </w:divBdr>
        </w:div>
        <w:div w:id="1731415498">
          <w:marLeft w:val="533"/>
          <w:marRight w:val="0"/>
          <w:marTop w:val="60"/>
          <w:marBottom w:val="0"/>
          <w:divBdr>
            <w:top w:val="none" w:sz="0" w:space="0" w:color="auto"/>
            <w:left w:val="none" w:sz="0" w:space="0" w:color="auto"/>
            <w:bottom w:val="none" w:sz="0" w:space="0" w:color="auto"/>
            <w:right w:val="none" w:sz="0" w:space="0" w:color="auto"/>
          </w:divBdr>
        </w:div>
      </w:divsChild>
    </w:div>
    <w:div w:id="586841290">
      <w:bodyDiv w:val="1"/>
      <w:marLeft w:val="0"/>
      <w:marRight w:val="0"/>
      <w:marTop w:val="0"/>
      <w:marBottom w:val="0"/>
      <w:divBdr>
        <w:top w:val="none" w:sz="0" w:space="0" w:color="auto"/>
        <w:left w:val="none" w:sz="0" w:space="0" w:color="auto"/>
        <w:bottom w:val="none" w:sz="0" w:space="0" w:color="auto"/>
        <w:right w:val="none" w:sz="0" w:space="0" w:color="auto"/>
      </w:divBdr>
    </w:div>
    <w:div w:id="588193396">
      <w:bodyDiv w:val="1"/>
      <w:marLeft w:val="0"/>
      <w:marRight w:val="0"/>
      <w:marTop w:val="0"/>
      <w:marBottom w:val="0"/>
      <w:divBdr>
        <w:top w:val="none" w:sz="0" w:space="0" w:color="auto"/>
        <w:left w:val="none" w:sz="0" w:space="0" w:color="auto"/>
        <w:bottom w:val="none" w:sz="0" w:space="0" w:color="auto"/>
        <w:right w:val="none" w:sz="0" w:space="0" w:color="auto"/>
      </w:divBdr>
    </w:div>
    <w:div w:id="667824826">
      <w:bodyDiv w:val="1"/>
      <w:marLeft w:val="0"/>
      <w:marRight w:val="0"/>
      <w:marTop w:val="0"/>
      <w:marBottom w:val="0"/>
      <w:divBdr>
        <w:top w:val="none" w:sz="0" w:space="0" w:color="auto"/>
        <w:left w:val="none" w:sz="0" w:space="0" w:color="auto"/>
        <w:bottom w:val="none" w:sz="0" w:space="0" w:color="auto"/>
        <w:right w:val="none" w:sz="0" w:space="0" w:color="auto"/>
      </w:divBdr>
    </w:div>
    <w:div w:id="668481731">
      <w:bodyDiv w:val="1"/>
      <w:marLeft w:val="0"/>
      <w:marRight w:val="0"/>
      <w:marTop w:val="0"/>
      <w:marBottom w:val="0"/>
      <w:divBdr>
        <w:top w:val="none" w:sz="0" w:space="0" w:color="auto"/>
        <w:left w:val="none" w:sz="0" w:space="0" w:color="auto"/>
        <w:bottom w:val="none" w:sz="0" w:space="0" w:color="auto"/>
        <w:right w:val="none" w:sz="0" w:space="0" w:color="auto"/>
      </w:divBdr>
    </w:div>
    <w:div w:id="704478595">
      <w:bodyDiv w:val="1"/>
      <w:marLeft w:val="0"/>
      <w:marRight w:val="0"/>
      <w:marTop w:val="0"/>
      <w:marBottom w:val="0"/>
      <w:divBdr>
        <w:top w:val="none" w:sz="0" w:space="0" w:color="auto"/>
        <w:left w:val="none" w:sz="0" w:space="0" w:color="auto"/>
        <w:bottom w:val="none" w:sz="0" w:space="0" w:color="auto"/>
        <w:right w:val="none" w:sz="0" w:space="0" w:color="auto"/>
      </w:divBdr>
    </w:div>
    <w:div w:id="709495068">
      <w:bodyDiv w:val="1"/>
      <w:marLeft w:val="0"/>
      <w:marRight w:val="0"/>
      <w:marTop w:val="0"/>
      <w:marBottom w:val="0"/>
      <w:divBdr>
        <w:top w:val="none" w:sz="0" w:space="0" w:color="auto"/>
        <w:left w:val="none" w:sz="0" w:space="0" w:color="auto"/>
        <w:bottom w:val="none" w:sz="0" w:space="0" w:color="auto"/>
        <w:right w:val="none" w:sz="0" w:space="0" w:color="auto"/>
      </w:divBdr>
    </w:div>
    <w:div w:id="718479653">
      <w:bodyDiv w:val="1"/>
      <w:marLeft w:val="0"/>
      <w:marRight w:val="0"/>
      <w:marTop w:val="0"/>
      <w:marBottom w:val="0"/>
      <w:divBdr>
        <w:top w:val="none" w:sz="0" w:space="0" w:color="auto"/>
        <w:left w:val="none" w:sz="0" w:space="0" w:color="auto"/>
        <w:bottom w:val="none" w:sz="0" w:space="0" w:color="auto"/>
        <w:right w:val="none" w:sz="0" w:space="0" w:color="auto"/>
      </w:divBdr>
    </w:div>
    <w:div w:id="722169227">
      <w:bodyDiv w:val="1"/>
      <w:marLeft w:val="0"/>
      <w:marRight w:val="0"/>
      <w:marTop w:val="0"/>
      <w:marBottom w:val="0"/>
      <w:divBdr>
        <w:top w:val="none" w:sz="0" w:space="0" w:color="auto"/>
        <w:left w:val="none" w:sz="0" w:space="0" w:color="auto"/>
        <w:bottom w:val="none" w:sz="0" w:space="0" w:color="auto"/>
        <w:right w:val="none" w:sz="0" w:space="0" w:color="auto"/>
      </w:divBdr>
    </w:div>
    <w:div w:id="752631189">
      <w:bodyDiv w:val="1"/>
      <w:marLeft w:val="0"/>
      <w:marRight w:val="0"/>
      <w:marTop w:val="0"/>
      <w:marBottom w:val="0"/>
      <w:divBdr>
        <w:top w:val="none" w:sz="0" w:space="0" w:color="auto"/>
        <w:left w:val="none" w:sz="0" w:space="0" w:color="auto"/>
        <w:bottom w:val="none" w:sz="0" w:space="0" w:color="auto"/>
        <w:right w:val="none" w:sz="0" w:space="0" w:color="auto"/>
      </w:divBdr>
    </w:div>
    <w:div w:id="766970058">
      <w:bodyDiv w:val="1"/>
      <w:marLeft w:val="0"/>
      <w:marRight w:val="0"/>
      <w:marTop w:val="0"/>
      <w:marBottom w:val="0"/>
      <w:divBdr>
        <w:top w:val="none" w:sz="0" w:space="0" w:color="auto"/>
        <w:left w:val="none" w:sz="0" w:space="0" w:color="auto"/>
        <w:bottom w:val="none" w:sz="0" w:space="0" w:color="auto"/>
        <w:right w:val="none" w:sz="0" w:space="0" w:color="auto"/>
      </w:divBdr>
    </w:div>
    <w:div w:id="830213192">
      <w:bodyDiv w:val="1"/>
      <w:marLeft w:val="0"/>
      <w:marRight w:val="0"/>
      <w:marTop w:val="0"/>
      <w:marBottom w:val="0"/>
      <w:divBdr>
        <w:top w:val="none" w:sz="0" w:space="0" w:color="auto"/>
        <w:left w:val="none" w:sz="0" w:space="0" w:color="auto"/>
        <w:bottom w:val="none" w:sz="0" w:space="0" w:color="auto"/>
        <w:right w:val="none" w:sz="0" w:space="0" w:color="auto"/>
      </w:divBdr>
    </w:div>
    <w:div w:id="833225190">
      <w:bodyDiv w:val="1"/>
      <w:marLeft w:val="0"/>
      <w:marRight w:val="0"/>
      <w:marTop w:val="0"/>
      <w:marBottom w:val="0"/>
      <w:divBdr>
        <w:top w:val="none" w:sz="0" w:space="0" w:color="auto"/>
        <w:left w:val="none" w:sz="0" w:space="0" w:color="auto"/>
        <w:bottom w:val="none" w:sz="0" w:space="0" w:color="auto"/>
        <w:right w:val="none" w:sz="0" w:space="0" w:color="auto"/>
      </w:divBdr>
    </w:div>
    <w:div w:id="865483946">
      <w:bodyDiv w:val="1"/>
      <w:marLeft w:val="0"/>
      <w:marRight w:val="0"/>
      <w:marTop w:val="0"/>
      <w:marBottom w:val="0"/>
      <w:divBdr>
        <w:top w:val="none" w:sz="0" w:space="0" w:color="auto"/>
        <w:left w:val="none" w:sz="0" w:space="0" w:color="auto"/>
        <w:bottom w:val="none" w:sz="0" w:space="0" w:color="auto"/>
        <w:right w:val="none" w:sz="0" w:space="0" w:color="auto"/>
      </w:divBdr>
    </w:div>
    <w:div w:id="872572735">
      <w:bodyDiv w:val="1"/>
      <w:marLeft w:val="0"/>
      <w:marRight w:val="0"/>
      <w:marTop w:val="0"/>
      <w:marBottom w:val="0"/>
      <w:divBdr>
        <w:top w:val="none" w:sz="0" w:space="0" w:color="auto"/>
        <w:left w:val="none" w:sz="0" w:space="0" w:color="auto"/>
        <w:bottom w:val="none" w:sz="0" w:space="0" w:color="auto"/>
        <w:right w:val="none" w:sz="0" w:space="0" w:color="auto"/>
      </w:divBdr>
    </w:div>
    <w:div w:id="886180880">
      <w:bodyDiv w:val="1"/>
      <w:marLeft w:val="0"/>
      <w:marRight w:val="0"/>
      <w:marTop w:val="0"/>
      <w:marBottom w:val="0"/>
      <w:divBdr>
        <w:top w:val="none" w:sz="0" w:space="0" w:color="auto"/>
        <w:left w:val="none" w:sz="0" w:space="0" w:color="auto"/>
        <w:bottom w:val="none" w:sz="0" w:space="0" w:color="auto"/>
        <w:right w:val="none" w:sz="0" w:space="0" w:color="auto"/>
      </w:divBdr>
    </w:div>
    <w:div w:id="911087958">
      <w:bodyDiv w:val="1"/>
      <w:marLeft w:val="0"/>
      <w:marRight w:val="0"/>
      <w:marTop w:val="0"/>
      <w:marBottom w:val="0"/>
      <w:divBdr>
        <w:top w:val="none" w:sz="0" w:space="0" w:color="auto"/>
        <w:left w:val="none" w:sz="0" w:space="0" w:color="auto"/>
        <w:bottom w:val="none" w:sz="0" w:space="0" w:color="auto"/>
        <w:right w:val="none" w:sz="0" w:space="0" w:color="auto"/>
      </w:divBdr>
    </w:div>
    <w:div w:id="913394294">
      <w:bodyDiv w:val="1"/>
      <w:marLeft w:val="0"/>
      <w:marRight w:val="0"/>
      <w:marTop w:val="0"/>
      <w:marBottom w:val="0"/>
      <w:divBdr>
        <w:top w:val="none" w:sz="0" w:space="0" w:color="auto"/>
        <w:left w:val="none" w:sz="0" w:space="0" w:color="auto"/>
        <w:bottom w:val="none" w:sz="0" w:space="0" w:color="auto"/>
        <w:right w:val="none" w:sz="0" w:space="0" w:color="auto"/>
      </w:divBdr>
    </w:div>
    <w:div w:id="913784616">
      <w:bodyDiv w:val="1"/>
      <w:marLeft w:val="0"/>
      <w:marRight w:val="0"/>
      <w:marTop w:val="0"/>
      <w:marBottom w:val="0"/>
      <w:divBdr>
        <w:top w:val="none" w:sz="0" w:space="0" w:color="auto"/>
        <w:left w:val="none" w:sz="0" w:space="0" w:color="auto"/>
        <w:bottom w:val="none" w:sz="0" w:space="0" w:color="auto"/>
        <w:right w:val="none" w:sz="0" w:space="0" w:color="auto"/>
      </w:divBdr>
      <w:divsChild>
        <w:div w:id="1549301950">
          <w:marLeft w:val="288"/>
          <w:marRight w:val="0"/>
          <w:marTop w:val="120"/>
          <w:marBottom w:val="120"/>
          <w:divBdr>
            <w:top w:val="none" w:sz="0" w:space="0" w:color="auto"/>
            <w:left w:val="none" w:sz="0" w:space="0" w:color="auto"/>
            <w:bottom w:val="none" w:sz="0" w:space="0" w:color="auto"/>
            <w:right w:val="none" w:sz="0" w:space="0" w:color="auto"/>
          </w:divBdr>
        </w:div>
      </w:divsChild>
    </w:div>
    <w:div w:id="942222154">
      <w:bodyDiv w:val="1"/>
      <w:marLeft w:val="0"/>
      <w:marRight w:val="0"/>
      <w:marTop w:val="0"/>
      <w:marBottom w:val="0"/>
      <w:divBdr>
        <w:top w:val="none" w:sz="0" w:space="0" w:color="auto"/>
        <w:left w:val="none" w:sz="0" w:space="0" w:color="auto"/>
        <w:bottom w:val="none" w:sz="0" w:space="0" w:color="auto"/>
        <w:right w:val="none" w:sz="0" w:space="0" w:color="auto"/>
      </w:divBdr>
      <w:divsChild>
        <w:div w:id="1887377194">
          <w:marLeft w:val="0"/>
          <w:marRight w:val="0"/>
          <w:marTop w:val="0"/>
          <w:marBottom w:val="0"/>
          <w:divBdr>
            <w:top w:val="none" w:sz="0" w:space="0" w:color="auto"/>
            <w:left w:val="none" w:sz="0" w:space="0" w:color="auto"/>
            <w:bottom w:val="none" w:sz="0" w:space="0" w:color="auto"/>
            <w:right w:val="none" w:sz="0" w:space="0" w:color="auto"/>
          </w:divBdr>
          <w:divsChild>
            <w:div w:id="784155085">
              <w:marLeft w:val="0"/>
              <w:marRight w:val="0"/>
              <w:marTop w:val="0"/>
              <w:marBottom w:val="0"/>
              <w:divBdr>
                <w:top w:val="none" w:sz="0" w:space="0" w:color="auto"/>
                <w:left w:val="none" w:sz="0" w:space="0" w:color="auto"/>
                <w:bottom w:val="none" w:sz="0" w:space="0" w:color="auto"/>
                <w:right w:val="none" w:sz="0" w:space="0" w:color="auto"/>
              </w:divBdr>
              <w:divsChild>
                <w:div w:id="515534226">
                  <w:marLeft w:val="0"/>
                  <w:marRight w:val="0"/>
                  <w:marTop w:val="0"/>
                  <w:marBottom w:val="0"/>
                  <w:divBdr>
                    <w:top w:val="none" w:sz="0" w:space="0" w:color="auto"/>
                    <w:left w:val="none" w:sz="0" w:space="0" w:color="auto"/>
                    <w:bottom w:val="none" w:sz="0" w:space="0" w:color="auto"/>
                    <w:right w:val="none" w:sz="0" w:space="0" w:color="auto"/>
                  </w:divBdr>
                  <w:divsChild>
                    <w:div w:id="168718364">
                      <w:marLeft w:val="0"/>
                      <w:marRight w:val="0"/>
                      <w:marTop w:val="0"/>
                      <w:marBottom w:val="0"/>
                      <w:divBdr>
                        <w:top w:val="none" w:sz="0" w:space="0" w:color="auto"/>
                        <w:left w:val="none" w:sz="0" w:space="0" w:color="auto"/>
                        <w:bottom w:val="none" w:sz="0" w:space="0" w:color="auto"/>
                        <w:right w:val="none" w:sz="0" w:space="0" w:color="auto"/>
                      </w:divBdr>
                      <w:divsChild>
                        <w:div w:id="86317191">
                          <w:marLeft w:val="0"/>
                          <w:marRight w:val="0"/>
                          <w:marTop w:val="0"/>
                          <w:marBottom w:val="0"/>
                          <w:divBdr>
                            <w:top w:val="none" w:sz="0" w:space="0" w:color="auto"/>
                            <w:left w:val="none" w:sz="0" w:space="0" w:color="auto"/>
                            <w:bottom w:val="none" w:sz="0" w:space="0" w:color="auto"/>
                            <w:right w:val="none" w:sz="0" w:space="0" w:color="auto"/>
                          </w:divBdr>
                          <w:divsChild>
                            <w:div w:id="39861619">
                              <w:marLeft w:val="0"/>
                              <w:marRight w:val="0"/>
                              <w:marTop w:val="0"/>
                              <w:marBottom w:val="0"/>
                              <w:divBdr>
                                <w:top w:val="none" w:sz="0" w:space="0" w:color="auto"/>
                                <w:left w:val="none" w:sz="0" w:space="0" w:color="auto"/>
                                <w:bottom w:val="none" w:sz="0" w:space="0" w:color="auto"/>
                                <w:right w:val="none" w:sz="0" w:space="0" w:color="auto"/>
                              </w:divBdr>
                              <w:divsChild>
                                <w:div w:id="1449394363">
                                  <w:marLeft w:val="0"/>
                                  <w:marRight w:val="0"/>
                                  <w:marTop w:val="0"/>
                                  <w:marBottom w:val="0"/>
                                  <w:divBdr>
                                    <w:top w:val="none" w:sz="0" w:space="0" w:color="auto"/>
                                    <w:left w:val="none" w:sz="0" w:space="0" w:color="auto"/>
                                    <w:bottom w:val="none" w:sz="0" w:space="0" w:color="auto"/>
                                    <w:right w:val="none" w:sz="0" w:space="0" w:color="auto"/>
                                  </w:divBdr>
                                  <w:divsChild>
                                    <w:div w:id="14260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091335">
      <w:bodyDiv w:val="1"/>
      <w:marLeft w:val="0"/>
      <w:marRight w:val="0"/>
      <w:marTop w:val="0"/>
      <w:marBottom w:val="0"/>
      <w:divBdr>
        <w:top w:val="none" w:sz="0" w:space="0" w:color="auto"/>
        <w:left w:val="none" w:sz="0" w:space="0" w:color="auto"/>
        <w:bottom w:val="none" w:sz="0" w:space="0" w:color="auto"/>
        <w:right w:val="none" w:sz="0" w:space="0" w:color="auto"/>
      </w:divBdr>
    </w:div>
    <w:div w:id="951059385">
      <w:bodyDiv w:val="1"/>
      <w:marLeft w:val="0"/>
      <w:marRight w:val="0"/>
      <w:marTop w:val="0"/>
      <w:marBottom w:val="0"/>
      <w:divBdr>
        <w:top w:val="none" w:sz="0" w:space="0" w:color="auto"/>
        <w:left w:val="none" w:sz="0" w:space="0" w:color="auto"/>
        <w:bottom w:val="none" w:sz="0" w:space="0" w:color="auto"/>
        <w:right w:val="none" w:sz="0" w:space="0" w:color="auto"/>
      </w:divBdr>
    </w:div>
    <w:div w:id="952202190">
      <w:bodyDiv w:val="1"/>
      <w:marLeft w:val="0"/>
      <w:marRight w:val="0"/>
      <w:marTop w:val="0"/>
      <w:marBottom w:val="0"/>
      <w:divBdr>
        <w:top w:val="none" w:sz="0" w:space="0" w:color="auto"/>
        <w:left w:val="none" w:sz="0" w:space="0" w:color="auto"/>
        <w:bottom w:val="none" w:sz="0" w:space="0" w:color="auto"/>
        <w:right w:val="none" w:sz="0" w:space="0" w:color="auto"/>
      </w:divBdr>
    </w:div>
    <w:div w:id="963274663">
      <w:bodyDiv w:val="1"/>
      <w:marLeft w:val="0"/>
      <w:marRight w:val="0"/>
      <w:marTop w:val="0"/>
      <w:marBottom w:val="0"/>
      <w:divBdr>
        <w:top w:val="none" w:sz="0" w:space="0" w:color="auto"/>
        <w:left w:val="none" w:sz="0" w:space="0" w:color="auto"/>
        <w:bottom w:val="none" w:sz="0" w:space="0" w:color="auto"/>
        <w:right w:val="none" w:sz="0" w:space="0" w:color="auto"/>
      </w:divBdr>
    </w:div>
    <w:div w:id="965502544">
      <w:bodyDiv w:val="1"/>
      <w:marLeft w:val="0"/>
      <w:marRight w:val="0"/>
      <w:marTop w:val="0"/>
      <w:marBottom w:val="0"/>
      <w:divBdr>
        <w:top w:val="none" w:sz="0" w:space="0" w:color="auto"/>
        <w:left w:val="none" w:sz="0" w:space="0" w:color="auto"/>
        <w:bottom w:val="none" w:sz="0" w:space="0" w:color="auto"/>
        <w:right w:val="none" w:sz="0" w:space="0" w:color="auto"/>
      </w:divBdr>
      <w:divsChild>
        <w:div w:id="1876379668">
          <w:marLeft w:val="0"/>
          <w:marRight w:val="0"/>
          <w:marTop w:val="0"/>
          <w:marBottom w:val="0"/>
          <w:divBdr>
            <w:top w:val="none" w:sz="0" w:space="0" w:color="auto"/>
            <w:left w:val="none" w:sz="0" w:space="0" w:color="auto"/>
            <w:bottom w:val="none" w:sz="0" w:space="0" w:color="auto"/>
            <w:right w:val="none" w:sz="0" w:space="0" w:color="auto"/>
          </w:divBdr>
          <w:divsChild>
            <w:div w:id="1954052678">
              <w:marLeft w:val="0"/>
              <w:marRight w:val="0"/>
              <w:marTop w:val="0"/>
              <w:marBottom w:val="0"/>
              <w:divBdr>
                <w:top w:val="none" w:sz="0" w:space="0" w:color="auto"/>
                <w:left w:val="none" w:sz="0" w:space="0" w:color="auto"/>
                <w:bottom w:val="none" w:sz="0" w:space="0" w:color="auto"/>
                <w:right w:val="none" w:sz="0" w:space="0" w:color="auto"/>
              </w:divBdr>
              <w:divsChild>
                <w:div w:id="1535657335">
                  <w:marLeft w:val="0"/>
                  <w:marRight w:val="0"/>
                  <w:marTop w:val="0"/>
                  <w:marBottom w:val="0"/>
                  <w:divBdr>
                    <w:top w:val="none" w:sz="0" w:space="0" w:color="auto"/>
                    <w:left w:val="none" w:sz="0" w:space="0" w:color="auto"/>
                    <w:bottom w:val="none" w:sz="0" w:space="0" w:color="auto"/>
                    <w:right w:val="none" w:sz="0" w:space="0" w:color="auto"/>
                  </w:divBdr>
                  <w:divsChild>
                    <w:div w:id="107050922">
                      <w:marLeft w:val="0"/>
                      <w:marRight w:val="0"/>
                      <w:marTop w:val="0"/>
                      <w:marBottom w:val="0"/>
                      <w:divBdr>
                        <w:top w:val="none" w:sz="0" w:space="0" w:color="auto"/>
                        <w:left w:val="none" w:sz="0" w:space="0" w:color="auto"/>
                        <w:bottom w:val="none" w:sz="0" w:space="0" w:color="auto"/>
                        <w:right w:val="none" w:sz="0" w:space="0" w:color="auto"/>
                      </w:divBdr>
                      <w:divsChild>
                        <w:div w:id="692919301">
                          <w:marLeft w:val="0"/>
                          <w:marRight w:val="0"/>
                          <w:marTop w:val="0"/>
                          <w:marBottom w:val="0"/>
                          <w:divBdr>
                            <w:top w:val="none" w:sz="0" w:space="0" w:color="auto"/>
                            <w:left w:val="none" w:sz="0" w:space="0" w:color="auto"/>
                            <w:bottom w:val="none" w:sz="0" w:space="0" w:color="auto"/>
                            <w:right w:val="none" w:sz="0" w:space="0" w:color="auto"/>
                          </w:divBdr>
                          <w:divsChild>
                            <w:div w:id="359090509">
                              <w:marLeft w:val="0"/>
                              <w:marRight w:val="0"/>
                              <w:marTop w:val="0"/>
                              <w:marBottom w:val="0"/>
                              <w:divBdr>
                                <w:top w:val="none" w:sz="0" w:space="0" w:color="auto"/>
                                <w:left w:val="none" w:sz="0" w:space="0" w:color="auto"/>
                                <w:bottom w:val="none" w:sz="0" w:space="0" w:color="auto"/>
                                <w:right w:val="none" w:sz="0" w:space="0" w:color="auto"/>
                              </w:divBdr>
                              <w:divsChild>
                                <w:div w:id="1534614231">
                                  <w:marLeft w:val="0"/>
                                  <w:marRight w:val="0"/>
                                  <w:marTop w:val="0"/>
                                  <w:marBottom w:val="0"/>
                                  <w:divBdr>
                                    <w:top w:val="none" w:sz="0" w:space="0" w:color="auto"/>
                                    <w:left w:val="none" w:sz="0" w:space="0" w:color="auto"/>
                                    <w:bottom w:val="none" w:sz="0" w:space="0" w:color="auto"/>
                                    <w:right w:val="none" w:sz="0" w:space="0" w:color="auto"/>
                                  </w:divBdr>
                                  <w:divsChild>
                                    <w:div w:id="1522277283">
                                      <w:marLeft w:val="0"/>
                                      <w:marRight w:val="0"/>
                                      <w:marTop w:val="0"/>
                                      <w:marBottom w:val="0"/>
                                      <w:divBdr>
                                        <w:top w:val="none" w:sz="0" w:space="0" w:color="auto"/>
                                        <w:left w:val="none" w:sz="0" w:space="0" w:color="auto"/>
                                        <w:bottom w:val="none" w:sz="0" w:space="0" w:color="auto"/>
                                        <w:right w:val="none" w:sz="0" w:space="0" w:color="auto"/>
                                      </w:divBdr>
                                      <w:divsChild>
                                        <w:div w:id="262342008">
                                          <w:marLeft w:val="0"/>
                                          <w:marRight w:val="0"/>
                                          <w:marTop w:val="0"/>
                                          <w:marBottom w:val="0"/>
                                          <w:divBdr>
                                            <w:top w:val="none" w:sz="0" w:space="0" w:color="auto"/>
                                            <w:left w:val="none" w:sz="0" w:space="0" w:color="auto"/>
                                            <w:bottom w:val="none" w:sz="0" w:space="0" w:color="auto"/>
                                            <w:right w:val="none" w:sz="0" w:space="0" w:color="auto"/>
                                          </w:divBdr>
                                          <w:divsChild>
                                            <w:div w:id="422530060">
                                              <w:marLeft w:val="0"/>
                                              <w:marRight w:val="0"/>
                                              <w:marTop w:val="0"/>
                                              <w:marBottom w:val="0"/>
                                              <w:divBdr>
                                                <w:top w:val="none" w:sz="0" w:space="0" w:color="auto"/>
                                                <w:left w:val="none" w:sz="0" w:space="0" w:color="auto"/>
                                                <w:bottom w:val="none" w:sz="0" w:space="0" w:color="auto"/>
                                                <w:right w:val="none" w:sz="0" w:space="0" w:color="auto"/>
                                              </w:divBdr>
                                              <w:divsChild>
                                                <w:div w:id="804389292">
                                                  <w:marLeft w:val="0"/>
                                                  <w:marRight w:val="0"/>
                                                  <w:marTop w:val="0"/>
                                                  <w:marBottom w:val="0"/>
                                                  <w:divBdr>
                                                    <w:top w:val="none" w:sz="0" w:space="0" w:color="auto"/>
                                                    <w:left w:val="none" w:sz="0" w:space="0" w:color="auto"/>
                                                    <w:bottom w:val="none" w:sz="0" w:space="0" w:color="auto"/>
                                                    <w:right w:val="none" w:sz="0" w:space="0" w:color="auto"/>
                                                  </w:divBdr>
                                                  <w:divsChild>
                                                    <w:div w:id="9831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979192">
      <w:bodyDiv w:val="1"/>
      <w:marLeft w:val="0"/>
      <w:marRight w:val="0"/>
      <w:marTop w:val="0"/>
      <w:marBottom w:val="0"/>
      <w:divBdr>
        <w:top w:val="none" w:sz="0" w:space="0" w:color="auto"/>
        <w:left w:val="none" w:sz="0" w:space="0" w:color="auto"/>
        <w:bottom w:val="none" w:sz="0" w:space="0" w:color="auto"/>
        <w:right w:val="none" w:sz="0" w:space="0" w:color="auto"/>
      </w:divBdr>
    </w:div>
    <w:div w:id="974674253">
      <w:bodyDiv w:val="1"/>
      <w:marLeft w:val="0"/>
      <w:marRight w:val="0"/>
      <w:marTop w:val="0"/>
      <w:marBottom w:val="0"/>
      <w:divBdr>
        <w:top w:val="none" w:sz="0" w:space="0" w:color="auto"/>
        <w:left w:val="none" w:sz="0" w:space="0" w:color="auto"/>
        <w:bottom w:val="none" w:sz="0" w:space="0" w:color="auto"/>
        <w:right w:val="none" w:sz="0" w:space="0" w:color="auto"/>
      </w:divBdr>
    </w:div>
    <w:div w:id="983462916">
      <w:bodyDiv w:val="1"/>
      <w:marLeft w:val="0"/>
      <w:marRight w:val="0"/>
      <w:marTop w:val="0"/>
      <w:marBottom w:val="0"/>
      <w:divBdr>
        <w:top w:val="none" w:sz="0" w:space="0" w:color="auto"/>
        <w:left w:val="none" w:sz="0" w:space="0" w:color="auto"/>
        <w:bottom w:val="none" w:sz="0" w:space="0" w:color="auto"/>
        <w:right w:val="none" w:sz="0" w:space="0" w:color="auto"/>
      </w:divBdr>
    </w:div>
    <w:div w:id="984968827">
      <w:bodyDiv w:val="1"/>
      <w:marLeft w:val="0"/>
      <w:marRight w:val="0"/>
      <w:marTop w:val="0"/>
      <w:marBottom w:val="0"/>
      <w:divBdr>
        <w:top w:val="none" w:sz="0" w:space="0" w:color="auto"/>
        <w:left w:val="none" w:sz="0" w:space="0" w:color="auto"/>
        <w:bottom w:val="none" w:sz="0" w:space="0" w:color="auto"/>
        <w:right w:val="none" w:sz="0" w:space="0" w:color="auto"/>
      </w:divBdr>
    </w:div>
    <w:div w:id="1031299527">
      <w:bodyDiv w:val="1"/>
      <w:marLeft w:val="0"/>
      <w:marRight w:val="0"/>
      <w:marTop w:val="0"/>
      <w:marBottom w:val="0"/>
      <w:divBdr>
        <w:top w:val="none" w:sz="0" w:space="0" w:color="auto"/>
        <w:left w:val="none" w:sz="0" w:space="0" w:color="auto"/>
        <w:bottom w:val="none" w:sz="0" w:space="0" w:color="auto"/>
        <w:right w:val="none" w:sz="0" w:space="0" w:color="auto"/>
      </w:divBdr>
    </w:div>
    <w:div w:id="1038051272">
      <w:bodyDiv w:val="1"/>
      <w:marLeft w:val="0"/>
      <w:marRight w:val="0"/>
      <w:marTop w:val="0"/>
      <w:marBottom w:val="0"/>
      <w:divBdr>
        <w:top w:val="none" w:sz="0" w:space="0" w:color="auto"/>
        <w:left w:val="none" w:sz="0" w:space="0" w:color="auto"/>
        <w:bottom w:val="none" w:sz="0" w:space="0" w:color="auto"/>
        <w:right w:val="none" w:sz="0" w:space="0" w:color="auto"/>
      </w:divBdr>
    </w:div>
    <w:div w:id="1062755004">
      <w:bodyDiv w:val="1"/>
      <w:marLeft w:val="0"/>
      <w:marRight w:val="0"/>
      <w:marTop w:val="0"/>
      <w:marBottom w:val="0"/>
      <w:divBdr>
        <w:top w:val="none" w:sz="0" w:space="0" w:color="auto"/>
        <w:left w:val="none" w:sz="0" w:space="0" w:color="auto"/>
        <w:bottom w:val="none" w:sz="0" w:space="0" w:color="auto"/>
        <w:right w:val="none" w:sz="0" w:space="0" w:color="auto"/>
      </w:divBdr>
    </w:div>
    <w:div w:id="1062823971">
      <w:bodyDiv w:val="1"/>
      <w:marLeft w:val="0"/>
      <w:marRight w:val="0"/>
      <w:marTop w:val="0"/>
      <w:marBottom w:val="0"/>
      <w:divBdr>
        <w:top w:val="none" w:sz="0" w:space="0" w:color="auto"/>
        <w:left w:val="none" w:sz="0" w:space="0" w:color="auto"/>
        <w:bottom w:val="none" w:sz="0" w:space="0" w:color="auto"/>
        <w:right w:val="none" w:sz="0" w:space="0" w:color="auto"/>
      </w:divBdr>
    </w:div>
    <w:div w:id="1074620121">
      <w:bodyDiv w:val="1"/>
      <w:marLeft w:val="0"/>
      <w:marRight w:val="0"/>
      <w:marTop w:val="0"/>
      <w:marBottom w:val="0"/>
      <w:divBdr>
        <w:top w:val="none" w:sz="0" w:space="0" w:color="auto"/>
        <w:left w:val="none" w:sz="0" w:space="0" w:color="auto"/>
        <w:bottom w:val="none" w:sz="0" w:space="0" w:color="auto"/>
        <w:right w:val="none" w:sz="0" w:space="0" w:color="auto"/>
      </w:divBdr>
    </w:div>
    <w:div w:id="1085494706">
      <w:bodyDiv w:val="1"/>
      <w:marLeft w:val="0"/>
      <w:marRight w:val="0"/>
      <w:marTop w:val="0"/>
      <w:marBottom w:val="0"/>
      <w:divBdr>
        <w:top w:val="none" w:sz="0" w:space="0" w:color="auto"/>
        <w:left w:val="none" w:sz="0" w:space="0" w:color="auto"/>
        <w:bottom w:val="none" w:sz="0" w:space="0" w:color="auto"/>
        <w:right w:val="none" w:sz="0" w:space="0" w:color="auto"/>
      </w:divBdr>
      <w:divsChild>
        <w:div w:id="1817334484">
          <w:marLeft w:val="288"/>
          <w:marRight w:val="0"/>
          <w:marTop w:val="120"/>
          <w:marBottom w:val="120"/>
          <w:divBdr>
            <w:top w:val="none" w:sz="0" w:space="0" w:color="auto"/>
            <w:left w:val="none" w:sz="0" w:space="0" w:color="auto"/>
            <w:bottom w:val="none" w:sz="0" w:space="0" w:color="auto"/>
            <w:right w:val="none" w:sz="0" w:space="0" w:color="auto"/>
          </w:divBdr>
        </w:div>
      </w:divsChild>
    </w:div>
    <w:div w:id="1094211029">
      <w:bodyDiv w:val="1"/>
      <w:marLeft w:val="0"/>
      <w:marRight w:val="0"/>
      <w:marTop w:val="0"/>
      <w:marBottom w:val="0"/>
      <w:divBdr>
        <w:top w:val="none" w:sz="0" w:space="0" w:color="auto"/>
        <w:left w:val="none" w:sz="0" w:space="0" w:color="auto"/>
        <w:bottom w:val="none" w:sz="0" w:space="0" w:color="auto"/>
        <w:right w:val="none" w:sz="0" w:space="0" w:color="auto"/>
      </w:divBdr>
    </w:div>
    <w:div w:id="1098059470">
      <w:bodyDiv w:val="1"/>
      <w:marLeft w:val="0"/>
      <w:marRight w:val="0"/>
      <w:marTop w:val="0"/>
      <w:marBottom w:val="0"/>
      <w:divBdr>
        <w:top w:val="none" w:sz="0" w:space="0" w:color="auto"/>
        <w:left w:val="none" w:sz="0" w:space="0" w:color="auto"/>
        <w:bottom w:val="none" w:sz="0" w:space="0" w:color="auto"/>
        <w:right w:val="none" w:sz="0" w:space="0" w:color="auto"/>
      </w:divBdr>
    </w:div>
    <w:div w:id="1107583618">
      <w:bodyDiv w:val="1"/>
      <w:marLeft w:val="0"/>
      <w:marRight w:val="0"/>
      <w:marTop w:val="0"/>
      <w:marBottom w:val="0"/>
      <w:divBdr>
        <w:top w:val="none" w:sz="0" w:space="0" w:color="auto"/>
        <w:left w:val="none" w:sz="0" w:space="0" w:color="auto"/>
        <w:bottom w:val="none" w:sz="0" w:space="0" w:color="auto"/>
        <w:right w:val="none" w:sz="0" w:space="0" w:color="auto"/>
      </w:divBdr>
    </w:div>
    <w:div w:id="1110858496">
      <w:bodyDiv w:val="1"/>
      <w:marLeft w:val="0"/>
      <w:marRight w:val="0"/>
      <w:marTop w:val="0"/>
      <w:marBottom w:val="0"/>
      <w:divBdr>
        <w:top w:val="none" w:sz="0" w:space="0" w:color="auto"/>
        <w:left w:val="none" w:sz="0" w:space="0" w:color="auto"/>
        <w:bottom w:val="none" w:sz="0" w:space="0" w:color="auto"/>
        <w:right w:val="none" w:sz="0" w:space="0" w:color="auto"/>
      </w:divBdr>
      <w:divsChild>
        <w:div w:id="1944920525">
          <w:marLeft w:val="0"/>
          <w:marRight w:val="0"/>
          <w:marTop w:val="0"/>
          <w:marBottom w:val="0"/>
          <w:divBdr>
            <w:top w:val="none" w:sz="0" w:space="0" w:color="auto"/>
            <w:left w:val="none" w:sz="0" w:space="0" w:color="auto"/>
            <w:bottom w:val="none" w:sz="0" w:space="0" w:color="auto"/>
            <w:right w:val="none" w:sz="0" w:space="0" w:color="auto"/>
          </w:divBdr>
          <w:divsChild>
            <w:div w:id="1523670883">
              <w:marLeft w:val="0"/>
              <w:marRight w:val="0"/>
              <w:marTop w:val="0"/>
              <w:marBottom w:val="0"/>
              <w:divBdr>
                <w:top w:val="none" w:sz="0" w:space="0" w:color="auto"/>
                <w:left w:val="none" w:sz="0" w:space="0" w:color="auto"/>
                <w:bottom w:val="none" w:sz="0" w:space="0" w:color="auto"/>
                <w:right w:val="none" w:sz="0" w:space="0" w:color="auto"/>
              </w:divBdr>
              <w:divsChild>
                <w:div w:id="1386177862">
                  <w:marLeft w:val="0"/>
                  <w:marRight w:val="0"/>
                  <w:marTop w:val="0"/>
                  <w:marBottom w:val="0"/>
                  <w:divBdr>
                    <w:top w:val="none" w:sz="0" w:space="0" w:color="auto"/>
                    <w:left w:val="none" w:sz="0" w:space="0" w:color="auto"/>
                    <w:bottom w:val="none" w:sz="0" w:space="0" w:color="auto"/>
                    <w:right w:val="none" w:sz="0" w:space="0" w:color="auto"/>
                  </w:divBdr>
                  <w:divsChild>
                    <w:div w:id="987444667">
                      <w:marLeft w:val="0"/>
                      <w:marRight w:val="0"/>
                      <w:marTop w:val="0"/>
                      <w:marBottom w:val="0"/>
                      <w:divBdr>
                        <w:top w:val="none" w:sz="0" w:space="0" w:color="auto"/>
                        <w:left w:val="none" w:sz="0" w:space="0" w:color="auto"/>
                        <w:bottom w:val="none" w:sz="0" w:space="0" w:color="auto"/>
                        <w:right w:val="none" w:sz="0" w:space="0" w:color="auto"/>
                      </w:divBdr>
                      <w:divsChild>
                        <w:div w:id="8139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207299">
      <w:bodyDiv w:val="1"/>
      <w:marLeft w:val="0"/>
      <w:marRight w:val="0"/>
      <w:marTop w:val="0"/>
      <w:marBottom w:val="0"/>
      <w:divBdr>
        <w:top w:val="none" w:sz="0" w:space="0" w:color="auto"/>
        <w:left w:val="none" w:sz="0" w:space="0" w:color="auto"/>
        <w:bottom w:val="none" w:sz="0" w:space="0" w:color="auto"/>
        <w:right w:val="none" w:sz="0" w:space="0" w:color="auto"/>
      </w:divBdr>
    </w:div>
    <w:div w:id="1131896963">
      <w:bodyDiv w:val="1"/>
      <w:marLeft w:val="0"/>
      <w:marRight w:val="0"/>
      <w:marTop w:val="0"/>
      <w:marBottom w:val="0"/>
      <w:divBdr>
        <w:top w:val="none" w:sz="0" w:space="0" w:color="auto"/>
        <w:left w:val="none" w:sz="0" w:space="0" w:color="auto"/>
        <w:bottom w:val="none" w:sz="0" w:space="0" w:color="auto"/>
        <w:right w:val="none" w:sz="0" w:space="0" w:color="auto"/>
      </w:divBdr>
    </w:div>
    <w:div w:id="1162084587">
      <w:bodyDiv w:val="1"/>
      <w:marLeft w:val="0"/>
      <w:marRight w:val="0"/>
      <w:marTop w:val="0"/>
      <w:marBottom w:val="0"/>
      <w:divBdr>
        <w:top w:val="none" w:sz="0" w:space="0" w:color="auto"/>
        <w:left w:val="none" w:sz="0" w:space="0" w:color="auto"/>
        <w:bottom w:val="none" w:sz="0" w:space="0" w:color="auto"/>
        <w:right w:val="none" w:sz="0" w:space="0" w:color="auto"/>
      </w:divBdr>
    </w:div>
    <w:div w:id="1186360058">
      <w:bodyDiv w:val="1"/>
      <w:marLeft w:val="0"/>
      <w:marRight w:val="0"/>
      <w:marTop w:val="0"/>
      <w:marBottom w:val="0"/>
      <w:divBdr>
        <w:top w:val="none" w:sz="0" w:space="0" w:color="auto"/>
        <w:left w:val="none" w:sz="0" w:space="0" w:color="auto"/>
        <w:bottom w:val="none" w:sz="0" w:space="0" w:color="auto"/>
        <w:right w:val="none" w:sz="0" w:space="0" w:color="auto"/>
      </w:divBdr>
    </w:div>
    <w:div w:id="1188368472">
      <w:bodyDiv w:val="1"/>
      <w:marLeft w:val="0"/>
      <w:marRight w:val="0"/>
      <w:marTop w:val="0"/>
      <w:marBottom w:val="0"/>
      <w:divBdr>
        <w:top w:val="none" w:sz="0" w:space="0" w:color="auto"/>
        <w:left w:val="none" w:sz="0" w:space="0" w:color="auto"/>
        <w:bottom w:val="none" w:sz="0" w:space="0" w:color="auto"/>
        <w:right w:val="none" w:sz="0" w:space="0" w:color="auto"/>
      </w:divBdr>
    </w:div>
    <w:div w:id="1228566508">
      <w:bodyDiv w:val="1"/>
      <w:marLeft w:val="0"/>
      <w:marRight w:val="0"/>
      <w:marTop w:val="0"/>
      <w:marBottom w:val="0"/>
      <w:divBdr>
        <w:top w:val="none" w:sz="0" w:space="0" w:color="auto"/>
        <w:left w:val="none" w:sz="0" w:space="0" w:color="auto"/>
        <w:bottom w:val="none" w:sz="0" w:space="0" w:color="auto"/>
        <w:right w:val="none" w:sz="0" w:space="0" w:color="auto"/>
      </w:divBdr>
    </w:div>
    <w:div w:id="1239243585">
      <w:bodyDiv w:val="1"/>
      <w:marLeft w:val="0"/>
      <w:marRight w:val="0"/>
      <w:marTop w:val="0"/>
      <w:marBottom w:val="0"/>
      <w:divBdr>
        <w:top w:val="none" w:sz="0" w:space="0" w:color="auto"/>
        <w:left w:val="none" w:sz="0" w:space="0" w:color="auto"/>
        <w:bottom w:val="none" w:sz="0" w:space="0" w:color="auto"/>
        <w:right w:val="none" w:sz="0" w:space="0" w:color="auto"/>
      </w:divBdr>
    </w:div>
    <w:div w:id="1240168889">
      <w:bodyDiv w:val="1"/>
      <w:marLeft w:val="0"/>
      <w:marRight w:val="0"/>
      <w:marTop w:val="0"/>
      <w:marBottom w:val="0"/>
      <w:divBdr>
        <w:top w:val="none" w:sz="0" w:space="0" w:color="auto"/>
        <w:left w:val="none" w:sz="0" w:space="0" w:color="auto"/>
        <w:bottom w:val="none" w:sz="0" w:space="0" w:color="auto"/>
        <w:right w:val="none" w:sz="0" w:space="0" w:color="auto"/>
      </w:divBdr>
    </w:div>
    <w:div w:id="1249148215">
      <w:bodyDiv w:val="1"/>
      <w:marLeft w:val="0"/>
      <w:marRight w:val="0"/>
      <w:marTop w:val="0"/>
      <w:marBottom w:val="0"/>
      <w:divBdr>
        <w:top w:val="none" w:sz="0" w:space="0" w:color="auto"/>
        <w:left w:val="none" w:sz="0" w:space="0" w:color="auto"/>
        <w:bottom w:val="none" w:sz="0" w:space="0" w:color="auto"/>
        <w:right w:val="none" w:sz="0" w:space="0" w:color="auto"/>
      </w:divBdr>
    </w:div>
    <w:div w:id="1266229567">
      <w:bodyDiv w:val="1"/>
      <w:marLeft w:val="0"/>
      <w:marRight w:val="0"/>
      <w:marTop w:val="0"/>
      <w:marBottom w:val="0"/>
      <w:divBdr>
        <w:top w:val="none" w:sz="0" w:space="0" w:color="auto"/>
        <w:left w:val="none" w:sz="0" w:space="0" w:color="auto"/>
        <w:bottom w:val="none" w:sz="0" w:space="0" w:color="auto"/>
        <w:right w:val="none" w:sz="0" w:space="0" w:color="auto"/>
      </w:divBdr>
    </w:div>
    <w:div w:id="1270309935">
      <w:bodyDiv w:val="1"/>
      <w:marLeft w:val="0"/>
      <w:marRight w:val="0"/>
      <w:marTop w:val="0"/>
      <w:marBottom w:val="0"/>
      <w:divBdr>
        <w:top w:val="none" w:sz="0" w:space="0" w:color="auto"/>
        <w:left w:val="none" w:sz="0" w:space="0" w:color="auto"/>
        <w:bottom w:val="none" w:sz="0" w:space="0" w:color="auto"/>
        <w:right w:val="none" w:sz="0" w:space="0" w:color="auto"/>
      </w:divBdr>
    </w:div>
    <w:div w:id="1271742103">
      <w:bodyDiv w:val="1"/>
      <w:marLeft w:val="0"/>
      <w:marRight w:val="0"/>
      <w:marTop w:val="0"/>
      <w:marBottom w:val="0"/>
      <w:divBdr>
        <w:top w:val="none" w:sz="0" w:space="0" w:color="auto"/>
        <w:left w:val="none" w:sz="0" w:space="0" w:color="auto"/>
        <w:bottom w:val="none" w:sz="0" w:space="0" w:color="auto"/>
        <w:right w:val="none" w:sz="0" w:space="0" w:color="auto"/>
      </w:divBdr>
    </w:div>
    <w:div w:id="1273051352">
      <w:bodyDiv w:val="1"/>
      <w:marLeft w:val="0"/>
      <w:marRight w:val="0"/>
      <w:marTop w:val="0"/>
      <w:marBottom w:val="0"/>
      <w:divBdr>
        <w:top w:val="none" w:sz="0" w:space="0" w:color="auto"/>
        <w:left w:val="none" w:sz="0" w:space="0" w:color="auto"/>
        <w:bottom w:val="none" w:sz="0" w:space="0" w:color="auto"/>
        <w:right w:val="none" w:sz="0" w:space="0" w:color="auto"/>
      </w:divBdr>
    </w:div>
    <w:div w:id="1275794467">
      <w:bodyDiv w:val="1"/>
      <w:marLeft w:val="0"/>
      <w:marRight w:val="0"/>
      <w:marTop w:val="0"/>
      <w:marBottom w:val="0"/>
      <w:divBdr>
        <w:top w:val="none" w:sz="0" w:space="0" w:color="auto"/>
        <w:left w:val="none" w:sz="0" w:space="0" w:color="auto"/>
        <w:bottom w:val="none" w:sz="0" w:space="0" w:color="auto"/>
        <w:right w:val="none" w:sz="0" w:space="0" w:color="auto"/>
      </w:divBdr>
    </w:div>
    <w:div w:id="1297293500">
      <w:bodyDiv w:val="1"/>
      <w:marLeft w:val="0"/>
      <w:marRight w:val="0"/>
      <w:marTop w:val="0"/>
      <w:marBottom w:val="0"/>
      <w:divBdr>
        <w:top w:val="none" w:sz="0" w:space="0" w:color="auto"/>
        <w:left w:val="none" w:sz="0" w:space="0" w:color="auto"/>
        <w:bottom w:val="none" w:sz="0" w:space="0" w:color="auto"/>
        <w:right w:val="none" w:sz="0" w:space="0" w:color="auto"/>
      </w:divBdr>
    </w:div>
    <w:div w:id="1302808359">
      <w:bodyDiv w:val="1"/>
      <w:marLeft w:val="0"/>
      <w:marRight w:val="0"/>
      <w:marTop w:val="0"/>
      <w:marBottom w:val="0"/>
      <w:divBdr>
        <w:top w:val="none" w:sz="0" w:space="0" w:color="auto"/>
        <w:left w:val="none" w:sz="0" w:space="0" w:color="auto"/>
        <w:bottom w:val="none" w:sz="0" w:space="0" w:color="auto"/>
        <w:right w:val="none" w:sz="0" w:space="0" w:color="auto"/>
      </w:divBdr>
    </w:div>
    <w:div w:id="1318530021">
      <w:bodyDiv w:val="1"/>
      <w:marLeft w:val="0"/>
      <w:marRight w:val="0"/>
      <w:marTop w:val="0"/>
      <w:marBottom w:val="0"/>
      <w:divBdr>
        <w:top w:val="none" w:sz="0" w:space="0" w:color="auto"/>
        <w:left w:val="none" w:sz="0" w:space="0" w:color="auto"/>
        <w:bottom w:val="none" w:sz="0" w:space="0" w:color="auto"/>
        <w:right w:val="none" w:sz="0" w:space="0" w:color="auto"/>
      </w:divBdr>
      <w:divsChild>
        <w:div w:id="97995436">
          <w:marLeft w:val="533"/>
          <w:marRight w:val="0"/>
          <w:marTop w:val="60"/>
          <w:marBottom w:val="0"/>
          <w:divBdr>
            <w:top w:val="none" w:sz="0" w:space="0" w:color="auto"/>
            <w:left w:val="none" w:sz="0" w:space="0" w:color="auto"/>
            <w:bottom w:val="none" w:sz="0" w:space="0" w:color="auto"/>
            <w:right w:val="none" w:sz="0" w:space="0" w:color="auto"/>
          </w:divBdr>
        </w:div>
        <w:div w:id="402798181">
          <w:marLeft w:val="533"/>
          <w:marRight w:val="0"/>
          <w:marTop w:val="60"/>
          <w:marBottom w:val="0"/>
          <w:divBdr>
            <w:top w:val="none" w:sz="0" w:space="0" w:color="auto"/>
            <w:left w:val="none" w:sz="0" w:space="0" w:color="auto"/>
            <w:bottom w:val="none" w:sz="0" w:space="0" w:color="auto"/>
            <w:right w:val="none" w:sz="0" w:space="0" w:color="auto"/>
          </w:divBdr>
        </w:div>
        <w:div w:id="1162238031">
          <w:marLeft w:val="1166"/>
          <w:marRight w:val="0"/>
          <w:marTop w:val="60"/>
          <w:marBottom w:val="0"/>
          <w:divBdr>
            <w:top w:val="none" w:sz="0" w:space="0" w:color="auto"/>
            <w:left w:val="none" w:sz="0" w:space="0" w:color="auto"/>
            <w:bottom w:val="none" w:sz="0" w:space="0" w:color="auto"/>
            <w:right w:val="none" w:sz="0" w:space="0" w:color="auto"/>
          </w:divBdr>
        </w:div>
        <w:div w:id="1169904388">
          <w:marLeft w:val="317"/>
          <w:marRight w:val="0"/>
          <w:marTop w:val="60"/>
          <w:marBottom w:val="0"/>
          <w:divBdr>
            <w:top w:val="none" w:sz="0" w:space="0" w:color="auto"/>
            <w:left w:val="none" w:sz="0" w:space="0" w:color="auto"/>
            <w:bottom w:val="none" w:sz="0" w:space="0" w:color="auto"/>
            <w:right w:val="none" w:sz="0" w:space="0" w:color="auto"/>
          </w:divBdr>
        </w:div>
        <w:div w:id="1620991336">
          <w:marLeft w:val="533"/>
          <w:marRight w:val="0"/>
          <w:marTop w:val="60"/>
          <w:marBottom w:val="0"/>
          <w:divBdr>
            <w:top w:val="none" w:sz="0" w:space="0" w:color="auto"/>
            <w:left w:val="none" w:sz="0" w:space="0" w:color="auto"/>
            <w:bottom w:val="none" w:sz="0" w:space="0" w:color="auto"/>
            <w:right w:val="none" w:sz="0" w:space="0" w:color="auto"/>
          </w:divBdr>
        </w:div>
        <w:div w:id="1641306285">
          <w:marLeft w:val="533"/>
          <w:marRight w:val="0"/>
          <w:marTop w:val="60"/>
          <w:marBottom w:val="0"/>
          <w:divBdr>
            <w:top w:val="none" w:sz="0" w:space="0" w:color="auto"/>
            <w:left w:val="none" w:sz="0" w:space="0" w:color="auto"/>
            <w:bottom w:val="none" w:sz="0" w:space="0" w:color="auto"/>
            <w:right w:val="none" w:sz="0" w:space="0" w:color="auto"/>
          </w:divBdr>
        </w:div>
        <w:div w:id="1814786017">
          <w:marLeft w:val="1166"/>
          <w:marRight w:val="0"/>
          <w:marTop w:val="60"/>
          <w:marBottom w:val="0"/>
          <w:divBdr>
            <w:top w:val="none" w:sz="0" w:space="0" w:color="auto"/>
            <w:left w:val="none" w:sz="0" w:space="0" w:color="auto"/>
            <w:bottom w:val="none" w:sz="0" w:space="0" w:color="auto"/>
            <w:right w:val="none" w:sz="0" w:space="0" w:color="auto"/>
          </w:divBdr>
        </w:div>
      </w:divsChild>
    </w:div>
    <w:div w:id="1322737127">
      <w:bodyDiv w:val="1"/>
      <w:marLeft w:val="0"/>
      <w:marRight w:val="0"/>
      <w:marTop w:val="0"/>
      <w:marBottom w:val="0"/>
      <w:divBdr>
        <w:top w:val="none" w:sz="0" w:space="0" w:color="auto"/>
        <w:left w:val="none" w:sz="0" w:space="0" w:color="auto"/>
        <w:bottom w:val="none" w:sz="0" w:space="0" w:color="auto"/>
        <w:right w:val="none" w:sz="0" w:space="0" w:color="auto"/>
      </w:divBdr>
    </w:div>
    <w:div w:id="1326200529">
      <w:bodyDiv w:val="1"/>
      <w:marLeft w:val="0"/>
      <w:marRight w:val="0"/>
      <w:marTop w:val="0"/>
      <w:marBottom w:val="0"/>
      <w:divBdr>
        <w:top w:val="none" w:sz="0" w:space="0" w:color="auto"/>
        <w:left w:val="none" w:sz="0" w:space="0" w:color="auto"/>
        <w:bottom w:val="none" w:sz="0" w:space="0" w:color="auto"/>
        <w:right w:val="none" w:sz="0" w:space="0" w:color="auto"/>
      </w:divBdr>
      <w:divsChild>
        <w:div w:id="55906340">
          <w:marLeft w:val="1541"/>
          <w:marRight w:val="0"/>
          <w:marTop w:val="60"/>
          <w:marBottom w:val="0"/>
          <w:divBdr>
            <w:top w:val="none" w:sz="0" w:space="0" w:color="auto"/>
            <w:left w:val="none" w:sz="0" w:space="0" w:color="auto"/>
            <w:bottom w:val="none" w:sz="0" w:space="0" w:color="auto"/>
            <w:right w:val="none" w:sz="0" w:space="0" w:color="auto"/>
          </w:divBdr>
        </w:div>
        <w:div w:id="447361543">
          <w:marLeft w:val="821"/>
          <w:marRight w:val="0"/>
          <w:marTop w:val="60"/>
          <w:marBottom w:val="0"/>
          <w:divBdr>
            <w:top w:val="none" w:sz="0" w:space="0" w:color="auto"/>
            <w:left w:val="none" w:sz="0" w:space="0" w:color="auto"/>
            <w:bottom w:val="none" w:sz="0" w:space="0" w:color="auto"/>
            <w:right w:val="none" w:sz="0" w:space="0" w:color="auto"/>
          </w:divBdr>
        </w:div>
        <w:div w:id="621378584">
          <w:marLeft w:val="1541"/>
          <w:marRight w:val="0"/>
          <w:marTop w:val="60"/>
          <w:marBottom w:val="0"/>
          <w:divBdr>
            <w:top w:val="none" w:sz="0" w:space="0" w:color="auto"/>
            <w:left w:val="none" w:sz="0" w:space="0" w:color="auto"/>
            <w:bottom w:val="none" w:sz="0" w:space="0" w:color="auto"/>
            <w:right w:val="none" w:sz="0" w:space="0" w:color="auto"/>
          </w:divBdr>
        </w:div>
        <w:div w:id="673648802">
          <w:marLeft w:val="1541"/>
          <w:marRight w:val="0"/>
          <w:marTop w:val="60"/>
          <w:marBottom w:val="0"/>
          <w:divBdr>
            <w:top w:val="none" w:sz="0" w:space="0" w:color="auto"/>
            <w:left w:val="none" w:sz="0" w:space="0" w:color="auto"/>
            <w:bottom w:val="none" w:sz="0" w:space="0" w:color="auto"/>
            <w:right w:val="none" w:sz="0" w:space="0" w:color="auto"/>
          </w:divBdr>
        </w:div>
        <w:div w:id="799880177">
          <w:marLeft w:val="821"/>
          <w:marRight w:val="0"/>
          <w:marTop w:val="60"/>
          <w:marBottom w:val="0"/>
          <w:divBdr>
            <w:top w:val="none" w:sz="0" w:space="0" w:color="auto"/>
            <w:left w:val="none" w:sz="0" w:space="0" w:color="auto"/>
            <w:bottom w:val="none" w:sz="0" w:space="0" w:color="auto"/>
            <w:right w:val="none" w:sz="0" w:space="0" w:color="auto"/>
          </w:divBdr>
        </w:div>
        <w:div w:id="904029160">
          <w:marLeft w:val="2261"/>
          <w:marRight w:val="0"/>
          <w:marTop w:val="60"/>
          <w:marBottom w:val="0"/>
          <w:divBdr>
            <w:top w:val="none" w:sz="0" w:space="0" w:color="auto"/>
            <w:left w:val="none" w:sz="0" w:space="0" w:color="auto"/>
            <w:bottom w:val="none" w:sz="0" w:space="0" w:color="auto"/>
            <w:right w:val="none" w:sz="0" w:space="0" w:color="auto"/>
          </w:divBdr>
        </w:div>
        <w:div w:id="1112675478">
          <w:marLeft w:val="821"/>
          <w:marRight w:val="0"/>
          <w:marTop w:val="60"/>
          <w:marBottom w:val="0"/>
          <w:divBdr>
            <w:top w:val="none" w:sz="0" w:space="0" w:color="auto"/>
            <w:left w:val="none" w:sz="0" w:space="0" w:color="auto"/>
            <w:bottom w:val="none" w:sz="0" w:space="0" w:color="auto"/>
            <w:right w:val="none" w:sz="0" w:space="0" w:color="auto"/>
          </w:divBdr>
        </w:div>
        <w:div w:id="1158576307">
          <w:marLeft w:val="2261"/>
          <w:marRight w:val="0"/>
          <w:marTop w:val="60"/>
          <w:marBottom w:val="0"/>
          <w:divBdr>
            <w:top w:val="none" w:sz="0" w:space="0" w:color="auto"/>
            <w:left w:val="none" w:sz="0" w:space="0" w:color="auto"/>
            <w:bottom w:val="none" w:sz="0" w:space="0" w:color="auto"/>
            <w:right w:val="none" w:sz="0" w:space="0" w:color="auto"/>
          </w:divBdr>
        </w:div>
        <w:div w:id="1268007521">
          <w:marLeft w:val="2261"/>
          <w:marRight w:val="0"/>
          <w:marTop w:val="60"/>
          <w:marBottom w:val="0"/>
          <w:divBdr>
            <w:top w:val="none" w:sz="0" w:space="0" w:color="auto"/>
            <w:left w:val="none" w:sz="0" w:space="0" w:color="auto"/>
            <w:bottom w:val="none" w:sz="0" w:space="0" w:color="auto"/>
            <w:right w:val="none" w:sz="0" w:space="0" w:color="auto"/>
          </w:divBdr>
        </w:div>
        <w:div w:id="1348747582">
          <w:marLeft w:val="1541"/>
          <w:marRight w:val="0"/>
          <w:marTop w:val="60"/>
          <w:marBottom w:val="0"/>
          <w:divBdr>
            <w:top w:val="none" w:sz="0" w:space="0" w:color="auto"/>
            <w:left w:val="none" w:sz="0" w:space="0" w:color="auto"/>
            <w:bottom w:val="none" w:sz="0" w:space="0" w:color="auto"/>
            <w:right w:val="none" w:sz="0" w:space="0" w:color="auto"/>
          </w:divBdr>
        </w:div>
        <w:div w:id="1777016677">
          <w:marLeft w:val="821"/>
          <w:marRight w:val="0"/>
          <w:marTop w:val="60"/>
          <w:marBottom w:val="0"/>
          <w:divBdr>
            <w:top w:val="none" w:sz="0" w:space="0" w:color="auto"/>
            <w:left w:val="none" w:sz="0" w:space="0" w:color="auto"/>
            <w:bottom w:val="none" w:sz="0" w:space="0" w:color="auto"/>
            <w:right w:val="none" w:sz="0" w:space="0" w:color="auto"/>
          </w:divBdr>
        </w:div>
        <w:div w:id="2067876555">
          <w:marLeft w:val="821"/>
          <w:marRight w:val="0"/>
          <w:marTop w:val="60"/>
          <w:marBottom w:val="0"/>
          <w:divBdr>
            <w:top w:val="none" w:sz="0" w:space="0" w:color="auto"/>
            <w:left w:val="none" w:sz="0" w:space="0" w:color="auto"/>
            <w:bottom w:val="none" w:sz="0" w:space="0" w:color="auto"/>
            <w:right w:val="none" w:sz="0" w:space="0" w:color="auto"/>
          </w:divBdr>
        </w:div>
      </w:divsChild>
    </w:div>
    <w:div w:id="1337072362">
      <w:bodyDiv w:val="1"/>
      <w:marLeft w:val="0"/>
      <w:marRight w:val="0"/>
      <w:marTop w:val="0"/>
      <w:marBottom w:val="0"/>
      <w:divBdr>
        <w:top w:val="none" w:sz="0" w:space="0" w:color="auto"/>
        <w:left w:val="none" w:sz="0" w:space="0" w:color="auto"/>
        <w:bottom w:val="none" w:sz="0" w:space="0" w:color="auto"/>
        <w:right w:val="none" w:sz="0" w:space="0" w:color="auto"/>
      </w:divBdr>
      <w:divsChild>
        <w:div w:id="1024331849">
          <w:marLeft w:val="720"/>
          <w:marRight w:val="0"/>
          <w:marTop w:val="120"/>
          <w:marBottom w:val="0"/>
          <w:divBdr>
            <w:top w:val="none" w:sz="0" w:space="0" w:color="auto"/>
            <w:left w:val="none" w:sz="0" w:space="0" w:color="auto"/>
            <w:bottom w:val="none" w:sz="0" w:space="0" w:color="auto"/>
            <w:right w:val="none" w:sz="0" w:space="0" w:color="auto"/>
          </w:divBdr>
        </w:div>
      </w:divsChild>
    </w:div>
    <w:div w:id="1338845479">
      <w:bodyDiv w:val="1"/>
      <w:marLeft w:val="0"/>
      <w:marRight w:val="0"/>
      <w:marTop w:val="0"/>
      <w:marBottom w:val="0"/>
      <w:divBdr>
        <w:top w:val="none" w:sz="0" w:space="0" w:color="auto"/>
        <w:left w:val="none" w:sz="0" w:space="0" w:color="auto"/>
        <w:bottom w:val="none" w:sz="0" w:space="0" w:color="auto"/>
        <w:right w:val="none" w:sz="0" w:space="0" w:color="auto"/>
      </w:divBdr>
    </w:div>
    <w:div w:id="1340697780">
      <w:bodyDiv w:val="1"/>
      <w:marLeft w:val="0"/>
      <w:marRight w:val="0"/>
      <w:marTop w:val="0"/>
      <w:marBottom w:val="0"/>
      <w:divBdr>
        <w:top w:val="none" w:sz="0" w:space="0" w:color="auto"/>
        <w:left w:val="none" w:sz="0" w:space="0" w:color="auto"/>
        <w:bottom w:val="none" w:sz="0" w:space="0" w:color="auto"/>
        <w:right w:val="none" w:sz="0" w:space="0" w:color="auto"/>
      </w:divBdr>
      <w:divsChild>
        <w:div w:id="229190918">
          <w:marLeft w:val="288"/>
          <w:marRight w:val="0"/>
          <w:marTop w:val="120"/>
          <w:marBottom w:val="120"/>
          <w:divBdr>
            <w:top w:val="none" w:sz="0" w:space="0" w:color="auto"/>
            <w:left w:val="none" w:sz="0" w:space="0" w:color="auto"/>
            <w:bottom w:val="none" w:sz="0" w:space="0" w:color="auto"/>
            <w:right w:val="none" w:sz="0" w:space="0" w:color="auto"/>
          </w:divBdr>
        </w:div>
        <w:div w:id="260534860">
          <w:marLeft w:val="288"/>
          <w:marRight w:val="0"/>
          <w:marTop w:val="120"/>
          <w:marBottom w:val="120"/>
          <w:divBdr>
            <w:top w:val="none" w:sz="0" w:space="0" w:color="auto"/>
            <w:left w:val="none" w:sz="0" w:space="0" w:color="auto"/>
            <w:bottom w:val="none" w:sz="0" w:space="0" w:color="auto"/>
            <w:right w:val="none" w:sz="0" w:space="0" w:color="auto"/>
          </w:divBdr>
        </w:div>
      </w:divsChild>
    </w:div>
    <w:div w:id="1361708488">
      <w:bodyDiv w:val="1"/>
      <w:marLeft w:val="0"/>
      <w:marRight w:val="0"/>
      <w:marTop w:val="0"/>
      <w:marBottom w:val="0"/>
      <w:divBdr>
        <w:top w:val="none" w:sz="0" w:space="0" w:color="auto"/>
        <w:left w:val="none" w:sz="0" w:space="0" w:color="auto"/>
        <w:bottom w:val="none" w:sz="0" w:space="0" w:color="auto"/>
        <w:right w:val="none" w:sz="0" w:space="0" w:color="auto"/>
      </w:divBdr>
    </w:div>
    <w:div w:id="1364935589">
      <w:bodyDiv w:val="1"/>
      <w:marLeft w:val="0"/>
      <w:marRight w:val="0"/>
      <w:marTop w:val="0"/>
      <w:marBottom w:val="0"/>
      <w:divBdr>
        <w:top w:val="none" w:sz="0" w:space="0" w:color="auto"/>
        <w:left w:val="none" w:sz="0" w:space="0" w:color="auto"/>
        <w:bottom w:val="none" w:sz="0" w:space="0" w:color="auto"/>
        <w:right w:val="none" w:sz="0" w:space="0" w:color="auto"/>
      </w:divBdr>
    </w:div>
    <w:div w:id="1380207448">
      <w:bodyDiv w:val="1"/>
      <w:marLeft w:val="0"/>
      <w:marRight w:val="0"/>
      <w:marTop w:val="0"/>
      <w:marBottom w:val="0"/>
      <w:divBdr>
        <w:top w:val="none" w:sz="0" w:space="0" w:color="auto"/>
        <w:left w:val="none" w:sz="0" w:space="0" w:color="auto"/>
        <w:bottom w:val="none" w:sz="0" w:space="0" w:color="auto"/>
        <w:right w:val="none" w:sz="0" w:space="0" w:color="auto"/>
      </w:divBdr>
      <w:divsChild>
        <w:div w:id="3868877">
          <w:marLeft w:val="720"/>
          <w:marRight w:val="0"/>
          <w:marTop w:val="60"/>
          <w:marBottom w:val="0"/>
          <w:divBdr>
            <w:top w:val="none" w:sz="0" w:space="0" w:color="auto"/>
            <w:left w:val="none" w:sz="0" w:space="0" w:color="auto"/>
            <w:bottom w:val="none" w:sz="0" w:space="0" w:color="auto"/>
            <w:right w:val="none" w:sz="0" w:space="0" w:color="auto"/>
          </w:divBdr>
        </w:div>
        <w:div w:id="184292786">
          <w:marLeft w:val="720"/>
          <w:marRight w:val="0"/>
          <w:marTop w:val="60"/>
          <w:marBottom w:val="0"/>
          <w:divBdr>
            <w:top w:val="none" w:sz="0" w:space="0" w:color="auto"/>
            <w:left w:val="none" w:sz="0" w:space="0" w:color="auto"/>
            <w:bottom w:val="none" w:sz="0" w:space="0" w:color="auto"/>
            <w:right w:val="none" w:sz="0" w:space="0" w:color="auto"/>
          </w:divBdr>
        </w:div>
        <w:div w:id="1137642641">
          <w:marLeft w:val="720"/>
          <w:marRight w:val="0"/>
          <w:marTop w:val="60"/>
          <w:marBottom w:val="0"/>
          <w:divBdr>
            <w:top w:val="none" w:sz="0" w:space="0" w:color="auto"/>
            <w:left w:val="none" w:sz="0" w:space="0" w:color="auto"/>
            <w:bottom w:val="none" w:sz="0" w:space="0" w:color="auto"/>
            <w:right w:val="none" w:sz="0" w:space="0" w:color="auto"/>
          </w:divBdr>
        </w:div>
      </w:divsChild>
    </w:div>
    <w:div w:id="1385179460">
      <w:bodyDiv w:val="1"/>
      <w:marLeft w:val="0"/>
      <w:marRight w:val="0"/>
      <w:marTop w:val="0"/>
      <w:marBottom w:val="0"/>
      <w:divBdr>
        <w:top w:val="none" w:sz="0" w:space="0" w:color="auto"/>
        <w:left w:val="none" w:sz="0" w:space="0" w:color="auto"/>
        <w:bottom w:val="none" w:sz="0" w:space="0" w:color="auto"/>
        <w:right w:val="none" w:sz="0" w:space="0" w:color="auto"/>
      </w:divBdr>
    </w:div>
    <w:div w:id="1432748876">
      <w:bodyDiv w:val="1"/>
      <w:marLeft w:val="0"/>
      <w:marRight w:val="0"/>
      <w:marTop w:val="0"/>
      <w:marBottom w:val="0"/>
      <w:divBdr>
        <w:top w:val="none" w:sz="0" w:space="0" w:color="auto"/>
        <w:left w:val="none" w:sz="0" w:space="0" w:color="auto"/>
        <w:bottom w:val="none" w:sz="0" w:space="0" w:color="auto"/>
        <w:right w:val="none" w:sz="0" w:space="0" w:color="auto"/>
      </w:divBdr>
    </w:div>
    <w:div w:id="1433891034">
      <w:bodyDiv w:val="1"/>
      <w:marLeft w:val="0"/>
      <w:marRight w:val="0"/>
      <w:marTop w:val="0"/>
      <w:marBottom w:val="0"/>
      <w:divBdr>
        <w:top w:val="none" w:sz="0" w:space="0" w:color="auto"/>
        <w:left w:val="none" w:sz="0" w:space="0" w:color="auto"/>
        <w:bottom w:val="none" w:sz="0" w:space="0" w:color="auto"/>
        <w:right w:val="none" w:sz="0" w:space="0" w:color="auto"/>
      </w:divBdr>
    </w:div>
    <w:div w:id="1441493500">
      <w:bodyDiv w:val="1"/>
      <w:marLeft w:val="0"/>
      <w:marRight w:val="0"/>
      <w:marTop w:val="0"/>
      <w:marBottom w:val="0"/>
      <w:divBdr>
        <w:top w:val="none" w:sz="0" w:space="0" w:color="auto"/>
        <w:left w:val="none" w:sz="0" w:space="0" w:color="auto"/>
        <w:bottom w:val="none" w:sz="0" w:space="0" w:color="auto"/>
        <w:right w:val="none" w:sz="0" w:space="0" w:color="auto"/>
      </w:divBdr>
    </w:div>
    <w:div w:id="1450778656">
      <w:bodyDiv w:val="1"/>
      <w:marLeft w:val="0"/>
      <w:marRight w:val="0"/>
      <w:marTop w:val="0"/>
      <w:marBottom w:val="0"/>
      <w:divBdr>
        <w:top w:val="none" w:sz="0" w:space="0" w:color="auto"/>
        <w:left w:val="none" w:sz="0" w:space="0" w:color="auto"/>
        <w:bottom w:val="none" w:sz="0" w:space="0" w:color="auto"/>
        <w:right w:val="none" w:sz="0" w:space="0" w:color="auto"/>
      </w:divBdr>
    </w:div>
    <w:div w:id="1467358305">
      <w:bodyDiv w:val="1"/>
      <w:marLeft w:val="0"/>
      <w:marRight w:val="0"/>
      <w:marTop w:val="0"/>
      <w:marBottom w:val="0"/>
      <w:divBdr>
        <w:top w:val="none" w:sz="0" w:space="0" w:color="auto"/>
        <w:left w:val="none" w:sz="0" w:space="0" w:color="auto"/>
        <w:bottom w:val="none" w:sz="0" w:space="0" w:color="auto"/>
        <w:right w:val="none" w:sz="0" w:space="0" w:color="auto"/>
      </w:divBdr>
    </w:div>
    <w:div w:id="1494763539">
      <w:bodyDiv w:val="1"/>
      <w:marLeft w:val="0"/>
      <w:marRight w:val="0"/>
      <w:marTop w:val="0"/>
      <w:marBottom w:val="0"/>
      <w:divBdr>
        <w:top w:val="none" w:sz="0" w:space="0" w:color="auto"/>
        <w:left w:val="none" w:sz="0" w:space="0" w:color="auto"/>
        <w:bottom w:val="none" w:sz="0" w:space="0" w:color="auto"/>
        <w:right w:val="none" w:sz="0" w:space="0" w:color="auto"/>
      </w:divBdr>
      <w:divsChild>
        <w:div w:id="97335415">
          <w:marLeft w:val="0"/>
          <w:marRight w:val="0"/>
          <w:marTop w:val="0"/>
          <w:marBottom w:val="0"/>
          <w:divBdr>
            <w:top w:val="none" w:sz="0" w:space="0" w:color="auto"/>
            <w:left w:val="none" w:sz="0" w:space="0" w:color="auto"/>
            <w:bottom w:val="none" w:sz="0" w:space="0" w:color="auto"/>
            <w:right w:val="none" w:sz="0" w:space="0" w:color="auto"/>
          </w:divBdr>
          <w:divsChild>
            <w:div w:id="1124618249">
              <w:marLeft w:val="0"/>
              <w:marRight w:val="0"/>
              <w:marTop w:val="0"/>
              <w:marBottom w:val="0"/>
              <w:divBdr>
                <w:top w:val="none" w:sz="0" w:space="0" w:color="auto"/>
                <w:left w:val="none" w:sz="0" w:space="0" w:color="auto"/>
                <w:bottom w:val="none" w:sz="0" w:space="0" w:color="auto"/>
                <w:right w:val="none" w:sz="0" w:space="0" w:color="auto"/>
              </w:divBdr>
              <w:divsChild>
                <w:div w:id="1765950751">
                  <w:marLeft w:val="0"/>
                  <w:marRight w:val="0"/>
                  <w:marTop w:val="0"/>
                  <w:marBottom w:val="0"/>
                  <w:divBdr>
                    <w:top w:val="none" w:sz="0" w:space="0" w:color="auto"/>
                    <w:left w:val="none" w:sz="0" w:space="0" w:color="auto"/>
                    <w:bottom w:val="none" w:sz="0" w:space="0" w:color="auto"/>
                    <w:right w:val="none" w:sz="0" w:space="0" w:color="auto"/>
                  </w:divBdr>
                  <w:divsChild>
                    <w:div w:id="1098135125">
                      <w:marLeft w:val="0"/>
                      <w:marRight w:val="0"/>
                      <w:marTop w:val="0"/>
                      <w:marBottom w:val="0"/>
                      <w:divBdr>
                        <w:top w:val="none" w:sz="0" w:space="0" w:color="auto"/>
                        <w:left w:val="none" w:sz="0" w:space="0" w:color="auto"/>
                        <w:bottom w:val="none" w:sz="0" w:space="0" w:color="auto"/>
                        <w:right w:val="none" w:sz="0" w:space="0" w:color="auto"/>
                      </w:divBdr>
                      <w:divsChild>
                        <w:div w:id="1735736826">
                          <w:marLeft w:val="0"/>
                          <w:marRight w:val="0"/>
                          <w:marTop w:val="0"/>
                          <w:marBottom w:val="0"/>
                          <w:divBdr>
                            <w:top w:val="none" w:sz="0" w:space="0" w:color="auto"/>
                            <w:left w:val="none" w:sz="0" w:space="0" w:color="auto"/>
                            <w:bottom w:val="none" w:sz="0" w:space="0" w:color="auto"/>
                            <w:right w:val="none" w:sz="0" w:space="0" w:color="auto"/>
                          </w:divBdr>
                          <w:divsChild>
                            <w:div w:id="1128207738">
                              <w:marLeft w:val="0"/>
                              <w:marRight w:val="0"/>
                              <w:marTop w:val="0"/>
                              <w:marBottom w:val="0"/>
                              <w:divBdr>
                                <w:top w:val="none" w:sz="0" w:space="0" w:color="auto"/>
                                <w:left w:val="none" w:sz="0" w:space="0" w:color="auto"/>
                                <w:bottom w:val="none" w:sz="0" w:space="0" w:color="auto"/>
                                <w:right w:val="none" w:sz="0" w:space="0" w:color="auto"/>
                              </w:divBdr>
                              <w:divsChild>
                                <w:div w:id="1036739796">
                                  <w:marLeft w:val="0"/>
                                  <w:marRight w:val="0"/>
                                  <w:marTop w:val="0"/>
                                  <w:marBottom w:val="0"/>
                                  <w:divBdr>
                                    <w:top w:val="none" w:sz="0" w:space="0" w:color="auto"/>
                                    <w:left w:val="none" w:sz="0" w:space="0" w:color="auto"/>
                                    <w:bottom w:val="none" w:sz="0" w:space="0" w:color="auto"/>
                                    <w:right w:val="none" w:sz="0" w:space="0" w:color="auto"/>
                                  </w:divBdr>
                                  <w:divsChild>
                                    <w:div w:id="11999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009241">
      <w:bodyDiv w:val="1"/>
      <w:marLeft w:val="0"/>
      <w:marRight w:val="0"/>
      <w:marTop w:val="0"/>
      <w:marBottom w:val="0"/>
      <w:divBdr>
        <w:top w:val="none" w:sz="0" w:space="0" w:color="auto"/>
        <w:left w:val="none" w:sz="0" w:space="0" w:color="auto"/>
        <w:bottom w:val="none" w:sz="0" w:space="0" w:color="auto"/>
        <w:right w:val="none" w:sz="0" w:space="0" w:color="auto"/>
      </w:divBdr>
      <w:divsChild>
        <w:div w:id="843668028">
          <w:marLeft w:val="0"/>
          <w:marRight w:val="0"/>
          <w:marTop w:val="0"/>
          <w:marBottom w:val="0"/>
          <w:divBdr>
            <w:top w:val="none" w:sz="0" w:space="0" w:color="auto"/>
            <w:left w:val="none" w:sz="0" w:space="0" w:color="auto"/>
            <w:bottom w:val="none" w:sz="0" w:space="0" w:color="auto"/>
            <w:right w:val="none" w:sz="0" w:space="0" w:color="auto"/>
          </w:divBdr>
        </w:div>
      </w:divsChild>
    </w:div>
    <w:div w:id="1526016162">
      <w:bodyDiv w:val="1"/>
      <w:marLeft w:val="0"/>
      <w:marRight w:val="0"/>
      <w:marTop w:val="0"/>
      <w:marBottom w:val="0"/>
      <w:divBdr>
        <w:top w:val="none" w:sz="0" w:space="0" w:color="auto"/>
        <w:left w:val="none" w:sz="0" w:space="0" w:color="auto"/>
        <w:bottom w:val="none" w:sz="0" w:space="0" w:color="auto"/>
        <w:right w:val="none" w:sz="0" w:space="0" w:color="auto"/>
      </w:divBdr>
    </w:div>
    <w:div w:id="1527062895">
      <w:bodyDiv w:val="1"/>
      <w:marLeft w:val="0"/>
      <w:marRight w:val="0"/>
      <w:marTop w:val="0"/>
      <w:marBottom w:val="0"/>
      <w:divBdr>
        <w:top w:val="none" w:sz="0" w:space="0" w:color="auto"/>
        <w:left w:val="none" w:sz="0" w:space="0" w:color="auto"/>
        <w:bottom w:val="none" w:sz="0" w:space="0" w:color="auto"/>
        <w:right w:val="none" w:sz="0" w:space="0" w:color="auto"/>
      </w:divBdr>
    </w:div>
    <w:div w:id="1529299565">
      <w:bodyDiv w:val="1"/>
      <w:marLeft w:val="0"/>
      <w:marRight w:val="0"/>
      <w:marTop w:val="0"/>
      <w:marBottom w:val="0"/>
      <w:divBdr>
        <w:top w:val="none" w:sz="0" w:space="0" w:color="auto"/>
        <w:left w:val="none" w:sz="0" w:space="0" w:color="auto"/>
        <w:bottom w:val="none" w:sz="0" w:space="0" w:color="auto"/>
        <w:right w:val="none" w:sz="0" w:space="0" w:color="auto"/>
      </w:divBdr>
      <w:divsChild>
        <w:div w:id="2106222642">
          <w:marLeft w:val="0"/>
          <w:marRight w:val="0"/>
          <w:marTop w:val="0"/>
          <w:marBottom w:val="0"/>
          <w:divBdr>
            <w:top w:val="none" w:sz="0" w:space="0" w:color="auto"/>
            <w:left w:val="none" w:sz="0" w:space="0" w:color="auto"/>
            <w:bottom w:val="none" w:sz="0" w:space="0" w:color="auto"/>
            <w:right w:val="none" w:sz="0" w:space="0" w:color="auto"/>
          </w:divBdr>
          <w:divsChild>
            <w:div w:id="103157831">
              <w:marLeft w:val="0"/>
              <w:marRight w:val="0"/>
              <w:marTop w:val="0"/>
              <w:marBottom w:val="0"/>
              <w:divBdr>
                <w:top w:val="none" w:sz="0" w:space="0" w:color="auto"/>
                <w:left w:val="none" w:sz="0" w:space="0" w:color="auto"/>
                <w:bottom w:val="none" w:sz="0" w:space="0" w:color="auto"/>
                <w:right w:val="none" w:sz="0" w:space="0" w:color="auto"/>
              </w:divBdr>
              <w:divsChild>
                <w:div w:id="358891738">
                  <w:marLeft w:val="0"/>
                  <w:marRight w:val="0"/>
                  <w:marTop w:val="0"/>
                  <w:marBottom w:val="0"/>
                  <w:divBdr>
                    <w:top w:val="none" w:sz="0" w:space="0" w:color="auto"/>
                    <w:left w:val="none" w:sz="0" w:space="0" w:color="auto"/>
                    <w:bottom w:val="none" w:sz="0" w:space="0" w:color="auto"/>
                    <w:right w:val="none" w:sz="0" w:space="0" w:color="auto"/>
                  </w:divBdr>
                  <w:divsChild>
                    <w:div w:id="37822950">
                      <w:marLeft w:val="0"/>
                      <w:marRight w:val="0"/>
                      <w:marTop w:val="45"/>
                      <w:marBottom w:val="0"/>
                      <w:divBdr>
                        <w:top w:val="none" w:sz="0" w:space="0" w:color="auto"/>
                        <w:left w:val="none" w:sz="0" w:space="0" w:color="auto"/>
                        <w:bottom w:val="none" w:sz="0" w:space="0" w:color="auto"/>
                        <w:right w:val="none" w:sz="0" w:space="0" w:color="auto"/>
                      </w:divBdr>
                      <w:divsChild>
                        <w:div w:id="1721975983">
                          <w:marLeft w:val="0"/>
                          <w:marRight w:val="0"/>
                          <w:marTop w:val="0"/>
                          <w:marBottom w:val="0"/>
                          <w:divBdr>
                            <w:top w:val="none" w:sz="0" w:space="0" w:color="auto"/>
                            <w:left w:val="none" w:sz="0" w:space="0" w:color="auto"/>
                            <w:bottom w:val="none" w:sz="0" w:space="0" w:color="auto"/>
                            <w:right w:val="none" w:sz="0" w:space="0" w:color="auto"/>
                          </w:divBdr>
                          <w:divsChild>
                            <w:div w:id="1397586328">
                              <w:marLeft w:val="2070"/>
                              <w:marRight w:val="3960"/>
                              <w:marTop w:val="0"/>
                              <w:marBottom w:val="0"/>
                              <w:divBdr>
                                <w:top w:val="none" w:sz="0" w:space="0" w:color="auto"/>
                                <w:left w:val="none" w:sz="0" w:space="0" w:color="auto"/>
                                <w:bottom w:val="none" w:sz="0" w:space="0" w:color="auto"/>
                                <w:right w:val="none" w:sz="0" w:space="0" w:color="auto"/>
                              </w:divBdr>
                              <w:divsChild>
                                <w:div w:id="364674172">
                                  <w:marLeft w:val="0"/>
                                  <w:marRight w:val="0"/>
                                  <w:marTop w:val="0"/>
                                  <w:marBottom w:val="0"/>
                                  <w:divBdr>
                                    <w:top w:val="none" w:sz="0" w:space="0" w:color="auto"/>
                                    <w:left w:val="none" w:sz="0" w:space="0" w:color="auto"/>
                                    <w:bottom w:val="none" w:sz="0" w:space="0" w:color="auto"/>
                                    <w:right w:val="none" w:sz="0" w:space="0" w:color="auto"/>
                                  </w:divBdr>
                                  <w:divsChild>
                                    <w:div w:id="606931075">
                                      <w:marLeft w:val="0"/>
                                      <w:marRight w:val="0"/>
                                      <w:marTop w:val="0"/>
                                      <w:marBottom w:val="0"/>
                                      <w:divBdr>
                                        <w:top w:val="none" w:sz="0" w:space="0" w:color="auto"/>
                                        <w:left w:val="none" w:sz="0" w:space="0" w:color="auto"/>
                                        <w:bottom w:val="none" w:sz="0" w:space="0" w:color="auto"/>
                                        <w:right w:val="none" w:sz="0" w:space="0" w:color="auto"/>
                                      </w:divBdr>
                                      <w:divsChild>
                                        <w:div w:id="2087729157">
                                          <w:marLeft w:val="0"/>
                                          <w:marRight w:val="0"/>
                                          <w:marTop w:val="0"/>
                                          <w:marBottom w:val="0"/>
                                          <w:divBdr>
                                            <w:top w:val="none" w:sz="0" w:space="0" w:color="auto"/>
                                            <w:left w:val="none" w:sz="0" w:space="0" w:color="auto"/>
                                            <w:bottom w:val="none" w:sz="0" w:space="0" w:color="auto"/>
                                            <w:right w:val="none" w:sz="0" w:space="0" w:color="auto"/>
                                          </w:divBdr>
                                          <w:divsChild>
                                            <w:div w:id="1595236522">
                                              <w:marLeft w:val="0"/>
                                              <w:marRight w:val="0"/>
                                              <w:marTop w:val="90"/>
                                              <w:marBottom w:val="0"/>
                                              <w:divBdr>
                                                <w:top w:val="none" w:sz="0" w:space="0" w:color="auto"/>
                                                <w:left w:val="none" w:sz="0" w:space="0" w:color="auto"/>
                                                <w:bottom w:val="none" w:sz="0" w:space="0" w:color="auto"/>
                                                <w:right w:val="none" w:sz="0" w:space="0" w:color="auto"/>
                                              </w:divBdr>
                                              <w:divsChild>
                                                <w:div w:id="1302543984">
                                                  <w:marLeft w:val="0"/>
                                                  <w:marRight w:val="0"/>
                                                  <w:marTop w:val="0"/>
                                                  <w:marBottom w:val="0"/>
                                                  <w:divBdr>
                                                    <w:top w:val="none" w:sz="0" w:space="0" w:color="auto"/>
                                                    <w:left w:val="none" w:sz="0" w:space="0" w:color="auto"/>
                                                    <w:bottom w:val="none" w:sz="0" w:space="0" w:color="auto"/>
                                                    <w:right w:val="none" w:sz="0" w:space="0" w:color="auto"/>
                                                  </w:divBdr>
                                                  <w:divsChild>
                                                    <w:div w:id="414396888">
                                                      <w:marLeft w:val="0"/>
                                                      <w:marRight w:val="0"/>
                                                      <w:marTop w:val="0"/>
                                                      <w:marBottom w:val="0"/>
                                                      <w:divBdr>
                                                        <w:top w:val="none" w:sz="0" w:space="0" w:color="auto"/>
                                                        <w:left w:val="none" w:sz="0" w:space="0" w:color="auto"/>
                                                        <w:bottom w:val="none" w:sz="0" w:space="0" w:color="auto"/>
                                                        <w:right w:val="none" w:sz="0" w:space="0" w:color="auto"/>
                                                      </w:divBdr>
                                                      <w:divsChild>
                                                        <w:div w:id="44766600">
                                                          <w:marLeft w:val="0"/>
                                                          <w:marRight w:val="0"/>
                                                          <w:marTop w:val="0"/>
                                                          <w:marBottom w:val="0"/>
                                                          <w:divBdr>
                                                            <w:top w:val="none" w:sz="0" w:space="0" w:color="auto"/>
                                                            <w:left w:val="none" w:sz="0" w:space="0" w:color="auto"/>
                                                            <w:bottom w:val="none" w:sz="0" w:space="0" w:color="auto"/>
                                                            <w:right w:val="none" w:sz="0" w:space="0" w:color="auto"/>
                                                          </w:divBdr>
                                                          <w:divsChild>
                                                            <w:div w:id="164512673">
                                                              <w:marLeft w:val="0"/>
                                                              <w:marRight w:val="0"/>
                                                              <w:marTop w:val="0"/>
                                                              <w:marBottom w:val="390"/>
                                                              <w:divBdr>
                                                                <w:top w:val="none" w:sz="0" w:space="0" w:color="auto"/>
                                                                <w:left w:val="none" w:sz="0" w:space="0" w:color="auto"/>
                                                                <w:bottom w:val="none" w:sz="0" w:space="0" w:color="auto"/>
                                                                <w:right w:val="none" w:sz="0" w:space="0" w:color="auto"/>
                                                              </w:divBdr>
                                                              <w:divsChild>
                                                                <w:div w:id="1005742785">
                                                                  <w:marLeft w:val="0"/>
                                                                  <w:marRight w:val="0"/>
                                                                  <w:marTop w:val="0"/>
                                                                  <w:marBottom w:val="0"/>
                                                                  <w:divBdr>
                                                                    <w:top w:val="none" w:sz="0" w:space="0" w:color="auto"/>
                                                                    <w:left w:val="none" w:sz="0" w:space="0" w:color="auto"/>
                                                                    <w:bottom w:val="none" w:sz="0" w:space="0" w:color="auto"/>
                                                                    <w:right w:val="none" w:sz="0" w:space="0" w:color="auto"/>
                                                                  </w:divBdr>
                                                                  <w:divsChild>
                                                                    <w:div w:id="2107070041">
                                                                      <w:marLeft w:val="0"/>
                                                                      <w:marRight w:val="0"/>
                                                                      <w:marTop w:val="0"/>
                                                                      <w:marBottom w:val="0"/>
                                                                      <w:divBdr>
                                                                        <w:top w:val="none" w:sz="0" w:space="0" w:color="auto"/>
                                                                        <w:left w:val="none" w:sz="0" w:space="0" w:color="auto"/>
                                                                        <w:bottom w:val="none" w:sz="0" w:space="0" w:color="auto"/>
                                                                        <w:right w:val="none" w:sz="0" w:space="0" w:color="auto"/>
                                                                      </w:divBdr>
                                                                      <w:divsChild>
                                                                        <w:div w:id="1651330380">
                                                                          <w:marLeft w:val="0"/>
                                                                          <w:marRight w:val="0"/>
                                                                          <w:marTop w:val="0"/>
                                                                          <w:marBottom w:val="0"/>
                                                                          <w:divBdr>
                                                                            <w:top w:val="none" w:sz="0" w:space="0" w:color="auto"/>
                                                                            <w:left w:val="none" w:sz="0" w:space="0" w:color="auto"/>
                                                                            <w:bottom w:val="none" w:sz="0" w:space="0" w:color="auto"/>
                                                                            <w:right w:val="none" w:sz="0" w:space="0" w:color="auto"/>
                                                                          </w:divBdr>
                                                                          <w:divsChild>
                                                                            <w:div w:id="696732273">
                                                                              <w:marLeft w:val="0"/>
                                                                              <w:marRight w:val="0"/>
                                                                              <w:marTop w:val="0"/>
                                                                              <w:marBottom w:val="0"/>
                                                                              <w:divBdr>
                                                                                <w:top w:val="none" w:sz="0" w:space="0" w:color="auto"/>
                                                                                <w:left w:val="none" w:sz="0" w:space="0" w:color="auto"/>
                                                                                <w:bottom w:val="none" w:sz="0" w:space="0" w:color="auto"/>
                                                                                <w:right w:val="none" w:sz="0" w:space="0" w:color="auto"/>
                                                                              </w:divBdr>
                                                                              <w:divsChild>
                                                                                <w:div w:id="435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959828">
      <w:bodyDiv w:val="1"/>
      <w:marLeft w:val="0"/>
      <w:marRight w:val="0"/>
      <w:marTop w:val="0"/>
      <w:marBottom w:val="0"/>
      <w:divBdr>
        <w:top w:val="none" w:sz="0" w:space="0" w:color="auto"/>
        <w:left w:val="none" w:sz="0" w:space="0" w:color="auto"/>
        <w:bottom w:val="none" w:sz="0" w:space="0" w:color="auto"/>
        <w:right w:val="none" w:sz="0" w:space="0" w:color="auto"/>
      </w:divBdr>
      <w:divsChild>
        <w:div w:id="1595741745">
          <w:marLeft w:val="0"/>
          <w:marRight w:val="0"/>
          <w:marTop w:val="0"/>
          <w:marBottom w:val="0"/>
          <w:divBdr>
            <w:top w:val="none" w:sz="0" w:space="0" w:color="auto"/>
            <w:left w:val="none" w:sz="0" w:space="0" w:color="auto"/>
            <w:bottom w:val="none" w:sz="0" w:space="0" w:color="auto"/>
            <w:right w:val="none" w:sz="0" w:space="0" w:color="auto"/>
          </w:divBdr>
          <w:divsChild>
            <w:div w:id="1286544245">
              <w:marLeft w:val="-200"/>
              <w:marRight w:val="0"/>
              <w:marTop w:val="0"/>
              <w:marBottom w:val="0"/>
              <w:divBdr>
                <w:top w:val="none" w:sz="0" w:space="0" w:color="auto"/>
                <w:left w:val="none" w:sz="0" w:space="0" w:color="auto"/>
                <w:bottom w:val="none" w:sz="0" w:space="0" w:color="auto"/>
                <w:right w:val="none" w:sz="0" w:space="0" w:color="auto"/>
              </w:divBdr>
              <w:divsChild>
                <w:div w:id="678386793">
                  <w:marLeft w:val="0"/>
                  <w:marRight w:val="0"/>
                  <w:marTop w:val="0"/>
                  <w:marBottom w:val="0"/>
                  <w:divBdr>
                    <w:top w:val="none" w:sz="0" w:space="0" w:color="auto"/>
                    <w:left w:val="none" w:sz="0" w:space="0" w:color="auto"/>
                    <w:bottom w:val="none" w:sz="0" w:space="0" w:color="auto"/>
                    <w:right w:val="none" w:sz="0" w:space="0" w:color="auto"/>
                  </w:divBdr>
                  <w:divsChild>
                    <w:div w:id="1566649241">
                      <w:marLeft w:val="0"/>
                      <w:marRight w:val="0"/>
                      <w:marTop w:val="0"/>
                      <w:marBottom w:val="240"/>
                      <w:divBdr>
                        <w:top w:val="none" w:sz="0" w:space="0" w:color="auto"/>
                        <w:left w:val="none" w:sz="0" w:space="0" w:color="auto"/>
                        <w:bottom w:val="none" w:sz="0" w:space="0" w:color="auto"/>
                        <w:right w:val="none" w:sz="0" w:space="0" w:color="auto"/>
                      </w:divBdr>
                      <w:divsChild>
                        <w:div w:id="1342320702">
                          <w:marLeft w:val="0"/>
                          <w:marRight w:val="0"/>
                          <w:marTop w:val="0"/>
                          <w:marBottom w:val="0"/>
                          <w:divBdr>
                            <w:top w:val="none" w:sz="0" w:space="0" w:color="auto"/>
                            <w:left w:val="none" w:sz="0" w:space="0" w:color="auto"/>
                            <w:bottom w:val="none" w:sz="0" w:space="0" w:color="auto"/>
                            <w:right w:val="none" w:sz="0" w:space="0" w:color="auto"/>
                          </w:divBdr>
                          <w:divsChild>
                            <w:div w:id="19118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01057">
      <w:bodyDiv w:val="1"/>
      <w:marLeft w:val="0"/>
      <w:marRight w:val="0"/>
      <w:marTop w:val="0"/>
      <w:marBottom w:val="0"/>
      <w:divBdr>
        <w:top w:val="none" w:sz="0" w:space="0" w:color="auto"/>
        <w:left w:val="none" w:sz="0" w:space="0" w:color="auto"/>
        <w:bottom w:val="none" w:sz="0" w:space="0" w:color="auto"/>
        <w:right w:val="none" w:sz="0" w:space="0" w:color="auto"/>
      </w:divBdr>
    </w:div>
    <w:div w:id="1581326506">
      <w:bodyDiv w:val="1"/>
      <w:marLeft w:val="0"/>
      <w:marRight w:val="0"/>
      <w:marTop w:val="0"/>
      <w:marBottom w:val="0"/>
      <w:divBdr>
        <w:top w:val="none" w:sz="0" w:space="0" w:color="auto"/>
        <w:left w:val="none" w:sz="0" w:space="0" w:color="auto"/>
        <w:bottom w:val="none" w:sz="0" w:space="0" w:color="auto"/>
        <w:right w:val="none" w:sz="0" w:space="0" w:color="auto"/>
      </w:divBdr>
      <w:divsChild>
        <w:div w:id="857741954">
          <w:marLeft w:val="288"/>
          <w:marRight w:val="0"/>
          <w:marTop w:val="120"/>
          <w:marBottom w:val="120"/>
          <w:divBdr>
            <w:top w:val="none" w:sz="0" w:space="0" w:color="auto"/>
            <w:left w:val="none" w:sz="0" w:space="0" w:color="auto"/>
            <w:bottom w:val="none" w:sz="0" w:space="0" w:color="auto"/>
            <w:right w:val="none" w:sz="0" w:space="0" w:color="auto"/>
          </w:divBdr>
        </w:div>
        <w:div w:id="1372070246">
          <w:marLeft w:val="288"/>
          <w:marRight w:val="0"/>
          <w:marTop w:val="120"/>
          <w:marBottom w:val="120"/>
          <w:divBdr>
            <w:top w:val="none" w:sz="0" w:space="0" w:color="auto"/>
            <w:left w:val="none" w:sz="0" w:space="0" w:color="auto"/>
            <w:bottom w:val="none" w:sz="0" w:space="0" w:color="auto"/>
            <w:right w:val="none" w:sz="0" w:space="0" w:color="auto"/>
          </w:divBdr>
        </w:div>
        <w:div w:id="1427264692">
          <w:marLeft w:val="288"/>
          <w:marRight w:val="0"/>
          <w:marTop w:val="120"/>
          <w:marBottom w:val="120"/>
          <w:divBdr>
            <w:top w:val="none" w:sz="0" w:space="0" w:color="auto"/>
            <w:left w:val="none" w:sz="0" w:space="0" w:color="auto"/>
            <w:bottom w:val="none" w:sz="0" w:space="0" w:color="auto"/>
            <w:right w:val="none" w:sz="0" w:space="0" w:color="auto"/>
          </w:divBdr>
        </w:div>
      </w:divsChild>
    </w:div>
    <w:div w:id="1609389728">
      <w:bodyDiv w:val="1"/>
      <w:marLeft w:val="0"/>
      <w:marRight w:val="0"/>
      <w:marTop w:val="0"/>
      <w:marBottom w:val="0"/>
      <w:divBdr>
        <w:top w:val="none" w:sz="0" w:space="0" w:color="auto"/>
        <w:left w:val="none" w:sz="0" w:space="0" w:color="auto"/>
        <w:bottom w:val="none" w:sz="0" w:space="0" w:color="auto"/>
        <w:right w:val="none" w:sz="0" w:space="0" w:color="auto"/>
      </w:divBdr>
    </w:div>
    <w:div w:id="1609967563">
      <w:bodyDiv w:val="1"/>
      <w:marLeft w:val="0"/>
      <w:marRight w:val="0"/>
      <w:marTop w:val="0"/>
      <w:marBottom w:val="0"/>
      <w:divBdr>
        <w:top w:val="none" w:sz="0" w:space="0" w:color="auto"/>
        <w:left w:val="none" w:sz="0" w:space="0" w:color="auto"/>
        <w:bottom w:val="none" w:sz="0" w:space="0" w:color="auto"/>
        <w:right w:val="none" w:sz="0" w:space="0" w:color="auto"/>
      </w:divBdr>
      <w:divsChild>
        <w:div w:id="56516677">
          <w:marLeft w:val="0"/>
          <w:marRight w:val="0"/>
          <w:marTop w:val="0"/>
          <w:marBottom w:val="0"/>
          <w:divBdr>
            <w:top w:val="none" w:sz="0" w:space="0" w:color="auto"/>
            <w:left w:val="none" w:sz="0" w:space="0" w:color="auto"/>
            <w:bottom w:val="none" w:sz="0" w:space="0" w:color="auto"/>
            <w:right w:val="none" w:sz="0" w:space="0" w:color="auto"/>
          </w:divBdr>
          <w:divsChild>
            <w:div w:id="609698757">
              <w:marLeft w:val="0"/>
              <w:marRight w:val="0"/>
              <w:marTop w:val="0"/>
              <w:marBottom w:val="0"/>
              <w:divBdr>
                <w:top w:val="none" w:sz="0" w:space="0" w:color="auto"/>
                <w:left w:val="none" w:sz="0" w:space="0" w:color="auto"/>
                <w:bottom w:val="none" w:sz="0" w:space="0" w:color="auto"/>
                <w:right w:val="none" w:sz="0" w:space="0" w:color="auto"/>
              </w:divBdr>
              <w:divsChild>
                <w:div w:id="1481311740">
                  <w:marLeft w:val="0"/>
                  <w:marRight w:val="0"/>
                  <w:marTop w:val="0"/>
                  <w:marBottom w:val="0"/>
                  <w:divBdr>
                    <w:top w:val="none" w:sz="0" w:space="0" w:color="auto"/>
                    <w:left w:val="none" w:sz="0" w:space="0" w:color="auto"/>
                    <w:bottom w:val="none" w:sz="0" w:space="0" w:color="auto"/>
                    <w:right w:val="none" w:sz="0" w:space="0" w:color="auto"/>
                  </w:divBdr>
                  <w:divsChild>
                    <w:div w:id="105317839">
                      <w:marLeft w:val="0"/>
                      <w:marRight w:val="0"/>
                      <w:marTop w:val="0"/>
                      <w:marBottom w:val="0"/>
                      <w:divBdr>
                        <w:top w:val="none" w:sz="0" w:space="0" w:color="auto"/>
                        <w:left w:val="none" w:sz="0" w:space="0" w:color="auto"/>
                        <w:bottom w:val="none" w:sz="0" w:space="0" w:color="auto"/>
                        <w:right w:val="none" w:sz="0" w:space="0" w:color="auto"/>
                      </w:divBdr>
                      <w:divsChild>
                        <w:div w:id="303657518">
                          <w:marLeft w:val="0"/>
                          <w:marRight w:val="0"/>
                          <w:marTop w:val="0"/>
                          <w:marBottom w:val="0"/>
                          <w:divBdr>
                            <w:top w:val="none" w:sz="0" w:space="0" w:color="auto"/>
                            <w:left w:val="none" w:sz="0" w:space="0" w:color="auto"/>
                            <w:bottom w:val="none" w:sz="0" w:space="0" w:color="auto"/>
                            <w:right w:val="none" w:sz="0" w:space="0" w:color="auto"/>
                          </w:divBdr>
                          <w:divsChild>
                            <w:div w:id="83579883">
                              <w:marLeft w:val="0"/>
                              <w:marRight w:val="0"/>
                              <w:marTop w:val="0"/>
                              <w:marBottom w:val="0"/>
                              <w:divBdr>
                                <w:top w:val="none" w:sz="0" w:space="0" w:color="auto"/>
                                <w:left w:val="none" w:sz="0" w:space="0" w:color="auto"/>
                                <w:bottom w:val="none" w:sz="0" w:space="0" w:color="auto"/>
                                <w:right w:val="none" w:sz="0" w:space="0" w:color="auto"/>
                              </w:divBdr>
                              <w:divsChild>
                                <w:div w:id="566383845">
                                  <w:marLeft w:val="0"/>
                                  <w:marRight w:val="0"/>
                                  <w:marTop w:val="0"/>
                                  <w:marBottom w:val="0"/>
                                  <w:divBdr>
                                    <w:top w:val="none" w:sz="0" w:space="0" w:color="auto"/>
                                    <w:left w:val="none" w:sz="0" w:space="0" w:color="auto"/>
                                    <w:bottom w:val="none" w:sz="0" w:space="0" w:color="auto"/>
                                    <w:right w:val="none" w:sz="0" w:space="0" w:color="auto"/>
                                  </w:divBdr>
                                  <w:divsChild>
                                    <w:div w:id="1040713612">
                                      <w:marLeft w:val="0"/>
                                      <w:marRight w:val="0"/>
                                      <w:marTop w:val="0"/>
                                      <w:marBottom w:val="0"/>
                                      <w:divBdr>
                                        <w:top w:val="none" w:sz="0" w:space="0" w:color="auto"/>
                                        <w:left w:val="none" w:sz="0" w:space="0" w:color="auto"/>
                                        <w:bottom w:val="none" w:sz="0" w:space="0" w:color="auto"/>
                                        <w:right w:val="none" w:sz="0" w:space="0" w:color="auto"/>
                                      </w:divBdr>
                                      <w:divsChild>
                                        <w:div w:id="356001619">
                                          <w:marLeft w:val="0"/>
                                          <w:marRight w:val="0"/>
                                          <w:marTop w:val="0"/>
                                          <w:marBottom w:val="0"/>
                                          <w:divBdr>
                                            <w:top w:val="none" w:sz="0" w:space="0" w:color="auto"/>
                                            <w:left w:val="none" w:sz="0" w:space="0" w:color="auto"/>
                                            <w:bottom w:val="none" w:sz="0" w:space="0" w:color="auto"/>
                                            <w:right w:val="none" w:sz="0" w:space="0" w:color="auto"/>
                                          </w:divBdr>
                                          <w:divsChild>
                                            <w:div w:id="1532114001">
                                              <w:marLeft w:val="0"/>
                                              <w:marRight w:val="0"/>
                                              <w:marTop w:val="0"/>
                                              <w:marBottom w:val="0"/>
                                              <w:divBdr>
                                                <w:top w:val="none" w:sz="0" w:space="0" w:color="auto"/>
                                                <w:left w:val="none" w:sz="0" w:space="0" w:color="auto"/>
                                                <w:bottom w:val="none" w:sz="0" w:space="0" w:color="auto"/>
                                                <w:right w:val="none" w:sz="0" w:space="0" w:color="auto"/>
                                              </w:divBdr>
                                              <w:divsChild>
                                                <w:div w:id="641085512">
                                                  <w:marLeft w:val="0"/>
                                                  <w:marRight w:val="0"/>
                                                  <w:marTop w:val="0"/>
                                                  <w:marBottom w:val="0"/>
                                                  <w:divBdr>
                                                    <w:top w:val="none" w:sz="0" w:space="0" w:color="auto"/>
                                                    <w:left w:val="none" w:sz="0" w:space="0" w:color="auto"/>
                                                    <w:bottom w:val="none" w:sz="0" w:space="0" w:color="auto"/>
                                                    <w:right w:val="none" w:sz="0" w:space="0" w:color="auto"/>
                                                  </w:divBdr>
                                                  <w:divsChild>
                                                    <w:div w:id="115178455">
                                                      <w:marLeft w:val="0"/>
                                                      <w:marRight w:val="0"/>
                                                      <w:marTop w:val="0"/>
                                                      <w:marBottom w:val="0"/>
                                                      <w:divBdr>
                                                        <w:top w:val="none" w:sz="0" w:space="0" w:color="auto"/>
                                                        <w:left w:val="none" w:sz="0" w:space="0" w:color="auto"/>
                                                        <w:bottom w:val="none" w:sz="0" w:space="0" w:color="auto"/>
                                                        <w:right w:val="none" w:sz="0" w:space="0" w:color="auto"/>
                                                      </w:divBdr>
                                                      <w:divsChild>
                                                        <w:div w:id="970862889">
                                                          <w:marLeft w:val="0"/>
                                                          <w:marRight w:val="0"/>
                                                          <w:marTop w:val="0"/>
                                                          <w:marBottom w:val="0"/>
                                                          <w:divBdr>
                                                            <w:top w:val="none" w:sz="0" w:space="0" w:color="auto"/>
                                                            <w:left w:val="none" w:sz="0" w:space="0" w:color="auto"/>
                                                            <w:bottom w:val="none" w:sz="0" w:space="0" w:color="auto"/>
                                                            <w:right w:val="none" w:sz="0" w:space="0" w:color="auto"/>
                                                          </w:divBdr>
                                                          <w:divsChild>
                                                            <w:div w:id="5718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4823912">
      <w:bodyDiv w:val="1"/>
      <w:marLeft w:val="0"/>
      <w:marRight w:val="0"/>
      <w:marTop w:val="0"/>
      <w:marBottom w:val="0"/>
      <w:divBdr>
        <w:top w:val="none" w:sz="0" w:space="0" w:color="auto"/>
        <w:left w:val="none" w:sz="0" w:space="0" w:color="auto"/>
        <w:bottom w:val="none" w:sz="0" w:space="0" w:color="auto"/>
        <w:right w:val="none" w:sz="0" w:space="0" w:color="auto"/>
      </w:divBdr>
    </w:div>
    <w:div w:id="1658532849">
      <w:bodyDiv w:val="1"/>
      <w:marLeft w:val="0"/>
      <w:marRight w:val="0"/>
      <w:marTop w:val="0"/>
      <w:marBottom w:val="0"/>
      <w:divBdr>
        <w:top w:val="none" w:sz="0" w:space="0" w:color="auto"/>
        <w:left w:val="none" w:sz="0" w:space="0" w:color="auto"/>
        <w:bottom w:val="none" w:sz="0" w:space="0" w:color="auto"/>
        <w:right w:val="none" w:sz="0" w:space="0" w:color="auto"/>
      </w:divBdr>
    </w:div>
    <w:div w:id="1663893920">
      <w:bodyDiv w:val="1"/>
      <w:marLeft w:val="0"/>
      <w:marRight w:val="0"/>
      <w:marTop w:val="0"/>
      <w:marBottom w:val="0"/>
      <w:divBdr>
        <w:top w:val="none" w:sz="0" w:space="0" w:color="auto"/>
        <w:left w:val="none" w:sz="0" w:space="0" w:color="auto"/>
        <w:bottom w:val="none" w:sz="0" w:space="0" w:color="auto"/>
        <w:right w:val="none" w:sz="0" w:space="0" w:color="auto"/>
      </w:divBdr>
      <w:divsChild>
        <w:div w:id="1354261987">
          <w:marLeft w:val="0"/>
          <w:marRight w:val="0"/>
          <w:marTop w:val="0"/>
          <w:marBottom w:val="0"/>
          <w:divBdr>
            <w:top w:val="none" w:sz="0" w:space="0" w:color="auto"/>
            <w:left w:val="none" w:sz="0" w:space="0" w:color="auto"/>
            <w:bottom w:val="none" w:sz="0" w:space="0" w:color="auto"/>
            <w:right w:val="none" w:sz="0" w:space="0" w:color="auto"/>
          </w:divBdr>
          <w:divsChild>
            <w:div w:id="1548492377">
              <w:marLeft w:val="-200"/>
              <w:marRight w:val="0"/>
              <w:marTop w:val="0"/>
              <w:marBottom w:val="0"/>
              <w:divBdr>
                <w:top w:val="none" w:sz="0" w:space="0" w:color="auto"/>
                <w:left w:val="none" w:sz="0" w:space="0" w:color="auto"/>
                <w:bottom w:val="none" w:sz="0" w:space="0" w:color="auto"/>
                <w:right w:val="none" w:sz="0" w:space="0" w:color="auto"/>
              </w:divBdr>
              <w:divsChild>
                <w:div w:id="1059548303">
                  <w:marLeft w:val="0"/>
                  <w:marRight w:val="0"/>
                  <w:marTop w:val="0"/>
                  <w:marBottom w:val="0"/>
                  <w:divBdr>
                    <w:top w:val="none" w:sz="0" w:space="0" w:color="auto"/>
                    <w:left w:val="none" w:sz="0" w:space="0" w:color="auto"/>
                    <w:bottom w:val="none" w:sz="0" w:space="0" w:color="auto"/>
                    <w:right w:val="none" w:sz="0" w:space="0" w:color="auto"/>
                  </w:divBdr>
                  <w:divsChild>
                    <w:div w:id="251744407">
                      <w:marLeft w:val="0"/>
                      <w:marRight w:val="0"/>
                      <w:marTop w:val="0"/>
                      <w:marBottom w:val="240"/>
                      <w:divBdr>
                        <w:top w:val="none" w:sz="0" w:space="0" w:color="auto"/>
                        <w:left w:val="none" w:sz="0" w:space="0" w:color="auto"/>
                        <w:bottom w:val="none" w:sz="0" w:space="0" w:color="auto"/>
                        <w:right w:val="none" w:sz="0" w:space="0" w:color="auto"/>
                      </w:divBdr>
                      <w:divsChild>
                        <w:div w:id="1308122486">
                          <w:marLeft w:val="0"/>
                          <w:marRight w:val="0"/>
                          <w:marTop w:val="0"/>
                          <w:marBottom w:val="0"/>
                          <w:divBdr>
                            <w:top w:val="none" w:sz="0" w:space="0" w:color="auto"/>
                            <w:left w:val="none" w:sz="0" w:space="0" w:color="auto"/>
                            <w:bottom w:val="none" w:sz="0" w:space="0" w:color="auto"/>
                            <w:right w:val="none" w:sz="0" w:space="0" w:color="auto"/>
                          </w:divBdr>
                          <w:divsChild>
                            <w:div w:id="7997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69803">
      <w:bodyDiv w:val="1"/>
      <w:marLeft w:val="0"/>
      <w:marRight w:val="0"/>
      <w:marTop w:val="0"/>
      <w:marBottom w:val="0"/>
      <w:divBdr>
        <w:top w:val="none" w:sz="0" w:space="0" w:color="auto"/>
        <w:left w:val="none" w:sz="0" w:space="0" w:color="auto"/>
        <w:bottom w:val="none" w:sz="0" w:space="0" w:color="auto"/>
        <w:right w:val="none" w:sz="0" w:space="0" w:color="auto"/>
      </w:divBdr>
      <w:divsChild>
        <w:div w:id="2034914579">
          <w:marLeft w:val="0"/>
          <w:marRight w:val="0"/>
          <w:marTop w:val="0"/>
          <w:marBottom w:val="0"/>
          <w:divBdr>
            <w:top w:val="none" w:sz="0" w:space="0" w:color="auto"/>
            <w:left w:val="none" w:sz="0" w:space="0" w:color="auto"/>
            <w:bottom w:val="none" w:sz="0" w:space="0" w:color="auto"/>
            <w:right w:val="none" w:sz="0" w:space="0" w:color="auto"/>
          </w:divBdr>
          <w:divsChild>
            <w:div w:id="2132018486">
              <w:marLeft w:val="0"/>
              <w:marRight w:val="0"/>
              <w:marTop w:val="0"/>
              <w:marBottom w:val="0"/>
              <w:divBdr>
                <w:top w:val="none" w:sz="0" w:space="0" w:color="auto"/>
                <w:left w:val="none" w:sz="0" w:space="0" w:color="auto"/>
                <w:bottom w:val="none" w:sz="0" w:space="0" w:color="auto"/>
                <w:right w:val="none" w:sz="0" w:space="0" w:color="auto"/>
              </w:divBdr>
            </w:div>
            <w:div w:id="2099714336">
              <w:marLeft w:val="0"/>
              <w:marRight w:val="0"/>
              <w:marTop w:val="0"/>
              <w:marBottom w:val="0"/>
              <w:divBdr>
                <w:top w:val="none" w:sz="0" w:space="0" w:color="auto"/>
                <w:left w:val="none" w:sz="0" w:space="0" w:color="auto"/>
                <w:bottom w:val="none" w:sz="0" w:space="0" w:color="auto"/>
                <w:right w:val="none" w:sz="0" w:space="0" w:color="auto"/>
              </w:divBdr>
            </w:div>
            <w:div w:id="16455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3395">
      <w:bodyDiv w:val="1"/>
      <w:marLeft w:val="0"/>
      <w:marRight w:val="0"/>
      <w:marTop w:val="0"/>
      <w:marBottom w:val="0"/>
      <w:divBdr>
        <w:top w:val="none" w:sz="0" w:space="0" w:color="auto"/>
        <w:left w:val="none" w:sz="0" w:space="0" w:color="auto"/>
        <w:bottom w:val="none" w:sz="0" w:space="0" w:color="auto"/>
        <w:right w:val="none" w:sz="0" w:space="0" w:color="auto"/>
      </w:divBdr>
    </w:div>
    <w:div w:id="1743285338">
      <w:bodyDiv w:val="1"/>
      <w:marLeft w:val="0"/>
      <w:marRight w:val="0"/>
      <w:marTop w:val="0"/>
      <w:marBottom w:val="0"/>
      <w:divBdr>
        <w:top w:val="none" w:sz="0" w:space="0" w:color="auto"/>
        <w:left w:val="none" w:sz="0" w:space="0" w:color="auto"/>
        <w:bottom w:val="none" w:sz="0" w:space="0" w:color="auto"/>
        <w:right w:val="none" w:sz="0" w:space="0" w:color="auto"/>
      </w:divBdr>
    </w:div>
    <w:div w:id="1746687183">
      <w:bodyDiv w:val="1"/>
      <w:marLeft w:val="0"/>
      <w:marRight w:val="0"/>
      <w:marTop w:val="0"/>
      <w:marBottom w:val="0"/>
      <w:divBdr>
        <w:top w:val="none" w:sz="0" w:space="0" w:color="auto"/>
        <w:left w:val="none" w:sz="0" w:space="0" w:color="auto"/>
        <w:bottom w:val="none" w:sz="0" w:space="0" w:color="auto"/>
        <w:right w:val="none" w:sz="0" w:space="0" w:color="auto"/>
      </w:divBdr>
    </w:div>
    <w:div w:id="1767339459">
      <w:bodyDiv w:val="1"/>
      <w:marLeft w:val="0"/>
      <w:marRight w:val="0"/>
      <w:marTop w:val="0"/>
      <w:marBottom w:val="0"/>
      <w:divBdr>
        <w:top w:val="none" w:sz="0" w:space="0" w:color="auto"/>
        <w:left w:val="none" w:sz="0" w:space="0" w:color="auto"/>
        <w:bottom w:val="none" w:sz="0" w:space="0" w:color="auto"/>
        <w:right w:val="none" w:sz="0" w:space="0" w:color="auto"/>
      </w:divBdr>
    </w:div>
    <w:div w:id="1777942151">
      <w:bodyDiv w:val="1"/>
      <w:marLeft w:val="0"/>
      <w:marRight w:val="0"/>
      <w:marTop w:val="0"/>
      <w:marBottom w:val="0"/>
      <w:divBdr>
        <w:top w:val="none" w:sz="0" w:space="0" w:color="auto"/>
        <w:left w:val="none" w:sz="0" w:space="0" w:color="auto"/>
        <w:bottom w:val="none" w:sz="0" w:space="0" w:color="auto"/>
        <w:right w:val="none" w:sz="0" w:space="0" w:color="auto"/>
      </w:divBdr>
      <w:divsChild>
        <w:div w:id="1661933">
          <w:marLeft w:val="720"/>
          <w:marRight w:val="0"/>
          <w:marTop w:val="120"/>
          <w:marBottom w:val="0"/>
          <w:divBdr>
            <w:top w:val="none" w:sz="0" w:space="0" w:color="auto"/>
            <w:left w:val="none" w:sz="0" w:space="0" w:color="auto"/>
            <w:bottom w:val="none" w:sz="0" w:space="0" w:color="auto"/>
            <w:right w:val="none" w:sz="0" w:space="0" w:color="auto"/>
          </w:divBdr>
        </w:div>
        <w:div w:id="43524306">
          <w:marLeft w:val="2160"/>
          <w:marRight w:val="0"/>
          <w:marTop w:val="60"/>
          <w:marBottom w:val="0"/>
          <w:divBdr>
            <w:top w:val="none" w:sz="0" w:space="0" w:color="auto"/>
            <w:left w:val="none" w:sz="0" w:space="0" w:color="auto"/>
            <w:bottom w:val="none" w:sz="0" w:space="0" w:color="auto"/>
            <w:right w:val="none" w:sz="0" w:space="0" w:color="auto"/>
          </w:divBdr>
        </w:div>
        <w:div w:id="127286879">
          <w:marLeft w:val="2880"/>
          <w:marRight w:val="0"/>
          <w:marTop w:val="60"/>
          <w:marBottom w:val="0"/>
          <w:divBdr>
            <w:top w:val="none" w:sz="0" w:space="0" w:color="auto"/>
            <w:left w:val="none" w:sz="0" w:space="0" w:color="auto"/>
            <w:bottom w:val="none" w:sz="0" w:space="0" w:color="auto"/>
            <w:right w:val="none" w:sz="0" w:space="0" w:color="auto"/>
          </w:divBdr>
        </w:div>
        <w:div w:id="140924078">
          <w:marLeft w:val="2160"/>
          <w:marRight w:val="0"/>
          <w:marTop w:val="60"/>
          <w:marBottom w:val="0"/>
          <w:divBdr>
            <w:top w:val="none" w:sz="0" w:space="0" w:color="auto"/>
            <w:left w:val="none" w:sz="0" w:space="0" w:color="auto"/>
            <w:bottom w:val="none" w:sz="0" w:space="0" w:color="auto"/>
            <w:right w:val="none" w:sz="0" w:space="0" w:color="auto"/>
          </w:divBdr>
        </w:div>
        <w:div w:id="244803961">
          <w:marLeft w:val="720"/>
          <w:marRight w:val="0"/>
          <w:marTop w:val="120"/>
          <w:marBottom w:val="0"/>
          <w:divBdr>
            <w:top w:val="none" w:sz="0" w:space="0" w:color="auto"/>
            <w:left w:val="none" w:sz="0" w:space="0" w:color="auto"/>
            <w:bottom w:val="none" w:sz="0" w:space="0" w:color="auto"/>
            <w:right w:val="none" w:sz="0" w:space="0" w:color="auto"/>
          </w:divBdr>
        </w:div>
        <w:div w:id="301540583">
          <w:marLeft w:val="2880"/>
          <w:marRight w:val="0"/>
          <w:marTop w:val="60"/>
          <w:marBottom w:val="0"/>
          <w:divBdr>
            <w:top w:val="none" w:sz="0" w:space="0" w:color="auto"/>
            <w:left w:val="none" w:sz="0" w:space="0" w:color="auto"/>
            <w:bottom w:val="none" w:sz="0" w:space="0" w:color="auto"/>
            <w:right w:val="none" w:sz="0" w:space="0" w:color="auto"/>
          </w:divBdr>
        </w:div>
        <w:div w:id="363478671">
          <w:marLeft w:val="720"/>
          <w:marRight w:val="0"/>
          <w:marTop w:val="120"/>
          <w:marBottom w:val="0"/>
          <w:divBdr>
            <w:top w:val="none" w:sz="0" w:space="0" w:color="auto"/>
            <w:left w:val="none" w:sz="0" w:space="0" w:color="auto"/>
            <w:bottom w:val="none" w:sz="0" w:space="0" w:color="auto"/>
            <w:right w:val="none" w:sz="0" w:space="0" w:color="auto"/>
          </w:divBdr>
        </w:div>
        <w:div w:id="704410467">
          <w:marLeft w:val="2880"/>
          <w:marRight w:val="0"/>
          <w:marTop w:val="60"/>
          <w:marBottom w:val="0"/>
          <w:divBdr>
            <w:top w:val="none" w:sz="0" w:space="0" w:color="auto"/>
            <w:left w:val="none" w:sz="0" w:space="0" w:color="auto"/>
            <w:bottom w:val="none" w:sz="0" w:space="0" w:color="auto"/>
            <w:right w:val="none" w:sz="0" w:space="0" w:color="auto"/>
          </w:divBdr>
        </w:div>
        <w:div w:id="726879298">
          <w:marLeft w:val="720"/>
          <w:marRight w:val="0"/>
          <w:marTop w:val="120"/>
          <w:marBottom w:val="0"/>
          <w:divBdr>
            <w:top w:val="none" w:sz="0" w:space="0" w:color="auto"/>
            <w:left w:val="none" w:sz="0" w:space="0" w:color="auto"/>
            <w:bottom w:val="none" w:sz="0" w:space="0" w:color="auto"/>
            <w:right w:val="none" w:sz="0" w:space="0" w:color="auto"/>
          </w:divBdr>
        </w:div>
        <w:div w:id="1059397095">
          <w:marLeft w:val="2880"/>
          <w:marRight w:val="0"/>
          <w:marTop w:val="60"/>
          <w:marBottom w:val="0"/>
          <w:divBdr>
            <w:top w:val="none" w:sz="0" w:space="0" w:color="auto"/>
            <w:left w:val="none" w:sz="0" w:space="0" w:color="auto"/>
            <w:bottom w:val="none" w:sz="0" w:space="0" w:color="auto"/>
            <w:right w:val="none" w:sz="0" w:space="0" w:color="auto"/>
          </w:divBdr>
        </w:div>
        <w:div w:id="1488084968">
          <w:marLeft w:val="2880"/>
          <w:marRight w:val="0"/>
          <w:marTop w:val="60"/>
          <w:marBottom w:val="0"/>
          <w:divBdr>
            <w:top w:val="none" w:sz="0" w:space="0" w:color="auto"/>
            <w:left w:val="none" w:sz="0" w:space="0" w:color="auto"/>
            <w:bottom w:val="none" w:sz="0" w:space="0" w:color="auto"/>
            <w:right w:val="none" w:sz="0" w:space="0" w:color="auto"/>
          </w:divBdr>
        </w:div>
        <w:div w:id="1503541918">
          <w:marLeft w:val="1440"/>
          <w:marRight w:val="0"/>
          <w:marTop w:val="60"/>
          <w:marBottom w:val="0"/>
          <w:divBdr>
            <w:top w:val="none" w:sz="0" w:space="0" w:color="auto"/>
            <w:left w:val="none" w:sz="0" w:space="0" w:color="auto"/>
            <w:bottom w:val="none" w:sz="0" w:space="0" w:color="auto"/>
            <w:right w:val="none" w:sz="0" w:space="0" w:color="auto"/>
          </w:divBdr>
        </w:div>
        <w:div w:id="1590583268">
          <w:marLeft w:val="3240"/>
          <w:marRight w:val="0"/>
          <w:marTop w:val="60"/>
          <w:marBottom w:val="0"/>
          <w:divBdr>
            <w:top w:val="none" w:sz="0" w:space="0" w:color="auto"/>
            <w:left w:val="none" w:sz="0" w:space="0" w:color="auto"/>
            <w:bottom w:val="none" w:sz="0" w:space="0" w:color="auto"/>
            <w:right w:val="none" w:sz="0" w:space="0" w:color="auto"/>
          </w:divBdr>
        </w:div>
        <w:div w:id="1772047597">
          <w:marLeft w:val="720"/>
          <w:marRight w:val="0"/>
          <w:marTop w:val="120"/>
          <w:marBottom w:val="0"/>
          <w:divBdr>
            <w:top w:val="none" w:sz="0" w:space="0" w:color="auto"/>
            <w:left w:val="none" w:sz="0" w:space="0" w:color="auto"/>
            <w:bottom w:val="none" w:sz="0" w:space="0" w:color="auto"/>
            <w:right w:val="none" w:sz="0" w:space="0" w:color="auto"/>
          </w:divBdr>
        </w:div>
        <w:div w:id="1971789026">
          <w:marLeft w:val="1440"/>
          <w:marRight w:val="0"/>
          <w:marTop w:val="60"/>
          <w:marBottom w:val="0"/>
          <w:divBdr>
            <w:top w:val="none" w:sz="0" w:space="0" w:color="auto"/>
            <w:left w:val="none" w:sz="0" w:space="0" w:color="auto"/>
            <w:bottom w:val="none" w:sz="0" w:space="0" w:color="auto"/>
            <w:right w:val="none" w:sz="0" w:space="0" w:color="auto"/>
          </w:divBdr>
        </w:div>
        <w:div w:id="2002730882">
          <w:marLeft w:val="2880"/>
          <w:marRight w:val="0"/>
          <w:marTop w:val="60"/>
          <w:marBottom w:val="0"/>
          <w:divBdr>
            <w:top w:val="none" w:sz="0" w:space="0" w:color="auto"/>
            <w:left w:val="none" w:sz="0" w:space="0" w:color="auto"/>
            <w:bottom w:val="none" w:sz="0" w:space="0" w:color="auto"/>
            <w:right w:val="none" w:sz="0" w:space="0" w:color="auto"/>
          </w:divBdr>
        </w:div>
      </w:divsChild>
    </w:div>
    <w:div w:id="1803572692">
      <w:bodyDiv w:val="1"/>
      <w:marLeft w:val="0"/>
      <w:marRight w:val="0"/>
      <w:marTop w:val="0"/>
      <w:marBottom w:val="0"/>
      <w:divBdr>
        <w:top w:val="none" w:sz="0" w:space="0" w:color="auto"/>
        <w:left w:val="none" w:sz="0" w:space="0" w:color="auto"/>
        <w:bottom w:val="none" w:sz="0" w:space="0" w:color="auto"/>
        <w:right w:val="none" w:sz="0" w:space="0" w:color="auto"/>
      </w:divBdr>
    </w:div>
    <w:div w:id="1825966830">
      <w:bodyDiv w:val="1"/>
      <w:marLeft w:val="0"/>
      <w:marRight w:val="0"/>
      <w:marTop w:val="0"/>
      <w:marBottom w:val="0"/>
      <w:divBdr>
        <w:top w:val="none" w:sz="0" w:space="0" w:color="auto"/>
        <w:left w:val="none" w:sz="0" w:space="0" w:color="auto"/>
        <w:bottom w:val="none" w:sz="0" w:space="0" w:color="auto"/>
        <w:right w:val="none" w:sz="0" w:space="0" w:color="auto"/>
      </w:divBdr>
      <w:divsChild>
        <w:div w:id="152062227">
          <w:marLeft w:val="562"/>
          <w:marRight w:val="0"/>
          <w:marTop w:val="60"/>
          <w:marBottom w:val="0"/>
          <w:divBdr>
            <w:top w:val="none" w:sz="0" w:space="0" w:color="auto"/>
            <w:left w:val="none" w:sz="0" w:space="0" w:color="auto"/>
            <w:bottom w:val="none" w:sz="0" w:space="0" w:color="auto"/>
            <w:right w:val="none" w:sz="0" w:space="0" w:color="auto"/>
          </w:divBdr>
        </w:div>
        <w:div w:id="166989949">
          <w:marLeft w:val="317"/>
          <w:marRight w:val="0"/>
          <w:marTop w:val="60"/>
          <w:marBottom w:val="0"/>
          <w:divBdr>
            <w:top w:val="none" w:sz="0" w:space="0" w:color="auto"/>
            <w:left w:val="none" w:sz="0" w:space="0" w:color="auto"/>
            <w:bottom w:val="none" w:sz="0" w:space="0" w:color="auto"/>
            <w:right w:val="none" w:sz="0" w:space="0" w:color="auto"/>
          </w:divBdr>
        </w:div>
        <w:div w:id="273099186">
          <w:marLeft w:val="533"/>
          <w:marRight w:val="0"/>
          <w:marTop w:val="60"/>
          <w:marBottom w:val="0"/>
          <w:divBdr>
            <w:top w:val="none" w:sz="0" w:space="0" w:color="auto"/>
            <w:left w:val="none" w:sz="0" w:space="0" w:color="auto"/>
            <w:bottom w:val="none" w:sz="0" w:space="0" w:color="auto"/>
            <w:right w:val="none" w:sz="0" w:space="0" w:color="auto"/>
          </w:divBdr>
        </w:div>
        <w:div w:id="321082661">
          <w:marLeft w:val="533"/>
          <w:marRight w:val="0"/>
          <w:marTop w:val="60"/>
          <w:marBottom w:val="0"/>
          <w:divBdr>
            <w:top w:val="none" w:sz="0" w:space="0" w:color="auto"/>
            <w:left w:val="none" w:sz="0" w:space="0" w:color="auto"/>
            <w:bottom w:val="none" w:sz="0" w:space="0" w:color="auto"/>
            <w:right w:val="none" w:sz="0" w:space="0" w:color="auto"/>
          </w:divBdr>
        </w:div>
        <w:div w:id="921531211">
          <w:marLeft w:val="1166"/>
          <w:marRight w:val="0"/>
          <w:marTop w:val="60"/>
          <w:marBottom w:val="0"/>
          <w:divBdr>
            <w:top w:val="none" w:sz="0" w:space="0" w:color="auto"/>
            <w:left w:val="none" w:sz="0" w:space="0" w:color="auto"/>
            <w:bottom w:val="none" w:sz="0" w:space="0" w:color="auto"/>
            <w:right w:val="none" w:sz="0" w:space="0" w:color="auto"/>
          </w:divBdr>
        </w:div>
        <w:div w:id="1012806451">
          <w:marLeft w:val="533"/>
          <w:marRight w:val="0"/>
          <w:marTop w:val="60"/>
          <w:marBottom w:val="0"/>
          <w:divBdr>
            <w:top w:val="none" w:sz="0" w:space="0" w:color="auto"/>
            <w:left w:val="none" w:sz="0" w:space="0" w:color="auto"/>
            <w:bottom w:val="none" w:sz="0" w:space="0" w:color="auto"/>
            <w:right w:val="none" w:sz="0" w:space="0" w:color="auto"/>
          </w:divBdr>
        </w:div>
        <w:div w:id="1039934176">
          <w:marLeft w:val="1166"/>
          <w:marRight w:val="0"/>
          <w:marTop w:val="60"/>
          <w:marBottom w:val="0"/>
          <w:divBdr>
            <w:top w:val="none" w:sz="0" w:space="0" w:color="auto"/>
            <w:left w:val="none" w:sz="0" w:space="0" w:color="auto"/>
            <w:bottom w:val="none" w:sz="0" w:space="0" w:color="auto"/>
            <w:right w:val="none" w:sz="0" w:space="0" w:color="auto"/>
          </w:divBdr>
        </w:div>
        <w:div w:id="1241983032">
          <w:marLeft w:val="533"/>
          <w:marRight w:val="0"/>
          <w:marTop w:val="60"/>
          <w:marBottom w:val="0"/>
          <w:divBdr>
            <w:top w:val="none" w:sz="0" w:space="0" w:color="auto"/>
            <w:left w:val="none" w:sz="0" w:space="0" w:color="auto"/>
            <w:bottom w:val="none" w:sz="0" w:space="0" w:color="auto"/>
            <w:right w:val="none" w:sz="0" w:space="0" w:color="auto"/>
          </w:divBdr>
        </w:div>
      </w:divsChild>
    </w:div>
    <w:div w:id="1871794771">
      <w:bodyDiv w:val="1"/>
      <w:marLeft w:val="0"/>
      <w:marRight w:val="0"/>
      <w:marTop w:val="0"/>
      <w:marBottom w:val="0"/>
      <w:divBdr>
        <w:top w:val="none" w:sz="0" w:space="0" w:color="auto"/>
        <w:left w:val="none" w:sz="0" w:space="0" w:color="auto"/>
        <w:bottom w:val="none" w:sz="0" w:space="0" w:color="auto"/>
        <w:right w:val="none" w:sz="0" w:space="0" w:color="auto"/>
      </w:divBdr>
    </w:div>
    <w:div w:id="1895198729">
      <w:bodyDiv w:val="1"/>
      <w:marLeft w:val="0"/>
      <w:marRight w:val="0"/>
      <w:marTop w:val="0"/>
      <w:marBottom w:val="0"/>
      <w:divBdr>
        <w:top w:val="none" w:sz="0" w:space="0" w:color="auto"/>
        <w:left w:val="none" w:sz="0" w:space="0" w:color="auto"/>
        <w:bottom w:val="none" w:sz="0" w:space="0" w:color="auto"/>
        <w:right w:val="none" w:sz="0" w:space="0" w:color="auto"/>
      </w:divBdr>
    </w:div>
    <w:div w:id="1898084198">
      <w:bodyDiv w:val="1"/>
      <w:marLeft w:val="0"/>
      <w:marRight w:val="0"/>
      <w:marTop w:val="0"/>
      <w:marBottom w:val="0"/>
      <w:divBdr>
        <w:top w:val="none" w:sz="0" w:space="0" w:color="auto"/>
        <w:left w:val="none" w:sz="0" w:space="0" w:color="auto"/>
        <w:bottom w:val="none" w:sz="0" w:space="0" w:color="auto"/>
        <w:right w:val="none" w:sz="0" w:space="0" w:color="auto"/>
      </w:divBdr>
    </w:div>
    <w:div w:id="1918594933">
      <w:bodyDiv w:val="1"/>
      <w:marLeft w:val="0"/>
      <w:marRight w:val="0"/>
      <w:marTop w:val="0"/>
      <w:marBottom w:val="0"/>
      <w:divBdr>
        <w:top w:val="none" w:sz="0" w:space="0" w:color="auto"/>
        <w:left w:val="none" w:sz="0" w:space="0" w:color="auto"/>
        <w:bottom w:val="none" w:sz="0" w:space="0" w:color="auto"/>
        <w:right w:val="none" w:sz="0" w:space="0" w:color="auto"/>
      </w:divBdr>
    </w:div>
    <w:div w:id="1922832953">
      <w:bodyDiv w:val="1"/>
      <w:marLeft w:val="0"/>
      <w:marRight w:val="0"/>
      <w:marTop w:val="0"/>
      <w:marBottom w:val="0"/>
      <w:divBdr>
        <w:top w:val="none" w:sz="0" w:space="0" w:color="auto"/>
        <w:left w:val="none" w:sz="0" w:space="0" w:color="auto"/>
        <w:bottom w:val="none" w:sz="0" w:space="0" w:color="auto"/>
        <w:right w:val="none" w:sz="0" w:space="0" w:color="auto"/>
      </w:divBdr>
    </w:div>
    <w:div w:id="1925530439">
      <w:bodyDiv w:val="1"/>
      <w:marLeft w:val="0"/>
      <w:marRight w:val="0"/>
      <w:marTop w:val="0"/>
      <w:marBottom w:val="0"/>
      <w:divBdr>
        <w:top w:val="none" w:sz="0" w:space="0" w:color="auto"/>
        <w:left w:val="none" w:sz="0" w:space="0" w:color="auto"/>
        <w:bottom w:val="none" w:sz="0" w:space="0" w:color="auto"/>
        <w:right w:val="none" w:sz="0" w:space="0" w:color="auto"/>
      </w:divBdr>
    </w:div>
    <w:div w:id="1953782285">
      <w:bodyDiv w:val="1"/>
      <w:marLeft w:val="0"/>
      <w:marRight w:val="0"/>
      <w:marTop w:val="0"/>
      <w:marBottom w:val="0"/>
      <w:divBdr>
        <w:top w:val="none" w:sz="0" w:space="0" w:color="auto"/>
        <w:left w:val="none" w:sz="0" w:space="0" w:color="auto"/>
        <w:bottom w:val="none" w:sz="0" w:space="0" w:color="auto"/>
        <w:right w:val="none" w:sz="0" w:space="0" w:color="auto"/>
      </w:divBdr>
    </w:div>
    <w:div w:id="1976449301">
      <w:bodyDiv w:val="1"/>
      <w:marLeft w:val="0"/>
      <w:marRight w:val="0"/>
      <w:marTop w:val="0"/>
      <w:marBottom w:val="0"/>
      <w:divBdr>
        <w:top w:val="none" w:sz="0" w:space="0" w:color="auto"/>
        <w:left w:val="none" w:sz="0" w:space="0" w:color="auto"/>
        <w:bottom w:val="none" w:sz="0" w:space="0" w:color="auto"/>
        <w:right w:val="none" w:sz="0" w:space="0" w:color="auto"/>
      </w:divBdr>
    </w:div>
    <w:div w:id="1986469494">
      <w:bodyDiv w:val="1"/>
      <w:marLeft w:val="0"/>
      <w:marRight w:val="0"/>
      <w:marTop w:val="0"/>
      <w:marBottom w:val="0"/>
      <w:divBdr>
        <w:top w:val="none" w:sz="0" w:space="0" w:color="auto"/>
        <w:left w:val="none" w:sz="0" w:space="0" w:color="auto"/>
        <w:bottom w:val="none" w:sz="0" w:space="0" w:color="auto"/>
        <w:right w:val="none" w:sz="0" w:space="0" w:color="auto"/>
      </w:divBdr>
    </w:div>
    <w:div w:id="2000159558">
      <w:bodyDiv w:val="1"/>
      <w:marLeft w:val="0"/>
      <w:marRight w:val="0"/>
      <w:marTop w:val="0"/>
      <w:marBottom w:val="0"/>
      <w:divBdr>
        <w:top w:val="none" w:sz="0" w:space="0" w:color="auto"/>
        <w:left w:val="none" w:sz="0" w:space="0" w:color="auto"/>
        <w:bottom w:val="none" w:sz="0" w:space="0" w:color="auto"/>
        <w:right w:val="none" w:sz="0" w:space="0" w:color="auto"/>
      </w:divBdr>
    </w:div>
    <w:div w:id="2015839599">
      <w:bodyDiv w:val="1"/>
      <w:marLeft w:val="0"/>
      <w:marRight w:val="0"/>
      <w:marTop w:val="0"/>
      <w:marBottom w:val="0"/>
      <w:divBdr>
        <w:top w:val="none" w:sz="0" w:space="0" w:color="auto"/>
        <w:left w:val="none" w:sz="0" w:space="0" w:color="auto"/>
        <w:bottom w:val="none" w:sz="0" w:space="0" w:color="auto"/>
        <w:right w:val="none" w:sz="0" w:space="0" w:color="auto"/>
      </w:divBdr>
    </w:div>
    <w:div w:id="2016422544">
      <w:bodyDiv w:val="1"/>
      <w:marLeft w:val="0"/>
      <w:marRight w:val="0"/>
      <w:marTop w:val="0"/>
      <w:marBottom w:val="0"/>
      <w:divBdr>
        <w:top w:val="none" w:sz="0" w:space="0" w:color="auto"/>
        <w:left w:val="none" w:sz="0" w:space="0" w:color="auto"/>
        <w:bottom w:val="none" w:sz="0" w:space="0" w:color="auto"/>
        <w:right w:val="none" w:sz="0" w:space="0" w:color="auto"/>
      </w:divBdr>
    </w:div>
    <w:div w:id="2017998209">
      <w:bodyDiv w:val="1"/>
      <w:marLeft w:val="0"/>
      <w:marRight w:val="0"/>
      <w:marTop w:val="0"/>
      <w:marBottom w:val="0"/>
      <w:divBdr>
        <w:top w:val="none" w:sz="0" w:space="0" w:color="auto"/>
        <w:left w:val="none" w:sz="0" w:space="0" w:color="auto"/>
        <w:bottom w:val="none" w:sz="0" w:space="0" w:color="auto"/>
        <w:right w:val="none" w:sz="0" w:space="0" w:color="auto"/>
      </w:divBdr>
    </w:div>
    <w:div w:id="2044475151">
      <w:bodyDiv w:val="1"/>
      <w:marLeft w:val="0"/>
      <w:marRight w:val="0"/>
      <w:marTop w:val="0"/>
      <w:marBottom w:val="0"/>
      <w:divBdr>
        <w:top w:val="none" w:sz="0" w:space="0" w:color="auto"/>
        <w:left w:val="none" w:sz="0" w:space="0" w:color="auto"/>
        <w:bottom w:val="none" w:sz="0" w:space="0" w:color="auto"/>
        <w:right w:val="none" w:sz="0" w:space="0" w:color="auto"/>
      </w:divBdr>
    </w:div>
    <w:div w:id="2058704601">
      <w:bodyDiv w:val="1"/>
      <w:marLeft w:val="0"/>
      <w:marRight w:val="0"/>
      <w:marTop w:val="0"/>
      <w:marBottom w:val="0"/>
      <w:divBdr>
        <w:top w:val="none" w:sz="0" w:space="0" w:color="auto"/>
        <w:left w:val="none" w:sz="0" w:space="0" w:color="auto"/>
        <w:bottom w:val="none" w:sz="0" w:space="0" w:color="auto"/>
        <w:right w:val="none" w:sz="0" w:space="0" w:color="auto"/>
      </w:divBdr>
    </w:div>
    <w:div w:id="2122453069">
      <w:bodyDiv w:val="1"/>
      <w:marLeft w:val="0"/>
      <w:marRight w:val="0"/>
      <w:marTop w:val="0"/>
      <w:marBottom w:val="0"/>
      <w:divBdr>
        <w:top w:val="none" w:sz="0" w:space="0" w:color="auto"/>
        <w:left w:val="none" w:sz="0" w:space="0" w:color="auto"/>
        <w:bottom w:val="none" w:sz="0" w:space="0" w:color="auto"/>
        <w:right w:val="none" w:sz="0" w:space="0" w:color="auto"/>
      </w:divBdr>
      <w:divsChild>
        <w:div w:id="116222153">
          <w:marLeft w:val="0"/>
          <w:marRight w:val="0"/>
          <w:marTop w:val="0"/>
          <w:marBottom w:val="0"/>
          <w:divBdr>
            <w:top w:val="none" w:sz="0" w:space="0" w:color="auto"/>
            <w:left w:val="none" w:sz="0" w:space="0" w:color="auto"/>
            <w:bottom w:val="none" w:sz="0" w:space="0" w:color="auto"/>
            <w:right w:val="none" w:sz="0" w:space="0" w:color="auto"/>
          </w:divBdr>
          <w:divsChild>
            <w:div w:id="1328249813">
              <w:marLeft w:val="0"/>
              <w:marRight w:val="0"/>
              <w:marTop w:val="0"/>
              <w:marBottom w:val="0"/>
              <w:divBdr>
                <w:top w:val="none" w:sz="0" w:space="0" w:color="auto"/>
                <w:left w:val="none" w:sz="0" w:space="0" w:color="auto"/>
                <w:bottom w:val="none" w:sz="0" w:space="0" w:color="auto"/>
                <w:right w:val="none" w:sz="0" w:space="0" w:color="auto"/>
              </w:divBdr>
            </w:div>
            <w:div w:id="1024018227">
              <w:marLeft w:val="0"/>
              <w:marRight w:val="0"/>
              <w:marTop w:val="0"/>
              <w:marBottom w:val="0"/>
              <w:divBdr>
                <w:top w:val="none" w:sz="0" w:space="0" w:color="auto"/>
                <w:left w:val="none" w:sz="0" w:space="0" w:color="auto"/>
                <w:bottom w:val="none" w:sz="0" w:space="0" w:color="auto"/>
                <w:right w:val="none" w:sz="0" w:space="0" w:color="auto"/>
              </w:divBdr>
            </w:div>
            <w:div w:id="3165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71018">
      <w:bodyDiv w:val="1"/>
      <w:marLeft w:val="0"/>
      <w:marRight w:val="0"/>
      <w:marTop w:val="0"/>
      <w:marBottom w:val="0"/>
      <w:divBdr>
        <w:top w:val="none" w:sz="0" w:space="0" w:color="auto"/>
        <w:left w:val="none" w:sz="0" w:space="0" w:color="auto"/>
        <w:bottom w:val="none" w:sz="0" w:space="0" w:color="auto"/>
        <w:right w:val="none" w:sz="0" w:space="0" w:color="auto"/>
      </w:divBdr>
    </w:div>
    <w:div w:id="214415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s://pmc.gov.au/regulation/best-practice-regulation" TargetMode="External"/><Relationship Id="rId21" Type="http://schemas.openxmlformats.org/officeDocument/2006/relationships/hyperlink" Target="http://roadsafety.gov.au/nrss/directions.aspx" TargetMode="External"/><Relationship Id="rId42" Type="http://schemas.openxmlformats.org/officeDocument/2006/relationships/image" Target="media/image17.emf"/><Relationship Id="rId47" Type="http://schemas.openxmlformats.org/officeDocument/2006/relationships/header" Target="header19.xml"/><Relationship Id="rId63" Type="http://schemas.openxmlformats.org/officeDocument/2006/relationships/header" Target="header31.xml"/><Relationship Id="rId68" Type="http://schemas.openxmlformats.org/officeDocument/2006/relationships/header" Target="header36.xml"/><Relationship Id="rId84" Type="http://schemas.openxmlformats.org/officeDocument/2006/relationships/header" Target="header51.xml"/><Relationship Id="rId89" Type="http://schemas.openxmlformats.org/officeDocument/2006/relationships/header" Target="header56.xml"/><Relationship Id="rId112" Type="http://schemas.openxmlformats.org/officeDocument/2006/relationships/header" Target="header67.xml"/><Relationship Id="rId16" Type="http://schemas.openxmlformats.org/officeDocument/2006/relationships/header" Target="header4.xml"/><Relationship Id="rId107" Type="http://schemas.openxmlformats.org/officeDocument/2006/relationships/footer" Target="footer14.xm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eader" Target="header23.xml"/><Relationship Id="rId58" Type="http://schemas.openxmlformats.org/officeDocument/2006/relationships/header" Target="header28.xml"/><Relationship Id="rId74" Type="http://schemas.openxmlformats.org/officeDocument/2006/relationships/header" Target="header41.xml"/><Relationship Id="rId79" Type="http://schemas.openxmlformats.org/officeDocument/2006/relationships/header" Target="header46.xml"/><Relationship Id="rId102" Type="http://schemas.openxmlformats.org/officeDocument/2006/relationships/image" Target="media/image22.emf"/><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header" Target="header49.xml"/><Relationship Id="rId90" Type="http://schemas.openxmlformats.org/officeDocument/2006/relationships/header" Target="header57.xml"/><Relationship Id="rId95" Type="http://schemas.openxmlformats.org/officeDocument/2006/relationships/footer" Target="footer9.xml"/><Relationship Id="rId19" Type="http://schemas.openxmlformats.org/officeDocument/2006/relationships/header" Target="header5.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8.emf"/><Relationship Id="rId30" Type="http://schemas.openxmlformats.org/officeDocument/2006/relationships/header" Target="header11.xml"/><Relationship Id="rId35" Type="http://schemas.openxmlformats.org/officeDocument/2006/relationships/image" Target="media/image13.emf"/><Relationship Id="rId43" Type="http://schemas.openxmlformats.org/officeDocument/2006/relationships/header" Target="header15.xml"/><Relationship Id="rId48" Type="http://schemas.openxmlformats.org/officeDocument/2006/relationships/header" Target="header20.xml"/><Relationship Id="rId56" Type="http://schemas.openxmlformats.org/officeDocument/2006/relationships/header" Target="header26.xml"/><Relationship Id="rId64" Type="http://schemas.openxmlformats.org/officeDocument/2006/relationships/header" Target="header32.xml"/><Relationship Id="rId69" Type="http://schemas.openxmlformats.org/officeDocument/2006/relationships/header" Target="header37.xml"/><Relationship Id="rId77" Type="http://schemas.openxmlformats.org/officeDocument/2006/relationships/header" Target="header44.xml"/><Relationship Id="rId100" Type="http://schemas.openxmlformats.org/officeDocument/2006/relationships/header" Target="header62.xml"/><Relationship Id="rId105" Type="http://schemas.openxmlformats.org/officeDocument/2006/relationships/header" Target="header64.xml"/><Relationship Id="rId113" Type="http://schemas.openxmlformats.org/officeDocument/2006/relationships/footer" Target="footer17.xml"/><Relationship Id="rId118" Type="http://schemas.openxmlformats.org/officeDocument/2006/relationships/hyperlink" Target="https://www.dictionary.com/browse/statistical-significance" TargetMode="Externa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9.xml"/><Relationship Id="rId80" Type="http://schemas.openxmlformats.org/officeDocument/2006/relationships/header" Target="header47.xml"/><Relationship Id="rId85" Type="http://schemas.openxmlformats.org/officeDocument/2006/relationships/header" Target="header52.xml"/><Relationship Id="rId93" Type="http://schemas.openxmlformats.org/officeDocument/2006/relationships/footer" Target="footer8.xml"/><Relationship Id="rId98" Type="http://schemas.openxmlformats.org/officeDocument/2006/relationships/footer" Target="footer10.xml"/><Relationship Id="rId121" Type="http://schemas.openxmlformats.org/officeDocument/2006/relationships/header" Target="header70.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11.emf"/><Relationship Id="rId38" Type="http://schemas.openxmlformats.org/officeDocument/2006/relationships/header" Target="header12.xml"/><Relationship Id="rId46" Type="http://schemas.openxmlformats.org/officeDocument/2006/relationships/header" Target="header18.xml"/><Relationship Id="rId59" Type="http://schemas.openxmlformats.org/officeDocument/2006/relationships/header" Target="header29.xml"/><Relationship Id="rId67" Type="http://schemas.openxmlformats.org/officeDocument/2006/relationships/header" Target="header35.xml"/><Relationship Id="rId103" Type="http://schemas.openxmlformats.org/officeDocument/2006/relationships/package" Target="embeddings/Microsoft_Visio_Drawing.vsdx"/><Relationship Id="rId108" Type="http://schemas.openxmlformats.org/officeDocument/2006/relationships/header" Target="header65.xml"/><Relationship Id="rId116" Type="http://schemas.openxmlformats.org/officeDocument/2006/relationships/hyperlink" Target="http://www.ntc.gov.au" TargetMode="External"/><Relationship Id="rId124"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6.emf"/><Relationship Id="rId54" Type="http://schemas.openxmlformats.org/officeDocument/2006/relationships/header" Target="header24.xml"/><Relationship Id="rId62" Type="http://schemas.openxmlformats.org/officeDocument/2006/relationships/header" Target="header30.xml"/><Relationship Id="rId70" Type="http://schemas.openxmlformats.org/officeDocument/2006/relationships/header" Target="header38.xml"/><Relationship Id="rId75" Type="http://schemas.openxmlformats.org/officeDocument/2006/relationships/header" Target="header42.xml"/><Relationship Id="rId83" Type="http://schemas.openxmlformats.org/officeDocument/2006/relationships/header" Target="header50.xml"/><Relationship Id="rId88" Type="http://schemas.openxmlformats.org/officeDocument/2006/relationships/header" Target="header55.xml"/><Relationship Id="rId91" Type="http://schemas.openxmlformats.org/officeDocument/2006/relationships/header" Target="header58.xml"/><Relationship Id="rId96" Type="http://schemas.openxmlformats.org/officeDocument/2006/relationships/header" Target="header60.xml"/><Relationship Id="rId11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header" Target="header9.xml"/><Relationship Id="rId36" Type="http://schemas.openxmlformats.org/officeDocument/2006/relationships/image" Target="media/image14.emf"/><Relationship Id="rId49" Type="http://schemas.openxmlformats.org/officeDocument/2006/relationships/image" Target="media/image18.emf"/><Relationship Id="rId57" Type="http://schemas.openxmlformats.org/officeDocument/2006/relationships/header" Target="header27.xml"/><Relationship Id="rId106" Type="http://schemas.openxmlformats.org/officeDocument/2006/relationships/footer" Target="footer13.xml"/><Relationship Id="rId114" Type="http://schemas.openxmlformats.org/officeDocument/2006/relationships/hyperlink" Target="http://www.austroads.com.au" TargetMode="External"/><Relationship Id="rId119" Type="http://schemas.openxmlformats.org/officeDocument/2006/relationships/header" Target="header68.xml"/><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header" Target="header16.xml"/><Relationship Id="rId52" Type="http://schemas.openxmlformats.org/officeDocument/2006/relationships/header" Target="header22.xml"/><Relationship Id="rId60" Type="http://schemas.openxmlformats.org/officeDocument/2006/relationships/image" Target="media/image20.png"/><Relationship Id="rId65" Type="http://schemas.openxmlformats.org/officeDocument/2006/relationships/header" Target="header33.xml"/><Relationship Id="rId73" Type="http://schemas.openxmlformats.org/officeDocument/2006/relationships/header" Target="header40.xml"/><Relationship Id="rId78" Type="http://schemas.openxmlformats.org/officeDocument/2006/relationships/header" Target="header45.xml"/><Relationship Id="rId81" Type="http://schemas.openxmlformats.org/officeDocument/2006/relationships/header" Target="header48.xml"/><Relationship Id="rId86" Type="http://schemas.openxmlformats.org/officeDocument/2006/relationships/header" Target="header53.xml"/><Relationship Id="rId94" Type="http://schemas.openxmlformats.org/officeDocument/2006/relationships/header" Target="header59.xml"/><Relationship Id="rId99" Type="http://schemas.openxmlformats.org/officeDocument/2006/relationships/footer" Target="footer11.xml"/><Relationship Id="rId101" Type="http://schemas.openxmlformats.org/officeDocument/2006/relationships/footer" Target="footer12.xml"/><Relationship Id="rId122" Type="http://schemas.openxmlformats.org/officeDocument/2006/relationships/header" Target="header7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footer" Target="footer15.xml"/><Relationship Id="rId34" Type="http://schemas.openxmlformats.org/officeDocument/2006/relationships/image" Target="media/image12.emf"/><Relationship Id="rId50" Type="http://schemas.openxmlformats.org/officeDocument/2006/relationships/image" Target="media/image19.emf"/><Relationship Id="rId55" Type="http://schemas.openxmlformats.org/officeDocument/2006/relationships/header" Target="header25.xml"/><Relationship Id="rId76" Type="http://schemas.openxmlformats.org/officeDocument/2006/relationships/header" Target="header43.xml"/><Relationship Id="rId97" Type="http://schemas.openxmlformats.org/officeDocument/2006/relationships/header" Target="header61.xml"/><Relationship Id="rId104" Type="http://schemas.openxmlformats.org/officeDocument/2006/relationships/header" Target="header63.xml"/><Relationship Id="rId120" Type="http://schemas.openxmlformats.org/officeDocument/2006/relationships/header" Target="header69.xml"/><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header" Target="header34.xml"/><Relationship Id="rId87" Type="http://schemas.openxmlformats.org/officeDocument/2006/relationships/header" Target="header54.xml"/><Relationship Id="rId110" Type="http://schemas.openxmlformats.org/officeDocument/2006/relationships/header" Target="header66.xml"/><Relationship Id="rId115" Type="http://schemas.openxmlformats.org/officeDocument/2006/relationships/hyperlink" Target="http://www.bitre.gov.au"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www.abs.gov.au/AUSSTATS/abs@.nsf/DetailsPage/3101.0Jun%202018" TargetMode="External"/><Relationship Id="rId21" Type="http://schemas.openxmlformats.org/officeDocument/2006/relationships/hyperlink" Target="https://www.ntc.gov.au/Media/Reports/(88A4C04B-805C-687C-B450-0D5AB661B83D).pdf" TargetMode="External"/><Relationship Id="rId42" Type="http://schemas.openxmlformats.org/officeDocument/2006/relationships/hyperlink" Target="http://www.parliament.qld.gov.au/documents/committees/TSAFE/2004/fatigue-crashes/fatigue-report.pdf" TargetMode="External"/><Relationship Id="rId63" Type="http://schemas.openxmlformats.org/officeDocument/2006/relationships/hyperlink" Target="https://bitre.gov.au/statistics/safety/fatal_road_crash_database.aspx" TargetMode="External"/><Relationship Id="rId84" Type="http://schemas.openxmlformats.org/officeDocument/2006/relationships/hyperlink" Target="http://www.pnas.org/content/101/21/8174" TargetMode="External"/><Relationship Id="rId138" Type="http://schemas.openxmlformats.org/officeDocument/2006/relationships/hyperlink" Target="https://www.researchgate.net/profile/Divera_Twisk/publication/251880440_Car_driver_training_and_licensing_systems_in_Europe_report_prepared_by_members_of_Forum_of_European_Road_Safety_Research_Institutes_FERSI_and_supported_by_European_Commission_Transport_Directorate_DG_/links/57666a4008ae1658e2f6fe6c/Car-driver-training-and-licensing-systems-in-Europe-report-prepared-by-members-of-Forum-of-European-Road-Safety-Research-Institutes-FERSI-and-supported-by-European-Commission-Transport-Directorate-D.pdf" TargetMode="External"/><Relationship Id="rId159" Type="http://schemas.openxmlformats.org/officeDocument/2006/relationships/hyperlink" Target="https://www.tandfonline.com/doi/pdf/10.1080/15389580903578854" TargetMode="External"/><Relationship Id="rId170" Type="http://schemas.openxmlformats.org/officeDocument/2006/relationships/hyperlink" Target="https://trid.trb.org/view/635267" TargetMode="External"/><Relationship Id="rId191" Type="http://schemas.openxmlformats.org/officeDocument/2006/relationships/hyperlink" Target="https://www.youngdriverfactbase.com/key-statistics" TargetMode="External"/><Relationship Id="rId205" Type="http://schemas.openxmlformats.org/officeDocument/2006/relationships/hyperlink" Target="http://www.abs.gov.au/ausstats/abs@.nsf/mf/3412.0" TargetMode="External"/><Relationship Id="rId226" Type="http://schemas.openxmlformats.org/officeDocument/2006/relationships/hyperlink" Target="https://www.nhtsa.gov/sites/nhtsa.dot.gov/files/documents/812478_countermeasures-that-work-a-highway-safety-countermeasures-guide-.pdf" TargetMode="External"/><Relationship Id="rId247" Type="http://schemas.openxmlformats.org/officeDocument/2006/relationships/hyperlink" Target="https://trid.trb.org/view/635267" TargetMode="External"/><Relationship Id="rId107" Type="http://schemas.openxmlformats.org/officeDocument/2006/relationships/hyperlink" Target="https://www.monash.edu/__data/assets/pdf_file/0007/216835/muarc209.pdf" TargetMode="External"/><Relationship Id="rId268" Type="http://schemas.openxmlformats.org/officeDocument/2006/relationships/hyperlink" Target="https://www.legislation.gov.au/Details/F2016C00706" TargetMode="External"/><Relationship Id="rId11" Type="http://schemas.openxmlformats.org/officeDocument/2006/relationships/hyperlink" Target="https://www.towardszero.vic.gov.au/__data/assets/pdf_file/0010/183556/STU_0206_RS_STRATEGY_2016_web.pdf" TargetMode="External"/><Relationship Id="rId32" Type="http://schemas.openxmlformats.org/officeDocument/2006/relationships/hyperlink" Target="https://www.researchgate.net/profile/Kelly_Imberger/publication/322750411-THE_EFFECT_OF_SANCTIONS_ON_VICTORIAN_DRINK-DRIVERS/links/5a6d64abaca2722c947df3fc/THE-EFFECT-OF-SANCTIONS-ON-VICTORIAN-DRINK-DRIVERS.pdf?origin=publication_detail" TargetMode="External"/><Relationship Id="rId53" Type="http://schemas.openxmlformats.org/officeDocument/2006/relationships/hyperlink" Target="http://www.who.int/violence_injury_prevention/publications/road_traffic/distracted_driving_en.pdf?ua=1" TargetMode="External"/><Relationship Id="rId74" Type="http://schemas.openxmlformats.org/officeDocument/2006/relationships/hyperlink" Target="https://www.monash.edu/muarc/our-publications/muarc208" TargetMode="External"/><Relationship Id="rId128" Type="http://schemas.openxmlformats.org/officeDocument/2006/relationships/hyperlink" Target="https://www.pmc.gov.au/sites/default/files/publications/Value_of_Statistical_Life_guidance_note.pdf" TargetMode="External"/><Relationship Id="rId149" Type="http://schemas.openxmlformats.org/officeDocument/2006/relationships/hyperlink" Target="http://citeseerx.ist.psu.edu/viewdoc/download?doi=10.1.1.598.921&amp;rep=rep1&amp;type=pdf" TargetMode="External"/><Relationship Id="rId5" Type="http://schemas.openxmlformats.org/officeDocument/2006/relationships/hyperlink" Target="https://www.legislation.gov.au/Details/F2016C00706" TargetMode="External"/><Relationship Id="rId95" Type="http://schemas.openxmlformats.org/officeDocument/2006/relationships/hyperlink" Target="https://pdfs.semanticscholar.org/2595/7ca410f731767658dfe6d5d56e40d9e69a1e.pdf" TargetMode="External"/><Relationship Id="rId160" Type="http://schemas.openxmlformats.org/officeDocument/2006/relationships/hyperlink" Target="https://www.sciencedirect.com/science/article/pii/S0001457513001486?via%3Dihub" TargetMode="External"/><Relationship Id="rId181" Type="http://schemas.openxmlformats.org/officeDocument/2006/relationships/hyperlink" Target="https://www.vicroads.vic.gov.au/~/media/files/documents/safety-and-road-rules/examination-of-the-impact-of-the-gls-on-young-drivers-oct-2017.pdf?la=en" TargetMode="External"/><Relationship Id="rId216" Type="http://schemas.openxmlformats.org/officeDocument/2006/relationships/hyperlink" Target="https://www.sciencedirect.com/science/article/pii/S000145750300160X" TargetMode="External"/><Relationship Id="rId237" Type="http://schemas.openxmlformats.org/officeDocument/2006/relationships/hyperlink" Target="https://www.ncbi.nlm.nih.gov/pubmed/?term=Newstead%20S%5BAuthor%5D&amp;cauthor=true&amp;cauthor_uid=15545070" TargetMode="External"/><Relationship Id="rId258" Type="http://schemas.openxmlformats.org/officeDocument/2006/relationships/hyperlink" Target="http://www.unece.org/fileadmin/DAM/trans/conventn/Convention_on_Road_Traffic_of_1949.pdf" TargetMode="External"/><Relationship Id="rId279" Type="http://schemas.openxmlformats.org/officeDocument/2006/relationships/hyperlink" Target="http://www.betterregulation.vic.gov.au/files/dc678462-1881-4207-b31a-a60400e70bbf/Free_Licence_Scheme_RIS__Accessible_version_250815.pdf" TargetMode="External"/><Relationship Id="rId22" Type="http://schemas.openxmlformats.org/officeDocument/2006/relationships/hyperlink" Target="https://www.monash.edu/__data/assets/pdf_file/0007/216835/muarc209.pdf" TargetMode="External"/><Relationship Id="rId43" Type="http://schemas.openxmlformats.org/officeDocument/2006/relationships/hyperlink" Target="http://www.tac.vic.gov.au/road-safety/statistics/summaries/fatigue-statistics" TargetMode="External"/><Relationship Id="rId64" Type="http://schemas.openxmlformats.org/officeDocument/2006/relationships/hyperlink" Target="https://www.data.vic.gov.au/data/dataset/typical-hourly-traffic-volume" TargetMode="External"/><Relationship Id="rId118" Type="http://schemas.openxmlformats.org/officeDocument/2006/relationships/hyperlink" Target="https://www.towardszero.vic.gov.au/news/articles/vision-zero-and-swedens-approach-to-road-safety" TargetMode="External"/><Relationship Id="rId139" Type="http://schemas.openxmlformats.org/officeDocument/2006/relationships/hyperlink" Target="http://acrs.org.au/files/arsrpe/RS010018.pdf" TargetMode="External"/><Relationship Id="rId85" Type="http://schemas.openxmlformats.org/officeDocument/2006/relationships/hyperlink" Target="https://www.sciencedirect.com/science/article/pii/S0022437510000654?via%3Dihub" TargetMode="External"/><Relationship Id="rId150" Type="http://schemas.openxmlformats.org/officeDocument/2006/relationships/hyperlink" Target="https://www.parliament.vic.gov.au/images/88._30.05.2016_-_Submission__Australiasian_College_of_Road_Safety.pdf" TargetMode="External"/><Relationship Id="rId171" Type="http://schemas.openxmlformats.org/officeDocument/2006/relationships/hyperlink" Target="https://www.sciencedirect.com/journal/accident-analysis-and-prevention/vol/72" TargetMode="External"/><Relationship Id="rId192" Type="http://schemas.openxmlformats.org/officeDocument/2006/relationships/hyperlink" Target="https://www.sciencedirect.com/science/article/pii/S0001457512004277?via%3Dihub" TargetMode="External"/><Relationship Id="rId206" Type="http://schemas.openxmlformats.org/officeDocument/2006/relationships/hyperlink" Target="http://www.austroads.com.au/drivers-vehicles/overseas-driver-licences/applying-for-a-licence" TargetMode="External"/><Relationship Id="rId227" Type="http://schemas.openxmlformats.org/officeDocument/2006/relationships/hyperlink" Target="https://austroads.com.au/publications/assessing-fitness-to-drive/ap-g56" TargetMode="External"/><Relationship Id="rId248" Type="http://schemas.openxmlformats.org/officeDocument/2006/relationships/hyperlink" Target="https://pcc.gov.au/uniform/Australian-Road-Rules-5February2018.pdf" TargetMode="External"/><Relationship Id="rId269" Type="http://schemas.openxmlformats.org/officeDocument/2006/relationships/hyperlink" Target="https://www.legislation.gov.au/Details/F2016C00706" TargetMode="External"/><Relationship Id="rId12" Type="http://schemas.openxmlformats.org/officeDocument/2006/relationships/hyperlink" Target="https://www.towardszero.vic.gov.au/making-progress/articles/vision-zero-and-swedens-approach-to-road-safety" TargetMode="External"/><Relationship Id="rId33" Type="http://schemas.openxmlformats.org/officeDocument/2006/relationships/hyperlink" Target="https://www.towardszero.vic.gov.au/__data/assets/pdf_file/0010/183556/STU_0206_RS_STRATEGY_2016_web.pdf" TargetMode="External"/><Relationship Id="rId108" Type="http://schemas.openxmlformats.org/officeDocument/2006/relationships/hyperlink" Target="http://journals.sagepub.com/doi/abs/10.1177/0018720809341575" TargetMode="External"/><Relationship Id="rId129" Type="http://schemas.openxmlformats.org/officeDocument/2006/relationships/hyperlink" Target="https://bitre.gov.au/publications/2010/files/report_118.pdf" TargetMode="External"/><Relationship Id="rId280" Type="http://schemas.openxmlformats.org/officeDocument/2006/relationships/hyperlink" Target="https://www.parliament.vic.gov.au/images/stories/committees/lrrcsc/Probationary_Age/Final_Govt_Response_-_Inquiry_-_Lowering_probationary_driving_age_PJg9xRtG.pdf" TargetMode="External"/><Relationship Id="rId54" Type="http://schemas.openxmlformats.org/officeDocument/2006/relationships/hyperlink" Target="http://onlinepubs.trb.org/onlinepubs/shrp2/SHRP2prepubS08AReport.pdf" TargetMode="External"/><Relationship Id="rId75" Type="http://schemas.openxmlformats.org/officeDocument/2006/relationships/hyperlink" Target="https://www.monash.edu/__data/assets/pdf_file/0011/216587/muarc208.pdf" TargetMode="External"/><Relationship Id="rId96" Type="http://schemas.openxmlformats.org/officeDocument/2006/relationships/hyperlink" Target="https://injuryprevention.bmj.com/content/12/suppl_1/i19.full" TargetMode="External"/><Relationship Id="rId140" Type="http://schemas.openxmlformats.org/officeDocument/2006/relationships/hyperlink" Target="https://www.tandfonline.com/doi/abs/10.1080/10286580108902566" TargetMode="External"/><Relationship Id="rId161" Type="http://schemas.openxmlformats.org/officeDocument/2006/relationships/hyperlink" Target="https://www.tandfonline.com/doi/full/10.1080/15389588.2011.591856" TargetMode="External"/><Relationship Id="rId182" Type="http://schemas.openxmlformats.org/officeDocument/2006/relationships/hyperlink" Target="https://jamanetwork.com/journals/jama/fullarticle/192524" TargetMode="External"/><Relationship Id="rId217" Type="http://schemas.openxmlformats.org/officeDocument/2006/relationships/hyperlink" Target="https://www.ncbi.nlm.nih.gov/pubmed/15545070" TargetMode="External"/><Relationship Id="rId6" Type="http://schemas.openxmlformats.org/officeDocument/2006/relationships/hyperlink" Target="https://www.legislation.gov.au/Details/F2016C00706" TargetMode="External"/><Relationship Id="rId238" Type="http://schemas.openxmlformats.org/officeDocument/2006/relationships/hyperlink" Target="https://www.ncbi.nlm.nih.gov/pubmed/15545070" TargetMode="External"/><Relationship Id="rId259" Type="http://schemas.openxmlformats.org/officeDocument/2006/relationships/hyperlink" Target="http://dfat.gov.au/about-us/publications/corporate/protocol-guidelines/Pages/8-1-driver-licences.aspx" TargetMode="External"/><Relationship Id="rId23" Type="http://schemas.openxmlformats.org/officeDocument/2006/relationships/hyperlink" Target="https://trid.trb.org/view/349250" TargetMode="External"/><Relationship Id="rId119" Type="http://schemas.openxmlformats.org/officeDocument/2006/relationships/hyperlink" Target="http://roadsafety.gov.au/rsa/state-territories.aspx" TargetMode="External"/><Relationship Id="rId270" Type="http://schemas.openxmlformats.org/officeDocument/2006/relationships/hyperlink" Target="https://economy.id.com.au/bendigo/consumer-price-index" TargetMode="External"/><Relationship Id="rId44" Type="http://schemas.openxmlformats.org/officeDocument/2006/relationships/hyperlink" Target="http://www.icadtsinternational.com/files/documents/2002_048.pdf" TargetMode="External"/><Relationship Id="rId65" Type="http://schemas.openxmlformats.org/officeDocument/2006/relationships/hyperlink" Target="https://bitre.gov.au/publications/2014/is_050.aspx" TargetMode="External"/><Relationship Id="rId86" Type="http://schemas.openxmlformats.org/officeDocument/2006/relationships/hyperlink" Target="http://www.pnas.org/content/101/21/8174" TargetMode="External"/><Relationship Id="rId130" Type="http://schemas.openxmlformats.org/officeDocument/2006/relationships/hyperlink" Target="https://www.rba.gov.au/inflation/measures-cpi.html" TargetMode="External"/><Relationship Id="rId151" Type="http://schemas.openxmlformats.org/officeDocument/2006/relationships/hyperlink" Target="https://www.parliament.vic.gov.au/images/stories/committees/lrrcsc/Probationary_Age/Final_Report_-_Lowering_the_Probationary_Driving_Age.pdf" TargetMode="External"/><Relationship Id="rId172" Type="http://schemas.openxmlformats.org/officeDocument/2006/relationships/hyperlink" Target="https://www.parliament.vic.gov.au/images/Attachment_to_Submission_no._75_-_Literature_Review_of_Effective_Components_of_Graduated_Licensing_Schemes.pdf" TargetMode="External"/><Relationship Id="rId193" Type="http://schemas.openxmlformats.org/officeDocument/2006/relationships/hyperlink" Target="http://www.austroads.com.au/drivers-vehicles/nevdis" TargetMode="External"/><Relationship Id="rId207" Type="http://schemas.openxmlformats.org/officeDocument/2006/relationships/hyperlink" Target="http://www.transport.tas.gov.au/licensing/newtotas/overseas" TargetMode="External"/><Relationship Id="rId228" Type="http://schemas.openxmlformats.org/officeDocument/2006/relationships/hyperlink" Target="https://dpti.sa.gov.au/news?a=171469" TargetMode="External"/><Relationship Id="rId249" Type="http://schemas.openxmlformats.org/officeDocument/2006/relationships/hyperlink" Target="https://opus.lib.uts.edu.au/handle/10453/120412" TargetMode="External"/><Relationship Id="rId13" Type="http://schemas.openxmlformats.org/officeDocument/2006/relationships/hyperlink" Target="https://www.towardszero.vic.gov.au/__data/assets/pdf_file/0010/183556/STU_0206_RS_STRATEGY_2016_web.pdf" TargetMode="External"/><Relationship Id="rId18" Type="http://schemas.openxmlformats.org/officeDocument/2006/relationships/hyperlink" Target="https://www.ntc.gov.au/Media/Reports/(88A4C04B-805C-687C-B450-0D5AB661B83D).pdf" TargetMode="External"/><Relationship Id="rId39" Type="http://schemas.openxmlformats.org/officeDocument/2006/relationships/hyperlink" Target="https://infrastructure.gov.au/roads/safety/publications/1997/pdf/Speed_Risk_1.pdf" TargetMode="External"/><Relationship Id="rId109" Type="http://schemas.openxmlformats.org/officeDocument/2006/relationships/hyperlink" Target="http://acrs.org.au/files/arsrpe/Paper%2084%20-%20Starkey%20-%20Driver%20inattention.pdf" TargetMode="External"/><Relationship Id="rId260" Type="http://schemas.openxmlformats.org/officeDocument/2006/relationships/hyperlink" Target="https://www.vicroads.vic.gov.au/licences/licence-and-permit-types/motorcycle-licence-and-learner-permit/training-and-test-providers" TargetMode="External"/><Relationship Id="rId265" Type="http://schemas.openxmlformats.org/officeDocument/2006/relationships/hyperlink" Target="https://www.sciencedirect.com/science/article/abs/pii/0001457579900058" TargetMode="External"/><Relationship Id="rId281" Type="http://schemas.openxmlformats.org/officeDocument/2006/relationships/hyperlink" Target="https://www.monash.edu/muarc/our-publications/muarc300" TargetMode="External"/><Relationship Id="rId34" Type="http://schemas.openxmlformats.org/officeDocument/2006/relationships/hyperlink" Target="http://www.gazette.vic.gov.au/gazette/Gazettes2016/GG2016G027.pdf" TargetMode="External"/><Relationship Id="rId50" Type="http://schemas.openxmlformats.org/officeDocument/2006/relationships/hyperlink" Target="https://research.qut.edu.au/carrsq/wp-content/uploads/sites/45/2017/04/Seat-belts-screen.pdf" TargetMode="External"/><Relationship Id="rId55" Type="http://schemas.openxmlformats.org/officeDocument/2006/relationships/hyperlink" Target="http://www.tac.vic.gov.au/road-safety/statistics/summaries/seatbelt-statistics" TargetMode="External"/><Relationship Id="rId76" Type="http://schemas.openxmlformats.org/officeDocument/2006/relationships/hyperlink" Target="https://www.monash.edu/muarc/our-publications/muarc300" TargetMode="External"/><Relationship Id="rId97" Type="http://schemas.openxmlformats.org/officeDocument/2006/relationships/hyperlink" Target="https://www.sciencedirect.com/science/article/pii/S0749379708005175?via%3Dihub" TargetMode="External"/><Relationship Id="rId104" Type="http://schemas.openxmlformats.org/officeDocument/2006/relationships/hyperlink" Target="https://www.sciencedirect.com/science/article/pii/S0022437507000308" TargetMode="External"/><Relationship Id="rId120" Type="http://schemas.openxmlformats.org/officeDocument/2006/relationships/hyperlink" Target="https://bitre.gov.au/publications/ongoing/rda/files/RDA_Dec_2017.pdf" TargetMode="External"/><Relationship Id="rId125" Type="http://schemas.openxmlformats.org/officeDocument/2006/relationships/hyperlink" Target="https://bitre.gov.au/publications/ongoing/rda/files/RDA_Dec_2017.pdf" TargetMode="External"/><Relationship Id="rId141" Type="http://schemas.openxmlformats.org/officeDocument/2006/relationships/hyperlink" Target="https://www.sciencedirect.com/science/article/pii/S0001457599000457" TargetMode="External"/><Relationship Id="rId146" Type="http://schemas.openxmlformats.org/officeDocument/2006/relationships/hyperlink" Target="https://www.researchgate.net/publication/322307358_The_Victorian_Graduated_Licensing_System_-_Outcome_Evaluation_2017" TargetMode="External"/><Relationship Id="rId167" Type="http://schemas.openxmlformats.org/officeDocument/2006/relationships/hyperlink" Target="http://citeseerx.ist.psu.edu/viewdoc/download?doi=10.1.1.852.7459&amp;rep=rep1&amp;type=pdf" TargetMode="External"/><Relationship Id="rId188" Type="http://schemas.openxmlformats.org/officeDocument/2006/relationships/hyperlink" Target="http://apo.org.au/system/files/1893/apo-nid1893-149321.pdf" TargetMode="External"/><Relationship Id="rId7" Type="http://schemas.openxmlformats.org/officeDocument/2006/relationships/hyperlink" Target="http://www.gazette.vic.gov.au/gazette/Gazettes2016/GG2016G027.pdf" TargetMode="External"/><Relationship Id="rId71" Type="http://schemas.openxmlformats.org/officeDocument/2006/relationships/hyperlink" Target="https://www.nhtsa.gov/sites/nhtsa.dot.gov/files/documents/812478_countermeasures-that-work-a-highway-safety-countermeasures-guide-.pdf" TargetMode="External"/><Relationship Id="rId92" Type="http://schemas.openxmlformats.org/officeDocument/2006/relationships/hyperlink" Target="https://www.sciencedirect.com/science/article/pii/S0022437511001605?via%3Dihub" TargetMode="External"/><Relationship Id="rId162" Type="http://schemas.openxmlformats.org/officeDocument/2006/relationships/hyperlink" Target="https://webarchive.nationalarchives.gov.uk/+/http://www.dft.gov.uk/pgr/roadsafety/research/rsrr/theme2/cohort2/cohrtiimainreport.pdf" TargetMode="External"/><Relationship Id="rId183" Type="http://schemas.openxmlformats.org/officeDocument/2006/relationships/hyperlink" Target="https://www.sciencedirect.com/science/article/pii/S0001457509002966?via%3Dihub" TargetMode="External"/><Relationship Id="rId213" Type="http://schemas.openxmlformats.org/officeDocument/2006/relationships/hyperlink" Target="https://www.sciencedirect.com/science/article/pii/S0001457508001449?via%3Dihub" TargetMode="External"/><Relationship Id="rId218" Type="http://schemas.openxmlformats.org/officeDocument/2006/relationships/hyperlink" Target="https://www.tandfonline.com/doi/full/10.1080/15389580490509464" TargetMode="External"/><Relationship Id="rId234" Type="http://schemas.openxmlformats.org/officeDocument/2006/relationships/hyperlink" Target="https://www.ncbi.nlm.nih.gov/pubmed/?term=Langford%20J%5BAuthor%5D&amp;cauthor=true&amp;cauthor_uid=15545070" TargetMode="External"/><Relationship Id="rId239" Type="http://schemas.openxmlformats.org/officeDocument/2006/relationships/hyperlink" Target="https://dpti.sa.gov.au/__data/assets/pdf_file/0010/112330/Older_Road_Users.pdf" TargetMode="External"/><Relationship Id="rId2" Type="http://schemas.openxmlformats.org/officeDocument/2006/relationships/hyperlink" Target="http://www.abs.gov.au/AUSSTATS/abs@.nsf/DetailsPage/3101.0Jun%202018" TargetMode="External"/><Relationship Id="rId29" Type="http://schemas.openxmlformats.org/officeDocument/2006/relationships/hyperlink" Target="https://www.vicroads.vic.gov.au/-/media/files/documents/safety-and-road-rules/motorcyclelevyglsdiscussionpaper2010.ashx" TargetMode="External"/><Relationship Id="rId250" Type="http://schemas.openxmlformats.org/officeDocument/2006/relationships/hyperlink" Target="https://trid.trb.org/view/734995" TargetMode="External"/><Relationship Id="rId255" Type="http://schemas.openxmlformats.org/officeDocument/2006/relationships/hyperlink" Target="https://www.sciencedirect.com/science/article/pii/S1369847802000189" TargetMode="External"/><Relationship Id="rId271" Type="http://schemas.openxmlformats.org/officeDocument/2006/relationships/hyperlink" Target="https://www.audit.vic.gov.au/report/delivering-services-citizens-and-consumers-devices-personal-choice-phase-2" TargetMode="External"/><Relationship Id="rId276" Type="http://schemas.openxmlformats.org/officeDocument/2006/relationships/hyperlink" Target="http://www.abs.gov.au/ausstats/abs@.nsf/mf/9309.0" TargetMode="External"/><Relationship Id="rId24" Type="http://schemas.openxmlformats.org/officeDocument/2006/relationships/hyperlink" Target="https://trid.trb.org/view/926286" TargetMode="External"/><Relationship Id="rId40" Type="http://schemas.openxmlformats.org/officeDocument/2006/relationships/hyperlink" Target="http://www.tac.vic.gov.au/road-safety/statistics/summaries/fatigue-statistics" TargetMode="External"/><Relationship Id="rId45" Type="http://schemas.openxmlformats.org/officeDocument/2006/relationships/hyperlink" Target="https://www.tac.vic.gov.au/road-safety/tac-campaigns/drink-driving" TargetMode="External"/><Relationship Id="rId66" Type="http://schemas.openxmlformats.org/officeDocument/2006/relationships/hyperlink" Target="https://austroads.com.au/resources/documents/supporting-documents/webinars/Austroads_Webinar-Older_Road_Users_Emerging_Trends.pdf" TargetMode="External"/><Relationship Id="rId87" Type="http://schemas.openxmlformats.org/officeDocument/2006/relationships/hyperlink" Target="https://www.parliament.vic.gov.au/images/Attachment_to_Submission_no._75_-_Literature_Review_of_Effective_Components_of_Graduated_Licensing_Schemes.pdf" TargetMode="External"/><Relationship Id="rId110" Type="http://schemas.openxmlformats.org/officeDocument/2006/relationships/hyperlink" Target="https://www.monash.edu/__data/assets/pdf_file/0006/216915/muarc292.pdf" TargetMode="External"/><Relationship Id="rId115" Type="http://schemas.openxmlformats.org/officeDocument/2006/relationships/hyperlink" Target="https://doi.org/10.1016/j.aap.2011.04.027" TargetMode="External"/><Relationship Id="rId131" Type="http://schemas.openxmlformats.org/officeDocument/2006/relationships/hyperlink" Target="https://www.rba.gov.au/inflation/measures-cpi.html" TargetMode="External"/><Relationship Id="rId136" Type="http://schemas.openxmlformats.org/officeDocument/2006/relationships/hyperlink" Target="http://www.tac.vic.gov.au/about-the-tac/media-room/annual-reports/tac_ar_financials.pdf" TargetMode="External"/><Relationship Id="rId157" Type="http://schemas.openxmlformats.org/officeDocument/2006/relationships/hyperlink" Target="https://www.sciencedirect.com/science/article/pii/S1369847802000189" TargetMode="External"/><Relationship Id="rId178" Type="http://schemas.openxmlformats.org/officeDocument/2006/relationships/hyperlink" Target="https://trid.trb.org/view/425133" TargetMode="External"/><Relationship Id="rId61" Type="http://schemas.openxmlformats.org/officeDocument/2006/relationships/hyperlink" Target="http://www.tac.vic.gov.au/road-safety/safe-driving/parents/helping-p-plate-drivers/night-driving/night-driving-facts" TargetMode="External"/><Relationship Id="rId82" Type="http://schemas.openxmlformats.org/officeDocument/2006/relationships/hyperlink" Target="https://www.ncbi.nlm.nih.gov/pmc/articles/PMC4405033/" TargetMode="External"/><Relationship Id="rId152" Type="http://schemas.openxmlformats.org/officeDocument/2006/relationships/hyperlink" Target="https://www.parliament.vic.gov.au/images/stories/committees/lrrcsc/Probationary_Age/Transcripts/2016.10.24_-_TRANSCRIPT_-_George_Institute_for_Global_Health.pdf" TargetMode="External"/><Relationship Id="rId173" Type="http://schemas.openxmlformats.org/officeDocument/2006/relationships/hyperlink" Target="https://www.vicroads.vic.gov.au/~/media/files/documents/safety-and-road-rules/examination-of-the-impact-of-the-gls-on-young-drivers-oct-2017.pdf?la=en" TargetMode="External"/><Relationship Id="rId194" Type="http://schemas.openxmlformats.org/officeDocument/2006/relationships/hyperlink" Target="https://www.vicroads.vic.gov.au/licences/your-ps/prohibited-vehicles-for-p-plate-drivers/probationary-vehicles-database" TargetMode="External"/><Relationship Id="rId199" Type="http://schemas.openxmlformats.org/officeDocument/2006/relationships/hyperlink" Target="https://www.vicroads.vic.gov.au/licences/renew-replace-or-update/new-to-victoria/overseas-drivers" TargetMode="External"/><Relationship Id="rId203" Type="http://schemas.openxmlformats.org/officeDocument/2006/relationships/hyperlink" Target="http://www.austroads.com.au/drivers-vehicles/overseas-driver-licences/country-recognition" TargetMode="External"/><Relationship Id="rId208" Type="http://schemas.openxmlformats.org/officeDocument/2006/relationships/hyperlink" Target="https://www.legislation.gov.au/Details/F2016C00706" TargetMode="External"/><Relationship Id="rId229" Type="http://schemas.openxmlformats.org/officeDocument/2006/relationships/hyperlink" Target="https://www.ncbi.nlm.nih.gov/pubmed/?term=Langford%20J%5BAuthor%5D&amp;cauthor=true&amp;cauthor_uid=19068294" TargetMode="External"/><Relationship Id="rId19" Type="http://schemas.openxmlformats.org/officeDocument/2006/relationships/hyperlink" Target="http://www.austroads.com.au/drivers-vehicles/overseas-driver-licences/country-recognition" TargetMode="External"/><Relationship Id="rId224" Type="http://schemas.openxmlformats.org/officeDocument/2006/relationships/hyperlink" Target="https://www.researchgate.net/publication/228483526_The_premature_reduction_and_cessation_of_driving_by_older_men_and_women" TargetMode="External"/><Relationship Id="rId240" Type="http://schemas.openxmlformats.org/officeDocument/2006/relationships/hyperlink" Target="https://www.coronerscourt.vic.gov.au/sites/default/files/2018-12/pamelalouiseelsdon_555416.pdf" TargetMode="External"/><Relationship Id="rId245" Type="http://schemas.openxmlformats.org/officeDocument/2006/relationships/hyperlink" Target="https://www.physiotherapyboard.gov.au/about/statistics.aspx" TargetMode="External"/><Relationship Id="rId261" Type="http://schemas.openxmlformats.org/officeDocument/2006/relationships/hyperlink" Target="http://www.rms.nsw.gov.au/roads/licence/rider/learner.html" TargetMode="External"/><Relationship Id="rId266" Type="http://schemas.openxmlformats.org/officeDocument/2006/relationships/hyperlink" Target="https://www.ncbi.nlm.nih.gov/pmc/articles/PMC387473/" TargetMode="External"/><Relationship Id="rId14" Type="http://schemas.openxmlformats.org/officeDocument/2006/relationships/hyperlink" Target="https://www.ntc.gov.au/Media/Reports/(57B3DBA8-7385-6F21-9B36-D88226B486B9).pdf" TargetMode="External"/><Relationship Id="rId30" Type="http://schemas.openxmlformats.org/officeDocument/2006/relationships/hyperlink" Target="https://www.onlinepublications.austroads.com.au/items/AP-120-95" TargetMode="External"/><Relationship Id="rId35" Type="http://schemas.openxmlformats.org/officeDocument/2006/relationships/hyperlink" Target="http://www.tac.vic.gov.au/road-safety/statistics/summaries/speed-statistics" TargetMode="External"/><Relationship Id="rId56" Type="http://schemas.openxmlformats.org/officeDocument/2006/relationships/hyperlink" Target="http://images.content.deloitte.com.au/Web/DELOITTEAUSTRALIA/%7B4b9662b3-d737-44fa-b5c4-babb6f673704%7D_20180822-tel-inbound-mobile-consumer-survey-2017-report.pdf" TargetMode="External"/><Relationship Id="rId77" Type="http://schemas.openxmlformats.org/officeDocument/2006/relationships/hyperlink" Target="http://www.ausstats.abs.gov.au/Ausstats/Subscriber.Nsf/0/3b1917236618a042ca25711f00185526/%24File/43640_2004-05.Pdf" TargetMode="External"/><Relationship Id="rId100" Type="http://schemas.openxmlformats.org/officeDocument/2006/relationships/hyperlink" Target="https://www.sciencedirect.com/science/article/pii/S0001457505001016?via%3Dihub" TargetMode="External"/><Relationship Id="rId105" Type="http://schemas.openxmlformats.org/officeDocument/2006/relationships/hyperlink" Target="https://www.sciencedirect.com/science/article/pii/S0925753509001891?via%3Dihub" TargetMode="External"/><Relationship Id="rId126" Type="http://schemas.openxmlformats.org/officeDocument/2006/relationships/hyperlink" Target="http://www.abs.gov.au/ausstats/abs@.nsf/mf/9208.0" TargetMode="External"/><Relationship Id="rId147" Type="http://schemas.openxmlformats.org/officeDocument/2006/relationships/hyperlink" Target="https://www.vicroads.vic.gov.au/~/media/files/documents/safety-and-road-rules/examination-of-the-impact-of-the-gls-on-young-drivers-oct-2017.pdf?la=en" TargetMode="External"/><Relationship Id="rId168" Type="http://schemas.openxmlformats.org/officeDocument/2006/relationships/hyperlink" Target="https://www.sciencedirect.com/science/article/pii/S0022437508000509?via%3Dihub" TargetMode="External"/><Relationship Id="rId282" Type="http://schemas.openxmlformats.org/officeDocument/2006/relationships/hyperlink" Target="http://www.legislation.vic.gov.au/Domino/Web_Notes/LDMS/PubStatbook.nsf/51dea49770555ea6ca256da4001b90cd/D74CCF267D6DC44ECA2581FB00097F12/$FILE/17-068aa%20authorised.pdf" TargetMode="External"/><Relationship Id="rId8" Type="http://schemas.openxmlformats.org/officeDocument/2006/relationships/hyperlink" Target="http://roadsafety.gov.au/nrss/files/NRSS_2011_2020.pdf" TargetMode="External"/><Relationship Id="rId51" Type="http://schemas.openxmlformats.org/officeDocument/2006/relationships/hyperlink" Target="http://www.tac.vic.gov.au/road-safety/statistics/summaries/seatbelt-statistics" TargetMode="External"/><Relationship Id="rId72" Type="http://schemas.openxmlformats.org/officeDocument/2006/relationships/hyperlink" Target="https://academic.oup.com/bmb/article/92/1/135/332828" TargetMode="External"/><Relationship Id="rId93" Type="http://schemas.openxmlformats.org/officeDocument/2006/relationships/hyperlink" Target="https://www.youngdriverfactbase.com/key-statistics" TargetMode="External"/><Relationship Id="rId98" Type="http://schemas.openxmlformats.org/officeDocument/2006/relationships/hyperlink" Target="https://www.sciencedirect.com/science/article/pii/S0022437502000828" TargetMode="External"/><Relationship Id="rId121" Type="http://schemas.openxmlformats.org/officeDocument/2006/relationships/hyperlink" Target="http://www.abs.gov.au/AUSSTATS/abs@.nsf/mf/3101.0" TargetMode="External"/><Relationship Id="rId142" Type="http://schemas.openxmlformats.org/officeDocument/2006/relationships/hyperlink" Target="https://files.eric.ed.gov/fulltext/ED391119.pdf" TargetMode="External"/><Relationship Id="rId163" Type="http://schemas.openxmlformats.org/officeDocument/2006/relationships/hyperlink" Target="https://ir.uiowa.edu/cgi/viewcontent.cgi?article=1053&amp;context=drivingassessment" TargetMode="External"/><Relationship Id="rId184" Type="http://schemas.openxmlformats.org/officeDocument/2006/relationships/hyperlink" Target="https://jamanetwork.com/journals/jama/fullarticle/192524" TargetMode="External"/><Relationship Id="rId189" Type="http://schemas.openxmlformats.org/officeDocument/2006/relationships/hyperlink" Target="https://www.parliament.vic.gov.au/images/Attachment_to_Submission_no._75_-_Literature_Review_of_Effective_Components_of_Graduated_Licensing_Schemes.pdf" TargetMode="External"/><Relationship Id="rId219" Type="http://schemas.openxmlformats.org/officeDocument/2006/relationships/hyperlink" Target="https://www.ncbi.nlm.nih.gov/pmc/articles/PMC3065853/" TargetMode="External"/><Relationship Id="rId3" Type="http://schemas.openxmlformats.org/officeDocument/2006/relationships/hyperlink" Target="https://www.towardszero.vic.gov.au/__data/assets/pdf_file/0010/183556/STU_0206_RS_STRATEGY_2016_web.pdf" TargetMode="External"/><Relationship Id="rId214" Type="http://schemas.openxmlformats.org/officeDocument/2006/relationships/hyperlink" Target="https://trid.trb.org/view/680707" TargetMode="External"/><Relationship Id="rId230" Type="http://schemas.openxmlformats.org/officeDocument/2006/relationships/hyperlink" Target="https://www.ncbi.nlm.nih.gov/pubmed/?term=Bohensky%20M%5BAuthor%5D&amp;cauthor=true&amp;cauthor_uid=19068294" TargetMode="External"/><Relationship Id="rId235" Type="http://schemas.openxmlformats.org/officeDocument/2006/relationships/hyperlink" Target="https://www.ncbi.nlm.nih.gov/pubmed/?term=Fitzharris%20M%5BAuthor%5D&amp;cauthor=true&amp;cauthor_uid=15545070" TargetMode="External"/><Relationship Id="rId251" Type="http://schemas.openxmlformats.org/officeDocument/2006/relationships/hyperlink" Target="http://www.diva-portal.org/smash/get/diva2:675149/FULLTEXT01.pdf" TargetMode="External"/><Relationship Id="rId256" Type="http://schemas.openxmlformats.org/officeDocument/2006/relationships/hyperlink" Target="http://apo.org.au/system/files/1893/apo-nid1893-149321.pdf" TargetMode="External"/><Relationship Id="rId277" Type="http://schemas.openxmlformats.org/officeDocument/2006/relationships/hyperlink" Target="https://www.planning.vic.gov.au/__data/assets/pdf_file/0014/14036/Victoria-in-Future-2016-FINAL-web.pdf" TargetMode="External"/><Relationship Id="rId25" Type="http://schemas.openxmlformats.org/officeDocument/2006/relationships/hyperlink" Target="https://www.monash.edu/__data/assets/pdf_file/0007/217078/atsb136.pdf" TargetMode="External"/><Relationship Id="rId46" Type="http://schemas.openxmlformats.org/officeDocument/2006/relationships/hyperlink" Target="http://www.trb.org/Main/Blurbs/172120.aspx" TargetMode="External"/><Relationship Id="rId67" Type="http://schemas.openxmlformats.org/officeDocument/2006/relationships/hyperlink" Target="https://www.sciencedirect.com/science/article/pii/S0001457505002046" TargetMode="External"/><Relationship Id="rId116" Type="http://schemas.openxmlformats.org/officeDocument/2006/relationships/hyperlink" Target="http://www.tac.vic.gov.au/__data/assets/pdf_file/0019/59230/TAC-Motorcycle-Tracking-Wave-5-Final-Report-29th-July.pdf" TargetMode="External"/><Relationship Id="rId137" Type="http://schemas.openxmlformats.org/officeDocument/2006/relationships/hyperlink" Target="http://citeseerx.ist.psu.edu/viewdoc/download;jsessionid=07FF34650C37D4A3F8221AB5275E7B81?doi=10.1.1.610.2534&amp;rep=rep1&amp;type=pdf" TargetMode="External"/><Relationship Id="rId158" Type="http://schemas.openxmlformats.org/officeDocument/2006/relationships/hyperlink" Target="https://files.eric.ed.gov/fulltext/ED435858.pdf" TargetMode="External"/><Relationship Id="rId272" Type="http://schemas.openxmlformats.org/officeDocument/2006/relationships/hyperlink" Target="https://www.vicroads.vic.gov.au/about-vicroads/corporate-responsibility/vicroads-annual-report" TargetMode="External"/><Relationship Id="rId20" Type="http://schemas.openxmlformats.org/officeDocument/2006/relationships/hyperlink" Target="http://www.austroads.com.au/drivers-vehicles/overseas-driver-licences/applying-for-a-licence" TargetMode="External"/><Relationship Id="rId41" Type="http://schemas.openxmlformats.org/officeDocument/2006/relationships/hyperlink" Target="https://infrastructure.gov.au/roads/safety/publications/2004/pdf/Safety_Aust.pdf" TargetMode="External"/><Relationship Id="rId62" Type="http://schemas.openxmlformats.org/officeDocument/2006/relationships/hyperlink" Target="https://www.ncbi.nlm.nih.gov/pmc/articles/PMC2564438/" TargetMode="External"/><Relationship Id="rId83" Type="http://schemas.openxmlformats.org/officeDocument/2006/relationships/hyperlink" Target="https://nyaspubs.onlinelibrary.wiley.com/doi/abs/10.1196/annals.1308.009" TargetMode="External"/><Relationship Id="rId88" Type="http://schemas.openxmlformats.org/officeDocument/2006/relationships/hyperlink" Target="https://www.sciencedirect.com/science/article/pii/0001457595000666?via%3Dihub" TargetMode="External"/><Relationship Id="rId111" Type="http://schemas.openxmlformats.org/officeDocument/2006/relationships/hyperlink" Target="https://injuryprevention.bmj.com/content/8/suppl_2/ii32" TargetMode="External"/><Relationship Id="rId132" Type="http://schemas.openxmlformats.org/officeDocument/2006/relationships/hyperlink" Target="http://www.tac.vic.gov.au/road-safety/statistics/lives-lost-annual" TargetMode="External"/><Relationship Id="rId153" Type="http://schemas.openxmlformats.org/officeDocument/2006/relationships/hyperlink" Target="https://austroads.com.au/publications/road-safety/ap-r469-14" TargetMode="External"/><Relationship Id="rId174" Type="http://schemas.openxmlformats.org/officeDocument/2006/relationships/hyperlink" Target="https://www.parliament.vic.gov.au/images/Attachment_to_Submission_no._75_-_Literature_Review_of_Effective_Components_of_Graduated_Licensing_Schemes.pdf" TargetMode="External"/><Relationship Id="rId179" Type="http://schemas.openxmlformats.org/officeDocument/2006/relationships/hyperlink" Target="https://trid.trb.org/view/425133" TargetMode="External"/><Relationship Id="rId195" Type="http://schemas.openxmlformats.org/officeDocument/2006/relationships/hyperlink" Target="https://www.monash.edu/__data/assets/pdf_file/0004/216436/muarc180.pdf" TargetMode="External"/><Relationship Id="rId209" Type="http://schemas.openxmlformats.org/officeDocument/2006/relationships/hyperlink" Target="https://www.dictionary.com/browse/reside" TargetMode="External"/><Relationship Id="rId190" Type="http://schemas.openxmlformats.org/officeDocument/2006/relationships/hyperlink" Target="https://www.parliament.vic.gov.au/images/stories/committees/lrrcsc/Probationary_Age/Final_Govt_Response_-_Inquiry_-_Lowering_probationary_driving_age_PJg9xRtG.pdf" TargetMode="External"/><Relationship Id="rId204" Type="http://schemas.openxmlformats.org/officeDocument/2006/relationships/hyperlink" Target="https://www.vicroads.vic.gov.au/licences/renew-replace-or-update/new-to-victoria/overseas-drivers" TargetMode="External"/><Relationship Id="rId220" Type="http://schemas.openxmlformats.org/officeDocument/2006/relationships/hyperlink" Target="https://www.sciencedirect.com/science/article/pii/S1369847806000520" TargetMode="External"/><Relationship Id="rId225" Type="http://schemas.openxmlformats.org/officeDocument/2006/relationships/hyperlink" Target="https://pdfs.semanticscholar.org/f350/4f3aace4b1648bd6105d406df7db71d7b6c9.pdf" TargetMode="External"/><Relationship Id="rId241" Type="http://schemas.openxmlformats.org/officeDocument/2006/relationships/hyperlink" Target="https://www.coronerscourt.vic.gov.au/sites/default/files/201812/MASTER%20CCOV%20AR%202017-18_0.pdf" TargetMode="External"/><Relationship Id="rId246" Type="http://schemas.openxmlformats.org/officeDocument/2006/relationships/hyperlink" Target="https://www.towardszero.vic.gov.au/what-is-towards-zero/road-safety-action-plan" TargetMode="External"/><Relationship Id="rId267" Type="http://schemas.openxmlformats.org/officeDocument/2006/relationships/hyperlink" Target="https://www.legislation.gov.au/Details/F2016C00706" TargetMode="External"/><Relationship Id="rId15" Type="http://schemas.openxmlformats.org/officeDocument/2006/relationships/hyperlink" Target="https://www.legislation.gov.au/Details/F2016C00706" TargetMode="External"/><Relationship Id="rId36" Type="http://schemas.openxmlformats.org/officeDocument/2006/relationships/hyperlink" Target="https://lib.ugent.be/fulltxt/RUG01/001/813/795/RUG01-001813795_2012_0001_AC.pdf" TargetMode="External"/><Relationship Id="rId57" Type="http://schemas.openxmlformats.org/officeDocument/2006/relationships/hyperlink" Target="http://www.pnas.org/content/113/10/2636.long" TargetMode="External"/><Relationship Id="rId106" Type="http://schemas.openxmlformats.org/officeDocument/2006/relationships/hyperlink" Target="http://apo.org.au/system/files/1893/apo-nid1893-149321.pdf" TargetMode="External"/><Relationship Id="rId127" Type="http://schemas.openxmlformats.org/officeDocument/2006/relationships/hyperlink" Target="https://www.towardszero.vic.gov.au/what-is-towards-zero/road-safety-action-plan" TargetMode="External"/><Relationship Id="rId262" Type="http://schemas.openxmlformats.org/officeDocument/2006/relationships/hyperlink" Target="https://www.monash.edu/__data/assets/pdf_file/0019/216370/atsb174.pdf" TargetMode="External"/><Relationship Id="rId283" Type="http://schemas.openxmlformats.org/officeDocument/2006/relationships/hyperlink" Target="http://dfat.gov.au/about-us/publications/corporate/protocol-guidelines/Pages/8-1-driver-licences.aspx" TargetMode="External"/><Relationship Id="rId10" Type="http://schemas.openxmlformats.org/officeDocument/2006/relationships/hyperlink" Target="http://roadsafety.gov.au/nrss/directions.aspx" TargetMode="External"/><Relationship Id="rId31" Type="http://schemas.openxmlformats.org/officeDocument/2006/relationships/hyperlink" Target="https://austroads.com.au/publications/road-safety/ap-132-98" TargetMode="External"/><Relationship Id="rId52" Type="http://schemas.openxmlformats.org/officeDocument/2006/relationships/hyperlink" Target="http://www.roadsafetyobservatory.com/KeyFacts/vehicles/seat-belts" TargetMode="External"/><Relationship Id="rId73" Type="http://schemas.openxmlformats.org/officeDocument/2006/relationships/hyperlink" Target="https://www.tandfonline.com/doi/pdf/10.1080/15389588.2013.808742?needAccess=true" TargetMode="External"/><Relationship Id="rId78" Type="http://schemas.openxmlformats.org/officeDocument/2006/relationships/hyperlink" Target="http://www.tac.vic.gov.au/road-safety/safe-driving/motorcycle-safety" TargetMode="External"/><Relationship Id="rId94" Type="http://schemas.openxmlformats.org/officeDocument/2006/relationships/hyperlink" Target="https://pdfs.semanticscholar.org/4033/95a2b55be1269f17745c7436f1746d402645.pdf" TargetMode="External"/><Relationship Id="rId99" Type="http://schemas.openxmlformats.org/officeDocument/2006/relationships/hyperlink" Target="https://www.bmj.com/content/310/6979/565" TargetMode="External"/><Relationship Id="rId101" Type="http://schemas.openxmlformats.org/officeDocument/2006/relationships/hyperlink" Target="http://www.who.int/violence_injury_prevention/publications/road_traffic/world_report/en/index.html" TargetMode="External"/><Relationship Id="rId122" Type="http://schemas.openxmlformats.org/officeDocument/2006/relationships/hyperlink" Target="https://www.towardszero.vic.gov.au/what-is-towards-zero/road-safety-action-plan" TargetMode="External"/><Relationship Id="rId143" Type="http://schemas.openxmlformats.org/officeDocument/2006/relationships/hyperlink" Target="https://www.sciencedirect.com/science/article/pii/S0022437502000774" TargetMode="External"/><Relationship Id="rId148" Type="http://schemas.openxmlformats.org/officeDocument/2006/relationships/hyperlink" Target="https://www.monash.edu/__data/assets/pdf_file/0006/465558/Review-of-Literature-Young-Drivers.pdf" TargetMode="External"/><Relationship Id="rId164" Type="http://schemas.openxmlformats.org/officeDocument/2006/relationships/hyperlink" Target="https://trl.co.uk/sites/default/files/PPR427.pdf" TargetMode="External"/><Relationship Id="rId169" Type="http://schemas.openxmlformats.org/officeDocument/2006/relationships/hyperlink" Target="https://www.parliament.vic.gov.au/images/Attachment_to_Submission_no._75_-_Literature_Review_of_Effective_Components_of_Graduated_Licensing_Schemes.pdf" TargetMode="External"/><Relationship Id="rId185" Type="http://schemas.openxmlformats.org/officeDocument/2006/relationships/hyperlink" Target="https://jamanetwork.com/journals/jama/fullarticle/192524" TargetMode="External"/><Relationship Id="rId4" Type="http://schemas.openxmlformats.org/officeDocument/2006/relationships/hyperlink" Target="https://www.vicroads.vic.gov.au/~/media/files/documents/safety-and-road-rules/examination-of-the-impact-of-the-gls-on-young-drivers-oct-2017.pdf?la=en" TargetMode="External"/><Relationship Id="rId9" Type="http://schemas.openxmlformats.org/officeDocument/2006/relationships/hyperlink" Target="http://roadsafety.gov.au/nrss/safe-system.aspx" TargetMode="External"/><Relationship Id="rId180" Type="http://schemas.openxmlformats.org/officeDocument/2006/relationships/hyperlink" Target="http://apo.org.au/system/files/1893/apo-nid1893-149321.pdf" TargetMode="External"/><Relationship Id="rId210" Type="http://schemas.openxmlformats.org/officeDocument/2006/relationships/hyperlink" Target="https://en.oxforddictionaries.com/definition/resident" TargetMode="External"/><Relationship Id="rId215" Type="http://schemas.openxmlformats.org/officeDocument/2006/relationships/hyperlink" Target="https://www.tandfonline.com/doi/pdf/10.1080/15389580802091199" TargetMode="External"/><Relationship Id="rId236" Type="http://schemas.openxmlformats.org/officeDocument/2006/relationships/hyperlink" Target="https://www.ncbi.nlm.nih.gov/pubmed/?term=Koppel%20S%5BAuthor%5D&amp;cauthor=true&amp;cauthor_uid=15545070" TargetMode="External"/><Relationship Id="rId257" Type="http://schemas.openxmlformats.org/officeDocument/2006/relationships/hyperlink" Target="https://www.parliament.vic.gov.au/images/Attachment_to_Submission_no._75_-_Literature_Review_of_Effective_Components_of_Graduated_Licensing_Schemes.pdf" TargetMode="External"/><Relationship Id="rId278" Type="http://schemas.openxmlformats.org/officeDocument/2006/relationships/hyperlink" Target="http://www.legislation.vic.gov.au/domino/web_notes/LDMS/pubhome.nsf/KW/Legislative%20Information!OpenDocument&amp;ExpandSection=16" TargetMode="External"/><Relationship Id="rId26" Type="http://schemas.openxmlformats.org/officeDocument/2006/relationships/hyperlink" Target="http://acrs.org.au/files/papers/arsc/2015/WalkerE%20245%20Development%20of%20the%20Australian%20Graduated%20Licensing%20Scheme%20policy%20framework.pdf" TargetMode="External"/><Relationship Id="rId231" Type="http://schemas.openxmlformats.org/officeDocument/2006/relationships/hyperlink" Target="https://www.ncbi.nlm.nih.gov/pubmed/?term=Koppel%20S%5BAuthor%5D&amp;cauthor=true&amp;cauthor_uid=19068294" TargetMode="External"/><Relationship Id="rId252" Type="http://schemas.openxmlformats.org/officeDocument/2006/relationships/hyperlink" Target="https://www.parliament.vic.gov.au/images/Attachment_to_Submission_no._75_-_Literature_Review_of_Effective_Components_of_Graduated_Licensing_Schemes.pdf" TargetMode="External"/><Relationship Id="rId273" Type="http://schemas.openxmlformats.org/officeDocument/2006/relationships/hyperlink" Target="http://www.dtf.vic.gov.au/Publications/Victoria-Economy-publications/Macroeconomic-indicators" TargetMode="External"/><Relationship Id="rId47" Type="http://schemas.openxmlformats.org/officeDocument/2006/relationships/hyperlink" Target="https://www.tac.vic.gov.au/road-safety/tac-campaigns/drug-driving" TargetMode="External"/><Relationship Id="rId68" Type="http://schemas.openxmlformats.org/officeDocument/2006/relationships/hyperlink" Target="https://www.tandfonline.com/doi/pdf/10.1080/15389580801895244" TargetMode="External"/><Relationship Id="rId89" Type="http://schemas.openxmlformats.org/officeDocument/2006/relationships/hyperlink" Target="https://aifs.gov.au/publications/drivers-seat-ii" TargetMode="External"/><Relationship Id="rId112" Type="http://schemas.openxmlformats.org/officeDocument/2006/relationships/hyperlink" Target="https://www.vicroads.vic.gov.au/-/media/files/documents/safety-and-road-rules/examination-of-the-impact-of-the-gls-on-young-drivers-oct-2017.ashx?la=en&amp;hash=754BE85D31B21177ECB951296587038B" TargetMode="External"/><Relationship Id="rId133" Type="http://schemas.openxmlformats.org/officeDocument/2006/relationships/hyperlink" Target="https://bitre.gov.au/publications/2010/files/report_118.pdf" TargetMode="External"/><Relationship Id="rId154" Type="http://schemas.openxmlformats.org/officeDocument/2006/relationships/hyperlink" Target="https://www.vicroads.vic.gov.au/~/media/files/documents/safety-and-road-rules/motorcyclelevyglsdiscussionpaper2010.pdf?la=en" TargetMode="External"/><Relationship Id="rId175" Type="http://schemas.openxmlformats.org/officeDocument/2006/relationships/hyperlink" Target="https://www.racv.com.au/on-the-road/driving-maintenance/drive-school.html" TargetMode="External"/><Relationship Id="rId196" Type="http://schemas.openxmlformats.org/officeDocument/2006/relationships/hyperlink" Target="https://www.parliament.vic.gov.au/archive/rsc/1998cycle/mcyclesafety.htm" TargetMode="External"/><Relationship Id="rId200" Type="http://schemas.openxmlformats.org/officeDocument/2006/relationships/hyperlink" Target="http://www.unece.org/fileadmin/DAM/trans/conventn/Convention_on_Road_Traffic_of_1949.pdf" TargetMode="External"/><Relationship Id="rId16" Type="http://schemas.openxmlformats.org/officeDocument/2006/relationships/hyperlink" Target="http://transportinfrastructurecouncil.gov.au/publications/files/NTC_IGA1.pdf" TargetMode="External"/><Relationship Id="rId221" Type="http://schemas.openxmlformats.org/officeDocument/2006/relationships/hyperlink" Target="https://www.sciencedirect.com/science/article/pii/S1369847806000520" TargetMode="External"/><Relationship Id="rId242" Type="http://schemas.openxmlformats.org/officeDocument/2006/relationships/hyperlink" Target="https://ama.com.au/position-statement/role-medical-practitioner-determining-fitness-drive-motor-vehicles-2008" TargetMode="External"/><Relationship Id="rId263" Type="http://schemas.openxmlformats.org/officeDocument/2006/relationships/hyperlink" Target="https://www.sciencedirect.com/science/article/abs/pii/0001457579900058" TargetMode="External"/><Relationship Id="rId284" Type="http://schemas.openxmlformats.org/officeDocument/2006/relationships/hyperlink" Target="http://www.caradvice.com.au/574207/australia-average-vehicle-age-is-10-1-years" TargetMode="External"/><Relationship Id="rId37" Type="http://schemas.openxmlformats.org/officeDocument/2006/relationships/hyperlink" Target="http://apps.who.int/iris/bitstream/handle/10665/42871/9241562609.pdf;jsessionid=F7169D06EB9F8E2BB70E5BCEB6FFC3A4?sequence=1" TargetMode="External"/><Relationship Id="rId58" Type="http://schemas.openxmlformats.org/officeDocument/2006/relationships/hyperlink" Target="https://www.sciencedirect.com/science/article/pii/S0001457515301305?via%3Dihub" TargetMode="External"/><Relationship Id="rId79" Type="http://schemas.openxmlformats.org/officeDocument/2006/relationships/hyperlink" Target="https://www.sciencedirect.com/science/article/pii/S0001457517302282?via%3Dihub" TargetMode="External"/><Relationship Id="rId102" Type="http://schemas.openxmlformats.org/officeDocument/2006/relationships/hyperlink" Target="https://www.ncbi.nlm.nih.gov/pmc/articles/PMC2696293/" TargetMode="External"/><Relationship Id="rId123" Type="http://schemas.openxmlformats.org/officeDocument/2006/relationships/hyperlink" Target="http://www.abs.gov.au/ausstats/abs@.nsf/mf/3222.0" TargetMode="External"/><Relationship Id="rId144" Type="http://schemas.openxmlformats.org/officeDocument/2006/relationships/hyperlink" Target="https://www.sciencedirect.com/science/article/pii/S0022437502000798" TargetMode="External"/><Relationship Id="rId90" Type="http://schemas.openxmlformats.org/officeDocument/2006/relationships/hyperlink" Target="https://trid.trb.org/view.aspx?id=719776" TargetMode="External"/><Relationship Id="rId165" Type="http://schemas.openxmlformats.org/officeDocument/2006/relationships/hyperlink" Target="https://www.sciencedirect.com/science/article/pii/S0749379798001147?via%3Dihub" TargetMode="External"/><Relationship Id="rId186" Type="http://schemas.openxmlformats.org/officeDocument/2006/relationships/hyperlink" Target="http://apo.org.au/system/files/1893/apo-nid1893-149321.pdf" TargetMode="External"/><Relationship Id="rId211" Type="http://schemas.openxmlformats.org/officeDocument/2006/relationships/hyperlink" Target="https://thelawdictionary.org/residence/" TargetMode="External"/><Relationship Id="rId232" Type="http://schemas.openxmlformats.org/officeDocument/2006/relationships/hyperlink" Target="https://www.ncbi.nlm.nih.gov/pubmed/?term=Newstead%20S%5BAuthor%5D&amp;cauthor=true&amp;cauthor_uid=19068294" TargetMode="External"/><Relationship Id="rId253" Type="http://schemas.openxmlformats.org/officeDocument/2006/relationships/hyperlink" Target="https://www.sciencedirect.com/science/article/pii/S0022437502000841" TargetMode="External"/><Relationship Id="rId274" Type="http://schemas.openxmlformats.org/officeDocument/2006/relationships/hyperlink" Target="https://www.dtf.vic.gov.au/2018-19-state-budget/2018-19-budget-update" TargetMode="External"/><Relationship Id="rId27" Type="http://schemas.openxmlformats.org/officeDocument/2006/relationships/hyperlink" Target="https://www.researchgate.net/publication/322307358_The_Victorian_Graduated_Licensing_System_-_Outcome_Evaluation_2017" TargetMode="External"/><Relationship Id="rId48" Type="http://schemas.openxmlformats.org/officeDocument/2006/relationships/hyperlink" Target="http://www.abc.net.au/news/2016-01-07/drugged-driving-on-par-with-alcohol-for-road-deaths/7072648" TargetMode="External"/><Relationship Id="rId69" Type="http://schemas.openxmlformats.org/officeDocument/2006/relationships/hyperlink" Target="https://www.monash.edu/__data/assets/pdf_file/0008/216386/muarc300.pdf" TargetMode="External"/><Relationship Id="rId113" Type="http://schemas.openxmlformats.org/officeDocument/2006/relationships/hyperlink" Target="https://www.researchgate.net/publication/265534525_Motorcycling_in_South_Australia_Knowledge_gaps_for_research" TargetMode="External"/><Relationship Id="rId134" Type="http://schemas.openxmlformats.org/officeDocument/2006/relationships/hyperlink" Target="http://www.tac.vic.gov.au/road-safety/statistics/tac-hospitalisation-reports/rolling-12-month" TargetMode="External"/><Relationship Id="rId80" Type="http://schemas.openxmlformats.org/officeDocument/2006/relationships/hyperlink" Target="https://www.nytimes.com/2018/02/19/well/family/teenage-drivers-cars-safety.html" TargetMode="External"/><Relationship Id="rId155" Type="http://schemas.openxmlformats.org/officeDocument/2006/relationships/hyperlink" Target="https://www.parliament.vic.gov.au/file_uploads/Inquiry_into_Motorcycle_Safety_-_Report_dTgJ7nbQ.pdf" TargetMode="External"/><Relationship Id="rId176" Type="http://schemas.openxmlformats.org/officeDocument/2006/relationships/hyperlink" Target="https://www.onlinepublications.austroads.com.au/items/AP-T70-06" TargetMode="External"/><Relationship Id="rId197" Type="http://schemas.openxmlformats.org/officeDocument/2006/relationships/hyperlink" Target="https://www.homeaffairs.gov.au/ReportsandPublications/Documents/statistics/2014-15-Migration-Programme-Report.pdf" TargetMode="External"/><Relationship Id="rId201" Type="http://schemas.openxmlformats.org/officeDocument/2006/relationships/hyperlink" Target="https://www.racv.com.au/content/dam/racv/images/public-policy/reports/2014-RACV-Crash-Risk-of-International-Visitors-Report-2014.pdf" TargetMode="External"/><Relationship Id="rId222" Type="http://schemas.openxmlformats.org/officeDocument/2006/relationships/hyperlink" Target="https://roadsafetyfoundation.org/wp-content/uploads/2017/11/modsfl.pdf" TargetMode="External"/><Relationship Id="rId243" Type="http://schemas.openxmlformats.org/officeDocument/2006/relationships/hyperlink" Target="https://www.medicalboard.gov.au/News/Statistics.aspx" TargetMode="External"/><Relationship Id="rId264" Type="http://schemas.openxmlformats.org/officeDocument/2006/relationships/hyperlink" Target="https://www.ncbi.nlm.nih.gov/pmc/articles/PMC387473/pdf/bmj32800857.pdf" TargetMode="External"/><Relationship Id="rId17" Type="http://schemas.openxmlformats.org/officeDocument/2006/relationships/hyperlink" Target="https://www.legislation.gov.au/Details/F2016C00706" TargetMode="External"/><Relationship Id="rId38" Type="http://schemas.openxmlformats.org/officeDocument/2006/relationships/hyperlink" Target="https://www.itf-oecd.org/sites/default/files/docs/speed-crash-risk.pdf" TargetMode="External"/><Relationship Id="rId59" Type="http://schemas.openxmlformats.org/officeDocument/2006/relationships/hyperlink" Target="https://www.tandfonline.com/doi/full/10.1080/15389588.2014.923566?scroll=top&amp;needAccess=true" TargetMode="External"/><Relationship Id="rId103" Type="http://schemas.openxmlformats.org/officeDocument/2006/relationships/hyperlink" Target="http://www.aphref.aph.gov.au/house/committee/fhs/illicitdrugs/subs/sub175.pdf" TargetMode="External"/><Relationship Id="rId124" Type="http://schemas.openxmlformats.org/officeDocument/2006/relationships/hyperlink" Target="http://www.abs.gov.au/ausstats/abs@.nsf/mf/9309.0" TargetMode="External"/><Relationship Id="rId70" Type="http://schemas.openxmlformats.org/officeDocument/2006/relationships/hyperlink" Target="https://austroads.com.au/__data/assets/pdf_file/0022/104197/AP-G56-17_Assessing_fitness_to_drive_2016_amended_Aug2017.pdf" TargetMode="External"/><Relationship Id="rId91" Type="http://schemas.openxmlformats.org/officeDocument/2006/relationships/hyperlink" Target="http://psycnet.apa.org/doi/10.1037/10149-008" TargetMode="External"/><Relationship Id="rId145" Type="http://schemas.openxmlformats.org/officeDocument/2006/relationships/hyperlink" Target="https://www.monash.edu/__data/assets/pdf_file/0007/216835/muarc209.pdf" TargetMode="External"/><Relationship Id="rId166" Type="http://schemas.openxmlformats.org/officeDocument/2006/relationships/hyperlink" Target="http://acrs.org.au/files/arsrpe/RS010034.pdf" TargetMode="External"/><Relationship Id="rId187" Type="http://schemas.openxmlformats.org/officeDocument/2006/relationships/hyperlink" Target="https://www.legislation.wa.gov.au/legislation/statutes.nsf/law_s45436.html" TargetMode="External"/><Relationship Id="rId1" Type="http://schemas.openxmlformats.org/officeDocument/2006/relationships/hyperlink" Target="http://www.betterregulation.vic.gov.au/files/98181269-905c-4893-bff3-a6bb009df93c/Victorian-Guide-to-Regulation-PDF-final.pdf" TargetMode="External"/><Relationship Id="rId212" Type="http://schemas.openxmlformats.org/officeDocument/2006/relationships/hyperlink" Target="https://trid.trb.org/view/680707" TargetMode="External"/><Relationship Id="rId233" Type="http://schemas.openxmlformats.org/officeDocument/2006/relationships/hyperlink" Target="https://www.ncbi.nlm.nih.gov/pubmed/19068294" TargetMode="External"/><Relationship Id="rId254" Type="http://schemas.openxmlformats.org/officeDocument/2006/relationships/hyperlink" Target="https://trid.trb.org/view/726440" TargetMode="External"/><Relationship Id="rId28" Type="http://schemas.openxmlformats.org/officeDocument/2006/relationships/hyperlink" Target="https://www.onlinepublications.austroads.com.au/items/AP-R469-14" TargetMode="External"/><Relationship Id="rId49" Type="http://schemas.openxmlformats.org/officeDocument/2006/relationships/hyperlink" Target="http://www.aphref.aph.gov.au/house/committee/fhs/illicitdrugs/subs/sub175.pdf" TargetMode="External"/><Relationship Id="rId114" Type="http://schemas.openxmlformats.org/officeDocument/2006/relationships/hyperlink" Target="https://www.sciencedirect.com/science/article/pii/S0001457509000578" TargetMode="External"/><Relationship Id="rId275" Type="http://schemas.openxmlformats.org/officeDocument/2006/relationships/hyperlink" Target="http://www.abs.gov.au/ausstats/abs@.nsf/mf/9314.0" TargetMode="External"/><Relationship Id="rId60" Type="http://schemas.openxmlformats.org/officeDocument/2006/relationships/hyperlink" Target="http://www.tac.vic.gov.au/__data/assets/pdf_file/0007/274471/RSM-Annual-Report_V4.pdf" TargetMode="External"/><Relationship Id="rId81" Type="http://schemas.openxmlformats.org/officeDocument/2006/relationships/hyperlink" Target="https://www.sciencedirect.com/science/article/pii/S0001457502000891" TargetMode="External"/><Relationship Id="rId135" Type="http://schemas.openxmlformats.org/officeDocument/2006/relationships/hyperlink" Target="https://www.pmc.gov.au/sites/default/files/publications/Value_of_Statistical_Life_guidance_note.pdf" TargetMode="External"/><Relationship Id="rId156" Type="http://schemas.openxmlformats.org/officeDocument/2006/relationships/hyperlink" Target="https://www.vicroads.vic.gov.au/~/media/files/documents/safety-and-road-rules/powered-two-wheelers-action-plan20092013.pdf?la=en" TargetMode="External"/><Relationship Id="rId177" Type="http://schemas.openxmlformats.org/officeDocument/2006/relationships/hyperlink" Target="https://www.vicroads.vic.gov.au/licences/your-ps/get-your-ps/preparing-for-your-licence-test/l2p-learner-driver-mentor-program" TargetMode="External"/><Relationship Id="rId198" Type="http://schemas.openxmlformats.org/officeDocument/2006/relationships/hyperlink" Target="http://www.austroads.com.au/drivers-vehicles/overseas-driver-licences/country-recognition" TargetMode="External"/><Relationship Id="rId202" Type="http://schemas.openxmlformats.org/officeDocument/2006/relationships/hyperlink" Target="https://www.premier.vic.gov.au/wp-content/uploads/2017/12/171222-Making-Victoria%E2%80%99s-Roads-Safer-For-Visiting-Drivers.pdf" TargetMode="External"/><Relationship Id="rId223" Type="http://schemas.openxmlformats.org/officeDocument/2006/relationships/hyperlink" Target="https://www.ncbi.nlm.nih.gov/pubmed/11078110" TargetMode="External"/><Relationship Id="rId244" Type="http://schemas.openxmlformats.org/officeDocument/2006/relationships/hyperlink" Target="https://www.optometryboard.gov.au/about/statistics.aspx"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s>
</file>

<file path=word/_rels/header13.xml.rels><?xml version="1.0" encoding="UTF-8" standalone="yes"?>
<Relationships xmlns="http://schemas.openxmlformats.org/package/2006/relationships"><Relationship Id="rId1" Type="http://schemas.openxmlformats.org/officeDocument/2006/relationships/image" Target="media/image4.jpg"/></Relationships>
</file>

<file path=word/_rels/header16.xml.rels><?xml version="1.0" encoding="UTF-8" standalone="yes"?>
<Relationships xmlns="http://schemas.openxmlformats.org/package/2006/relationships"><Relationship Id="rId1" Type="http://schemas.openxmlformats.org/officeDocument/2006/relationships/image" Target="media/image4.jpg"/></Relationships>
</file>

<file path=word/_rels/header19.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4.jpg"/></Relationships>
</file>

<file path=word/_rels/header25.xml.rels><?xml version="1.0" encoding="UTF-8" standalone="yes"?>
<Relationships xmlns="http://schemas.openxmlformats.org/package/2006/relationships"><Relationship Id="rId1" Type="http://schemas.openxmlformats.org/officeDocument/2006/relationships/image" Target="media/image5.jpeg"/></Relationships>
</file>

<file path=word/_rels/header28.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5.jpeg"/></Relationships>
</file>

<file path=word/_rels/header37.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40.xml.rels><?xml version="1.0" encoding="UTF-8" standalone="yes"?>
<Relationships xmlns="http://schemas.openxmlformats.org/package/2006/relationships"><Relationship Id="rId1" Type="http://schemas.openxmlformats.org/officeDocument/2006/relationships/image" Target="media/image5.jpeg"/></Relationships>
</file>

<file path=word/_rels/header43.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4.jpg"/></Relationships>
</file>

<file path=word/_rels/header49.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52.xml.rels><?xml version="1.0" encoding="UTF-8" standalone="yes"?>
<Relationships xmlns="http://schemas.openxmlformats.org/package/2006/relationships"><Relationship Id="rId1" Type="http://schemas.openxmlformats.org/officeDocument/2006/relationships/image" Target="media/image4.jpg"/></Relationships>
</file>

<file path=word/_rels/header55.xml.rels><?xml version="1.0" encoding="UTF-8" standalone="yes"?>
<Relationships xmlns="http://schemas.openxmlformats.org/package/2006/relationships"><Relationship Id="rId1" Type="http://schemas.openxmlformats.org/officeDocument/2006/relationships/image" Target="media/image4.jpg"/></Relationships>
</file>

<file path=word/_rels/header58.xml.rels><?xml version="1.0" encoding="UTF-8" standalone="yes"?>
<Relationships xmlns="http://schemas.openxmlformats.org/package/2006/relationships"><Relationship Id="rId1" Type="http://schemas.openxmlformats.org/officeDocument/2006/relationships/image" Target="media/image4.jpg"/></Relationships>
</file>

<file path=word/_rels/header60.xml.rels><?xml version="1.0" encoding="UTF-8" standalone="yes"?>
<Relationships xmlns="http://schemas.openxmlformats.org/package/2006/relationships"><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1" Type="http://schemas.openxmlformats.org/officeDocument/2006/relationships/image" Target="media/image4.jpg"/></Relationships>
</file>

<file path=word/_rels/header62.xml.rels><?xml version="1.0" encoding="UTF-8" standalone="yes"?>
<Relationships xmlns="http://schemas.openxmlformats.org/package/2006/relationships"><Relationship Id="rId1" Type="http://schemas.openxmlformats.org/officeDocument/2006/relationships/image" Target="media/image5.jpeg"/></Relationships>
</file>

<file path=word/_rels/header63.xml.rels><?xml version="1.0" encoding="UTF-8" standalone="yes"?>
<Relationships xmlns="http://schemas.openxmlformats.org/package/2006/relationships"><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1" Type="http://schemas.openxmlformats.org/officeDocument/2006/relationships/image" Target="media/image4.jpg"/></Relationships>
</file>

<file path=word/_rels/header65.xml.rels><?xml version="1.0" encoding="UTF-8" standalone="yes"?>
<Relationships xmlns="http://schemas.openxmlformats.org/package/2006/relationships"><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1" Type="http://schemas.openxmlformats.org/officeDocument/2006/relationships/image" Target="media/image4.jpg"/></Relationships>
</file>

<file path=word/_rels/header67.xml.rels><?xml version="1.0" encoding="UTF-8" standalone="yes"?>
<Relationships xmlns="http://schemas.openxmlformats.org/package/2006/relationships"><Relationship Id="rId1" Type="http://schemas.openxmlformats.org/officeDocument/2006/relationships/image" Target="media/image4.jpg"/></Relationships>
</file>

<file path=word/_rels/header68.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70.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211128837656"/>
          <c:y val="0.1042345276872967"/>
          <c:w val="0.85982536496663409"/>
          <c:h val="0.66998368518106699"/>
        </c:manualLayout>
      </c:layout>
      <c:lineChart>
        <c:grouping val="standard"/>
        <c:varyColors val="0"/>
        <c:ser>
          <c:idx val="0"/>
          <c:order val="0"/>
          <c:tx>
            <c:strRef>
              <c:f>'Self Serve summary'!$C$3</c:f>
              <c:strCache>
                <c:ptCount val="1"/>
                <c:pt idx="0">
                  <c:v>Online Self Service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39B54A"/>
                    </a:solidFill>
                    <a:latin typeface="Segoe UI" panose="020B0502040204020203" pitchFamily="34" charset="0"/>
                    <a:ea typeface="+mn-ea"/>
                    <a:cs typeface="Segoe UI" panose="020B05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'Self Serve summary'!$B$4:$B$7</c:f>
              <c:strCache>
                <c:ptCount val="4"/>
                <c:pt idx="0">
                  <c:v>FY13/14</c:v>
                </c:pt>
                <c:pt idx="1">
                  <c:v>FY14/15</c:v>
                </c:pt>
                <c:pt idx="2">
                  <c:v>FY15/16</c:v>
                </c:pt>
                <c:pt idx="3">
                  <c:v>FY16/17</c:v>
                </c:pt>
              </c:strCache>
            </c:strRef>
          </c:cat>
          <c:val>
            <c:numRef>
              <c:f>'Self Serve summary'!$C$4:$C$7</c:f>
              <c:numCache>
                <c:formatCode>0%</c:formatCode>
                <c:ptCount val="4"/>
                <c:pt idx="0">
                  <c:v>0.54665045825127612</c:v>
                </c:pt>
                <c:pt idx="1">
                  <c:v>0.5965612730004155</c:v>
                </c:pt>
                <c:pt idx="2">
                  <c:v>0.64951005578879561</c:v>
                </c:pt>
                <c:pt idx="3">
                  <c:v>0.66583156445949576</c:v>
                </c:pt>
              </c:numCache>
            </c:numRef>
          </c:val>
          <c:smooth val="0"/>
          <c:extLst>
            <c:ext xmlns:c16="http://schemas.microsoft.com/office/drawing/2014/chart" uri="{C3380CC4-5D6E-409C-BE32-E72D297353CC}">
              <c16:uniqueId val="{00000000-74C3-49F1-AFF8-98BCC587A71C}"/>
            </c:ext>
          </c:extLst>
        </c:ser>
        <c:ser>
          <c:idx val="1"/>
          <c:order val="1"/>
          <c:tx>
            <c:strRef>
              <c:f>'Self Serve summary'!$D$3</c:f>
              <c:strCache>
                <c:ptCount val="1"/>
                <c:pt idx="0">
                  <c:v>Non Self Service</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'Self Serve summary'!$B$4:$B$7</c:f>
              <c:strCache>
                <c:ptCount val="4"/>
                <c:pt idx="0">
                  <c:v>FY13/14</c:v>
                </c:pt>
                <c:pt idx="1">
                  <c:v>FY14/15</c:v>
                </c:pt>
                <c:pt idx="2">
                  <c:v>FY15/16</c:v>
                </c:pt>
                <c:pt idx="3">
                  <c:v>FY16/17</c:v>
                </c:pt>
              </c:strCache>
            </c:strRef>
          </c:cat>
          <c:val>
            <c:numRef>
              <c:f>'Self Serve summary'!$D$4:$D$7</c:f>
              <c:numCache>
                <c:formatCode>0%</c:formatCode>
                <c:ptCount val="4"/>
                <c:pt idx="0">
                  <c:v>0.45334954174872666</c:v>
                </c:pt>
                <c:pt idx="1">
                  <c:v>0.40343872699958488</c:v>
                </c:pt>
                <c:pt idx="2">
                  <c:v>0.35048994421120488</c:v>
                </c:pt>
                <c:pt idx="3">
                  <c:v>0.33416843554050996</c:v>
                </c:pt>
              </c:numCache>
            </c:numRef>
          </c:val>
          <c:smooth val="0"/>
          <c:extLst>
            <c:ext xmlns:c16="http://schemas.microsoft.com/office/drawing/2014/chart" uri="{C3380CC4-5D6E-409C-BE32-E72D297353CC}">
              <c16:uniqueId val="{00000001-74C3-49F1-AFF8-98BCC587A71C}"/>
            </c:ext>
          </c:extLst>
        </c:ser>
        <c:dLbls>
          <c:showLegendKey val="0"/>
          <c:showVal val="0"/>
          <c:showCatName val="0"/>
          <c:showSerName val="0"/>
          <c:showPercent val="0"/>
          <c:showBubbleSize val="0"/>
        </c:dLbls>
        <c:marker val="1"/>
        <c:smooth val="0"/>
        <c:axId val="100876288"/>
        <c:axId val="100877824"/>
      </c:lineChart>
      <c:catAx>
        <c:axId val="10087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50000"/>
                    <a:lumOff val="50000"/>
                  </a:schemeClr>
                </a:solidFill>
                <a:latin typeface="Segoe UI" panose="020B0502040204020203" pitchFamily="34" charset="0"/>
                <a:ea typeface="+mn-ea"/>
                <a:cs typeface="Segoe UI" panose="020B0502040204020203" pitchFamily="34" charset="0"/>
              </a:defRPr>
            </a:pPr>
            <a:endParaRPr lang="en-US"/>
          </a:p>
        </c:txPr>
        <c:crossAx val="100877824"/>
        <c:crosses val="autoZero"/>
        <c:auto val="1"/>
        <c:lblAlgn val="ctr"/>
        <c:lblOffset val="100"/>
        <c:noMultiLvlLbl val="0"/>
      </c:catAx>
      <c:valAx>
        <c:axId val="100877824"/>
        <c:scaling>
          <c:orientation val="minMax"/>
          <c:max val="1"/>
        </c:scaling>
        <c:delete val="0"/>
        <c:axPos val="l"/>
        <c:majorGridlines>
          <c:spPr>
            <a:ln w="0">
              <a:solidFill>
                <a:schemeClr val="bg1">
                  <a:lumMod val="65000"/>
                </a:schemeClr>
              </a:solidFill>
              <a:prstDash val="sysDot"/>
            </a:ln>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50000"/>
                    <a:lumOff val="50000"/>
                  </a:schemeClr>
                </a:solidFill>
                <a:latin typeface="Segoe UI" panose="020B0502040204020203" pitchFamily="34" charset="0"/>
                <a:ea typeface="+mn-ea"/>
                <a:cs typeface="Segoe UI" panose="020B0502040204020203" pitchFamily="34" charset="0"/>
              </a:defRPr>
            </a:pPr>
            <a:endParaRPr lang="en-US"/>
          </a:p>
        </c:txPr>
        <c:crossAx val="100876288"/>
        <c:crosses val="autoZero"/>
        <c:crossBetween val="between"/>
      </c:valAx>
    </c:plotArea>
    <c:legend>
      <c:legendPos val="b"/>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Segoe UI Semibold" panose="020B0702040204020203" pitchFamily="34" charset="0"/>
              <a:ea typeface="+mn-ea"/>
              <a:cs typeface="Segoe UI Semibold" panose="020B0702040204020203" pitchFamily="34" charset="0"/>
            </a:defRPr>
          </a:pPr>
          <a:endParaRPr lang="en-US"/>
        </a:p>
      </c:txPr>
    </c:legend>
    <c:plotVisOnly val="1"/>
    <c:dispBlanksAs val="gap"/>
    <c:showDLblsOverMax val="0"/>
  </c:chart>
  <c:spPr>
    <a:ln w="3175"/>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VicRoads Palette">
      <a:dk1>
        <a:sysClr val="windowText" lastClr="000000"/>
      </a:dk1>
      <a:lt1>
        <a:sysClr val="window" lastClr="FFFFFF"/>
      </a:lt1>
      <a:dk2>
        <a:srgbClr val="142841"/>
      </a:dk2>
      <a:lt2>
        <a:srgbClr val="858C8C"/>
      </a:lt2>
      <a:accent1>
        <a:srgbClr val="39B54A"/>
      </a:accent1>
      <a:accent2>
        <a:srgbClr val="262626"/>
      </a:accent2>
      <a:accent3>
        <a:srgbClr val="85C446"/>
      </a:accent3>
      <a:accent4>
        <a:srgbClr val="00673E"/>
      </a:accent4>
      <a:accent5>
        <a:srgbClr val="E7B513"/>
      </a:accent5>
      <a:accent6>
        <a:srgbClr val="EA6720"/>
      </a:accent6>
      <a:hlink>
        <a:srgbClr val="39B54A"/>
      </a:hlink>
      <a:folHlink>
        <a:srgbClr val="00673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4F2227-B606-4276-A277-3DF84DC02C4C}">
  <ds:schemaRefs>
    <ds:schemaRef ds:uri="http://schemas.openxmlformats.org/officeDocument/2006/bibliography"/>
  </ds:schemaRefs>
</ds:datastoreItem>
</file>

<file path=customXml/itemProps2.xml><?xml version="1.0" encoding="utf-8"?>
<ds:datastoreItem xmlns:ds="http://schemas.openxmlformats.org/officeDocument/2006/customXml" ds:itemID="{790564CB-C37D-4272-BB96-7B602709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98281</Words>
  <Characters>560207</Characters>
  <Application>Microsoft Office Word</Application>
  <DocSecurity>0</DocSecurity>
  <Lines>4668</Lines>
  <Paragraphs>1314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2019-06-06T01:06:00Z</dcterms:created>
  <dcterms:modified xsi:type="dcterms:W3CDTF">2019-06-06T01:10:00Z</dcterms:modified>
  <cp:contentStatus/>
</cp:coreProperties>
</file>