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C60BC" w:rsidRDefault="00FC60BC" w:rsidP="006A73F4">
      <w:pPr>
        <w:pStyle w:val="Title"/>
        <w:ind w:right="1151"/>
        <w:rPr>
          <w:sz w:val="56"/>
          <w:szCs w:val="56"/>
        </w:rPr>
      </w:pPr>
      <w:r w:rsidRPr="00FC60BC">
        <w:rPr>
          <w:noProof/>
          <w:sz w:val="56"/>
          <w:szCs w:val="56"/>
        </w:rPr>
        <mc:AlternateContent>
          <mc:Choice Requires="wps">
            <w:drawing>
              <wp:anchor distT="0" distB="0" distL="114300" distR="114300" simplePos="0" relativeHeight="251692032" behindDoc="0" locked="0" layoutInCell="1" allowOverlap="1" wp14:anchorId="6ADA9973" wp14:editId="5F3DD28D">
                <wp:simplePos x="0" y="0"/>
                <wp:positionH relativeFrom="column">
                  <wp:posOffset>-610235</wp:posOffset>
                </wp:positionH>
                <wp:positionV relativeFrom="paragraph">
                  <wp:posOffset>-793115</wp:posOffset>
                </wp:positionV>
                <wp:extent cx="7019925" cy="101441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10144125"/>
                        </a:xfrm>
                        <a:prstGeom prst="rect">
                          <a:avLst/>
                        </a:prstGeom>
                        <a:solidFill>
                          <a:srgbClr val="87189D"/>
                        </a:solidFill>
                        <a:ln w="9525">
                          <a:noFill/>
                          <a:miter lim="800000"/>
                          <a:headEnd/>
                          <a:tailEnd/>
                        </a:ln>
                      </wps:spPr>
                      <wps:txbx>
                        <w:txbxContent>
                          <w:p w:rsidR="001B1171" w:rsidRDefault="001B1171" w:rsidP="00FC60BC">
                            <w:pPr>
                              <w:pStyle w:val="Title"/>
                              <w:ind w:right="1151"/>
                              <w:rPr>
                                <w:color w:val="FFFFFF" w:themeColor="background1"/>
                                <w:sz w:val="56"/>
                                <w:szCs w:val="56"/>
                              </w:rPr>
                            </w:pPr>
                          </w:p>
                          <w:p w:rsidR="001B1171" w:rsidRDefault="001B1171" w:rsidP="00FC60BC">
                            <w:pPr>
                              <w:pStyle w:val="Title"/>
                              <w:ind w:right="1151"/>
                              <w:rPr>
                                <w:color w:val="FFFFFF" w:themeColor="background1"/>
                                <w:sz w:val="56"/>
                                <w:szCs w:val="56"/>
                              </w:rPr>
                            </w:pPr>
                          </w:p>
                          <w:p w:rsidR="001B1171" w:rsidRDefault="001B1171" w:rsidP="00FC60BC">
                            <w:pPr>
                              <w:pStyle w:val="Title"/>
                              <w:ind w:right="1151"/>
                              <w:rPr>
                                <w:color w:val="FFFFFF" w:themeColor="background1"/>
                                <w:sz w:val="56"/>
                                <w:szCs w:val="56"/>
                              </w:rPr>
                            </w:pPr>
                          </w:p>
                          <w:p w:rsidR="001B1171" w:rsidRDefault="001B1171" w:rsidP="00FC60BC">
                            <w:pPr>
                              <w:pStyle w:val="Title"/>
                              <w:ind w:right="1151"/>
                              <w:rPr>
                                <w:color w:val="FFFFFF" w:themeColor="background1"/>
                                <w:sz w:val="56"/>
                                <w:szCs w:val="56"/>
                              </w:rPr>
                            </w:pPr>
                          </w:p>
                          <w:p w:rsidR="001B1171" w:rsidRDefault="001B1171" w:rsidP="00FC60BC">
                            <w:pPr>
                              <w:pStyle w:val="Title"/>
                              <w:ind w:right="1151"/>
                              <w:rPr>
                                <w:color w:val="FFFFFF" w:themeColor="background1"/>
                                <w:sz w:val="56"/>
                                <w:szCs w:val="56"/>
                              </w:rPr>
                            </w:pPr>
                          </w:p>
                          <w:p w:rsidR="001B1171" w:rsidRDefault="001B1171" w:rsidP="00FC60BC">
                            <w:pPr>
                              <w:pStyle w:val="Title"/>
                              <w:ind w:right="1151"/>
                              <w:rPr>
                                <w:color w:val="FFFFFF" w:themeColor="background1"/>
                                <w:sz w:val="56"/>
                                <w:szCs w:val="56"/>
                              </w:rPr>
                            </w:pPr>
                          </w:p>
                          <w:p w:rsidR="001B1171" w:rsidRDefault="001B1171" w:rsidP="00FC60BC">
                            <w:pPr>
                              <w:pStyle w:val="Title"/>
                              <w:ind w:right="1151"/>
                              <w:rPr>
                                <w:color w:val="FFFFFF" w:themeColor="background1"/>
                                <w:sz w:val="56"/>
                                <w:szCs w:val="56"/>
                              </w:rPr>
                            </w:pPr>
                          </w:p>
                          <w:p w:rsidR="001B1171" w:rsidRPr="00FC60BC" w:rsidRDefault="001B1171" w:rsidP="00FC60BC">
                            <w:pPr>
                              <w:pStyle w:val="Title"/>
                              <w:ind w:right="1151"/>
                              <w:rPr>
                                <w:color w:val="FFFFFF" w:themeColor="background1"/>
                                <w:sz w:val="56"/>
                                <w:szCs w:val="56"/>
                              </w:rPr>
                            </w:pPr>
                            <w:r w:rsidRPr="00FC60BC">
                              <w:rPr>
                                <w:color w:val="FFFFFF" w:themeColor="background1"/>
                                <w:sz w:val="56"/>
                                <w:szCs w:val="56"/>
                              </w:rPr>
                              <w:t>Victorian Guide to Regulation</w:t>
                            </w:r>
                          </w:p>
                          <w:p w:rsidR="001B1171" w:rsidRDefault="001B1171" w:rsidP="00FC60BC">
                            <w:pPr>
                              <w:pStyle w:val="TertiaryTitle"/>
                              <w:rPr>
                                <w:b/>
                                <w:color w:val="FFFFFF" w:themeColor="background1"/>
                              </w:rPr>
                            </w:pPr>
                          </w:p>
                          <w:p w:rsidR="001B1171" w:rsidRPr="00C81BB6" w:rsidRDefault="001B1171" w:rsidP="00FC60BC">
                            <w:pPr>
                              <w:pStyle w:val="TertiaryTitle"/>
                              <w:rPr>
                                <w:b/>
                                <w:color w:val="FFFFFF" w:themeColor="background1"/>
                                <w:sz w:val="44"/>
                                <w:szCs w:val="44"/>
                              </w:rPr>
                            </w:pPr>
                            <w:r w:rsidRPr="00C81BB6">
                              <w:rPr>
                                <w:b/>
                                <w:color w:val="FFFFFF" w:themeColor="background1"/>
                                <w:sz w:val="44"/>
                                <w:szCs w:val="44"/>
                              </w:rPr>
                              <w:t>Toolkit: Requirements and processes for making subordinate legislation</w:t>
                            </w:r>
                          </w:p>
                          <w:p w:rsidR="001B1171" w:rsidRDefault="001B1171" w:rsidP="00FC60BC">
                            <w:pPr>
                              <w:pStyle w:val="TertiaryTitle"/>
                              <w:rPr>
                                <w:b/>
                                <w:color w:val="FFFFFF" w:themeColor="background1"/>
                              </w:rPr>
                            </w:pPr>
                          </w:p>
                          <w:p w:rsidR="001B1171" w:rsidRDefault="001B1171" w:rsidP="00DF70A2">
                            <w:pPr>
                              <w:pStyle w:val="Subtitle"/>
                              <w:rPr>
                                <w:b/>
                                <w:color w:val="FFFFFF" w:themeColor="background1"/>
                              </w:rPr>
                            </w:pPr>
                          </w:p>
                          <w:p w:rsidR="001B1171" w:rsidRDefault="001B1171" w:rsidP="00DF70A2">
                            <w:pPr>
                              <w:pStyle w:val="Subtitle"/>
                              <w:rPr>
                                <w:b/>
                                <w:color w:val="FFFFFF" w:themeColor="background1"/>
                              </w:rPr>
                            </w:pPr>
                          </w:p>
                          <w:p w:rsidR="001B1171" w:rsidRDefault="001B1171" w:rsidP="00DF70A2">
                            <w:pPr>
                              <w:pStyle w:val="Subtitle"/>
                              <w:rPr>
                                <w:b/>
                                <w:color w:val="FFFFFF" w:themeColor="background1"/>
                              </w:rPr>
                            </w:pPr>
                          </w:p>
                          <w:p w:rsidR="001B1171" w:rsidRDefault="001B1171" w:rsidP="00DF70A2">
                            <w:pPr>
                              <w:pStyle w:val="Subtitle"/>
                              <w:rPr>
                                <w:b/>
                                <w:color w:val="FFFFFF" w:themeColor="background1"/>
                              </w:rPr>
                            </w:pPr>
                          </w:p>
                          <w:p w:rsidR="001B1171" w:rsidRDefault="001B1171" w:rsidP="00DF70A2">
                            <w:pPr>
                              <w:pStyle w:val="Subtitle"/>
                              <w:rPr>
                                <w:b/>
                                <w:color w:val="FFFFFF" w:themeColor="background1"/>
                              </w:rPr>
                            </w:pPr>
                          </w:p>
                          <w:p w:rsidR="001B1171" w:rsidRDefault="001B1171" w:rsidP="00DF70A2">
                            <w:pPr>
                              <w:pStyle w:val="Subtitle"/>
                              <w:rPr>
                                <w:b/>
                                <w:color w:val="FFFFFF" w:themeColor="background1"/>
                              </w:rPr>
                            </w:pPr>
                          </w:p>
                          <w:p w:rsidR="001B1171" w:rsidRDefault="001B1171" w:rsidP="00DF70A2">
                            <w:pPr>
                              <w:pStyle w:val="Subtitle"/>
                              <w:rPr>
                                <w:b/>
                                <w:color w:val="FFFFFF" w:themeColor="background1"/>
                              </w:rPr>
                            </w:pPr>
                          </w:p>
                          <w:p w:rsidR="001B1171" w:rsidRDefault="001B1171" w:rsidP="00DF70A2">
                            <w:pPr>
                              <w:pStyle w:val="Subtitle"/>
                              <w:rPr>
                                <w:b/>
                                <w:color w:val="FFFFFF" w:themeColor="background1"/>
                              </w:rPr>
                            </w:pPr>
                          </w:p>
                          <w:p w:rsidR="001B1171" w:rsidRDefault="001B1171" w:rsidP="00DF70A2">
                            <w:pPr>
                              <w:pStyle w:val="Subtitle"/>
                              <w:rPr>
                                <w:b/>
                                <w:color w:val="FFFFFF" w:themeColor="background1"/>
                              </w:rPr>
                            </w:pPr>
                          </w:p>
                          <w:p w:rsidR="001B1171" w:rsidRDefault="001B1171" w:rsidP="00DF70A2">
                            <w:pPr>
                              <w:pStyle w:val="Subtitle"/>
                              <w:rPr>
                                <w:b/>
                                <w:color w:val="FFFFFF" w:themeColor="background1"/>
                              </w:rPr>
                            </w:pPr>
                          </w:p>
                          <w:p w:rsidR="001B1171" w:rsidRDefault="001B1171" w:rsidP="00DF70A2">
                            <w:pPr>
                              <w:pStyle w:val="Subtitle"/>
                              <w:rPr>
                                <w:b/>
                                <w:color w:val="FFFFFF" w:themeColor="background1"/>
                              </w:rPr>
                            </w:pPr>
                          </w:p>
                          <w:p w:rsidR="001B1171" w:rsidRDefault="001B1171" w:rsidP="00DF70A2">
                            <w:pPr>
                              <w:pStyle w:val="Subtitle"/>
                              <w:rPr>
                                <w:b/>
                                <w:color w:val="FFFFFF" w:themeColor="background1"/>
                              </w:rPr>
                            </w:pPr>
                          </w:p>
                          <w:p w:rsidR="001B1171" w:rsidRDefault="001B1171" w:rsidP="00DF70A2">
                            <w:pPr>
                              <w:pStyle w:val="Subtitle"/>
                              <w:rPr>
                                <w:b/>
                                <w:color w:val="FFFFFF" w:themeColor="background1"/>
                              </w:rPr>
                            </w:pPr>
                          </w:p>
                          <w:p w:rsidR="001B1171" w:rsidRDefault="001B1171" w:rsidP="00DF70A2">
                            <w:pPr>
                              <w:pStyle w:val="Subtitle"/>
                              <w:rPr>
                                <w:b/>
                                <w:color w:val="FFFFFF" w:themeColor="background1"/>
                              </w:rPr>
                            </w:pPr>
                          </w:p>
                          <w:p w:rsidR="001B1171" w:rsidRDefault="001B1171" w:rsidP="00DF70A2">
                            <w:pPr>
                              <w:pStyle w:val="Subtitle"/>
                              <w:rPr>
                                <w:b/>
                                <w:color w:val="FFFFFF" w:themeColor="background1"/>
                              </w:rPr>
                            </w:pPr>
                          </w:p>
                          <w:p w:rsidR="001B1171" w:rsidRDefault="001B1171" w:rsidP="00DF70A2">
                            <w:pPr>
                              <w:pStyle w:val="Subtitle"/>
                              <w:rPr>
                                <w:b/>
                                <w:color w:val="FFFFFF" w:themeColor="background1"/>
                              </w:rPr>
                            </w:pPr>
                          </w:p>
                          <w:p w:rsidR="001B1171" w:rsidRDefault="001B1171" w:rsidP="00DF70A2">
                            <w:pPr>
                              <w:pStyle w:val="Subtitle"/>
                              <w:rPr>
                                <w:b/>
                                <w:color w:val="FFFFFF" w:themeColor="background1"/>
                              </w:rPr>
                            </w:pPr>
                          </w:p>
                          <w:p w:rsidR="001B1171" w:rsidRDefault="001B1171" w:rsidP="00DF70A2">
                            <w:pPr>
                              <w:pStyle w:val="Subtitle"/>
                              <w:rPr>
                                <w:b/>
                                <w:color w:val="FFFFFF" w:themeColor="background1"/>
                              </w:rPr>
                            </w:pPr>
                          </w:p>
                          <w:p w:rsidR="001B1171" w:rsidRPr="00C81BB6" w:rsidRDefault="001B1171" w:rsidP="00C81BB6">
                            <w:pPr>
                              <w:pStyle w:val="Subtitle"/>
                              <w:jc w:val="right"/>
                              <w:rPr>
                                <w:b/>
                                <w:color w:val="FFFFFF" w:themeColor="background1"/>
                                <w:sz w:val="28"/>
                                <w:szCs w:val="28"/>
                              </w:rPr>
                            </w:pPr>
                            <w:r w:rsidRPr="00C81BB6">
                              <w:rPr>
                                <w:b/>
                                <w:color w:val="FFFFFF" w:themeColor="background1"/>
                                <w:sz w:val="28"/>
                                <w:szCs w:val="28"/>
                              </w:rPr>
                              <w:t>Updated November 2016</w:t>
                            </w:r>
                          </w:p>
                          <w:p w:rsidR="001B1171" w:rsidRPr="00FC60BC" w:rsidRDefault="001B1171" w:rsidP="00FC60BC">
                            <w:pPr>
                              <w:pStyle w:val="TertiaryTitle"/>
                              <w:rPr>
                                <w:b/>
                                <w:color w:val="FFFFFF" w:themeColor="background1"/>
                              </w:rPr>
                            </w:pPr>
                          </w:p>
                          <w:p w:rsidR="001B1171" w:rsidRDefault="001B11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05pt;margin-top:-62.45pt;width:552.75pt;height:79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" fillcolor="#87189d" stroked="f">
                <v:textbox>
                  <w:txbxContent>
                    <w:p w:rsidR="001B1171" w:rsidRDefault="001B1171" w:rsidP="00FC60BC">
                      <w:pPr>
                        <w:pStyle w:val="Title"/>
                        <w:ind w:right="1151"/>
                        <w:rPr>
                          <w:color w:val="FFFFFF" w:themeColor="background1"/>
                          <w:sz w:val="56"/>
                          <w:szCs w:val="56"/>
                        </w:rPr>
                      </w:pPr>
                    </w:p>
                    <w:p w:rsidR="001B1171" w:rsidRDefault="001B1171" w:rsidP="00FC60BC">
                      <w:pPr>
                        <w:pStyle w:val="Title"/>
                        <w:ind w:right="1151"/>
                        <w:rPr>
                          <w:color w:val="FFFFFF" w:themeColor="background1"/>
                          <w:sz w:val="56"/>
                          <w:szCs w:val="56"/>
                        </w:rPr>
                      </w:pPr>
                    </w:p>
                    <w:p w:rsidR="001B1171" w:rsidRDefault="001B1171" w:rsidP="00FC60BC">
                      <w:pPr>
                        <w:pStyle w:val="Title"/>
                        <w:ind w:right="1151"/>
                        <w:rPr>
                          <w:color w:val="FFFFFF" w:themeColor="background1"/>
                          <w:sz w:val="56"/>
                          <w:szCs w:val="56"/>
                        </w:rPr>
                      </w:pPr>
                    </w:p>
                    <w:p w:rsidR="001B1171" w:rsidRDefault="001B1171" w:rsidP="00FC60BC">
                      <w:pPr>
                        <w:pStyle w:val="Title"/>
                        <w:ind w:right="1151"/>
                        <w:rPr>
                          <w:color w:val="FFFFFF" w:themeColor="background1"/>
                          <w:sz w:val="56"/>
                          <w:szCs w:val="56"/>
                        </w:rPr>
                      </w:pPr>
                    </w:p>
                    <w:p w:rsidR="001B1171" w:rsidRDefault="001B1171" w:rsidP="00FC60BC">
                      <w:pPr>
                        <w:pStyle w:val="Title"/>
                        <w:ind w:right="1151"/>
                        <w:rPr>
                          <w:color w:val="FFFFFF" w:themeColor="background1"/>
                          <w:sz w:val="56"/>
                          <w:szCs w:val="56"/>
                        </w:rPr>
                      </w:pPr>
                    </w:p>
                    <w:p w:rsidR="001B1171" w:rsidRDefault="001B1171" w:rsidP="00FC60BC">
                      <w:pPr>
                        <w:pStyle w:val="Title"/>
                        <w:ind w:right="1151"/>
                        <w:rPr>
                          <w:color w:val="FFFFFF" w:themeColor="background1"/>
                          <w:sz w:val="56"/>
                          <w:szCs w:val="56"/>
                        </w:rPr>
                      </w:pPr>
                    </w:p>
                    <w:p w:rsidR="001B1171" w:rsidRDefault="001B1171" w:rsidP="00FC60BC">
                      <w:pPr>
                        <w:pStyle w:val="Title"/>
                        <w:ind w:right="1151"/>
                        <w:rPr>
                          <w:color w:val="FFFFFF" w:themeColor="background1"/>
                          <w:sz w:val="56"/>
                          <w:szCs w:val="56"/>
                        </w:rPr>
                      </w:pPr>
                    </w:p>
                    <w:p w:rsidR="001B1171" w:rsidRPr="00FC60BC" w:rsidRDefault="001B1171" w:rsidP="00FC60BC">
                      <w:pPr>
                        <w:pStyle w:val="Title"/>
                        <w:ind w:right="1151"/>
                        <w:rPr>
                          <w:color w:val="FFFFFF" w:themeColor="background1"/>
                          <w:sz w:val="56"/>
                          <w:szCs w:val="56"/>
                        </w:rPr>
                      </w:pPr>
                      <w:r w:rsidRPr="00FC60BC">
                        <w:rPr>
                          <w:color w:val="FFFFFF" w:themeColor="background1"/>
                          <w:sz w:val="56"/>
                          <w:szCs w:val="56"/>
                        </w:rPr>
                        <w:t>Victorian Guide to Regulation</w:t>
                      </w:r>
                    </w:p>
                    <w:p w:rsidR="001B1171" w:rsidRDefault="001B1171" w:rsidP="00FC60BC">
                      <w:pPr>
                        <w:pStyle w:val="TertiaryTitle"/>
                        <w:rPr>
                          <w:b/>
                          <w:color w:val="FFFFFF" w:themeColor="background1"/>
                        </w:rPr>
                      </w:pPr>
                    </w:p>
                    <w:p w:rsidR="001B1171" w:rsidRPr="00C81BB6" w:rsidRDefault="001B1171" w:rsidP="00FC60BC">
                      <w:pPr>
                        <w:pStyle w:val="TertiaryTitle"/>
                        <w:rPr>
                          <w:b/>
                          <w:color w:val="FFFFFF" w:themeColor="background1"/>
                          <w:sz w:val="44"/>
                          <w:szCs w:val="44"/>
                        </w:rPr>
                      </w:pPr>
                      <w:r w:rsidRPr="00C81BB6">
                        <w:rPr>
                          <w:b/>
                          <w:color w:val="FFFFFF" w:themeColor="background1"/>
                          <w:sz w:val="44"/>
                          <w:szCs w:val="44"/>
                        </w:rPr>
                        <w:t>Toolkit: Requirements and processes for making subordinate legislation</w:t>
                      </w:r>
                    </w:p>
                    <w:p w:rsidR="001B1171" w:rsidRDefault="001B1171" w:rsidP="00FC60BC">
                      <w:pPr>
                        <w:pStyle w:val="TertiaryTitle"/>
                        <w:rPr>
                          <w:b/>
                          <w:color w:val="FFFFFF" w:themeColor="background1"/>
                        </w:rPr>
                      </w:pPr>
                    </w:p>
                    <w:p w:rsidR="001B1171" w:rsidRDefault="001B1171" w:rsidP="00DF70A2">
                      <w:pPr>
                        <w:pStyle w:val="Subtitle"/>
                        <w:rPr>
                          <w:b/>
                          <w:color w:val="FFFFFF" w:themeColor="background1"/>
                        </w:rPr>
                      </w:pPr>
                    </w:p>
                    <w:p w:rsidR="001B1171" w:rsidRDefault="001B1171" w:rsidP="00DF70A2">
                      <w:pPr>
                        <w:pStyle w:val="Subtitle"/>
                        <w:rPr>
                          <w:b/>
                          <w:color w:val="FFFFFF" w:themeColor="background1"/>
                        </w:rPr>
                      </w:pPr>
                    </w:p>
                    <w:p w:rsidR="001B1171" w:rsidRDefault="001B1171" w:rsidP="00DF70A2">
                      <w:pPr>
                        <w:pStyle w:val="Subtitle"/>
                        <w:rPr>
                          <w:b/>
                          <w:color w:val="FFFFFF" w:themeColor="background1"/>
                        </w:rPr>
                      </w:pPr>
                    </w:p>
                    <w:p w:rsidR="001B1171" w:rsidRDefault="001B1171" w:rsidP="00DF70A2">
                      <w:pPr>
                        <w:pStyle w:val="Subtitle"/>
                        <w:rPr>
                          <w:b/>
                          <w:color w:val="FFFFFF" w:themeColor="background1"/>
                        </w:rPr>
                      </w:pPr>
                    </w:p>
                    <w:p w:rsidR="001B1171" w:rsidRDefault="001B1171" w:rsidP="00DF70A2">
                      <w:pPr>
                        <w:pStyle w:val="Subtitle"/>
                        <w:rPr>
                          <w:b/>
                          <w:color w:val="FFFFFF" w:themeColor="background1"/>
                        </w:rPr>
                      </w:pPr>
                    </w:p>
                    <w:p w:rsidR="001B1171" w:rsidRDefault="001B1171" w:rsidP="00DF70A2">
                      <w:pPr>
                        <w:pStyle w:val="Subtitle"/>
                        <w:rPr>
                          <w:b/>
                          <w:color w:val="FFFFFF" w:themeColor="background1"/>
                        </w:rPr>
                      </w:pPr>
                    </w:p>
                    <w:p w:rsidR="001B1171" w:rsidRDefault="001B1171" w:rsidP="00DF70A2">
                      <w:pPr>
                        <w:pStyle w:val="Subtitle"/>
                        <w:rPr>
                          <w:b/>
                          <w:color w:val="FFFFFF" w:themeColor="background1"/>
                        </w:rPr>
                      </w:pPr>
                    </w:p>
                    <w:p w:rsidR="001B1171" w:rsidRDefault="001B1171" w:rsidP="00DF70A2">
                      <w:pPr>
                        <w:pStyle w:val="Subtitle"/>
                        <w:rPr>
                          <w:b/>
                          <w:color w:val="FFFFFF" w:themeColor="background1"/>
                        </w:rPr>
                      </w:pPr>
                    </w:p>
                    <w:p w:rsidR="001B1171" w:rsidRDefault="001B1171" w:rsidP="00DF70A2">
                      <w:pPr>
                        <w:pStyle w:val="Subtitle"/>
                        <w:rPr>
                          <w:b/>
                          <w:color w:val="FFFFFF" w:themeColor="background1"/>
                        </w:rPr>
                      </w:pPr>
                    </w:p>
                    <w:p w:rsidR="001B1171" w:rsidRDefault="001B1171" w:rsidP="00DF70A2">
                      <w:pPr>
                        <w:pStyle w:val="Subtitle"/>
                        <w:rPr>
                          <w:b/>
                          <w:color w:val="FFFFFF" w:themeColor="background1"/>
                        </w:rPr>
                      </w:pPr>
                    </w:p>
                    <w:p w:rsidR="001B1171" w:rsidRDefault="001B1171" w:rsidP="00DF70A2">
                      <w:pPr>
                        <w:pStyle w:val="Subtitle"/>
                        <w:rPr>
                          <w:b/>
                          <w:color w:val="FFFFFF" w:themeColor="background1"/>
                        </w:rPr>
                      </w:pPr>
                    </w:p>
                    <w:p w:rsidR="001B1171" w:rsidRDefault="001B1171" w:rsidP="00DF70A2">
                      <w:pPr>
                        <w:pStyle w:val="Subtitle"/>
                        <w:rPr>
                          <w:b/>
                          <w:color w:val="FFFFFF" w:themeColor="background1"/>
                        </w:rPr>
                      </w:pPr>
                    </w:p>
                    <w:p w:rsidR="001B1171" w:rsidRDefault="001B1171" w:rsidP="00DF70A2">
                      <w:pPr>
                        <w:pStyle w:val="Subtitle"/>
                        <w:rPr>
                          <w:b/>
                          <w:color w:val="FFFFFF" w:themeColor="background1"/>
                        </w:rPr>
                      </w:pPr>
                    </w:p>
                    <w:p w:rsidR="001B1171" w:rsidRDefault="001B1171" w:rsidP="00DF70A2">
                      <w:pPr>
                        <w:pStyle w:val="Subtitle"/>
                        <w:rPr>
                          <w:b/>
                          <w:color w:val="FFFFFF" w:themeColor="background1"/>
                        </w:rPr>
                      </w:pPr>
                    </w:p>
                    <w:p w:rsidR="001B1171" w:rsidRDefault="001B1171" w:rsidP="00DF70A2">
                      <w:pPr>
                        <w:pStyle w:val="Subtitle"/>
                        <w:rPr>
                          <w:b/>
                          <w:color w:val="FFFFFF" w:themeColor="background1"/>
                        </w:rPr>
                      </w:pPr>
                    </w:p>
                    <w:p w:rsidR="001B1171" w:rsidRDefault="001B1171" w:rsidP="00DF70A2">
                      <w:pPr>
                        <w:pStyle w:val="Subtitle"/>
                        <w:rPr>
                          <w:b/>
                          <w:color w:val="FFFFFF" w:themeColor="background1"/>
                        </w:rPr>
                      </w:pPr>
                    </w:p>
                    <w:p w:rsidR="001B1171" w:rsidRDefault="001B1171" w:rsidP="00DF70A2">
                      <w:pPr>
                        <w:pStyle w:val="Subtitle"/>
                        <w:rPr>
                          <w:b/>
                          <w:color w:val="FFFFFF" w:themeColor="background1"/>
                        </w:rPr>
                      </w:pPr>
                    </w:p>
                    <w:p w:rsidR="001B1171" w:rsidRDefault="001B1171" w:rsidP="00DF70A2">
                      <w:pPr>
                        <w:pStyle w:val="Subtitle"/>
                        <w:rPr>
                          <w:b/>
                          <w:color w:val="FFFFFF" w:themeColor="background1"/>
                        </w:rPr>
                      </w:pPr>
                    </w:p>
                    <w:p w:rsidR="001B1171" w:rsidRPr="00C81BB6" w:rsidRDefault="001B1171" w:rsidP="00C81BB6">
                      <w:pPr>
                        <w:pStyle w:val="Subtitle"/>
                        <w:jc w:val="right"/>
                        <w:rPr>
                          <w:b/>
                          <w:color w:val="FFFFFF" w:themeColor="background1"/>
                          <w:sz w:val="28"/>
                          <w:szCs w:val="28"/>
                        </w:rPr>
                      </w:pPr>
                      <w:r w:rsidRPr="00C81BB6">
                        <w:rPr>
                          <w:b/>
                          <w:color w:val="FFFFFF" w:themeColor="background1"/>
                          <w:sz w:val="28"/>
                          <w:szCs w:val="28"/>
                        </w:rPr>
                        <w:t>Updated November 2016</w:t>
                      </w:r>
                    </w:p>
                    <w:p w:rsidR="001B1171" w:rsidRPr="00FC60BC" w:rsidRDefault="001B1171" w:rsidP="00FC60BC">
                      <w:pPr>
                        <w:pStyle w:val="TertiaryTitle"/>
                        <w:rPr>
                          <w:b/>
                          <w:color w:val="FFFFFF" w:themeColor="background1"/>
                        </w:rPr>
                      </w:pPr>
                    </w:p>
                    <w:p w:rsidR="001B1171" w:rsidRDefault="001B1171"/>
                  </w:txbxContent>
                </v:textbox>
              </v:shape>
            </w:pict>
          </mc:Fallback>
        </mc:AlternateContent>
      </w:r>
    </w:p>
    <w:p w:rsidR="00FC60BC" w:rsidRDefault="00FC60BC" w:rsidP="006A73F4">
      <w:pPr>
        <w:pStyle w:val="Title"/>
        <w:ind w:right="1151"/>
        <w:rPr>
          <w:sz w:val="56"/>
          <w:szCs w:val="56"/>
        </w:rPr>
      </w:pPr>
    </w:p>
    <w:p w:rsidR="006A6195" w:rsidRDefault="003A2F47" w:rsidP="00E8064C">
      <w:r>
        <w:rPr>
          <w:noProof/>
        </w:rPr>
        <mc:AlternateContent>
          <mc:Choice Requires="wpg">
            <w:drawing>
              <wp:anchor distT="0" distB="0" distL="114300" distR="114300" simplePos="0" relativeHeight="251658240" behindDoc="0" locked="0" layoutInCell="1" allowOverlap="1" wp14:anchorId="66B30C74" wp14:editId="7DF199ED">
                <wp:simplePos x="0" y="0"/>
                <wp:positionH relativeFrom="page">
                  <wp:posOffset>-3095625</wp:posOffset>
                </wp:positionH>
                <wp:positionV relativeFrom="page">
                  <wp:posOffset>9115425</wp:posOffset>
                </wp:positionV>
                <wp:extent cx="5543550" cy="1579880"/>
                <wp:effectExtent l="0" t="0" r="0" b="1270"/>
                <wp:wrapNone/>
                <wp:docPr id="24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3550" cy="1579880"/>
                          <a:chOff x="0" y="0"/>
                          <a:chExt cx="5543550" cy="1581150"/>
                        </a:xfrm>
                      </wpg:grpSpPr>
                      <wps:wsp>
                        <wps:cNvPr id="246" name="Straight Connector 3"/>
                        <wps:cNvCnPr/>
                        <wps:spPr>
                          <a:xfrm flipV="1">
                            <a:off x="361950" y="0"/>
                            <a:ext cx="1581150" cy="1581150"/>
                          </a:xfrm>
                          <a:prstGeom prst="line">
                            <a:avLst/>
                          </a:prstGeom>
                          <a:noFill/>
                          <a:ln w="6350" cap="flat" cmpd="sng" algn="ctr">
                            <a:solidFill>
                              <a:sysClr val="window" lastClr="FFFFFF"/>
                            </a:solidFill>
                            <a:prstDash val="solid"/>
                          </a:ln>
                          <a:effectLst/>
                        </wps:spPr>
                        <wps:bodyPr/>
                      </wps:wsp>
                      <wps:wsp>
                        <wps:cNvPr id="247" name="Straight Connector 4"/>
                        <wps:cNvCnPr/>
                        <wps:spPr>
                          <a:xfrm flipV="1">
                            <a:off x="542925" y="0"/>
                            <a:ext cx="1581150" cy="1581150"/>
                          </a:xfrm>
                          <a:prstGeom prst="line">
                            <a:avLst/>
                          </a:prstGeom>
                          <a:noFill/>
                          <a:ln w="6350" cap="flat" cmpd="sng" algn="ctr">
                            <a:solidFill>
                              <a:sysClr val="window" lastClr="FFFFFF"/>
                            </a:solidFill>
                            <a:prstDash val="solid"/>
                          </a:ln>
                          <a:effectLst/>
                        </wps:spPr>
                        <wps:bodyPr/>
                      </wps:wsp>
                      <wps:wsp>
                        <wps:cNvPr id="248" name="Straight Connector 5"/>
                        <wps:cNvCnPr/>
                        <wps:spPr>
                          <a:xfrm flipV="1">
                            <a:off x="723900" y="0"/>
                            <a:ext cx="1581150" cy="1581150"/>
                          </a:xfrm>
                          <a:prstGeom prst="line">
                            <a:avLst/>
                          </a:prstGeom>
                          <a:noFill/>
                          <a:ln w="6350" cap="flat" cmpd="sng" algn="ctr">
                            <a:solidFill>
                              <a:sysClr val="window" lastClr="FFFFFF"/>
                            </a:solidFill>
                            <a:prstDash val="solid"/>
                          </a:ln>
                          <a:effectLst/>
                        </wps:spPr>
                        <wps:bodyPr/>
                      </wps:wsp>
                      <wps:wsp>
                        <wps:cNvPr id="249" name="Straight Connector 6"/>
                        <wps:cNvCnPr/>
                        <wps:spPr>
                          <a:xfrm flipV="1">
                            <a:off x="904875" y="0"/>
                            <a:ext cx="1581150" cy="1581150"/>
                          </a:xfrm>
                          <a:prstGeom prst="line">
                            <a:avLst/>
                          </a:prstGeom>
                          <a:noFill/>
                          <a:ln w="6350" cap="flat" cmpd="sng" algn="ctr">
                            <a:solidFill>
                              <a:sysClr val="window" lastClr="FFFFFF"/>
                            </a:solidFill>
                            <a:prstDash val="solid"/>
                          </a:ln>
                          <a:effectLst/>
                        </wps:spPr>
                        <wps:bodyPr/>
                      </wps:wsp>
                      <wps:wsp>
                        <wps:cNvPr id="250" name="Straight Connector 7"/>
                        <wps:cNvCnPr/>
                        <wps:spPr>
                          <a:xfrm flipV="1">
                            <a:off x="1076325" y="0"/>
                            <a:ext cx="1581150" cy="1581150"/>
                          </a:xfrm>
                          <a:prstGeom prst="line">
                            <a:avLst/>
                          </a:prstGeom>
                          <a:noFill/>
                          <a:ln w="6350" cap="flat" cmpd="sng" algn="ctr">
                            <a:solidFill>
                              <a:sysClr val="window" lastClr="FFFFFF"/>
                            </a:solidFill>
                            <a:prstDash val="solid"/>
                          </a:ln>
                          <a:effectLst/>
                        </wps:spPr>
                        <wps:bodyPr/>
                      </wps:wsp>
                      <wps:wsp>
                        <wps:cNvPr id="251" name="Straight Connector 8"/>
                        <wps:cNvCnPr/>
                        <wps:spPr>
                          <a:xfrm flipV="1">
                            <a:off x="1257300" y="0"/>
                            <a:ext cx="1581150" cy="1581150"/>
                          </a:xfrm>
                          <a:prstGeom prst="line">
                            <a:avLst/>
                          </a:prstGeom>
                          <a:noFill/>
                          <a:ln w="6350" cap="flat" cmpd="sng" algn="ctr">
                            <a:solidFill>
                              <a:sysClr val="window" lastClr="FFFFFF"/>
                            </a:solidFill>
                            <a:prstDash val="solid"/>
                          </a:ln>
                          <a:effectLst/>
                        </wps:spPr>
                        <wps:bodyPr/>
                      </wps:wsp>
                      <wps:wsp>
                        <wps:cNvPr id="252" name="Straight Connector 9"/>
                        <wps:cNvCnPr/>
                        <wps:spPr>
                          <a:xfrm flipV="1">
                            <a:off x="1438275" y="0"/>
                            <a:ext cx="1581150" cy="1581150"/>
                          </a:xfrm>
                          <a:prstGeom prst="line">
                            <a:avLst/>
                          </a:prstGeom>
                          <a:noFill/>
                          <a:ln w="6350" cap="flat" cmpd="sng" algn="ctr">
                            <a:solidFill>
                              <a:sysClr val="window" lastClr="FFFFFF"/>
                            </a:solidFill>
                            <a:prstDash val="solid"/>
                          </a:ln>
                          <a:effectLst/>
                        </wps:spPr>
                        <wps:bodyPr/>
                      </wps:wsp>
                      <wps:wsp>
                        <wps:cNvPr id="253" name="Straight Connector 10"/>
                        <wps:cNvCnPr/>
                        <wps:spPr>
                          <a:xfrm flipV="1">
                            <a:off x="1619250" y="0"/>
                            <a:ext cx="1581150" cy="1581150"/>
                          </a:xfrm>
                          <a:prstGeom prst="line">
                            <a:avLst/>
                          </a:prstGeom>
                          <a:noFill/>
                          <a:ln w="6350" cap="flat" cmpd="sng" algn="ctr">
                            <a:solidFill>
                              <a:sysClr val="window" lastClr="FFFFFF"/>
                            </a:solidFill>
                            <a:prstDash val="solid"/>
                          </a:ln>
                          <a:effectLst/>
                        </wps:spPr>
                        <wps:bodyPr/>
                      </wps:wsp>
                      <wps:wsp>
                        <wps:cNvPr id="254" name="Straight Connector 11"/>
                        <wps:cNvCnPr/>
                        <wps:spPr>
                          <a:xfrm flipV="1">
                            <a:off x="1800225" y="0"/>
                            <a:ext cx="1581150" cy="1581150"/>
                          </a:xfrm>
                          <a:prstGeom prst="line">
                            <a:avLst/>
                          </a:prstGeom>
                          <a:noFill/>
                          <a:ln w="6350" cap="flat" cmpd="sng" algn="ctr">
                            <a:solidFill>
                              <a:sysClr val="window" lastClr="FFFFFF"/>
                            </a:solidFill>
                            <a:prstDash val="solid"/>
                          </a:ln>
                          <a:effectLst/>
                        </wps:spPr>
                        <wps:bodyPr/>
                      </wps:wsp>
                      <wps:wsp>
                        <wps:cNvPr id="255" name="Straight Connector 12"/>
                        <wps:cNvCnPr/>
                        <wps:spPr>
                          <a:xfrm flipV="1">
                            <a:off x="1981200" y="0"/>
                            <a:ext cx="1581150" cy="1581150"/>
                          </a:xfrm>
                          <a:prstGeom prst="line">
                            <a:avLst/>
                          </a:prstGeom>
                          <a:noFill/>
                          <a:ln w="6350" cap="flat" cmpd="sng" algn="ctr">
                            <a:solidFill>
                              <a:sysClr val="window" lastClr="FFFFFF"/>
                            </a:solidFill>
                            <a:prstDash val="solid"/>
                          </a:ln>
                          <a:effectLst/>
                        </wps:spPr>
                        <wps:bodyPr/>
                      </wps:wsp>
                      <wps:wsp>
                        <wps:cNvPr id="256" name="Straight Connector 13"/>
                        <wps:cNvCnPr/>
                        <wps:spPr>
                          <a:xfrm flipV="1">
                            <a:off x="2162175" y="0"/>
                            <a:ext cx="1581150" cy="1581150"/>
                          </a:xfrm>
                          <a:prstGeom prst="line">
                            <a:avLst/>
                          </a:prstGeom>
                          <a:noFill/>
                          <a:ln w="6350" cap="flat" cmpd="sng" algn="ctr">
                            <a:solidFill>
                              <a:sysClr val="window" lastClr="FFFFFF"/>
                            </a:solidFill>
                            <a:prstDash val="solid"/>
                          </a:ln>
                          <a:effectLst/>
                        </wps:spPr>
                        <wps:bodyPr/>
                      </wps:wsp>
                      <wps:wsp>
                        <wps:cNvPr id="257" name="Straight Connector 14"/>
                        <wps:cNvCnPr/>
                        <wps:spPr>
                          <a:xfrm flipV="1">
                            <a:off x="2343150" y="0"/>
                            <a:ext cx="1581150" cy="1581150"/>
                          </a:xfrm>
                          <a:prstGeom prst="line">
                            <a:avLst/>
                          </a:prstGeom>
                          <a:noFill/>
                          <a:ln w="6350" cap="flat" cmpd="sng" algn="ctr">
                            <a:solidFill>
                              <a:sysClr val="window" lastClr="FFFFFF"/>
                            </a:solidFill>
                            <a:prstDash val="solid"/>
                          </a:ln>
                          <a:effectLst/>
                        </wps:spPr>
                        <wps:bodyPr/>
                      </wps:wsp>
                      <wps:wsp>
                        <wps:cNvPr id="258" name="Straight Connector 15"/>
                        <wps:cNvCnPr/>
                        <wps:spPr>
                          <a:xfrm flipV="1">
                            <a:off x="2524125" y="0"/>
                            <a:ext cx="1581150" cy="1581150"/>
                          </a:xfrm>
                          <a:prstGeom prst="line">
                            <a:avLst/>
                          </a:prstGeom>
                          <a:noFill/>
                          <a:ln w="6350" cap="flat" cmpd="sng" algn="ctr">
                            <a:solidFill>
                              <a:sysClr val="window" lastClr="FFFFFF"/>
                            </a:solidFill>
                            <a:prstDash val="solid"/>
                          </a:ln>
                          <a:effectLst/>
                        </wps:spPr>
                        <wps:bodyPr/>
                      </wps:wsp>
                      <wps:wsp>
                        <wps:cNvPr id="259" name="Straight Connector 16"/>
                        <wps:cNvCnPr/>
                        <wps:spPr>
                          <a:xfrm flipV="1">
                            <a:off x="2705100" y="0"/>
                            <a:ext cx="1581150" cy="1581150"/>
                          </a:xfrm>
                          <a:prstGeom prst="line">
                            <a:avLst/>
                          </a:prstGeom>
                          <a:noFill/>
                          <a:ln w="6350" cap="flat" cmpd="sng" algn="ctr">
                            <a:solidFill>
                              <a:sysClr val="window" lastClr="FFFFFF"/>
                            </a:solidFill>
                            <a:prstDash val="solid"/>
                          </a:ln>
                          <a:effectLst/>
                        </wps:spPr>
                        <wps:bodyPr/>
                      </wps:wsp>
                      <wps:wsp>
                        <wps:cNvPr id="260" name="Straight Connector 17"/>
                        <wps:cNvCnPr/>
                        <wps:spPr>
                          <a:xfrm flipV="1">
                            <a:off x="2886075" y="0"/>
                            <a:ext cx="1581150" cy="1581150"/>
                          </a:xfrm>
                          <a:prstGeom prst="line">
                            <a:avLst/>
                          </a:prstGeom>
                          <a:noFill/>
                          <a:ln w="6350" cap="flat" cmpd="sng" algn="ctr">
                            <a:solidFill>
                              <a:sysClr val="window" lastClr="FFFFFF"/>
                            </a:solidFill>
                            <a:prstDash val="solid"/>
                          </a:ln>
                          <a:effectLst/>
                        </wps:spPr>
                        <wps:bodyPr/>
                      </wps:wsp>
                      <wps:wsp>
                        <wps:cNvPr id="261" name="Straight Connector 18"/>
                        <wps:cNvCnPr/>
                        <wps:spPr>
                          <a:xfrm flipV="1">
                            <a:off x="3067050" y="0"/>
                            <a:ext cx="1581150" cy="1581150"/>
                          </a:xfrm>
                          <a:prstGeom prst="line">
                            <a:avLst/>
                          </a:prstGeom>
                          <a:noFill/>
                          <a:ln w="6350" cap="flat" cmpd="sng" algn="ctr">
                            <a:solidFill>
                              <a:sysClr val="window" lastClr="FFFFFF"/>
                            </a:solidFill>
                            <a:prstDash val="solid"/>
                          </a:ln>
                          <a:effectLst/>
                        </wps:spPr>
                        <wps:bodyPr/>
                      </wps:wsp>
                      <wps:wsp>
                        <wps:cNvPr id="262" name="Straight Connector 19"/>
                        <wps:cNvCnPr/>
                        <wps:spPr>
                          <a:xfrm flipV="1">
                            <a:off x="3238500" y="0"/>
                            <a:ext cx="1581150" cy="1581150"/>
                          </a:xfrm>
                          <a:prstGeom prst="line">
                            <a:avLst/>
                          </a:prstGeom>
                          <a:noFill/>
                          <a:ln w="6350" cap="flat" cmpd="sng" algn="ctr">
                            <a:solidFill>
                              <a:sysClr val="window" lastClr="FFFFFF"/>
                            </a:solidFill>
                            <a:prstDash val="solid"/>
                          </a:ln>
                          <a:effectLst/>
                        </wps:spPr>
                        <wps:bodyPr/>
                      </wps:wsp>
                      <wps:wsp>
                        <wps:cNvPr id="263" name="Straight Connector 20"/>
                        <wps:cNvCnPr/>
                        <wps:spPr>
                          <a:xfrm flipV="1">
                            <a:off x="3419475" y="0"/>
                            <a:ext cx="1581150" cy="1581150"/>
                          </a:xfrm>
                          <a:prstGeom prst="line">
                            <a:avLst/>
                          </a:prstGeom>
                          <a:noFill/>
                          <a:ln w="6350" cap="flat" cmpd="sng" algn="ctr">
                            <a:solidFill>
                              <a:sysClr val="window" lastClr="FFFFFF"/>
                            </a:solidFill>
                            <a:prstDash val="solid"/>
                          </a:ln>
                          <a:effectLst/>
                        </wps:spPr>
                        <wps:bodyPr/>
                      </wps:wsp>
                      <wps:wsp>
                        <wps:cNvPr id="264" name="Straight Connector 21"/>
                        <wps:cNvCnPr/>
                        <wps:spPr>
                          <a:xfrm flipV="1">
                            <a:off x="3600450" y="0"/>
                            <a:ext cx="1581150" cy="1581150"/>
                          </a:xfrm>
                          <a:prstGeom prst="line">
                            <a:avLst/>
                          </a:prstGeom>
                          <a:noFill/>
                          <a:ln w="6350" cap="flat" cmpd="sng" algn="ctr">
                            <a:solidFill>
                              <a:sysClr val="window" lastClr="FFFFFF"/>
                            </a:solidFill>
                            <a:prstDash val="solid"/>
                          </a:ln>
                          <a:effectLst/>
                        </wps:spPr>
                        <wps:bodyPr/>
                      </wps:wsp>
                      <wps:wsp>
                        <wps:cNvPr id="265" name="Straight Connector 22"/>
                        <wps:cNvCnPr/>
                        <wps:spPr>
                          <a:xfrm flipV="1">
                            <a:off x="3781425" y="0"/>
                            <a:ext cx="1581150" cy="1581150"/>
                          </a:xfrm>
                          <a:prstGeom prst="line">
                            <a:avLst/>
                          </a:prstGeom>
                          <a:noFill/>
                          <a:ln w="6350" cap="flat" cmpd="sng" algn="ctr">
                            <a:solidFill>
                              <a:sysClr val="window" lastClr="FFFFFF"/>
                            </a:solidFill>
                            <a:prstDash val="solid"/>
                          </a:ln>
                          <a:effectLst/>
                        </wps:spPr>
                        <wps:bodyPr/>
                      </wps:wsp>
                      <wps:wsp>
                        <wps:cNvPr id="266" name="Straight Connector 23"/>
                        <wps:cNvCnPr/>
                        <wps:spPr>
                          <a:xfrm flipV="1">
                            <a:off x="3962400" y="0"/>
                            <a:ext cx="1581150" cy="1581150"/>
                          </a:xfrm>
                          <a:prstGeom prst="line">
                            <a:avLst/>
                          </a:prstGeom>
                          <a:noFill/>
                          <a:ln w="6350" cap="flat" cmpd="sng" algn="ctr">
                            <a:solidFill>
                              <a:sysClr val="window" lastClr="FFFFFF"/>
                            </a:solidFill>
                            <a:prstDash val="solid"/>
                          </a:ln>
                          <a:effectLst/>
                        </wps:spPr>
                        <wps:bodyPr/>
                      </wps:wsp>
                      <wps:wsp>
                        <wps:cNvPr id="267" name="Straight Connector 24"/>
                        <wps:cNvCnPr/>
                        <wps:spPr>
                          <a:xfrm flipV="1">
                            <a:off x="180975" y="0"/>
                            <a:ext cx="1581150" cy="1581150"/>
                          </a:xfrm>
                          <a:prstGeom prst="line">
                            <a:avLst/>
                          </a:prstGeom>
                          <a:noFill/>
                          <a:ln w="6350" cap="flat" cmpd="sng" algn="ctr">
                            <a:solidFill>
                              <a:sysClr val="window" lastClr="FFFFFF"/>
                            </a:solidFill>
                            <a:prstDash val="solid"/>
                          </a:ln>
                          <a:effectLst/>
                        </wps:spPr>
                        <wps:bodyPr/>
                      </wps:wsp>
                      <wps:wsp>
                        <wps:cNvPr id="268" name="Straight Connector 25"/>
                        <wps:cNvCnPr/>
                        <wps:spPr>
                          <a:xfrm flipV="1">
                            <a:off x="0" y="0"/>
                            <a:ext cx="1581150" cy="1581150"/>
                          </a:xfrm>
                          <a:prstGeom prst="line">
                            <a:avLst/>
                          </a:prstGeom>
                          <a:noFill/>
                          <a:ln w="6350" cap="flat" cmpd="sng" algn="ctr">
                            <a:solidFill>
                              <a:sysClr val="window" lastClr="FFFFFF"/>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id="Group 244" o:spid="_x0000_s1026" style="position:absolute;margin-left:-243.75pt;margin-top:717.75pt;width:436.5pt;height:124.4pt;z-index:251658240;mso-position-horizontal-relative:page;mso-position-vertical-relative:page" coordsize="55435,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">
                <v:line id="Straight Connector 3" o:spid="_x0000_s1027" style="position:absolute;flip:y;visibility:visible;mso-wrap-style:square" from="3619,0" to="1943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LJH8UAAADcAAAADwAAAGRycy9kb3ducmV2LnhtbESPW2vCQBSE3wv+h+UIfasbQ70QXUUq&#10;QoUieIG8HrPHJJo9m2a3mv57VxB8HGbmG2Y6b00lrtS40rKCfi8CQZxZXXKu4LBffYxBOI+ssbJM&#10;Cv7JwXzWeZtiou2Nt3Td+VwECLsEFRTe14mULivIoOvZmjh4J9sY9EE2udQN3gLcVDKOoqE0WHJY&#10;KLCmr4Kyy+7PKDimo3TDjtw6zX7lzyA+m8N+qdR7t11MQHhq/Sv8bH9rBfHnEB5nwhG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LJH8UAAADcAAAADwAAAAAAAAAA&#10;AAAAAAChAgAAZHJzL2Rvd25yZXYueG1sUEsFBgAAAAAEAAQA+QAAAJMDAAAAAA==&#10;" strokecolor="window" strokeweight=".5pt"/>
                <v:line id="Straight Connector 4" o:spid="_x0000_s1028" style="position:absolute;flip:y;visibility:visible;mso-wrap-style:square" from="5429,0" to="2124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5shMQAAADcAAAADwAAAGRycy9kb3ducmV2LnhtbESP3WrCQBSE7wu+w3IE7+rGoFVSVxFF&#10;UJCCP5Db0+xpkpo9G7Orxrd3CwUvh5n5hpnOW1OJGzWutKxg0I9AEGdWl5wrOB3X7xMQziNrrCyT&#10;ggc5mM86b1NMtL3znm4Hn4sAYZeggsL7OpHSZQUZdH1bEwfvxzYGfZBNLnWD9wA3lYyj6EMaLDks&#10;FFjTsqDsfLgaBd/pOP1iR26bZhe5G8W/5nRcKdXrtotPEJ5a/wr/tzdaQTwcw9+ZcATk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LmyExAAAANwAAAAPAAAAAAAAAAAA&#10;AAAAAKECAABkcnMvZG93bnJldi54bWxQSwUGAAAAAAQABAD5AAAAkgMAAAAA&#10;" strokecolor="window" strokeweight=".5pt"/>
                <v:line id="Straight Connector 5" o:spid="_x0000_s1029" style="position:absolute;flip:y;visibility:visible;mso-wrap-style:square" from="7239,0" to="2305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H49sEAAADcAAAADwAAAGRycy9kb3ducmV2LnhtbERPy4rCMBTdC/MP4Q7MTlOLL6pRhhFh&#10;BkTwAd1em2tbbW5qk9H692YhuDyc92zRmkrcqHGlZQX9XgSCOLO65FzBYb/qTkA4j6yxskwKHuRg&#10;Mf/ozDDR9s5buu18LkIIuwQVFN7XiZQuK8ig69maOHAn2xj0ATa51A3eQ7ipZBxFI2mw5NBQYE0/&#10;BWWX3b9RcEzH6YYdub80u8r1MD6bw36p1Ndn+z0F4an1b/HL/asVxIOwNpwJR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sfj2wQAAANwAAAAPAAAAAAAAAAAAAAAA&#10;AKECAABkcnMvZG93bnJldi54bWxQSwUGAAAAAAQABAD5AAAAjwMAAAAA&#10;" strokecolor="window" strokeweight=".5pt"/>
                <v:line id="Straight Connector 6" o:spid="_x0000_s1030" style="position:absolute;flip:y;visibility:visible;mso-wrap-style:square" from="9048,0" to="2486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bcUAAADcAAAADwAAAGRycy9kb3ducmV2LnhtbESP3WrCQBSE7wu+w3KE3unGUKtGVymV&#10;ggUR/IHcHrPHJJo9G7NbTd/eLQi9HGbmG2a2aE0lbtS40rKCQT8CQZxZXXKu4LD/6o1BOI+ssbJM&#10;Cn7JwWLeeZlhou2dt3Tb+VwECLsEFRTe14mULivIoOvbmjh4J9sY9EE2udQN3gPcVDKOondpsOSw&#10;UGBNnwVll92PUXBMR+mGHbnvNLvK9TA+m8N+qdRrt/2YgvDU+v/ws73SCuK3CfydC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1dbcUAAADcAAAADwAAAAAAAAAA&#10;AAAAAAChAgAAZHJzL2Rvd25yZXYueG1sUEsFBgAAAAAEAAQA+QAAAJMDAAAAAA==&#10;" strokecolor="window" strokeweight=".5pt"/>
                <v:line id="Straight Connector 7" o:spid="_x0000_s1031" style="position:absolute;flip:y;visibility:visible;mso-wrap-style:square" from="10763,0" to="2657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5iLcEAAADcAAAADwAAAGRycy9kb3ducmV2LnhtbERPy4rCMBTdD/gP4QrupqkFH1SjiDLg&#10;gAg+oNtrc22rzU2nyWjn7ycLweXhvOfLztTiQa2rLCsYRjEI4tzqigsF59PX5xSE88gaa8uk4I8c&#10;LBe9jzmm2j75QI+jL0QIYZeigtL7JpXS5SUZdJFtiAN3ta1BH2BbSN3iM4SbWiZxPJYGKw4NJTa0&#10;Lim/H3+Ngks2yfbsyH1n+Y/cjZKbOZ82Sg363WoGwlPn3+KXe6sVJKMwP5wJR0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mItwQAAANwAAAAPAAAAAAAAAAAAAAAA&#10;AKECAABkcnMvZG93bnJldi54bWxQSwUGAAAAAAQABAD5AAAAjwMAAAAA&#10;" strokecolor="window" strokeweight=".5pt"/>
                <v:line id="Straight Connector 8" o:spid="_x0000_s1032" style="position:absolute;flip:y;visibility:visible;mso-wrap-style:square" from="12573,0" to="2838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LHtsUAAADcAAAADwAAAGRycy9kb3ducmV2LnhtbESPQWvCQBSE7wX/w/KE3pqNgdiSukpR&#10;ChVEqAq5vmZfk7TZt2l2TeK/dwWhx2FmvmEWq9E0oqfO1ZYVzKIYBHFhdc2lgtPx/ekFhPPIGhvL&#10;pOBCDlbLycMCM20H/qT+4EsRIOwyVFB532ZSuqIigy6yLXHwvm1n0AfZlVJ3OAS4aWQSx3NpsOaw&#10;UGFL64qK38PZKPjKn/M9O3LbvPiTuzT5MafjRqnH6fj2CsLT6P/D9/aHVpCkM7idCUd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LHtsUAAADcAAAADwAAAAAAAAAA&#10;AAAAAAChAgAAZHJzL2Rvd25yZXYueG1sUEsFBgAAAAAEAAQA+QAAAJMDAAAAAA==&#10;" strokecolor="window" strokeweight=".5pt"/>
                <v:line id="Straight Connector 9" o:spid="_x0000_s1033" style="position:absolute;flip:y;visibility:visible;mso-wrap-style:square" from="14382,0" to="3019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BZwcQAAADcAAAADwAAAGRycy9kb3ducmV2LnhtbESPW4vCMBSE3xf2P4Sz4NuaWvBCNYrs&#10;IiiI4AX6emyObbU5qU3U+u+NsLCPw8x8w0xmranEnRpXWlbQ60YgiDOrS84VHPaL7xEI55E1VpZJ&#10;wZMczKafHxNMtH3wlu47n4sAYZeggsL7OpHSZQUZdF1bEwfvZBuDPsgml7rBR4CbSsZRNJAGSw4L&#10;Bdb0U1B22d2MgmM6TDfsyK3S7CrX/fhsDvtfpTpf7XwMwlPr/8N/7aVWEPdjeJ8JR0BO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gFnBxAAAANwAAAAPAAAAAAAAAAAA&#10;AAAAAKECAABkcnMvZG93bnJldi54bWxQSwUGAAAAAAQABAD5AAAAkgMAAAAA&#10;" strokecolor="window" strokeweight=".5pt"/>
                <v:line id="Straight Connector 10" o:spid="_x0000_s1034" style="position:absolute;flip:y;visibility:visible;mso-wrap-style:square" from="16192,0" to="3200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z8WsUAAADcAAAADwAAAGRycy9kb3ducmV2LnhtbESP3WrCQBSE7wu+w3KE3tWNKWpJsxGp&#10;CBaK4A/k9jR7mkSzZ9PsqunbdwXBy2FmvmHSeW8acaHO1ZYVjEcRCOLC6ppLBYf96uUNhPPIGhvL&#10;pOCPHMyzwVOKibZX3tJl50sRIOwSVFB53yZSuqIig25kW+Lg/djOoA+yK6Xu8BrgppFxFE2lwZrD&#10;QoUtfVRUnHZno+A7n+UbduQ+8+JXfk3ioznsl0o9D/vFOwhPvX+E7+21VhBPXuF2JhwBm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8z8WsUAAADcAAAADwAAAAAAAAAA&#10;AAAAAAChAgAAZHJzL2Rvd25yZXYueG1sUEsFBgAAAAAEAAQA+QAAAJMDAAAAAA==&#10;" strokecolor="window" strokeweight=".5pt"/>
                <v:line id="Straight Connector 11" o:spid="_x0000_s1035" style="position:absolute;flip:y;visibility:visible;mso-wrap-style:square" from="18002,0" to="3381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VkLsUAAADcAAAADwAAAGRycy9kb3ducmV2LnhtbESP3WrCQBSE7wu+w3KE3tWNoWpJsxGp&#10;CBaK4A/k9jR7mkSzZ9PsqunbdwXBy2FmvmHSeW8acaHO1ZYVjEcRCOLC6ppLBYf96uUNhPPIGhvL&#10;pOCPHMyzwVOKibZX3tJl50sRIOwSVFB53yZSuqIig25kW+Lg/djOoA+yK6Xu8BrgppFxFE2lwZrD&#10;QoUtfVRUnHZno+A7n+UbduQ+8+JXfk3ioznsl0o9D/vFOwhPvX+E7+21VhBPXuF2JhwBm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CVkLsUAAADcAAAADwAAAAAAAAAA&#10;AAAAAAChAgAAZHJzL2Rvd25yZXYueG1sUEsFBgAAAAAEAAQA+QAAAJMDAAAAAA==&#10;" strokecolor="window" strokeweight=".5pt"/>
                <v:line id="Straight Connector 12" o:spid="_x0000_s1036" style="position:absolute;flip:y;visibility:visible;mso-wrap-style:square" from="19812,0" to="3562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nBtcUAAADcAAAADwAAAGRycy9kb3ducmV2LnhtbESPQWvCQBSE70L/w/IKvenGQFRSN0Fa&#10;ChWkoBFyfWZfk7TZt2l21fjv3UKhx2FmvmHW+Wg6caHBtZYVzGcRCOLK6pZrBcfibboC4Tyyxs4y&#10;KbiRgzx7mKwx1fbKe7ocfC0ChF2KChrv+1RKVzVk0M1sTxy8TzsY9EEOtdQDXgPcdDKOooU02HJY&#10;aLCnl4aq78PZKDiVy/KDHbltWf3IXRJ/mWPxqtTT47h5BuFp9P/hv/a7VhAnCfyeCUdAZn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2nBtcUAAADcAAAADwAAAAAAAAAA&#10;AAAAAAChAgAAZHJzL2Rvd25yZXYueG1sUEsFBgAAAAAEAAQA+QAAAJMDAAAAAA==&#10;" strokecolor="window" strokeweight=".5pt"/>
                <v:line id="Straight Connector 13" o:spid="_x0000_s1037" style="position:absolute;flip:y;visibility:visible;mso-wrap-style:square" from="21621,0" to="3743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tfwsUAAADcAAAADwAAAGRycy9kb3ducmV2LnhtbESPQWvCQBSE70L/w/IEb2ZjwLSkrlIq&#10;hRaKUBPI9TX7mqTNvo3ZVeO/dwWhx2FmvmFWm9F04kSDay0rWEQxCOLK6pZrBUX+Nn8C4Tyyxs4y&#10;KbiQg836YbLCTNszf9Fp72sRIOwyVNB432dSuqohgy6yPXHwfuxg0Ac51FIPeA5w08kkjlNpsOWw&#10;0GBPrw1Vf/ujUfBdPpY7duQ+yuogP5fJrynyrVKz6fjyDMLT6P/D9/a7VpAsU7idCUdAr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7tfwsUAAADcAAAADwAAAAAAAAAA&#10;AAAAAAChAgAAZHJzL2Rvd25yZXYueG1sUEsFBgAAAAAEAAQA+QAAAJMDAAAAAA==&#10;" strokecolor="window" strokeweight=".5pt"/>
                <v:line id="Straight Connector 14" o:spid="_x0000_s1038" style="position:absolute;flip:y;visibility:visible;mso-wrap-style:square" from="23431,0" to="3924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f6WcUAAADcAAAADwAAAGRycy9kb3ducmV2LnhtbESPQWvCQBSE7wX/w/KE3pqNARtJXUUs&#10;hQoi1ARyfc2+JqnZt2l2q+m/dwuCx2FmvmGW69F04kyDay0rmEUxCOLK6pZrBUX+9rQA4Tyyxs4y&#10;KfgjB+vV5GGJmbYX/qDz0dciQNhlqKDxvs+kdFVDBl1ke+LgfdnBoA9yqKUe8BLgppNJHD9Lgy2H&#10;hQZ72jZUnY6/RsFnmZYHduR2ZfUj9/Pk2xT5q1KP03HzAsLT6O/hW/tdK0jmKfyfC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f6WcUAAADcAAAADwAAAAAAAAAA&#10;AAAAAAChAgAAZHJzL2Rvd25yZXYueG1sUEsFBgAAAAAEAAQA+QAAAJMDAAAAAA==&#10;" strokecolor="window" strokeweight=".5pt"/>
                <v:line id="Straight Connector 15" o:spid="_x0000_s1039" style="position:absolute;flip:y;visibility:visible;mso-wrap-style:square" from="25241,0" to="4105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huK8EAAADcAAAADwAAAGRycy9kb3ducmV2LnhtbERPy4rCMBTdD/gP4QrupqkFH1SjiDLg&#10;gAg+oNtrc22rzU2nyWjn7ycLweXhvOfLztTiQa2rLCsYRjEI4tzqigsF59PX5xSE88gaa8uk4I8c&#10;LBe9jzmm2j75QI+jL0QIYZeigtL7JpXS5SUZdJFtiAN3ta1BH2BbSN3iM4SbWiZxPJYGKw4NJTa0&#10;Lim/H3+Ngks2yfbsyH1n+Y/cjZKbOZ82Sg363WoGwlPn3+KXe6sVJKOwNpwJR0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aG4rwQAAANwAAAAPAAAAAAAAAAAAAAAA&#10;AKECAABkcnMvZG93bnJldi54bWxQSwUGAAAAAAQABAD5AAAAjwMAAAAA&#10;" strokecolor="window" strokeweight=".5pt"/>
                <v:line id="Straight Connector 16" o:spid="_x0000_s1040" style="position:absolute;flip:y;visibility:visible;mso-wrap-style:square" from="27051,0" to="4286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TLsMQAAADcAAAADwAAAGRycy9kb3ducmV2LnhtbESP3WrCQBSE7wu+w3IE7+rGgFajq0hF&#10;UCgFfyC3x+wxiWbPptlV49t3CwUvh5n5hpktWlOJOzWutKxg0I9AEGdWl5wrOB7W72MQziNrrCyT&#10;gic5WMw7bzNMtH3wju57n4sAYZeggsL7OpHSZQUZdH1bEwfvbBuDPsgml7rBR4CbSsZRNJIGSw4L&#10;Bdb0WVB23d+MglP6kX6zI7dNsx/5NYwv5nhYKdXrtsspCE+tf4X/2xutIB5O4O9MOAJ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JMuwxAAAANwAAAAPAAAAAAAAAAAA&#10;AAAAAKECAABkcnMvZG93bnJldi54bWxQSwUGAAAAAAQABAD5AAAAkgMAAAAA&#10;" strokecolor="window" strokeweight=".5pt"/>
                <v:line id="Straight Connector 17" o:spid="_x0000_s1041" style="position:absolute;flip:y;visibility:visible;mso-wrap-style:square" from="28860,0" to="4467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KokMIAAADcAAAADwAAAGRycy9kb3ducmV2LnhtbERPTWvCQBC9F/wPywi9NZsGGiW6SmkR&#10;WiiCJpDrmB2TtNnZmN2a9N93D4LHx/tebyfTiSsNrrWs4DmKQRBXVrdcKyjy3dMShPPIGjvLpOCP&#10;HGw3s4c1ZtqOfKDr0dcihLDLUEHjfZ9J6aqGDLrI9sSBO9vBoA9wqKUecAzhppNJHKfSYMuhocGe&#10;3hqqfo6/RsGpXJR7duQ+y+oiv16Sb1Pk70o9zqfXFQhPk7+Lb+4PrSBJw/xwJhwBuf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XKokMIAAADcAAAADwAAAAAAAAAAAAAA&#10;AAChAgAAZHJzL2Rvd25yZXYueG1sUEsFBgAAAAAEAAQA+QAAAJADAAAAAA==&#10;" strokecolor="window" strokeweight=".5pt"/>
                <v:line id="Straight Connector 18" o:spid="_x0000_s1042" style="position:absolute;flip:y;visibility:visible;mso-wrap-style:square" from="30670,0" to="4648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4NC8QAAADcAAAADwAAAGRycy9kb3ducmV2LnhtbESPW4vCMBSE3xf8D+EI+7amFrxQjSKK&#10;oCALXqCvx+bYVpuT2mS1++83C4KPw8x8w0znranEgxpXWlbQ70UgiDOrS84VnI7rrzEI55E1VpZJ&#10;wS85mM86H1NMtH3ynh4Hn4sAYZeggsL7OpHSZQUZdD1bEwfvYhuDPsgml7rBZ4CbSsZRNJQGSw4L&#10;Bda0LCi7HX6MgnM6Sr/Zkdum2V3uBvHVnI4rpT677WICwlPr3+FXe6MVxMM+/J8JR0DO/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Pg0LxAAAANwAAAAPAAAAAAAAAAAA&#10;AAAAAKECAABkcnMvZG93bnJldi54bWxQSwUGAAAAAAQABAD5AAAAkgMAAAAA&#10;" strokecolor="window" strokeweight=".5pt"/>
                <v:line id="Straight Connector 19" o:spid="_x0000_s1043" style="position:absolute;flip:y;visibility:visible;mso-wrap-style:square" from="32385,0" to="4819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yTfMQAAADcAAAADwAAAGRycy9kb3ducmV2LnhtbESPW4vCMBSE3xf2P4Sz4NuaWvBCNYrs&#10;IiiI4AX6emyObbU5qU3U+u+NsLCPw8x8w0xmranEnRpXWlbQ60YgiDOrS84VHPaL7xEI55E1VpZJ&#10;wZMczKafHxNMtH3wlu47n4sAYZeggsL7OpHSZQUZdF1bEwfvZBuDPsgml7rBR4CbSsZRNJAGSw4L&#10;Bdb0U1B22d2MgmM6TDfsyK3S7CrX/fhsDvtfpTpf7XwMwlPr/8N/7aVWEA9ieJ8JR0BO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7JN8xAAAANwAAAAPAAAAAAAAAAAA&#10;AAAAAKECAABkcnMvZG93bnJldi54bWxQSwUGAAAAAAQABAD5AAAAkgMAAAAA&#10;" strokecolor="window" strokeweight=".5pt"/>
                <v:line id="Straight Connector 20" o:spid="_x0000_s1044" style="position:absolute;flip:y;visibility:visible;mso-wrap-style:square" from="34194,0" to="5000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A258UAAADcAAAADwAAAGRycy9kb3ducmV2LnhtbESPW2vCQBSE3wv+h+UIfasbU7wQXUUq&#10;QoUieIG8HrPHJJo9m2a3mv57VxB8HGbmG2Y6b00lrtS40rKCfi8CQZxZXXKu4LBffYxBOI+ssbJM&#10;Cv7JwXzWeZtiou2Nt3Td+VwECLsEFRTe14mULivIoOvZmjh4J9sY9EE2udQN3gLcVDKOoqE0WHJY&#10;KLCmr4Kyy+7PKDimo3TDjtw6zX7lzyA+m8N+qdR7t11MQHhq/Sv8bH9rBfHwEx5nwhG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A258UAAADcAAAADwAAAAAAAAAA&#10;AAAAAAChAgAAZHJzL2Rvd25yZXYueG1sUEsFBgAAAAAEAAQA+QAAAJMDAAAAAA==&#10;" strokecolor="window" strokeweight=".5pt"/>
                <v:line id="Straight Connector 21" o:spid="_x0000_s1045" style="position:absolute;flip:y;visibility:visible;mso-wrap-style:square" from="36004,0" to="5181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muk8UAAADcAAAADwAAAGRycy9kb3ducmV2LnhtbESPW2vCQBSE3wv+h+UIfasbQ70QXUUq&#10;QoUieIG8HrPHJJo9m2a3mv57VxB8HGbmG2Y6b00lrtS40rKCfi8CQZxZXXKu4LBffYxBOI+ssbJM&#10;Cv7JwXzWeZtiou2Nt3Td+VwECLsEFRTe14mULivIoOvZmjh4J9sY9EE2udQN3gLcVDKOoqE0WHJY&#10;KLCmr4Kyy+7PKDimo3TDjtw6zX7lzyA+m8N+qdR7t11MQHhq/Sv8bH9rBfHwEx5nwhG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kmuk8UAAADcAAAADwAAAAAAAAAA&#10;AAAAAAChAgAAZHJzL2Rvd25yZXYueG1sUEsFBgAAAAAEAAQA+QAAAJMDAAAAAA==&#10;" strokecolor="window" strokeweight=".5pt"/>
                <v:line id="Straight Connector 22" o:spid="_x0000_s1046" style="position:absolute;flip:y;visibility:visible;mso-wrap-style:square" from="37814,0" to="53625,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ULCMUAAADcAAAADwAAAGRycy9kb3ducmV2LnhtbESPQWvCQBSE70L/w/IEb2ZjwLSkrlIq&#10;hRaKUBPI9TX7mqTNvo3ZVeO/dwWhx2FmvmFWm9F04kSDay0rWEQxCOLK6pZrBUX+Nn8C4Tyyxs4y&#10;KbiQg836YbLCTNszf9Fp72sRIOwyVNB432dSuqohgy6yPXHwfuxg0Ac51FIPeA5w08kkjlNpsOWw&#10;0GBPrw1Vf/ujUfBdPpY7duQ+yuogP5fJrynyrVKz6fjyDMLT6P/D9/a7VpCkS7idCUdAr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ULCMUAAADcAAAADwAAAAAAAAAA&#10;AAAAAAChAgAAZHJzL2Rvd25yZXYueG1sUEsFBgAAAAAEAAQA+QAAAJMDAAAAAA==&#10;" strokecolor="window" strokeweight=".5pt"/>
                <v:line id="Straight Connector 23" o:spid="_x0000_s1047" style="position:absolute;flip:y;visibility:visible;mso-wrap-style:square" from="39624,0" to="55435,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eVf8QAAADcAAAADwAAAGRycy9kb3ducmV2LnhtbESP3WrCQBSE7wu+w3IE7+rGgFGiq4hS&#10;sFAEfyC3x+wxiWbPptlV07fvCoVeDjPzDTNfdqYWD2pdZVnBaBiBIM6trrhQcDp+vE9BOI+ssbZM&#10;Cn7IwXLRe5tjqu2T9/Q4+EIECLsUFZTeN6mULi/JoBvahjh4F9sa9EG2hdQtPgPc1DKOokQarDgs&#10;lNjQuqT8drgbBedsku3YkfvM8m/5NY6v5nTcKDXod6sZCE+d/w//tbdaQZwk8DoTj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15V/xAAAANwAAAAPAAAAAAAAAAAA&#10;AAAAAKECAABkcnMvZG93bnJldi54bWxQSwUGAAAAAAQABAD5AAAAkgMAAAAA&#10;" strokecolor="window" strokeweight=".5pt"/>
                <v:line id="Straight Connector 24" o:spid="_x0000_s1048" style="position:absolute;flip:y;visibility:visible;mso-wrap-style:square" from="1809,0" to="1762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sw5MMAAADcAAAADwAAAGRycy9kb3ducmV2LnhtbESPQYvCMBSE74L/ITxhb5paWJVqFHER&#10;FBZhVej12TzbavPSbaJ2/71ZEDwOM/MNM1u0phJ3alxpWcFwEIEgzqwuOVdwPKz7ExDOI2usLJOC&#10;P3KwmHc7M0y0ffAP3fc+FwHCLkEFhfd1IqXLCjLoBrYmDt7ZNgZ9kE0udYOPADeVjKNoJA2WHBYK&#10;rGlVUHbd34yCUzpOd+zIbdPsV35/xhdzPHwp9dFrl1MQnlr/Dr/aG60gHo3h/0w4AnL+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bMOTDAAAA3AAAAA8AAAAAAAAAAAAA&#10;AAAAoQIAAGRycy9kb3ducmV2LnhtbFBLBQYAAAAABAAEAPkAAACRAwAAAAA=&#10;" strokecolor="window" strokeweight=".5pt"/>
                <v:line id="Straight Connector 25" o:spid="_x0000_s1049" style="position:absolute;flip:y;visibility:visible;mso-wrap-style:square" from="0,0" to="1581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SklsIAAADcAAAADwAAAGRycy9kb3ducmV2LnhtbERPTWvCQBC9F/wPywi9NZsGGiW6SmkR&#10;WiiCJpDrmB2TtNnZmN2a9N93D4LHx/tebyfTiSsNrrWs4DmKQRBXVrdcKyjy3dMShPPIGjvLpOCP&#10;HGw3s4c1ZtqOfKDr0dcihLDLUEHjfZ9J6aqGDLrI9sSBO9vBoA9wqKUecAzhppNJHKfSYMuhocGe&#10;3hqqfo6/RsGpXJR7duQ+y+oiv16Sb1Pk70o9zqfXFQhPk7+Lb+4PrSBJw9pwJhwBuf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SklsIAAADcAAAADwAAAAAAAAAAAAAA&#10;AAChAgAAZHJzL2Rvd25yZXYueG1sUEsFBgAAAAAEAAQA+QAAAJADAAAAAA==&#10;" strokecolor="window" strokeweight=".5pt"/>
                <w10:wrap anchorx="page" anchory="page"/>
              </v:group>
            </w:pict>
          </mc:Fallback>
        </mc:AlternateContent>
      </w:r>
      <w:r w:rsidR="006A6195" w:rsidRPr="0041425C">
        <w:br w:type="page"/>
      </w:r>
    </w:p>
    <w:p w:rsidR="000A57B1" w:rsidRDefault="000A57B1">
      <w:pPr>
        <w:pStyle w:val="TOCHeading"/>
        <w:sectPr w:rsidR="000A57B1" w:rsidSect="0080086A">
          <w:headerReference w:type="even" r:id="rId9"/>
          <w:headerReference w:type="default" r:id="rId10"/>
          <w:footerReference w:type="even" r:id="rId11"/>
          <w:footerReference w:type="default" r:id="rId12"/>
          <w:headerReference w:type="first" r:id="rId13"/>
          <w:footerReference w:type="first" r:id="rId14"/>
          <w:pgSz w:w="11907" w:h="16840" w:code="9"/>
          <w:pgMar w:top="1673" w:right="1440" w:bottom="1440" w:left="1440" w:header="561" w:footer="289" w:gutter="0"/>
          <w:pgNumType w:fmt="lowerRoman" w:start="1"/>
          <w:cols w:space="708"/>
          <w:titlePg/>
          <w:docGrid w:linePitch="360"/>
        </w:sectPr>
      </w:pPr>
    </w:p>
    <w:p w:rsidR="006A6195" w:rsidRPr="00BC5108" w:rsidRDefault="006A6195" w:rsidP="00B40862">
      <w:pPr>
        <w:pStyle w:val="TOCHeading"/>
        <w:spacing w:after="600"/>
        <w:rPr>
          <w:b/>
          <w:color w:val="87189D"/>
        </w:rPr>
      </w:pPr>
      <w:r w:rsidRPr="00BC5108">
        <w:rPr>
          <w:b/>
          <w:color w:val="87189D"/>
        </w:rPr>
        <w:lastRenderedPageBreak/>
        <w:t>Contents</w:t>
      </w:r>
    </w:p>
    <w:p w:rsidR="0044008A" w:rsidRPr="00B40862" w:rsidRDefault="00857073">
      <w:pPr>
        <w:pStyle w:val="TOC1"/>
        <w:rPr>
          <w:rFonts w:asciiTheme="minorHAnsi" w:eastAsiaTheme="minorEastAsia" w:hAnsiTheme="minorHAnsi" w:cstheme="minorBidi"/>
          <w:color w:val="auto"/>
          <w:sz w:val="20"/>
          <w:szCs w:val="20"/>
        </w:rPr>
      </w:pPr>
      <w:r>
        <w:rPr>
          <w:kern w:val="28"/>
          <w:lang w:eastAsia="en-US"/>
        </w:rPr>
        <w:fldChar w:fldCharType="begin"/>
      </w:r>
      <w:r>
        <w:rPr>
          <w:kern w:val="28"/>
          <w:lang w:eastAsia="en-US"/>
        </w:rPr>
        <w:instrText xml:space="preserve"> TOC \h \z \t "Heading 1,1,Heading 2,2,Heading 1 NoNum,1,Heading 2 NoNum,2,Attachment 1,1" </w:instrText>
      </w:r>
      <w:r>
        <w:rPr>
          <w:kern w:val="28"/>
          <w:lang w:eastAsia="en-US"/>
        </w:rPr>
        <w:fldChar w:fldCharType="separate"/>
      </w:r>
      <w:hyperlink w:anchor="_Toc397608125" w:history="1">
        <w:r w:rsidR="0044008A" w:rsidRPr="00B40862">
          <w:rPr>
            <w:rStyle w:val="Hyperlink"/>
            <w:b/>
            <w:color w:val="auto"/>
            <w:sz w:val="20"/>
            <w:szCs w:val="20"/>
          </w:rPr>
          <w:t>1.</w:t>
        </w:r>
        <w:r w:rsidR="0044008A" w:rsidRPr="00B40862">
          <w:rPr>
            <w:rFonts w:asciiTheme="minorHAnsi" w:eastAsiaTheme="minorEastAsia" w:hAnsiTheme="minorHAnsi" w:cstheme="minorBidi"/>
            <w:color w:val="auto"/>
            <w:sz w:val="20"/>
            <w:szCs w:val="20"/>
          </w:rPr>
          <w:tab/>
        </w:r>
        <w:r w:rsidR="0044008A" w:rsidRPr="00B40862">
          <w:rPr>
            <w:rStyle w:val="Hyperlink"/>
            <w:b/>
            <w:color w:val="auto"/>
            <w:sz w:val="20"/>
            <w:szCs w:val="20"/>
          </w:rPr>
          <w:t>Processes for legislative regulation making</w:t>
        </w:r>
        <w:r w:rsidR="0044008A" w:rsidRPr="00B40862">
          <w:rPr>
            <w:webHidden/>
            <w:color w:val="auto"/>
            <w:sz w:val="20"/>
            <w:szCs w:val="20"/>
          </w:rPr>
          <w:tab/>
        </w:r>
        <w:r w:rsidR="0044008A" w:rsidRPr="00B40862">
          <w:rPr>
            <w:webHidden/>
            <w:color w:val="auto"/>
            <w:sz w:val="20"/>
            <w:szCs w:val="20"/>
          </w:rPr>
          <w:fldChar w:fldCharType="begin"/>
        </w:r>
        <w:r w:rsidR="0044008A" w:rsidRPr="00B40862">
          <w:rPr>
            <w:webHidden/>
            <w:color w:val="auto"/>
            <w:sz w:val="20"/>
            <w:szCs w:val="20"/>
          </w:rPr>
          <w:instrText xml:space="preserve"> PAGEREF _Toc397608125 \h </w:instrText>
        </w:r>
        <w:r w:rsidR="0044008A" w:rsidRPr="00B40862">
          <w:rPr>
            <w:webHidden/>
            <w:color w:val="auto"/>
            <w:sz w:val="20"/>
            <w:szCs w:val="20"/>
          </w:rPr>
        </w:r>
        <w:r w:rsidR="0044008A" w:rsidRPr="00B40862">
          <w:rPr>
            <w:webHidden/>
            <w:color w:val="auto"/>
            <w:sz w:val="20"/>
            <w:szCs w:val="20"/>
          </w:rPr>
          <w:fldChar w:fldCharType="separate"/>
        </w:r>
        <w:r w:rsidR="00CE22A1">
          <w:rPr>
            <w:webHidden/>
            <w:color w:val="auto"/>
            <w:sz w:val="20"/>
            <w:szCs w:val="20"/>
          </w:rPr>
          <w:t>2</w:t>
        </w:r>
        <w:r w:rsidR="0044008A" w:rsidRPr="00B40862">
          <w:rPr>
            <w:webHidden/>
            <w:color w:val="auto"/>
            <w:sz w:val="20"/>
            <w:szCs w:val="20"/>
          </w:rPr>
          <w:fldChar w:fldCharType="end"/>
        </w:r>
      </w:hyperlink>
    </w:p>
    <w:p w:rsidR="0044008A" w:rsidRPr="00B40862" w:rsidRDefault="007351E8">
      <w:pPr>
        <w:pStyle w:val="TOC2"/>
        <w:tabs>
          <w:tab w:val="left" w:pos="1985"/>
        </w:tabs>
        <w:rPr>
          <w:rFonts w:asciiTheme="minorHAnsi" w:eastAsiaTheme="minorEastAsia" w:hAnsiTheme="minorHAnsi" w:cstheme="minorBidi"/>
          <w:color w:val="auto"/>
          <w:sz w:val="20"/>
          <w:szCs w:val="20"/>
        </w:rPr>
      </w:pPr>
      <w:hyperlink w:anchor="_Toc397608126" w:history="1">
        <w:r w:rsidR="0044008A" w:rsidRPr="00B40862">
          <w:rPr>
            <w:rStyle w:val="Hyperlink"/>
            <w:bCs/>
            <w:color w:val="auto"/>
            <w:sz w:val="20"/>
            <w:szCs w:val="20"/>
          </w:rPr>
          <w:t>1.1</w:t>
        </w:r>
        <w:r w:rsidR="0044008A" w:rsidRPr="00B40862">
          <w:rPr>
            <w:rFonts w:asciiTheme="minorHAnsi" w:eastAsiaTheme="minorEastAsia" w:hAnsiTheme="minorHAnsi" w:cstheme="minorBidi"/>
            <w:color w:val="auto"/>
            <w:sz w:val="20"/>
            <w:szCs w:val="20"/>
          </w:rPr>
          <w:tab/>
        </w:r>
        <w:r w:rsidR="0044008A" w:rsidRPr="00B40862">
          <w:rPr>
            <w:rStyle w:val="Hyperlink"/>
            <w:color w:val="auto"/>
            <w:sz w:val="20"/>
            <w:szCs w:val="20"/>
          </w:rPr>
          <w:t>Forms of regulation</w:t>
        </w:r>
        <w:r w:rsidR="0044008A" w:rsidRPr="00B40862">
          <w:rPr>
            <w:webHidden/>
            <w:color w:val="auto"/>
            <w:sz w:val="20"/>
            <w:szCs w:val="20"/>
          </w:rPr>
          <w:tab/>
        </w:r>
        <w:r w:rsidR="0044008A" w:rsidRPr="00B40862">
          <w:rPr>
            <w:webHidden/>
            <w:color w:val="auto"/>
            <w:sz w:val="20"/>
            <w:szCs w:val="20"/>
          </w:rPr>
          <w:fldChar w:fldCharType="begin"/>
        </w:r>
        <w:r w:rsidR="0044008A" w:rsidRPr="00B40862">
          <w:rPr>
            <w:webHidden/>
            <w:color w:val="auto"/>
            <w:sz w:val="20"/>
            <w:szCs w:val="20"/>
          </w:rPr>
          <w:instrText xml:space="preserve"> PAGEREF _Toc397608126 \h </w:instrText>
        </w:r>
        <w:r w:rsidR="0044008A" w:rsidRPr="00B40862">
          <w:rPr>
            <w:webHidden/>
            <w:color w:val="auto"/>
            <w:sz w:val="20"/>
            <w:szCs w:val="20"/>
          </w:rPr>
        </w:r>
        <w:r w:rsidR="0044008A" w:rsidRPr="00B40862">
          <w:rPr>
            <w:webHidden/>
            <w:color w:val="auto"/>
            <w:sz w:val="20"/>
            <w:szCs w:val="20"/>
          </w:rPr>
          <w:fldChar w:fldCharType="separate"/>
        </w:r>
        <w:r w:rsidR="00CE22A1">
          <w:rPr>
            <w:webHidden/>
            <w:color w:val="auto"/>
            <w:sz w:val="20"/>
            <w:szCs w:val="20"/>
          </w:rPr>
          <w:t>2</w:t>
        </w:r>
        <w:r w:rsidR="0044008A" w:rsidRPr="00B40862">
          <w:rPr>
            <w:webHidden/>
            <w:color w:val="auto"/>
            <w:sz w:val="20"/>
            <w:szCs w:val="20"/>
          </w:rPr>
          <w:fldChar w:fldCharType="end"/>
        </w:r>
      </w:hyperlink>
    </w:p>
    <w:p w:rsidR="0044008A" w:rsidRPr="00B40862" w:rsidRDefault="007351E8">
      <w:pPr>
        <w:pStyle w:val="TOC2"/>
        <w:tabs>
          <w:tab w:val="left" w:pos="1985"/>
        </w:tabs>
        <w:rPr>
          <w:rFonts w:asciiTheme="minorHAnsi" w:eastAsiaTheme="minorEastAsia" w:hAnsiTheme="minorHAnsi" w:cstheme="minorBidi"/>
          <w:color w:val="auto"/>
          <w:sz w:val="20"/>
          <w:szCs w:val="20"/>
        </w:rPr>
      </w:pPr>
      <w:hyperlink w:anchor="_Toc397608127" w:history="1">
        <w:r w:rsidR="0044008A" w:rsidRPr="00B40862">
          <w:rPr>
            <w:rStyle w:val="Hyperlink"/>
            <w:color w:val="auto"/>
            <w:sz w:val="20"/>
            <w:szCs w:val="20"/>
          </w:rPr>
          <w:t>1.2</w:t>
        </w:r>
        <w:r w:rsidR="0044008A" w:rsidRPr="00B40862">
          <w:rPr>
            <w:rFonts w:asciiTheme="minorHAnsi" w:eastAsiaTheme="minorEastAsia" w:hAnsiTheme="minorHAnsi" w:cstheme="minorBidi"/>
            <w:color w:val="auto"/>
            <w:sz w:val="20"/>
            <w:szCs w:val="20"/>
          </w:rPr>
          <w:tab/>
        </w:r>
        <w:r w:rsidR="0044008A" w:rsidRPr="00B40862">
          <w:rPr>
            <w:rStyle w:val="Hyperlink"/>
            <w:color w:val="auto"/>
            <w:sz w:val="20"/>
            <w:szCs w:val="20"/>
          </w:rPr>
          <w:t>Introduction to legislative processes</w:t>
        </w:r>
        <w:r w:rsidR="0044008A" w:rsidRPr="00B40862">
          <w:rPr>
            <w:webHidden/>
            <w:color w:val="auto"/>
            <w:sz w:val="20"/>
            <w:szCs w:val="20"/>
          </w:rPr>
          <w:tab/>
        </w:r>
        <w:r w:rsidR="0044008A" w:rsidRPr="00B40862">
          <w:rPr>
            <w:webHidden/>
            <w:color w:val="auto"/>
            <w:sz w:val="20"/>
            <w:szCs w:val="20"/>
          </w:rPr>
          <w:fldChar w:fldCharType="begin"/>
        </w:r>
        <w:r w:rsidR="0044008A" w:rsidRPr="00B40862">
          <w:rPr>
            <w:webHidden/>
            <w:color w:val="auto"/>
            <w:sz w:val="20"/>
            <w:szCs w:val="20"/>
          </w:rPr>
          <w:instrText xml:space="preserve"> PAGEREF _Toc397608127 \h </w:instrText>
        </w:r>
        <w:r w:rsidR="0044008A" w:rsidRPr="00B40862">
          <w:rPr>
            <w:webHidden/>
            <w:color w:val="auto"/>
            <w:sz w:val="20"/>
            <w:szCs w:val="20"/>
          </w:rPr>
        </w:r>
        <w:r w:rsidR="0044008A" w:rsidRPr="00B40862">
          <w:rPr>
            <w:webHidden/>
            <w:color w:val="auto"/>
            <w:sz w:val="20"/>
            <w:szCs w:val="20"/>
          </w:rPr>
          <w:fldChar w:fldCharType="separate"/>
        </w:r>
        <w:r w:rsidR="00CE22A1">
          <w:rPr>
            <w:webHidden/>
            <w:color w:val="auto"/>
            <w:sz w:val="20"/>
            <w:szCs w:val="20"/>
          </w:rPr>
          <w:t>4</w:t>
        </w:r>
        <w:r w:rsidR="0044008A" w:rsidRPr="00B40862">
          <w:rPr>
            <w:webHidden/>
            <w:color w:val="auto"/>
            <w:sz w:val="20"/>
            <w:szCs w:val="20"/>
          </w:rPr>
          <w:fldChar w:fldCharType="end"/>
        </w:r>
      </w:hyperlink>
    </w:p>
    <w:p w:rsidR="0044008A" w:rsidRPr="00B40862" w:rsidRDefault="007351E8">
      <w:pPr>
        <w:pStyle w:val="TOC2"/>
        <w:tabs>
          <w:tab w:val="left" w:pos="1985"/>
        </w:tabs>
        <w:rPr>
          <w:rFonts w:asciiTheme="minorHAnsi" w:eastAsiaTheme="minorEastAsia" w:hAnsiTheme="minorHAnsi" w:cstheme="minorBidi"/>
          <w:color w:val="auto"/>
          <w:sz w:val="20"/>
          <w:szCs w:val="20"/>
        </w:rPr>
      </w:pPr>
      <w:hyperlink w:anchor="_Toc397608128" w:history="1">
        <w:r w:rsidR="0044008A" w:rsidRPr="00B40862">
          <w:rPr>
            <w:rStyle w:val="Hyperlink"/>
            <w:bCs/>
            <w:color w:val="auto"/>
            <w:sz w:val="20"/>
            <w:szCs w:val="20"/>
          </w:rPr>
          <w:t>1.3</w:t>
        </w:r>
        <w:r w:rsidR="0044008A" w:rsidRPr="00B40862">
          <w:rPr>
            <w:rFonts w:asciiTheme="minorHAnsi" w:eastAsiaTheme="minorEastAsia" w:hAnsiTheme="minorHAnsi" w:cstheme="minorBidi"/>
            <w:color w:val="auto"/>
            <w:sz w:val="20"/>
            <w:szCs w:val="20"/>
          </w:rPr>
          <w:tab/>
        </w:r>
        <w:r w:rsidR="0044008A" w:rsidRPr="00B40862">
          <w:rPr>
            <w:rStyle w:val="Hyperlink"/>
            <w:color w:val="auto"/>
            <w:sz w:val="20"/>
            <w:szCs w:val="20"/>
          </w:rPr>
          <w:t>What constitutes a ‘significant burden’?</w:t>
        </w:r>
        <w:r w:rsidR="0044008A" w:rsidRPr="00B40862">
          <w:rPr>
            <w:webHidden/>
            <w:color w:val="auto"/>
            <w:sz w:val="20"/>
            <w:szCs w:val="20"/>
          </w:rPr>
          <w:tab/>
        </w:r>
        <w:r w:rsidR="0044008A" w:rsidRPr="00B40862">
          <w:rPr>
            <w:webHidden/>
            <w:color w:val="auto"/>
            <w:sz w:val="20"/>
            <w:szCs w:val="20"/>
          </w:rPr>
          <w:fldChar w:fldCharType="begin"/>
        </w:r>
        <w:r w:rsidR="0044008A" w:rsidRPr="00B40862">
          <w:rPr>
            <w:webHidden/>
            <w:color w:val="auto"/>
            <w:sz w:val="20"/>
            <w:szCs w:val="20"/>
          </w:rPr>
          <w:instrText xml:space="preserve"> PAGEREF _Toc397608128 \h </w:instrText>
        </w:r>
        <w:r w:rsidR="0044008A" w:rsidRPr="00B40862">
          <w:rPr>
            <w:webHidden/>
            <w:color w:val="auto"/>
            <w:sz w:val="20"/>
            <w:szCs w:val="20"/>
          </w:rPr>
        </w:r>
        <w:r w:rsidR="0044008A" w:rsidRPr="00B40862">
          <w:rPr>
            <w:webHidden/>
            <w:color w:val="auto"/>
            <w:sz w:val="20"/>
            <w:szCs w:val="20"/>
          </w:rPr>
          <w:fldChar w:fldCharType="separate"/>
        </w:r>
        <w:r w:rsidR="00CE22A1">
          <w:rPr>
            <w:webHidden/>
            <w:color w:val="auto"/>
            <w:sz w:val="20"/>
            <w:szCs w:val="20"/>
          </w:rPr>
          <w:t>6</w:t>
        </w:r>
        <w:r w:rsidR="0044008A" w:rsidRPr="00B40862">
          <w:rPr>
            <w:webHidden/>
            <w:color w:val="auto"/>
            <w:sz w:val="20"/>
            <w:szCs w:val="20"/>
          </w:rPr>
          <w:fldChar w:fldCharType="end"/>
        </w:r>
      </w:hyperlink>
    </w:p>
    <w:p w:rsidR="0044008A" w:rsidRPr="00B40862" w:rsidRDefault="007351E8">
      <w:pPr>
        <w:pStyle w:val="TOC2"/>
        <w:tabs>
          <w:tab w:val="left" w:pos="1985"/>
        </w:tabs>
        <w:rPr>
          <w:rFonts w:asciiTheme="minorHAnsi" w:eastAsiaTheme="minorEastAsia" w:hAnsiTheme="minorHAnsi" w:cstheme="minorBidi"/>
          <w:color w:val="auto"/>
          <w:sz w:val="20"/>
          <w:szCs w:val="20"/>
        </w:rPr>
      </w:pPr>
      <w:hyperlink w:anchor="_Toc397608129" w:history="1">
        <w:r w:rsidR="0044008A" w:rsidRPr="00B40862">
          <w:rPr>
            <w:rStyle w:val="Hyperlink"/>
            <w:bCs/>
            <w:color w:val="auto"/>
            <w:sz w:val="20"/>
            <w:szCs w:val="20"/>
          </w:rPr>
          <w:t>1.4</w:t>
        </w:r>
        <w:r w:rsidR="0044008A" w:rsidRPr="00B40862">
          <w:rPr>
            <w:rFonts w:asciiTheme="minorHAnsi" w:eastAsiaTheme="minorEastAsia" w:hAnsiTheme="minorHAnsi" w:cstheme="minorBidi"/>
            <w:color w:val="auto"/>
            <w:sz w:val="20"/>
            <w:szCs w:val="20"/>
          </w:rPr>
          <w:tab/>
        </w:r>
        <w:r w:rsidR="0044008A" w:rsidRPr="00B40862">
          <w:rPr>
            <w:rStyle w:val="Hyperlink"/>
            <w:color w:val="auto"/>
            <w:sz w:val="20"/>
            <w:szCs w:val="20"/>
          </w:rPr>
          <w:t>Legislative impact assessments (LIAs)</w:t>
        </w:r>
        <w:r w:rsidR="0044008A" w:rsidRPr="00B40862">
          <w:rPr>
            <w:webHidden/>
            <w:color w:val="auto"/>
            <w:sz w:val="20"/>
            <w:szCs w:val="20"/>
          </w:rPr>
          <w:tab/>
        </w:r>
        <w:r w:rsidR="0044008A" w:rsidRPr="00B40862">
          <w:rPr>
            <w:webHidden/>
            <w:color w:val="auto"/>
            <w:sz w:val="20"/>
            <w:szCs w:val="20"/>
          </w:rPr>
          <w:fldChar w:fldCharType="begin"/>
        </w:r>
        <w:r w:rsidR="0044008A" w:rsidRPr="00B40862">
          <w:rPr>
            <w:webHidden/>
            <w:color w:val="auto"/>
            <w:sz w:val="20"/>
            <w:szCs w:val="20"/>
          </w:rPr>
          <w:instrText xml:space="preserve"> PAGEREF _Toc397608129 \h </w:instrText>
        </w:r>
        <w:r w:rsidR="0044008A" w:rsidRPr="00B40862">
          <w:rPr>
            <w:webHidden/>
            <w:color w:val="auto"/>
            <w:sz w:val="20"/>
            <w:szCs w:val="20"/>
          </w:rPr>
        </w:r>
        <w:r w:rsidR="0044008A" w:rsidRPr="00B40862">
          <w:rPr>
            <w:webHidden/>
            <w:color w:val="auto"/>
            <w:sz w:val="20"/>
            <w:szCs w:val="20"/>
          </w:rPr>
          <w:fldChar w:fldCharType="separate"/>
        </w:r>
        <w:r w:rsidR="00CE22A1">
          <w:rPr>
            <w:webHidden/>
            <w:color w:val="auto"/>
            <w:sz w:val="20"/>
            <w:szCs w:val="20"/>
          </w:rPr>
          <w:t>7</w:t>
        </w:r>
        <w:r w:rsidR="0044008A" w:rsidRPr="00B40862">
          <w:rPr>
            <w:webHidden/>
            <w:color w:val="auto"/>
            <w:sz w:val="20"/>
            <w:szCs w:val="20"/>
          </w:rPr>
          <w:fldChar w:fldCharType="end"/>
        </w:r>
      </w:hyperlink>
    </w:p>
    <w:p w:rsidR="0044008A" w:rsidRPr="00B40862" w:rsidRDefault="007351E8">
      <w:pPr>
        <w:pStyle w:val="TOC2"/>
        <w:tabs>
          <w:tab w:val="left" w:pos="1985"/>
        </w:tabs>
        <w:rPr>
          <w:rFonts w:asciiTheme="minorHAnsi" w:eastAsiaTheme="minorEastAsia" w:hAnsiTheme="minorHAnsi" w:cstheme="minorBidi"/>
          <w:color w:val="auto"/>
          <w:sz w:val="20"/>
          <w:szCs w:val="20"/>
        </w:rPr>
      </w:pPr>
      <w:hyperlink w:anchor="_Toc397608130" w:history="1">
        <w:r w:rsidR="0044008A" w:rsidRPr="00B40862">
          <w:rPr>
            <w:rStyle w:val="Hyperlink"/>
            <w:bCs/>
            <w:color w:val="auto"/>
            <w:sz w:val="20"/>
            <w:szCs w:val="20"/>
          </w:rPr>
          <w:t>1.5</w:t>
        </w:r>
        <w:r w:rsidR="0044008A" w:rsidRPr="00B40862">
          <w:rPr>
            <w:rFonts w:asciiTheme="minorHAnsi" w:eastAsiaTheme="minorEastAsia" w:hAnsiTheme="minorHAnsi" w:cstheme="minorBidi"/>
            <w:color w:val="auto"/>
            <w:sz w:val="20"/>
            <w:szCs w:val="20"/>
          </w:rPr>
          <w:tab/>
        </w:r>
        <w:r w:rsidR="0044008A" w:rsidRPr="00B40862">
          <w:rPr>
            <w:rStyle w:val="Hyperlink"/>
            <w:color w:val="auto"/>
            <w:sz w:val="20"/>
            <w:szCs w:val="20"/>
          </w:rPr>
          <w:t>Regulatory impact statements (RISs)</w:t>
        </w:r>
        <w:r w:rsidR="0044008A" w:rsidRPr="00B40862">
          <w:rPr>
            <w:webHidden/>
            <w:color w:val="auto"/>
            <w:sz w:val="20"/>
            <w:szCs w:val="20"/>
          </w:rPr>
          <w:tab/>
        </w:r>
        <w:r w:rsidR="0044008A" w:rsidRPr="00B40862">
          <w:rPr>
            <w:webHidden/>
            <w:color w:val="auto"/>
            <w:sz w:val="20"/>
            <w:szCs w:val="20"/>
          </w:rPr>
          <w:fldChar w:fldCharType="begin"/>
        </w:r>
        <w:r w:rsidR="0044008A" w:rsidRPr="00B40862">
          <w:rPr>
            <w:webHidden/>
            <w:color w:val="auto"/>
            <w:sz w:val="20"/>
            <w:szCs w:val="20"/>
          </w:rPr>
          <w:instrText xml:space="preserve"> PAGEREF _Toc397608130 \h </w:instrText>
        </w:r>
        <w:r w:rsidR="0044008A" w:rsidRPr="00B40862">
          <w:rPr>
            <w:webHidden/>
            <w:color w:val="auto"/>
            <w:sz w:val="20"/>
            <w:szCs w:val="20"/>
          </w:rPr>
        </w:r>
        <w:r w:rsidR="0044008A" w:rsidRPr="00B40862">
          <w:rPr>
            <w:webHidden/>
            <w:color w:val="auto"/>
            <w:sz w:val="20"/>
            <w:szCs w:val="20"/>
          </w:rPr>
          <w:fldChar w:fldCharType="separate"/>
        </w:r>
        <w:r w:rsidR="00CE22A1">
          <w:rPr>
            <w:webHidden/>
            <w:color w:val="auto"/>
            <w:sz w:val="20"/>
            <w:szCs w:val="20"/>
          </w:rPr>
          <w:t>15</w:t>
        </w:r>
        <w:r w:rsidR="0044008A" w:rsidRPr="00B40862">
          <w:rPr>
            <w:webHidden/>
            <w:color w:val="auto"/>
            <w:sz w:val="20"/>
            <w:szCs w:val="20"/>
          </w:rPr>
          <w:fldChar w:fldCharType="end"/>
        </w:r>
      </w:hyperlink>
    </w:p>
    <w:p w:rsidR="0044008A" w:rsidRPr="00B40862" w:rsidRDefault="007351E8">
      <w:pPr>
        <w:pStyle w:val="TOC2"/>
        <w:tabs>
          <w:tab w:val="left" w:pos="1985"/>
        </w:tabs>
        <w:rPr>
          <w:rFonts w:asciiTheme="minorHAnsi" w:eastAsiaTheme="minorEastAsia" w:hAnsiTheme="minorHAnsi" w:cstheme="minorBidi"/>
          <w:color w:val="auto"/>
          <w:sz w:val="20"/>
          <w:szCs w:val="20"/>
        </w:rPr>
      </w:pPr>
      <w:hyperlink w:anchor="_Toc397608131" w:history="1">
        <w:r w:rsidR="0044008A" w:rsidRPr="00B40862">
          <w:rPr>
            <w:rStyle w:val="Hyperlink"/>
            <w:color w:val="auto"/>
            <w:sz w:val="20"/>
            <w:szCs w:val="20"/>
          </w:rPr>
          <w:t>1.6</w:t>
        </w:r>
        <w:r w:rsidR="0044008A" w:rsidRPr="00B40862">
          <w:rPr>
            <w:rFonts w:asciiTheme="minorHAnsi" w:eastAsiaTheme="minorEastAsia" w:hAnsiTheme="minorHAnsi" w:cstheme="minorBidi"/>
            <w:color w:val="auto"/>
            <w:sz w:val="20"/>
            <w:szCs w:val="20"/>
          </w:rPr>
          <w:tab/>
        </w:r>
        <w:r w:rsidR="0044008A" w:rsidRPr="00B40862">
          <w:rPr>
            <w:rStyle w:val="Hyperlink"/>
            <w:i/>
            <w:color w:val="auto"/>
            <w:sz w:val="20"/>
            <w:szCs w:val="20"/>
          </w:rPr>
          <w:t>Charter of Human Rights and Responsibilities Act 2006</w:t>
        </w:r>
        <w:r w:rsidR="0044008A" w:rsidRPr="00B40862">
          <w:rPr>
            <w:webHidden/>
            <w:color w:val="auto"/>
            <w:sz w:val="20"/>
            <w:szCs w:val="20"/>
          </w:rPr>
          <w:tab/>
        </w:r>
        <w:r w:rsidR="0044008A" w:rsidRPr="00B40862">
          <w:rPr>
            <w:webHidden/>
            <w:color w:val="auto"/>
            <w:sz w:val="20"/>
            <w:szCs w:val="20"/>
          </w:rPr>
          <w:fldChar w:fldCharType="begin"/>
        </w:r>
        <w:r w:rsidR="0044008A" w:rsidRPr="00B40862">
          <w:rPr>
            <w:webHidden/>
            <w:color w:val="auto"/>
            <w:sz w:val="20"/>
            <w:szCs w:val="20"/>
          </w:rPr>
          <w:instrText xml:space="preserve"> PAGEREF _Toc397608131 \h </w:instrText>
        </w:r>
        <w:r w:rsidR="0044008A" w:rsidRPr="00B40862">
          <w:rPr>
            <w:webHidden/>
            <w:color w:val="auto"/>
            <w:sz w:val="20"/>
            <w:szCs w:val="20"/>
          </w:rPr>
        </w:r>
        <w:r w:rsidR="0044008A" w:rsidRPr="00B40862">
          <w:rPr>
            <w:webHidden/>
            <w:color w:val="auto"/>
            <w:sz w:val="20"/>
            <w:szCs w:val="20"/>
          </w:rPr>
          <w:fldChar w:fldCharType="separate"/>
        </w:r>
        <w:r w:rsidR="00CE22A1">
          <w:rPr>
            <w:webHidden/>
            <w:color w:val="auto"/>
            <w:sz w:val="20"/>
            <w:szCs w:val="20"/>
          </w:rPr>
          <w:t>32</w:t>
        </w:r>
        <w:r w:rsidR="0044008A" w:rsidRPr="00B40862">
          <w:rPr>
            <w:webHidden/>
            <w:color w:val="auto"/>
            <w:sz w:val="20"/>
            <w:szCs w:val="20"/>
          </w:rPr>
          <w:fldChar w:fldCharType="end"/>
        </w:r>
      </w:hyperlink>
    </w:p>
    <w:p w:rsidR="0044008A" w:rsidRPr="00B40862" w:rsidRDefault="007351E8">
      <w:pPr>
        <w:pStyle w:val="TOC2"/>
        <w:tabs>
          <w:tab w:val="left" w:pos="1985"/>
        </w:tabs>
        <w:rPr>
          <w:rFonts w:asciiTheme="minorHAnsi" w:eastAsiaTheme="minorEastAsia" w:hAnsiTheme="minorHAnsi" w:cstheme="minorBidi"/>
          <w:color w:val="auto"/>
        </w:rPr>
      </w:pPr>
      <w:hyperlink w:anchor="_Toc397608132" w:history="1">
        <w:r w:rsidR="0044008A" w:rsidRPr="00B40862">
          <w:rPr>
            <w:rStyle w:val="Hyperlink"/>
            <w:color w:val="auto"/>
            <w:sz w:val="20"/>
            <w:szCs w:val="20"/>
          </w:rPr>
          <w:t>1.7</w:t>
        </w:r>
        <w:r w:rsidR="0044008A" w:rsidRPr="00B40862">
          <w:rPr>
            <w:rFonts w:asciiTheme="minorHAnsi" w:eastAsiaTheme="minorEastAsia" w:hAnsiTheme="minorHAnsi" w:cstheme="minorBidi"/>
            <w:color w:val="auto"/>
            <w:sz w:val="20"/>
            <w:szCs w:val="20"/>
          </w:rPr>
          <w:tab/>
        </w:r>
        <w:r w:rsidR="0044008A" w:rsidRPr="00B40862">
          <w:rPr>
            <w:rStyle w:val="Hyperlink"/>
            <w:color w:val="auto"/>
            <w:sz w:val="20"/>
            <w:szCs w:val="20"/>
          </w:rPr>
          <w:t>Consultation with local government</w:t>
        </w:r>
        <w:r w:rsidR="0044008A" w:rsidRPr="00B40862">
          <w:rPr>
            <w:webHidden/>
            <w:color w:val="auto"/>
            <w:sz w:val="20"/>
            <w:szCs w:val="20"/>
          </w:rPr>
          <w:tab/>
        </w:r>
        <w:r w:rsidR="0044008A" w:rsidRPr="00B40862">
          <w:rPr>
            <w:webHidden/>
            <w:color w:val="auto"/>
            <w:sz w:val="20"/>
            <w:szCs w:val="20"/>
          </w:rPr>
          <w:fldChar w:fldCharType="begin"/>
        </w:r>
        <w:r w:rsidR="0044008A" w:rsidRPr="00B40862">
          <w:rPr>
            <w:webHidden/>
            <w:color w:val="auto"/>
            <w:sz w:val="20"/>
            <w:szCs w:val="20"/>
          </w:rPr>
          <w:instrText xml:space="preserve"> PAGEREF _Toc397608132 \h </w:instrText>
        </w:r>
        <w:r w:rsidR="0044008A" w:rsidRPr="00B40862">
          <w:rPr>
            <w:webHidden/>
            <w:color w:val="auto"/>
            <w:sz w:val="20"/>
            <w:szCs w:val="20"/>
          </w:rPr>
        </w:r>
        <w:r w:rsidR="0044008A" w:rsidRPr="00B40862">
          <w:rPr>
            <w:webHidden/>
            <w:color w:val="auto"/>
            <w:sz w:val="20"/>
            <w:szCs w:val="20"/>
          </w:rPr>
          <w:fldChar w:fldCharType="separate"/>
        </w:r>
        <w:r w:rsidR="00CE22A1">
          <w:rPr>
            <w:webHidden/>
            <w:color w:val="auto"/>
            <w:sz w:val="20"/>
            <w:szCs w:val="20"/>
          </w:rPr>
          <w:t>37</w:t>
        </w:r>
        <w:r w:rsidR="0044008A" w:rsidRPr="00B40862">
          <w:rPr>
            <w:webHidden/>
            <w:color w:val="auto"/>
            <w:sz w:val="20"/>
            <w:szCs w:val="20"/>
          </w:rPr>
          <w:fldChar w:fldCharType="end"/>
        </w:r>
      </w:hyperlink>
    </w:p>
    <w:p w:rsidR="0044008A" w:rsidRPr="00B40862" w:rsidRDefault="007351E8">
      <w:pPr>
        <w:pStyle w:val="TOC1"/>
        <w:tabs>
          <w:tab w:val="left" w:pos="1985"/>
        </w:tabs>
        <w:rPr>
          <w:rFonts w:asciiTheme="minorHAnsi" w:eastAsiaTheme="minorEastAsia" w:hAnsiTheme="minorHAnsi" w:cstheme="minorBidi"/>
          <w:color w:val="auto"/>
          <w:sz w:val="20"/>
          <w:szCs w:val="20"/>
        </w:rPr>
      </w:pPr>
      <w:hyperlink w:anchor="_Toc397608133" w:history="1">
        <w:r w:rsidR="0044008A" w:rsidRPr="00B40862">
          <w:rPr>
            <w:rStyle w:val="Hyperlink"/>
            <w:b/>
            <w:color w:val="auto"/>
            <w:sz w:val="20"/>
            <w:szCs w:val="20"/>
          </w:rPr>
          <w:t>Attachment 1.</w:t>
        </w:r>
        <w:r w:rsidR="00B40862">
          <w:rPr>
            <w:rFonts w:asciiTheme="minorHAnsi" w:eastAsiaTheme="minorEastAsia" w:hAnsiTheme="minorHAnsi" w:cstheme="minorBidi"/>
            <w:color w:val="auto"/>
            <w:sz w:val="20"/>
            <w:szCs w:val="20"/>
          </w:rPr>
          <w:t xml:space="preserve">  </w:t>
        </w:r>
        <w:r w:rsidR="0044008A" w:rsidRPr="00B40862">
          <w:rPr>
            <w:rStyle w:val="Hyperlink"/>
            <w:b/>
            <w:color w:val="auto"/>
            <w:sz w:val="20"/>
            <w:szCs w:val="20"/>
          </w:rPr>
          <w:t>Documentation accompanying subordinate legislation</w:t>
        </w:r>
        <w:r w:rsidR="0044008A" w:rsidRPr="00B40862">
          <w:rPr>
            <w:webHidden/>
            <w:color w:val="auto"/>
            <w:sz w:val="20"/>
            <w:szCs w:val="20"/>
          </w:rPr>
          <w:tab/>
        </w:r>
        <w:r w:rsidR="0044008A" w:rsidRPr="00B40862">
          <w:rPr>
            <w:webHidden/>
            <w:color w:val="auto"/>
            <w:sz w:val="20"/>
            <w:szCs w:val="20"/>
          </w:rPr>
          <w:fldChar w:fldCharType="begin"/>
        </w:r>
        <w:r w:rsidR="0044008A" w:rsidRPr="00B40862">
          <w:rPr>
            <w:webHidden/>
            <w:color w:val="auto"/>
            <w:sz w:val="20"/>
            <w:szCs w:val="20"/>
          </w:rPr>
          <w:instrText xml:space="preserve"> PAGEREF _Toc397608133 \h </w:instrText>
        </w:r>
        <w:r w:rsidR="0044008A" w:rsidRPr="00B40862">
          <w:rPr>
            <w:webHidden/>
            <w:color w:val="auto"/>
            <w:sz w:val="20"/>
            <w:szCs w:val="20"/>
          </w:rPr>
        </w:r>
        <w:r w:rsidR="0044008A" w:rsidRPr="00B40862">
          <w:rPr>
            <w:webHidden/>
            <w:color w:val="auto"/>
            <w:sz w:val="20"/>
            <w:szCs w:val="20"/>
          </w:rPr>
          <w:fldChar w:fldCharType="separate"/>
        </w:r>
        <w:r w:rsidR="00CE22A1">
          <w:rPr>
            <w:webHidden/>
            <w:color w:val="auto"/>
            <w:sz w:val="20"/>
            <w:szCs w:val="20"/>
          </w:rPr>
          <w:t>39</w:t>
        </w:r>
        <w:r w:rsidR="0044008A" w:rsidRPr="00B40862">
          <w:rPr>
            <w:webHidden/>
            <w:color w:val="auto"/>
            <w:sz w:val="20"/>
            <w:szCs w:val="20"/>
          </w:rPr>
          <w:fldChar w:fldCharType="end"/>
        </w:r>
      </w:hyperlink>
    </w:p>
    <w:p w:rsidR="0044008A" w:rsidRPr="00B40862" w:rsidRDefault="007351E8">
      <w:pPr>
        <w:pStyle w:val="TOC2"/>
        <w:rPr>
          <w:rFonts w:asciiTheme="minorHAnsi" w:eastAsiaTheme="minorEastAsia" w:hAnsiTheme="minorHAnsi" w:cstheme="minorBidi"/>
          <w:color w:val="auto"/>
          <w:sz w:val="20"/>
          <w:szCs w:val="20"/>
        </w:rPr>
      </w:pPr>
      <w:hyperlink w:anchor="_Toc397608134" w:history="1">
        <w:r w:rsidR="0044008A" w:rsidRPr="00B40862">
          <w:rPr>
            <w:rStyle w:val="Hyperlink"/>
            <w:color w:val="auto"/>
            <w:sz w:val="20"/>
            <w:szCs w:val="20"/>
          </w:rPr>
          <w:t>Introduction</w:t>
        </w:r>
        <w:r w:rsidR="0044008A" w:rsidRPr="00B40862">
          <w:rPr>
            <w:webHidden/>
            <w:color w:val="auto"/>
            <w:sz w:val="20"/>
            <w:szCs w:val="20"/>
          </w:rPr>
          <w:tab/>
        </w:r>
        <w:r w:rsidR="0044008A" w:rsidRPr="00B40862">
          <w:rPr>
            <w:webHidden/>
            <w:color w:val="auto"/>
            <w:sz w:val="20"/>
            <w:szCs w:val="20"/>
          </w:rPr>
          <w:fldChar w:fldCharType="begin"/>
        </w:r>
        <w:r w:rsidR="0044008A" w:rsidRPr="00B40862">
          <w:rPr>
            <w:webHidden/>
            <w:color w:val="auto"/>
            <w:sz w:val="20"/>
            <w:szCs w:val="20"/>
          </w:rPr>
          <w:instrText xml:space="preserve"> PAGEREF _Toc397608134 \h </w:instrText>
        </w:r>
        <w:r w:rsidR="0044008A" w:rsidRPr="00B40862">
          <w:rPr>
            <w:webHidden/>
            <w:color w:val="auto"/>
            <w:sz w:val="20"/>
            <w:szCs w:val="20"/>
          </w:rPr>
        </w:r>
        <w:r w:rsidR="0044008A" w:rsidRPr="00B40862">
          <w:rPr>
            <w:webHidden/>
            <w:color w:val="auto"/>
            <w:sz w:val="20"/>
            <w:szCs w:val="20"/>
          </w:rPr>
          <w:fldChar w:fldCharType="separate"/>
        </w:r>
        <w:r w:rsidR="00CE22A1">
          <w:rPr>
            <w:webHidden/>
            <w:color w:val="auto"/>
            <w:sz w:val="20"/>
            <w:szCs w:val="20"/>
          </w:rPr>
          <w:t>39</w:t>
        </w:r>
        <w:r w:rsidR="0044008A" w:rsidRPr="00B40862">
          <w:rPr>
            <w:webHidden/>
            <w:color w:val="auto"/>
            <w:sz w:val="20"/>
            <w:szCs w:val="20"/>
          </w:rPr>
          <w:fldChar w:fldCharType="end"/>
        </w:r>
      </w:hyperlink>
    </w:p>
    <w:p w:rsidR="0044008A" w:rsidRPr="00B40862" w:rsidRDefault="007351E8">
      <w:pPr>
        <w:pStyle w:val="TOC2"/>
        <w:rPr>
          <w:rFonts w:asciiTheme="minorHAnsi" w:eastAsiaTheme="minorEastAsia" w:hAnsiTheme="minorHAnsi" w:cstheme="minorBidi"/>
          <w:color w:val="auto"/>
          <w:sz w:val="20"/>
          <w:szCs w:val="20"/>
        </w:rPr>
      </w:pPr>
      <w:hyperlink w:anchor="_Toc397608135" w:history="1">
        <w:r w:rsidR="0044008A" w:rsidRPr="00B40862">
          <w:rPr>
            <w:rStyle w:val="Hyperlink"/>
            <w:color w:val="auto"/>
            <w:sz w:val="20"/>
            <w:szCs w:val="20"/>
          </w:rPr>
          <w:t>Seeking an extension for statutory rules due to be revoked</w:t>
        </w:r>
        <w:r w:rsidR="0044008A" w:rsidRPr="00B40862">
          <w:rPr>
            <w:webHidden/>
            <w:color w:val="auto"/>
            <w:sz w:val="20"/>
            <w:szCs w:val="20"/>
          </w:rPr>
          <w:tab/>
        </w:r>
        <w:r w:rsidR="0044008A" w:rsidRPr="00B40862">
          <w:rPr>
            <w:webHidden/>
            <w:color w:val="auto"/>
            <w:sz w:val="20"/>
            <w:szCs w:val="20"/>
          </w:rPr>
          <w:fldChar w:fldCharType="begin"/>
        </w:r>
        <w:r w:rsidR="0044008A" w:rsidRPr="00B40862">
          <w:rPr>
            <w:webHidden/>
            <w:color w:val="auto"/>
            <w:sz w:val="20"/>
            <w:szCs w:val="20"/>
          </w:rPr>
          <w:instrText xml:space="preserve"> PAGEREF _Toc397608135 \h </w:instrText>
        </w:r>
        <w:r w:rsidR="0044008A" w:rsidRPr="00B40862">
          <w:rPr>
            <w:webHidden/>
            <w:color w:val="auto"/>
            <w:sz w:val="20"/>
            <w:szCs w:val="20"/>
          </w:rPr>
        </w:r>
        <w:r w:rsidR="0044008A" w:rsidRPr="00B40862">
          <w:rPr>
            <w:webHidden/>
            <w:color w:val="auto"/>
            <w:sz w:val="20"/>
            <w:szCs w:val="20"/>
          </w:rPr>
          <w:fldChar w:fldCharType="separate"/>
        </w:r>
        <w:r w:rsidR="00CE22A1">
          <w:rPr>
            <w:webHidden/>
            <w:color w:val="auto"/>
            <w:sz w:val="20"/>
            <w:szCs w:val="20"/>
          </w:rPr>
          <w:t>39</w:t>
        </w:r>
        <w:r w:rsidR="0044008A" w:rsidRPr="00B40862">
          <w:rPr>
            <w:webHidden/>
            <w:color w:val="auto"/>
            <w:sz w:val="20"/>
            <w:szCs w:val="20"/>
          </w:rPr>
          <w:fldChar w:fldCharType="end"/>
        </w:r>
      </w:hyperlink>
    </w:p>
    <w:p w:rsidR="0044008A" w:rsidRPr="00B40862" w:rsidRDefault="007351E8">
      <w:pPr>
        <w:pStyle w:val="TOC2"/>
        <w:rPr>
          <w:rFonts w:asciiTheme="minorHAnsi" w:eastAsiaTheme="minorEastAsia" w:hAnsiTheme="minorHAnsi" w:cstheme="minorBidi"/>
          <w:color w:val="auto"/>
          <w:sz w:val="20"/>
          <w:szCs w:val="20"/>
        </w:rPr>
      </w:pPr>
      <w:hyperlink w:anchor="_Toc397608136" w:history="1">
        <w:r w:rsidR="0044008A" w:rsidRPr="00B40862">
          <w:rPr>
            <w:rStyle w:val="Hyperlink"/>
            <w:color w:val="auto"/>
            <w:sz w:val="20"/>
            <w:szCs w:val="20"/>
          </w:rPr>
          <w:t>Documentation checklists and publication requirements</w:t>
        </w:r>
        <w:r w:rsidR="0044008A" w:rsidRPr="00B40862">
          <w:rPr>
            <w:webHidden/>
            <w:color w:val="auto"/>
            <w:sz w:val="20"/>
            <w:szCs w:val="20"/>
          </w:rPr>
          <w:tab/>
        </w:r>
        <w:r w:rsidR="0044008A" w:rsidRPr="00B40862">
          <w:rPr>
            <w:webHidden/>
            <w:color w:val="auto"/>
            <w:sz w:val="20"/>
            <w:szCs w:val="20"/>
          </w:rPr>
          <w:fldChar w:fldCharType="begin"/>
        </w:r>
        <w:r w:rsidR="0044008A" w:rsidRPr="00B40862">
          <w:rPr>
            <w:webHidden/>
            <w:color w:val="auto"/>
            <w:sz w:val="20"/>
            <w:szCs w:val="20"/>
          </w:rPr>
          <w:instrText xml:space="preserve"> PAGEREF _Toc397608136 \h </w:instrText>
        </w:r>
        <w:r w:rsidR="0044008A" w:rsidRPr="00B40862">
          <w:rPr>
            <w:webHidden/>
            <w:color w:val="auto"/>
            <w:sz w:val="20"/>
            <w:szCs w:val="20"/>
          </w:rPr>
        </w:r>
        <w:r w:rsidR="0044008A" w:rsidRPr="00B40862">
          <w:rPr>
            <w:webHidden/>
            <w:color w:val="auto"/>
            <w:sz w:val="20"/>
            <w:szCs w:val="20"/>
          </w:rPr>
          <w:fldChar w:fldCharType="separate"/>
        </w:r>
        <w:r w:rsidR="00CE22A1">
          <w:rPr>
            <w:webHidden/>
            <w:color w:val="auto"/>
            <w:sz w:val="20"/>
            <w:szCs w:val="20"/>
          </w:rPr>
          <w:t>40</w:t>
        </w:r>
        <w:r w:rsidR="0044008A" w:rsidRPr="00B40862">
          <w:rPr>
            <w:webHidden/>
            <w:color w:val="auto"/>
            <w:sz w:val="20"/>
            <w:szCs w:val="20"/>
          </w:rPr>
          <w:fldChar w:fldCharType="end"/>
        </w:r>
      </w:hyperlink>
    </w:p>
    <w:p w:rsidR="0044008A" w:rsidRPr="00B40862" w:rsidRDefault="007351E8">
      <w:pPr>
        <w:pStyle w:val="TOC2"/>
        <w:rPr>
          <w:rFonts w:asciiTheme="minorHAnsi" w:eastAsiaTheme="minorEastAsia" w:hAnsiTheme="minorHAnsi" w:cstheme="minorBidi"/>
          <w:color w:val="auto"/>
          <w:sz w:val="20"/>
          <w:szCs w:val="20"/>
        </w:rPr>
      </w:pPr>
      <w:hyperlink w:anchor="_Toc397608137" w:history="1">
        <w:r w:rsidR="0044008A" w:rsidRPr="00B40862">
          <w:rPr>
            <w:rStyle w:val="Hyperlink"/>
            <w:color w:val="auto"/>
            <w:sz w:val="20"/>
            <w:szCs w:val="20"/>
          </w:rPr>
          <w:t>Certificate templates</w:t>
        </w:r>
        <w:r w:rsidR="0044008A" w:rsidRPr="00B40862">
          <w:rPr>
            <w:webHidden/>
            <w:color w:val="auto"/>
            <w:sz w:val="20"/>
            <w:szCs w:val="20"/>
          </w:rPr>
          <w:tab/>
        </w:r>
        <w:r w:rsidR="0044008A" w:rsidRPr="00B40862">
          <w:rPr>
            <w:webHidden/>
            <w:color w:val="auto"/>
            <w:sz w:val="20"/>
            <w:szCs w:val="20"/>
          </w:rPr>
          <w:fldChar w:fldCharType="begin"/>
        </w:r>
        <w:r w:rsidR="0044008A" w:rsidRPr="00B40862">
          <w:rPr>
            <w:webHidden/>
            <w:color w:val="auto"/>
            <w:sz w:val="20"/>
            <w:szCs w:val="20"/>
          </w:rPr>
          <w:instrText xml:space="preserve"> PAGEREF _Toc397608137 \h </w:instrText>
        </w:r>
        <w:r w:rsidR="0044008A" w:rsidRPr="00B40862">
          <w:rPr>
            <w:webHidden/>
            <w:color w:val="auto"/>
            <w:sz w:val="20"/>
            <w:szCs w:val="20"/>
          </w:rPr>
        </w:r>
        <w:r w:rsidR="0044008A" w:rsidRPr="00B40862">
          <w:rPr>
            <w:webHidden/>
            <w:color w:val="auto"/>
            <w:sz w:val="20"/>
            <w:szCs w:val="20"/>
          </w:rPr>
          <w:fldChar w:fldCharType="separate"/>
        </w:r>
        <w:r w:rsidR="00CE22A1">
          <w:rPr>
            <w:webHidden/>
            <w:color w:val="auto"/>
            <w:sz w:val="20"/>
            <w:szCs w:val="20"/>
          </w:rPr>
          <w:t>48</w:t>
        </w:r>
        <w:r w:rsidR="0044008A" w:rsidRPr="00B40862">
          <w:rPr>
            <w:webHidden/>
            <w:color w:val="auto"/>
            <w:sz w:val="20"/>
            <w:szCs w:val="20"/>
          </w:rPr>
          <w:fldChar w:fldCharType="end"/>
        </w:r>
      </w:hyperlink>
    </w:p>
    <w:p w:rsidR="0044008A" w:rsidRPr="00B40862" w:rsidRDefault="007351E8">
      <w:pPr>
        <w:pStyle w:val="TOC2"/>
        <w:rPr>
          <w:rFonts w:asciiTheme="minorHAnsi" w:eastAsiaTheme="minorEastAsia" w:hAnsiTheme="minorHAnsi" w:cstheme="minorBidi"/>
          <w:color w:val="auto"/>
          <w:sz w:val="20"/>
          <w:szCs w:val="20"/>
        </w:rPr>
      </w:pPr>
      <w:hyperlink w:anchor="_Toc397608138" w:history="1">
        <w:r w:rsidR="0044008A" w:rsidRPr="00B40862">
          <w:rPr>
            <w:rStyle w:val="Hyperlink"/>
            <w:color w:val="auto"/>
            <w:sz w:val="20"/>
            <w:szCs w:val="20"/>
          </w:rPr>
          <w:t>Rules or instruments which refer to other documents</w:t>
        </w:r>
        <w:r w:rsidR="0044008A" w:rsidRPr="00B40862">
          <w:rPr>
            <w:webHidden/>
            <w:color w:val="auto"/>
            <w:sz w:val="20"/>
            <w:szCs w:val="20"/>
          </w:rPr>
          <w:tab/>
        </w:r>
        <w:r w:rsidR="0044008A" w:rsidRPr="00B40862">
          <w:rPr>
            <w:webHidden/>
            <w:color w:val="auto"/>
            <w:sz w:val="20"/>
            <w:szCs w:val="20"/>
          </w:rPr>
          <w:fldChar w:fldCharType="begin"/>
        </w:r>
        <w:r w:rsidR="0044008A" w:rsidRPr="00B40862">
          <w:rPr>
            <w:webHidden/>
            <w:color w:val="auto"/>
            <w:sz w:val="20"/>
            <w:szCs w:val="20"/>
          </w:rPr>
          <w:instrText xml:space="preserve"> PAGEREF _Toc397608138 \h </w:instrText>
        </w:r>
        <w:r w:rsidR="0044008A" w:rsidRPr="00B40862">
          <w:rPr>
            <w:webHidden/>
            <w:color w:val="auto"/>
            <w:sz w:val="20"/>
            <w:szCs w:val="20"/>
          </w:rPr>
        </w:r>
        <w:r w:rsidR="0044008A" w:rsidRPr="00B40862">
          <w:rPr>
            <w:webHidden/>
            <w:color w:val="auto"/>
            <w:sz w:val="20"/>
            <w:szCs w:val="20"/>
          </w:rPr>
          <w:fldChar w:fldCharType="separate"/>
        </w:r>
        <w:r w:rsidR="00CE22A1">
          <w:rPr>
            <w:webHidden/>
            <w:color w:val="auto"/>
            <w:sz w:val="20"/>
            <w:szCs w:val="20"/>
          </w:rPr>
          <w:t>55</w:t>
        </w:r>
        <w:r w:rsidR="0044008A" w:rsidRPr="00B40862">
          <w:rPr>
            <w:webHidden/>
            <w:color w:val="auto"/>
            <w:sz w:val="20"/>
            <w:szCs w:val="20"/>
          </w:rPr>
          <w:fldChar w:fldCharType="end"/>
        </w:r>
      </w:hyperlink>
    </w:p>
    <w:p w:rsidR="00576F9C" w:rsidRDefault="00857073" w:rsidP="00E8064C">
      <w:pPr>
        <w:rPr>
          <w:noProof/>
          <w:color w:val="4C4C4C"/>
          <w:kern w:val="28"/>
          <w:sz w:val="28"/>
          <w:szCs w:val="28"/>
          <w:lang w:eastAsia="en-US"/>
        </w:rPr>
        <w:sectPr w:rsidR="00576F9C" w:rsidSect="009A1958">
          <w:footerReference w:type="even" r:id="rId15"/>
          <w:type w:val="evenPage"/>
          <w:pgSz w:w="11906" w:h="16838" w:code="9"/>
          <w:pgMar w:top="1673" w:right="1440" w:bottom="1440" w:left="1440" w:header="459" w:footer="289" w:gutter="0"/>
          <w:pgNumType w:start="1"/>
          <w:cols w:space="708"/>
          <w:docGrid w:linePitch="360"/>
        </w:sectPr>
      </w:pPr>
      <w:r>
        <w:rPr>
          <w:noProof/>
          <w:color w:val="4C4C4C"/>
          <w:kern w:val="28"/>
          <w:sz w:val="28"/>
          <w:szCs w:val="28"/>
          <w:lang w:eastAsia="en-US"/>
        </w:rPr>
        <w:fldChar w:fldCharType="end"/>
      </w:r>
    </w:p>
    <w:p w:rsidR="00605D8D" w:rsidRDefault="00605D8D" w:rsidP="00166553">
      <w:pPr>
        <w:pStyle w:val="Heading1"/>
        <w:spacing w:after="160" w:line="360" w:lineRule="auto"/>
        <w:rPr>
          <w:b/>
          <w:color w:val="87189D"/>
          <w:sz w:val="36"/>
          <w:szCs w:val="36"/>
        </w:rPr>
      </w:pPr>
      <w:bookmarkStart w:id="1" w:name="_Toc382908235"/>
      <w:bookmarkStart w:id="2" w:name="_Toc397608125"/>
      <w:r w:rsidRPr="00B40862">
        <w:rPr>
          <w:b/>
          <w:color w:val="87189D"/>
          <w:sz w:val="36"/>
          <w:szCs w:val="36"/>
        </w:rPr>
        <w:lastRenderedPageBreak/>
        <w:t>Processes for legislative regulation making</w:t>
      </w:r>
      <w:bookmarkEnd w:id="1"/>
      <w:bookmarkEnd w:id="2"/>
    </w:p>
    <w:tbl>
      <w:tblPr>
        <w:tblStyle w:val="TableGrid"/>
        <w:tblW w:w="0" w:type="auto"/>
        <w:tblInd w:w="794" w:type="dxa"/>
        <w:tblBorders>
          <w:top w:val="single" w:sz="18" w:space="0" w:color="009CA6"/>
          <w:left w:val="single" w:sz="18" w:space="0" w:color="009CA6"/>
          <w:bottom w:val="single" w:sz="18" w:space="0" w:color="009CA6"/>
          <w:right w:val="single" w:sz="18" w:space="0" w:color="009CA6"/>
          <w:insideH w:val="none" w:sz="0" w:space="0" w:color="auto"/>
        </w:tblBorders>
        <w:tblLook w:val="04A0" w:firstRow="1" w:lastRow="0" w:firstColumn="1" w:lastColumn="0" w:noHBand="0" w:noVBand="1"/>
      </w:tblPr>
      <w:tblGrid>
        <w:gridCol w:w="8458"/>
      </w:tblGrid>
      <w:tr w:rsidR="00721B18" w:rsidTr="00721B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721B18" w:rsidRDefault="00721B18" w:rsidP="00721B18">
            <w:pPr>
              <w:ind w:left="0"/>
              <w:rPr>
                <w:b/>
                <w:sz w:val="20"/>
                <w:lang w:eastAsia="en-US"/>
              </w:rPr>
            </w:pPr>
            <w:r w:rsidRPr="00721B18">
              <w:rPr>
                <w:b/>
                <w:sz w:val="20"/>
                <w:lang w:eastAsia="en-US"/>
              </w:rPr>
              <w:t xml:space="preserve">This toolkit details the forms of legislation and other instruments and the processes in place in Victoria to ensure appropriate scrutiny of legislative proposals. It discusses: </w:t>
            </w:r>
          </w:p>
          <w:p w:rsidR="00721B18" w:rsidRDefault="00721B18" w:rsidP="00721B18">
            <w:pPr>
              <w:pStyle w:val="ListParagraph"/>
              <w:numPr>
                <w:ilvl w:val="0"/>
                <w:numId w:val="36"/>
              </w:numPr>
              <w:rPr>
                <w:b/>
                <w:sz w:val="20"/>
                <w:lang w:eastAsia="en-US"/>
              </w:rPr>
            </w:pPr>
            <w:r w:rsidRPr="00721B18">
              <w:rPr>
                <w:b/>
                <w:sz w:val="20"/>
              </w:rPr>
              <w:t>Under what circumstances must a Legislative Impact Assessment be prepared? What are the processes involved in the preparation of a Legislative Impact Assessment?</w:t>
            </w:r>
          </w:p>
          <w:p w:rsidR="00721B18" w:rsidRDefault="00721B18" w:rsidP="00721B18">
            <w:pPr>
              <w:pStyle w:val="ListParagraph"/>
              <w:numPr>
                <w:ilvl w:val="0"/>
                <w:numId w:val="36"/>
              </w:numPr>
              <w:rPr>
                <w:b/>
                <w:sz w:val="20"/>
                <w:lang w:eastAsia="en-US"/>
              </w:rPr>
            </w:pPr>
            <w:r w:rsidRPr="00721B18">
              <w:rPr>
                <w:b/>
                <w:sz w:val="20"/>
              </w:rPr>
              <w:t>What are the purposes of Regulatory Impact Statements and when must they be prepared? What processes must be followed when preparing a Regulatory Impact Statement?</w:t>
            </w:r>
          </w:p>
          <w:p w:rsidR="00721B18" w:rsidRDefault="00721B18" w:rsidP="00721B18">
            <w:pPr>
              <w:pStyle w:val="ListParagraph"/>
              <w:numPr>
                <w:ilvl w:val="0"/>
                <w:numId w:val="36"/>
              </w:numPr>
              <w:rPr>
                <w:b/>
                <w:sz w:val="20"/>
                <w:lang w:eastAsia="en-US"/>
              </w:rPr>
            </w:pPr>
            <w:r w:rsidRPr="00721B18">
              <w:rPr>
                <w:b/>
                <w:sz w:val="20"/>
              </w:rPr>
              <w:t xml:space="preserve">How </w:t>
            </w:r>
            <w:proofErr w:type="gramStart"/>
            <w:r w:rsidRPr="00721B18">
              <w:rPr>
                <w:b/>
                <w:sz w:val="20"/>
              </w:rPr>
              <w:t>does</w:t>
            </w:r>
            <w:proofErr w:type="gramEnd"/>
            <w:r w:rsidRPr="00721B18">
              <w:rPr>
                <w:b/>
                <w:sz w:val="20"/>
              </w:rPr>
              <w:t xml:space="preserve"> the Government’s </w:t>
            </w:r>
            <w:r w:rsidRPr="00721B18">
              <w:rPr>
                <w:b/>
                <w:i/>
                <w:sz w:val="20"/>
              </w:rPr>
              <w:t>Charter of Human Rights and Responsibilities Act 2006</w:t>
            </w:r>
            <w:r w:rsidRPr="00721B18">
              <w:rPr>
                <w:b/>
                <w:sz w:val="20"/>
              </w:rPr>
              <w:t xml:space="preserve"> affect the legislative regulation</w:t>
            </w:r>
            <w:r w:rsidRPr="00721B18">
              <w:rPr>
                <w:b/>
                <w:sz w:val="20"/>
              </w:rPr>
              <w:noBreakHyphen/>
              <w:t>making process?</w:t>
            </w:r>
          </w:p>
          <w:p w:rsidR="00721B18" w:rsidRPr="00721B18" w:rsidRDefault="00721B18" w:rsidP="00721B18">
            <w:pPr>
              <w:pStyle w:val="ListParagraph"/>
              <w:numPr>
                <w:ilvl w:val="0"/>
                <w:numId w:val="36"/>
              </w:numPr>
              <w:rPr>
                <w:b/>
                <w:sz w:val="20"/>
                <w:lang w:eastAsia="en-US"/>
              </w:rPr>
            </w:pPr>
            <w:r w:rsidRPr="00721B18">
              <w:rPr>
                <w:b/>
                <w:sz w:val="20"/>
              </w:rPr>
              <w:t>Where it is intended that local government will administer or enforce proposed state government</w:t>
            </w:r>
            <w:r w:rsidRPr="00721B18">
              <w:rPr>
                <w:b/>
                <w:sz w:val="20"/>
                <w:lang w:eastAsia="en-US"/>
              </w:rPr>
              <w:t xml:space="preserve"> regulation, what consultation is required?</w:t>
            </w:r>
          </w:p>
        </w:tc>
      </w:tr>
    </w:tbl>
    <w:p w:rsidR="00721B18" w:rsidRDefault="00721B18" w:rsidP="00DE4E32">
      <w:pPr>
        <w:spacing w:before="0" w:after="0"/>
        <w:ind w:left="0"/>
        <w:rPr>
          <w:lang w:eastAsia="en-US"/>
        </w:rPr>
      </w:pPr>
    </w:p>
    <w:p w:rsidR="0044008A" w:rsidRPr="00B40862" w:rsidRDefault="0044008A" w:rsidP="0044008A">
      <w:pPr>
        <w:pStyle w:val="Heading2"/>
        <w:rPr>
          <w:b/>
          <w:bCs/>
          <w:color w:val="004EA8"/>
          <w:sz w:val="26"/>
          <w:szCs w:val="26"/>
        </w:rPr>
      </w:pPr>
      <w:bookmarkStart w:id="3" w:name="_Toc365449590"/>
      <w:bookmarkStart w:id="4" w:name="_Toc365451067"/>
      <w:bookmarkStart w:id="5" w:name="_Toc365451372"/>
      <w:bookmarkStart w:id="6" w:name="_Toc365451449"/>
      <w:bookmarkStart w:id="7" w:name="_Toc365451526"/>
      <w:bookmarkStart w:id="8" w:name="_Toc366165826"/>
      <w:bookmarkStart w:id="9" w:name="_Toc366165899"/>
      <w:bookmarkStart w:id="10" w:name="_Toc366166028"/>
      <w:bookmarkStart w:id="11" w:name="_Toc366166201"/>
      <w:bookmarkStart w:id="12" w:name="_Toc382838328"/>
      <w:bookmarkStart w:id="13" w:name="_Toc397608126"/>
      <w:bookmarkStart w:id="14" w:name="_Toc382908236"/>
      <w:bookmarkEnd w:id="3"/>
      <w:bookmarkEnd w:id="4"/>
      <w:bookmarkEnd w:id="5"/>
      <w:bookmarkEnd w:id="6"/>
      <w:bookmarkEnd w:id="7"/>
      <w:bookmarkEnd w:id="8"/>
      <w:bookmarkEnd w:id="9"/>
      <w:bookmarkEnd w:id="10"/>
      <w:bookmarkEnd w:id="11"/>
      <w:bookmarkEnd w:id="12"/>
      <w:r w:rsidRPr="00B40862">
        <w:rPr>
          <w:b/>
          <w:color w:val="004EA8"/>
          <w:sz w:val="26"/>
          <w:szCs w:val="26"/>
        </w:rPr>
        <w:t>Forms of regulation</w:t>
      </w:r>
      <w:bookmarkEnd w:id="13"/>
      <w:r w:rsidRPr="00B40862">
        <w:rPr>
          <w:b/>
          <w:color w:val="004EA8"/>
          <w:sz w:val="26"/>
          <w:szCs w:val="26"/>
        </w:rPr>
        <w:t xml:space="preserve"> </w:t>
      </w:r>
    </w:p>
    <w:p w:rsidR="0044008A" w:rsidRPr="00166553" w:rsidRDefault="0044008A" w:rsidP="0044008A">
      <w:pPr>
        <w:rPr>
          <w:sz w:val="20"/>
          <w:szCs w:val="20"/>
        </w:rPr>
      </w:pPr>
      <w:r w:rsidRPr="00166553">
        <w:rPr>
          <w:sz w:val="20"/>
          <w:szCs w:val="20"/>
        </w:rPr>
        <w:t xml:space="preserve">In developing good regulation to address problems, it is important to assess the appropriateness of all forms of legislation and other instruments. </w:t>
      </w:r>
    </w:p>
    <w:p w:rsidR="0044008A" w:rsidRPr="00166553" w:rsidRDefault="0044008A" w:rsidP="0044008A">
      <w:pPr>
        <w:pStyle w:val="Heading3NoNum"/>
        <w:rPr>
          <w:bCs/>
          <w:color w:val="auto"/>
          <w:sz w:val="22"/>
        </w:rPr>
      </w:pPr>
      <w:bookmarkStart w:id="15" w:name="_Toc352059129"/>
      <w:bookmarkStart w:id="16" w:name="_Toc352229269"/>
      <w:bookmarkStart w:id="17" w:name="_Toc352234229"/>
      <w:bookmarkStart w:id="18" w:name="_Toc352234313"/>
      <w:bookmarkStart w:id="19" w:name="_Toc352234985"/>
      <w:bookmarkStart w:id="20" w:name="_Toc352235070"/>
      <w:bookmarkStart w:id="21" w:name="_Toc352239941"/>
      <w:bookmarkStart w:id="22" w:name="_Toc352245894"/>
      <w:bookmarkStart w:id="23" w:name="_Toc352246873"/>
      <w:bookmarkStart w:id="24" w:name="_Toc353877549"/>
      <w:bookmarkStart w:id="25" w:name="_Toc362597867"/>
      <w:bookmarkStart w:id="26" w:name="_Toc364243001"/>
      <w:bookmarkStart w:id="27" w:name="_Toc365449586"/>
      <w:bookmarkStart w:id="28" w:name="_Toc365451056"/>
      <w:bookmarkStart w:id="29" w:name="_Toc365451344"/>
      <w:bookmarkStart w:id="30" w:name="_Toc365451422"/>
      <w:bookmarkStart w:id="31" w:name="_Toc365451499"/>
      <w:bookmarkStart w:id="32" w:name="_Toc366165799"/>
      <w:bookmarkStart w:id="33" w:name="_Toc366165872"/>
      <w:bookmarkStart w:id="34" w:name="_Toc30116440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166553">
        <w:rPr>
          <w:color w:val="auto"/>
          <w:sz w:val="22"/>
        </w:rPr>
        <w:t>Explicit government regulation: primary and subordinate legislation</w:t>
      </w:r>
      <w:bookmarkEnd w:id="34"/>
    </w:p>
    <w:p w:rsidR="0044008A" w:rsidRPr="00166553" w:rsidRDefault="0044008A" w:rsidP="0044008A">
      <w:pPr>
        <w:rPr>
          <w:sz w:val="20"/>
          <w:szCs w:val="20"/>
        </w:rPr>
      </w:pPr>
      <w:r w:rsidRPr="00166553">
        <w:rPr>
          <w:sz w:val="20"/>
          <w:szCs w:val="20"/>
        </w:rPr>
        <w:t>Explicit government regulation is sometimes known as ‘black letter law’. It attempts to change behaviour by detailing how regulated parties must act under the law, and it generally imposes punitive sanctions (such as fines or even custodial sentences) in instances of non</w:t>
      </w:r>
      <w:r w:rsidRPr="00166553">
        <w:rPr>
          <w:sz w:val="20"/>
          <w:szCs w:val="20"/>
        </w:rPr>
        <w:noBreakHyphen/>
        <w:t xml:space="preserve">compliance with these regulations. </w:t>
      </w:r>
    </w:p>
    <w:p w:rsidR="0044008A" w:rsidRPr="00166553" w:rsidRDefault="0044008A" w:rsidP="0044008A">
      <w:pPr>
        <w:rPr>
          <w:sz w:val="20"/>
          <w:szCs w:val="20"/>
        </w:rPr>
      </w:pPr>
      <w:r w:rsidRPr="00166553">
        <w:rPr>
          <w:sz w:val="20"/>
          <w:szCs w:val="20"/>
        </w:rPr>
        <w:t>The two main types of explicit government regulation are:</w:t>
      </w:r>
    </w:p>
    <w:p w:rsidR="0044008A" w:rsidRPr="00166553" w:rsidRDefault="0044008A" w:rsidP="0044008A">
      <w:pPr>
        <w:pStyle w:val="Bullet1"/>
        <w:numPr>
          <w:ilvl w:val="0"/>
          <w:numId w:val="33"/>
        </w:numPr>
        <w:tabs>
          <w:tab w:val="num" w:pos="2209"/>
        </w:tabs>
        <w:rPr>
          <w:sz w:val="20"/>
          <w:szCs w:val="20"/>
        </w:rPr>
      </w:pPr>
      <w:r w:rsidRPr="00166553">
        <w:rPr>
          <w:sz w:val="20"/>
          <w:szCs w:val="20"/>
        </w:rPr>
        <w:t>primary legislation, i.e. Acts of Parliament; and</w:t>
      </w:r>
    </w:p>
    <w:p w:rsidR="0044008A" w:rsidRPr="00166553" w:rsidRDefault="0044008A" w:rsidP="0044008A">
      <w:pPr>
        <w:pStyle w:val="Bullet1"/>
        <w:numPr>
          <w:ilvl w:val="0"/>
          <w:numId w:val="33"/>
        </w:numPr>
        <w:tabs>
          <w:tab w:val="num" w:pos="2209"/>
        </w:tabs>
        <w:rPr>
          <w:sz w:val="20"/>
          <w:szCs w:val="20"/>
        </w:rPr>
      </w:pPr>
      <w:proofErr w:type="gramStart"/>
      <w:r w:rsidRPr="00166553">
        <w:rPr>
          <w:sz w:val="20"/>
          <w:szCs w:val="20"/>
        </w:rPr>
        <w:t>subordinate</w:t>
      </w:r>
      <w:proofErr w:type="gramEnd"/>
      <w:r w:rsidRPr="00166553">
        <w:rPr>
          <w:sz w:val="20"/>
          <w:szCs w:val="20"/>
        </w:rPr>
        <w:t xml:space="preserve"> (or secondary) legislation, such as statutory rules (e.g. ‘regulations’ made under an authorising Act), orders</w:t>
      </w:r>
      <w:r w:rsidRPr="00166553">
        <w:rPr>
          <w:sz w:val="20"/>
          <w:szCs w:val="20"/>
        </w:rPr>
        <w:noBreakHyphen/>
        <w:t>in</w:t>
      </w:r>
      <w:r w:rsidRPr="00166553">
        <w:rPr>
          <w:sz w:val="20"/>
          <w:szCs w:val="20"/>
        </w:rPr>
        <w:noBreakHyphen/>
        <w:t>council, ministerial orders and determinations, proclamations and notices.</w:t>
      </w:r>
    </w:p>
    <w:p w:rsidR="0044008A" w:rsidRPr="00166553" w:rsidRDefault="0044008A" w:rsidP="0044008A">
      <w:pPr>
        <w:rPr>
          <w:sz w:val="20"/>
          <w:szCs w:val="20"/>
        </w:rPr>
      </w:pPr>
      <w:r w:rsidRPr="00166553">
        <w:rPr>
          <w:sz w:val="20"/>
          <w:szCs w:val="20"/>
        </w:rPr>
        <w:t xml:space="preserve">Primary legislation is usually drafted in general rather than specific terms, with a view to avoiding the need to make frequent changes. </w:t>
      </w:r>
    </w:p>
    <w:p w:rsidR="0044008A" w:rsidRPr="00166553" w:rsidRDefault="0044008A" w:rsidP="0044008A">
      <w:pPr>
        <w:rPr>
          <w:sz w:val="20"/>
          <w:szCs w:val="20"/>
        </w:rPr>
      </w:pPr>
      <w:r w:rsidRPr="00166553">
        <w:rPr>
          <w:sz w:val="20"/>
          <w:szCs w:val="20"/>
        </w:rPr>
        <w:t xml:space="preserve">The general rule is that matters of policy and general principle should be reserved for primary legislation, whereas matters of detail likely to change frequently should, where possible, be dealt with by subordinate legislation. </w:t>
      </w:r>
    </w:p>
    <w:p w:rsidR="0044008A" w:rsidRPr="00166553" w:rsidRDefault="0044008A" w:rsidP="0044008A">
      <w:pPr>
        <w:rPr>
          <w:sz w:val="20"/>
          <w:szCs w:val="20"/>
        </w:rPr>
      </w:pPr>
      <w:r w:rsidRPr="00166553">
        <w:rPr>
          <w:sz w:val="20"/>
          <w:szCs w:val="20"/>
        </w:rPr>
        <w:t>While significant matters should not be included in subordinate legislation, subordinate legislation may deal with the same issue in terms of enforcement or related matters of administration or implementation. Subordinate legislation can complete the details of a legislative scheme, but cannot add new aims or ideas.</w:t>
      </w:r>
      <w:r w:rsidRPr="00166553">
        <w:rPr>
          <w:rStyle w:val="FootnoteReference"/>
          <w:sz w:val="20"/>
          <w:szCs w:val="20"/>
        </w:rPr>
        <w:footnoteReference w:id="1"/>
      </w:r>
    </w:p>
    <w:p w:rsidR="0044008A" w:rsidRPr="00166553" w:rsidRDefault="0044008A" w:rsidP="0044008A">
      <w:pPr>
        <w:rPr>
          <w:sz w:val="20"/>
          <w:szCs w:val="20"/>
        </w:rPr>
      </w:pPr>
      <w:r w:rsidRPr="00166553">
        <w:rPr>
          <w:sz w:val="20"/>
          <w:szCs w:val="20"/>
        </w:rPr>
        <w:t>Subordinate legislation can only cover matters that are permitted by its authorising Act, and must be consistent with the purpose and objective of that Act. Such matters are those that are either:</w:t>
      </w:r>
    </w:p>
    <w:p w:rsidR="0044008A" w:rsidRPr="00166553" w:rsidRDefault="0044008A" w:rsidP="0044008A">
      <w:pPr>
        <w:pStyle w:val="Bullet1"/>
        <w:rPr>
          <w:sz w:val="20"/>
          <w:szCs w:val="20"/>
        </w:rPr>
      </w:pPr>
      <w:r w:rsidRPr="00166553">
        <w:rPr>
          <w:sz w:val="20"/>
          <w:szCs w:val="20"/>
        </w:rPr>
        <w:t>authorised by the authorising Act, for instance, by use of the word ‘prescribed’;</w:t>
      </w:r>
    </w:p>
    <w:p w:rsidR="0044008A" w:rsidRPr="00166553" w:rsidRDefault="0044008A" w:rsidP="0044008A">
      <w:pPr>
        <w:pStyle w:val="Bullet1"/>
        <w:rPr>
          <w:sz w:val="20"/>
          <w:szCs w:val="20"/>
        </w:rPr>
      </w:pPr>
      <w:r w:rsidRPr="00166553">
        <w:rPr>
          <w:sz w:val="20"/>
          <w:szCs w:val="20"/>
        </w:rPr>
        <w:t>referred to in the regulation</w:t>
      </w:r>
      <w:r w:rsidRPr="00166553">
        <w:rPr>
          <w:sz w:val="20"/>
          <w:szCs w:val="20"/>
        </w:rPr>
        <w:noBreakHyphen/>
        <w:t>making powers set out in the authorising Act; or</w:t>
      </w:r>
    </w:p>
    <w:p w:rsidR="0044008A" w:rsidRPr="00166553" w:rsidRDefault="0044008A" w:rsidP="0044008A">
      <w:pPr>
        <w:pStyle w:val="Bullet1"/>
        <w:rPr>
          <w:sz w:val="20"/>
          <w:szCs w:val="20"/>
        </w:rPr>
      </w:pPr>
      <w:proofErr w:type="gramStart"/>
      <w:r w:rsidRPr="00166553">
        <w:rPr>
          <w:sz w:val="20"/>
          <w:szCs w:val="20"/>
        </w:rPr>
        <w:t>within</w:t>
      </w:r>
      <w:proofErr w:type="gramEnd"/>
      <w:r w:rsidRPr="00166553">
        <w:rPr>
          <w:sz w:val="20"/>
          <w:szCs w:val="20"/>
        </w:rPr>
        <w:t xml:space="preserve"> the scope of a general regulation</w:t>
      </w:r>
      <w:r w:rsidRPr="00166553">
        <w:rPr>
          <w:sz w:val="20"/>
          <w:szCs w:val="20"/>
        </w:rPr>
        <w:noBreakHyphen/>
        <w:t>making or prescription power of the authorising Act and necessary to enable the effective operation of that Act.</w:t>
      </w:r>
      <w:r w:rsidR="00D921E8" w:rsidRPr="00D921E8">
        <w:rPr>
          <w:noProof/>
        </w:rPr>
        <w:t xml:space="preserve"> </w:t>
      </w:r>
    </w:p>
    <w:p w:rsidR="0044008A" w:rsidRPr="00166553" w:rsidRDefault="0044008A" w:rsidP="0044008A">
      <w:pPr>
        <w:rPr>
          <w:sz w:val="20"/>
          <w:szCs w:val="20"/>
        </w:rPr>
      </w:pPr>
      <w:r w:rsidRPr="00166553">
        <w:rPr>
          <w:sz w:val="20"/>
          <w:szCs w:val="20"/>
        </w:rPr>
        <w:t>In determining the appropriate form of subordinate legislation (or type of legislative instrument) that can be made under each power contained in an Act and the process for making them, the following factors should be taken into account:</w:t>
      </w:r>
    </w:p>
    <w:p w:rsidR="0044008A" w:rsidRPr="00166553" w:rsidRDefault="0044008A" w:rsidP="0044008A">
      <w:pPr>
        <w:pStyle w:val="Bullet1"/>
        <w:rPr>
          <w:bCs/>
          <w:sz w:val="20"/>
          <w:szCs w:val="20"/>
        </w:rPr>
      </w:pPr>
      <w:r w:rsidRPr="00166553">
        <w:rPr>
          <w:b/>
          <w:sz w:val="20"/>
          <w:szCs w:val="20"/>
        </w:rPr>
        <w:t>Could the instrument impose substantial burdens and, if so, would a formal analysis of options, and the associated costs and benefits, be beneficial?</w:t>
      </w:r>
      <w:r w:rsidRPr="00166553">
        <w:rPr>
          <w:sz w:val="20"/>
          <w:szCs w:val="20"/>
        </w:rPr>
        <w:t xml:space="preserve"> Many instruments will cover technical or administrative matters, while others made under the same power may impose substantial burdens on a sector of the public. Where there is scope for a substantial burden (and commensurate benefits), the case for mandating rigorous analysis is stronger.</w:t>
      </w:r>
    </w:p>
    <w:p w:rsidR="0044008A" w:rsidRPr="00166553" w:rsidRDefault="0044008A" w:rsidP="0044008A">
      <w:pPr>
        <w:pStyle w:val="Bullet1"/>
        <w:rPr>
          <w:sz w:val="20"/>
          <w:szCs w:val="20"/>
        </w:rPr>
      </w:pPr>
      <w:r w:rsidRPr="00166553">
        <w:rPr>
          <w:b/>
          <w:sz w:val="20"/>
          <w:szCs w:val="20"/>
        </w:rPr>
        <w:t>Would a requirement to consult the community on the proposed instrument be appropriate?</w:t>
      </w:r>
      <w:r w:rsidRPr="00166553">
        <w:rPr>
          <w:sz w:val="20"/>
          <w:szCs w:val="20"/>
        </w:rPr>
        <w:t xml:space="preserve"> For most substantial regulatory requirements, consultation with stakeholders and the community after appropriate public notice, with an adequate period for comment and a requirement that comments be considered (as is required under the RIS process for statutory rules and legislative instruments), is likely to lead to better regulation. </w:t>
      </w:r>
    </w:p>
    <w:p w:rsidR="0044008A" w:rsidRPr="00166553" w:rsidRDefault="0044008A" w:rsidP="0044008A">
      <w:pPr>
        <w:pStyle w:val="Bullet1"/>
        <w:rPr>
          <w:sz w:val="20"/>
          <w:szCs w:val="20"/>
        </w:rPr>
      </w:pPr>
      <w:r w:rsidRPr="00166553">
        <w:rPr>
          <w:b/>
          <w:sz w:val="20"/>
          <w:szCs w:val="20"/>
        </w:rPr>
        <w:t>Would the judgements involved in deciding on the instrument involve subjective judgements having regard to distributional impacts or trade</w:t>
      </w:r>
      <w:r w:rsidRPr="00166553">
        <w:rPr>
          <w:b/>
          <w:sz w:val="20"/>
          <w:szCs w:val="20"/>
        </w:rPr>
        <w:noBreakHyphen/>
        <w:t>offs between competing objectives?</w:t>
      </w:r>
      <w:r w:rsidRPr="00166553">
        <w:rPr>
          <w:sz w:val="20"/>
          <w:szCs w:val="20"/>
        </w:rPr>
        <w:t xml:space="preserve"> If so, the instrument would be more appropriately made by a Minister, while technical or objective assessments against specified criteria may be appropriately made by an independent regulator or departmental official.</w:t>
      </w:r>
    </w:p>
    <w:p w:rsidR="0044008A" w:rsidRPr="00166553" w:rsidRDefault="0044008A" w:rsidP="0044008A">
      <w:pPr>
        <w:pStyle w:val="Bullet1"/>
        <w:rPr>
          <w:sz w:val="20"/>
          <w:szCs w:val="20"/>
        </w:rPr>
      </w:pPr>
      <w:r w:rsidRPr="00166553">
        <w:rPr>
          <w:b/>
          <w:sz w:val="20"/>
          <w:szCs w:val="20"/>
        </w:rPr>
        <w:t>Should the instrument be tabled in Parliament and subject to disallowance?</w:t>
      </w:r>
      <w:r w:rsidRPr="00166553">
        <w:rPr>
          <w:sz w:val="20"/>
          <w:szCs w:val="20"/>
        </w:rPr>
        <w:t xml:space="preserve"> If the instrument is likely to have a significant impact on rights and obligations, there is a strong case for it to be subject to the review and Parliamentary disallowance that applies to statutory rules and legislative instruments.</w:t>
      </w:r>
    </w:p>
    <w:p w:rsidR="0044008A" w:rsidRPr="00166553" w:rsidRDefault="0044008A" w:rsidP="0044008A">
      <w:pPr>
        <w:pStyle w:val="Bullet1"/>
        <w:rPr>
          <w:sz w:val="20"/>
          <w:szCs w:val="20"/>
        </w:rPr>
      </w:pPr>
      <w:r w:rsidRPr="00166553">
        <w:rPr>
          <w:b/>
          <w:sz w:val="20"/>
          <w:szCs w:val="20"/>
        </w:rPr>
        <w:t>Are new instruments or changes to existing instruments likely to be necessary frequently or very urgently?</w:t>
      </w:r>
      <w:r w:rsidRPr="00166553">
        <w:rPr>
          <w:sz w:val="20"/>
          <w:szCs w:val="20"/>
        </w:rPr>
        <w:t xml:space="preserve"> Some instruments need to be introduced or changed very quickly, such as total fire bans, or bans of unsafe products. Such instruments should not be made by statutory rule. However, if the instrument is likely to impose substantial costs over an extended period, it may be appropriate to allow for the making of interim bans or other interim arrangements. Such arrangements should be followed by a formal review process within 12 months before any permanent ban/arrangement could be put in place.</w:t>
      </w:r>
    </w:p>
    <w:p w:rsidR="0044008A" w:rsidRPr="00166553" w:rsidRDefault="0044008A" w:rsidP="0044008A">
      <w:pPr>
        <w:pStyle w:val="Bullet1"/>
        <w:rPr>
          <w:sz w:val="20"/>
          <w:szCs w:val="20"/>
        </w:rPr>
      </w:pPr>
      <w:r w:rsidRPr="00166553">
        <w:rPr>
          <w:b/>
          <w:sz w:val="20"/>
          <w:szCs w:val="20"/>
        </w:rPr>
        <w:t>Is there a strong reason not to mandate a formal review of the instrument every ten years?</w:t>
      </w:r>
      <w:r w:rsidRPr="00166553">
        <w:rPr>
          <w:sz w:val="20"/>
          <w:szCs w:val="20"/>
        </w:rPr>
        <w:t xml:space="preserve"> Changes in markets, technology, community attitudes or expectations over time may affect the necessity for regulation, or its effectiveness. In other cases, at the time the regulation is made, there may be considerable uncertainty about its likely benefits and associated costs. A mandated 10</w:t>
      </w:r>
      <w:r w:rsidRPr="00166553">
        <w:rPr>
          <w:sz w:val="20"/>
          <w:szCs w:val="20"/>
        </w:rPr>
        <w:noBreakHyphen/>
        <w:t xml:space="preserve">year </w:t>
      </w:r>
      <w:proofErr w:type="spellStart"/>
      <w:r w:rsidRPr="00166553">
        <w:rPr>
          <w:sz w:val="20"/>
          <w:szCs w:val="20"/>
        </w:rPr>
        <w:t>sunsetting</w:t>
      </w:r>
      <w:proofErr w:type="spellEnd"/>
      <w:r w:rsidRPr="00166553">
        <w:rPr>
          <w:sz w:val="20"/>
          <w:szCs w:val="20"/>
        </w:rPr>
        <w:t xml:space="preserve"> provision (such as that which applies to all statutory rules) is often appropriate to determine the ongoing need for regulation and allow consideration of potential improvements.</w:t>
      </w:r>
    </w:p>
    <w:p w:rsidR="0044008A" w:rsidRPr="00166553" w:rsidRDefault="0044008A" w:rsidP="0044008A">
      <w:pPr>
        <w:pStyle w:val="Bullet1"/>
        <w:rPr>
          <w:sz w:val="20"/>
          <w:szCs w:val="20"/>
        </w:rPr>
      </w:pPr>
      <w:r w:rsidRPr="00166553">
        <w:rPr>
          <w:b/>
          <w:sz w:val="20"/>
          <w:szCs w:val="20"/>
        </w:rPr>
        <w:t>Is ready access to the instrument important?</w:t>
      </w:r>
      <w:r w:rsidRPr="00166553">
        <w:rPr>
          <w:sz w:val="20"/>
          <w:szCs w:val="20"/>
        </w:rPr>
        <w:t xml:space="preserve"> All statutory rules are readily accessible. A notice of making is published in the Government Gazette and the full text of the regulations is available on a central website (www.legislation.vic.gov.au). The Office of the Chief Parliamentary Counsel also ensures they are available in a consolidated form following any amendments and printed copies are also available from Information Victoria. Other legislative instruments are not held centrally and, in the past, Acts did not always include a requirement that the text of a legislative instrument be published in the Gazette, or a notice of its making (although, as a minimum, the latter is now considered normal practice except in exceptional circumstances). Consequently, many legislative instruments can be difficult for the public to find. There is also no requirement for consolidating other instruments following amendment.</w:t>
      </w:r>
    </w:p>
    <w:p w:rsidR="0044008A" w:rsidRPr="00166553" w:rsidRDefault="0044008A" w:rsidP="0044008A">
      <w:pPr>
        <w:rPr>
          <w:sz w:val="20"/>
          <w:szCs w:val="20"/>
        </w:rPr>
      </w:pPr>
      <w:r w:rsidRPr="00166553">
        <w:rPr>
          <w:sz w:val="20"/>
          <w:szCs w:val="20"/>
        </w:rPr>
        <w:t xml:space="preserve">The answers to these questions should inform the choice of subordinate legislation when an Act is being drafted. If the answer to any of the above questions is yes, then a statutory rule or legislative instrument may be appropriate. In some cases, the judgement will be straightforward – for example, it would be impractical for total fire bans to be determined by statutory rule. In other cases, judgements will need to be made between the benefits of the statutory rule making process, and its costs in terms of resources and delays. </w:t>
      </w:r>
    </w:p>
    <w:p w:rsidR="00605D8D" w:rsidRPr="00B40862" w:rsidRDefault="0044008A" w:rsidP="00605D8D">
      <w:pPr>
        <w:pStyle w:val="Heading2"/>
        <w:rPr>
          <w:b/>
          <w:color w:val="004EA8"/>
          <w:sz w:val="26"/>
          <w:szCs w:val="26"/>
        </w:rPr>
      </w:pPr>
      <w:bookmarkStart w:id="35" w:name="_Toc397608127"/>
      <w:bookmarkEnd w:id="14"/>
      <w:r w:rsidRPr="00B40862">
        <w:rPr>
          <w:b/>
          <w:color w:val="004EA8"/>
          <w:sz w:val="26"/>
          <w:szCs w:val="26"/>
        </w:rPr>
        <w:t>Introduction to legislative processes</w:t>
      </w:r>
      <w:bookmarkEnd w:id="35"/>
    </w:p>
    <w:p w:rsidR="00605D8D" w:rsidRPr="00166553" w:rsidRDefault="0044008A" w:rsidP="00605D8D">
      <w:pPr>
        <w:rPr>
          <w:sz w:val="20"/>
          <w:szCs w:val="20"/>
          <w:lang w:eastAsia="en-US"/>
        </w:rPr>
      </w:pPr>
      <w:r w:rsidRPr="00166553">
        <w:rPr>
          <w:sz w:val="20"/>
          <w:szCs w:val="20"/>
          <w:lang w:eastAsia="en-US"/>
        </w:rPr>
        <w:t>The rest of this</w:t>
      </w:r>
      <w:r w:rsidR="00AA789B" w:rsidRPr="00166553">
        <w:rPr>
          <w:sz w:val="20"/>
          <w:szCs w:val="20"/>
          <w:lang w:eastAsia="en-US"/>
        </w:rPr>
        <w:t xml:space="preserve"> toolkit</w:t>
      </w:r>
      <w:r w:rsidR="00605D8D" w:rsidRPr="00166553">
        <w:rPr>
          <w:sz w:val="20"/>
          <w:szCs w:val="20"/>
          <w:lang w:eastAsia="en-US"/>
        </w:rPr>
        <w:t xml:space="preserve"> focuses on process issues related to primary and subordinate legislative proposals. </w:t>
      </w:r>
    </w:p>
    <w:p w:rsidR="00605D8D" w:rsidRPr="00166553" w:rsidRDefault="00605D8D" w:rsidP="00605D8D">
      <w:pPr>
        <w:rPr>
          <w:sz w:val="20"/>
          <w:szCs w:val="20"/>
          <w:lang w:eastAsia="en-US"/>
        </w:rPr>
      </w:pPr>
      <w:r w:rsidRPr="00166553">
        <w:rPr>
          <w:sz w:val="20"/>
          <w:szCs w:val="20"/>
          <w:lang w:eastAsia="en-US"/>
        </w:rPr>
        <w:t>The preparation of a Regulatory Impact Statement (RIS) is a well</w:t>
      </w:r>
      <w:r w:rsidRPr="00166553">
        <w:rPr>
          <w:sz w:val="20"/>
          <w:szCs w:val="20"/>
          <w:lang w:eastAsia="en-US"/>
        </w:rPr>
        <w:noBreakHyphen/>
        <w:t>established and critical feature of the regulation</w:t>
      </w:r>
      <w:r w:rsidRPr="00166553">
        <w:rPr>
          <w:sz w:val="20"/>
          <w:szCs w:val="20"/>
          <w:lang w:eastAsia="en-US"/>
        </w:rPr>
        <w:noBreakHyphen/>
        <w:t>making process in Victoria. The RIS formalises the steps that should be undertaken in policy formulation, and ensures that all relevant information is documented and that decision</w:t>
      </w:r>
      <w:r w:rsidRPr="00166553">
        <w:rPr>
          <w:sz w:val="20"/>
          <w:szCs w:val="20"/>
          <w:lang w:eastAsia="en-US"/>
        </w:rPr>
        <w:noBreakHyphen/>
        <w:t>making processes are transparent. It requires an assessment of the costs and benefits of each option, followed by a recommendation supporting the most effective and efficient option.</w:t>
      </w:r>
    </w:p>
    <w:p w:rsidR="00605D8D" w:rsidRPr="00166553" w:rsidRDefault="00605D8D" w:rsidP="00605D8D">
      <w:pPr>
        <w:rPr>
          <w:sz w:val="20"/>
          <w:szCs w:val="20"/>
          <w:lang w:eastAsia="en-US"/>
        </w:rPr>
      </w:pPr>
      <w:r w:rsidRPr="00166553">
        <w:rPr>
          <w:sz w:val="20"/>
          <w:szCs w:val="20"/>
          <w:lang w:eastAsia="en-US"/>
        </w:rPr>
        <w:t>Good policy</w:t>
      </w:r>
      <w:r w:rsidRPr="00166553">
        <w:rPr>
          <w:sz w:val="20"/>
          <w:szCs w:val="20"/>
          <w:lang w:eastAsia="en-US"/>
        </w:rPr>
        <w:noBreakHyphen/>
        <w:t xml:space="preserve">making requires the assessment of all proposed options to determine the best policy response to a perceived problem. Where these options include the making or amendment of statutory rules (‘regulations’) as part of subordinate legislation, preparation of a RIS is </w:t>
      </w:r>
      <w:r w:rsidRPr="00166553">
        <w:rPr>
          <w:b/>
          <w:iCs/>
          <w:sz w:val="20"/>
          <w:szCs w:val="20"/>
        </w:rPr>
        <w:t>mandatory</w:t>
      </w:r>
      <w:r w:rsidRPr="00166553">
        <w:rPr>
          <w:rStyle w:val="FootnoteReference"/>
          <w:i/>
          <w:iCs/>
          <w:sz w:val="20"/>
          <w:szCs w:val="20"/>
        </w:rPr>
        <w:footnoteReference w:id="2"/>
      </w:r>
      <w:r w:rsidRPr="00166553">
        <w:rPr>
          <w:sz w:val="20"/>
          <w:szCs w:val="20"/>
        </w:rPr>
        <w:t xml:space="preserve"> </w:t>
      </w:r>
      <w:r w:rsidRPr="00166553">
        <w:rPr>
          <w:sz w:val="20"/>
          <w:szCs w:val="20"/>
          <w:lang w:eastAsia="en-US"/>
        </w:rPr>
        <w:t xml:space="preserve">in Victoria if the proposed statutory rule imposes a significant economic or social burden on a sector of the public. Generally, proposals that impose </w:t>
      </w:r>
      <w:r w:rsidR="00520823" w:rsidRPr="00166553">
        <w:rPr>
          <w:sz w:val="20"/>
          <w:szCs w:val="20"/>
          <w:lang w:eastAsia="en-US"/>
        </w:rPr>
        <w:t xml:space="preserve">total </w:t>
      </w:r>
      <w:r w:rsidRPr="00166553">
        <w:rPr>
          <w:sz w:val="20"/>
          <w:szCs w:val="20"/>
          <w:lang w:eastAsia="en-US"/>
        </w:rPr>
        <w:t xml:space="preserve">gross costs of $2 million or more </w:t>
      </w:r>
      <w:r w:rsidR="00B55850">
        <w:rPr>
          <w:sz w:val="20"/>
          <w:szCs w:val="20"/>
          <w:lang w:eastAsia="en-US"/>
        </w:rPr>
        <w:t xml:space="preserve">per </w:t>
      </w:r>
      <w:r w:rsidRPr="00166553">
        <w:rPr>
          <w:sz w:val="20"/>
          <w:szCs w:val="20"/>
          <w:lang w:eastAsia="en-US"/>
        </w:rPr>
        <w:t>year on any sector</w:t>
      </w:r>
      <w:r w:rsidR="00520823" w:rsidRPr="00166553">
        <w:rPr>
          <w:sz w:val="20"/>
          <w:szCs w:val="20"/>
          <w:lang w:eastAsia="en-US"/>
        </w:rPr>
        <w:t>/s</w:t>
      </w:r>
      <w:r w:rsidRPr="00166553">
        <w:rPr>
          <w:sz w:val="20"/>
          <w:szCs w:val="20"/>
          <w:lang w:eastAsia="en-US"/>
        </w:rPr>
        <w:t xml:space="preserve"> of the public would be considered to </w:t>
      </w:r>
      <w:r w:rsidR="00520823" w:rsidRPr="00166553">
        <w:rPr>
          <w:sz w:val="20"/>
          <w:szCs w:val="20"/>
          <w:lang w:eastAsia="en-US"/>
        </w:rPr>
        <w:t>meet the</w:t>
      </w:r>
      <w:r w:rsidRPr="00166553">
        <w:rPr>
          <w:sz w:val="20"/>
          <w:szCs w:val="20"/>
          <w:lang w:eastAsia="en-US"/>
        </w:rPr>
        <w:t xml:space="preserve"> RIS threshold. This requirement also applies to legislative instruments, such as ministerial directions and orders in council (among many others). The legislative backing for this requirement is the </w:t>
      </w:r>
      <w:r w:rsidRPr="00166553">
        <w:rPr>
          <w:i/>
          <w:sz w:val="20"/>
          <w:szCs w:val="20"/>
          <w:lang w:eastAsia="en-US"/>
        </w:rPr>
        <w:t>Subordinate Legislation Act 1994.</w:t>
      </w:r>
      <w:r w:rsidRPr="00166553">
        <w:rPr>
          <w:sz w:val="20"/>
          <w:szCs w:val="20"/>
          <w:lang w:eastAsia="en-US"/>
        </w:rPr>
        <w:t xml:space="preserve"> The high degree of scrutiny provided by the RIS process – mandated within the </w:t>
      </w:r>
      <w:r w:rsidRPr="00166553">
        <w:rPr>
          <w:i/>
          <w:sz w:val="20"/>
          <w:szCs w:val="20"/>
          <w:lang w:eastAsia="en-US"/>
        </w:rPr>
        <w:t>Subordinate Legislation Act 1994</w:t>
      </w:r>
      <w:r w:rsidRPr="00166553">
        <w:rPr>
          <w:sz w:val="20"/>
          <w:szCs w:val="20"/>
          <w:lang w:eastAsia="en-US"/>
        </w:rPr>
        <w:t xml:space="preserve"> – is necessary because the proposed measures assessed by RISs are not debated in Parliament. </w:t>
      </w:r>
    </w:p>
    <w:p w:rsidR="00605D8D" w:rsidRPr="00166553" w:rsidRDefault="00605D8D" w:rsidP="00AA789B">
      <w:pPr>
        <w:rPr>
          <w:sz w:val="20"/>
          <w:szCs w:val="20"/>
          <w:lang w:eastAsia="en-US"/>
        </w:rPr>
      </w:pPr>
      <w:r w:rsidRPr="00166553">
        <w:rPr>
          <w:sz w:val="20"/>
          <w:szCs w:val="20"/>
          <w:lang w:eastAsia="en-US"/>
        </w:rPr>
        <w:t xml:space="preserve">In addition, government scrutiny of regulatory proposals also extends to the making or amending of primary legislation where there is potential for regulatory impacts. In cases where a legislative proposal (i.e. a Bill) has </w:t>
      </w:r>
      <w:r w:rsidR="00AA789B" w:rsidRPr="00166553">
        <w:rPr>
          <w:sz w:val="20"/>
          <w:szCs w:val="20"/>
          <w:lang w:eastAsia="en-US"/>
        </w:rPr>
        <w:t>the potential to impose a significant economic or social burden on a sector of the public</w:t>
      </w:r>
      <w:r w:rsidRPr="00166553">
        <w:rPr>
          <w:sz w:val="20"/>
          <w:szCs w:val="20"/>
          <w:lang w:eastAsia="en-US"/>
        </w:rPr>
        <w:t xml:space="preserve">, a Legislative Impact Assessment (LIA) must be prepared. </w:t>
      </w:r>
      <w:r w:rsidR="00AA789B" w:rsidRPr="00166553">
        <w:rPr>
          <w:sz w:val="20"/>
          <w:szCs w:val="20"/>
          <w:lang w:eastAsia="en-US"/>
        </w:rPr>
        <w:t xml:space="preserve">Generally, proposals that impose gross costs of $2 million or more </w:t>
      </w:r>
      <w:r w:rsidR="00B55850">
        <w:rPr>
          <w:sz w:val="20"/>
          <w:szCs w:val="20"/>
          <w:lang w:eastAsia="en-US"/>
        </w:rPr>
        <w:t xml:space="preserve">per </w:t>
      </w:r>
      <w:r w:rsidR="00AA789B" w:rsidRPr="00166553">
        <w:rPr>
          <w:sz w:val="20"/>
          <w:szCs w:val="20"/>
          <w:lang w:eastAsia="en-US"/>
        </w:rPr>
        <w:t xml:space="preserve">year on any sector of the public would be considered to meet this LIA threshold. </w:t>
      </w:r>
      <w:r w:rsidRPr="00166553">
        <w:rPr>
          <w:sz w:val="20"/>
          <w:szCs w:val="20"/>
          <w:lang w:eastAsia="en-US"/>
        </w:rPr>
        <w:t>LIAs are based on the same methodology as the RIS process, although the content and processes are not specified in legislation, but rather agreed by Cabinet.</w:t>
      </w:r>
    </w:p>
    <w:p w:rsidR="00605D8D" w:rsidRPr="00166553" w:rsidRDefault="00605D8D" w:rsidP="00605D8D">
      <w:pPr>
        <w:rPr>
          <w:sz w:val="20"/>
          <w:szCs w:val="20"/>
          <w:lang w:eastAsia="en-US"/>
        </w:rPr>
      </w:pPr>
      <w:r w:rsidRPr="00166553">
        <w:rPr>
          <w:sz w:val="20"/>
          <w:szCs w:val="20"/>
          <w:lang w:eastAsia="en-US"/>
        </w:rPr>
        <w:t>The overall aim of LIAs and RISs is to ensure a rigorous assessment of regulatory and legislative proposals, and other viable options, to better inform government policy decision making. The main differences in the process for preparing LIAs and RISs are the legislative backing, mandatory consultation and scrutiny arrangements (see Table</w:t>
      </w:r>
      <w:r w:rsidR="00AA789B" w:rsidRPr="00166553">
        <w:rPr>
          <w:sz w:val="20"/>
          <w:szCs w:val="20"/>
          <w:lang w:eastAsia="en-US"/>
        </w:rPr>
        <w:t xml:space="preserve"> </w:t>
      </w:r>
      <w:r w:rsidRPr="00166553">
        <w:rPr>
          <w:sz w:val="20"/>
          <w:szCs w:val="20"/>
          <w:lang w:eastAsia="en-US"/>
        </w:rPr>
        <w:t>1). RISs provide the avenue for scrutiny of subordinate legislation by the Parliament, ensuring in the process that appropriate and transparent decision</w:t>
      </w:r>
      <w:r w:rsidRPr="00166553">
        <w:rPr>
          <w:sz w:val="20"/>
          <w:szCs w:val="20"/>
          <w:lang w:eastAsia="en-US"/>
        </w:rPr>
        <w:noBreakHyphen/>
        <w:t>making takes place. Because primary legislation is fully debated in Parliament, the role of LIAs is targeted more towards informing the Government in making its policy decisions.</w:t>
      </w:r>
    </w:p>
    <w:p w:rsidR="00605D8D" w:rsidRPr="00166553" w:rsidRDefault="00605D8D" w:rsidP="00605D8D">
      <w:pPr>
        <w:rPr>
          <w:sz w:val="20"/>
          <w:szCs w:val="20"/>
          <w:lang w:eastAsia="en-US"/>
        </w:rPr>
      </w:pPr>
      <w:r w:rsidRPr="00166553">
        <w:rPr>
          <w:sz w:val="20"/>
          <w:szCs w:val="20"/>
          <w:lang w:eastAsia="en-US"/>
        </w:rPr>
        <w:t>As a key input to government policy, it is important for LIAs and RISs to provide sufficient detail to allow informed and evidence-based decision making. However, it is expected that the depth of analysis, and subsequently the resources used in impact assessment are proportionate to the size of the impact of the regulatory/legislative proposal being assessed.</w:t>
      </w:r>
    </w:p>
    <w:p w:rsidR="00605D8D" w:rsidRPr="00166553" w:rsidRDefault="00605D8D" w:rsidP="00605D8D">
      <w:pPr>
        <w:rPr>
          <w:sz w:val="20"/>
          <w:szCs w:val="20"/>
          <w:lang w:eastAsia="en-US"/>
        </w:rPr>
      </w:pPr>
      <w:r w:rsidRPr="00166553">
        <w:rPr>
          <w:sz w:val="20"/>
          <w:szCs w:val="20"/>
          <w:lang w:eastAsia="en-US"/>
        </w:rPr>
        <w:t>A more proportionate approach to impact assessment aims to assist departments in:</w:t>
      </w:r>
    </w:p>
    <w:p w:rsidR="00605D8D" w:rsidRPr="00166553" w:rsidRDefault="00605D8D" w:rsidP="00605D8D">
      <w:pPr>
        <w:pStyle w:val="Bullet1"/>
        <w:rPr>
          <w:sz w:val="20"/>
          <w:szCs w:val="20"/>
        </w:rPr>
      </w:pPr>
      <w:r w:rsidRPr="00166553">
        <w:rPr>
          <w:sz w:val="20"/>
          <w:szCs w:val="20"/>
        </w:rPr>
        <w:t>ensuring that resources and specialist technical expertise are focused on high-impact proposals; and</w:t>
      </w:r>
    </w:p>
    <w:p w:rsidR="00605D8D" w:rsidRPr="00166553" w:rsidRDefault="00605D8D" w:rsidP="00605D8D">
      <w:pPr>
        <w:pStyle w:val="Bullet1"/>
        <w:rPr>
          <w:sz w:val="20"/>
          <w:szCs w:val="20"/>
          <w:lang w:eastAsia="en-US"/>
        </w:rPr>
      </w:pPr>
      <w:proofErr w:type="gramStart"/>
      <w:r w:rsidRPr="00166553">
        <w:rPr>
          <w:sz w:val="20"/>
          <w:szCs w:val="20"/>
        </w:rPr>
        <w:t>avoiding</w:t>
      </w:r>
      <w:proofErr w:type="gramEnd"/>
      <w:r w:rsidRPr="00166553">
        <w:rPr>
          <w:sz w:val="20"/>
          <w:szCs w:val="20"/>
        </w:rPr>
        <w:t xml:space="preserve"> a disproportionate amount of time and effort being spent on those proposals with smaller</w:t>
      </w:r>
      <w:r w:rsidRPr="00166553">
        <w:rPr>
          <w:sz w:val="20"/>
          <w:szCs w:val="20"/>
          <w:lang w:eastAsia="en-US"/>
        </w:rPr>
        <w:t xml:space="preserve"> impacts. </w:t>
      </w:r>
    </w:p>
    <w:p w:rsidR="00605D8D" w:rsidRPr="00166553" w:rsidRDefault="00605D8D" w:rsidP="00605D8D">
      <w:pPr>
        <w:rPr>
          <w:sz w:val="20"/>
          <w:szCs w:val="20"/>
          <w:lang w:eastAsia="en-US"/>
        </w:rPr>
      </w:pPr>
      <w:r w:rsidRPr="00166553">
        <w:rPr>
          <w:sz w:val="20"/>
          <w:szCs w:val="20"/>
          <w:lang w:eastAsia="en-US"/>
        </w:rPr>
        <w:t>Therefore, greater clarity regarding a proportionate approach to impact assessment has been included for the analysis of legis</w:t>
      </w:r>
      <w:r w:rsidR="00AA789B" w:rsidRPr="00166553">
        <w:rPr>
          <w:sz w:val="20"/>
          <w:szCs w:val="20"/>
          <w:lang w:eastAsia="en-US"/>
        </w:rPr>
        <w:t xml:space="preserve">lative or regulatory proposals. </w:t>
      </w:r>
      <w:r w:rsidR="00B41D1D">
        <w:rPr>
          <w:sz w:val="20"/>
          <w:szCs w:val="20"/>
          <w:lang w:eastAsia="en-US"/>
        </w:rPr>
        <w:t>T</w:t>
      </w:r>
      <w:r w:rsidR="00AA789B" w:rsidRPr="00166553">
        <w:rPr>
          <w:sz w:val="20"/>
          <w:szCs w:val="20"/>
          <w:lang w:eastAsia="en-US"/>
        </w:rPr>
        <w:t xml:space="preserve">he Victorian Guide to Regulation </w:t>
      </w:r>
      <w:r w:rsidRPr="00166553">
        <w:rPr>
          <w:sz w:val="20"/>
          <w:szCs w:val="20"/>
          <w:lang w:eastAsia="en-US"/>
        </w:rPr>
        <w:t xml:space="preserve">describes the criteria for indicating whether a proposal is </w:t>
      </w:r>
      <w:proofErr w:type="gramStart"/>
      <w:r w:rsidRPr="00166553">
        <w:rPr>
          <w:sz w:val="20"/>
          <w:szCs w:val="20"/>
          <w:lang w:eastAsia="en-US"/>
        </w:rPr>
        <w:t>low- or high-impact</w:t>
      </w:r>
      <w:proofErr w:type="gramEnd"/>
      <w:r w:rsidRPr="00166553">
        <w:rPr>
          <w:sz w:val="20"/>
          <w:szCs w:val="20"/>
          <w:lang w:eastAsia="en-US"/>
        </w:rPr>
        <w:t xml:space="preserve"> and the indicative requirements for preparing low-/high-impact LIAs and RISs. Practical guidance (in the form of ‘proportionality tables’ to indicate the appropriate level of analysis) for each relevant stage of the LIA/RIS process has </w:t>
      </w:r>
      <w:r w:rsidR="00AA789B" w:rsidRPr="00166553">
        <w:rPr>
          <w:sz w:val="20"/>
          <w:szCs w:val="20"/>
          <w:lang w:eastAsia="en-US"/>
        </w:rPr>
        <w:t xml:space="preserve">also </w:t>
      </w:r>
      <w:r w:rsidRPr="00166553">
        <w:rPr>
          <w:sz w:val="20"/>
          <w:szCs w:val="20"/>
          <w:lang w:eastAsia="en-US"/>
        </w:rPr>
        <w:t>been inc</w:t>
      </w:r>
      <w:r w:rsidR="00AA789B" w:rsidRPr="00166553">
        <w:rPr>
          <w:sz w:val="20"/>
          <w:szCs w:val="20"/>
          <w:lang w:eastAsia="en-US"/>
        </w:rPr>
        <w:t>luded</w:t>
      </w:r>
      <w:r w:rsidRPr="00166553">
        <w:rPr>
          <w:sz w:val="20"/>
          <w:szCs w:val="20"/>
          <w:lang w:eastAsia="en-US"/>
        </w:rPr>
        <w:t>.</w:t>
      </w:r>
    </w:p>
    <w:p w:rsidR="00605D8D" w:rsidRPr="00166553" w:rsidRDefault="00605D8D" w:rsidP="00605D8D">
      <w:pPr>
        <w:rPr>
          <w:sz w:val="20"/>
          <w:szCs w:val="20"/>
          <w:lang w:eastAsia="en-US"/>
        </w:rPr>
      </w:pPr>
      <w:r w:rsidRPr="00166553">
        <w:rPr>
          <w:sz w:val="20"/>
          <w:szCs w:val="20"/>
          <w:lang w:eastAsia="en-US"/>
        </w:rPr>
        <w:t xml:space="preserve">To promote greater policy coherence and proportionate use of resources, it is beneficial for LIAs and RISs to be prepared by the government department or agency supporting the responsible Minister (possibly with the assistance of appropriately qualified </w:t>
      </w:r>
      <w:r w:rsidRPr="00166553">
        <w:rPr>
          <w:sz w:val="20"/>
          <w:szCs w:val="20"/>
        </w:rPr>
        <w:t>consultants</w:t>
      </w:r>
      <w:r w:rsidRPr="00166553">
        <w:rPr>
          <w:rStyle w:val="FootnoteReference"/>
          <w:sz w:val="20"/>
          <w:szCs w:val="20"/>
        </w:rPr>
        <w:footnoteReference w:id="3"/>
      </w:r>
      <w:r w:rsidRPr="00166553">
        <w:rPr>
          <w:sz w:val="20"/>
          <w:szCs w:val="20"/>
        </w:rPr>
        <w:t xml:space="preserve"> </w:t>
      </w:r>
      <w:r w:rsidRPr="00166553">
        <w:rPr>
          <w:sz w:val="20"/>
          <w:szCs w:val="20"/>
          <w:lang w:eastAsia="en-US"/>
        </w:rPr>
        <w:t>where there is a lack of expertise for the analysis required). Where LIAs and RISs are prepared by regulatory agencies that are arm’s length from government, it is important that the relevant government departments are advised and consulted on any LIA or RIS processes that are being undertaken within their portfolios. It should also be remembered that, in the case of LIAs, the analysis informs Cabinet deliberations and, as such, the information included in an LIA must be treated as confidential to Government.</w:t>
      </w:r>
    </w:p>
    <w:p w:rsidR="00605D8D" w:rsidRPr="00166553" w:rsidRDefault="00605D8D" w:rsidP="00605D8D">
      <w:pPr>
        <w:rPr>
          <w:sz w:val="20"/>
          <w:szCs w:val="20"/>
          <w:lang w:eastAsia="en-US"/>
        </w:rPr>
      </w:pPr>
      <w:r w:rsidRPr="00166553">
        <w:rPr>
          <w:sz w:val="20"/>
          <w:szCs w:val="20"/>
          <w:lang w:eastAsia="en-US"/>
        </w:rPr>
        <w:t xml:space="preserve">The independent assessment of LIAs and RISs is undertaken by the </w:t>
      </w:r>
      <w:r w:rsidR="0047354D">
        <w:rPr>
          <w:sz w:val="20"/>
          <w:szCs w:val="20"/>
          <w:lang w:eastAsia="en-US"/>
        </w:rPr>
        <w:t>Commissioner for Better Regulation</w:t>
      </w:r>
      <w:r w:rsidR="00B41D1D">
        <w:rPr>
          <w:sz w:val="20"/>
          <w:szCs w:val="20"/>
          <w:lang w:eastAsia="en-US"/>
        </w:rPr>
        <w:t xml:space="preserve"> (the Commissioner)</w:t>
      </w:r>
      <w:r w:rsidR="0047354D">
        <w:rPr>
          <w:sz w:val="20"/>
          <w:szCs w:val="20"/>
          <w:lang w:eastAsia="en-US"/>
        </w:rPr>
        <w:t>, supported by the Office of the Commissioner for Better Regulation (OCBR)</w:t>
      </w:r>
      <w:r w:rsidRPr="00166553">
        <w:rPr>
          <w:sz w:val="20"/>
          <w:szCs w:val="20"/>
          <w:lang w:eastAsia="en-US"/>
        </w:rPr>
        <w:t xml:space="preserve">. The provision of assistance and advice by the </w:t>
      </w:r>
      <w:r w:rsidR="00C357A0">
        <w:rPr>
          <w:sz w:val="20"/>
          <w:szCs w:val="20"/>
          <w:lang w:eastAsia="en-US"/>
        </w:rPr>
        <w:t>Commissioner</w:t>
      </w:r>
      <w:r w:rsidRPr="00166553">
        <w:rPr>
          <w:sz w:val="20"/>
          <w:szCs w:val="20"/>
          <w:lang w:eastAsia="en-US"/>
        </w:rPr>
        <w:t xml:space="preserve">, including feedback on LIAs and RISs, combined with training initiatives, are contributing to a strengthening of LIA and RIS preparation skills within departments and regulatory agencies. Departments should engage the </w:t>
      </w:r>
      <w:r w:rsidR="00C357A0">
        <w:rPr>
          <w:sz w:val="20"/>
          <w:szCs w:val="20"/>
          <w:lang w:eastAsia="en-US"/>
        </w:rPr>
        <w:t>Commissioner</w:t>
      </w:r>
      <w:r w:rsidRPr="00166553">
        <w:rPr>
          <w:sz w:val="20"/>
          <w:szCs w:val="20"/>
          <w:lang w:eastAsia="en-US"/>
        </w:rPr>
        <w:t xml:space="preserve"> as early as possible in the LIA/RIS process. </w:t>
      </w:r>
      <w:r w:rsidRPr="00166553">
        <w:rPr>
          <w:rFonts w:eastAsia="Calibri"/>
          <w:sz w:val="20"/>
          <w:szCs w:val="20"/>
        </w:rPr>
        <w:t>The Government expects this to lead to improvements in regulatory outcomes from proposals undergoing LIAs and RISs over time.</w:t>
      </w:r>
      <w:r w:rsidRPr="00166553">
        <w:rPr>
          <w:sz w:val="20"/>
          <w:szCs w:val="20"/>
          <w:lang w:eastAsia="en-US"/>
        </w:rPr>
        <w:t xml:space="preserve"> </w:t>
      </w:r>
    </w:p>
    <w:p w:rsidR="00605D8D" w:rsidRPr="00166553" w:rsidRDefault="00605D8D" w:rsidP="00605D8D">
      <w:pPr>
        <w:rPr>
          <w:sz w:val="20"/>
          <w:szCs w:val="20"/>
          <w:lang w:eastAsia="en-US"/>
        </w:rPr>
      </w:pPr>
      <w:r w:rsidRPr="00166553">
        <w:rPr>
          <w:sz w:val="20"/>
          <w:szCs w:val="20"/>
          <w:lang w:eastAsia="en-US"/>
        </w:rPr>
        <w:t xml:space="preserve">A broad overview of the processes for RISs and LIAs is presented in Table 1. The remainder of this </w:t>
      </w:r>
      <w:r w:rsidR="00DC6B7B" w:rsidRPr="00166553">
        <w:rPr>
          <w:sz w:val="20"/>
          <w:szCs w:val="20"/>
          <w:lang w:eastAsia="en-US"/>
        </w:rPr>
        <w:t>toolkit</w:t>
      </w:r>
      <w:r w:rsidRPr="00166553">
        <w:rPr>
          <w:sz w:val="20"/>
          <w:szCs w:val="20"/>
          <w:lang w:eastAsia="en-US"/>
        </w:rPr>
        <w:t xml:space="preserve"> discusses the LIA and RIS processes in more detail. It is essential that departments and agencies allow sufficient time to undertake these processes, and guidance about timing considerations is provided in </w:t>
      </w:r>
      <w:r w:rsidR="00D13659" w:rsidRPr="00166553">
        <w:rPr>
          <w:sz w:val="20"/>
          <w:szCs w:val="20"/>
          <w:lang w:eastAsia="en-US"/>
        </w:rPr>
        <w:t>Section </w:t>
      </w:r>
      <w:r w:rsidR="00C3682F" w:rsidRPr="00166553">
        <w:rPr>
          <w:sz w:val="20"/>
          <w:szCs w:val="20"/>
          <w:lang w:eastAsia="en-US"/>
        </w:rPr>
        <w:t>1.</w:t>
      </w:r>
      <w:r w:rsidR="00CE2C34" w:rsidRPr="00166553">
        <w:rPr>
          <w:sz w:val="20"/>
          <w:szCs w:val="20"/>
          <w:lang w:eastAsia="en-US"/>
        </w:rPr>
        <w:t>4</w:t>
      </w:r>
      <w:r w:rsidR="00C3682F" w:rsidRPr="00166553">
        <w:rPr>
          <w:sz w:val="20"/>
          <w:szCs w:val="20"/>
          <w:lang w:eastAsia="en-US"/>
        </w:rPr>
        <w:t>.5</w:t>
      </w:r>
      <w:r w:rsidRPr="00166553">
        <w:rPr>
          <w:sz w:val="20"/>
          <w:szCs w:val="20"/>
          <w:lang w:eastAsia="en-US"/>
        </w:rPr>
        <w:t xml:space="preserve"> (in the case of LIAs) and </w:t>
      </w:r>
      <w:r w:rsidR="00DC6B7B" w:rsidRPr="00166553">
        <w:rPr>
          <w:sz w:val="20"/>
          <w:szCs w:val="20"/>
          <w:lang w:eastAsia="en-US"/>
        </w:rPr>
        <w:t>Section</w:t>
      </w:r>
      <w:r w:rsidRPr="00166553">
        <w:rPr>
          <w:sz w:val="20"/>
          <w:szCs w:val="20"/>
          <w:lang w:eastAsia="en-US"/>
        </w:rPr>
        <w:t xml:space="preserve"> </w:t>
      </w:r>
      <w:r w:rsidR="00CE2C34" w:rsidRPr="00166553">
        <w:rPr>
          <w:sz w:val="20"/>
          <w:szCs w:val="20"/>
          <w:lang w:eastAsia="en-US"/>
        </w:rPr>
        <w:t>1.5</w:t>
      </w:r>
      <w:r w:rsidR="00C3682F" w:rsidRPr="00166553">
        <w:rPr>
          <w:sz w:val="20"/>
          <w:szCs w:val="20"/>
          <w:lang w:eastAsia="en-US"/>
        </w:rPr>
        <w:t xml:space="preserve">.6 </w:t>
      </w:r>
      <w:r w:rsidRPr="00166553">
        <w:rPr>
          <w:sz w:val="20"/>
          <w:szCs w:val="20"/>
          <w:lang w:eastAsia="en-US"/>
        </w:rPr>
        <w:t>(for RISs)</w:t>
      </w:r>
      <w:r w:rsidR="00C3682F" w:rsidRPr="00166553">
        <w:rPr>
          <w:sz w:val="20"/>
          <w:szCs w:val="20"/>
          <w:lang w:eastAsia="en-US"/>
        </w:rPr>
        <w:t>.</w:t>
      </w:r>
    </w:p>
    <w:p w:rsidR="00605D8D" w:rsidRPr="00166553" w:rsidRDefault="00605D8D" w:rsidP="00605D8D">
      <w:pPr>
        <w:rPr>
          <w:sz w:val="20"/>
          <w:szCs w:val="20"/>
          <w:lang w:eastAsia="en-US"/>
        </w:rPr>
      </w:pPr>
      <w:r w:rsidRPr="00166553">
        <w:rPr>
          <w:sz w:val="20"/>
          <w:szCs w:val="20"/>
          <w:lang w:eastAsia="en-US"/>
        </w:rPr>
        <w:t xml:space="preserve">In addition, this </w:t>
      </w:r>
      <w:r w:rsidR="00DC6B7B" w:rsidRPr="00166553">
        <w:rPr>
          <w:sz w:val="20"/>
          <w:szCs w:val="20"/>
          <w:lang w:eastAsia="en-US"/>
        </w:rPr>
        <w:t>toolkit</w:t>
      </w:r>
      <w:r w:rsidRPr="00166553">
        <w:rPr>
          <w:sz w:val="20"/>
          <w:szCs w:val="20"/>
          <w:lang w:eastAsia="en-US"/>
        </w:rPr>
        <w:t xml:space="preserve"> details other requirements that need to be taken into account during the making of regulation. These requirements relate to:</w:t>
      </w:r>
    </w:p>
    <w:p w:rsidR="00605D8D" w:rsidRPr="00166553" w:rsidRDefault="00605D8D" w:rsidP="00322641">
      <w:pPr>
        <w:pStyle w:val="Bullet1"/>
        <w:numPr>
          <w:ilvl w:val="0"/>
          <w:numId w:val="15"/>
        </w:numPr>
        <w:tabs>
          <w:tab w:val="num" w:pos="1134"/>
        </w:tabs>
        <w:rPr>
          <w:sz w:val="20"/>
          <w:szCs w:val="20"/>
          <w:lang w:eastAsia="en-US"/>
        </w:rPr>
      </w:pPr>
      <w:r w:rsidRPr="00166553">
        <w:rPr>
          <w:sz w:val="20"/>
          <w:szCs w:val="20"/>
          <w:lang w:eastAsia="en-US"/>
        </w:rPr>
        <w:t xml:space="preserve">the human rights impact assessment required under the Government’s </w:t>
      </w:r>
      <w:r w:rsidRPr="00166553">
        <w:rPr>
          <w:i/>
          <w:sz w:val="20"/>
          <w:szCs w:val="20"/>
          <w:lang w:eastAsia="en-US"/>
        </w:rPr>
        <w:t>Charter of Human Rights and Responsibilities Act 2006</w:t>
      </w:r>
      <w:r w:rsidRPr="00166553">
        <w:rPr>
          <w:sz w:val="20"/>
          <w:szCs w:val="20"/>
          <w:lang w:eastAsia="en-US"/>
        </w:rPr>
        <w:t xml:space="preserve"> (see </w:t>
      </w:r>
      <w:r w:rsidR="00D13659" w:rsidRPr="00166553">
        <w:rPr>
          <w:sz w:val="20"/>
          <w:szCs w:val="20"/>
          <w:lang w:eastAsia="en-US"/>
        </w:rPr>
        <w:t>Section </w:t>
      </w:r>
      <w:r w:rsidR="00424A1C" w:rsidRPr="00166553">
        <w:rPr>
          <w:sz w:val="20"/>
          <w:szCs w:val="20"/>
          <w:lang w:eastAsia="en-US"/>
        </w:rPr>
        <w:t>1.6</w:t>
      </w:r>
      <w:r w:rsidRPr="00166553">
        <w:rPr>
          <w:sz w:val="20"/>
          <w:szCs w:val="20"/>
          <w:lang w:eastAsia="en-US"/>
        </w:rPr>
        <w:t>); and</w:t>
      </w:r>
    </w:p>
    <w:p w:rsidR="00605D8D" w:rsidRPr="00166553" w:rsidRDefault="00605D8D" w:rsidP="00A516C8">
      <w:pPr>
        <w:pStyle w:val="Bullet1"/>
        <w:numPr>
          <w:ilvl w:val="0"/>
          <w:numId w:val="15"/>
        </w:numPr>
        <w:tabs>
          <w:tab w:val="num" w:pos="1134"/>
        </w:tabs>
        <w:spacing w:after="120"/>
        <w:ind w:left="1077" w:hanging="357"/>
        <w:rPr>
          <w:sz w:val="20"/>
          <w:szCs w:val="20"/>
          <w:lang w:eastAsia="en-US"/>
        </w:rPr>
      </w:pPr>
      <w:proofErr w:type="gramStart"/>
      <w:r w:rsidRPr="00166553">
        <w:rPr>
          <w:sz w:val="20"/>
          <w:szCs w:val="20"/>
          <w:lang w:eastAsia="en-US"/>
        </w:rPr>
        <w:t>consultation</w:t>
      </w:r>
      <w:proofErr w:type="gramEnd"/>
      <w:r w:rsidRPr="00166553">
        <w:rPr>
          <w:sz w:val="20"/>
          <w:szCs w:val="20"/>
          <w:lang w:eastAsia="en-US"/>
        </w:rPr>
        <w:t xml:space="preserve"> processes that are expected where local government is expected to administer and/or enforce state legislation/regulation (see </w:t>
      </w:r>
      <w:r w:rsidR="00D13659" w:rsidRPr="00166553">
        <w:rPr>
          <w:sz w:val="20"/>
          <w:szCs w:val="20"/>
          <w:lang w:eastAsia="en-US"/>
        </w:rPr>
        <w:t>Section </w:t>
      </w:r>
      <w:r w:rsidR="00424A1C" w:rsidRPr="00166553">
        <w:rPr>
          <w:sz w:val="20"/>
          <w:szCs w:val="20"/>
          <w:lang w:eastAsia="en-US"/>
        </w:rPr>
        <w:t>1.7</w:t>
      </w:r>
      <w:r w:rsidRPr="00166553">
        <w:rPr>
          <w:sz w:val="20"/>
          <w:szCs w:val="20"/>
          <w:lang w:eastAsia="en-US"/>
        </w:rPr>
        <w:t>).</w:t>
      </w:r>
    </w:p>
    <w:p w:rsidR="00605D8D" w:rsidRDefault="00605D8D" w:rsidP="00605D8D">
      <w:pPr>
        <w:pStyle w:val="Caption"/>
        <w:rPr>
          <w:lang w:eastAsia="en-US"/>
        </w:rPr>
      </w:pPr>
      <w:r w:rsidRPr="00377E40">
        <w:t>Table</w:t>
      </w:r>
      <w:r>
        <w:rPr>
          <w:lang w:eastAsia="en-US"/>
        </w:rPr>
        <w:t xml:space="preserve"> 1: Overview of LIA and RIS processes</w:t>
      </w:r>
    </w:p>
    <w:tbl>
      <w:tblPr>
        <w:tblW w:w="8568" w:type="dxa"/>
        <w:tblInd w:w="835" w:type="dxa"/>
        <w:tblBorders>
          <w:top w:val="single" w:sz="6" w:space="0" w:color="auto"/>
          <w:bottom w:val="single" w:sz="6" w:space="0" w:color="auto"/>
          <w:insideH w:val="single" w:sz="6" w:space="0" w:color="auto"/>
        </w:tblBorders>
        <w:tblLayout w:type="fixed"/>
        <w:tblCellMar>
          <w:left w:w="43" w:type="dxa"/>
          <w:right w:w="43" w:type="dxa"/>
        </w:tblCellMar>
        <w:tblLook w:val="0000" w:firstRow="0" w:lastRow="0" w:firstColumn="0" w:lastColumn="0" w:noHBand="0" w:noVBand="0"/>
      </w:tblPr>
      <w:tblGrid>
        <w:gridCol w:w="1728"/>
        <w:gridCol w:w="3420"/>
        <w:gridCol w:w="3420"/>
      </w:tblGrid>
      <w:tr w:rsidR="00605D8D" w:rsidRPr="00A86FF8" w:rsidTr="00F93F4F">
        <w:tc>
          <w:tcPr>
            <w:tcW w:w="1728" w:type="dxa"/>
            <w:tcBorders>
              <w:top w:val="single" w:sz="2" w:space="0" w:color="auto"/>
            </w:tcBorders>
            <w:shd w:val="clear" w:color="auto" w:fill="009CA6"/>
          </w:tcPr>
          <w:p w:rsidR="00605D8D" w:rsidRPr="00F93F4F" w:rsidRDefault="00605D8D" w:rsidP="00F93F4F">
            <w:pPr>
              <w:pStyle w:val="TableHeader"/>
              <w:rPr>
                <w:b/>
                <w:color w:val="FFFFFF" w:themeColor="background1"/>
                <w:sz w:val="20"/>
                <w:szCs w:val="20"/>
              </w:rPr>
            </w:pPr>
          </w:p>
        </w:tc>
        <w:tc>
          <w:tcPr>
            <w:tcW w:w="3420" w:type="dxa"/>
            <w:tcBorders>
              <w:top w:val="single" w:sz="2" w:space="0" w:color="auto"/>
            </w:tcBorders>
            <w:shd w:val="clear" w:color="auto" w:fill="009CA6"/>
          </w:tcPr>
          <w:p w:rsidR="00605D8D" w:rsidRPr="00F93F4F" w:rsidRDefault="00605D8D" w:rsidP="00F93F4F">
            <w:pPr>
              <w:pStyle w:val="TableHeader"/>
              <w:rPr>
                <w:b/>
                <w:color w:val="FFFFFF" w:themeColor="background1"/>
                <w:sz w:val="20"/>
                <w:szCs w:val="20"/>
              </w:rPr>
            </w:pPr>
            <w:r w:rsidRPr="00F93F4F">
              <w:rPr>
                <w:b/>
                <w:color w:val="FFFFFF" w:themeColor="background1"/>
                <w:sz w:val="20"/>
                <w:szCs w:val="20"/>
              </w:rPr>
              <w:t>Legislative impact assessments (LIAs)</w:t>
            </w:r>
          </w:p>
        </w:tc>
        <w:tc>
          <w:tcPr>
            <w:tcW w:w="3420" w:type="dxa"/>
            <w:tcBorders>
              <w:top w:val="single" w:sz="2" w:space="0" w:color="auto"/>
            </w:tcBorders>
            <w:shd w:val="clear" w:color="auto" w:fill="009CA6"/>
          </w:tcPr>
          <w:p w:rsidR="00605D8D" w:rsidRPr="00F93F4F" w:rsidRDefault="00605D8D" w:rsidP="00F93F4F">
            <w:pPr>
              <w:pStyle w:val="TableHeader"/>
              <w:rPr>
                <w:b/>
                <w:color w:val="FFFFFF" w:themeColor="background1"/>
                <w:sz w:val="20"/>
                <w:szCs w:val="20"/>
              </w:rPr>
            </w:pPr>
            <w:r w:rsidRPr="00F93F4F">
              <w:rPr>
                <w:b/>
                <w:color w:val="FFFFFF" w:themeColor="background1"/>
                <w:sz w:val="20"/>
                <w:szCs w:val="20"/>
              </w:rPr>
              <w:t>Regulatory impact statements (RISs)</w:t>
            </w:r>
          </w:p>
        </w:tc>
      </w:tr>
      <w:tr w:rsidR="00605D8D" w:rsidRPr="00A86FF8" w:rsidTr="00D72695">
        <w:tc>
          <w:tcPr>
            <w:tcW w:w="1728" w:type="dxa"/>
          </w:tcPr>
          <w:p w:rsidR="00605D8D" w:rsidRPr="00A86FF8" w:rsidRDefault="00605D8D" w:rsidP="00F93F4F">
            <w:pPr>
              <w:pStyle w:val="TableTextbold"/>
            </w:pPr>
            <w:r w:rsidRPr="00A86FF8">
              <w:t xml:space="preserve">Legislative </w:t>
            </w:r>
            <w:r w:rsidRPr="00F250E1">
              <w:t>backing</w:t>
            </w:r>
          </w:p>
        </w:tc>
        <w:tc>
          <w:tcPr>
            <w:tcW w:w="3420" w:type="dxa"/>
          </w:tcPr>
          <w:p w:rsidR="00605D8D" w:rsidRPr="00F250E1" w:rsidRDefault="00605D8D" w:rsidP="00F93F4F">
            <w:pPr>
              <w:pStyle w:val="TableText"/>
            </w:pPr>
            <w:r w:rsidRPr="00F250E1">
              <w:t>None</w:t>
            </w:r>
          </w:p>
        </w:tc>
        <w:tc>
          <w:tcPr>
            <w:tcW w:w="3420" w:type="dxa"/>
          </w:tcPr>
          <w:p w:rsidR="00605D8D" w:rsidRPr="00A86FF8" w:rsidRDefault="00605D8D" w:rsidP="00F93F4F">
            <w:pPr>
              <w:pStyle w:val="TableText"/>
            </w:pPr>
            <w:r w:rsidRPr="00F250E1">
              <w:rPr>
                <w:i/>
              </w:rPr>
              <w:t>Subordinate Legislation Act 1994</w:t>
            </w:r>
            <w:r>
              <w:t xml:space="preserve"> </w:t>
            </w:r>
            <w:r w:rsidRPr="00A86FF8">
              <w:t>(</w:t>
            </w:r>
            <w:r>
              <w:t>‘</w:t>
            </w:r>
            <w:r w:rsidRPr="00A86FF8">
              <w:t>the Act</w:t>
            </w:r>
            <w:r>
              <w:t>’</w:t>
            </w:r>
            <w:r w:rsidRPr="00A86FF8">
              <w:t>)</w:t>
            </w:r>
          </w:p>
        </w:tc>
      </w:tr>
      <w:tr w:rsidR="00605D8D" w:rsidRPr="00A86FF8" w:rsidTr="00D72695">
        <w:tc>
          <w:tcPr>
            <w:tcW w:w="1728" w:type="dxa"/>
          </w:tcPr>
          <w:p w:rsidR="00605D8D" w:rsidRPr="00A86FF8" w:rsidRDefault="00605D8D" w:rsidP="00F93F4F">
            <w:pPr>
              <w:pStyle w:val="TableTextbold"/>
            </w:pPr>
            <w:r w:rsidRPr="00A86FF8">
              <w:t>Coverage</w:t>
            </w:r>
          </w:p>
        </w:tc>
        <w:tc>
          <w:tcPr>
            <w:tcW w:w="3420" w:type="dxa"/>
          </w:tcPr>
          <w:p w:rsidR="00605D8D" w:rsidRPr="00F250E1" w:rsidRDefault="00605D8D" w:rsidP="00F93F4F">
            <w:pPr>
              <w:pStyle w:val="TableText"/>
            </w:pPr>
            <w:r w:rsidRPr="00F250E1">
              <w:t>Primary legislation</w:t>
            </w:r>
          </w:p>
        </w:tc>
        <w:tc>
          <w:tcPr>
            <w:tcW w:w="3420" w:type="dxa"/>
          </w:tcPr>
          <w:p w:rsidR="00605D8D" w:rsidRPr="00A86FF8" w:rsidRDefault="00605D8D" w:rsidP="00F93F4F">
            <w:pPr>
              <w:pStyle w:val="TableText"/>
            </w:pPr>
            <w:r w:rsidRPr="00A86FF8">
              <w:t>Statutory rules</w:t>
            </w:r>
            <w:r>
              <w:t xml:space="preserve"> </w:t>
            </w:r>
            <w:r w:rsidRPr="00A86FF8">
              <w:t xml:space="preserve">(mainly </w:t>
            </w:r>
            <w:r>
              <w:t>‘</w:t>
            </w:r>
            <w:r w:rsidRPr="00A86FF8">
              <w:t>regulations</w:t>
            </w:r>
            <w:r>
              <w:t>’</w:t>
            </w:r>
            <w:r w:rsidRPr="00A86FF8">
              <w:t>) and legislative instruments</w:t>
            </w:r>
          </w:p>
        </w:tc>
      </w:tr>
      <w:tr w:rsidR="00605D8D" w:rsidRPr="00A86FF8" w:rsidTr="00D72695">
        <w:tc>
          <w:tcPr>
            <w:tcW w:w="1728" w:type="dxa"/>
          </w:tcPr>
          <w:p w:rsidR="00605D8D" w:rsidRPr="00A86FF8" w:rsidRDefault="00605D8D" w:rsidP="00F93F4F">
            <w:pPr>
              <w:pStyle w:val="TableTextbold"/>
            </w:pPr>
            <w:r w:rsidRPr="00A86FF8">
              <w:t>Trigger for preparation</w:t>
            </w:r>
          </w:p>
        </w:tc>
        <w:tc>
          <w:tcPr>
            <w:tcW w:w="3420" w:type="dxa"/>
          </w:tcPr>
          <w:p w:rsidR="00605D8D" w:rsidRPr="00F250E1" w:rsidRDefault="00605D8D" w:rsidP="00F93F4F">
            <w:pPr>
              <w:pStyle w:val="TableText"/>
            </w:pPr>
            <w:r w:rsidRPr="00F250E1">
              <w:t>Significant economic or social impact on a sector of the public</w:t>
            </w:r>
          </w:p>
        </w:tc>
        <w:tc>
          <w:tcPr>
            <w:tcW w:w="3420" w:type="dxa"/>
          </w:tcPr>
          <w:p w:rsidR="00605D8D" w:rsidRPr="00A86FF8" w:rsidRDefault="00605D8D" w:rsidP="00F93F4F">
            <w:pPr>
              <w:pStyle w:val="TableText"/>
            </w:pPr>
            <w:r w:rsidRPr="00A86FF8">
              <w:t xml:space="preserve">Significant economic or social impact on a sector of the public </w:t>
            </w:r>
          </w:p>
        </w:tc>
      </w:tr>
      <w:tr w:rsidR="00605D8D" w:rsidRPr="00A86FF8" w:rsidTr="00D72695">
        <w:tc>
          <w:tcPr>
            <w:tcW w:w="1728" w:type="dxa"/>
          </w:tcPr>
          <w:p w:rsidR="00605D8D" w:rsidRPr="00A86FF8" w:rsidRDefault="00605D8D" w:rsidP="00F93F4F">
            <w:pPr>
              <w:pStyle w:val="TableTextbold"/>
            </w:pPr>
            <w:r w:rsidRPr="00A86FF8">
              <w:t xml:space="preserve">Who decides when </w:t>
            </w:r>
            <w:r>
              <w:t>an LIA</w:t>
            </w:r>
            <w:r w:rsidRPr="00A86FF8">
              <w:t>/RIS is required?</w:t>
            </w:r>
          </w:p>
        </w:tc>
        <w:tc>
          <w:tcPr>
            <w:tcW w:w="3420" w:type="dxa"/>
          </w:tcPr>
          <w:p w:rsidR="00605D8D" w:rsidRPr="00F250E1" w:rsidRDefault="00605D8D" w:rsidP="00F93F4F">
            <w:pPr>
              <w:pStyle w:val="TableText"/>
            </w:pPr>
            <w:r w:rsidRPr="00F250E1">
              <w:t>Responsible Minister</w:t>
            </w:r>
          </w:p>
        </w:tc>
        <w:tc>
          <w:tcPr>
            <w:tcW w:w="3420" w:type="dxa"/>
          </w:tcPr>
          <w:p w:rsidR="00605D8D" w:rsidRPr="00F75B2D" w:rsidRDefault="00605D8D" w:rsidP="00F93F4F">
            <w:pPr>
              <w:pStyle w:val="TableText"/>
            </w:pPr>
            <w:r w:rsidRPr="00A86FF8">
              <w:t>Responsible Minister</w:t>
            </w:r>
            <w:r w:rsidRPr="00A86FF8">
              <w:br/>
            </w:r>
            <w:r>
              <w:t>(Sections 7 and 12E of the Act)</w:t>
            </w:r>
          </w:p>
        </w:tc>
      </w:tr>
      <w:tr w:rsidR="00605D8D" w:rsidRPr="00A86FF8" w:rsidTr="00D72695">
        <w:tc>
          <w:tcPr>
            <w:tcW w:w="1728" w:type="dxa"/>
          </w:tcPr>
          <w:p w:rsidR="00605D8D" w:rsidRPr="00A86FF8" w:rsidRDefault="00605D8D" w:rsidP="00F93F4F">
            <w:pPr>
              <w:pStyle w:val="TableTextbold"/>
            </w:pPr>
            <w:r w:rsidRPr="00A86FF8">
              <w:t>Exemptions</w:t>
            </w:r>
          </w:p>
        </w:tc>
        <w:tc>
          <w:tcPr>
            <w:tcW w:w="3420" w:type="dxa"/>
          </w:tcPr>
          <w:p w:rsidR="00605D8D" w:rsidRPr="00F250E1" w:rsidRDefault="00605D8D" w:rsidP="00F93F4F">
            <w:pPr>
              <w:pStyle w:val="TableText"/>
            </w:pPr>
            <w:r w:rsidRPr="00F250E1">
              <w:t>Exceptional circumstances only, as agreed by the Premier in consultation with responsible Minister</w:t>
            </w:r>
          </w:p>
        </w:tc>
        <w:tc>
          <w:tcPr>
            <w:tcW w:w="3420" w:type="dxa"/>
          </w:tcPr>
          <w:p w:rsidR="00605D8D" w:rsidRPr="00A86FF8" w:rsidRDefault="00605D8D" w:rsidP="00F93F4F">
            <w:pPr>
              <w:pStyle w:val="TableText"/>
            </w:pPr>
            <w:r w:rsidRPr="00A86FF8">
              <w:t>Limited</w:t>
            </w:r>
            <w:r>
              <w:t xml:space="preserve"> </w:t>
            </w:r>
            <w:r>
              <w:br/>
            </w:r>
            <w:r w:rsidRPr="00A86FF8">
              <w:t xml:space="preserve">(Sections </w:t>
            </w:r>
            <w:r w:rsidRPr="00F250E1">
              <w:t>8,</w:t>
            </w:r>
            <w:r w:rsidRPr="00A86FF8">
              <w:t xml:space="preserve"> 9, 12F and 12G of the Act)</w:t>
            </w:r>
          </w:p>
        </w:tc>
      </w:tr>
      <w:tr w:rsidR="00605D8D" w:rsidRPr="00A86FF8" w:rsidTr="00D72695">
        <w:tc>
          <w:tcPr>
            <w:tcW w:w="1728" w:type="dxa"/>
          </w:tcPr>
          <w:p w:rsidR="00605D8D" w:rsidRPr="00A86FF8" w:rsidRDefault="00605D8D" w:rsidP="00F93F4F">
            <w:pPr>
              <w:pStyle w:val="TableTextbold"/>
            </w:pPr>
            <w:r w:rsidRPr="00A86FF8">
              <w:t>Preparation</w:t>
            </w:r>
          </w:p>
        </w:tc>
        <w:tc>
          <w:tcPr>
            <w:tcW w:w="3420" w:type="dxa"/>
          </w:tcPr>
          <w:p w:rsidR="00605D8D" w:rsidRPr="00F250E1" w:rsidRDefault="00605D8D" w:rsidP="00F93F4F">
            <w:pPr>
              <w:pStyle w:val="TableText"/>
            </w:pPr>
            <w:r w:rsidRPr="00F250E1">
              <w:t>Departments/consultants</w:t>
            </w:r>
          </w:p>
        </w:tc>
        <w:tc>
          <w:tcPr>
            <w:tcW w:w="3420" w:type="dxa"/>
          </w:tcPr>
          <w:p w:rsidR="00605D8D" w:rsidRPr="00A86FF8" w:rsidRDefault="00605D8D" w:rsidP="00F93F4F">
            <w:pPr>
              <w:pStyle w:val="TableText"/>
            </w:pPr>
            <w:r w:rsidRPr="00A86FF8">
              <w:t>Departments/consultants</w:t>
            </w:r>
          </w:p>
        </w:tc>
      </w:tr>
      <w:tr w:rsidR="00605D8D" w:rsidRPr="00A86FF8" w:rsidTr="00D72695">
        <w:tc>
          <w:tcPr>
            <w:tcW w:w="1728" w:type="dxa"/>
          </w:tcPr>
          <w:p w:rsidR="00605D8D" w:rsidRPr="00A86FF8" w:rsidRDefault="00605D8D" w:rsidP="00F93F4F">
            <w:pPr>
              <w:pStyle w:val="TableTextbold"/>
              <w:rPr>
                <w:sz w:val="16"/>
              </w:rPr>
            </w:pPr>
            <w:r w:rsidRPr="00A86FF8">
              <w:t>Analysis required</w:t>
            </w:r>
          </w:p>
        </w:tc>
        <w:tc>
          <w:tcPr>
            <w:tcW w:w="3420" w:type="dxa"/>
          </w:tcPr>
          <w:p w:rsidR="00605D8D" w:rsidRPr="00F250E1" w:rsidRDefault="00605D8D" w:rsidP="00F93F4F">
            <w:pPr>
              <w:pStyle w:val="TableText"/>
            </w:pPr>
            <w:r w:rsidRPr="00F250E1">
              <w:t xml:space="preserve">Similar to RIS analysis, including explicit assessment of impact on small business </w:t>
            </w:r>
          </w:p>
          <w:p w:rsidR="00605D8D" w:rsidRPr="00F250E1" w:rsidRDefault="00605D8D" w:rsidP="00F93F4F">
            <w:pPr>
              <w:pStyle w:val="TableText"/>
            </w:pPr>
            <w:r w:rsidRPr="00F250E1">
              <w:t>See guid</w:t>
            </w:r>
            <w:r w:rsidR="00C3682F">
              <w:t>ance on proportionality in the VGR.</w:t>
            </w:r>
          </w:p>
        </w:tc>
        <w:tc>
          <w:tcPr>
            <w:tcW w:w="3420" w:type="dxa"/>
          </w:tcPr>
          <w:p w:rsidR="00605D8D" w:rsidRDefault="00605D8D" w:rsidP="00F93F4F">
            <w:pPr>
              <w:pStyle w:val="TableText"/>
            </w:pPr>
            <w:r w:rsidRPr="00A86FF8">
              <w:t xml:space="preserve">Outlined in </w:t>
            </w:r>
            <w:r w:rsidR="00D13659">
              <w:t>Section </w:t>
            </w:r>
            <w:r w:rsidRPr="00A86FF8">
              <w:t xml:space="preserve">10 of the </w:t>
            </w:r>
            <w:r w:rsidRPr="00F250E1">
              <w:rPr>
                <w:i/>
              </w:rPr>
              <w:t>Subordinate Legislation Act 1994</w:t>
            </w:r>
          </w:p>
          <w:p w:rsidR="00605D8D" w:rsidRPr="00A86FF8" w:rsidRDefault="00C3682F" w:rsidP="00C81BB6">
            <w:pPr>
              <w:pStyle w:val="TableText"/>
            </w:pPr>
            <w:r w:rsidRPr="00F250E1">
              <w:t>See guid</w:t>
            </w:r>
            <w:r>
              <w:t>ance on proportionality in the VGR.</w:t>
            </w:r>
          </w:p>
        </w:tc>
      </w:tr>
      <w:tr w:rsidR="00605D8D" w:rsidRPr="00A86FF8" w:rsidTr="00D72695">
        <w:tc>
          <w:tcPr>
            <w:tcW w:w="1728" w:type="dxa"/>
          </w:tcPr>
          <w:p w:rsidR="00605D8D" w:rsidRPr="00A86FF8" w:rsidRDefault="00605D8D" w:rsidP="00F93F4F">
            <w:pPr>
              <w:pStyle w:val="TableTextbold"/>
            </w:pPr>
            <w:r w:rsidRPr="00A86FF8">
              <w:t>Independent assessment</w:t>
            </w:r>
          </w:p>
        </w:tc>
        <w:tc>
          <w:tcPr>
            <w:tcW w:w="3420" w:type="dxa"/>
          </w:tcPr>
          <w:p w:rsidR="00605D8D" w:rsidRPr="00F250E1" w:rsidRDefault="0047354D" w:rsidP="00F93F4F">
            <w:pPr>
              <w:pStyle w:val="TableText"/>
            </w:pPr>
            <w:r>
              <w:t>Commissioner for Better Regulation</w:t>
            </w:r>
          </w:p>
        </w:tc>
        <w:tc>
          <w:tcPr>
            <w:tcW w:w="3420" w:type="dxa"/>
          </w:tcPr>
          <w:p w:rsidR="00605D8D" w:rsidRPr="00A86FF8" w:rsidRDefault="0047354D" w:rsidP="00F93F4F">
            <w:pPr>
              <w:pStyle w:val="TableText"/>
            </w:pPr>
            <w:r>
              <w:t>Commissioner for Better Regulation</w:t>
            </w:r>
          </w:p>
        </w:tc>
      </w:tr>
      <w:tr w:rsidR="00605D8D" w:rsidRPr="00A86FF8" w:rsidTr="00D72695">
        <w:tc>
          <w:tcPr>
            <w:tcW w:w="1728" w:type="dxa"/>
          </w:tcPr>
          <w:p w:rsidR="00605D8D" w:rsidRPr="00A86FF8" w:rsidRDefault="00605D8D" w:rsidP="00F93F4F">
            <w:pPr>
              <w:pStyle w:val="TableTextbold"/>
            </w:pPr>
            <w:r w:rsidRPr="00A86FF8">
              <w:t>Certification</w:t>
            </w:r>
          </w:p>
        </w:tc>
        <w:tc>
          <w:tcPr>
            <w:tcW w:w="3420" w:type="dxa"/>
          </w:tcPr>
          <w:p w:rsidR="00605D8D" w:rsidRPr="00F250E1" w:rsidRDefault="00605D8D" w:rsidP="00F93F4F">
            <w:pPr>
              <w:pStyle w:val="TableText"/>
            </w:pPr>
            <w:r w:rsidRPr="00F250E1">
              <w:t xml:space="preserve">The </w:t>
            </w:r>
            <w:r w:rsidR="0047354D">
              <w:t>Commissioner</w:t>
            </w:r>
            <w:r w:rsidRPr="00F250E1">
              <w:t xml:space="preserve"> provides advice on adequacy </w:t>
            </w:r>
          </w:p>
        </w:tc>
        <w:tc>
          <w:tcPr>
            <w:tcW w:w="3420" w:type="dxa"/>
          </w:tcPr>
          <w:p w:rsidR="00605D8D" w:rsidRPr="00A86FF8" w:rsidRDefault="00605D8D" w:rsidP="00F93F4F">
            <w:pPr>
              <w:pStyle w:val="TableText"/>
            </w:pPr>
            <w:r w:rsidRPr="00A86FF8">
              <w:t xml:space="preserve">Responsible Minister certifies RIS compliance with the Act </w:t>
            </w:r>
          </w:p>
        </w:tc>
      </w:tr>
      <w:tr w:rsidR="00605D8D" w:rsidRPr="00A86FF8" w:rsidTr="00D72695">
        <w:tc>
          <w:tcPr>
            <w:tcW w:w="1728" w:type="dxa"/>
          </w:tcPr>
          <w:p w:rsidR="00605D8D" w:rsidRPr="00A86FF8" w:rsidRDefault="00605D8D" w:rsidP="00D72695">
            <w:pPr>
              <w:pStyle w:val="TableTextbold"/>
            </w:pPr>
            <w:r w:rsidRPr="00A86FF8">
              <w:t>Public release</w:t>
            </w:r>
          </w:p>
        </w:tc>
        <w:tc>
          <w:tcPr>
            <w:tcW w:w="3420" w:type="dxa"/>
          </w:tcPr>
          <w:p w:rsidR="00605D8D" w:rsidRPr="00F250E1" w:rsidRDefault="00605D8D" w:rsidP="00D72695">
            <w:pPr>
              <w:pStyle w:val="TableText"/>
            </w:pPr>
            <w:r w:rsidRPr="00F250E1">
              <w:t>With agreement of the Premier and responsible Minister</w:t>
            </w:r>
          </w:p>
        </w:tc>
        <w:tc>
          <w:tcPr>
            <w:tcW w:w="3420" w:type="dxa"/>
          </w:tcPr>
          <w:p w:rsidR="00605D8D" w:rsidRDefault="00605D8D" w:rsidP="00D72695">
            <w:pPr>
              <w:pStyle w:val="TableText"/>
            </w:pPr>
            <w:r w:rsidRPr="00A86FF8">
              <w:t>Must be publicly released for commen</w:t>
            </w:r>
            <w:r>
              <w:t>t before statutory rule or legislative instrument is made</w:t>
            </w:r>
          </w:p>
          <w:p w:rsidR="00605D8D" w:rsidRPr="00A86FF8" w:rsidRDefault="00605D8D" w:rsidP="00D72695">
            <w:pPr>
              <w:pStyle w:val="TableText"/>
            </w:pPr>
            <w:r w:rsidRPr="00A86FF8">
              <w:t>(Section</w:t>
            </w:r>
            <w:r>
              <w:t>s</w:t>
            </w:r>
            <w:r w:rsidRPr="00A86FF8">
              <w:t xml:space="preserve"> 11</w:t>
            </w:r>
            <w:r>
              <w:t xml:space="preserve"> and 12I</w:t>
            </w:r>
            <w:r w:rsidRPr="00A86FF8">
              <w:t xml:space="preserve"> of the Act) </w:t>
            </w:r>
          </w:p>
        </w:tc>
      </w:tr>
      <w:tr w:rsidR="00605D8D" w:rsidRPr="00A86FF8" w:rsidTr="00D72695">
        <w:tc>
          <w:tcPr>
            <w:tcW w:w="1728" w:type="dxa"/>
          </w:tcPr>
          <w:p w:rsidR="00605D8D" w:rsidRPr="00A86FF8" w:rsidRDefault="00605D8D" w:rsidP="00D72695">
            <w:pPr>
              <w:pStyle w:val="TableTextbold"/>
            </w:pPr>
            <w:r w:rsidRPr="00A86FF8">
              <w:t>Reporting</w:t>
            </w:r>
          </w:p>
        </w:tc>
        <w:tc>
          <w:tcPr>
            <w:tcW w:w="3420" w:type="dxa"/>
          </w:tcPr>
          <w:p w:rsidR="00605D8D" w:rsidRPr="00F250E1" w:rsidRDefault="00605D8D" w:rsidP="00D72695">
            <w:pPr>
              <w:pStyle w:val="TableText"/>
            </w:pPr>
            <w:r w:rsidRPr="00F250E1">
              <w:t xml:space="preserve">The </w:t>
            </w:r>
            <w:r w:rsidR="0047354D">
              <w:t>Commissioner</w:t>
            </w:r>
            <w:r w:rsidRPr="00F250E1">
              <w:t xml:space="preserve"> reports annually </w:t>
            </w:r>
            <w:r w:rsidR="0047354D">
              <w:t xml:space="preserve">to the Treasurer </w:t>
            </w:r>
            <w:r w:rsidRPr="00F250E1">
              <w:t>on compliance with published policies applying to LIAs</w:t>
            </w:r>
          </w:p>
        </w:tc>
        <w:tc>
          <w:tcPr>
            <w:tcW w:w="3420" w:type="dxa"/>
          </w:tcPr>
          <w:p w:rsidR="00605D8D" w:rsidRPr="00A86FF8" w:rsidRDefault="00605D8D" w:rsidP="0047354D">
            <w:pPr>
              <w:pStyle w:val="TableText"/>
            </w:pPr>
            <w:r w:rsidRPr="00A86FF8">
              <w:t xml:space="preserve">The </w:t>
            </w:r>
            <w:r w:rsidR="00C357A0">
              <w:t>Commis</w:t>
            </w:r>
            <w:r w:rsidR="0047354D">
              <w:t>s</w:t>
            </w:r>
            <w:r w:rsidR="00C357A0">
              <w:t>i</w:t>
            </w:r>
            <w:r w:rsidR="0047354D">
              <w:t>oner</w:t>
            </w:r>
            <w:r w:rsidRPr="00A86FF8">
              <w:t xml:space="preserve"> reports annually </w:t>
            </w:r>
            <w:r w:rsidR="0047354D">
              <w:t xml:space="preserve">to the Treasurer </w:t>
            </w:r>
            <w:r w:rsidRPr="00A86FF8">
              <w:t xml:space="preserve">on compliance with published policies applying to RISs </w:t>
            </w:r>
          </w:p>
        </w:tc>
      </w:tr>
      <w:tr w:rsidR="00605D8D" w:rsidRPr="00A86FF8" w:rsidTr="00D72695">
        <w:tc>
          <w:tcPr>
            <w:tcW w:w="1728" w:type="dxa"/>
          </w:tcPr>
          <w:p w:rsidR="00605D8D" w:rsidRPr="00A86FF8" w:rsidRDefault="00605D8D" w:rsidP="00D72695">
            <w:pPr>
              <w:pStyle w:val="TableTextbold"/>
            </w:pPr>
            <w:r w:rsidRPr="00A86FF8">
              <w:t>Scrutiny</w:t>
            </w:r>
          </w:p>
        </w:tc>
        <w:tc>
          <w:tcPr>
            <w:tcW w:w="3420" w:type="dxa"/>
          </w:tcPr>
          <w:p w:rsidR="00605D8D" w:rsidRPr="00F250E1" w:rsidRDefault="00605D8D" w:rsidP="00D72695">
            <w:pPr>
              <w:pStyle w:val="TableText"/>
            </w:pPr>
            <w:r w:rsidRPr="00F250E1">
              <w:t>LIAs are used as a tool to inform government decision</w:t>
            </w:r>
            <w:r w:rsidRPr="00F250E1">
              <w:noBreakHyphen/>
              <w:t>making. The primary legislation to which the LIA relates is fully debated in Parliament.</w:t>
            </w:r>
          </w:p>
        </w:tc>
        <w:tc>
          <w:tcPr>
            <w:tcW w:w="3420" w:type="dxa"/>
          </w:tcPr>
          <w:p w:rsidR="00605D8D" w:rsidRPr="00A86FF8" w:rsidRDefault="00605D8D" w:rsidP="0047354D">
            <w:pPr>
              <w:pStyle w:val="TableText"/>
            </w:pPr>
            <w:r w:rsidRPr="00A86FF8">
              <w:t>Scrutiny of Acts and Regulations Committee is supplied with copies of the RIS</w:t>
            </w:r>
            <w:r>
              <w:t xml:space="preserve"> and </w:t>
            </w:r>
            <w:r w:rsidR="0047354D">
              <w:t xml:space="preserve">Commissioner’s </w:t>
            </w:r>
            <w:r>
              <w:t>assessment letter</w:t>
            </w:r>
            <w:r w:rsidRPr="00A86FF8">
              <w:t>, the statutory rule</w:t>
            </w:r>
            <w:r>
              <w:t xml:space="preserve"> or legislative instrument</w:t>
            </w:r>
            <w:r w:rsidRPr="00A86FF8">
              <w:t xml:space="preserve">, all public submissions, and </w:t>
            </w:r>
            <w:r>
              <w:t xml:space="preserve">the </w:t>
            </w:r>
            <w:r w:rsidRPr="00A86FF8">
              <w:t>departmental response to main issues raised in public submissions</w:t>
            </w:r>
          </w:p>
        </w:tc>
      </w:tr>
    </w:tbl>
    <w:p w:rsidR="00E479B7" w:rsidRPr="004A6D6C" w:rsidRDefault="00E479B7" w:rsidP="00A516C8">
      <w:pPr>
        <w:spacing w:before="0" w:after="0"/>
        <w:ind w:left="0"/>
        <w:rPr>
          <w:color w:val="4D4D4D"/>
          <w:sz w:val="24"/>
          <w:szCs w:val="24"/>
          <w:lang w:eastAsia="en-US"/>
        </w:rPr>
      </w:pPr>
    </w:p>
    <w:p w:rsidR="00E479B7" w:rsidRPr="00B40862" w:rsidRDefault="00E807BB" w:rsidP="00E479B7">
      <w:pPr>
        <w:pStyle w:val="Heading2"/>
        <w:rPr>
          <w:b/>
          <w:bCs/>
          <w:color w:val="004EA8"/>
          <w:sz w:val="26"/>
          <w:szCs w:val="26"/>
        </w:rPr>
      </w:pPr>
      <w:bookmarkStart w:id="36" w:name="_Toc397608128"/>
      <w:r w:rsidRPr="00B40862">
        <w:rPr>
          <w:b/>
          <w:color w:val="004EA8"/>
          <w:sz w:val="26"/>
          <w:szCs w:val="26"/>
        </w:rPr>
        <w:t xml:space="preserve">What constitutes </w:t>
      </w:r>
      <w:r w:rsidR="00C3682F" w:rsidRPr="00B40862">
        <w:rPr>
          <w:b/>
          <w:color w:val="004EA8"/>
          <w:sz w:val="26"/>
          <w:szCs w:val="26"/>
        </w:rPr>
        <w:t xml:space="preserve">a </w:t>
      </w:r>
      <w:r w:rsidRPr="00B40862">
        <w:rPr>
          <w:b/>
          <w:color w:val="004EA8"/>
          <w:sz w:val="26"/>
          <w:szCs w:val="26"/>
        </w:rPr>
        <w:t>‘significant burden’?</w:t>
      </w:r>
      <w:bookmarkEnd w:id="36"/>
    </w:p>
    <w:p w:rsidR="00560D9F" w:rsidRPr="00166553" w:rsidRDefault="00560D9F" w:rsidP="00560D9F">
      <w:pPr>
        <w:pStyle w:val="Heading3NoNum"/>
        <w:rPr>
          <w:color w:val="auto"/>
          <w:sz w:val="22"/>
        </w:rPr>
      </w:pPr>
      <w:r w:rsidRPr="00166553">
        <w:rPr>
          <w:color w:val="auto"/>
          <w:sz w:val="22"/>
        </w:rPr>
        <w:t>What constitutes ‘a significant economic or social burden</w:t>
      </w:r>
      <w:r w:rsidR="00EA26E0" w:rsidRPr="00166553">
        <w:rPr>
          <w:color w:val="auto"/>
          <w:sz w:val="22"/>
        </w:rPr>
        <w:t>’</w:t>
      </w:r>
      <w:r w:rsidRPr="00166553">
        <w:rPr>
          <w:color w:val="auto"/>
          <w:sz w:val="22"/>
        </w:rPr>
        <w:t xml:space="preserve">? </w:t>
      </w:r>
    </w:p>
    <w:p w:rsidR="00560D9F" w:rsidRPr="00166553" w:rsidRDefault="00560D9F" w:rsidP="00560D9F">
      <w:pPr>
        <w:rPr>
          <w:sz w:val="20"/>
          <w:szCs w:val="20"/>
        </w:rPr>
      </w:pPr>
      <w:r w:rsidRPr="00166553">
        <w:rPr>
          <w:sz w:val="20"/>
          <w:szCs w:val="20"/>
        </w:rPr>
        <w:t xml:space="preserve">The test as to what constitutes ‘a significant economic or social burden’ is not defined prescriptively; rather, it is a matter for judgement. Nevertheless, the guidelines for RISs (which have the same burden threshold as LIAs) produced under section 26 of the SLA (the SLA Guidelines) provide some assistance with this determination. </w:t>
      </w:r>
      <w:r w:rsidR="00B55850" w:rsidRPr="00C81BB6">
        <w:rPr>
          <w:sz w:val="20"/>
          <w:szCs w:val="20"/>
        </w:rPr>
        <w:t>(The guidance below should be read in conjunction with the SLA Guidelines</w:t>
      </w:r>
      <w:r w:rsidR="000633FD" w:rsidRPr="00C81BB6">
        <w:rPr>
          <w:sz w:val="20"/>
          <w:szCs w:val="20"/>
        </w:rPr>
        <w:t xml:space="preserve"> available at www.betterregulation.vic.gov.au.</w:t>
      </w:r>
      <w:r w:rsidR="00B55850" w:rsidRPr="00C81BB6">
        <w:rPr>
          <w:sz w:val="20"/>
          <w:szCs w:val="20"/>
        </w:rPr>
        <w:t>)</w:t>
      </w:r>
    </w:p>
    <w:p w:rsidR="00560D9F" w:rsidRPr="00166553" w:rsidRDefault="00560D9F" w:rsidP="00560D9F">
      <w:pPr>
        <w:rPr>
          <w:sz w:val="20"/>
          <w:szCs w:val="20"/>
        </w:rPr>
      </w:pPr>
      <w:r w:rsidRPr="00166553">
        <w:rPr>
          <w:sz w:val="20"/>
          <w:szCs w:val="20"/>
        </w:rPr>
        <w:t>In order to assist judgements of ‘significant burden’ the SLA Guidelines advise that:</w:t>
      </w:r>
    </w:p>
    <w:p w:rsidR="00560D9F" w:rsidRPr="00166553" w:rsidRDefault="00560D9F" w:rsidP="00560D9F">
      <w:pPr>
        <w:pStyle w:val="Bullet1"/>
        <w:rPr>
          <w:sz w:val="20"/>
          <w:szCs w:val="20"/>
        </w:rPr>
      </w:pPr>
      <w:r w:rsidRPr="00166553">
        <w:rPr>
          <w:sz w:val="20"/>
          <w:szCs w:val="20"/>
        </w:rPr>
        <w:t>all potential impacts must be assessed, regardless of how readily quantifiable those impacts are, with scope for analysis to include both quantitative and qualitative dimensions [</w:t>
      </w:r>
      <w:r w:rsidR="00B55850">
        <w:rPr>
          <w:sz w:val="20"/>
          <w:szCs w:val="20"/>
        </w:rPr>
        <w:t>SLA Guidelines</w:t>
      </w:r>
      <w:r w:rsidRPr="00166553">
        <w:rPr>
          <w:sz w:val="20"/>
          <w:szCs w:val="20"/>
        </w:rPr>
        <w:t>, paras 224-225</w:t>
      </w:r>
      <w:r w:rsidR="00B55850">
        <w:rPr>
          <w:sz w:val="20"/>
          <w:szCs w:val="20"/>
        </w:rPr>
        <w:t xml:space="preserve"> and 229</w:t>
      </w:r>
      <w:r w:rsidRPr="00166553">
        <w:rPr>
          <w:sz w:val="20"/>
          <w:szCs w:val="20"/>
        </w:rPr>
        <w:t xml:space="preserve">]; </w:t>
      </w:r>
    </w:p>
    <w:p w:rsidR="00560D9F" w:rsidRPr="00166553" w:rsidRDefault="00560D9F" w:rsidP="00560D9F">
      <w:pPr>
        <w:pStyle w:val="Bullet1"/>
        <w:rPr>
          <w:sz w:val="20"/>
          <w:szCs w:val="20"/>
        </w:rPr>
      </w:pPr>
      <w:r w:rsidRPr="00166553">
        <w:rPr>
          <w:sz w:val="20"/>
          <w:szCs w:val="20"/>
        </w:rPr>
        <w:t>in general, any quantifiable cost (this refers to gross costs, not net costs) greater than $2 million per year</w:t>
      </w:r>
      <w:r w:rsidRPr="00166553">
        <w:rPr>
          <w:rStyle w:val="FootnoteReference"/>
          <w:sz w:val="20"/>
          <w:szCs w:val="20"/>
        </w:rPr>
        <w:footnoteReference w:id="4"/>
      </w:r>
      <w:r w:rsidRPr="00166553">
        <w:rPr>
          <w:sz w:val="20"/>
          <w:szCs w:val="20"/>
        </w:rPr>
        <w:t>, compared to the relevant base case, is considered to be a significant burden [</w:t>
      </w:r>
      <w:r w:rsidR="00B55850">
        <w:rPr>
          <w:sz w:val="20"/>
          <w:szCs w:val="20"/>
        </w:rPr>
        <w:t>SLA Guidelines</w:t>
      </w:r>
      <w:r w:rsidRPr="00166553">
        <w:rPr>
          <w:sz w:val="20"/>
          <w:szCs w:val="20"/>
        </w:rPr>
        <w:t>, para</w:t>
      </w:r>
      <w:r w:rsidR="00B55850">
        <w:rPr>
          <w:sz w:val="20"/>
          <w:szCs w:val="20"/>
        </w:rPr>
        <w:t>s 227-</w:t>
      </w:r>
      <w:r w:rsidRPr="00166553">
        <w:rPr>
          <w:sz w:val="20"/>
          <w:szCs w:val="20"/>
        </w:rPr>
        <w:t>228]; and</w:t>
      </w:r>
    </w:p>
    <w:p w:rsidR="00560D9F" w:rsidRPr="00166553" w:rsidRDefault="00560D9F" w:rsidP="00560D9F">
      <w:pPr>
        <w:pStyle w:val="Bullet1"/>
        <w:rPr>
          <w:sz w:val="20"/>
          <w:szCs w:val="20"/>
        </w:rPr>
      </w:pPr>
      <w:r w:rsidRPr="00166553">
        <w:rPr>
          <w:sz w:val="20"/>
          <w:szCs w:val="20"/>
        </w:rPr>
        <w:t>in certain situations, a statutory rule or legislative instrument may impose a significant burden on a sector of the public even if it imposes quantifiable costs of less than $2 million per year – for example, if the impact is concentrated on a particular group, region or industry [</w:t>
      </w:r>
      <w:r w:rsidR="00B55850">
        <w:rPr>
          <w:sz w:val="20"/>
          <w:szCs w:val="20"/>
        </w:rPr>
        <w:t>SLA Guidelines</w:t>
      </w:r>
      <w:r w:rsidRPr="00166553">
        <w:rPr>
          <w:sz w:val="20"/>
          <w:szCs w:val="20"/>
        </w:rPr>
        <w:t>, para 22</w:t>
      </w:r>
      <w:r w:rsidR="00B55850">
        <w:rPr>
          <w:sz w:val="20"/>
          <w:szCs w:val="20"/>
        </w:rPr>
        <w:t>8</w:t>
      </w:r>
      <w:r w:rsidRPr="00166553">
        <w:rPr>
          <w:sz w:val="20"/>
          <w:szCs w:val="20"/>
        </w:rPr>
        <w:t>].</w:t>
      </w:r>
    </w:p>
    <w:p w:rsidR="00560D9F" w:rsidRPr="00166553" w:rsidRDefault="00560D9F" w:rsidP="00560D9F">
      <w:pPr>
        <w:rPr>
          <w:sz w:val="20"/>
          <w:szCs w:val="20"/>
        </w:rPr>
      </w:pPr>
      <w:r w:rsidRPr="00166553">
        <w:rPr>
          <w:sz w:val="20"/>
          <w:szCs w:val="20"/>
        </w:rPr>
        <w:t xml:space="preserve">It is important to remember that an LIA or RIS has to be prepared if any one sector of the public is likely to suffer a significant cost or burden as a result of the regulatory proposal. In other words, an LIA or RIS is required if any sector suffers a significant burden, with the overall impact of on the community as a whole to be assessed later as part of the actual LIA/RIS process. </w:t>
      </w:r>
    </w:p>
    <w:p w:rsidR="00560D9F" w:rsidRPr="00166553" w:rsidRDefault="00560D9F" w:rsidP="00560D9F">
      <w:pPr>
        <w:pStyle w:val="Heading3NoNum"/>
        <w:rPr>
          <w:color w:val="auto"/>
          <w:sz w:val="22"/>
        </w:rPr>
      </w:pPr>
      <w:r w:rsidRPr="00166553">
        <w:rPr>
          <w:color w:val="auto"/>
          <w:sz w:val="22"/>
        </w:rPr>
        <w:t>Guidelines as to what constitutes a ‘significant burden’</w:t>
      </w:r>
    </w:p>
    <w:p w:rsidR="00560D9F" w:rsidRDefault="00560D9F" w:rsidP="00560D9F">
      <w:pPr>
        <w:rPr>
          <w:sz w:val="20"/>
          <w:szCs w:val="20"/>
        </w:rPr>
      </w:pPr>
      <w:r w:rsidRPr="00166553">
        <w:rPr>
          <w:sz w:val="20"/>
          <w:szCs w:val="20"/>
        </w:rPr>
        <w:t>In considering whether proposed legislation, statutory rules or legislative instruments impose a significant cost or burden on a sector of the public, consideration must be given as to:</w:t>
      </w:r>
    </w:p>
    <w:p w:rsidR="004A6D6C" w:rsidRPr="00166553" w:rsidRDefault="004A6D6C" w:rsidP="00560D9F">
      <w:pPr>
        <w:rPr>
          <w:sz w:val="20"/>
          <w:szCs w:val="20"/>
        </w:rPr>
      </w:pPr>
    </w:p>
    <w:p w:rsidR="00560D9F" w:rsidRPr="00166553" w:rsidRDefault="00560D9F" w:rsidP="00560D9F">
      <w:pPr>
        <w:pStyle w:val="Bullet1"/>
        <w:rPr>
          <w:sz w:val="20"/>
          <w:szCs w:val="20"/>
        </w:rPr>
      </w:pPr>
      <w:r w:rsidRPr="00166553">
        <w:rPr>
          <w:sz w:val="20"/>
          <w:szCs w:val="20"/>
        </w:rPr>
        <w:t xml:space="preserve">the impact of the </w:t>
      </w:r>
      <w:r w:rsidR="00EA26E0" w:rsidRPr="00166553">
        <w:rPr>
          <w:sz w:val="20"/>
          <w:szCs w:val="20"/>
        </w:rPr>
        <w:t xml:space="preserve">regulatory </w:t>
      </w:r>
      <w:r w:rsidRPr="00166553">
        <w:rPr>
          <w:sz w:val="20"/>
          <w:szCs w:val="20"/>
        </w:rPr>
        <w:t>proposal relative to the base case, which for example:</w:t>
      </w:r>
    </w:p>
    <w:p w:rsidR="00560D9F" w:rsidRPr="00166553" w:rsidRDefault="00560D9F" w:rsidP="00560D9F">
      <w:pPr>
        <w:pStyle w:val="Bullet2"/>
        <w:rPr>
          <w:sz w:val="20"/>
          <w:szCs w:val="20"/>
        </w:rPr>
      </w:pPr>
      <w:r w:rsidRPr="00166553">
        <w:rPr>
          <w:sz w:val="20"/>
          <w:szCs w:val="20"/>
        </w:rPr>
        <w:t>in the case of new legislation means the impact if the legislation was not passed;</w:t>
      </w:r>
    </w:p>
    <w:p w:rsidR="00560D9F" w:rsidRPr="00166553" w:rsidRDefault="00560D9F" w:rsidP="00560D9F">
      <w:pPr>
        <w:pStyle w:val="Bullet2"/>
        <w:rPr>
          <w:sz w:val="20"/>
          <w:szCs w:val="20"/>
        </w:rPr>
      </w:pPr>
      <w:r w:rsidRPr="00166553">
        <w:rPr>
          <w:sz w:val="20"/>
          <w:szCs w:val="20"/>
        </w:rPr>
        <w:t>in the case of a new or re-made rule or instrument</w:t>
      </w:r>
      <w:r w:rsidR="00EA26E0" w:rsidRPr="00166553">
        <w:rPr>
          <w:sz w:val="20"/>
          <w:szCs w:val="20"/>
        </w:rPr>
        <w:t xml:space="preserve"> means the impact if the rule or instrument were not made;</w:t>
      </w:r>
      <w:r w:rsidRPr="00166553">
        <w:rPr>
          <w:sz w:val="20"/>
          <w:szCs w:val="20"/>
        </w:rPr>
        <w:t xml:space="preserve"> </w:t>
      </w:r>
    </w:p>
    <w:p w:rsidR="00560D9F" w:rsidRPr="00166553" w:rsidRDefault="00560D9F" w:rsidP="00560D9F">
      <w:pPr>
        <w:pStyle w:val="Bullet2"/>
        <w:rPr>
          <w:sz w:val="20"/>
          <w:szCs w:val="20"/>
        </w:rPr>
      </w:pPr>
      <w:r w:rsidRPr="00166553">
        <w:rPr>
          <w:rFonts w:ascii="Arial" w:hAnsi="Arial" w:cs="Arial"/>
          <w:sz w:val="20"/>
          <w:szCs w:val="20"/>
        </w:rPr>
        <w:t>i</w:t>
      </w:r>
      <w:r w:rsidRPr="00166553">
        <w:rPr>
          <w:sz w:val="20"/>
          <w:szCs w:val="20"/>
        </w:rPr>
        <w:t>n the case of amended legislation means the impact of the existing legislation;</w:t>
      </w:r>
      <w:r w:rsidR="00EA26E0" w:rsidRPr="00166553">
        <w:rPr>
          <w:sz w:val="20"/>
          <w:szCs w:val="20"/>
        </w:rPr>
        <w:t xml:space="preserve"> and</w:t>
      </w:r>
    </w:p>
    <w:p w:rsidR="00EA26E0" w:rsidRPr="00166553" w:rsidRDefault="00EA26E0" w:rsidP="00560D9F">
      <w:pPr>
        <w:pStyle w:val="Bullet2"/>
        <w:rPr>
          <w:sz w:val="20"/>
          <w:szCs w:val="20"/>
        </w:rPr>
      </w:pPr>
      <w:r w:rsidRPr="00166553">
        <w:rPr>
          <w:sz w:val="20"/>
          <w:szCs w:val="20"/>
        </w:rPr>
        <w:t>in the case of an amended rule or instrument means the impact of the existing (unamended) rule or instrument;</w:t>
      </w:r>
    </w:p>
    <w:p w:rsidR="00560D9F" w:rsidRPr="00166553" w:rsidRDefault="00560D9F" w:rsidP="00560D9F">
      <w:pPr>
        <w:pStyle w:val="Bullet1"/>
        <w:rPr>
          <w:sz w:val="20"/>
          <w:szCs w:val="20"/>
        </w:rPr>
      </w:pPr>
      <w:proofErr w:type="gramStart"/>
      <w:r w:rsidRPr="00166553">
        <w:rPr>
          <w:sz w:val="20"/>
          <w:szCs w:val="20"/>
        </w:rPr>
        <w:t>whether</w:t>
      </w:r>
      <w:proofErr w:type="gramEnd"/>
      <w:r w:rsidRPr="00166553">
        <w:rPr>
          <w:sz w:val="20"/>
          <w:szCs w:val="20"/>
        </w:rPr>
        <w:t xml:space="preserve"> the </w:t>
      </w:r>
      <w:r w:rsidR="00EA26E0" w:rsidRPr="00166553">
        <w:rPr>
          <w:sz w:val="20"/>
          <w:szCs w:val="20"/>
        </w:rPr>
        <w:t>regulatory proposal</w:t>
      </w:r>
      <w:r w:rsidRPr="00166553">
        <w:rPr>
          <w:sz w:val="20"/>
          <w:szCs w:val="20"/>
        </w:rPr>
        <w:t xml:space="preserve"> has the requisite impact on a ‘sector of the public’. The </w:t>
      </w:r>
      <w:r w:rsidR="00EA26E0" w:rsidRPr="00166553">
        <w:rPr>
          <w:sz w:val="20"/>
          <w:szCs w:val="20"/>
        </w:rPr>
        <w:t>regulatory proposal</w:t>
      </w:r>
      <w:r w:rsidRPr="00166553">
        <w:rPr>
          <w:sz w:val="20"/>
          <w:szCs w:val="20"/>
        </w:rPr>
        <w:t xml:space="preserve"> must have an impact on the whole community or on groups of people within the community, although the question of how many people constitute a ‘sector’ of the public is a matter of judgement; and</w:t>
      </w:r>
    </w:p>
    <w:p w:rsidR="00560D9F" w:rsidRPr="00166553" w:rsidRDefault="00560D9F" w:rsidP="00560D9F">
      <w:pPr>
        <w:pStyle w:val="Bullet1"/>
        <w:rPr>
          <w:sz w:val="20"/>
          <w:szCs w:val="20"/>
        </w:rPr>
      </w:pPr>
      <w:proofErr w:type="gramStart"/>
      <w:r w:rsidRPr="00166553">
        <w:rPr>
          <w:sz w:val="20"/>
          <w:szCs w:val="20"/>
        </w:rPr>
        <w:t>whether</w:t>
      </w:r>
      <w:proofErr w:type="gramEnd"/>
      <w:r w:rsidRPr="00166553">
        <w:rPr>
          <w:sz w:val="20"/>
          <w:szCs w:val="20"/>
        </w:rPr>
        <w:t xml:space="preserve"> the </w:t>
      </w:r>
      <w:r w:rsidR="00EA26E0" w:rsidRPr="00166553">
        <w:rPr>
          <w:sz w:val="20"/>
          <w:szCs w:val="20"/>
        </w:rPr>
        <w:t>regulatory proposal</w:t>
      </w:r>
      <w:r w:rsidRPr="00166553">
        <w:rPr>
          <w:sz w:val="20"/>
          <w:szCs w:val="20"/>
        </w:rPr>
        <w:t xml:space="preserve"> imposes a significant cost or burden on that sector of the public.</w:t>
      </w:r>
    </w:p>
    <w:p w:rsidR="00560D9F" w:rsidRPr="00166553" w:rsidRDefault="00560D9F" w:rsidP="00560D9F">
      <w:pPr>
        <w:rPr>
          <w:sz w:val="20"/>
          <w:szCs w:val="20"/>
        </w:rPr>
      </w:pPr>
      <w:r w:rsidRPr="00166553">
        <w:rPr>
          <w:sz w:val="20"/>
          <w:szCs w:val="20"/>
        </w:rPr>
        <w:t xml:space="preserve">The burden needs to be something of consequence and more than just theoretical. There must be an actual impact. </w:t>
      </w:r>
      <w:proofErr w:type="gramStart"/>
      <w:r w:rsidRPr="00166553">
        <w:rPr>
          <w:sz w:val="20"/>
          <w:szCs w:val="20"/>
        </w:rPr>
        <w:t>A burden that is very minor, inconsequential or of little importance will not be a significant burden</w:t>
      </w:r>
      <w:r w:rsidR="00B55850">
        <w:rPr>
          <w:sz w:val="20"/>
          <w:szCs w:val="20"/>
        </w:rPr>
        <w:t xml:space="preserve"> (SLA Guidelines, para 220)</w:t>
      </w:r>
      <w:r w:rsidRPr="00166553">
        <w:rPr>
          <w:sz w:val="20"/>
          <w:szCs w:val="20"/>
        </w:rPr>
        <w:t>.</w:t>
      </w:r>
      <w:proofErr w:type="gramEnd"/>
    </w:p>
    <w:p w:rsidR="00560D9F" w:rsidRPr="00166553" w:rsidRDefault="00560D9F" w:rsidP="00560D9F">
      <w:pPr>
        <w:rPr>
          <w:sz w:val="20"/>
          <w:szCs w:val="20"/>
        </w:rPr>
      </w:pPr>
      <w:r w:rsidRPr="00166553">
        <w:rPr>
          <w:sz w:val="20"/>
          <w:szCs w:val="20"/>
        </w:rPr>
        <w:t xml:space="preserve">In considering whether </w:t>
      </w:r>
      <w:r w:rsidR="00EA26E0" w:rsidRPr="00166553">
        <w:rPr>
          <w:sz w:val="20"/>
          <w:szCs w:val="20"/>
        </w:rPr>
        <w:t>a regulatory proposal</w:t>
      </w:r>
      <w:r w:rsidRPr="00166553">
        <w:rPr>
          <w:sz w:val="20"/>
          <w:szCs w:val="20"/>
        </w:rPr>
        <w:t xml:space="preserve"> will impose a significant burden or cost, the questions that must be considered include:</w:t>
      </w:r>
    </w:p>
    <w:p w:rsidR="00560D9F" w:rsidRPr="00166553" w:rsidRDefault="00560D9F" w:rsidP="00560D9F">
      <w:pPr>
        <w:pStyle w:val="Bullet1"/>
        <w:rPr>
          <w:sz w:val="20"/>
          <w:szCs w:val="20"/>
        </w:rPr>
      </w:pPr>
      <w:r w:rsidRPr="00166553">
        <w:rPr>
          <w:sz w:val="20"/>
          <w:szCs w:val="20"/>
        </w:rPr>
        <w:t>Does it impose a measurable cost impact on any sector of the public of greater than $2 million per year, or impose other significant but non</w:t>
      </w:r>
      <w:r w:rsidRPr="00166553">
        <w:rPr>
          <w:sz w:val="20"/>
          <w:szCs w:val="20"/>
        </w:rPr>
        <w:noBreakHyphen/>
        <w:t>quantifiable costs?</w:t>
      </w:r>
    </w:p>
    <w:p w:rsidR="00560D9F" w:rsidRPr="00166553" w:rsidRDefault="00560D9F" w:rsidP="00560D9F">
      <w:pPr>
        <w:pStyle w:val="Bullet1"/>
        <w:rPr>
          <w:sz w:val="20"/>
          <w:szCs w:val="20"/>
        </w:rPr>
      </w:pPr>
      <w:r w:rsidRPr="00166553">
        <w:rPr>
          <w:sz w:val="20"/>
          <w:szCs w:val="20"/>
        </w:rPr>
        <w:t>Does it impose significant penalties for non</w:t>
      </w:r>
      <w:r w:rsidRPr="00166553">
        <w:rPr>
          <w:sz w:val="20"/>
          <w:szCs w:val="20"/>
        </w:rPr>
        <w:noBreakHyphen/>
        <w:t>compliance?</w:t>
      </w:r>
    </w:p>
    <w:p w:rsidR="00560D9F" w:rsidRPr="00166553" w:rsidRDefault="00560D9F" w:rsidP="00560D9F">
      <w:pPr>
        <w:pStyle w:val="Bullet1"/>
        <w:rPr>
          <w:sz w:val="20"/>
          <w:szCs w:val="20"/>
        </w:rPr>
      </w:pPr>
      <w:r w:rsidRPr="00166553">
        <w:rPr>
          <w:sz w:val="20"/>
          <w:szCs w:val="20"/>
        </w:rPr>
        <w:t>Does it impact on individual rights and liberties?</w:t>
      </w:r>
    </w:p>
    <w:p w:rsidR="00560D9F" w:rsidRPr="00166553" w:rsidRDefault="00560D9F" w:rsidP="00560D9F">
      <w:pPr>
        <w:pStyle w:val="Bullet1"/>
        <w:rPr>
          <w:sz w:val="20"/>
          <w:szCs w:val="20"/>
        </w:rPr>
      </w:pPr>
      <w:r w:rsidRPr="00166553">
        <w:rPr>
          <w:sz w:val="20"/>
          <w:szCs w:val="20"/>
        </w:rPr>
        <w:t>Will business, community groups or individuals have to spend funds or devote time to compliance activities, change current practices or seek external advice?</w:t>
      </w:r>
    </w:p>
    <w:p w:rsidR="00560D9F" w:rsidRPr="00166553" w:rsidRDefault="00B55850" w:rsidP="00560D9F">
      <w:pPr>
        <w:rPr>
          <w:sz w:val="20"/>
          <w:szCs w:val="20"/>
        </w:rPr>
      </w:pPr>
      <w:r w:rsidRPr="00166553">
        <w:rPr>
          <w:sz w:val="20"/>
          <w:szCs w:val="20"/>
        </w:rPr>
        <w:t>If the answers to one or more of the questions above (or other questions provided</w:t>
      </w:r>
      <w:r w:rsidR="00C81BB6">
        <w:rPr>
          <w:sz w:val="20"/>
          <w:szCs w:val="20"/>
        </w:rPr>
        <w:t xml:space="preserve"> in the</w:t>
      </w:r>
      <w:r w:rsidRPr="00166553">
        <w:rPr>
          <w:sz w:val="20"/>
          <w:szCs w:val="20"/>
        </w:rPr>
        <w:t xml:space="preserve"> </w:t>
      </w:r>
      <w:r>
        <w:rPr>
          <w:sz w:val="20"/>
          <w:szCs w:val="20"/>
        </w:rPr>
        <w:t xml:space="preserve">SLA Guidelines, para 230) </w:t>
      </w:r>
      <w:r w:rsidRPr="00166553">
        <w:rPr>
          <w:sz w:val="20"/>
          <w:szCs w:val="20"/>
        </w:rPr>
        <w:t>is ‘yes’, then the size of the burden must be considered.</w:t>
      </w:r>
    </w:p>
    <w:p w:rsidR="00560D9F" w:rsidRPr="00166553" w:rsidRDefault="00560D9F" w:rsidP="00560D9F">
      <w:pPr>
        <w:pStyle w:val="Bullet1"/>
        <w:rPr>
          <w:sz w:val="20"/>
          <w:szCs w:val="20"/>
          <w:lang w:eastAsia="en-US"/>
        </w:rPr>
      </w:pPr>
      <w:r w:rsidRPr="00166553">
        <w:rPr>
          <w:sz w:val="20"/>
          <w:szCs w:val="20"/>
        </w:rPr>
        <w:t xml:space="preserve">If a fee or charge is imposed by legislation (noting this would normally be prescribed in a rule or instrument), consideration must be given to the level of the fee, the impact it may have on an individual, community group or business. As a guide, if the cumulative impact of a new fee (including where a </w:t>
      </w:r>
      <w:proofErr w:type="spellStart"/>
      <w:r w:rsidRPr="00166553">
        <w:rPr>
          <w:sz w:val="20"/>
          <w:szCs w:val="20"/>
        </w:rPr>
        <w:t>sunsetting</w:t>
      </w:r>
      <w:proofErr w:type="spellEnd"/>
      <w:r w:rsidRPr="00166553">
        <w:rPr>
          <w:sz w:val="20"/>
          <w:szCs w:val="20"/>
        </w:rPr>
        <w:t xml:space="preserve"> regulation is remade) or fee increase is $2 million or more per year, then is likely to impose a significant burden and require a RIS</w:t>
      </w:r>
      <w:r w:rsidR="00B55850">
        <w:rPr>
          <w:sz w:val="20"/>
          <w:szCs w:val="20"/>
        </w:rPr>
        <w:t xml:space="preserve"> (SLA Guidelines, para 235)</w:t>
      </w:r>
      <w:r w:rsidRPr="00166553">
        <w:rPr>
          <w:sz w:val="20"/>
          <w:szCs w:val="20"/>
        </w:rPr>
        <w:t>.</w:t>
      </w:r>
    </w:p>
    <w:p w:rsidR="00605D8D" w:rsidRPr="00B40862" w:rsidRDefault="00605D8D" w:rsidP="00605D8D">
      <w:pPr>
        <w:pStyle w:val="Heading2"/>
        <w:rPr>
          <w:b/>
          <w:bCs/>
          <w:color w:val="004EA8"/>
          <w:sz w:val="26"/>
          <w:szCs w:val="26"/>
        </w:rPr>
      </w:pPr>
      <w:bookmarkStart w:id="37" w:name="_Toc382908237"/>
      <w:bookmarkStart w:id="38" w:name="_Toc397608129"/>
      <w:r w:rsidRPr="00B40862">
        <w:rPr>
          <w:b/>
          <w:color w:val="004EA8"/>
          <w:sz w:val="26"/>
          <w:szCs w:val="26"/>
        </w:rPr>
        <w:t>Legislative impact assessments (LIAs)</w:t>
      </w:r>
      <w:bookmarkEnd w:id="37"/>
      <w:bookmarkEnd w:id="38"/>
    </w:p>
    <w:p w:rsidR="00605D8D" w:rsidRPr="004A6D6C" w:rsidRDefault="00605D8D" w:rsidP="00605D8D">
      <w:pPr>
        <w:rPr>
          <w:sz w:val="20"/>
          <w:szCs w:val="20"/>
          <w:lang w:eastAsia="en-US"/>
        </w:rPr>
      </w:pPr>
      <w:r w:rsidRPr="004A6D6C">
        <w:rPr>
          <w:sz w:val="20"/>
          <w:szCs w:val="20"/>
          <w:lang w:eastAsia="en-US"/>
        </w:rPr>
        <w:t xml:space="preserve">This </w:t>
      </w:r>
      <w:r w:rsidR="00D13659" w:rsidRPr="004A6D6C">
        <w:rPr>
          <w:sz w:val="20"/>
          <w:szCs w:val="20"/>
          <w:lang w:eastAsia="en-US"/>
        </w:rPr>
        <w:t>section </w:t>
      </w:r>
      <w:r w:rsidRPr="004A6D6C">
        <w:rPr>
          <w:sz w:val="20"/>
          <w:szCs w:val="20"/>
          <w:lang w:eastAsia="en-US"/>
        </w:rPr>
        <w:t xml:space="preserve">discusses the various elements of the LIA process. </w:t>
      </w:r>
      <w:r w:rsidR="00EA26E0" w:rsidRPr="004A6D6C">
        <w:rPr>
          <w:sz w:val="20"/>
          <w:szCs w:val="20"/>
          <w:lang w:eastAsia="en-US"/>
        </w:rPr>
        <w:t>It includes</w:t>
      </w:r>
      <w:r w:rsidRPr="004A6D6C">
        <w:rPr>
          <w:sz w:val="20"/>
          <w:szCs w:val="20"/>
          <w:lang w:eastAsia="en-US"/>
        </w:rPr>
        <w:t>:</w:t>
      </w:r>
    </w:p>
    <w:tbl>
      <w:tblPr>
        <w:tblW w:w="8568" w:type="dxa"/>
        <w:tblInd w:w="835" w:type="dxa"/>
        <w:tblBorders>
          <w:top w:val="single" w:sz="6" w:space="0" w:color="auto"/>
          <w:bottom w:val="single" w:sz="6" w:space="0" w:color="auto"/>
          <w:insideH w:val="single" w:sz="6" w:space="0" w:color="auto"/>
        </w:tblBorders>
        <w:tblCellMar>
          <w:left w:w="72" w:type="dxa"/>
          <w:right w:w="72" w:type="dxa"/>
        </w:tblCellMar>
        <w:tblLook w:val="0000" w:firstRow="0" w:lastRow="0" w:firstColumn="0" w:lastColumn="0" w:noHBand="0" w:noVBand="0"/>
      </w:tblPr>
      <w:tblGrid>
        <w:gridCol w:w="2837"/>
        <w:gridCol w:w="4230"/>
        <w:gridCol w:w="1501"/>
      </w:tblGrid>
      <w:tr w:rsidR="00736634" w:rsidRPr="00166553" w:rsidTr="00F93F4F">
        <w:tc>
          <w:tcPr>
            <w:tcW w:w="2837" w:type="dxa"/>
            <w:shd w:val="clear" w:color="auto" w:fill="009CA6"/>
          </w:tcPr>
          <w:p w:rsidR="00736634" w:rsidRPr="00F93F4F" w:rsidRDefault="00736634" w:rsidP="00811FDD">
            <w:pPr>
              <w:pStyle w:val="TableHeader"/>
              <w:rPr>
                <w:b/>
                <w:color w:val="FFFFFF" w:themeColor="background1"/>
                <w:sz w:val="20"/>
                <w:szCs w:val="20"/>
              </w:rPr>
            </w:pPr>
            <w:r w:rsidRPr="00F93F4F">
              <w:rPr>
                <w:b/>
                <w:color w:val="FFFFFF" w:themeColor="background1"/>
                <w:sz w:val="20"/>
                <w:szCs w:val="20"/>
              </w:rPr>
              <w:t>Discussion item</w:t>
            </w:r>
          </w:p>
        </w:tc>
        <w:tc>
          <w:tcPr>
            <w:tcW w:w="4230" w:type="dxa"/>
            <w:shd w:val="clear" w:color="auto" w:fill="009CA6"/>
          </w:tcPr>
          <w:p w:rsidR="00736634" w:rsidRPr="00F93F4F" w:rsidRDefault="00736634" w:rsidP="00811FDD">
            <w:pPr>
              <w:pStyle w:val="TableHeader"/>
              <w:rPr>
                <w:b/>
                <w:color w:val="FFFFFF" w:themeColor="background1"/>
                <w:sz w:val="20"/>
                <w:szCs w:val="20"/>
              </w:rPr>
            </w:pPr>
            <w:r w:rsidRPr="00F93F4F">
              <w:rPr>
                <w:b/>
                <w:color w:val="FFFFFF" w:themeColor="background1"/>
                <w:sz w:val="20"/>
                <w:szCs w:val="20"/>
              </w:rPr>
              <w:t>What is covered?</w:t>
            </w:r>
          </w:p>
        </w:tc>
        <w:tc>
          <w:tcPr>
            <w:tcW w:w="1501" w:type="dxa"/>
            <w:shd w:val="clear" w:color="auto" w:fill="009CA6"/>
          </w:tcPr>
          <w:p w:rsidR="00736634" w:rsidRPr="00F93F4F" w:rsidRDefault="00736634" w:rsidP="00811FDD">
            <w:pPr>
              <w:pStyle w:val="TableHeader"/>
              <w:rPr>
                <w:b/>
                <w:color w:val="FFFFFF" w:themeColor="background1"/>
                <w:sz w:val="20"/>
                <w:szCs w:val="20"/>
              </w:rPr>
            </w:pPr>
            <w:r w:rsidRPr="00F93F4F">
              <w:rPr>
                <w:b/>
                <w:color w:val="FFFFFF" w:themeColor="background1"/>
                <w:sz w:val="20"/>
                <w:szCs w:val="20"/>
              </w:rPr>
              <w:t>Refer to</w:t>
            </w:r>
          </w:p>
        </w:tc>
      </w:tr>
      <w:tr w:rsidR="00736634" w:rsidRPr="00166553" w:rsidTr="008B6331">
        <w:tc>
          <w:tcPr>
            <w:tcW w:w="2837" w:type="dxa"/>
          </w:tcPr>
          <w:p w:rsidR="00736634" w:rsidRPr="00166553" w:rsidRDefault="00736634" w:rsidP="002019C2">
            <w:pPr>
              <w:pStyle w:val="TableTextbold"/>
              <w:rPr>
                <w:szCs w:val="20"/>
              </w:rPr>
            </w:pPr>
            <w:r w:rsidRPr="00166553">
              <w:rPr>
                <w:szCs w:val="20"/>
              </w:rPr>
              <w:t xml:space="preserve">What is the purpose of the </w:t>
            </w:r>
            <w:r w:rsidR="002019C2" w:rsidRPr="00166553">
              <w:rPr>
                <w:szCs w:val="20"/>
              </w:rPr>
              <w:t>LIA</w:t>
            </w:r>
            <w:r w:rsidRPr="00166553">
              <w:rPr>
                <w:szCs w:val="20"/>
              </w:rPr>
              <w:t xml:space="preserve"> process? </w:t>
            </w:r>
          </w:p>
        </w:tc>
        <w:tc>
          <w:tcPr>
            <w:tcW w:w="4230" w:type="dxa"/>
          </w:tcPr>
          <w:p w:rsidR="00736634" w:rsidRPr="00166553" w:rsidRDefault="00736634" w:rsidP="002019C2">
            <w:pPr>
              <w:pStyle w:val="TableBullet"/>
              <w:rPr>
                <w:szCs w:val="20"/>
              </w:rPr>
            </w:pPr>
            <w:r w:rsidRPr="00166553">
              <w:rPr>
                <w:szCs w:val="20"/>
              </w:rPr>
              <w:t xml:space="preserve">The role of the </w:t>
            </w:r>
            <w:r w:rsidR="002019C2" w:rsidRPr="00166553">
              <w:rPr>
                <w:szCs w:val="20"/>
              </w:rPr>
              <w:t>LIA process in scrutinising primary legislative proposals</w:t>
            </w:r>
            <w:r w:rsidRPr="00166553">
              <w:rPr>
                <w:szCs w:val="20"/>
              </w:rPr>
              <w:t xml:space="preserve"> </w:t>
            </w:r>
          </w:p>
        </w:tc>
        <w:tc>
          <w:tcPr>
            <w:tcW w:w="1501" w:type="dxa"/>
          </w:tcPr>
          <w:p w:rsidR="00736634" w:rsidRPr="00166553" w:rsidRDefault="00736634" w:rsidP="002019C2">
            <w:pPr>
              <w:pStyle w:val="TableText"/>
              <w:rPr>
                <w:szCs w:val="20"/>
              </w:rPr>
            </w:pPr>
            <w:r w:rsidRPr="00166553">
              <w:rPr>
                <w:szCs w:val="20"/>
              </w:rPr>
              <w:t>Section </w:t>
            </w:r>
            <w:r w:rsidR="00C57AA0" w:rsidRPr="00166553">
              <w:rPr>
                <w:szCs w:val="20"/>
              </w:rPr>
              <w:t>1.4</w:t>
            </w:r>
            <w:r w:rsidR="00A67DFC" w:rsidRPr="00166553">
              <w:rPr>
                <w:szCs w:val="20"/>
              </w:rPr>
              <w:t>.1</w:t>
            </w:r>
          </w:p>
        </w:tc>
      </w:tr>
      <w:tr w:rsidR="00736634" w:rsidRPr="00166553" w:rsidTr="008B6331">
        <w:tc>
          <w:tcPr>
            <w:tcW w:w="2837" w:type="dxa"/>
          </w:tcPr>
          <w:p w:rsidR="00736634" w:rsidRPr="00166553" w:rsidRDefault="00736634" w:rsidP="002019C2">
            <w:pPr>
              <w:pStyle w:val="TableTextbold"/>
              <w:rPr>
                <w:szCs w:val="20"/>
              </w:rPr>
            </w:pPr>
            <w:r w:rsidRPr="00166553">
              <w:rPr>
                <w:szCs w:val="20"/>
              </w:rPr>
              <w:t xml:space="preserve">When </w:t>
            </w:r>
            <w:r w:rsidR="002019C2" w:rsidRPr="00166553">
              <w:rPr>
                <w:szCs w:val="20"/>
              </w:rPr>
              <w:t>should an LIA</w:t>
            </w:r>
            <w:r w:rsidRPr="00166553">
              <w:rPr>
                <w:szCs w:val="20"/>
              </w:rPr>
              <w:t xml:space="preserve"> be prepared?</w:t>
            </w:r>
          </w:p>
        </w:tc>
        <w:tc>
          <w:tcPr>
            <w:tcW w:w="4230" w:type="dxa"/>
          </w:tcPr>
          <w:p w:rsidR="00736634" w:rsidRPr="00166553" w:rsidRDefault="00736634" w:rsidP="008B6331">
            <w:pPr>
              <w:pStyle w:val="TableBullet"/>
              <w:rPr>
                <w:szCs w:val="20"/>
              </w:rPr>
            </w:pPr>
            <w:r w:rsidRPr="00166553">
              <w:rPr>
                <w:szCs w:val="20"/>
              </w:rPr>
              <w:t>The circumstances that require p</w:t>
            </w:r>
            <w:r w:rsidR="002019C2" w:rsidRPr="00166553">
              <w:rPr>
                <w:szCs w:val="20"/>
              </w:rPr>
              <w:t>reparation of an LIA</w:t>
            </w:r>
          </w:p>
          <w:p w:rsidR="002019C2" w:rsidRPr="00166553" w:rsidRDefault="002019C2" w:rsidP="002019C2">
            <w:pPr>
              <w:pStyle w:val="TableBullet"/>
              <w:rPr>
                <w:szCs w:val="20"/>
              </w:rPr>
            </w:pPr>
            <w:r w:rsidRPr="00166553">
              <w:rPr>
                <w:szCs w:val="20"/>
              </w:rPr>
              <w:t>Submission of an LIA</w:t>
            </w:r>
          </w:p>
          <w:p w:rsidR="00736634" w:rsidRPr="00166553" w:rsidRDefault="00736634" w:rsidP="002019C2">
            <w:pPr>
              <w:pStyle w:val="TableBullet"/>
              <w:rPr>
                <w:szCs w:val="20"/>
              </w:rPr>
            </w:pPr>
            <w:r w:rsidRPr="00166553">
              <w:rPr>
                <w:szCs w:val="20"/>
              </w:rPr>
              <w:t>E</w:t>
            </w:r>
            <w:r w:rsidR="002019C2" w:rsidRPr="00166553">
              <w:rPr>
                <w:szCs w:val="20"/>
              </w:rPr>
              <w:t>xemptions from</w:t>
            </w:r>
            <w:r w:rsidRPr="00166553">
              <w:rPr>
                <w:szCs w:val="20"/>
              </w:rPr>
              <w:t xml:space="preserve"> the process</w:t>
            </w:r>
          </w:p>
        </w:tc>
        <w:tc>
          <w:tcPr>
            <w:tcW w:w="1501" w:type="dxa"/>
          </w:tcPr>
          <w:p w:rsidR="00736634" w:rsidRPr="00166553" w:rsidRDefault="00736634" w:rsidP="002019C2">
            <w:pPr>
              <w:pStyle w:val="TableText"/>
              <w:rPr>
                <w:szCs w:val="20"/>
              </w:rPr>
            </w:pPr>
            <w:r w:rsidRPr="00166553">
              <w:rPr>
                <w:szCs w:val="20"/>
              </w:rPr>
              <w:t>Section</w:t>
            </w:r>
            <w:r w:rsidR="00C57AA0" w:rsidRPr="00166553">
              <w:rPr>
                <w:szCs w:val="20"/>
              </w:rPr>
              <w:t xml:space="preserve"> 1.4</w:t>
            </w:r>
            <w:r w:rsidR="00A67DFC" w:rsidRPr="00166553">
              <w:rPr>
                <w:szCs w:val="20"/>
              </w:rPr>
              <w:t>.2</w:t>
            </w:r>
          </w:p>
        </w:tc>
      </w:tr>
      <w:tr w:rsidR="002019C2" w:rsidRPr="00166553" w:rsidTr="008B6331">
        <w:tc>
          <w:tcPr>
            <w:tcW w:w="2837" w:type="dxa"/>
          </w:tcPr>
          <w:p w:rsidR="002019C2" w:rsidRPr="00166553" w:rsidRDefault="002019C2" w:rsidP="008B6331">
            <w:pPr>
              <w:pStyle w:val="TableTextbold"/>
              <w:rPr>
                <w:szCs w:val="20"/>
              </w:rPr>
            </w:pPr>
            <w:r w:rsidRPr="00166553">
              <w:rPr>
                <w:szCs w:val="20"/>
              </w:rPr>
              <w:t>The role of consultation in the LIA process</w:t>
            </w:r>
          </w:p>
        </w:tc>
        <w:tc>
          <w:tcPr>
            <w:tcW w:w="4230" w:type="dxa"/>
          </w:tcPr>
          <w:p w:rsidR="002019C2" w:rsidRPr="00166553" w:rsidRDefault="002019C2" w:rsidP="008B6331">
            <w:pPr>
              <w:pStyle w:val="TableBullet"/>
              <w:rPr>
                <w:szCs w:val="20"/>
              </w:rPr>
            </w:pPr>
            <w:r w:rsidRPr="00166553">
              <w:rPr>
                <w:szCs w:val="20"/>
              </w:rPr>
              <w:t>The benefits of consultation, where appropriate</w:t>
            </w:r>
          </w:p>
        </w:tc>
        <w:tc>
          <w:tcPr>
            <w:tcW w:w="1501" w:type="dxa"/>
          </w:tcPr>
          <w:p w:rsidR="002019C2" w:rsidRPr="00166553" w:rsidRDefault="002019C2" w:rsidP="002019C2">
            <w:pPr>
              <w:pStyle w:val="TableText"/>
              <w:rPr>
                <w:szCs w:val="20"/>
              </w:rPr>
            </w:pPr>
            <w:r w:rsidRPr="00166553">
              <w:rPr>
                <w:szCs w:val="20"/>
              </w:rPr>
              <w:t>Section </w:t>
            </w:r>
            <w:r w:rsidR="00C57AA0" w:rsidRPr="00166553">
              <w:rPr>
                <w:szCs w:val="20"/>
              </w:rPr>
              <w:t>1.4</w:t>
            </w:r>
            <w:r w:rsidR="00A67DFC" w:rsidRPr="00166553">
              <w:rPr>
                <w:szCs w:val="20"/>
              </w:rPr>
              <w:t>.3</w:t>
            </w:r>
          </w:p>
        </w:tc>
      </w:tr>
      <w:tr w:rsidR="002019C2" w:rsidRPr="00166553" w:rsidTr="008B6331">
        <w:tc>
          <w:tcPr>
            <w:tcW w:w="2837" w:type="dxa"/>
          </w:tcPr>
          <w:p w:rsidR="002019C2" w:rsidRPr="00166553" w:rsidRDefault="002019C2" w:rsidP="008B6331">
            <w:pPr>
              <w:pStyle w:val="TableTextbold"/>
              <w:rPr>
                <w:szCs w:val="20"/>
              </w:rPr>
            </w:pPr>
            <w:r w:rsidRPr="00166553">
              <w:rPr>
                <w:szCs w:val="20"/>
              </w:rPr>
              <w:t>Assessing the adequacy of the LIA</w:t>
            </w:r>
          </w:p>
        </w:tc>
        <w:tc>
          <w:tcPr>
            <w:tcW w:w="4230" w:type="dxa"/>
          </w:tcPr>
          <w:p w:rsidR="002019C2" w:rsidRPr="00166553" w:rsidRDefault="002019C2" w:rsidP="0047354D">
            <w:pPr>
              <w:pStyle w:val="TableBullet"/>
              <w:rPr>
                <w:szCs w:val="20"/>
              </w:rPr>
            </w:pPr>
            <w:r w:rsidRPr="00166553">
              <w:rPr>
                <w:szCs w:val="20"/>
              </w:rPr>
              <w:t xml:space="preserve">Independent assessment of LIAs by the </w:t>
            </w:r>
            <w:r w:rsidR="0047354D">
              <w:rPr>
                <w:szCs w:val="20"/>
              </w:rPr>
              <w:t>Commissioner for Better Regulation</w:t>
            </w:r>
          </w:p>
        </w:tc>
        <w:tc>
          <w:tcPr>
            <w:tcW w:w="1501" w:type="dxa"/>
          </w:tcPr>
          <w:p w:rsidR="002019C2" w:rsidRPr="00166553" w:rsidRDefault="002019C2" w:rsidP="002019C2">
            <w:pPr>
              <w:pStyle w:val="TableText"/>
              <w:rPr>
                <w:szCs w:val="20"/>
              </w:rPr>
            </w:pPr>
            <w:r w:rsidRPr="00166553">
              <w:rPr>
                <w:szCs w:val="20"/>
              </w:rPr>
              <w:t>Section </w:t>
            </w:r>
            <w:r w:rsidR="00C57AA0" w:rsidRPr="00166553">
              <w:rPr>
                <w:szCs w:val="20"/>
              </w:rPr>
              <w:t>1.4</w:t>
            </w:r>
            <w:r w:rsidR="00A67DFC" w:rsidRPr="00166553">
              <w:rPr>
                <w:szCs w:val="20"/>
              </w:rPr>
              <w:t>.4</w:t>
            </w:r>
          </w:p>
        </w:tc>
      </w:tr>
      <w:tr w:rsidR="00A67DFC" w:rsidRPr="00166553" w:rsidTr="008B6331">
        <w:tc>
          <w:tcPr>
            <w:tcW w:w="2837" w:type="dxa"/>
          </w:tcPr>
          <w:p w:rsidR="00A67DFC" w:rsidRPr="00166553" w:rsidRDefault="00A67DFC" w:rsidP="008B6331">
            <w:pPr>
              <w:pStyle w:val="TableTextbold"/>
              <w:rPr>
                <w:szCs w:val="20"/>
              </w:rPr>
            </w:pPr>
            <w:r w:rsidRPr="00166553">
              <w:rPr>
                <w:szCs w:val="20"/>
              </w:rPr>
              <w:t>Timing considerations</w:t>
            </w:r>
          </w:p>
        </w:tc>
        <w:tc>
          <w:tcPr>
            <w:tcW w:w="4230" w:type="dxa"/>
          </w:tcPr>
          <w:p w:rsidR="00A67DFC" w:rsidRPr="00166553" w:rsidRDefault="00A67DFC" w:rsidP="008B6331">
            <w:pPr>
              <w:pStyle w:val="TableBullet"/>
              <w:rPr>
                <w:szCs w:val="20"/>
              </w:rPr>
            </w:pPr>
            <w:r w:rsidRPr="00166553">
              <w:rPr>
                <w:szCs w:val="20"/>
              </w:rPr>
              <w:t>Guidance about the amount of time that should be allowed for the different stages of the LIA process</w:t>
            </w:r>
          </w:p>
        </w:tc>
        <w:tc>
          <w:tcPr>
            <w:tcW w:w="1501" w:type="dxa"/>
          </w:tcPr>
          <w:p w:rsidR="00A67DFC" w:rsidRPr="00166553" w:rsidRDefault="00C57AA0" w:rsidP="002019C2">
            <w:pPr>
              <w:pStyle w:val="TableText"/>
              <w:rPr>
                <w:szCs w:val="20"/>
              </w:rPr>
            </w:pPr>
            <w:r w:rsidRPr="00166553">
              <w:rPr>
                <w:szCs w:val="20"/>
              </w:rPr>
              <w:t>Section 1.4</w:t>
            </w:r>
            <w:r w:rsidR="005017D1" w:rsidRPr="00166553">
              <w:rPr>
                <w:szCs w:val="20"/>
              </w:rPr>
              <w:t>.</w:t>
            </w:r>
            <w:r w:rsidR="00A67DFC" w:rsidRPr="00166553">
              <w:rPr>
                <w:szCs w:val="20"/>
              </w:rPr>
              <w:t>5</w:t>
            </w:r>
          </w:p>
        </w:tc>
      </w:tr>
    </w:tbl>
    <w:p w:rsidR="00091685" w:rsidRDefault="00091685" w:rsidP="00605D8D">
      <w:pPr>
        <w:rPr>
          <w:lang w:eastAsia="en-US"/>
        </w:rPr>
      </w:pPr>
    </w:p>
    <w:p w:rsidR="00091685" w:rsidRDefault="00605D8D" w:rsidP="00415997">
      <w:pPr>
        <w:spacing w:after="240"/>
        <w:rPr>
          <w:lang w:eastAsia="en-US"/>
        </w:rPr>
      </w:pPr>
      <w:r w:rsidRPr="0009305F">
        <w:rPr>
          <w:lang w:eastAsia="en-US"/>
        </w:rPr>
        <w:t>Figure 1 provides a simplified guide to the various stages involved in the</w:t>
      </w:r>
      <w:r>
        <w:rPr>
          <w:lang w:eastAsia="en-US"/>
        </w:rPr>
        <w:t xml:space="preserve"> LIA</w:t>
      </w:r>
      <w:r w:rsidRPr="0009305F">
        <w:rPr>
          <w:lang w:eastAsia="en-US"/>
        </w:rPr>
        <w:t xml:space="preserve"> process.</w:t>
      </w:r>
    </w:p>
    <w:p w:rsidR="00605D8D" w:rsidRDefault="00605D8D" w:rsidP="00835BF9">
      <w:pPr>
        <w:pStyle w:val="Caption"/>
        <w:spacing w:after="240"/>
        <w:rPr>
          <w:lang w:eastAsia="en-US"/>
        </w:rPr>
      </w:pPr>
      <w:r w:rsidRPr="0009305F">
        <w:rPr>
          <w:lang w:eastAsia="en-US"/>
        </w:rPr>
        <w:t>Figure 1: Flow chart of the</w:t>
      </w:r>
      <w:r>
        <w:rPr>
          <w:lang w:eastAsia="en-US"/>
        </w:rPr>
        <w:t xml:space="preserve"> LIA</w:t>
      </w:r>
      <w:r w:rsidRPr="0009305F">
        <w:rPr>
          <w:lang w:eastAsia="en-US"/>
        </w:rPr>
        <w:t xml:space="preserve"> process</w:t>
      </w:r>
    </w:p>
    <w:p w:rsidR="00835BF9" w:rsidRDefault="0079199B" w:rsidP="00415997">
      <w:pPr>
        <w:ind w:left="720"/>
        <w:rPr>
          <w:lang w:eastAsia="en-US"/>
        </w:rPr>
      </w:pPr>
      <w:r>
        <w:rPr>
          <w:lang w:eastAsia="en-US"/>
        </w:rPr>
        <w:object w:dxaOrig="9026" w:dyaOrig="11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3pt;height:555.75pt" o:ole="">
            <v:imagedata r:id="rId16" o:title=""/>
          </v:shape>
          <o:OLEObject Type="Embed" ProgID="Word.Document.12" ShapeID="_x0000_i1025" DrawAspect="Content" ObjectID="_1540619615" r:id="rId17">
            <o:FieldCodes>\s</o:FieldCodes>
          </o:OLEObject>
        </w:object>
      </w:r>
    </w:p>
    <w:p w:rsidR="00605D8D" w:rsidRDefault="00835BF9" w:rsidP="00415997">
      <w:pPr>
        <w:ind w:left="720"/>
      </w:pPr>
      <w:r>
        <w:rPr>
          <w:sz w:val="18"/>
          <w:szCs w:val="18"/>
        </w:rPr>
        <w:t>*</w:t>
      </w:r>
      <w:r w:rsidR="00605D8D" w:rsidRPr="00415997">
        <w:rPr>
          <w:sz w:val="18"/>
          <w:szCs w:val="18"/>
        </w:rPr>
        <w:t>Note: This may be an iterative</w:t>
      </w:r>
      <w:r>
        <w:rPr>
          <w:sz w:val="18"/>
          <w:szCs w:val="18"/>
        </w:rPr>
        <w:t xml:space="preserve"> process–</w:t>
      </w:r>
      <w:r w:rsidR="00605D8D" w:rsidRPr="00415997">
        <w:rPr>
          <w:sz w:val="18"/>
          <w:szCs w:val="18"/>
        </w:rPr>
        <w:t>i.e. the LIA may be re</w:t>
      </w:r>
      <w:r w:rsidR="00605D8D" w:rsidRPr="00415997">
        <w:rPr>
          <w:sz w:val="18"/>
          <w:szCs w:val="18"/>
        </w:rPr>
        <w:noBreakHyphen/>
        <w:t xml:space="preserve">submitted to the </w:t>
      </w:r>
      <w:r w:rsidR="00B55850" w:rsidRPr="00415997">
        <w:rPr>
          <w:sz w:val="18"/>
          <w:szCs w:val="18"/>
        </w:rPr>
        <w:t>Commissioner</w:t>
      </w:r>
      <w:r>
        <w:rPr>
          <w:sz w:val="18"/>
          <w:szCs w:val="18"/>
        </w:rPr>
        <w:t xml:space="preserve"> a number of times</w:t>
      </w:r>
    </w:p>
    <w:p w:rsidR="00605D8D" w:rsidRPr="00B40862" w:rsidRDefault="00605D8D" w:rsidP="00605D8D">
      <w:pPr>
        <w:pStyle w:val="Heading3"/>
        <w:rPr>
          <w:b w:val="0"/>
          <w:bCs/>
          <w:color w:val="004EA8"/>
        </w:rPr>
      </w:pPr>
      <w:bookmarkStart w:id="39" w:name="_Toc365449595"/>
      <w:bookmarkStart w:id="40" w:name="_Toc365451072"/>
      <w:bookmarkStart w:id="41" w:name="_Toc365451377"/>
      <w:bookmarkStart w:id="42" w:name="_Toc365451454"/>
      <w:bookmarkStart w:id="43" w:name="_Toc365451529"/>
      <w:bookmarkStart w:id="44" w:name="_Toc366165829"/>
      <w:bookmarkStart w:id="45" w:name="_Toc366165902"/>
      <w:bookmarkStart w:id="46" w:name="_Toc366166031"/>
      <w:bookmarkStart w:id="47" w:name="_Toc366166204"/>
      <w:bookmarkStart w:id="48" w:name="_Toc382838331"/>
      <w:bookmarkStart w:id="49" w:name="_Toc365451530"/>
      <w:bookmarkStart w:id="50" w:name="_Toc366165830"/>
      <w:bookmarkStart w:id="51" w:name="_Toc366165903"/>
      <w:bookmarkStart w:id="52" w:name="_Toc366166032"/>
      <w:bookmarkStart w:id="53" w:name="_Toc366166205"/>
      <w:bookmarkStart w:id="54" w:name="_Toc382838332"/>
      <w:bookmarkStart w:id="55" w:name="_Toc365451531"/>
      <w:bookmarkStart w:id="56" w:name="_Toc366165831"/>
      <w:bookmarkStart w:id="57" w:name="_Toc366165904"/>
      <w:bookmarkStart w:id="58" w:name="_Toc366166033"/>
      <w:bookmarkStart w:id="59" w:name="_Toc366166206"/>
      <w:bookmarkStart w:id="60" w:name="_Toc382838333"/>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B40862">
        <w:rPr>
          <w:b w:val="0"/>
          <w:color w:val="004EA8"/>
        </w:rPr>
        <w:t>Purpose of the LIA process</w:t>
      </w:r>
    </w:p>
    <w:p w:rsidR="00605D8D" w:rsidRPr="003B7EF0" w:rsidRDefault="00605D8D" w:rsidP="00605D8D">
      <w:pPr>
        <w:rPr>
          <w:sz w:val="20"/>
          <w:szCs w:val="20"/>
          <w:lang w:eastAsia="en-US"/>
        </w:rPr>
      </w:pPr>
      <w:r w:rsidRPr="003B7EF0">
        <w:rPr>
          <w:sz w:val="20"/>
          <w:szCs w:val="20"/>
          <w:lang w:eastAsia="en-US"/>
        </w:rPr>
        <w:t xml:space="preserve">To further strengthen its scrutiny of regulation that could potentially impact on business productivity, competition and growth in Victoria, the Government has introduced a mandatory requirement for the assessment of new or amended primary legislation (i.e. Parliamentary ‘Bills’ that become ‘Acts’ if approved by Parliament). </w:t>
      </w:r>
    </w:p>
    <w:p w:rsidR="00605D8D" w:rsidRPr="003B7EF0" w:rsidRDefault="00605D8D" w:rsidP="00605D8D">
      <w:pPr>
        <w:rPr>
          <w:sz w:val="20"/>
          <w:szCs w:val="20"/>
          <w:lang w:eastAsia="en-US"/>
        </w:rPr>
      </w:pPr>
      <w:r w:rsidRPr="003B7EF0">
        <w:rPr>
          <w:sz w:val="20"/>
          <w:szCs w:val="20"/>
          <w:lang w:eastAsia="en-US"/>
        </w:rPr>
        <w:t xml:space="preserve">Primary legislation with potentially ‘significant effects’ must now undergo a Legislative Impact Assessment (LIA) process. </w:t>
      </w:r>
    </w:p>
    <w:p w:rsidR="00605D8D" w:rsidRPr="003B7EF0" w:rsidRDefault="00605D8D" w:rsidP="00605D8D">
      <w:pPr>
        <w:rPr>
          <w:sz w:val="20"/>
          <w:szCs w:val="20"/>
          <w:lang w:eastAsia="en-US"/>
        </w:rPr>
      </w:pPr>
      <w:r w:rsidRPr="003B7EF0">
        <w:rPr>
          <w:sz w:val="20"/>
          <w:szCs w:val="20"/>
          <w:lang w:eastAsia="en-US"/>
        </w:rPr>
        <w:t>An LIA is a formal assessment of the impacts of a proposed primary legislative measure on business and/or competition, and is intended to improve the robustness of policy</w:t>
      </w:r>
      <w:r w:rsidRPr="003B7EF0">
        <w:rPr>
          <w:sz w:val="20"/>
          <w:szCs w:val="20"/>
          <w:lang w:eastAsia="en-US"/>
        </w:rPr>
        <w:noBreakHyphen/>
        <w:t>making in Victoria. LIAs enhance the identification and understanding of the impacts of a legislative proposal on business and/or competition. The LIA process brings Victoria closer to international best practice in scrutinising legislative proposals.</w:t>
      </w:r>
    </w:p>
    <w:p w:rsidR="00605D8D" w:rsidRPr="003B7EF0" w:rsidRDefault="00605D8D" w:rsidP="00605D8D">
      <w:pPr>
        <w:rPr>
          <w:sz w:val="20"/>
          <w:szCs w:val="20"/>
          <w:lang w:eastAsia="en-US"/>
        </w:rPr>
      </w:pPr>
      <w:r w:rsidRPr="003B7EF0">
        <w:rPr>
          <w:sz w:val="20"/>
          <w:szCs w:val="20"/>
          <w:lang w:eastAsia="en-US"/>
        </w:rPr>
        <w:t>Information below summarises the details that must be included in an LIA.</w:t>
      </w:r>
    </w:p>
    <w:p w:rsidR="00605D8D" w:rsidRPr="003B7EF0" w:rsidRDefault="00605D8D" w:rsidP="00605D8D">
      <w:pPr>
        <w:pStyle w:val="Heading4NoNum"/>
        <w:rPr>
          <w:color w:val="auto"/>
        </w:rPr>
      </w:pPr>
      <w:r w:rsidRPr="003B7EF0">
        <w:rPr>
          <w:color w:val="auto"/>
        </w:rPr>
        <w:t>Components of an LIA</w:t>
      </w:r>
    </w:p>
    <w:p w:rsidR="00605D8D" w:rsidRPr="003B7EF0" w:rsidRDefault="00605D8D" w:rsidP="00605D8D">
      <w:pPr>
        <w:pStyle w:val="Bullet1"/>
        <w:rPr>
          <w:sz w:val="20"/>
          <w:szCs w:val="20"/>
        </w:rPr>
      </w:pPr>
      <w:r w:rsidRPr="003B7EF0">
        <w:rPr>
          <w:sz w:val="20"/>
          <w:szCs w:val="20"/>
          <w:lang w:eastAsia="en-US"/>
        </w:rPr>
        <w:t xml:space="preserve">A </w:t>
      </w:r>
      <w:r w:rsidRPr="003B7EF0">
        <w:rPr>
          <w:sz w:val="20"/>
          <w:szCs w:val="20"/>
        </w:rPr>
        <w:t>description and assessment of the nature and the extent of the problem being addressed.</w:t>
      </w:r>
    </w:p>
    <w:p w:rsidR="00605D8D" w:rsidRPr="003B7EF0" w:rsidRDefault="00605D8D" w:rsidP="00605D8D">
      <w:pPr>
        <w:pStyle w:val="Bullet1"/>
        <w:rPr>
          <w:sz w:val="20"/>
          <w:szCs w:val="20"/>
        </w:rPr>
      </w:pPr>
      <w:r w:rsidRPr="003B7EF0">
        <w:rPr>
          <w:sz w:val="20"/>
          <w:szCs w:val="20"/>
        </w:rPr>
        <w:t xml:space="preserve">A statement of the objectives of the proposed legislation. </w:t>
      </w:r>
    </w:p>
    <w:p w:rsidR="00605D8D" w:rsidRPr="003B7EF0" w:rsidRDefault="00605D8D" w:rsidP="00605D8D">
      <w:pPr>
        <w:pStyle w:val="Bullet1"/>
        <w:rPr>
          <w:sz w:val="20"/>
          <w:szCs w:val="20"/>
        </w:rPr>
      </w:pPr>
      <w:r w:rsidRPr="003B7EF0">
        <w:rPr>
          <w:sz w:val="20"/>
          <w:szCs w:val="20"/>
        </w:rPr>
        <w:t>A description of the legislative proposal and its expected effect on key stakeholders.</w:t>
      </w:r>
    </w:p>
    <w:p w:rsidR="00605D8D" w:rsidRPr="003B7EF0" w:rsidRDefault="00605D8D" w:rsidP="00605D8D">
      <w:pPr>
        <w:pStyle w:val="Bullet1"/>
        <w:rPr>
          <w:sz w:val="20"/>
          <w:szCs w:val="20"/>
        </w:rPr>
      </w:pPr>
      <w:r w:rsidRPr="003B7EF0">
        <w:rPr>
          <w:sz w:val="20"/>
          <w:szCs w:val="20"/>
        </w:rPr>
        <w:t xml:space="preserve">An assessment of the costs and benefits of the proposal and other practical means of achieving the objective. </w:t>
      </w:r>
    </w:p>
    <w:p w:rsidR="00605D8D" w:rsidRPr="003B7EF0" w:rsidRDefault="00605D8D" w:rsidP="00605D8D">
      <w:pPr>
        <w:pStyle w:val="Bullet1"/>
        <w:rPr>
          <w:sz w:val="20"/>
          <w:szCs w:val="20"/>
          <w:lang w:eastAsia="en-US"/>
        </w:rPr>
      </w:pPr>
      <w:r w:rsidRPr="003B7EF0">
        <w:rPr>
          <w:sz w:val="20"/>
          <w:szCs w:val="20"/>
        </w:rPr>
        <w:t>A description</w:t>
      </w:r>
      <w:r w:rsidRPr="003B7EF0">
        <w:rPr>
          <w:sz w:val="20"/>
          <w:szCs w:val="20"/>
          <w:lang w:eastAsia="en-US"/>
        </w:rPr>
        <w:t xml:space="preserve"> of the distribution of costs and benefits, particularly the impact on small business.</w:t>
      </w:r>
    </w:p>
    <w:p w:rsidR="00605D8D" w:rsidRPr="00B40862" w:rsidRDefault="00605D8D" w:rsidP="00605D8D">
      <w:pPr>
        <w:pStyle w:val="Heading3"/>
        <w:rPr>
          <w:b w:val="0"/>
          <w:bCs/>
          <w:color w:val="004EA8"/>
        </w:rPr>
      </w:pPr>
      <w:r w:rsidRPr="00B40862">
        <w:rPr>
          <w:b w:val="0"/>
          <w:color w:val="004EA8"/>
        </w:rPr>
        <w:t>When must an LIA be prepared and submitted?</w:t>
      </w:r>
    </w:p>
    <w:p w:rsidR="00605D8D" w:rsidRPr="003B7EF0" w:rsidRDefault="00A67DFC" w:rsidP="00605D8D">
      <w:pPr>
        <w:rPr>
          <w:sz w:val="20"/>
          <w:szCs w:val="20"/>
          <w:lang w:eastAsia="en-US"/>
        </w:rPr>
      </w:pPr>
      <w:r w:rsidRPr="003B7EF0">
        <w:rPr>
          <w:sz w:val="20"/>
          <w:szCs w:val="20"/>
          <w:lang w:eastAsia="en-US"/>
        </w:rPr>
        <w:t>An</w:t>
      </w:r>
      <w:r w:rsidR="00605D8D" w:rsidRPr="003B7EF0">
        <w:rPr>
          <w:sz w:val="20"/>
          <w:szCs w:val="20"/>
          <w:lang w:eastAsia="en-US"/>
        </w:rPr>
        <w:t xml:space="preserve"> LIA must be prepared and submitted where the responsible Minister determines that a primary legislative proposal (either entirely new legislation, amendments to existing legislation) imposes a potentially s</w:t>
      </w:r>
      <w:r w:rsidR="00605D8D" w:rsidRPr="003B7EF0">
        <w:rPr>
          <w:sz w:val="20"/>
          <w:szCs w:val="20"/>
        </w:rPr>
        <w:t>ignificant economic or social burden on a sector of the public</w:t>
      </w:r>
      <w:r w:rsidR="00605D8D" w:rsidRPr="003B7EF0">
        <w:rPr>
          <w:sz w:val="20"/>
          <w:szCs w:val="20"/>
          <w:lang w:eastAsia="en-US"/>
        </w:rPr>
        <w:t xml:space="preserve">. An LIA may also be required if the proposed legislation is enabling rather than enforcing. However, under certain circumstances, exemptions to the requirement to prepare an LIA may be granted. </w:t>
      </w:r>
    </w:p>
    <w:p w:rsidR="00605D8D" w:rsidRPr="003B7EF0" w:rsidRDefault="00605D8D" w:rsidP="00605D8D">
      <w:pPr>
        <w:pStyle w:val="Heading3NoNum"/>
        <w:rPr>
          <w:color w:val="auto"/>
          <w:sz w:val="22"/>
        </w:rPr>
      </w:pPr>
      <w:r w:rsidRPr="003B7EF0">
        <w:rPr>
          <w:color w:val="auto"/>
          <w:sz w:val="22"/>
        </w:rPr>
        <w:t>Does an LIA need to be prepared for enabling legislation?</w:t>
      </w:r>
    </w:p>
    <w:p w:rsidR="00605D8D" w:rsidRPr="003B7EF0" w:rsidRDefault="00605D8D" w:rsidP="00605D8D">
      <w:pPr>
        <w:rPr>
          <w:sz w:val="20"/>
          <w:szCs w:val="20"/>
          <w:lang w:eastAsia="en-US"/>
        </w:rPr>
      </w:pPr>
      <w:r w:rsidRPr="003B7EF0">
        <w:rPr>
          <w:sz w:val="20"/>
          <w:szCs w:val="20"/>
          <w:lang w:eastAsia="en-US"/>
        </w:rPr>
        <w:t xml:space="preserve">The purpose of the LIA process is to encourage better decisions, by improving the understanding and identification of the impacts of legislative proposals. Legislation can enable future burdens to be imposed, rather than directly imposing a burden – i.e. the substantive effect of the legislation may come about through regulations/codes of practice/orders in council/ministerial orders that are enabled by the legislation, but which may not be considered by Cabinet. Consequently, for Cabinet to be adequately informed about the consequences of a legislative proposal, it needs to be aware of the potential impacts of instruments that could be implemented under the legislation, particularly if these may not be subject to a Regulatory Impact Statement (RIS). </w:t>
      </w:r>
    </w:p>
    <w:p w:rsidR="00605D8D" w:rsidRPr="003B7EF0" w:rsidRDefault="00605D8D" w:rsidP="00605D8D">
      <w:pPr>
        <w:rPr>
          <w:sz w:val="20"/>
          <w:szCs w:val="20"/>
          <w:lang w:eastAsia="en-US"/>
        </w:rPr>
      </w:pPr>
      <w:r w:rsidRPr="003B7EF0">
        <w:rPr>
          <w:sz w:val="20"/>
          <w:szCs w:val="20"/>
          <w:lang w:eastAsia="en-US"/>
        </w:rPr>
        <w:t xml:space="preserve">An LIA is required when an effect of the legislation would be to enable regulatory instruments that would have a significant economic or social impact. If the instruments are of a type which would not otherwise be subject to a RIS, the LIA must provide sufficient information about the effects of the instruments to enable Cabinet to make an informed decision, bearing in mind that the instruments will not be subject to public scrutiny before they are implemented. </w:t>
      </w:r>
    </w:p>
    <w:p w:rsidR="00605D8D" w:rsidRPr="003B7EF0" w:rsidRDefault="00605D8D" w:rsidP="00605D8D">
      <w:pPr>
        <w:rPr>
          <w:sz w:val="20"/>
          <w:szCs w:val="20"/>
          <w:lang w:eastAsia="en-US"/>
        </w:rPr>
      </w:pPr>
      <w:r w:rsidRPr="003B7EF0">
        <w:rPr>
          <w:sz w:val="20"/>
          <w:szCs w:val="20"/>
          <w:lang w:eastAsia="en-US"/>
        </w:rPr>
        <w:t>When the sole or primary purpose of the legislation is to enable the making of subordinate legislation that would subsequently be subject to a RIS, an LIA is still required if the regulation or legislative instrument would have a significant economic or social impact. This is because by formally making provision for regulation, the Government may explicitly or implicitly be constraining the use of non</w:t>
      </w:r>
      <w:r w:rsidRPr="003B7EF0">
        <w:rPr>
          <w:sz w:val="20"/>
          <w:szCs w:val="20"/>
          <w:lang w:eastAsia="en-US"/>
        </w:rPr>
        <w:noBreakHyphen/>
        <w:t xml:space="preserve">regulatory options. However, the LIA can be less detailed in this case – although still commensurate with the likely impact – given that there will be subsequent public scrutiny through a RIS. </w:t>
      </w:r>
    </w:p>
    <w:p w:rsidR="00605D8D" w:rsidRPr="003B7EF0" w:rsidRDefault="00605D8D" w:rsidP="00605D8D">
      <w:pPr>
        <w:rPr>
          <w:sz w:val="20"/>
          <w:szCs w:val="20"/>
          <w:lang w:eastAsia="en-US"/>
        </w:rPr>
      </w:pPr>
      <w:r w:rsidRPr="003B7EF0">
        <w:rPr>
          <w:sz w:val="20"/>
          <w:szCs w:val="20"/>
          <w:lang w:eastAsia="en-US"/>
        </w:rPr>
        <w:t>The LIA must in all cases set out the magnitude and scope of the potential effects resulting from the enabling provision in the legislation (i.e. the number of potential parties expected to be affected, the costs imposed and any flow</w:t>
      </w:r>
      <w:r w:rsidRPr="003B7EF0">
        <w:rPr>
          <w:sz w:val="20"/>
          <w:szCs w:val="20"/>
          <w:lang w:eastAsia="en-US"/>
        </w:rPr>
        <w:noBreakHyphen/>
        <w:t xml:space="preserve">on impacts </w:t>
      </w:r>
      <w:proofErr w:type="spellStart"/>
      <w:r w:rsidRPr="003B7EF0">
        <w:rPr>
          <w:sz w:val="20"/>
          <w:szCs w:val="20"/>
          <w:lang w:eastAsia="en-US"/>
        </w:rPr>
        <w:t>etc</w:t>
      </w:r>
      <w:proofErr w:type="spellEnd"/>
      <w:r w:rsidRPr="003B7EF0">
        <w:rPr>
          <w:sz w:val="20"/>
          <w:szCs w:val="20"/>
          <w:lang w:eastAsia="en-US"/>
        </w:rPr>
        <w:t xml:space="preserve">). </w:t>
      </w:r>
    </w:p>
    <w:p w:rsidR="00605D8D" w:rsidRPr="003B7EF0" w:rsidRDefault="00605D8D" w:rsidP="00605D8D">
      <w:pPr>
        <w:pStyle w:val="Heading3NoNum"/>
        <w:rPr>
          <w:color w:val="auto"/>
          <w:sz w:val="22"/>
        </w:rPr>
      </w:pPr>
      <w:r w:rsidRPr="003B7EF0">
        <w:rPr>
          <w:color w:val="auto"/>
          <w:sz w:val="22"/>
        </w:rPr>
        <w:t>At what stage must an LIA be submitted?</w:t>
      </w:r>
    </w:p>
    <w:p w:rsidR="00605D8D" w:rsidRPr="003B7EF0" w:rsidRDefault="00605D8D" w:rsidP="00605D8D">
      <w:pPr>
        <w:rPr>
          <w:sz w:val="20"/>
          <w:szCs w:val="20"/>
          <w:lang w:eastAsia="en-US"/>
        </w:rPr>
      </w:pPr>
      <w:r w:rsidRPr="003B7EF0">
        <w:rPr>
          <w:sz w:val="20"/>
          <w:szCs w:val="20"/>
          <w:lang w:eastAsia="en-US"/>
        </w:rPr>
        <w:t>The L</w:t>
      </w:r>
      <w:r w:rsidRPr="003B7EF0">
        <w:rPr>
          <w:sz w:val="20"/>
          <w:szCs w:val="20"/>
        </w:rPr>
        <w:t>I</w:t>
      </w:r>
      <w:r w:rsidRPr="003B7EF0">
        <w:rPr>
          <w:sz w:val="20"/>
          <w:szCs w:val="20"/>
          <w:lang w:eastAsia="en-US"/>
        </w:rPr>
        <w:t xml:space="preserve">A must be attached to any submissions made to Cabinet or the relevant Cabinet Committee in order to assist in decision making. The </w:t>
      </w:r>
      <w:r w:rsidR="0047354D">
        <w:rPr>
          <w:sz w:val="20"/>
          <w:szCs w:val="20"/>
          <w:lang w:eastAsia="en-US"/>
        </w:rPr>
        <w:t>Commiss</w:t>
      </w:r>
      <w:r w:rsidR="00D16A87">
        <w:rPr>
          <w:sz w:val="20"/>
          <w:szCs w:val="20"/>
          <w:lang w:eastAsia="en-US"/>
        </w:rPr>
        <w:t>i</w:t>
      </w:r>
      <w:r w:rsidR="0047354D">
        <w:rPr>
          <w:sz w:val="20"/>
          <w:szCs w:val="20"/>
          <w:lang w:eastAsia="en-US"/>
        </w:rPr>
        <w:t>oner</w:t>
      </w:r>
      <w:r w:rsidRPr="003B7EF0">
        <w:rPr>
          <w:sz w:val="20"/>
          <w:szCs w:val="20"/>
          <w:lang w:eastAsia="en-US"/>
        </w:rPr>
        <w:t xml:space="preserve">’s assessment of the adequacy of the LIA (see </w:t>
      </w:r>
      <w:r w:rsidR="003321AB" w:rsidRPr="003B7EF0">
        <w:rPr>
          <w:sz w:val="20"/>
          <w:szCs w:val="20"/>
          <w:lang w:eastAsia="en-US"/>
        </w:rPr>
        <w:t>s</w:t>
      </w:r>
      <w:r w:rsidR="00D13659" w:rsidRPr="003B7EF0">
        <w:rPr>
          <w:sz w:val="20"/>
          <w:szCs w:val="20"/>
          <w:lang w:eastAsia="en-US"/>
        </w:rPr>
        <w:t>ection </w:t>
      </w:r>
      <w:r w:rsidR="00CE2C34" w:rsidRPr="003B7EF0">
        <w:rPr>
          <w:sz w:val="20"/>
          <w:szCs w:val="20"/>
          <w:lang w:eastAsia="en-US"/>
        </w:rPr>
        <w:t>1.4</w:t>
      </w:r>
      <w:r w:rsidR="00594E5D" w:rsidRPr="003B7EF0">
        <w:rPr>
          <w:sz w:val="20"/>
          <w:szCs w:val="20"/>
          <w:lang w:eastAsia="en-US"/>
        </w:rPr>
        <w:t xml:space="preserve">.4 </w:t>
      </w:r>
      <w:r w:rsidRPr="003B7EF0">
        <w:rPr>
          <w:sz w:val="20"/>
          <w:szCs w:val="20"/>
          <w:lang w:eastAsia="en-US"/>
        </w:rPr>
        <w:t xml:space="preserve">below) must also be attached. Timing considerations are discussed in </w:t>
      </w:r>
      <w:r w:rsidR="003321AB" w:rsidRPr="003B7EF0">
        <w:rPr>
          <w:sz w:val="20"/>
          <w:szCs w:val="20"/>
          <w:lang w:eastAsia="en-US"/>
        </w:rPr>
        <w:t>section</w:t>
      </w:r>
      <w:r w:rsidR="00CE2C34" w:rsidRPr="003B7EF0">
        <w:rPr>
          <w:sz w:val="20"/>
          <w:szCs w:val="20"/>
          <w:lang w:eastAsia="en-US"/>
        </w:rPr>
        <w:t xml:space="preserve"> 1.4</w:t>
      </w:r>
      <w:r w:rsidR="00594E5D" w:rsidRPr="003B7EF0">
        <w:rPr>
          <w:sz w:val="20"/>
          <w:szCs w:val="20"/>
          <w:lang w:eastAsia="en-US"/>
        </w:rPr>
        <w:t>.5</w:t>
      </w:r>
      <w:r w:rsidRPr="003B7EF0">
        <w:rPr>
          <w:sz w:val="20"/>
          <w:szCs w:val="20"/>
          <w:lang w:eastAsia="en-US"/>
        </w:rPr>
        <w:t>.</w:t>
      </w:r>
    </w:p>
    <w:p w:rsidR="00605D8D" w:rsidRPr="003B7EF0" w:rsidRDefault="00605D8D" w:rsidP="00605D8D">
      <w:pPr>
        <w:rPr>
          <w:sz w:val="20"/>
          <w:szCs w:val="20"/>
          <w:lang w:eastAsia="en-US"/>
        </w:rPr>
      </w:pPr>
      <w:r w:rsidRPr="003B7EF0">
        <w:rPr>
          <w:sz w:val="20"/>
          <w:szCs w:val="20"/>
          <w:lang w:eastAsia="en-US"/>
        </w:rPr>
        <w:t xml:space="preserve">It is also preferable for LIAs, where possible, to be attached to early drafts of submissions distributed to departments for coordination comments. At the latest, the LIA and </w:t>
      </w:r>
      <w:r w:rsidR="0047354D">
        <w:rPr>
          <w:sz w:val="20"/>
          <w:szCs w:val="20"/>
          <w:lang w:eastAsia="en-US"/>
        </w:rPr>
        <w:t>Commissioner’s</w:t>
      </w:r>
      <w:r w:rsidRPr="003B7EF0">
        <w:rPr>
          <w:sz w:val="20"/>
          <w:szCs w:val="20"/>
          <w:lang w:eastAsia="en-US"/>
        </w:rPr>
        <w:t xml:space="preserve"> assessment letter should be attached to the Cabinet submission at Approval-in-Principle stage.</w:t>
      </w:r>
    </w:p>
    <w:p w:rsidR="00605D8D" w:rsidRPr="003B7EF0" w:rsidRDefault="00605D8D" w:rsidP="00605D8D">
      <w:pPr>
        <w:rPr>
          <w:sz w:val="20"/>
          <w:szCs w:val="20"/>
          <w:lang w:eastAsia="en-US"/>
        </w:rPr>
      </w:pPr>
      <w:r w:rsidRPr="003B7EF0">
        <w:rPr>
          <w:sz w:val="20"/>
          <w:szCs w:val="20"/>
          <w:lang w:eastAsia="en-US"/>
        </w:rPr>
        <w:t xml:space="preserve">Where a Minister proposes to release an exposure draft of proposed legislation for </w:t>
      </w:r>
      <w:r w:rsidRPr="003B7EF0">
        <w:rPr>
          <w:sz w:val="20"/>
          <w:szCs w:val="20"/>
        </w:rPr>
        <w:t>consultation,</w:t>
      </w:r>
      <w:r w:rsidRPr="003B7EF0">
        <w:rPr>
          <w:rStyle w:val="FootnoteReference"/>
          <w:sz w:val="20"/>
          <w:szCs w:val="20"/>
        </w:rPr>
        <w:footnoteReference w:id="5"/>
      </w:r>
      <w:r w:rsidRPr="003B7EF0">
        <w:rPr>
          <w:sz w:val="20"/>
          <w:szCs w:val="20"/>
        </w:rPr>
        <w:t xml:space="preserve"> </w:t>
      </w:r>
      <w:r w:rsidRPr="003B7EF0">
        <w:rPr>
          <w:sz w:val="20"/>
          <w:szCs w:val="20"/>
          <w:lang w:eastAsia="en-US"/>
        </w:rPr>
        <w:t>a two</w:t>
      </w:r>
      <w:r w:rsidRPr="003B7EF0">
        <w:rPr>
          <w:sz w:val="20"/>
          <w:szCs w:val="20"/>
          <w:lang w:eastAsia="en-US"/>
        </w:rPr>
        <w:noBreakHyphen/>
        <w:t>stage LIA process must be adopted:</w:t>
      </w:r>
    </w:p>
    <w:p w:rsidR="00605D8D" w:rsidRPr="003B7EF0" w:rsidRDefault="00605D8D" w:rsidP="00605D8D">
      <w:pPr>
        <w:pStyle w:val="Bullet1"/>
        <w:rPr>
          <w:sz w:val="20"/>
          <w:szCs w:val="20"/>
          <w:lang w:eastAsia="en-US"/>
        </w:rPr>
      </w:pPr>
      <w:r w:rsidRPr="003B7EF0">
        <w:rPr>
          <w:sz w:val="20"/>
          <w:szCs w:val="20"/>
          <w:lang w:eastAsia="en-US"/>
        </w:rPr>
        <w:t xml:space="preserve">Stage one: a preliminary LIA would be prepared, assessed by the </w:t>
      </w:r>
      <w:r w:rsidR="0047354D">
        <w:rPr>
          <w:sz w:val="20"/>
          <w:szCs w:val="20"/>
          <w:lang w:eastAsia="en-US"/>
        </w:rPr>
        <w:t>Commissioner</w:t>
      </w:r>
      <w:r w:rsidRPr="003B7EF0">
        <w:rPr>
          <w:sz w:val="20"/>
          <w:szCs w:val="20"/>
          <w:lang w:eastAsia="en-US"/>
        </w:rPr>
        <w:t xml:space="preserve">, and presented (along with the </w:t>
      </w:r>
      <w:proofErr w:type="gramStart"/>
      <w:r w:rsidR="0047354D">
        <w:rPr>
          <w:sz w:val="20"/>
          <w:szCs w:val="20"/>
          <w:lang w:eastAsia="en-US"/>
        </w:rPr>
        <w:t xml:space="preserve">Commissioner’s </w:t>
      </w:r>
      <w:r w:rsidRPr="003B7EF0">
        <w:rPr>
          <w:sz w:val="20"/>
          <w:szCs w:val="20"/>
          <w:lang w:eastAsia="en-US"/>
        </w:rPr>
        <w:t>’s</w:t>
      </w:r>
      <w:proofErr w:type="gramEnd"/>
      <w:r w:rsidRPr="003B7EF0">
        <w:rPr>
          <w:sz w:val="20"/>
          <w:szCs w:val="20"/>
          <w:lang w:eastAsia="en-US"/>
        </w:rPr>
        <w:t xml:space="preserve"> assessment) to Cabinet or the relevant Cabinet Committee at the initial approval stage before the exposure draft is released. The LIA would discuss regulatory options (including the proposed legislative approach and other forms of regulation) as well as non</w:t>
      </w:r>
      <w:r w:rsidRPr="003B7EF0">
        <w:rPr>
          <w:sz w:val="20"/>
          <w:szCs w:val="20"/>
          <w:lang w:eastAsia="en-US"/>
        </w:rPr>
        <w:noBreakHyphen/>
        <w:t>regulatory measures.</w:t>
      </w:r>
    </w:p>
    <w:p w:rsidR="00605D8D" w:rsidRPr="003B7EF0" w:rsidRDefault="00605D8D" w:rsidP="00605D8D">
      <w:pPr>
        <w:pStyle w:val="Bullet1"/>
        <w:rPr>
          <w:sz w:val="20"/>
          <w:szCs w:val="20"/>
          <w:lang w:eastAsia="en-US"/>
        </w:rPr>
      </w:pPr>
      <w:r w:rsidRPr="003B7EF0">
        <w:rPr>
          <w:sz w:val="20"/>
          <w:szCs w:val="20"/>
          <w:lang w:eastAsia="en-US"/>
        </w:rPr>
        <w:t xml:space="preserve">Stage two: Following the consultation process, the LIA would be revised to include any further evidence received about the costs and benefits of the proposed legislation and other viable options, and to take into account any subsequent revisions to the proposed approach. This revised LIA would again be assessed by the </w:t>
      </w:r>
      <w:r w:rsidR="0047354D">
        <w:rPr>
          <w:sz w:val="20"/>
          <w:szCs w:val="20"/>
          <w:lang w:eastAsia="en-US"/>
        </w:rPr>
        <w:t>Commissioner</w:t>
      </w:r>
      <w:r w:rsidRPr="003B7EF0">
        <w:rPr>
          <w:sz w:val="20"/>
          <w:szCs w:val="20"/>
          <w:lang w:eastAsia="en-US"/>
        </w:rPr>
        <w:t xml:space="preserve">, and then be attached (along with the </w:t>
      </w:r>
      <w:r w:rsidR="0047354D">
        <w:rPr>
          <w:sz w:val="20"/>
          <w:szCs w:val="20"/>
          <w:lang w:eastAsia="en-US"/>
        </w:rPr>
        <w:t>Commissioner</w:t>
      </w:r>
      <w:r w:rsidRPr="003B7EF0">
        <w:rPr>
          <w:sz w:val="20"/>
          <w:szCs w:val="20"/>
          <w:lang w:eastAsia="en-US"/>
        </w:rPr>
        <w:t>’s assessment) to any subsequent submissions to Cabinet or Cabinet Committees.</w:t>
      </w:r>
    </w:p>
    <w:p w:rsidR="00811FDD" w:rsidRPr="00A516C8" w:rsidRDefault="00A41821" w:rsidP="00A516C8">
      <w:pPr>
        <w:rPr>
          <w:sz w:val="20"/>
          <w:szCs w:val="20"/>
          <w:lang w:eastAsia="en-US"/>
        </w:rPr>
      </w:pPr>
      <w:r w:rsidRPr="003B7EF0">
        <w:rPr>
          <w:sz w:val="20"/>
          <w:szCs w:val="20"/>
          <w:lang w:eastAsia="en-US"/>
        </w:rPr>
        <w:t xml:space="preserve">In general, LIAs </w:t>
      </w:r>
      <w:r w:rsidR="00931789" w:rsidRPr="003B7EF0">
        <w:rPr>
          <w:sz w:val="20"/>
          <w:szCs w:val="20"/>
          <w:lang w:eastAsia="en-US"/>
        </w:rPr>
        <w:t xml:space="preserve">are </w:t>
      </w:r>
      <w:r w:rsidRPr="003B7EF0">
        <w:rPr>
          <w:sz w:val="20"/>
          <w:szCs w:val="20"/>
          <w:lang w:eastAsia="en-US"/>
        </w:rPr>
        <w:t>treated as Cabin</w:t>
      </w:r>
      <w:r w:rsidR="00931789" w:rsidRPr="003B7EF0">
        <w:rPr>
          <w:sz w:val="20"/>
          <w:szCs w:val="20"/>
          <w:lang w:eastAsia="en-US"/>
        </w:rPr>
        <w:t>et-in-Confidence.</w:t>
      </w:r>
      <w:r w:rsidRPr="003B7EF0">
        <w:rPr>
          <w:sz w:val="20"/>
          <w:szCs w:val="20"/>
          <w:lang w:eastAsia="en-US"/>
        </w:rPr>
        <w:t xml:space="preserve"> </w:t>
      </w:r>
      <w:r w:rsidR="00931789" w:rsidRPr="003B7EF0">
        <w:rPr>
          <w:sz w:val="20"/>
          <w:szCs w:val="20"/>
          <w:lang w:eastAsia="en-US"/>
        </w:rPr>
        <w:t xml:space="preserve">There may be occasions where </w:t>
      </w:r>
      <w:r w:rsidRPr="003B7EF0">
        <w:rPr>
          <w:sz w:val="20"/>
          <w:szCs w:val="20"/>
          <w:lang w:eastAsia="en-US"/>
        </w:rPr>
        <w:t xml:space="preserve">the responsible Minister, the Premier </w:t>
      </w:r>
      <w:r w:rsidR="00931789" w:rsidRPr="003B7EF0">
        <w:rPr>
          <w:sz w:val="20"/>
          <w:szCs w:val="20"/>
          <w:lang w:eastAsia="en-US"/>
        </w:rPr>
        <w:t>and the Treasurer</w:t>
      </w:r>
      <w:r w:rsidRPr="003B7EF0">
        <w:rPr>
          <w:sz w:val="20"/>
          <w:szCs w:val="20"/>
          <w:lang w:eastAsia="en-US"/>
        </w:rPr>
        <w:t xml:space="preserve"> agree that </w:t>
      </w:r>
      <w:r w:rsidR="00931789" w:rsidRPr="003B7EF0">
        <w:rPr>
          <w:sz w:val="20"/>
          <w:szCs w:val="20"/>
          <w:lang w:eastAsia="en-US"/>
        </w:rPr>
        <w:t>the</w:t>
      </w:r>
      <w:r w:rsidRPr="003B7EF0">
        <w:rPr>
          <w:sz w:val="20"/>
          <w:szCs w:val="20"/>
          <w:lang w:eastAsia="en-US"/>
        </w:rPr>
        <w:t xml:space="preserve"> LIA should be publicly released. </w:t>
      </w:r>
    </w:p>
    <w:p w:rsidR="00605D8D" w:rsidRPr="003B7EF0" w:rsidRDefault="00605D8D" w:rsidP="00605D8D">
      <w:pPr>
        <w:pStyle w:val="Heading3NoNum"/>
        <w:rPr>
          <w:color w:val="auto"/>
          <w:sz w:val="22"/>
        </w:rPr>
      </w:pPr>
      <w:r w:rsidRPr="003B7EF0">
        <w:rPr>
          <w:color w:val="auto"/>
          <w:sz w:val="22"/>
        </w:rPr>
        <w:t>Exemptions from the LIA requirement</w:t>
      </w:r>
    </w:p>
    <w:p w:rsidR="00605D8D" w:rsidRPr="003B7EF0" w:rsidRDefault="00605D8D" w:rsidP="00605D8D">
      <w:pPr>
        <w:pStyle w:val="Heading4NoNum"/>
        <w:rPr>
          <w:color w:val="auto"/>
          <w:sz w:val="20"/>
          <w:szCs w:val="20"/>
        </w:rPr>
      </w:pPr>
      <w:r w:rsidRPr="003B7EF0">
        <w:rPr>
          <w:color w:val="auto"/>
          <w:sz w:val="20"/>
          <w:szCs w:val="20"/>
        </w:rPr>
        <w:t>COAG/national processes/other equivalent processes</w:t>
      </w:r>
    </w:p>
    <w:p w:rsidR="00605D8D" w:rsidRPr="003B7EF0" w:rsidRDefault="00605D8D" w:rsidP="00605D8D">
      <w:pPr>
        <w:rPr>
          <w:sz w:val="20"/>
          <w:szCs w:val="20"/>
          <w:lang w:eastAsia="en-US"/>
        </w:rPr>
      </w:pPr>
      <w:r w:rsidRPr="003B7EF0">
        <w:rPr>
          <w:sz w:val="20"/>
          <w:szCs w:val="20"/>
          <w:lang w:eastAsia="en-US"/>
        </w:rPr>
        <w:t>If a COAG/national RIS has been recently prepared (say, within the last three to five years) and it has been assessed as adequate at the decision</w:t>
      </w:r>
      <w:r w:rsidRPr="003B7EF0">
        <w:rPr>
          <w:sz w:val="20"/>
          <w:szCs w:val="20"/>
          <w:lang w:eastAsia="en-US"/>
        </w:rPr>
        <w:noBreakHyphen/>
        <w:t>making stage by the Commonwealth Government’s Office of Best Practice Regulation, it may be attached to the submission in lieu of an LIA</w:t>
      </w:r>
      <w:r w:rsidRPr="003B7EF0">
        <w:rPr>
          <w:sz w:val="20"/>
          <w:szCs w:val="20"/>
        </w:rPr>
        <w:t>.</w:t>
      </w:r>
      <w:r w:rsidRPr="003B7EF0">
        <w:rPr>
          <w:rStyle w:val="FootnoteReference"/>
          <w:sz w:val="20"/>
          <w:szCs w:val="20"/>
        </w:rPr>
        <w:footnoteReference w:id="6"/>
      </w:r>
      <w:r w:rsidRPr="003B7EF0">
        <w:rPr>
          <w:sz w:val="20"/>
          <w:szCs w:val="20"/>
        </w:rPr>
        <w:t xml:space="preserve"> </w:t>
      </w:r>
      <w:r w:rsidRPr="003B7EF0">
        <w:rPr>
          <w:sz w:val="20"/>
          <w:szCs w:val="20"/>
          <w:lang w:eastAsia="en-US"/>
        </w:rPr>
        <w:t>The RIS would need to have covered all issues required for an LIA (including the impact on small business). Similarly, any other equivalent analysis that has been conducted may be grounds for exemption from requiring an LIA (similar to the RIS exemption under SLA s12F (1</w:t>
      </w:r>
      <w:proofErr w:type="gramStart"/>
      <w:r w:rsidRPr="003B7EF0">
        <w:rPr>
          <w:sz w:val="20"/>
          <w:szCs w:val="20"/>
          <w:lang w:eastAsia="en-US"/>
        </w:rPr>
        <w:t>)(</w:t>
      </w:r>
      <w:proofErr w:type="gramEnd"/>
      <w:r w:rsidRPr="003B7EF0">
        <w:rPr>
          <w:sz w:val="20"/>
          <w:szCs w:val="20"/>
          <w:lang w:eastAsia="en-US"/>
        </w:rPr>
        <w:t xml:space="preserve">g).) </w:t>
      </w:r>
    </w:p>
    <w:p w:rsidR="00605D8D" w:rsidRPr="003B7EF0" w:rsidRDefault="00605D8D" w:rsidP="00605D8D">
      <w:pPr>
        <w:rPr>
          <w:sz w:val="20"/>
          <w:szCs w:val="20"/>
          <w:lang w:eastAsia="en-US"/>
        </w:rPr>
      </w:pPr>
      <w:r w:rsidRPr="003B7EF0">
        <w:rPr>
          <w:sz w:val="20"/>
          <w:szCs w:val="20"/>
          <w:lang w:eastAsia="en-US"/>
        </w:rPr>
        <w:t xml:space="preserve">Where departments are participating in national reform processes that involve developing national impact assessments (i.e. COAG/national RISs), they should engage with the </w:t>
      </w:r>
      <w:r w:rsidR="00D16A87">
        <w:rPr>
          <w:sz w:val="20"/>
          <w:szCs w:val="20"/>
          <w:lang w:eastAsia="en-US"/>
        </w:rPr>
        <w:t>Commissioner</w:t>
      </w:r>
      <w:r w:rsidRPr="003B7EF0">
        <w:rPr>
          <w:sz w:val="20"/>
          <w:szCs w:val="20"/>
          <w:lang w:eastAsia="en-US"/>
        </w:rPr>
        <w:t xml:space="preserve"> as early as possible. In this way, it would be hoped that areas where early draft RISs do not meet Victorian standards of adequacy can be satisfactorily addressed by the time final documents are released for public comment.</w:t>
      </w:r>
    </w:p>
    <w:p w:rsidR="00605D8D" w:rsidRPr="003B7EF0" w:rsidRDefault="00605D8D" w:rsidP="00605D8D">
      <w:pPr>
        <w:rPr>
          <w:sz w:val="20"/>
          <w:szCs w:val="20"/>
          <w:lang w:eastAsia="en-US"/>
        </w:rPr>
      </w:pPr>
      <w:r w:rsidRPr="003B7EF0">
        <w:rPr>
          <w:sz w:val="20"/>
          <w:szCs w:val="20"/>
          <w:lang w:eastAsia="en-US"/>
        </w:rPr>
        <w:t xml:space="preserve">As outlined in </w:t>
      </w:r>
      <w:r w:rsidR="003321AB" w:rsidRPr="003B7EF0">
        <w:rPr>
          <w:sz w:val="20"/>
          <w:szCs w:val="20"/>
          <w:lang w:eastAsia="en-US"/>
        </w:rPr>
        <w:t>s</w:t>
      </w:r>
      <w:r w:rsidR="00D13659" w:rsidRPr="003B7EF0">
        <w:rPr>
          <w:sz w:val="20"/>
          <w:szCs w:val="20"/>
          <w:lang w:eastAsia="en-US"/>
        </w:rPr>
        <w:t>ection</w:t>
      </w:r>
      <w:r w:rsidR="00CE2C34" w:rsidRPr="003B7EF0">
        <w:rPr>
          <w:sz w:val="20"/>
          <w:szCs w:val="20"/>
          <w:lang w:eastAsia="en-US"/>
        </w:rPr>
        <w:t xml:space="preserve"> 1.5</w:t>
      </w:r>
      <w:r w:rsidR="004C0B3C" w:rsidRPr="003B7EF0">
        <w:rPr>
          <w:sz w:val="20"/>
          <w:szCs w:val="20"/>
          <w:lang w:eastAsia="en-US"/>
        </w:rPr>
        <w:t>.2</w:t>
      </w:r>
      <w:r w:rsidR="003321AB" w:rsidRPr="003B7EF0">
        <w:rPr>
          <w:sz w:val="20"/>
          <w:szCs w:val="20"/>
          <w:lang w:eastAsia="en-US"/>
        </w:rPr>
        <w:t xml:space="preserve"> </w:t>
      </w:r>
      <w:r w:rsidRPr="003B7EF0">
        <w:rPr>
          <w:sz w:val="20"/>
          <w:szCs w:val="20"/>
          <w:lang w:eastAsia="en-US"/>
        </w:rPr>
        <w:t xml:space="preserve">below, the </w:t>
      </w:r>
      <w:r w:rsidR="00D16A87">
        <w:rPr>
          <w:sz w:val="20"/>
          <w:szCs w:val="20"/>
          <w:lang w:eastAsia="en-US"/>
        </w:rPr>
        <w:t>Commissioner</w:t>
      </w:r>
      <w:r w:rsidRPr="003B7EF0">
        <w:rPr>
          <w:sz w:val="20"/>
          <w:szCs w:val="20"/>
          <w:lang w:eastAsia="en-US"/>
        </w:rPr>
        <w:t xml:space="preserve"> must be provided with a copy of the draft COAG/national RIS when it is released for consultation after assessment by the Office of Best Practice Regulation (this would also apply to any other equivalent analysis being used as a grounds for exemption). Any comments on the COAG/national RIS made by the </w:t>
      </w:r>
      <w:r w:rsidR="00D16A87">
        <w:rPr>
          <w:sz w:val="20"/>
          <w:szCs w:val="20"/>
          <w:lang w:eastAsia="en-US"/>
        </w:rPr>
        <w:t>Commissioner</w:t>
      </w:r>
      <w:r w:rsidRPr="003B7EF0">
        <w:rPr>
          <w:sz w:val="20"/>
          <w:szCs w:val="20"/>
          <w:lang w:eastAsia="en-US"/>
        </w:rPr>
        <w:t xml:space="preserve"> must be taken into account when determining whether an LIA is required.</w:t>
      </w:r>
      <w:r w:rsidR="00CB101E" w:rsidRPr="003B7EF0">
        <w:rPr>
          <w:sz w:val="20"/>
          <w:szCs w:val="20"/>
          <w:lang w:eastAsia="en-US"/>
        </w:rPr>
        <w:t xml:space="preserve"> The </w:t>
      </w:r>
      <w:r w:rsidR="00D16A87">
        <w:rPr>
          <w:sz w:val="20"/>
          <w:szCs w:val="20"/>
          <w:lang w:eastAsia="en-US"/>
        </w:rPr>
        <w:t>Commissioner</w:t>
      </w:r>
      <w:r w:rsidR="00CB101E" w:rsidRPr="003B7EF0">
        <w:rPr>
          <w:sz w:val="20"/>
          <w:szCs w:val="20"/>
          <w:lang w:eastAsia="en-US"/>
        </w:rPr>
        <w:t xml:space="preserve"> must also be provided with a copy of the decision COAG/national RIS.</w:t>
      </w:r>
    </w:p>
    <w:p w:rsidR="00605D8D" w:rsidRPr="003B7EF0" w:rsidRDefault="00605D8D" w:rsidP="00605D8D">
      <w:pPr>
        <w:pStyle w:val="Heading4NoNum"/>
        <w:rPr>
          <w:color w:val="auto"/>
          <w:sz w:val="20"/>
          <w:szCs w:val="20"/>
        </w:rPr>
      </w:pPr>
      <w:r w:rsidRPr="003B7EF0">
        <w:rPr>
          <w:color w:val="auto"/>
          <w:sz w:val="20"/>
          <w:szCs w:val="20"/>
        </w:rPr>
        <w:t>Premier’s exemption</w:t>
      </w:r>
    </w:p>
    <w:p w:rsidR="00605D8D" w:rsidRPr="003B7EF0" w:rsidRDefault="00605D8D" w:rsidP="00605D8D">
      <w:pPr>
        <w:rPr>
          <w:sz w:val="20"/>
          <w:szCs w:val="20"/>
          <w:lang w:eastAsia="en-US"/>
        </w:rPr>
      </w:pPr>
      <w:proofErr w:type="gramStart"/>
      <w:r w:rsidRPr="003B7EF0">
        <w:rPr>
          <w:sz w:val="20"/>
          <w:szCs w:val="20"/>
          <w:lang w:eastAsia="en-US"/>
        </w:rPr>
        <w:t>Even where a legislative proposal does have ‘significant effects’, there may be exceptional circumstances that require its exemption from the LIA requirement (for example, due to the urgency of the proposed legislation).</w:t>
      </w:r>
      <w:proofErr w:type="gramEnd"/>
      <w:r w:rsidRPr="003B7EF0">
        <w:rPr>
          <w:sz w:val="20"/>
          <w:szCs w:val="20"/>
          <w:lang w:eastAsia="en-US"/>
        </w:rPr>
        <w:t xml:space="preserve"> In such cases, the responsible Minister must gain an exemption from the Premier, who has discretion to exempt legislative proposals from an LIA. A request for an exemption must be made to the Premier in writing, with full details of why an exemption is being sought. </w:t>
      </w:r>
    </w:p>
    <w:p w:rsidR="00605D8D" w:rsidRPr="003B7EF0" w:rsidRDefault="00605D8D" w:rsidP="00605D8D">
      <w:pPr>
        <w:rPr>
          <w:sz w:val="20"/>
          <w:szCs w:val="20"/>
          <w:lang w:eastAsia="en-US"/>
        </w:rPr>
      </w:pPr>
      <w:r w:rsidRPr="003B7EF0">
        <w:rPr>
          <w:sz w:val="20"/>
          <w:szCs w:val="20"/>
          <w:lang w:eastAsia="en-US"/>
        </w:rPr>
        <w:t xml:space="preserve">Where granted, the Premier’s exemption must be attached to the appropriate Cabinet Committee submission. </w:t>
      </w:r>
    </w:p>
    <w:p w:rsidR="00605D8D" w:rsidRPr="003B7EF0" w:rsidRDefault="00605D8D" w:rsidP="00605D8D">
      <w:pPr>
        <w:rPr>
          <w:sz w:val="20"/>
          <w:szCs w:val="20"/>
          <w:lang w:eastAsia="en-US"/>
        </w:rPr>
      </w:pPr>
      <w:r w:rsidRPr="003B7EF0">
        <w:rPr>
          <w:sz w:val="20"/>
          <w:szCs w:val="20"/>
          <w:lang w:eastAsia="en-US"/>
        </w:rPr>
        <w:t>Exemptions will be granted sparingly. While an exemption will generally be granted where a Bill is urgent, it will not be granted where a department should have foreseen a need to complete an LIA.</w:t>
      </w:r>
    </w:p>
    <w:p w:rsidR="00605D8D" w:rsidRPr="003B7EF0" w:rsidRDefault="00605D8D" w:rsidP="00605D8D">
      <w:pPr>
        <w:rPr>
          <w:sz w:val="20"/>
          <w:szCs w:val="20"/>
          <w:lang w:eastAsia="en-US"/>
        </w:rPr>
      </w:pPr>
      <w:r w:rsidRPr="003B7EF0">
        <w:rPr>
          <w:sz w:val="20"/>
          <w:szCs w:val="20"/>
          <w:lang w:eastAsia="en-US"/>
        </w:rPr>
        <w:t>All correspondence regarding requests for LIA exemptions must be forwarded to the Economic Policy Branch in the Department of Premier and Cabinet. To assist in the timely granting of exemptions, departments must notify the Economic Policy Branch as soon as an exemption is being sought.</w:t>
      </w:r>
    </w:p>
    <w:p w:rsidR="00605D8D" w:rsidRPr="003B7EF0" w:rsidRDefault="00605D8D" w:rsidP="00605D8D">
      <w:pPr>
        <w:rPr>
          <w:sz w:val="20"/>
          <w:szCs w:val="20"/>
          <w:lang w:eastAsia="en-US"/>
        </w:rPr>
      </w:pPr>
      <w:r w:rsidRPr="003B7EF0">
        <w:rPr>
          <w:sz w:val="20"/>
          <w:szCs w:val="20"/>
          <w:lang w:eastAsia="en-US"/>
        </w:rPr>
        <w:t>Where a Premier’s exemption from undertaking an LIA is granted:</w:t>
      </w:r>
    </w:p>
    <w:p w:rsidR="00605D8D" w:rsidRPr="003B7EF0" w:rsidRDefault="00605D8D" w:rsidP="00605D8D">
      <w:pPr>
        <w:pStyle w:val="Bullet1"/>
        <w:rPr>
          <w:sz w:val="20"/>
          <w:szCs w:val="20"/>
          <w:lang w:eastAsia="en-US"/>
        </w:rPr>
      </w:pPr>
      <w:r w:rsidRPr="003B7EF0">
        <w:rPr>
          <w:sz w:val="20"/>
          <w:szCs w:val="20"/>
          <w:lang w:eastAsia="en-US"/>
        </w:rPr>
        <w:t xml:space="preserve">the relevant department must prepare an evaluation strategy consistent with the approach outlined in </w:t>
      </w:r>
      <w:r w:rsidR="003321AB" w:rsidRPr="003B7EF0">
        <w:rPr>
          <w:sz w:val="20"/>
          <w:szCs w:val="20"/>
          <w:lang w:eastAsia="en-US"/>
        </w:rPr>
        <w:t>the Victorian Guide to Regulation</w:t>
      </w:r>
      <w:r w:rsidRPr="003B7EF0">
        <w:rPr>
          <w:sz w:val="20"/>
          <w:szCs w:val="20"/>
          <w:lang w:eastAsia="en-US"/>
        </w:rPr>
        <w:t>; and</w:t>
      </w:r>
    </w:p>
    <w:p w:rsidR="00605D8D" w:rsidRPr="003B7EF0" w:rsidRDefault="00605D8D" w:rsidP="00605D8D">
      <w:pPr>
        <w:pStyle w:val="Bullet1"/>
        <w:rPr>
          <w:sz w:val="20"/>
          <w:szCs w:val="20"/>
          <w:lang w:eastAsia="en-US"/>
        </w:rPr>
      </w:pPr>
      <w:proofErr w:type="gramStart"/>
      <w:r w:rsidRPr="003B7EF0">
        <w:rPr>
          <w:sz w:val="20"/>
          <w:szCs w:val="20"/>
          <w:lang w:eastAsia="en-US"/>
        </w:rPr>
        <w:t>an</w:t>
      </w:r>
      <w:proofErr w:type="gramEnd"/>
      <w:r w:rsidRPr="003B7EF0">
        <w:rPr>
          <w:sz w:val="20"/>
          <w:szCs w:val="20"/>
          <w:lang w:eastAsia="en-US"/>
        </w:rPr>
        <w:t xml:space="preserve"> evaluation of the legislation must be undertaken within three years of commencement.</w:t>
      </w:r>
      <w:r w:rsidR="00520823" w:rsidRPr="003B7EF0">
        <w:rPr>
          <w:sz w:val="20"/>
          <w:szCs w:val="20"/>
          <w:lang w:eastAsia="en-US"/>
        </w:rPr>
        <w:t xml:space="preserve"> Evaluations will be assessed by the </w:t>
      </w:r>
      <w:r w:rsidR="00B36AEE">
        <w:rPr>
          <w:sz w:val="20"/>
          <w:szCs w:val="20"/>
          <w:lang w:eastAsia="en-US"/>
        </w:rPr>
        <w:t>Commissioner</w:t>
      </w:r>
      <w:r w:rsidR="00520823" w:rsidRPr="003B7EF0">
        <w:rPr>
          <w:sz w:val="20"/>
          <w:szCs w:val="20"/>
          <w:lang w:eastAsia="en-US"/>
        </w:rPr>
        <w:t>.</w:t>
      </w:r>
    </w:p>
    <w:p w:rsidR="00605D8D" w:rsidRPr="00B40862" w:rsidRDefault="00605D8D" w:rsidP="00605D8D">
      <w:pPr>
        <w:pStyle w:val="Heading3"/>
        <w:rPr>
          <w:b w:val="0"/>
          <w:bCs/>
          <w:color w:val="004EA8"/>
        </w:rPr>
      </w:pPr>
      <w:r w:rsidRPr="00B40862">
        <w:rPr>
          <w:b w:val="0"/>
          <w:color w:val="004EA8"/>
        </w:rPr>
        <w:t>Role of consultation in the LIA process</w:t>
      </w:r>
    </w:p>
    <w:p w:rsidR="00605D8D" w:rsidRPr="003B7EF0" w:rsidRDefault="00605D8D" w:rsidP="00605D8D">
      <w:pPr>
        <w:rPr>
          <w:sz w:val="20"/>
          <w:szCs w:val="20"/>
          <w:lang w:eastAsia="en-US"/>
        </w:rPr>
      </w:pPr>
      <w:r w:rsidRPr="003B7EF0">
        <w:rPr>
          <w:sz w:val="20"/>
          <w:szCs w:val="20"/>
          <w:lang w:eastAsia="en-US"/>
        </w:rPr>
        <w:t xml:space="preserve">LIAs are not subject to the same formal consultative arrangements that apply to the RISs (which are stipulated in the </w:t>
      </w:r>
      <w:r w:rsidRPr="003B7EF0">
        <w:rPr>
          <w:i/>
          <w:sz w:val="20"/>
          <w:szCs w:val="20"/>
          <w:lang w:eastAsia="en-US"/>
        </w:rPr>
        <w:t>Subordinate Legislation Act 1994</w:t>
      </w:r>
      <w:r w:rsidRPr="003B7EF0">
        <w:rPr>
          <w:sz w:val="20"/>
          <w:szCs w:val="20"/>
          <w:lang w:eastAsia="en-US"/>
        </w:rPr>
        <w:t xml:space="preserve"> and discussed in </w:t>
      </w:r>
      <w:r w:rsidR="003321AB" w:rsidRPr="003B7EF0">
        <w:rPr>
          <w:sz w:val="20"/>
          <w:szCs w:val="20"/>
          <w:lang w:eastAsia="en-US"/>
        </w:rPr>
        <w:t>s</w:t>
      </w:r>
      <w:r w:rsidR="00D13659" w:rsidRPr="003B7EF0">
        <w:rPr>
          <w:sz w:val="20"/>
          <w:szCs w:val="20"/>
          <w:lang w:eastAsia="en-US"/>
        </w:rPr>
        <w:t>ection </w:t>
      </w:r>
      <w:r w:rsidR="00CE2C34" w:rsidRPr="003B7EF0">
        <w:rPr>
          <w:sz w:val="20"/>
          <w:szCs w:val="20"/>
          <w:lang w:eastAsia="en-US"/>
        </w:rPr>
        <w:t>1.5</w:t>
      </w:r>
      <w:r w:rsidR="004C0B3C" w:rsidRPr="003B7EF0">
        <w:rPr>
          <w:sz w:val="20"/>
          <w:szCs w:val="20"/>
          <w:lang w:eastAsia="en-US"/>
        </w:rPr>
        <w:t xml:space="preserve">.4 </w:t>
      </w:r>
      <w:r w:rsidRPr="003B7EF0">
        <w:rPr>
          <w:sz w:val="20"/>
          <w:szCs w:val="20"/>
          <w:lang w:eastAsia="en-US"/>
        </w:rPr>
        <w:t xml:space="preserve">below). Nevertheless, it is good practice to consult, where appropriate, since consultation with key affected stakeholders during the initial stages of the LIA process can assist in the examination of costs and benefits of the proposed legislation and the assessment of other </w:t>
      </w:r>
      <w:r w:rsidRPr="003B7EF0">
        <w:rPr>
          <w:sz w:val="20"/>
          <w:szCs w:val="20"/>
          <w:lang w:val="en-US"/>
        </w:rPr>
        <w:t>options.</w:t>
      </w:r>
      <w:r w:rsidRPr="003B7EF0">
        <w:rPr>
          <w:rStyle w:val="FootnoteReference"/>
          <w:sz w:val="20"/>
          <w:szCs w:val="20"/>
          <w:lang w:val="en-US"/>
        </w:rPr>
        <w:footnoteReference w:id="7"/>
      </w:r>
      <w:r w:rsidRPr="003B7EF0">
        <w:rPr>
          <w:sz w:val="20"/>
          <w:szCs w:val="20"/>
          <w:lang w:val="en-US"/>
        </w:rPr>
        <w:t xml:space="preserve"> </w:t>
      </w:r>
      <w:r w:rsidRPr="003B7EF0">
        <w:rPr>
          <w:sz w:val="20"/>
          <w:szCs w:val="20"/>
          <w:lang w:eastAsia="en-US"/>
        </w:rPr>
        <w:t xml:space="preserve">However, consultation is not always appropriate – for example, there may be instances where consultation may compromise the intention of any proposed legislative measure. In cases where consultation is not undertaken, other sources of information about costs and benefits may be used. </w:t>
      </w:r>
    </w:p>
    <w:p w:rsidR="00A41821" w:rsidRPr="003B7EF0" w:rsidRDefault="00A41821" w:rsidP="00A41821">
      <w:pPr>
        <w:rPr>
          <w:sz w:val="20"/>
          <w:szCs w:val="20"/>
          <w:lang w:eastAsia="en-US"/>
        </w:rPr>
      </w:pPr>
      <w:r w:rsidRPr="003B7EF0">
        <w:rPr>
          <w:sz w:val="20"/>
          <w:szCs w:val="20"/>
          <w:lang w:eastAsia="en-US"/>
        </w:rPr>
        <w:t xml:space="preserve">In general, LIAs should be publicly released. There may be occasions where it is decided that the information contained within an LIA should be treated as Cabinet-in-Confidence. In such cases, the responsible Minister, the Premier and the Treasurer can agree that the LIA should not be publicly released. </w:t>
      </w:r>
    </w:p>
    <w:p w:rsidR="00605D8D" w:rsidRPr="00B40862" w:rsidRDefault="00605D8D" w:rsidP="00605D8D">
      <w:pPr>
        <w:pStyle w:val="Heading3"/>
        <w:rPr>
          <w:b w:val="0"/>
          <w:bCs/>
          <w:color w:val="004EA8"/>
        </w:rPr>
      </w:pPr>
      <w:r w:rsidRPr="00B40862">
        <w:rPr>
          <w:b w:val="0"/>
          <w:color w:val="004EA8"/>
        </w:rPr>
        <w:t>Assessing the adequacy of the LIA</w:t>
      </w:r>
    </w:p>
    <w:p w:rsidR="00605D8D" w:rsidRPr="003B7EF0" w:rsidRDefault="00605D8D" w:rsidP="00605D8D">
      <w:pPr>
        <w:rPr>
          <w:sz w:val="20"/>
          <w:szCs w:val="20"/>
          <w:lang w:eastAsia="en-US"/>
        </w:rPr>
      </w:pPr>
      <w:r w:rsidRPr="003B7EF0">
        <w:rPr>
          <w:sz w:val="20"/>
          <w:szCs w:val="20"/>
          <w:lang w:eastAsia="en-US"/>
        </w:rPr>
        <w:t xml:space="preserve">The </w:t>
      </w:r>
      <w:r w:rsidR="00B36AEE">
        <w:rPr>
          <w:sz w:val="20"/>
          <w:szCs w:val="20"/>
          <w:lang w:eastAsia="en-US"/>
        </w:rPr>
        <w:t>Commissioner</w:t>
      </w:r>
      <w:r w:rsidRPr="003B7EF0">
        <w:rPr>
          <w:sz w:val="20"/>
          <w:szCs w:val="20"/>
          <w:lang w:eastAsia="en-US"/>
        </w:rPr>
        <w:t xml:space="preserve"> independently assesses the adequacy of all LIAs prior to consideration of the associated legislation by Cabinet or Cabinet Committee. The </w:t>
      </w:r>
      <w:r w:rsidR="00B36AEE">
        <w:rPr>
          <w:sz w:val="20"/>
          <w:szCs w:val="20"/>
          <w:lang w:eastAsia="en-US"/>
        </w:rPr>
        <w:t>Commissioner</w:t>
      </w:r>
      <w:r w:rsidRPr="003B7EF0">
        <w:rPr>
          <w:sz w:val="20"/>
          <w:szCs w:val="20"/>
          <w:lang w:eastAsia="en-US"/>
        </w:rPr>
        <w:t xml:space="preserve"> provides advice on the adequacy of LIAs, and any concerns that remain unresolved. Where the </w:t>
      </w:r>
      <w:r w:rsidR="00B36AEE">
        <w:rPr>
          <w:sz w:val="20"/>
          <w:szCs w:val="20"/>
          <w:lang w:eastAsia="en-US"/>
        </w:rPr>
        <w:t>Commissioner</w:t>
      </w:r>
      <w:r w:rsidRPr="003B7EF0">
        <w:rPr>
          <w:sz w:val="20"/>
          <w:szCs w:val="20"/>
          <w:lang w:eastAsia="en-US"/>
        </w:rPr>
        <w:t xml:space="preserve"> is not satisfied that the LIA meets the appropriate standards, the LIA is referred back to the originating government department/agency for further work, amendment and re</w:t>
      </w:r>
      <w:r w:rsidRPr="003B7EF0">
        <w:rPr>
          <w:sz w:val="20"/>
          <w:szCs w:val="20"/>
          <w:lang w:eastAsia="en-US"/>
        </w:rPr>
        <w:noBreakHyphen/>
        <w:t xml:space="preserve">submission. Government departments and agencies are encouraged to consult with the </w:t>
      </w:r>
      <w:r w:rsidR="00B36AEE">
        <w:rPr>
          <w:sz w:val="20"/>
          <w:szCs w:val="20"/>
          <w:lang w:eastAsia="en-US"/>
        </w:rPr>
        <w:t>Commissioner</w:t>
      </w:r>
      <w:r w:rsidRPr="003B7EF0">
        <w:rPr>
          <w:sz w:val="20"/>
          <w:szCs w:val="20"/>
          <w:lang w:eastAsia="en-US"/>
        </w:rPr>
        <w:t xml:space="preserve"> early in the LIA process so that the </w:t>
      </w:r>
      <w:r w:rsidR="00B36AEE">
        <w:rPr>
          <w:sz w:val="20"/>
          <w:szCs w:val="20"/>
          <w:lang w:eastAsia="en-US"/>
        </w:rPr>
        <w:t>Commissioner</w:t>
      </w:r>
      <w:r w:rsidRPr="003B7EF0">
        <w:rPr>
          <w:sz w:val="20"/>
          <w:szCs w:val="20"/>
          <w:lang w:eastAsia="en-US"/>
        </w:rPr>
        <w:t xml:space="preserve">’s assessment and guidance can be provided in a timely fashion. </w:t>
      </w:r>
    </w:p>
    <w:p w:rsidR="00605D8D" w:rsidRPr="003B7EF0" w:rsidRDefault="00605D8D" w:rsidP="00605D8D">
      <w:pPr>
        <w:rPr>
          <w:sz w:val="20"/>
          <w:szCs w:val="20"/>
          <w:lang w:eastAsia="en-US"/>
        </w:rPr>
      </w:pPr>
      <w:r w:rsidRPr="003B7EF0">
        <w:rPr>
          <w:sz w:val="20"/>
          <w:szCs w:val="20"/>
          <w:lang w:eastAsia="en-US"/>
        </w:rPr>
        <w:t xml:space="preserve">The responsible Minister can still submit the proposal to Cabinet or the relevant Cabinet Committee even if the </w:t>
      </w:r>
      <w:r w:rsidR="00B36AEE">
        <w:rPr>
          <w:sz w:val="20"/>
          <w:szCs w:val="20"/>
          <w:lang w:eastAsia="en-US"/>
        </w:rPr>
        <w:t>Commissioner</w:t>
      </w:r>
      <w:r w:rsidRPr="003B7EF0">
        <w:rPr>
          <w:sz w:val="20"/>
          <w:szCs w:val="20"/>
          <w:lang w:eastAsia="en-US"/>
        </w:rPr>
        <w:t xml:space="preserve"> is not completely satisfied about the adequacy of the LIA. However, details of the </w:t>
      </w:r>
      <w:r w:rsidR="00B36AEE">
        <w:rPr>
          <w:sz w:val="20"/>
          <w:szCs w:val="20"/>
          <w:lang w:eastAsia="en-US"/>
        </w:rPr>
        <w:t>Commissioner</w:t>
      </w:r>
      <w:r w:rsidRPr="003B7EF0">
        <w:rPr>
          <w:sz w:val="20"/>
          <w:szCs w:val="20"/>
          <w:lang w:eastAsia="en-US"/>
        </w:rPr>
        <w:t>’s concerns must be attached to the submission, and would therefore be taken into account in the Cabinet/Cabinet Committee decision</w:t>
      </w:r>
      <w:r w:rsidRPr="003B7EF0">
        <w:rPr>
          <w:sz w:val="20"/>
          <w:szCs w:val="20"/>
          <w:lang w:eastAsia="en-US"/>
        </w:rPr>
        <w:noBreakHyphen/>
        <w:t>making process.</w:t>
      </w:r>
    </w:p>
    <w:p w:rsidR="00605D8D" w:rsidRPr="003B7EF0" w:rsidRDefault="003B7EF0" w:rsidP="00605D8D">
      <w:pPr>
        <w:ind w:left="720"/>
        <w:rPr>
          <w:sz w:val="20"/>
          <w:szCs w:val="20"/>
          <w:lang w:eastAsia="en-US"/>
        </w:rPr>
      </w:pPr>
      <w:r>
        <w:rPr>
          <w:sz w:val="20"/>
          <w:szCs w:val="20"/>
          <w:lang w:eastAsia="en-US"/>
        </w:rPr>
        <w:t xml:space="preserve"> </w:t>
      </w:r>
      <w:r w:rsidR="00605D8D" w:rsidRPr="003B7EF0">
        <w:rPr>
          <w:sz w:val="20"/>
          <w:szCs w:val="20"/>
          <w:lang w:eastAsia="en-US"/>
        </w:rPr>
        <w:t xml:space="preserve">The </w:t>
      </w:r>
      <w:r w:rsidR="00B36AEE">
        <w:rPr>
          <w:sz w:val="20"/>
          <w:szCs w:val="20"/>
          <w:lang w:eastAsia="en-US"/>
        </w:rPr>
        <w:t>Commissioner</w:t>
      </w:r>
      <w:r w:rsidR="00605D8D" w:rsidRPr="003B7EF0">
        <w:rPr>
          <w:sz w:val="20"/>
          <w:szCs w:val="20"/>
          <w:lang w:eastAsia="en-US"/>
        </w:rPr>
        <w:t>’</w:t>
      </w:r>
      <w:r w:rsidR="00605D8D" w:rsidRPr="003B7EF0">
        <w:rPr>
          <w:sz w:val="20"/>
          <w:szCs w:val="20"/>
        </w:rPr>
        <w:t>s</w:t>
      </w:r>
      <w:r w:rsidR="00605D8D" w:rsidRPr="003B7EF0">
        <w:rPr>
          <w:sz w:val="20"/>
          <w:szCs w:val="20"/>
          <w:lang w:eastAsia="en-US"/>
        </w:rPr>
        <w:t xml:space="preserve"> role in the LIA process is illustrated in Figure 1.</w:t>
      </w:r>
    </w:p>
    <w:p w:rsidR="00605D8D" w:rsidRPr="003B7EF0" w:rsidRDefault="00605D8D" w:rsidP="00605D8D">
      <w:pPr>
        <w:rPr>
          <w:sz w:val="20"/>
          <w:szCs w:val="20"/>
          <w:lang w:eastAsia="en-US"/>
        </w:rPr>
      </w:pPr>
      <w:r w:rsidRPr="003B7EF0">
        <w:rPr>
          <w:sz w:val="20"/>
          <w:szCs w:val="20"/>
          <w:lang w:eastAsia="en-US"/>
        </w:rPr>
        <w:t xml:space="preserve">The </w:t>
      </w:r>
      <w:r w:rsidR="00B36AEE">
        <w:rPr>
          <w:sz w:val="20"/>
          <w:szCs w:val="20"/>
          <w:lang w:eastAsia="en-US"/>
        </w:rPr>
        <w:t xml:space="preserve">Commissioner </w:t>
      </w:r>
      <w:r w:rsidRPr="003B7EF0">
        <w:rPr>
          <w:sz w:val="20"/>
          <w:szCs w:val="20"/>
          <w:lang w:eastAsia="en-US"/>
        </w:rPr>
        <w:t>report</w:t>
      </w:r>
      <w:r w:rsidR="00B36AEE">
        <w:rPr>
          <w:sz w:val="20"/>
          <w:szCs w:val="20"/>
          <w:lang w:eastAsia="en-US"/>
        </w:rPr>
        <w:t>s</w:t>
      </w:r>
      <w:r w:rsidRPr="003B7EF0">
        <w:rPr>
          <w:sz w:val="20"/>
          <w:szCs w:val="20"/>
          <w:lang w:eastAsia="en-US"/>
        </w:rPr>
        <w:t xml:space="preserve"> annually to the Treasurer on the nature and extent of compliance with the published policies currently applying to government bodies in relation to </w:t>
      </w:r>
      <w:r w:rsidR="00B55850">
        <w:rPr>
          <w:sz w:val="20"/>
          <w:szCs w:val="20"/>
          <w:lang w:eastAsia="en-US"/>
        </w:rPr>
        <w:t>R</w:t>
      </w:r>
      <w:r w:rsidRPr="003B7EF0">
        <w:rPr>
          <w:sz w:val="20"/>
          <w:szCs w:val="20"/>
          <w:lang w:eastAsia="en-US"/>
        </w:rPr>
        <w:t xml:space="preserve">egulatory </w:t>
      </w:r>
      <w:r w:rsidR="00B55850">
        <w:rPr>
          <w:sz w:val="20"/>
          <w:szCs w:val="20"/>
          <w:lang w:eastAsia="en-US"/>
        </w:rPr>
        <w:t>I</w:t>
      </w:r>
      <w:r w:rsidRPr="003B7EF0">
        <w:rPr>
          <w:sz w:val="20"/>
          <w:szCs w:val="20"/>
          <w:lang w:eastAsia="en-US"/>
        </w:rPr>
        <w:t xml:space="preserve">mpact </w:t>
      </w:r>
      <w:r w:rsidR="00B55850">
        <w:rPr>
          <w:sz w:val="20"/>
          <w:szCs w:val="20"/>
          <w:lang w:eastAsia="en-US"/>
        </w:rPr>
        <w:t>S</w:t>
      </w:r>
      <w:r w:rsidRPr="003B7EF0">
        <w:rPr>
          <w:sz w:val="20"/>
          <w:szCs w:val="20"/>
          <w:lang w:eastAsia="en-US"/>
        </w:rPr>
        <w:t xml:space="preserve">tatements and Legislative Impact Assessments. </w:t>
      </w:r>
    </w:p>
    <w:p w:rsidR="00605D8D" w:rsidRPr="003B7EF0" w:rsidRDefault="00D13659" w:rsidP="00605D8D">
      <w:pPr>
        <w:rPr>
          <w:sz w:val="20"/>
          <w:szCs w:val="20"/>
          <w:lang w:eastAsia="en-US"/>
        </w:rPr>
      </w:pPr>
      <w:r w:rsidRPr="003B7EF0">
        <w:rPr>
          <w:sz w:val="20"/>
          <w:szCs w:val="20"/>
          <w:lang w:eastAsia="en-US"/>
        </w:rPr>
        <w:t>Section </w:t>
      </w:r>
      <w:r w:rsidR="004C0B3C" w:rsidRPr="003B7EF0">
        <w:rPr>
          <w:sz w:val="20"/>
          <w:szCs w:val="20"/>
          <w:lang w:eastAsia="en-US"/>
        </w:rPr>
        <w:t>1.</w:t>
      </w:r>
      <w:r w:rsidR="005C086B">
        <w:rPr>
          <w:sz w:val="20"/>
          <w:szCs w:val="20"/>
          <w:lang w:eastAsia="en-US"/>
        </w:rPr>
        <w:t>5</w:t>
      </w:r>
      <w:r w:rsidR="004C0B3C" w:rsidRPr="003B7EF0">
        <w:rPr>
          <w:sz w:val="20"/>
          <w:szCs w:val="20"/>
          <w:lang w:eastAsia="en-US"/>
        </w:rPr>
        <w:t xml:space="preserve">.5 </w:t>
      </w:r>
      <w:r w:rsidR="00605D8D" w:rsidRPr="003B7EF0">
        <w:rPr>
          <w:sz w:val="20"/>
          <w:szCs w:val="20"/>
          <w:lang w:eastAsia="en-US"/>
        </w:rPr>
        <w:t xml:space="preserve">below discusses issues in relation to the </w:t>
      </w:r>
      <w:r w:rsidR="00B36AEE">
        <w:rPr>
          <w:sz w:val="20"/>
          <w:szCs w:val="20"/>
          <w:lang w:eastAsia="en-US"/>
        </w:rPr>
        <w:t>Commissioner</w:t>
      </w:r>
      <w:r w:rsidR="00605D8D" w:rsidRPr="003B7EF0">
        <w:rPr>
          <w:sz w:val="20"/>
          <w:szCs w:val="20"/>
          <w:lang w:eastAsia="en-US"/>
        </w:rPr>
        <w:t>’s assessment of cost</w:t>
      </w:r>
      <w:r w:rsidR="00605D8D" w:rsidRPr="003B7EF0">
        <w:rPr>
          <w:sz w:val="20"/>
          <w:szCs w:val="20"/>
          <w:lang w:eastAsia="en-US"/>
        </w:rPr>
        <w:noBreakHyphen/>
        <w:t>benefit analysis that are relevant to its evaluation of LIAs as well as RISs.</w:t>
      </w:r>
    </w:p>
    <w:p w:rsidR="00605D8D" w:rsidRPr="00B40862" w:rsidRDefault="00605D8D" w:rsidP="00605D8D">
      <w:pPr>
        <w:pStyle w:val="Heading3"/>
        <w:rPr>
          <w:b w:val="0"/>
          <w:bCs/>
          <w:color w:val="004EA8"/>
        </w:rPr>
      </w:pPr>
      <w:r w:rsidRPr="00B40862">
        <w:rPr>
          <w:b w:val="0"/>
          <w:color w:val="004EA8"/>
        </w:rPr>
        <w:t>Timing considerations</w:t>
      </w:r>
    </w:p>
    <w:p w:rsidR="00605D8D" w:rsidRPr="003B7EF0" w:rsidRDefault="00605D8D" w:rsidP="00605D8D">
      <w:pPr>
        <w:rPr>
          <w:sz w:val="20"/>
          <w:szCs w:val="20"/>
          <w:lang w:eastAsia="en-US"/>
        </w:rPr>
      </w:pPr>
      <w:r w:rsidRPr="003B7EF0">
        <w:rPr>
          <w:sz w:val="20"/>
          <w:szCs w:val="20"/>
          <w:lang w:eastAsia="en-US"/>
        </w:rPr>
        <w:t xml:space="preserve">Experience to date suggests that the preparation of an LIA will not have any substantive effect on overall timelines when this requirement has been factored into the planning of the policy development process. The time taken to prepare an LIA (which can be undertaken concurrently with other key tasks) will depend on the complexity of the proposal, the available data and analysis, the skills and experience of those assigned to the task (or those of any external resources used), and the planned consultation and clearance processes of each particular department/agency. </w:t>
      </w:r>
      <w:r w:rsidR="00520823" w:rsidRPr="003B7EF0">
        <w:rPr>
          <w:sz w:val="20"/>
          <w:szCs w:val="20"/>
          <w:lang w:eastAsia="en-US"/>
        </w:rPr>
        <w:t xml:space="preserve">The time required will also depend on how much prior notice the </w:t>
      </w:r>
      <w:r w:rsidR="00B36AEE">
        <w:rPr>
          <w:sz w:val="20"/>
          <w:szCs w:val="20"/>
          <w:lang w:eastAsia="en-US"/>
        </w:rPr>
        <w:t>Commissioner</w:t>
      </w:r>
      <w:r w:rsidR="00520823" w:rsidRPr="003B7EF0">
        <w:rPr>
          <w:sz w:val="20"/>
          <w:szCs w:val="20"/>
          <w:lang w:eastAsia="en-US"/>
        </w:rPr>
        <w:t xml:space="preserve"> is given of the upcoming proposal, and the extent and quality of engagement at the early stages. </w:t>
      </w:r>
      <w:r w:rsidRPr="003B7EF0">
        <w:rPr>
          <w:sz w:val="20"/>
          <w:szCs w:val="20"/>
          <w:lang w:eastAsia="en-US"/>
        </w:rPr>
        <w:t>The quality of the arguments and the evidence presented in any LIA will typically reflect this early planning and the level of resourcing assigned to the task.</w:t>
      </w:r>
    </w:p>
    <w:p w:rsidR="00605D8D" w:rsidRPr="003B7EF0" w:rsidRDefault="00605D8D" w:rsidP="00605D8D">
      <w:pPr>
        <w:rPr>
          <w:sz w:val="20"/>
          <w:szCs w:val="20"/>
          <w:lang w:eastAsia="en-US"/>
        </w:rPr>
      </w:pPr>
      <w:r w:rsidRPr="003B7EF0">
        <w:rPr>
          <w:sz w:val="20"/>
          <w:szCs w:val="20"/>
          <w:lang w:eastAsia="en-US"/>
        </w:rPr>
        <w:t xml:space="preserve">Departments and agencies are advised to allow a minimum of four weeks between the </w:t>
      </w:r>
      <w:r w:rsidR="00B36AEE">
        <w:rPr>
          <w:sz w:val="20"/>
          <w:szCs w:val="20"/>
          <w:lang w:eastAsia="en-US"/>
        </w:rPr>
        <w:t xml:space="preserve">Commissioner </w:t>
      </w:r>
      <w:r w:rsidRPr="003B7EF0">
        <w:rPr>
          <w:sz w:val="20"/>
          <w:szCs w:val="20"/>
          <w:lang w:eastAsia="en-US"/>
        </w:rPr>
        <w:t xml:space="preserve">receiving the first draft of an LIA and the </w:t>
      </w:r>
      <w:r w:rsidR="00B36AEE">
        <w:rPr>
          <w:sz w:val="20"/>
          <w:szCs w:val="20"/>
          <w:lang w:eastAsia="en-US"/>
        </w:rPr>
        <w:t>Commissioner</w:t>
      </w:r>
      <w:r w:rsidRPr="003B7EF0">
        <w:rPr>
          <w:sz w:val="20"/>
          <w:szCs w:val="20"/>
          <w:lang w:eastAsia="en-US"/>
        </w:rPr>
        <w:t xml:space="preserve"> issuing a final assessment. This allows for time for agencies to consider </w:t>
      </w:r>
      <w:r w:rsidR="00B36AEE">
        <w:rPr>
          <w:sz w:val="20"/>
          <w:szCs w:val="20"/>
          <w:lang w:eastAsia="en-US"/>
        </w:rPr>
        <w:t>the Commissioner’s</w:t>
      </w:r>
      <w:r w:rsidRPr="003B7EF0">
        <w:rPr>
          <w:sz w:val="20"/>
          <w:szCs w:val="20"/>
          <w:lang w:eastAsia="en-US"/>
        </w:rPr>
        <w:t xml:space="preserve"> comments on drafts, and revise the LIA as required, minimising the issues likely to be noted in the final assessment. Experience has shown that the time taken (and number of iterations needed) to complete assessments can differ markedly depending on the quality of an LIA and on the time taken to incorporate </w:t>
      </w:r>
      <w:r w:rsidR="00B36AEE">
        <w:rPr>
          <w:sz w:val="20"/>
          <w:szCs w:val="20"/>
          <w:lang w:eastAsia="en-US"/>
        </w:rPr>
        <w:t>the Commissioner’s</w:t>
      </w:r>
      <w:r w:rsidRPr="003B7EF0">
        <w:rPr>
          <w:sz w:val="20"/>
          <w:szCs w:val="20"/>
          <w:lang w:eastAsia="en-US"/>
        </w:rPr>
        <w:t xml:space="preserve"> comments – some have been assessed in one week, while some have taken up to nine weeks before they were assessed as being adequate. </w:t>
      </w:r>
    </w:p>
    <w:p w:rsidR="00605D8D" w:rsidRPr="003B7EF0" w:rsidRDefault="00605D8D" w:rsidP="00605D8D">
      <w:pPr>
        <w:rPr>
          <w:sz w:val="20"/>
          <w:szCs w:val="20"/>
          <w:lang w:eastAsia="en-US"/>
        </w:rPr>
      </w:pPr>
      <w:r w:rsidRPr="003B7EF0">
        <w:rPr>
          <w:sz w:val="20"/>
          <w:szCs w:val="20"/>
          <w:lang w:eastAsia="en-US"/>
        </w:rPr>
        <w:t xml:space="preserve">Where preliminary discussion on an LIA has occurred with the department, the </w:t>
      </w:r>
      <w:r w:rsidR="00B36AEE">
        <w:rPr>
          <w:sz w:val="20"/>
          <w:szCs w:val="20"/>
          <w:lang w:eastAsia="en-US"/>
        </w:rPr>
        <w:t>Commissioner</w:t>
      </w:r>
      <w:r w:rsidRPr="003B7EF0">
        <w:rPr>
          <w:sz w:val="20"/>
          <w:szCs w:val="20"/>
          <w:lang w:eastAsia="en-US"/>
        </w:rPr>
        <w:t xml:space="preserve"> will generally assess low-impact proposals within three full working days and require no more than one revision. Similarly, LIAs for high-impact proposals will be turned around within five full working days, with the number of iterations required depending on the complexity of</w:t>
      </w:r>
      <w:r>
        <w:rPr>
          <w:lang w:eastAsia="en-US"/>
        </w:rPr>
        <w:t xml:space="preserve"> </w:t>
      </w:r>
      <w:r w:rsidRPr="003B7EF0">
        <w:rPr>
          <w:sz w:val="20"/>
          <w:szCs w:val="20"/>
          <w:lang w:eastAsia="en-US"/>
        </w:rPr>
        <w:t xml:space="preserve">the proposal. It is expected that the overall time between </w:t>
      </w:r>
      <w:r w:rsidR="00B36AEE">
        <w:rPr>
          <w:sz w:val="20"/>
          <w:szCs w:val="20"/>
          <w:lang w:eastAsia="en-US"/>
        </w:rPr>
        <w:t>the Commissioner’s</w:t>
      </w:r>
      <w:r w:rsidR="00B36AEE" w:rsidRPr="003B7EF0">
        <w:rPr>
          <w:sz w:val="20"/>
          <w:szCs w:val="20"/>
          <w:lang w:eastAsia="en-US"/>
        </w:rPr>
        <w:t xml:space="preserve"> </w:t>
      </w:r>
      <w:r w:rsidRPr="003B7EF0">
        <w:rPr>
          <w:sz w:val="20"/>
          <w:szCs w:val="20"/>
          <w:lang w:eastAsia="en-US"/>
        </w:rPr>
        <w:t>receipt of a first draft and issue of a final assessment may be reduced for low-impact LIAs under the new two-level process, but this will depend greatly on the factors described above.</w:t>
      </w:r>
    </w:p>
    <w:p w:rsidR="00605D8D" w:rsidRPr="003B7EF0" w:rsidRDefault="00605D8D" w:rsidP="00605D8D">
      <w:pPr>
        <w:rPr>
          <w:sz w:val="20"/>
          <w:szCs w:val="20"/>
          <w:lang w:eastAsia="en-US"/>
        </w:rPr>
      </w:pPr>
      <w:r w:rsidRPr="003B7EF0">
        <w:rPr>
          <w:sz w:val="20"/>
          <w:szCs w:val="20"/>
          <w:lang w:eastAsia="en-US"/>
        </w:rPr>
        <w:t xml:space="preserve">In drafting timelines that encompass the LIA process, departments and agencies should also be mindful of time constraints imposed by the processes for gaining Ministerial approval and for Cabinet/Cabinet Committees, including the possibility of a coordination comments stage. The finalised and assessed LIA must be attached to the associated cabinet submission when it is to be considered by Cabinet/Cabinet Committee. However, if the Submission is to be distributed for coordination comments, it is preferable that the finalised and assessed LIA is attached for consideration at the coordination comments </w:t>
      </w:r>
      <w:r w:rsidRPr="003B7EF0">
        <w:rPr>
          <w:sz w:val="20"/>
          <w:szCs w:val="20"/>
          <w:lang w:val="en-US"/>
        </w:rPr>
        <w:t>stage.</w:t>
      </w:r>
      <w:r w:rsidRPr="003B7EF0">
        <w:rPr>
          <w:rStyle w:val="FootnoteReference"/>
          <w:sz w:val="20"/>
          <w:szCs w:val="20"/>
          <w:lang w:val="en-US"/>
        </w:rPr>
        <w:footnoteReference w:id="8"/>
      </w:r>
      <w:r w:rsidRPr="003B7EF0">
        <w:rPr>
          <w:sz w:val="20"/>
          <w:szCs w:val="20"/>
          <w:lang w:val="en-US"/>
        </w:rPr>
        <w:t xml:space="preserve"> </w:t>
      </w:r>
      <w:r w:rsidRPr="003B7EF0">
        <w:rPr>
          <w:sz w:val="20"/>
          <w:szCs w:val="20"/>
          <w:lang w:eastAsia="en-US"/>
        </w:rPr>
        <w:t>Table 2 summarises the timing requirements for the different elements of the LIA process.</w:t>
      </w:r>
    </w:p>
    <w:p w:rsidR="00811FDD" w:rsidRDefault="00811FDD" w:rsidP="00605D8D">
      <w:pPr>
        <w:rPr>
          <w:lang w:eastAsia="en-US"/>
        </w:rPr>
      </w:pPr>
    </w:p>
    <w:p w:rsidR="00605D8D" w:rsidRDefault="00605D8D" w:rsidP="00605D8D">
      <w:pPr>
        <w:pStyle w:val="Caption"/>
        <w:rPr>
          <w:lang w:eastAsia="en-US"/>
        </w:rPr>
      </w:pPr>
      <w:r>
        <w:rPr>
          <w:lang w:eastAsia="en-US"/>
        </w:rPr>
        <w:t>Table 2: LIA timing considerations</w:t>
      </w:r>
    </w:p>
    <w:tbl>
      <w:tblPr>
        <w:tblW w:w="0" w:type="auto"/>
        <w:tblInd w:w="835" w:type="dxa"/>
        <w:tblBorders>
          <w:top w:val="single" w:sz="2" w:space="0" w:color="auto"/>
          <w:bottom w:val="single" w:sz="2" w:space="0" w:color="auto"/>
          <w:insideH w:val="single" w:sz="2" w:space="0" w:color="auto"/>
        </w:tblBorders>
        <w:tblCellMar>
          <w:left w:w="72" w:type="dxa"/>
          <w:right w:w="72" w:type="dxa"/>
        </w:tblCellMar>
        <w:tblLook w:val="01E0" w:firstRow="1" w:lastRow="1" w:firstColumn="1" w:lastColumn="1" w:noHBand="0" w:noVBand="0"/>
      </w:tblPr>
      <w:tblGrid>
        <w:gridCol w:w="2499"/>
        <w:gridCol w:w="2196"/>
        <w:gridCol w:w="3640"/>
      </w:tblGrid>
      <w:tr w:rsidR="00DE4E32" w:rsidRPr="003B7EF0" w:rsidTr="00DE4E32">
        <w:trPr>
          <w:cantSplit/>
          <w:tblHeader/>
        </w:trPr>
        <w:tc>
          <w:tcPr>
            <w:tcW w:w="2567" w:type="dxa"/>
            <w:tcBorders>
              <w:left w:val="nil"/>
              <w:right w:val="nil"/>
            </w:tcBorders>
            <w:shd w:val="clear" w:color="auto" w:fill="009CA6"/>
          </w:tcPr>
          <w:p w:rsidR="00605D8D" w:rsidRPr="00DE4E32" w:rsidRDefault="00605D8D" w:rsidP="00D72695">
            <w:pPr>
              <w:pStyle w:val="TableHeader"/>
              <w:rPr>
                <w:b/>
                <w:color w:val="FFFFFF" w:themeColor="background1"/>
                <w:sz w:val="20"/>
                <w:szCs w:val="20"/>
              </w:rPr>
            </w:pPr>
            <w:r w:rsidRPr="00DE4E32">
              <w:rPr>
                <w:b/>
                <w:color w:val="FFFFFF" w:themeColor="background1"/>
                <w:sz w:val="20"/>
                <w:szCs w:val="20"/>
              </w:rPr>
              <w:t>Element of LIA process</w:t>
            </w:r>
          </w:p>
        </w:tc>
        <w:tc>
          <w:tcPr>
            <w:tcW w:w="2250" w:type="dxa"/>
            <w:tcBorders>
              <w:left w:val="nil"/>
              <w:right w:val="nil"/>
            </w:tcBorders>
            <w:shd w:val="clear" w:color="auto" w:fill="009CA6"/>
          </w:tcPr>
          <w:p w:rsidR="00605D8D" w:rsidRPr="00DE4E32" w:rsidRDefault="00605D8D" w:rsidP="00D72695">
            <w:pPr>
              <w:pStyle w:val="TableHeader"/>
              <w:rPr>
                <w:b/>
                <w:color w:val="FFFFFF" w:themeColor="background1"/>
                <w:sz w:val="20"/>
                <w:szCs w:val="20"/>
              </w:rPr>
            </w:pPr>
            <w:r w:rsidRPr="00DE4E32">
              <w:rPr>
                <w:b/>
                <w:color w:val="FFFFFF" w:themeColor="background1"/>
                <w:sz w:val="20"/>
                <w:szCs w:val="20"/>
              </w:rPr>
              <w:t>Timing requirement</w:t>
            </w:r>
          </w:p>
        </w:tc>
        <w:tc>
          <w:tcPr>
            <w:tcW w:w="3780" w:type="dxa"/>
            <w:tcBorders>
              <w:left w:val="nil"/>
              <w:right w:val="nil"/>
            </w:tcBorders>
            <w:shd w:val="clear" w:color="auto" w:fill="009CA6"/>
          </w:tcPr>
          <w:p w:rsidR="00605D8D" w:rsidRPr="00DE4E32" w:rsidRDefault="00605D8D" w:rsidP="00D72695">
            <w:pPr>
              <w:pStyle w:val="TableHeader"/>
              <w:rPr>
                <w:b/>
                <w:color w:val="FFFFFF" w:themeColor="background1"/>
                <w:sz w:val="20"/>
                <w:szCs w:val="20"/>
              </w:rPr>
            </w:pPr>
            <w:r w:rsidRPr="00DE4E32">
              <w:rPr>
                <w:b/>
                <w:color w:val="FFFFFF" w:themeColor="background1"/>
                <w:sz w:val="20"/>
                <w:szCs w:val="20"/>
              </w:rPr>
              <w:t>Comment</w:t>
            </w:r>
          </w:p>
        </w:tc>
      </w:tr>
      <w:tr w:rsidR="00605D8D" w:rsidRPr="003B7EF0" w:rsidTr="00D72695">
        <w:trPr>
          <w:cantSplit/>
        </w:trPr>
        <w:tc>
          <w:tcPr>
            <w:tcW w:w="2567" w:type="dxa"/>
          </w:tcPr>
          <w:p w:rsidR="00605D8D" w:rsidRPr="003B7EF0" w:rsidRDefault="00605D8D" w:rsidP="00D72695">
            <w:pPr>
              <w:pStyle w:val="TableText"/>
              <w:tabs>
                <w:tab w:val="left" w:pos="300"/>
              </w:tabs>
              <w:ind w:left="300" w:hanging="300"/>
              <w:rPr>
                <w:szCs w:val="20"/>
              </w:rPr>
            </w:pPr>
            <w:r w:rsidRPr="003B7EF0">
              <w:rPr>
                <w:szCs w:val="20"/>
              </w:rPr>
              <w:t>1.</w:t>
            </w:r>
            <w:r w:rsidRPr="003B7EF0">
              <w:rPr>
                <w:szCs w:val="20"/>
              </w:rPr>
              <w:tab/>
              <w:t>Development of policy proposal and preparation of the LIA</w:t>
            </w:r>
          </w:p>
        </w:tc>
        <w:tc>
          <w:tcPr>
            <w:tcW w:w="2250" w:type="dxa"/>
          </w:tcPr>
          <w:p w:rsidR="00605D8D" w:rsidRPr="003B7EF0" w:rsidRDefault="00605D8D" w:rsidP="00D72695">
            <w:pPr>
              <w:pStyle w:val="TableText"/>
              <w:rPr>
                <w:szCs w:val="20"/>
              </w:rPr>
            </w:pPr>
            <w:r w:rsidRPr="003B7EF0">
              <w:rPr>
                <w:szCs w:val="20"/>
              </w:rPr>
              <w:t>At beginning of process</w:t>
            </w:r>
          </w:p>
        </w:tc>
        <w:tc>
          <w:tcPr>
            <w:tcW w:w="3780" w:type="dxa"/>
          </w:tcPr>
          <w:p w:rsidR="00605D8D" w:rsidRPr="003B7EF0" w:rsidRDefault="00605D8D" w:rsidP="00D72695">
            <w:pPr>
              <w:pStyle w:val="TableText"/>
              <w:rPr>
                <w:szCs w:val="20"/>
              </w:rPr>
            </w:pPr>
            <w:r w:rsidRPr="003B7EF0">
              <w:rPr>
                <w:szCs w:val="20"/>
              </w:rPr>
              <w:t xml:space="preserve">The length of time for this step will vary considerably. </w:t>
            </w:r>
          </w:p>
          <w:p w:rsidR="00605D8D" w:rsidRPr="003B7EF0" w:rsidRDefault="00605D8D" w:rsidP="00B36AEE">
            <w:pPr>
              <w:pStyle w:val="TableText"/>
              <w:rPr>
                <w:szCs w:val="20"/>
              </w:rPr>
            </w:pPr>
            <w:r w:rsidRPr="003B7EF0">
              <w:rPr>
                <w:szCs w:val="20"/>
              </w:rPr>
              <w:t xml:space="preserve">For example, this stage could include a review of the current legislative requirements, preparation of a discussion/issues paper, implementation of data collection strategies and/or consultation with stakeholders. Consultations with the </w:t>
            </w:r>
            <w:r w:rsidR="00B36AEE">
              <w:rPr>
                <w:szCs w:val="20"/>
              </w:rPr>
              <w:t>Commissioner</w:t>
            </w:r>
            <w:r w:rsidRPr="003B7EF0">
              <w:rPr>
                <w:szCs w:val="20"/>
              </w:rPr>
              <w:t xml:space="preserve"> at this early stage will help to identify the nature of information that should be collected to inform the subsequent policy making and LIA process.</w:t>
            </w:r>
          </w:p>
        </w:tc>
      </w:tr>
      <w:tr w:rsidR="00605D8D" w:rsidRPr="003B7EF0" w:rsidTr="00D72695">
        <w:trPr>
          <w:cantSplit/>
        </w:trPr>
        <w:tc>
          <w:tcPr>
            <w:tcW w:w="2567" w:type="dxa"/>
          </w:tcPr>
          <w:p w:rsidR="00605D8D" w:rsidRPr="003B7EF0" w:rsidRDefault="00605D8D" w:rsidP="00B36AEE">
            <w:pPr>
              <w:pStyle w:val="TableText"/>
              <w:tabs>
                <w:tab w:val="left" w:pos="300"/>
              </w:tabs>
              <w:ind w:left="300" w:hanging="300"/>
              <w:rPr>
                <w:szCs w:val="20"/>
              </w:rPr>
            </w:pPr>
            <w:r w:rsidRPr="003B7EF0">
              <w:rPr>
                <w:szCs w:val="20"/>
              </w:rPr>
              <w:t>2.</w:t>
            </w:r>
            <w:r w:rsidRPr="003B7EF0">
              <w:rPr>
                <w:szCs w:val="20"/>
              </w:rPr>
              <w:tab/>
              <w:t xml:space="preserve">First draft of the LIA provided to the </w:t>
            </w:r>
            <w:r w:rsidR="00B36AEE">
              <w:rPr>
                <w:szCs w:val="20"/>
              </w:rPr>
              <w:t>Commissioner</w:t>
            </w:r>
          </w:p>
        </w:tc>
        <w:tc>
          <w:tcPr>
            <w:tcW w:w="2250" w:type="dxa"/>
          </w:tcPr>
          <w:p w:rsidR="00605D8D" w:rsidRPr="003B7EF0" w:rsidRDefault="00605D8D" w:rsidP="00D72695">
            <w:pPr>
              <w:pStyle w:val="TableText"/>
              <w:rPr>
                <w:szCs w:val="20"/>
              </w:rPr>
            </w:pPr>
            <w:r w:rsidRPr="003B7EF0">
              <w:rPr>
                <w:szCs w:val="20"/>
              </w:rPr>
              <w:t>At least four weeks before finalised LIA and submission provided to the responsible Minister</w:t>
            </w:r>
          </w:p>
        </w:tc>
        <w:tc>
          <w:tcPr>
            <w:tcW w:w="3780" w:type="dxa"/>
          </w:tcPr>
          <w:p w:rsidR="00605D8D" w:rsidRPr="003B7EF0" w:rsidRDefault="00605D8D" w:rsidP="00D72695">
            <w:pPr>
              <w:pStyle w:val="TableText"/>
              <w:rPr>
                <w:szCs w:val="20"/>
              </w:rPr>
            </w:pPr>
            <w:r w:rsidRPr="003B7EF0">
              <w:rPr>
                <w:szCs w:val="20"/>
              </w:rPr>
              <w:t>Will depend on the quality of the draft LIA. (Experience has shown that some have been assessed in one week, while some have taken up to nine weeks before they were assessed as being adequate.)</w:t>
            </w:r>
          </w:p>
        </w:tc>
      </w:tr>
      <w:tr w:rsidR="00605D8D" w:rsidRPr="003B7EF0" w:rsidTr="00D72695">
        <w:trPr>
          <w:cantSplit/>
        </w:trPr>
        <w:tc>
          <w:tcPr>
            <w:tcW w:w="2567" w:type="dxa"/>
          </w:tcPr>
          <w:p w:rsidR="00605D8D" w:rsidRPr="003B7EF0" w:rsidRDefault="00605D8D" w:rsidP="00B36AEE">
            <w:pPr>
              <w:pStyle w:val="TableText"/>
              <w:tabs>
                <w:tab w:val="left" w:pos="300"/>
              </w:tabs>
              <w:ind w:left="300" w:hanging="300"/>
              <w:rPr>
                <w:szCs w:val="20"/>
              </w:rPr>
            </w:pPr>
            <w:r w:rsidRPr="003B7EF0">
              <w:rPr>
                <w:szCs w:val="20"/>
              </w:rPr>
              <w:t>3.</w:t>
            </w:r>
            <w:r w:rsidRPr="003B7EF0">
              <w:rPr>
                <w:szCs w:val="20"/>
              </w:rPr>
              <w:tab/>
            </w:r>
            <w:r w:rsidR="00B36AEE">
              <w:rPr>
                <w:szCs w:val="20"/>
              </w:rPr>
              <w:t xml:space="preserve">Commissioner </w:t>
            </w:r>
            <w:r w:rsidRPr="003B7EF0">
              <w:rPr>
                <w:szCs w:val="20"/>
              </w:rPr>
              <w:t>provides written comments on draft LIA</w:t>
            </w:r>
          </w:p>
        </w:tc>
        <w:tc>
          <w:tcPr>
            <w:tcW w:w="2250" w:type="dxa"/>
          </w:tcPr>
          <w:p w:rsidR="00605D8D" w:rsidRPr="003B7EF0" w:rsidRDefault="005534D8" w:rsidP="005534D8">
            <w:pPr>
              <w:pStyle w:val="TableBullet"/>
              <w:numPr>
                <w:ilvl w:val="0"/>
                <w:numId w:val="0"/>
              </w:numPr>
              <w:ind w:left="61"/>
              <w:rPr>
                <w:szCs w:val="20"/>
              </w:rPr>
            </w:pPr>
            <w:r w:rsidRPr="003B7EF0">
              <w:rPr>
                <w:szCs w:val="20"/>
              </w:rPr>
              <w:t>Within five working days for all types of proposals (high and low impact)</w:t>
            </w:r>
          </w:p>
        </w:tc>
        <w:tc>
          <w:tcPr>
            <w:tcW w:w="3780" w:type="dxa"/>
          </w:tcPr>
          <w:p w:rsidR="00605D8D" w:rsidRPr="003B7EF0" w:rsidRDefault="00605D8D" w:rsidP="00B36AEE">
            <w:pPr>
              <w:pStyle w:val="TableText"/>
              <w:rPr>
                <w:szCs w:val="20"/>
              </w:rPr>
            </w:pPr>
            <w:r w:rsidRPr="003B7EF0">
              <w:rPr>
                <w:szCs w:val="20"/>
              </w:rPr>
              <w:t>Depends on the impact of the legislative proposal and the quality of the initial draft LIA.</w:t>
            </w:r>
            <w:r w:rsidR="005534D8" w:rsidRPr="003B7EF0">
              <w:rPr>
                <w:szCs w:val="20"/>
              </w:rPr>
              <w:t xml:space="preserve"> Also depends on how much notice the </w:t>
            </w:r>
            <w:r w:rsidR="00B36AEE">
              <w:rPr>
                <w:szCs w:val="20"/>
              </w:rPr>
              <w:t>Commissioner</w:t>
            </w:r>
            <w:r w:rsidR="00B36AEE" w:rsidRPr="003B7EF0">
              <w:rPr>
                <w:szCs w:val="20"/>
              </w:rPr>
              <w:t xml:space="preserve"> </w:t>
            </w:r>
            <w:r w:rsidR="005534D8" w:rsidRPr="003B7EF0">
              <w:rPr>
                <w:szCs w:val="20"/>
              </w:rPr>
              <w:t>is given of the proposal, and the extent and quality of early engagement.</w:t>
            </w:r>
          </w:p>
        </w:tc>
      </w:tr>
      <w:tr w:rsidR="00605D8D" w:rsidRPr="003B7EF0" w:rsidTr="00D72695">
        <w:trPr>
          <w:cantSplit/>
        </w:trPr>
        <w:tc>
          <w:tcPr>
            <w:tcW w:w="2567" w:type="dxa"/>
          </w:tcPr>
          <w:p w:rsidR="00605D8D" w:rsidRPr="003B7EF0" w:rsidRDefault="00811FDD" w:rsidP="00B36AEE">
            <w:pPr>
              <w:pStyle w:val="TableText"/>
              <w:tabs>
                <w:tab w:val="left" w:pos="300"/>
              </w:tabs>
              <w:ind w:left="300" w:hanging="300"/>
              <w:rPr>
                <w:szCs w:val="20"/>
              </w:rPr>
            </w:pPr>
            <w:r w:rsidRPr="003B7EF0">
              <w:rPr>
                <w:szCs w:val="20"/>
              </w:rPr>
              <w:t>4.</w:t>
            </w:r>
            <w:r w:rsidRPr="003B7EF0">
              <w:rPr>
                <w:szCs w:val="20"/>
              </w:rPr>
              <w:tab/>
            </w:r>
            <w:r w:rsidR="00605D8D" w:rsidRPr="003B7EF0">
              <w:rPr>
                <w:szCs w:val="20"/>
              </w:rPr>
              <w:t xml:space="preserve">Next draft of the LIA provided to the </w:t>
            </w:r>
            <w:r w:rsidR="00B36AEE">
              <w:rPr>
                <w:szCs w:val="20"/>
              </w:rPr>
              <w:t>Commissioner</w:t>
            </w:r>
          </w:p>
        </w:tc>
        <w:tc>
          <w:tcPr>
            <w:tcW w:w="2250" w:type="dxa"/>
          </w:tcPr>
          <w:p w:rsidR="00605D8D" w:rsidRPr="003B7EF0" w:rsidRDefault="00605D8D" w:rsidP="00D72695">
            <w:pPr>
              <w:pStyle w:val="TableText"/>
              <w:rPr>
                <w:szCs w:val="20"/>
              </w:rPr>
            </w:pPr>
            <w:r w:rsidRPr="003B7EF0">
              <w:rPr>
                <w:szCs w:val="20"/>
              </w:rPr>
              <w:t>Varies</w:t>
            </w:r>
          </w:p>
        </w:tc>
        <w:tc>
          <w:tcPr>
            <w:tcW w:w="3780" w:type="dxa"/>
          </w:tcPr>
          <w:p w:rsidR="00605D8D" w:rsidRPr="003B7EF0" w:rsidRDefault="00605D8D" w:rsidP="00B36AEE">
            <w:pPr>
              <w:pStyle w:val="TableText"/>
              <w:rPr>
                <w:szCs w:val="20"/>
              </w:rPr>
            </w:pPr>
            <w:r w:rsidRPr="003B7EF0">
              <w:rPr>
                <w:szCs w:val="20"/>
              </w:rPr>
              <w:t>Will depend on the nature of any outstanding issues. Steps 3 and 4 may need to be repeated if outstanding issues remain.</w:t>
            </w:r>
          </w:p>
        </w:tc>
      </w:tr>
      <w:tr w:rsidR="00605D8D" w:rsidRPr="003B7EF0" w:rsidTr="00D72695">
        <w:trPr>
          <w:cantSplit/>
        </w:trPr>
        <w:tc>
          <w:tcPr>
            <w:tcW w:w="2567" w:type="dxa"/>
          </w:tcPr>
          <w:p w:rsidR="00605D8D" w:rsidRPr="003B7EF0" w:rsidRDefault="00605D8D" w:rsidP="00B36AEE">
            <w:pPr>
              <w:pStyle w:val="TableText"/>
              <w:tabs>
                <w:tab w:val="left" w:pos="300"/>
              </w:tabs>
              <w:ind w:left="300" w:hanging="300"/>
              <w:rPr>
                <w:szCs w:val="20"/>
              </w:rPr>
            </w:pPr>
            <w:r w:rsidRPr="003B7EF0">
              <w:rPr>
                <w:szCs w:val="20"/>
              </w:rPr>
              <w:t>5.</w:t>
            </w:r>
            <w:r w:rsidRPr="003B7EF0">
              <w:rPr>
                <w:szCs w:val="20"/>
              </w:rPr>
              <w:tab/>
            </w:r>
            <w:r w:rsidR="00B36AEE">
              <w:rPr>
                <w:szCs w:val="20"/>
              </w:rPr>
              <w:t>Commissioner’s</w:t>
            </w:r>
            <w:r w:rsidR="00B36AEE" w:rsidRPr="003B7EF0">
              <w:rPr>
                <w:szCs w:val="20"/>
              </w:rPr>
              <w:t xml:space="preserve"> </w:t>
            </w:r>
            <w:r w:rsidRPr="003B7EF0">
              <w:rPr>
                <w:szCs w:val="20"/>
              </w:rPr>
              <w:t>final assessment received</w:t>
            </w:r>
          </w:p>
        </w:tc>
        <w:tc>
          <w:tcPr>
            <w:tcW w:w="2250" w:type="dxa"/>
          </w:tcPr>
          <w:p w:rsidR="00605D8D" w:rsidRPr="003B7EF0" w:rsidRDefault="00605D8D" w:rsidP="005534D8">
            <w:pPr>
              <w:pStyle w:val="TableText"/>
              <w:rPr>
                <w:szCs w:val="20"/>
              </w:rPr>
            </w:pPr>
            <w:r w:rsidRPr="003B7EF0">
              <w:rPr>
                <w:szCs w:val="20"/>
              </w:rPr>
              <w:t xml:space="preserve">Within </w:t>
            </w:r>
            <w:r w:rsidR="00811FDD" w:rsidRPr="003B7EF0">
              <w:rPr>
                <w:szCs w:val="20"/>
              </w:rPr>
              <w:t xml:space="preserve">five </w:t>
            </w:r>
            <w:r w:rsidRPr="003B7EF0">
              <w:rPr>
                <w:szCs w:val="20"/>
              </w:rPr>
              <w:t>working days from receipt of latest draft, and no later than the day before the submission and LIA will be considered by the responsible Minister</w:t>
            </w:r>
          </w:p>
        </w:tc>
        <w:tc>
          <w:tcPr>
            <w:tcW w:w="3780" w:type="dxa"/>
          </w:tcPr>
          <w:p w:rsidR="00605D8D" w:rsidRPr="003B7EF0" w:rsidRDefault="00605D8D" w:rsidP="00B36AEE">
            <w:pPr>
              <w:pStyle w:val="TableText"/>
              <w:rPr>
                <w:szCs w:val="20"/>
              </w:rPr>
            </w:pPr>
            <w:r w:rsidRPr="003B7EF0">
              <w:rPr>
                <w:szCs w:val="20"/>
              </w:rPr>
              <w:t xml:space="preserve">Where the assessment letter is likely to raise substantive issues, the </w:t>
            </w:r>
            <w:r w:rsidR="00B36AEE">
              <w:rPr>
                <w:szCs w:val="20"/>
              </w:rPr>
              <w:t>Commissioner</w:t>
            </w:r>
            <w:r w:rsidRPr="003B7EF0">
              <w:rPr>
                <w:szCs w:val="20"/>
              </w:rPr>
              <w:t xml:space="preserve"> will aim to provide a draft final assessment letter for comment/feedback on factual matters.</w:t>
            </w:r>
          </w:p>
        </w:tc>
      </w:tr>
      <w:tr w:rsidR="00605D8D" w:rsidRPr="003B7EF0" w:rsidTr="00D72695">
        <w:trPr>
          <w:cantSplit/>
        </w:trPr>
        <w:tc>
          <w:tcPr>
            <w:tcW w:w="2567" w:type="dxa"/>
          </w:tcPr>
          <w:p w:rsidR="00605D8D" w:rsidRPr="003B7EF0" w:rsidRDefault="00605D8D" w:rsidP="00D72695">
            <w:pPr>
              <w:pStyle w:val="TableText"/>
              <w:tabs>
                <w:tab w:val="left" w:pos="300"/>
              </w:tabs>
              <w:ind w:left="300" w:hanging="300"/>
              <w:rPr>
                <w:szCs w:val="20"/>
              </w:rPr>
            </w:pPr>
            <w:r w:rsidRPr="003B7EF0">
              <w:rPr>
                <w:szCs w:val="20"/>
              </w:rPr>
              <w:t>6.</w:t>
            </w:r>
            <w:r w:rsidRPr="003B7EF0">
              <w:rPr>
                <w:szCs w:val="20"/>
              </w:rPr>
              <w:tab/>
              <w:t>Lodgement with responsible Minister’s office for consideration of submission and LIA</w:t>
            </w:r>
          </w:p>
        </w:tc>
        <w:tc>
          <w:tcPr>
            <w:tcW w:w="2250" w:type="dxa"/>
          </w:tcPr>
          <w:p w:rsidR="00605D8D" w:rsidRPr="003B7EF0" w:rsidRDefault="00605D8D" w:rsidP="00D72695">
            <w:pPr>
              <w:pStyle w:val="TableText"/>
              <w:rPr>
                <w:szCs w:val="20"/>
              </w:rPr>
            </w:pPr>
            <w:r w:rsidRPr="003B7EF0">
              <w:rPr>
                <w:szCs w:val="20"/>
              </w:rPr>
              <w:t>Typically one week prior to lodgement for either coordination comments for Cabinet/Cabinet Committee consideration</w:t>
            </w:r>
          </w:p>
        </w:tc>
        <w:tc>
          <w:tcPr>
            <w:tcW w:w="3780" w:type="dxa"/>
          </w:tcPr>
          <w:p w:rsidR="00605D8D" w:rsidRPr="003B7EF0" w:rsidRDefault="00605D8D" w:rsidP="00D72695">
            <w:pPr>
              <w:pStyle w:val="TableText"/>
              <w:rPr>
                <w:szCs w:val="20"/>
              </w:rPr>
            </w:pPr>
            <w:r w:rsidRPr="003B7EF0">
              <w:rPr>
                <w:szCs w:val="20"/>
              </w:rPr>
              <w:t>Time required for this element of the process usually depends on which Minister is the proponent of the Bill.</w:t>
            </w:r>
          </w:p>
        </w:tc>
      </w:tr>
      <w:tr w:rsidR="00605D8D" w:rsidRPr="003B7EF0" w:rsidTr="00D72695">
        <w:trPr>
          <w:cantSplit/>
        </w:trPr>
        <w:tc>
          <w:tcPr>
            <w:tcW w:w="2567" w:type="dxa"/>
          </w:tcPr>
          <w:p w:rsidR="00605D8D" w:rsidRPr="003B7EF0" w:rsidRDefault="00605D8D" w:rsidP="00D72695">
            <w:pPr>
              <w:pStyle w:val="TableText"/>
              <w:tabs>
                <w:tab w:val="left" w:pos="300"/>
              </w:tabs>
              <w:ind w:left="300" w:hanging="300"/>
              <w:rPr>
                <w:szCs w:val="20"/>
              </w:rPr>
            </w:pPr>
            <w:r w:rsidRPr="003B7EF0">
              <w:rPr>
                <w:szCs w:val="20"/>
              </w:rPr>
              <w:t>7.</w:t>
            </w:r>
            <w:r w:rsidRPr="003B7EF0">
              <w:rPr>
                <w:szCs w:val="20"/>
              </w:rPr>
              <w:tab/>
              <w:t>Lodgement of submission and LIA for comments (if required)</w:t>
            </w:r>
          </w:p>
        </w:tc>
        <w:tc>
          <w:tcPr>
            <w:tcW w:w="2250" w:type="dxa"/>
          </w:tcPr>
          <w:p w:rsidR="00605D8D" w:rsidRPr="003B7EF0" w:rsidRDefault="00605D8D" w:rsidP="00D72695">
            <w:pPr>
              <w:pStyle w:val="TableText"/>
              <w:rPr>
                <w:szCs w:val="20"/>
              </w:rPr>
            </w:pPr>
            <w:r w:rsidRPr="003B7EF0">
              <w:rPr>
                <w:szCs w:val="20"/>
              </w:rPr>
              <w:t xml:space="preserve">Typically two weeks prior to lodgement for Cabinet/Cabinet Committee consideration </w:t>
            </w:r>
          </w:p>
        </w:tc>
        <w:tc>
          <w:tcPr>
            <w:tcW w:w="3780" w:type="dxa"/>
          </w:tcPr>
          <w:p w:rsidR="00605D8D" w:rsidRPr="003B7EF0" w:rsidRDefault="00605D8D" w:rsidP="00D72695">
            <w:pPr>
              <w:pStyle w:val="TableText"/>
              <w:rPr>
                <w:szCs w:val="20"/>
              </w:rPr>
            </w:pPr>
            <w:r w:rsidRPr="003B7EF0">
              <w:rPr>
                <w:szCs w:val="20"/>
              </w:rPr>
              <w:t>Must be lodged with Cabinet Secretariat. Relevant if coordination comments stage is to be used.</w:t>
            </w:r>
          </w:p>
        </w:tc>
      </w:tr>
      <w:tr w:rsidR="00605D8D" w:rsidRPr="003B7EF0" w:rsidTr="00D72695">
        <w:trPr>
          <w:cantSplit/>
        </w:trPr>
        <w:tc>
          <w:tcPr>
            <w:tcW w:w="2567" w:type="dxa"/>
          </w:tcPr>
          <w:p w:rsidR="00605D8D" w:rsidRPr="003B7EF0" w:rsidRDefault="00605D8D" w:rsidP="00D72695">
            <w:pPr>
              <w:pStyle w:val="TableText"/>
              <w:tabs>
                <w:tab w:val="left" w:pos="300"/>
              </w:tabs>
              <w:ind w:left="300" w:hanging="300"/>
              <w:rPr>
                <w:szCs w:val="20"/>
              </w:rPr>
            </w:pPr>
            <w:r w:rsidRPr="003B7EF0">
              <w:rPr>
                <w:szCs w:val="20"/>
              </w:rPr>
              <w:t>8.</w:t>
            </w:r>
            <w:r w:rsidRPr="003B7EF0">
              <w:rPr>
                <w:szCs w:val="20"/>
              </w:rPr>
              <w:tab/>
              <w:t xml:space="preserve">Final lodgement of submission, LIA and </w:t>
            </w:r>
            <w:r w:rsidR="00B36AEE">
              <w:rPr>
                <w:szCs w:val="20"/>
              </w:rPr>
              <w:t xml:space="preserve">Commissioner’s </w:t>
            </w:r>
            <w:r w:rsidRPr="003B7EF0">
              <w:rPr>
                <w:szCs w:val="20"/>
              </w:rPr>
              <w:t xml:space="preserve"> adequacy letter </w:t>
            </w:r>
          </w:p>
        </w:tc>
        <w:tc>
          <w:tcPr>
            <w:tcW w:w="2250" w:type="dxa"/>
          </w:tcPr>
          <w:p w:rsidR="00605D8D" w:rsidRPr="003B7EF0" w:rsidRDefault="00605D8D" w:rsidP="00D72695">
            <w:pPr>
              <w:pStyle w:val="TableText"/>
              <w:rPr>
                <w:szCs w:val="20"/>
              </w:rPr>
            </w:pPr>
            <w:r w:rsidRPr="003B7EF0">
              <w:rPr>
                <w:szCs w:val="20"/>
              </w:rPr>
              <w:t>Typically one week prior to the date of Cabinet/Cabinet Committee meeting</w:t>
            </w:r>
          </w:p>
        </w:tc>
        <w:tc>
          <w:tcPr>
            <w:tcW w:w="3780" w:type="dxa"/>
          </w:tcPr>
          <w:p w:rsidR="00605D8D" w:rsidRPr="003B7EF0" w:rsidRDefault="00605D8D" w:rsidP="00D72695">
            <w:pPr>
              <w:pStyle w:val="TableText"/>
              <w:rPr>
                <w:szCs w:val="20"/>
              </w:rPr>
            </w:pPr>
            <w:r w:rsidRPr="003B7EF0">
              <w:rPr>
                <w:szCs w:val="20"/>
              </w:rPr>
              <w:t>Must be lodged with Cabinet Secretariat.</w:t>
            </w:r>
          </w:p>
        </w:tc>
      </w:tr>
    </w:tbl>
    <w:p w:rsidR="00605D8D" w:rsidRPr="00B40862" w:rsidRDefault="00C3682F" w:rsidP="00605D8D">
      <w:pPr>
        <w:pStyle w:val="Heading2"/>
        <w:rPr>
          <w:b/>
          <w:bCs/>
          <w:color w:val="004EA8"/>
          <w:sz w:val="26"/>
          <w:szCs w:val="26"/>
        </w:rPr>
      </w:pPr>
      <w:bookmarkStart w:id="61" w:name="_Toc382908238"/>
      <w:bookmarkStart w:id="62" w:name="_Toc397608130"/>
      <w:r w:rsidRPr="00B40862">
        <w:rPr>
          <w:b/>
          <w:color w:val="004EA8"/>
          <w:sz w:val="26"/>
          <w:szCs w:val="26"/>
        </w:rPr>
        <w:t>Regulatory impact</w:t>
      </w:r>
      <w:r w:rsidR="00605D8D" w:rsidRPr="00B40862">
        <w:rPr>
          <w:b/>
          <w:color w:val="004EA8"/>
          <w:sz w:val="26"/>
          <w:szCs w:val="26"/>
        </w:rPr>
        <w:t xml:space="preserve"> statements (RISs)</w:t>
      </w:r>
      <w:bookmarkEnd w:id="61"/>
      <w:bookmarkEnd w:id="62"/>
    </w:p>
    <w:p w:rsidR="00605D8D" w:rsidRDefault="00605D8D" w:rsidP="00605D8D">
      <w:pPr>
        <w:rPr>
          <w:lang w:eastAsia="en-US"/>
        </w:rPr>
      </w:pPr>
      <w:r>
        <w:rPr>
          <w:lang w:eastAsia="en-US"/>
        </w:rPr>
        <w:t xml:space="preserve">This </w:t>
      </w:r>
      <w:r w:rsidR="00D13659">
        <w:rPr>
          <w:lang w:eastAsia="en-US"/>
        </w:rPr>
        <w:t>section </w:t>
      </w:r>
      <w:r>
        <w:rPr>
          <w:lang w:eastAsia="en-US"/>
        </w:rPr>
        <w:t xml:space="preserve">discusses the various elements of the RIS </w:t>
      </w:r>
      <w:r w:rsidR="003321AB">
        <w:rPr>
          <w:lang w:eastAsia="en-US"/>
        </w:rPr>
        <w:t>process, including</w:t>
      </w:r>
      <w:r>
        <w:rPr>
          <w:lang w:eastAsia="en-US"/>
        </w:rPr>
        <w:t>:</w:t>
      </w:r>
    </w:p>
    <w:tbl>
      <w:tblPr>
        <w:tblW w:w="8568" w:type="dxa"/>
        <w:tblInd w:w="835" w:type="dxa"/>
        <w:tblBorders>
          <w:top w:val="single" w:sz="6" w:space="0" w:color="auto"/>
          <w:bottom w:val="single" w:sz="6" w:space="0" w:color="auto"/>
          <w:insideH w:val="single" w:sz="6" w:space="0" w:color="auto"/>
        </w:tblBorders>
        <w:tblCellMar>
          <w:left w:w="72" w:type="dxa"/>
          <w:right w:w="72" w:type="dxa"/>
        </w:tblCellMar>
        <w:tblLook w:val="0000" w:firstRow="0" w:lastRow="0" w:firstColumn="0" w:lastColumn="0" w:noHBand="0" w:noVBand="0"/>
      </w:tblPr>
      <w:tblGrid>
        <w:gridCol w:w="2837"/>
        <w:gridCol w:w="4230"/>
        <w:gridCol w:w="1501"/>
      </w:tblGrid>
      <w:tr w:rsidR="00605D8D" w:rsidRPr="003B7EF0" w:rsidTr="00DE4E32">
        <w:trPr>
          <w:cantSplit/>
          <w:tblHeader/>
        </w:trPr>
        <w:tc>
          <w:tcPr>
            <w:tcW w:w="2837" w:type="dxa"/>
            <w:shd w:val="clear" w:color="auto" w:fill="009CA6"/>
          </w:tcPr>
          <w:p w:rsidR="00605D8D" w:rsidRPr="00DE4E32" w:rsidRDefault="00605D8D" w:rsidP="00811FDD">
            <w:pPr>
              <w:pStyle w:val="TableHeader"/>
              <w:rPr>
                <w:b/>
                <w:color w:val="FFFFFF" w:themeColor="background1"/>
                <w:sz w:val="20"/>
                <w:szCs w:val="20"/>
              </w:rPr>
            </w:pPr>
            <w:r w:rsidRPr="00DE4E32">
              <w:rPr>
                <w:b/>
                <w:color w:val="FFFFFF" w:themeColor="background1"/>
                <w:sz w:val="20"/>
                <w:szCs w:val="20"/>
              </w:rPr>
              <w:t>Discussion item</w:t>
            </w:r>
          </w:p>
        </w:tc>
        <w:tc>
          <w:tcPr>
            <w:tcW w:w="4230" w:type="dxa"/>
            <w:shd w:val="clear" w:color="auto" w:fill="009CA6"/>
          </w:tcPr>
          <w:p w:rsidR="00605D8D" w:rsidRPr="00DE4E32" w:rsidRDefault="00605D8D" w:rsidP="00811FDD">
            <w:pPr>
              <w:pStyle w:val="TableHeader"/>
              <w:rPr>
                <w:b/>
                <w:color w:val="FFFFFF" w:themeColor="background1"/>
                <w:sz w:val="20"/>
                <w:szCs w:val="20"/>
              </w:rPr>
            </w:pPr>
            <w:r w:rsidRPr="00DE4E32">
              <w:rPr>
                <w:b/>
                <w:color w:val="FFFFFF" w:themeColor="background1"/>
                <w:sz w:val="20"/>
                <w:szCs w:val="20"/>
              </w:rPr>
              <w:t>What is covered?</w:t>
            </w:r>
          </w:p>
        </w:tc>
        <w:tc>
          <w:tcPr>
            <w:tcW w:w="1501" w:type="dxa"/>
            <w:shd w:val="clear" w:color="auto" w:fill="009CA6"/>
          </w:tcPr>
          <w:p w:rsidR="00605D8D" w:rsidRPr="00DE4E32" w:rsidRDefault="00605D8D" w:rsidP="00811FDD">
            <w:pPr>
              <w:pStyle w:val="TableHeader"/>
              <w:rPr>
                <w:b/>
                <w:color w:val="FFFFFF" w:themeColor="background1"/>
                <w:sz w:val="20"/>
                <w:szCs w:val="20"/>
              </w:rPr>
            </w:pPr>
            <w:r w:rsidRPr="00DE4E32">
              <w:rPr>
                <w:b/>
                <w:color w:val="FFFFFF" w:themeColor="background1"/>
                <w:sz w:val="20"/>
                <w:szCs w:val="20"/>
              </w:rPr>
              <w:t>Refer to</w:t>
            </w:r>
          </w:p>
        </w:tc>
      </w:tr>
      <w:tr w:rsidR="00605D8D" w:rsidRPr="003B7EF0" w:rsidTr="00811FDD">
        <w:trPr>
          <w:cantSplit/>
        </w:trPr>
        <w:tc>
          <w:tcPr>
            <w:tcW w:w="2837" w:type="dxa"/>
          </w:tcPr>
          <w:p w:rsidR="00605D8D" w:rsidRPr="003B7EF0" w:rsidRDefault="00605D8D" w:rsidP="00D72695">
            <w:pPr>
              <w:pStyle w:val="TableTextbold"/>
              <w:rPr>
                <w:szCs w:val="20"/>
              </w:rPr>
            </w:pPr>
            <w:r w:rsidRPr="003B7EF0">
              <w:rPr>
                <w:szCs w:val="20"/>
              </w:rPr>
              <w:t xml:space="preserve">What is the purpose of the RIS process? </w:t>
            </w:r>
          </w:p>
        </w:tc>
        <w:tc>
          <w:tcPr>
            <w:tcW w:w="4230" w:type="dxa"/>
          </w:tcPr>
          <w:p w:rsidR="00605D8D" w:rsidRPr="003B7EF0" w:rsidRDefault="00605D8D" w:rsidP="00D72695">
            <w:pPr>
              <w:pStyle w:val="TableBullet"/>
              <w:rPr>
                <w:szCs w:val="20"/>
              </w:rPr>
            </w:pPr>
            <w:r w:rsidRPr="003B7EF0">
              <w:rPr>
                <w:szCs w:val="20"/>
              </w:rPr>
              <w:t xml:space="preserve">The role of the RIS process in regulatory policy development </w:t>
            </w:r>
          </w:p>
        </w:tc>
        <w:tc>
          <w:tcPr>
            <w:tcW w:w="1501" w:type="dxa"/>
          </w:tcPr>
          <w:p w:rsidR="00605D8D" w:rsidRPr="003B7EF0" w:rsidRDefault="002019C2" w:rsidP="002019C2">
            <w:pPr>
              <w:pStyle w:val="TableText"/>
              <w:rPr>
                <w:szCs w:val="20"/>
              </w:rPr>
            </w:pPr>
            <w:r w:rsidRPr="003B7EF0">
              <w:rPr>
                <w:szCs w:val="20"/>
              </w:rPr>
              <w:t>Section</w:t>
            </w:r>
            <w:r w:rsidR="00C57AA0" w:rsidRPr="003B7EF0">
              <w:rPr>
                <w:szCs w:val="20"/>
              </w:rPr>
              <w:t xml:space="preserve"> 1.5</w:t>
            </w:r>
            <w:r w:rsidR="004C0B3C" w:rsidRPr="003B7EF0">
              <w:rPr>
                <w:szCs w:val="20"/>
              </w:rPr>
              <w:t>.1</w:t>
            </w:r>
          </w:p>
        </w:tc>
      </w:tr>
      <w:tr w:rsidR="00605D8D" w:rsidRPr="003B7EF0" w:rsidTr="00811FDD">
        <w:trPr>
          <w:cantSplit/>
        </w:trPr>
        <w:tc>
          <w:tcPr>
            <w:tcW w:w="2837" w:type="dxa"/>
          </w:tcPr>
          <w:p w:rsidR="00605D8D" w:rsidRPr="003B7EF0" w:rsidRDefault="00605D8D" w:rsidP="00D72695">
            <w:pPr>
              <w:pStyle w:val="TableTextbold"/>
              <w:rPr>
                <w:szCs w:val="20"/>
              </w:rPr>
            </w:pPr>
            <w:r w:rsidRPr="003B7EF0">
              <w:rPr>
                <w:szCs w:val="20"/>
              </w:rPr>
              <w:t>When must a RIS be prepared?</w:t>
            </w:r>
          </w:p>
        </w:tc>
        <w:tc>
          <w:tcPr>
            <w:tcW w:w="4230" w:type="dxa"/>
          </w:tcPr>
          <w:p w:rsidR="00605D8D" w:rsidRPr="003B7EF0" w:rsidRDefault="00605D8D" w:rsidP="00D72695">
            <w:pPr>
              <w:pStyle w:val="TableBullet"/>
              <w:rPr>
                <w:szCs w:val="20"/>
              </w:rPr>
            </w:pPr>
            <w:r w:rsidRPr="003B7EF0">
              <w:rPr>
                <w:szCs w:val="20"/>
              </w:rPr>
              <w:t>The circumstances that require preparation of a RIS</w:t>
            </w:r>
          </w:p>
          <w:p w:rsidR="00605D8D" w:rsidRPr="003B7EF0" w:rsidRDefault="00605D8D" w:rsidP="00D72695">
            <w:pPr>
              <w:pStyle w:val="TableBullet"/>
              <w:rPr>
                <w:szCs w:val="20"/>
              </w:rPr>
            </w:pPr>
            <w:r w:rsidRPr="003B7EF0">
              <w:rPr>
                <w:szCs w:val="20"/>
              </w:rPr>
              <w:t>Definition of statutory rules and legislative instruments</w:t>
            </w:r>
          </w:p>
          <w:p w:rsidR="00605D8D" w:rsidRPr="003B7EF0" w:rsidRDefault="00605D8D" w:rsidP="00D72695">
            <w:pPr>
              <w:pStyle w:val="TableBullet"/>
              <w:rPr>
                <w:szCs w:val="20"/>
              </w:rPr>
            </w:pPr>
            <w:r w:rsidRPr="003B7EF0">
              <w:rPr>
                <w:szCs w:val="20"/>
              </w:rPr>
              <w:t>Exemptions from, the RIS process</w:t>
            </w:r>
          </w:p>
        </w:tc>
        <w:tc>
          <w:tcPr>
            <w:tcW w:w="1501" w:type="dxa"/>
          </w:tcPr>
          <w:p w:rsidR="00605D8D" w:rsidRPr="003B7EF0" w:rsidRDefault="00605D8D" w:rsidP="002019C2">
            <w:pPr>
              <w:pStyle w:val="TableText"/>
              <w:rPr>
                <w:szCs w:val="20"/>
              </w:rPr>
            </w:pPr>
            <w:r w:rsidRPr="003B7EF0">
              <w:rPr>
                <w:szCs w:val="20"/>
              </w:rPr>
              <w:t>Section</w:t>
            </w:r>
            <w:r w:rsidR="00C57AA0" w:rsidRPr="003B7EF0">
              <w:rPr>
                <w:szCs w:val="20"/>
              </w:rPr>
              <w:t xml:space="preserve"> 1.5</w:t>
            </w:r>
            <w:r w:rsidR="004C0B3C" w:rsidRPr="003B7EF0">
              <w:rPr>
                <w:szCs w:val="20"/>
              </w:rPr>
              <w:t>.2</w:t>
            </w:r>
          </w:p>
        </w:tc>
      </w:tr>
      <w:tr w:rsidR="00605D8D" w:rsidRPr="003B7EF0" w:rsidTr="00811FDD">
        <w:trPr>
          <w:cantSplit/>
        </w:trPr>
        <w:tc>
          <w:tcPr>
            <w:tcW w:w="2837" w:type="dxa"/>
          </w:tcPr>
          <w:p w:rsidR="00605D8D" w:rsidRPr="003B7EF0" w:rsidRDefault="00605D8D" w:rsidP="00D72695">
            <w:pPr>
              <w:pStyle w:val="TableTextbold"/>
              <w:rPr>
                <w:szCs w:val="20"/>
              </w:rPr>
            </w:pPr>
            <w:r w:rsidRPr="003B7EF0">
              <w:rPr>
                <w:szCs w:val="20"/>
              </w:rPr>
              <w:t>Specific RIS requirements for different types of regulations</w:t>
            </w:r>
          </w:p>
        </w:tc>
        <w:tc>
          <w:tcPr>
            <w:tcW w:w="4230" w:type="dxa"/>
          </w:tcPr>
          <w:p w:rsidR="00605D8D" w:rsidRPr="003B7EF0" w:rsidRDefault="00605D8D" w:rsidP="00D72695">
            <w:pPr>
              <w:pStyle w:val="TableBullet"/>
              <w:rPr>
                <w:szCs w:val="20"/>
              </w:rPr>
            </w:pPr>
            <w:r w:rsidRPr="003B7EF0">
              <w:rPr>
                <w:szCs w:val="20"/>
              </w:rPr>
              <w:t>Differences in emphasis required when preparing RISs for the different types of regulations, including:</w:t>
            </w:r>
          </w:p>
          <w:p w:rsidR="00605D8D" w:rsidRPr="003B7EF0" w:rsidRDefault="00605D8D" w:rsidP="00D72695">
            <w:pPr>
              <w:pStyle w:val="TableBulletDash"/>
              <w:rPr>
                <w:szCs w:val="20"/>
              </w:rPr>
            </w:pPr>
            <w:r w:rsidRPr="003B7EF0">
              <w:rPr>
                <w:szCs w:val="20"/>
              </w:rPr>
              <w:t>the establishment of new regulations</w:t>
            </w:r>
          </w:p>
          <w:p w:rsidR="00605D8D" w:rsidRPr="003B7EF0" w:rsidRDefault="00605D8D" w:rsidP="00D72695">
            <w:pPr>
              <w:pStyle w:val="TableBulletDash"/>
              <w:rPr>
                <w:szCs w:val="20"/>
              </w:rPr>
            </w:pPr>
            <w:r w:rsidRPr="003B7EF0">
              <w:rPr>
                <w:szCs w:val="20"/>
              </w:rPr>
              <w:t xml:space="preserve">replacement of </w:t>
            </w:r>
            <w:proofErr w:type="spellStart"/>
            <w:r w:rsidRPr="003B7EF0">
              <w:rPr>
                <w:szCs w:val="20"/>
              </w:rPr>
              <w:t>sunsetting</w:t>
            </w:r>
            <w:proofErr w:type="spellEnd"/>
            <w:r w:rsidRPr="003B7EF0">
              <w:rPr>
                <w:szCs w:val="20"/>
              </w:rPr>
              <w:t xml:space="preserve"> regulations</w:t>
            </w:r>
          </w:p>
          <w:p w:rsidR="00605D8D" w:rsidRPr="003B7EF0" w:rsidRDefault="00605D8D" w:rsidP="00D72695">
            <w:pPr>
              <w:pStyle w:val="TableBulletDash"/>
              <w:rPr>
                <w:szCs w:val="20"/>
              </w:rPr>
            </w:pPr>
            <w:r w:rsidRPr="003B7EF0">
              <w:rPr>
                <w:szCs w:val="20"/>
              </w:rPr>
              <w:t>amendments to existing regulations</w:t>
            </w:r>
          </w:p>
          <w:p w:rsidR="00605D8D" w:rsidRPr="003B7EF0" w:rsidRDefault="00605D8D" w:rsidP="00D72695">
            <w:pPr>
              <w:pStyle w:val="TableBulletDash"/>
              <w:rPr>
                <w:szCs w:val="20"/>
              </w:rPr>
            </w:pPr>
            <w:r w:rsidRPr="003B7EF0">
              <w:rPr>
                <w:szCs w:val="20"/>
              </w:rPr>
              <w:t>regulations imposing a fee or charge</w:t>
            </w:r>
          </w:p>
        </w:tc>
        <w:tc>
          <w:tcPr>
            <w:tcW w:w="1501" w:type="dxa"/>
          </w:tcPr>
          <w:p w:rsidR="00605D8D" w:rsidRPr="003B7EF0" w:rsidRDefault="00D13659" w:rsidP="00C57AA0">
            <w:pPr>
              <w:pStyle w:val="TableText"/>
              <w:rPr>
                <w:szCs w:val="20"/>
              </w:rPr>
            </w:pPr>
            <w:r w:rsidRPr="003B7EF0">
              <w:rPr>
                <w:szCs w:val="20"/>
              </w:rPr>
              <w:t>Section</w:t>
            </w:r>
            <w:r w:rsidR="004C0B3C" w:rsidRPr="003B7EF0">
              <w:rPr>
                <w:szCs w:val="20"/>
              </w:rPr>
              <w:t xml:space="preserve"> 1.</w:t>
            </w:r>
            <w:r w:rsidR="00C57AA0" w:rsidRPr="003B7EF0">
              <w:rPr>
                <w:szCs w:val="20"/>
              </w:rPr>
              <w:t>5</w:t>
            </w:r>
            <w:r w:rsidR="004C0B3C" w:rsidRPr="003B7EF0">
              <w:rPr>
                <w:szCs w:val="20"/>
              </w:rPr>
              <w:t>.3</w:t>
            </w:r>
          </w:p>
        </w:tc>
      </w:tr>
      <w:tr w:rsidR="00605D8D" w:rsidRPr="003B7EF0" w:rsidTr="00811FDD">
        <w:trPr>
          <w:cantSplit/>
        </w:trPr>
        <w:tc>
          <w:tcPr>
            <w:tcW w:w="2837" w:type="dxa"/>
          </w:tcPr>
          <w:p w:rsidR="00605D8D" w:rsidRPr="003B7EF0" w:rsidRDefault="00605D8D" w:rsidP="00D72695">
            <w:pPr>
              <w:pStyle w:val="TableTextbold"/>
              <w:rPr>
                <w:szCs w:val="20"/>
              </w:rPr>
            </w:pPr>
            <w:r w:rsidRPr="003B7EF0">
              <w:rPr>
                <w:szCs w:val="20"/>
              </w:rPr>
              <w:t>The role of consultation in the RIS process</w:t>
            </w:r>
          </w:p>
        </w:tc>
        <w:tc>
          <w:tcPr>
            <w:tcW w:w="4230" w:type="dxa"/>
          </w:tcPr>
          <w:p w:rsidR="00605D8D" w:rsidRPr="003B7EF0" w:rsidRDefault="00605D8D" w:rsidP="00D72695">
            <w:pPr>
              <w:pStyle w:val="TableBullet"/>
              <w:rPr>
                <w:szCs w:val="20"/>
              </w:rPr>
            </w:pPr>
            <w:r w:rsidRPr="003B7EF0">
              <w:rPr>
                <w:szCs w:val="20"/>
              </w:rPr>
              <w:t>Requirements for consultation during the initial stages of the RIS process</w:t>
            </w:r>
          </w:p>
          <w:p w:rsidR="00605D8D" w:rsidRPr="003B7EF0" w:rsidRDefault="00605D8D" w:rsidP="00D72695">
            <w:pPr>
              <w:pStyle w:val="TableBullet"/>
              <w:rPr>
                <w:szCs w:val="20"/>
              </w:rPr>
            </w:pPr>
            <w:r w:rsidRPr="003B7EF0">
              <w:rPr>
                <w:szCs w:val="20"/>
              </w:rPr>
              <w:t>Requirements for consultation after the RIS document is prepared</w:t>
            </w:r>
          </w:p>
          <w:p w:rsidR="00605D8D" w:rsidRPr="003B7EF0" w:rsidRDefault="00605D8D" w:rsidP="00D72695">
            <w:pPr>
              <w:pStyle w:val="TableBullet"/>
              <w:rPr>
                <w:szCs w:val="20"/>
              </w:rPr>
            </w:pPr>
            <w:r w:rsidRPr="003B7EF0">
              <w:rPr>
                <w:szCs w:val="20"/>
              </w:rPr>
              <w:t>The benefits of consultation</w:t>
            </w:r>
          </w:p>
        </w:tc>
        <w:tc>
          <w:tcPr>
            <w:tcW w:w="1501" w:type="dxa"/>
          </w:tcPr>
          <w:p w:rsidR="00605D8D" w:rsidRPr="003B7EF0" w:rsidRDefault="002019C2" w:rsidP="002019C2">
            <w:pPr>
              <w:pStyle w:val="TableText"/>
              <w:rPr>
                <w:szCs w:val="20"/>
              </w:rPr>
            </w:pPr>
            <w:r w:rsidRPr="003B7EF0">
              <w:rPr>
                <w:szCs w:val="20"/>
              </w:rPr>
              <w:t>Section</w:t>
            </w:r>
            <w:r w:rsidR="00C57AA0" w:rsidRPr="003B7EF0">
              <w:rPr>
                <w:szCs w:val="20"/>
              </w:rPr>
              <w:t xml:space="preserve"> 1.5</w:t>
            </w:r>
            <w:r w:rsidR="004C0B3C" w:rsidRPr="003B7EF0">
              <w:rPr>
                <w:szCs w:val="20"/>
              </w:rPr>
              <w:t>.4</w:t>
            </w:r>
          </w:p>
        </w:tc>
      </w:tr>
      <w:tr w:rsidR="00605D8D" w:rsidRPr="003B7EF0" w:rsidTr="00811FDD">
        <w:trPr>
          <w:cantSplit/>
        </w:trPr>
        <w:tc>
          <w:tcPr>
            <w:tcW w:w="2837" w:type="dxa"/>
          </w:tcPr>
          <w:p w:rsidR="00605D8D" w:rsidRPr="003B7EF0" w:rsidRDefault="00605D8D" w:rsidP="00D72695">
            <w:pPr>
              <w:pStyle w:val="TableTextbold"/>
              <w:rPr>
                <w:szCs w:val="20"/>
              </w:rPr>
            </w:pPr>
            <w:r w:rsidRPr="003B7EF0">
              <w:rPr>
                <w:szCs w:val="20"/>
              </w:rPr>
              <w:t>Assessing the adequacy of the RIS document</w:t>
            </w:r>
          </w:p>
        </w:tc>
        <w:tc>
          <w:tcPr>
            <w:tcW w:w="4230" w:type="dxa"/>
          </w:tcPr>
          <w:p w:rsidR="00605D8D" w:rsidRPr="003B7EF0" w:rsidRDefault="00605D8D" w:rsidP="00D72695">
            <w:pPr>
              <w:pStyle w:val="TableBullet"/>
              <w:rPr>
                <w:szCs w:val="20"/>
              </w:rPr>
            </w:pPr>
            <w:r w:rsidRPr="003B7EF0">
              <w:rPr>
                <w:szCs w:val="20"/>
              </w:rPr>
              <w:t xml:space="preserve">Requirements to check the adequacy of a RIS, including: </w:t>
            </w:r>
          </w:p>
          <w:p w:rsidR="00605D8D" w:rsidRPr="003B7EF0" w:rsidRDefault="00605D8D" w:rsidP="00D72695">
            <w:pPr>
              <w:pStyle w:val="TableBulletDash"/>
              <w:rPr>
                <w:szCs w:val="20"/>
              </w:rPr>
            </w:pPr>
            <w:r w:rsidRPr="003B7EF0">
              <w:rPr>
                <w:szCs w:val="20"/>
              </w:rPr>
              <w:t>independent assessment</w:t>
            </w:r>
          </w:p>
          <w:p w:rsidR="00605D8D" w:rsidRPr="003B7EF0" w:rsidRDefault="00605D8D" w:rsidP="00D72695">
            <w:pPr>
              <w:pStyle w:val="TableBulletDash"/>
              <w:rPr>
                <w:szCs w:val="20"/>
              </w:rPr>
            </w:pPr>
            <w:r w:rsidRPr="003B7EF0">
              <w:rPr>
                <w:szCs w:val="20"/>
              </w:rPr>
              <w:t xml:space="preserve">Ministerial RIS compliance certification </w:t>
            </w:r>
          </w:p>
          <w:p w:rsidR="00605D8D" w:rsidRPr="003B7EF0" w:rsidRDefault="00605D8D" w:rsidP="00D72695">
            <w:pPr>
              <w:pStyle w:val="TableBulletDash"/>
              <w:rPr>
                <w:szCs w:val="20"/>
              </w:rPr>
            </w:pPr>
            <w:r w:rsidRPr="003B7EF0">
              <w:rPr>
                <w:szCs w:val="20"/>
              </w:rPr>
              <w:t xml:space="preserve">review by the Scrutiny of Acts and Regulations Committee </w:t>
            </w:r>
          </w:p>
        </w:tc>
        <w:tc>
          <w:tcPr>
            <w:tcW w:w="1501" w:type="dxa"/>
          </w:tcPr>
          <w:p w:rsidR="00605D8D" w:rsidRPr="003B7EF0" w:rsidRDefault="002019C2" w:rsidP="002019C2">
            <w:pPr>
              <w:pStyle w:val="TableText"/>
              <w:rPr>
                <w:szCs w:val="20"/>
              </w:rPr>
            </w:pPr>
            <w:r w:rsidRPr="003B7EF0">
              <w:rPr>
                <w:szCs w:val="20"/>
              </w:rPr>
              <w:t>Section</w:t>
            </w:r>
            <w:r w:rsidR="00C57AA0" w:rsidRPr="003B7EF0">
              <w:rPr>
                <w:szCs w:val="20"/>
              </w:rPr>
              <w:t xml:space="preserve"> 1.5</w:t>
            </w:r>
            <w:r w:rsidR="004C0B3C" w:rsidRPr="003B7EF0">
              <w:rPr>
                <w:szCs w:val="20"/>
              </w:rPr>
              <w:t>.5</w:t>
            </w:r>
          </w:p>
        </w:tc>
      </w:tr>
      <w:tr w:rsidR="00605D8D" w:rsidRPr="003B7EF0" w:rsidTr="00811FDD">
        <w:trPr>
          <w:cantSplit/>
        </w:trPr>
        <w:tc>
          <w:tcPr>
            <w:tcW w:w="2837" w:type="dxa"/>
          </w:tcPr>
          <w:p w:rsidR="00605D8D" w:rsidRPr="003B7EF0" w:rsidRDefault="00605D8D" w:rsidP="00D72695">
            <w:pPr>
              <w:pStyle w:val="TableTextbold"/>
              <w:rPr>
                <w:szCs w:val="20"/>
              </w:rPr>
            </w:pPr>
            <w:r w:rsidRPr="003B7EF0">
              <w:rPr>
                <w:szCs w:val="20"/>
              </w:rPr>
              <w:t>Timing considerations</w:t>
            </w:r>
          </w:p>
        </w:tc>
        <w:tc>
          <w:tcPr>
            <w:tcW w:w="4230" w:type="dxa"/>
          </w:tcPr>
          <w:p w:rsidR="00605D8D" w:rsidRPr="003B7EF0" w:rsidRDefault="00605D8D" w:rsidP="00D72695">
            <w:pPr>
              <w:pStyle w:val="TableBullet"/>
              <w:rPr>
                <w:szCs w:val="20"/>
              </w:rPr>
            </w:pPr>
            <w:r w:rsidRPr="003B7EF0">
              <w:rPr>
                <w:szCs w:val="20"/>
              </w:rPr>
              <w:t>Guidance about the amount of time that should be allowed for the different stages of the RIS process</w:t>
            </w:r>
          </w:p>
        </w:tc>
        <w:tc>
          <w:tcPr>
            <w:tcW w:w="1501" w:type="dxa"/>
          </w:tcPr>
          <w:p w:rsidR="00605D8D" w:rsidRPr="003B7EF0" w:rsidRDefault="002019C2" w:rsidP="002019C2">
            <w:pPr>
              <w:pStyle w:val="TableText"/>
              <w:rPr>
                <w:szCs w:val="20"/>
              </w:rPr>
            </w:pPr>
            <w:r w:rsidRPr="003B7EF0">
              <w:rPr>
                <w:szCs w:val="20"/>
              </w:rPr>
              <w:t>Section</w:t>
            </w:r>
            <w:r w:rsidR="00C57AA0" w:rsidRPr="003B7EF0">
              <w:rPr>
                <w:szCs w:val="20"/>
              </w:rPr>
              <w:t xml:space="preserve"> 1.5</w:t>
            </w:r>
            <w:r w:rsidR="004C0B3C" w:rsidRPr="003B7EF0">
              <w:rPr>
                <w:szCs w:val="20"/>
              </w:rPr>
              <w:t>.6</w:t>
            </w:r>
          </w:p>
        </w:tc>
      </w:tr>
    </w:tbl>
    <w:p w:rsidR="00605D8D" w:rsidRDefault="00605D8D" w:rsidP="00605D8D">
      <w:pPr>
        <w:pStyle w:val="Spacer"/>
      </w:pPr>
    </w:p>
    <w:p w:rsidR="002019C2" w:rsidRPr="003B7EF0" w:rsidRDefault="002019C2" w:rsidP="002019C2">
      <w:pPr>
        <w:rPr>
          <w:sz w:val="20"/>
          <w:szCs w:val="20"/>
        </w:rPr>
      </w:pPr>
      <w:r w:rsidRPr="003B7EF0">
        <w:rPr>
          <w:sz w:val="20"/>
          <w:szCs w:val="20"/>
        </w:rPr>
        <w:t xml:space="preserve">The various stages involved in making subordinate legislation (statutory rules and legislative instruments) </w:t>
      </w:r>
      <w:proofErr w:type="gramStart"/>
      <w:r w:rsidRPr="003B7EF0">
        <w:rPr>
          <w:sz w:val="20"/>
          <w:szCs w:val="20"/>
        </w:rPr>
        <w:t>is</w:t>
      </w:r>
      <w:proofErr w:type="gramEnd"/>
      <w:r w:rsidRPr="003B7EF0">
        <w:rPr>
          <w:sz w:val="20"/>
          <w:szCs w:val="20"/>
        </w:rPr>
        <w:t xml:space="preserve"> set out in Figures 2 and 3 below. Figure 2 outlines the process where a RIS is required and Figure 3 covers the process where the responsible Minister exempts the subordinate legislation from the RIS process.</w:t>
      </w:r>
    </w:p>
    <w:p w:rsidR="002019C2" w:rsidRPr="003B7EF0" w:rsidRDefault="002019C2" w:rsidP="002019C2">
      <w:pPr>
        <w:rPr>
          <w:sz w:val="20"/>
          <w:szCs w:val="20"/>
        </w:rPr>
      </w:pPr>
      <w:r w:rsidRPr="003B7EF0">
        <w:rPr>
          <w:sz w:val="20"/>
          <w:szCs w:val="20"/>
        </w:rPr>
        <w:t>Please note that any additional processes set out in the enabling legislation must also be complied with.</w:t>
      </w:r>
    </w:p>
    <w:p w:rsidR="002019C2" w:rsidRDefault="002019C2" w:rsidP="002019C2">
      <w:pPr>
        <w:pStyle w:val="Caption"/>
        <w:rPr>
          <w:lang w:val="en-US"/>
        </w:rPr>
      </w:pPr>
      <w:r>
        <w:rPr>
          <w:highlight w:val="yellow"/>
        </w:rPr>
        <w:br w:type="page"/>
      </w:r>
      <w:r w:rsidRPr="00245BE8">
        <w:t xml:space="preserve">Figure </w:t>
      </w:r>
      <w:r>
        <w:t>2</w:t>
      </w:r>
      <w:r w:rsidRPr="00245BE8">
        <w:t xml:space="preserve">: </w:t>
      </w:r>
      <w:r w:rsidRPr="00245BE8">
        <w:rPr>
          <w:lang w:val="en-US"/>
        </w:rPr>
        <w:t>Flow chart of the subordinate legislation making process where a RIS is required</w:t>
      </w:r>
      <w:r>
        <w:rPr>
          <w:lang w:val="en-US"/>
        </w:rPr>
        <w:t xml:space="preserve"> </w:t>
      </w:r>
    </w:p>
    <w:p w:rsidR="002019C2" w:rsidRDefault="002019C2" w:rsidP="002019C2">
      <w:pPr>
        <w:pStyle w:val="NoteNormal"/>
        <w:rPr>
          <w:lang w:val="en-US"/>
        </w:rPr>
      </w:pPr>
      <w:r>
        <w:rPr>
          <w:lang w:val="en-US"/>
        </w:rPr>
        <w:t xml:space="preserve">Note: Boxes shaded in grey only apply to </w:t>
      </w:r>
      <w:r w:rsidRPr="00D72695">
        <w:t>statutory</w:t>
      </w:r>
      <w:r>
        <w:rPr>
          <w:lang w:val="en-US"/>
        </w:rPr>
        <w:t xml:space="preserve"> rules (commonly referred to as ‘regulations’). Provisions relating to legislative instruments come into effect on 1 July 2011. </w:t>
      </w:r>
    </w:p>
    <w:p w:rsidR="00290DE6" w:rsidRDefault="001B1171" w:rsidP="002019C2">
      <w:pPr>
        <w:pStyle w:val="NoteNormal"/>
        <w:rPr>
          <w:lang w:val="en-US"/>
        </w:rPr>
      </w:pPr>
      <w:r w:rsidRPr="00CC0A35">
        <w:rPr>
          <w:b/>
          <w:noProof/>
          <w:lang w:eastAsia="en-AU"/>
        </w:rPr>
        <mc:AlternateContent>
          <mc:Choice Requires="wps">
            <w:drawing>
              <wp:anchor distT="0" distB="0" distL="114300" distR="114300" simplePos="0" relativeHeight="251694080" behindDoc="0" locked="0" layoutInCell="1" allowOverlap="1" wp14:anchorId="22832C0F" wp14:editId="1D3E04BB">
                <wp:simplePos x="0" y="0"/>
                <wp:positionH relativeFrom="column">
                  <wp:posOffset>571500</wp:posOffset>
                </wp:positionH>
                <wp:positionV relativeFrom="paragraph">
                  <wp:posOffset>8049895</wp:posOffset>
                </wp:positionV>
                <wp:extent cx="5667375" cy="314325"/>
                <wp:effectExtent l="0" t="0" r="28575" b="26035"/>
                <wp:wrapNone/>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14325"/>
                        </a:xfrm>
                        <a:prstGeom prst="rect">
                          <a:avLst/>
                        </a:prstGeom>
                        <a:solidFill>
                          <a:srgbClr val="FFFFFF"/>
                        </a:solidFill>
                        <a:ln w="9525">
                          <a:solidFill>
                            <a:srgbClr val="000000"/>
                          </a:solidFill>
                          <a:miter lim="800000"/>
                          <a:headEnd/>
                          <a:tailEnd/>
                        </a:ln>
                      </wps:spPr>
                      <wps:txbx>
                        <w:txbxContent>
                          <w:p w:rsidR="00757B98" w:rsidRDefault="001B1171" w:rsidP="001476D9">
                            <w:pPr>
                              <w:spacing w:before="0" w:after="0"/>
                              <w:ind w:left="0"/>
                              <w:rPr>
                                <w:sz w:val="16"/>
                                <w:szCs w:val="16"/>
                              </w:rPr>
                            </w:pPr>
                            <w:r>
                              <w:rPr>
                                <w:sz w:val="16"/>
                                <w:szCs w:val="16"/>
                              </w:rPr>
                              <w:t xml:space="preserve">(1) </w:t>
                            </w:r>
                            <w:r w:rsidRPr="00D107A2">
                              <w:rPr>
                                <w:sz w:val="16"/>
                                <w:szCs w:val="16"/>
                              </w:rPr>
                              <w:t xml:space="preserve">For statutory </w:t>
                            </w:r>
                            <w:proofErr w:type="gramStart"/>
                            <w:r w:rsidRPr="00D107A2">
                              <w:rPr>
                                <w:sz w:val="16"/>
                                <w:szCs w:val="16"/>
                              </w:rPr>
                              <w:t>rules ,</w:t>
                            </w:r>
                            <w:proofErr w:type="gramEnd"/>
                            <w:r w:rsidRPr="00D107A2">
                              <w:rPr>
                                <w:sz w:val="16"/>
                                <w:szCs w:val="16"/>
                              </w:rPr>
                              <w:t xml:space="preserve"> a notice in the Gazette is all that is required.  Legislative instruments must generally</w:t>
                            </w:r>
                            <w:r>
                              <w:rPr>
                                <w:sz w:val="16"/>
                                <w:szCs w:val="16"/>
                              </w:rPr>
                              <w:t xml:space="preserve"> </w:t>
                            </w:r>
                            <w:r w:rsidRPr="00D107A2">
                              <w:rPr>
                                <w:sz w:val="16"/>
                                <w:szCs w:val="16"/>
                              </w:rPr>
                              <w:t xml:space="preserve">be gazetted in full.  </w:t>
                            </w:r>
                          </w:p>
                          <w:p w:rsidR="001B1171" w:rsidRPr="001476D9" w:rsidRDefault="001B1171" w:rsidP="001476D9">
                            <w:pPr>
                              <w:spacing w:before="0" w:after="0"/>
                              <w:ind w:left="0"/>
                              <w:rPr>
                                <w:rFonts w:asciiTheme="minorHAnsi" w:hAnsiTheme="minorHAnsi"/>
                                <w:sz w:val="16"/>
                                <w:szCs w:val="16"/>
                              </w:rPr>
                            </w:pPr>
                            <w:r w:rsidRPr="00D107A2">
                              <w:rPr>
                                <w:sz w:val="16"/>
                                <w:szCs w:val="16"/>
                              </w:rPr>
                              <w:t>See the Pr</w:t>
                            </w:r>
                            <w:r>
                              <w:rPr>
                                <w:sz w:val="16"/>
                                <w:szCs w:val="16"/>
                              </w:rPr>
                              <w:t xml:space="preserve">emier’s </w:t>
                            </w:r>
                            <w:proofErr w:type="gramStart"/>
                            <w:r>
                              <w:rPr>
                                <w:sz w:val="16"/>
                                <w:szCs w:val="16"/>
                              </w:rPr>
                              <w:t xml:space="preserve">Guidelines </w:t>
                            </w:r>
                            <w:r w:rsidRPr="00D107A2">
                              <w:rPr>
                                <w:sz w:val="16"/>
                                <w:szCs w:val="16"/>
                              </w:rPr>
                              <w:t xml:space="preserve"> for</w:t>
                            </w:r>
                            <w:proofErr w:type="gramEnd"/>
                            <w:r w:rsidRPr="00D107A2">
                              <w:rPr>
                                <w:sz w:val="16"/>
                                <w:szCs w:val="16"/>
                              </w:rPr>
                              <w:t xml:space="preserve"> </w:t>
                            </w:r>
                            <w:r w:rsidRPr="001476D9">
                              <w:rPr>
                                <w:rFonts w:asciiTheme="minorHAnsi" w:hAnsiTheme="minorHAnsi"/>
                                <w:sz w:val="16"/>
                                <w:szCs w:val="16"/>
                              </w:rPr>
                              <w:t>exceptions.</w:t>
                            </w:r>
                            <w:r w:rsidR="001476D9" w:rsidRPr="001476D9">
                              <w:rPr>
                                <w:rFonts w:asciiTheme="minorHAnsi" w:eastAsia="Calibri" w:hAnsiTheme="minorHAnsi" w:cs="Helv"/>
                                <w:color w:val="000000"/>
                                <w:sz w:val="16"/>
                                <w:szCs w:val="16"/>
                              </w:rPr>
                              <w:t xml:space="preserve"> http://www.betterregulation.vic.gov.au/Guidance-and-Resources</w:t>
                            </w:r>
                          </w:p>
                          <w:p w:rsidR="001B1171" w:rsidRPr="00D107A2" w:rsidRDefault="001B1171" w:rsidP="001B1171">
                            <w:pPr>
                              <w:spacing w:after="0"/>
                              <w:ind w:left="0"/>
                              <w:rPr>
                                <w:sz w:val="16"/>
                                <w:szCs w:val="16"/>
                              </w:rPr>
                            </w:pPr>
                            <w:r>
                              <w:rPr>
                                <w:sz w:val="16"/>
                                <w:szCs w:val="16"/>
                              </w:rPr>
                              <w:t xml:space="preserve">(2)  </w:t>
                            </w:r>
                            <w:r>
                              <w:rPr>
                                <w:b/>
                                <w:sz w:val="16"/>
                                <w:szCs w:val="16"/>
                              </w:rPr>
                              <w:t>For statutory rules</w:t>
                            </w:r>
                            <w:r>
                              <w:rPr>
                                <w:sz w:val="16"/>
                                <w:szCs w:val="16"/>
                              </w:rPr>
                              <w:t>: The Office of the Chief Parliamentary Counsel and the Government Printer arrange for the allocation of a statutory rule number and for the printing, circulation and notification in the Government Gazette.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5pt;margin-top:633.85pt;width:446.2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">
                <v:textbox style="mso-fit-shape-to-text:t">
                  <w:txbxContent>
                    <w:p w:rsidR="00757B98" w:rsidRDefault="001B1171" w:rsidP="001476D9">
                      <w:pPr>
                        <w:spacing w:before="0" w:after="0"/>
                        <w:ind w:left="0"/>
                        <w:rPr>
                          <w:sz w:val="16"/>
                          <w:szCs w:val="16"/>
                        </w:rPr>
                      </w:pPr>
                      <w:r>
                        <w:rPr>
                          <w:sz w:val="16"/>
                          <w:szCs w:val="16"/>
                        </w:rPr>
                        <w:t xml:space="preserve">(1) </w:t>
                      </w:r>
                      <w:r w:rsidRPr="00D107A2">
                        <w:rPr>
                          <w:sz w:val="16"/>
                          <w:szCs w:val="16"/>
                        </w:rPr>
                        <w:t>For statutory rules , a notice in the Gazette is all that is required.  Legislative instruments must generally</w:t>
                      </w:r>
                      <w:r>
                        <w:rPr>
                          <w:sz w:val="16"/>
                          <w:szCs w:val="16"/>
                        </w:rPr>
                        <w:t xml:space="preserve"> </w:t>
                      </w:r>
                      <w:r w:rsidRPr="00D107A2">
                        <w:rPr>
                          <w:sz w:val="16"/>
                          <w:szCs w:val="16"/>
                        </w:rPr>
                        <w:t xml:space="preserve">be gazetted in full.  </w:t>
                      </w:r>
                    </w:p>
                    <w:p w:rsidR="001B1171" w:rsidRPr="001476D9" w:rsidRDefault="001B1171" w:rsidP="001476D9">
                      <w:pPr>
                        <w:spacing w:before="0" w:after="0"/>
                        <w:ind w:left="0"/>
                        <w:rPr>
                          <w:rFonts w:asciiTheme="minorHAnsi" w:hAnsiTheme="minorHAnsi"/>
                          <w:sz w:val="16"/>
                          <w:szCs w:val="16"/>
                        </w:rPr>
                      </w:pPr>
                      <w:bookmarkStart w:id="63" w:name="_GoBack"/>
                      <w:bookmarkEnd w:id="63"/>
                      <w:r w:rsidRPr="00D107A2">
                        <w:rPr>
                          <w:sz w:val="16"/>
                          <w:szCs w:val="16"/>
                        </w:rPr>
                        <w:t>See the Pr</w:t>
                      </w:r>
                      <w:r>
                        <w:rPr>
                          <w:sz w:val="16"/>
                          <w:szCs w:val="16"/>
                        </w:rPr>
                        <w:t xml:space="preserve">emier’s Guidelines </w:t>
                      </w:r>
                      <w:r w:rsidRPr="00D107A2">
                        <w:rPr>
                          <w:sz w:val="16"/>
                          <w:szCs w:val="16"/>
                        </w:rPr>
                        <w:t xml:space="preserve"> for </w:t>
                      </w:r>
                      <w:r w:rsidRPr="001476D9">
                        <w:rPr>
                          <w:rFonts w:asciiTheme="minorHAnsi" w:hAnsiTheme="minorHAnsi"/>
                          <w:sz w:val="16"/>
                          <w:szCs w:val="16"/>
                        </w:rPr>
                        <w:t>exceptions.</w:t>
                      </w:r>
                      <w:r w:rsidR="001476D9" w:rsidRPr="001476D9">
                        <w:rPr>
                          <w:rFonts w:asciiTheme="minorHAnsi" w:eastAsia="Calibri" w:hAnsiTheme="minorHAnsi" w:cs="Helv"/>
                          <w:color w:val="000000"/>
                          <w:sz w:val="16"/>
                          <w:szCs w:val="16"/>
                        </w:rPr>
                        <w:t xml:space="preserve"> http://www.betterregulation.vic.gov.au/Guidance-and-Resources</w:t>
                      </w:r>
                    </w:p>
                    <w:p w:rsidR="001B1171" w:rsidRPr="00D107A2" w:rsidRDefault="001B1171" w:rsidP="001B1171">
                      <w:pPr>
                        <w:spacing w:after="0"/>
                        <w:ind w:left="0"/>
                        <w:rPr>
                          <w:sz w:val="16"/>
                          <w:szCs w:val="16"/>
                        </w:rPr>
                      </w:pPr>
                      <w:r>
                        <w:rPr>
                          <w:sz w:val="16"/>
                          <w:szCs w:val="16"/>
                        </w:rPr>
                        <w:t xml:space="preserve">(2)  </w:t>
                      </w:r>
                      <w:r>
                        <w:rPr>
                          <w:b/>
                          <w:sz w:val="16"/>
                          <w:szCs w:val="16"/>
                        </w:rPr>
                        <w:t>For statutory rules</w:t>
                      </w:r>
                      <w:r>
                        <w:rPr>
                          <w:sz w:val="16"/>
                          <w:szCs w:val="16"/>
                        </w:rPr>
                        <w:t>: The Office of the Chief Parliamentary Counsel and the Government Printer arrange for the allocation of a statutory rule number and for the printing, circulation and notification in the Government Gazette.</w:t>
                      </w:r>
                    </w:p>
                  </w:txbxContent>
                </v:textbox>
              </v:shape>
            </w:pict>
          </mc:Fallback>
        </mc:AlternateContent>
      </w:r>
      <w:r w:rsidR="009D4676">
        <w:rPr>
          <w:lang w:val="en-US"/>
        </w:rPr>
        <w:object w:dxaOrig="9060" w:dyaOrig="12600">
          <v:shape id="_x0000_i1026" type="#_x0000_t75" style="width:453pt;height:630pt" o:ole="">
            <v:imagedata r:id="rId18" o:title=""/>
          </v:shape>
          <o:OLEObject Type="Embed" ProgID="Word.Document.12" ShapeID="_x0000_i1026" DrawAspect="Content" ObjectID="_1540619616" r:id="rId19">
            <o:FieldCodes>\s</o:FieldCodes>
          </o:OLEObject>
        </w:object>
      </w:r>
    </w:p>
    <w:p w:rsidR="002019C2" w:rsidRPr="00950ED0" w:rsidRDefault="002019C2" w:rsidP="00434AC0">
      <w:pPr>
        <w:pStyle w:val="Caption"/>
        <w:rPr>
          <w:lang w:val="en-US"/>
        </w:rPr>
      </w:pPr>
      <w:r w:rsidRPr="00B41862">
        <w:t xml:space="preserve">Figure </w:t>
      </w:r>
      <w:r>
        <w:t>3</w:t>
      </w:r>
      <w:r w:rsidRPr="00B41862">
        <w:t>: Flow chart of the subordinate legislation making process – RIS exemption by a</w:t>
      </w:r>
      <w:r>
        <w:t xml:space="preserve"> Minister</w:t>
      </w:r>
      <w:r w:rsidR="00950ED0">
        <w:t xml:space="preserve"> </w:t>
      </w:r>
    </w:p>
    <w:p w:rsidR="001F3DF8" w:rsidRDefault="002019C2" w:rsidP="00A516C8">
      <w:pPr>
        <w:pStyle w:val="NoteNormal"/>
        <w:spacing w:after="160"/>
        <w:rPr>
          <w:lang w:val="en-US"/>
        </w:rPr>
      </w:pPr>
      <w:r>
        <w:rPr>
          <w:lang w:val="en-US"/>
        </w:rPr>
        <w:t xml:space="preserve">Note: Boxes shaded in grey only apply to statutory rules (commonly referred to as ‘regulations’). Provisions relating to legislative instruments come into effect </w:t>
      </w:r>
      <w:r w:rsidRPr="00D72695">
        <w:t>on</w:t>
      </w:r>
      <w:r w:rsidR="00A516C8">
        <w:rPr>
          <w:lang w:val="en-US"/>
        </w:rPr>
        <w:t xml:space="preserve"> 1 July 2011.</w:t>
      </w:r>
    </w:p>
    <w:p w:rsidR="001F3DF8" w:rsidRDefault="00A516C8" w:rsidP="001F3DF8">
      <w:pPr>
        <w:rPr>
          <w:lang w:val="en-US"/>
        </w:rPr>
      </w:pPr>
      <w:r>
        <w:rPr>
          <w:lang w:val="en-US"/>
        </w:rPr>
        <w:object w:dxaOrig="11026" w:dyaOrig="15986">
          <v:shape id="_x0000_i1027" type="#_x0000_t75" style="width:417.9pt;height:609.05pt" o:ole="">
            <v:imagedata r:id="rId20" o:title=""/>
          </v:shape>
          <o:OLEObject Type="Embed" ProgID="Visio.Drawing.11" ShapeID="_x0000_i1027" DrawAspect="Content" ObjectID="_1540619617" r:id="rId21"/>
        </w:object>
      </w:r>
    </w:p>
    <w:p w:rsidR="00605D8D" w:rsidRPr="00B40862" w:rsidRDefault="00605D8D" w:rsidP="00604E54">
      <w:pPr>
        <w:pStyle w:val="Heading3"/>
        <w:rPr>
          <w:b w:val="0"/>
          <w:color w:val="004EA8"/>
        </w:rPr>
      </w:pPr>
      <w:bookmarkStart w:id="63" w:name="_Toc365449606"/>
      <w:bookmarkStart w:id="64" w:name="_Toc365451083"/>
      <w:bookmarkStart w:id="65" w:name="_Toc365451388"/>
      <w:bookmarkStart w:id="66" w:name="_Toc365451465"/>
      <w:bookmarkStart w:id="67" w:name="_Toc365451538"/>
      <w:bookmarkStart w:id="68" w:name="_Toc366165838"/>
      <w:bookmarkStart w:id="69" w:name="_Toc366165911"/>
      <w:bookmarkStart w:id="70" w:name="_Toc366166040"/>
      <w:bookmarkStart w:id="71" w:name="_Toc366166213"/>
      <w:bookmarkStart w:id="72" w:name="_Toc382838340"/>
      <w:bookmarkEnd w:id="63"/>
      <w:bookmarkEnd w:id="64"/>
      <w:bookmarkEnd w:id="65"/>
      <w:bookmarkEnd w:id="66"/>
      <w:bookmarkEnd w:id="67"/>
      <w:bookmarkEnd w:id="68"/>
      <w:bookmarkEnd w:id="69"/>
      <w:bookmarkEnd w:id="70"/>
      <w:bookmarkEnd w:id="71"/>
      <w:bookmarkEnd w:id="72"/>
      <w:r w:rsidRPr="00B40862">
        <w:rPr>
          <w:b w:val="0"/>
          <w:color w:val="004EA8"/>
        </w:rPr>
        <w:t>Purpose of the RIS process</w:t>
      </w:r>
    </w:p>
    <w:p w:rsidR="00605D8D" w:rsidRPr="003B7EF0" w:rsidRDefault="00605D8D" w:rsidP="00605D8D">
      <w:pPr>
        <w:rPr>
          <w:sz w:val="20"/>
          <w:szCs w:val="20"/>
        </w:rPr>
      </w:pPr>
      <w:r w:rsidRPr="003B7EF0">
        <w:rPr>
          <w:sz w:val="20"/>
          <w:szCs w:val="20"/>
        </w:rPr>
        <w:t xml:space="preserve">The basic purpose of the RIS process is to ensure that: regulation is only implemented when there is a justified need; only the most efficient forms of regulation are adopted; and there is an adequate level of public consultation in the development of regulatory measures. </w:t>
      </w:r>
    </w:p>
    <w:p w:rsidR="00605D8D" w:rsidRPr="003B7EF0" w:rsidRDefault="00605D8D" w:rsidP="00605D8D">
      <w:pPr>
        <w:rPr>
          <w:sz w:val="20"/>
          <w:szCs w:val="20"/>
        </w:rPr>
      </w:pPr>
      <w:r w:rsidRPr="003B7EF0">
        <w:rPr>
          <w:sz w:val="20"/>
          <w:szCs w:val="20"/>
        </w:rPr>
        <w:t xml:space="preserve">The RIS process is a critical part of developing regulatory measures because it requires policy makers to consider: </w:t>
      </w:r>
    </w:p>
    <w:p w:rsidR="00605D8D" w:rsidRPr="003B7EF0" w:rsidRDefault="00605D8D" w:rsidP="00605D8D">
      <w:pPr>
        <w:pStyle w:val="Bullet1"/>
        <w:rPr>
          <w:sz w:val="20"/>
          <w:szCs w:val="20"/>
        </w:rPr>
      </w:pPr>
      <w:r w:rsidRPr="003B7EF0">
        <w:rPr>
          <w:sz w:val="20"/>
          <w:szCs w:val="20"/>
        </w:rPr>
        <w:t>the appropriateness or otherwise of government regulatory action in any particular circumstance;</w:t>
      </w:r>
    </w:p>
    <w:p w:rsidR="00605D8D" w:rsidRPr="003B7EF0" w:rsidRDefault="00605D8D" w:rsidP="00605D8D">
      <w:pPr>
        <w:pStyle w:val="Bullet1"/>
        <w:rPr>
          <w:sz w:val="20"/>
          <w:szCs w:val="20"/>
        </w:rPr>
      </w:pPr>
      <w:r w:rsidRPr="003B7EF0">
        <w:rPr>
          <w:sz w:val="20"/>
          <w:szCs w:val="20"/>
        </w:rPr>
        <w:t>the most effective form that government intervention might take to achieve a desired objective;</w:t>
      </w:r>
    </w:p>
    <w:p w:rsidR="00605D8D" w:rsidRPr="003B7EF0" w:rsidRDefault="00605D8D" w:rsidP="00605D8D">
      <w:pPr>
        <w:pStyle w:val="Bullet1"/>
        <w:rPr>
          <w:sz w:val="20"/>
          <w:szCs w:val="20"/>
        </w:rPr>
      </w:pPr>
      <w:r w:rsidRPr="003B7EF0">
        <w:rPr>
          <w:sz w:val="20"/>
          <w:szCs w:val="20"/>
        </w:rPr>
        <w:t>the magnitude of the costs and benefits of regulation; and</w:t>
      </w:r>
    </w:p>
    <w:p w:rsidR="00605D8D" w:rsidRPr="003B7EF0" w:rsidRDefault="00605D8D" w:rsidP="00605D8D">
      <w:pPr>
        <w:pStyle w:val="Bullet1"/>
        <w:rPr>
          <w:sz w:val="20"/>
          <w:szCs w:val="20"/>
        </w:rPr>
      </w:pPr>
      <w:proofErr w:type="gramStart"/>
      <w:r w:rsidRPr="003B7EF0">
        <w:rPr>
          <w:sz w:val="20"/>
          <w:szCs w:val="20"/>
        </w:rPr>
        <w:t>who</w:t>
      </w:r>
      <w:proofErr w:type="gramEnd"/>
      <w:r w:rsidRPr="003B7EF0">
        <w:rPr>
          <w:sz w:val="20"/>
          <w:szCs w:val="20"/>
        </w:rPr>
        <w:t xml:space="preserve"> in the community will reap the benefits or incur the costs of regulation. </w:t>
      </w:r>
    </w:p>
    <w:p w:rsidR="00605D8D" w:rsidRPr="003B7EF0" w:rsidRDefault="00605D8D" w:rsidP="00605D8D">
      <w:pPr>
        <w:rPr>
          <w:sz w:val="20"/>
          <w:szCs w:val="20"/>
        </w:rPr>
      </w:pPr>
      <w:r w:rsidRPr="003B7EF0">
        <w:rPr>
          <w:sz w:val="20"/>
          <w:szCs w:val="20"/>
        </w:rPr>
        <w:t>For a regulatory measure to represent the most efficient solution to an identified problem, it must be demonstrated through the RIS that the proposed measure:</w:t>
      </w:r>
    </w:p>
    <w:p w:rsidR="00605D8D" w:rsidRPr="003B7EF0" w:rsidRDefault="00605D8D" w:rsidP="00605D8D">
      <w:pPr>
        <w:pStyle w:val="Bullet1"/>
        <w:rPr>
          <w:sz w:val="20"/>
          <w:szCs w:val="20"/>
        </w:rPr>
      </w:pPr>
      <w:r w:rsidRPr="003B7EF0">
        <w:rPr>
          <w:sz w:val="20"/>
          <w:szCs w:val="20"/>
        </w:rPr>
        <w:t>is likely to yield benefits greater than the costs it imposes; and</w:t>
      </w:r>
    </w:p>
    <w:p w:rsidR="00605D8D" w:rsidRPr="003B7EF0" w:rsidRDefault="00605D8D" w:rsidP="00605D8D">
      <w:pPr>
        <w:pStyle w:val="Bullet1"/>
        <w:rPr>
          <w:sz w:val="20"/>
          <w:szCs w:val="20"/>
        </w:rPr>
      </w:pPr>
      <w:proofErr w:type="gramStart"/>
      <w:r w:rsidRPr="003B7EF0">
        <w:rPr>
          <w:sz w:val="20"/>
          <w:szCs w:val="20"/>
        </w:rPr>
        <w:t>yields</w:t>
      </w:r>
      <w:proofErr w:type="gramEnd"/>
      <w:r w:rsidRPr="003B7EF0">
        <w:rPr>
          <w:sz w:val="20"/>
          <w:szCs w:val="20"/>
        </w:rPr>
        <w:t xml:space="preserve"> greater net benefits (i.e. total benefits less total costs) than any of the other viable options. </w:t>
      </w:r>
    </w:p>
    <w:p w:rsidR="00605D8D" w:rsidRPr="003B7EF0" w:rsidRDefault="00605D8D" w:rsidP="00605D8D">
      <w:pPr>
        <w:rPr>
          <w:sz w:val="20"/>
          <w:szCs w:val="20"/>
        </w:rPr>
      </w:pPr>
      <w:r w:rsidRPr="003B7EF0">
        <w:rPr>
          <w:sz w:val="20"/>
          <w:szCs w:val="20"/>
        </w:rPr>
        <w:t xml:space="preserve">The RIS document needs to provide enough information and analysis for the costs and benefits of the proposed regulation and other viable options to be understood. The aim of the RIS is not to ‘promote’ the particular proposal; rather, it should attempt to recognise and consider the views of affected parties where competing interests are involved. </w:t>
      </w:r>
    </w:p>
    <w:p w:rsidR="00605D8D" w:rsidRPr="003B7EF0" w:rsidRDefault="00605D8D" w:rsidP="00605D8D">
      <w:pPr>
        <w:rPr>
          <w:sz w:val="20"/>
          <w:szCs w:val="20"/>
        </w:rPr>
      </w:pPr>
      <w:r w:rsidRPr="003B7EF0">
        <w:rPr>
          <w:sz w:val="20"/>
          <w:szCs w:val="20"/>
        </w:rPr>
        <w:t>The RIS should contain sufficient information to allow a decision to be made about whether the proposed regulatory measure is justified, and it must adequately explain the reasons for the regulatory change. The RIS must examine other approaches and contain information as to the options that have been considered. (Of course, if a non</w:t>
      </w:r>
      <w:r w:rsidRPr="003B7EF0">
        <w:rPr>
          <w:sz w:val="20"/>
          <w:szCs w:val="20"/>
        </w:rPr>
        <w:noBreakHyphen/>
        <w:t>regulatory option is determined to be the best solution, this should have been identified in the early stages of the development of the regulatory objective.)</w:t>
      </w:r>
    </w:p>
    <w:p w:rsidR="00605D8D" w:rsidRPr="003B7EF0" w:rsidRDefault="00605D8D" w:rsidP="00B41D1D">
      <w:pPr>
        <w:rPr>
          <w:sz w:val="20"/>
          <w:szCs w:val="20"/>
        </w:rPr>
      </w:pPr>
      <w:r w:rsidRPr="003B7EF0">
        <w:rPr>
          <w:sz w:val="20"/>
          <w:szCs w:val="20"/>
        </w:rPr>
        <w:t xml:space="preserve">Regulations that have been developed taking into account the factors discussed in the </w:t>
      </w:r>
      <w:r w:rsidR="004C0B3C" w:rsidRPr="003B7EF0">
        <w:rPr>
          <w:sz w:val="20"/>
          <w:szCs w:val="20"/>
        </w:rPr>
        <w:t xml:space="preserve">Victorian Guide to Regulation </w:t>
      </w:r>
      <w:r w:rsidRPr="003B7EF0">
        <w:rPr>
          <w:sz w:val="20"/>
          <w:szCs w:val="20"/>
        </w:rPr>
        <w:t>are more likely to result in benefits greater than costs – and hence will be able to demonstrate through the RIS process that they represent the most efficient approach to solving the identified problem.</w:t>
      </w:r>
    </w:p>
    <w:p w:rsidR="00605D8D" w:rsidRPr="00B40862" w:rsidRDefault="00605D8D" w:rsidP="00605D8D">
      <w:pPr>
        <w:pStyle w:val="Heading3"/>
        <w:rPr>
          <w:b w:val="0"/>
          <w:bCs/>
          <w:color w:val="004EA8"/>
        </w:rPr>
      </w:pPr>
      <w:r w:rsidRPr="00B40862">
        <w:rPr>
          <w:b w:val="0"/>
          <w:color w:val="004EA8"/>
        </w:rPr>
        <w:t>When must a RIS be prepared?</w:t>
      </w:r>
    </w:p>
    <w:p w:rsidR="00605D8D" w:rsidRPr="003B7EF0" w:rsidRDefault="00605D8D" w:rsidP="00605D8D">
      <w:pPr>
        <w:rPr>
          <w:sz w:val="20"/>
          <w:szCs w:val="20"/>
        </w:rPr>
      </w:pPr>
      <w:r w:rsidRPr="003B7EF0">
        <w:rPr>
          <w:sz w:val="20"/>
          <w:szCs w:val="20"/>
        </w:rPr>
        <w:t xml:space="preserve">As discussed in </w:t>
      </w:r>
      <w:r w:rsidR="00D13659" w:rsidRPr="003B7EF0">
        <w:rPr>
          <w:sz w:val="20"/>
          <w:szCs w:val="20"/>
        </w:rPr>
        <w:t>Section</w:t>
      </w:r>
      <w:r w:rsidR="00C57AA0" w:rsidRPr="003B7EF0">
        <w:rPr>
          <w:sz w:val="20"/>
          <w:szCs w:val="20"/>
        </w:rPr>
        <w:t xml:space="preserve"> 1.2</w:t>
      </w:r>
      <w:r w:rsidRPr="003B7EF0">
        <w:rPr>
          <w:sz w:val="20"/>
          <w:szCs w:val="20"/>
        </w:rPr>
        <w:t>, the RIS process provides a useful analytical framework for the development of government policy. If proposed actions to address a perceived problem include the imposition of a statutory rule or legislative instrument, then explanations of these actions must be included in a RIS.</w:t>
      </w:r>
      <w:r w:rsidRPr="003B7EF0">
        <w:rPr>
          <w:rStyle w:val="FootnoteReference"/>
          <w:sz w:val="20"/>
          <w:szCs w:val="20"/>
        </w:rPr>
        <w:footnoteReference w:id="9"/>
      </w:r>
      <w:r w:rsidRPr="003B7EF0">
        <w:rPr>
          <w:sz w:val="20"/>
          <w:szCs w:val="20"/>
        </w:rPr>
        <w:t xml:space="preserve"> </w:t>
      </w:r>
    </w:p>
    <w:p w:rsidR="00605D8D" w:rsidRPr="003B7EF0" w:rsidRDefault="007D101E" w:rsidP="00605D8D">
      <w:pPr>
        <w:rPr>
          <w:sz w:val="20"/>
          <w:szCs w:val="20"/>
        </w:rPr>
      </w:pPr>
      <w:r w:rsidRPr="003B7EF0">
        <w:rPr>
          <w:sz w:val="20"/>
          <w:szCs w:val="20"/>
        </w:rPr>
        <w:t>Section 10 and section 12E of the SLA require that RISs must be prepared for proposed statutory rules or legislative instruments respectively, unless an exemption certificate is issued. One of the grounds for an exemption is if the proposed rule is not likely to impose ‘a significant economic or social burden on a sector of the public’. S</w:t>
      </w:r>
      <w:r w:rsidR="00C57AA0" w:rsidRPr="003B7EF0">
        <w:rPr>
          <w:sz w:val="20"/>
          <w:szCs w:val="20"/>
          <w:lang w:eastAsia="en-US"/>
        </w:rPr>
        <w:t>ection 1.3</w:t>
      </w:r>
      <w:r w:rsidRPr="003B7EF0">
        <w:rPr>
          <w:sz w:val="20"/>
          <w:szCs w:val="20"/>
          <w:lang w:eastAsia="en-US"/>
        </w:rPr>
        <w:t xml:space="preserve"> outlines w</w:t>
      </w:r>
      <w:r w:rsidRPr="003B7EF0">
        <w:rPr>
          <w:sz w:val="20"/>
          <w:szCs w:val="20"/>
        </w:rPr>
        <w:t xml:space="preserve">hat constitutes ‘a significant economic or social burden’. </w:t>
      </w:r>
    </w:p>
    <w:p w:rsidR="00605D8D" w:rsidRPr="003B7EF0" w:rsidRDefault="00605D8D" w:rsidP="00605D8D">
      <w:pPr>
        <w:pStyle w:val="Heading3NoNum"/>
        <w:rPr>
          <w:color w:val="auto"/>
          <w:sz w:val="20"/>
          <w:szCs w:val="20"/>
        </w:rPr>
      </w:pPr>
      <w:r w:rsidRPr="003B7EF0">
        <w:rPr>
          <w:color w:val="auto"/>
          <w:sz w:val="20"/>
          <w:szCs w:val="20"/>
        </w:rPr>
        <w:t>What is a statutory rule?</w:t>
      </w:r>
    </w:p>
    <w:p w:rsidR="00605D8D" w:rsidRPr="003B7EF0" w:rsidRDefault="00605D8D" w:rsidP="00605D8D">
      <w:pPr>
        <w:rPr>
          <w:sz w:val="20"/>
          <w:szCs w:val="20"/>
        </w:rPr>
      </w:pPr>
      <w:r w:rsidRPr="003B7EF0">
        <w:rPr>
          <w:sz w:val="20"/>
          <w:szCs w:val="20"/>
        </w:rPr>
        <w:t xml:space="preserve">The legal definition of a statutory rule, as specified in the SLA, is provided below. Statutory rules are a form of subordinate legislation – for example, the ‘regulations’ made under primary legislation. (However, as discussed in the </w:t>
      </w:r>
      <w:r w:rsidR="00D13659" w:rsidRPr="003B7EF0">
        <w:rPr>
          <w:sz w:val="20"/>
          <w:szCs w:val="20"/>
        </w:rPr>
        <w:t>section </w:t>
      </w:r>
      <w:r w:rsidRPr="003B7EF0">
        <w:rPr>
          <w:sz w:val="20"/>
          <w:szCs w:val="20"/>
        </w:rPr>
        <w:t>on exemptions below, not all types of statutory rules require the preparation of a RIS.)</w:t>
      </w:r>
    </w:p>
    <w:p w:rsidR="00605D8D" w:rsidRPr="003B7EF0" w:rsidRDefault="00605D8D" w:rsidP="00605D8D">
      <w:pPr>
        <w:pStyle w:val="Heading4NoNum"/>
        <w:rPr>
          <w:color w:val="auto"/>
          <w:sz w:val="20"/>
          <w:szCs w:val="20"/>
        </w:rPr>
      </w:pPr>
      <w:r w:rsidRPr="003B7EF0">
        <w:rPr>
          <w:color w:val="auto"/>
          <w:sz w:val="20"/>
          <w:szCs w:val="20"/>
        </w:rPr>
        <w:t>What is a statutory rule?</w:t>
      </w:r>
    </w:p>
    <w:p w:rsidR="00605D8D" w:rsidRPr="003B7EF0" w:rsidRDefault="00605D8D" w:rsidP="00605D8D">
      <w:pPr>
        <w:rPr>
          <w:sz w:val="20"/>
          <w:szCs w:val="20"/>
        </w:rPr>
      </w:pPr>
      <w:r w:rsidRPr="003B7EF0">
        <w:rPr>
          <w:sz w:val="20"/>
          <w:szCs w:val="20"/>
        </w:rPr>
        <w:t xml:space="preserve">The definition of a statutory rule, as defined in </w:t>
      </w:r>
      <w:r w:rsidR="00D13659" w:rsidRPr="003B7EF0">
        <w:rPr>
          <w:sz w:val="20"/>
          <w:szCs w:val="20"/>
        </w:rPr>
        <w:t>section </w:t>
      </w:r>
      <w:r w:rsidRPr="003B7EF0">
        <w:rPr>
          <w:sz w:val="20"/>
          <w:szCs w:val="20"/>
        </w:rPr>
        <w:t xml:space="preserve">3 of the </w:t>
      </w:r>
      <w:r w:rsidRPr="003B7EF0">
        <w:rPr>
          <w:i/>
          <w:sz w:val="20"/>
          <w:szCs w:val="20"/>
        </w:rPr>
        <w:t>Subordinate Legislation Act 1994</w:t>
      </w:r>
      <w:r w:rsidRPr="003B7EF0">
        <w:rPr>
          <w:sz w:val="20"/>
          <w:szCs w:val="20"/>
        </w:rPr>
        <w:t>, is as follows.</w:t>
      </w:r>
    </w:p>
    <w:p w:rsidR="00605D8D" w:rsidRPr="003B7EF0" w:rsidRDefault="00605D8D" w:rsidP="00584FDB">
      <w:pPr>
        <w:ind w:left="1350"/>
        <w:rPr>
          <w:i/>
          <w:sz w:val="20"/>
          <w:szCs w:val="20"/>
        </w:rPr>
      </w:pPr>
      <w:r w:rsidRPr="003B7EF0">
        <w:rPr>
          <w:i/>
          <w:sz w:val="20"/>
          <w:szCs w:val="20"/>
        </w:rPr>
        <w:t>‘</w:t>
      </w:r>
      <w:proofErr w:type="gramStart"/>
      <w:r w:rsidRPr="003B7EF0">
        <w:rPr>
          <w:b/>
          <w:i/>
          <w:sz w:val="20"/>
          <w:szCs w:val="20"/>
        </w:rPr>
        <w:t>statutory</w:t>
      </w:r>
      <w:proofErr w:type="gramEnd"/>
      <w:r w:rsidRPr="003B7EF0">
        <w:rPr>
          <w:b/>
          <w:i/>
          <w:sz w:val="20"/>
          <w:szCs w:val="20"/>
        </w:rPr>
        <w:t xml:space="preserve"> rule</w:t>
      </w:r>
      <w:r w:rsidRPr="003B7EF0">
        <w:rPr>
          <w:i/>
          <w:sz w:val="20"/>
          <w:szCs w:val="20"/>
        </w:rPr>
        <w:t>’ means–</w:t>
      </w:r>
    </w:p>
    <w:p w:rsidR="00605D8D" w:rsidRPr="003B7EF0" w:rsidRDefault="00605D8D" w:rsidP="00584FDB">
      <w:pPr>
        <w:ind w:left="1906" w:hanging="556"/>
        <w:rPr>
          <w:i/>
          <w:sz w:val="20"/>
          <w:szCs w:val="20"/>
        </w:rPr>
      </w:pPr>
      <w:r w:rsidRPr="003B7EF0">
        <w:rPr>
          <w:i/>
          <w:sz w:val="20"/>
          <w:szCs w:val="20"/>
        </w:rPr>
        <w:t>(a)</w:t>
      </w:r>
      <w:r w:rsidRPr="003B7EF0">
        <w:rPr>
          <w:i/>
          <w:sz w:val="20"/>
          <w:szCs w:val="20"/>
        </w:rPr>
        <w:tab/>
      </w:r>
      <w:proofErr w:type="gramStart"/>
      <w:r w:rsidRPr="003B7EF0">
        <w:rPr>
          <w:i/>
          <w:sz w:val="20"/>
          <w:szCs w:val="20"/>
        </w:rPr>
        <w:t>a</w:t>
      </w:r>
      <w:proofErr w:type="gramEnd"/>
      <w:r w:rsidRPr="003B7EF0">
        <w:rPr>
          <w:i/>
          <w:sz w:val="20"/>
          <w:szCs w:val="20"/>
        </w:rPr>
        <w:t xml:space="preserve"> regulation–</w:t>
      </w:r>
    </w:p>
    <w:p w:rsidR="00605D8D" w:rsidRPr="003B7EF0" w:rsidRDefault="00605D8D" w:rsidP="00584FDB">
      <w:pPr>
        <w:ind w:left="2446" w:hanging="524"/>
        <w:rPr>
          <w:i/>
          <w:sz w:val="20"/>
          <w:szCs w:val="20"/>
        </w:rPr>
      </w:pPr>
      <w:r w:rsidRPr="003B7EF0">
        <w:rPr>
          <w:i/>
          <w:sz w:val="20"/>
          <w:szCs w:val="20"/>
        </w:rPr>
        <w:t>(</w:t>
      </w:r>
      <w:proofErr w:type="spellStart"/>
      <w:r w:rsidRPr="003B7EF0">
        <w:rPr>
          <w:i/>
          <w:sz w:val="20"/>
          <w:szCs w:val="20"/>
        </w:rPr>
        <w:t>i</w:t>
      </w:r>
      <w:proofErr w:type="spellEnd"/>
      <w:r w:rsidRPr="003B7EF0">
        <w:rPr>
          <w:i/>
          <w:sz w:val="20"/>
          <w:szCs w:val="20"/>
        </w:rPr>
        <w:t>)</w:t>
      </w:r>
      <w:r w:rsidRPr="003B7EF0">
        <w:rPr>
          <w:i/>
          <w:sz w:val="20"/>
          <w:szCs w:val="20"/>
        </w:rPr>
        <w:tab/>
      </w:r>
      <w:proofErr w:type="gramStart"/>
      <w:r w:rsidRPr="003B7EF0">
        <w:rPr>
          <w:i/>
          <w:sz w:val="20"/>
          <w:szCs w:val="20"/>
        </w:rPr>
        <w:t>made</w:t>
      </w:r>
      <w:proofErr w:type="gramEnd"/>
      <w:r w:rsidRPr="003B7EF0">
        <w:rPr>
          <w:i/>
          <w:sz w:val="20"/>
          <w:szCs w:val="20"/>
        </w:rPr>
        <w:t xml:space="preserve"> by the Governor</w:t>
      </w:r>
      <w:r w:rsidRPr="003B7EF0">
        <w:rPr>
          <w:i/>
          <w:sz w:val="20"/>
          <w:szCs w:val="20"/>
        </w:rPr>
        <w:noBreakHyphen/>
        <w:t>in</w:t>
      </w:r>
      <w:r w:rsidRPr="003B7EF0">
        <w:rPr>
          <w:i/>
          <w:sz w:val="20"/>
          <w:szCs w:val="20"/>
        </w:rPr>
        <w:noBreakHyphen/>
        <w:t>Council; or</w:t>
      </w:r>
    </w:p>
    <w:p w:rsidR="00605D8D" w:rsidRPr="003B7EF0" w:rsidRDefault="00605D8D" w:rsidP="00584FDB">
      <w:pPr>
        <w:ind w:left="2446" w:hanging="524"/>
        <w:rPr>
          <w:i/>
          <w:sz w:val="20"/>
          <w:szCs w:val="20"/>
        </w:rPr>
      </w:pPr>
      <w:r w:rsidRPr="003B7EF0">
        <w:rPr>
          <w:i/>
          <w:sz w:val="20"/>
          <w:szCs w:val="20"/>
        </w:rPr>
        <w:t>(ii)</w:t>
      </w:r>
      <w:r w:rsidRPr="003B7EF0">
        <w:rPr>
          <w:i/>
          <w:sz w:val="20"/>
          <w:szCs w:val="20"/>
        </w:rPr>
        <w:tab/>
      </w:r>
      <w:proofErr w:type="gramStart"/>
      <w:r w:rsidRPr="003B7EF0">
        <w:rPr>
          <w:i/>
          <w:sz w:val="20"/>
          <w:szCs w:val="20"/>
        </w:rPr>
        <w:t>made</w:t>
      </w:r>
      <w:proofErr w:type="gramEnd"/>
      <w:r w:rsidRPr="003B7EF0">
        <w:rPr>
          <w:i/>
          <w:sz w:val="20"/>
          <w:szCs w:val="20"/>
        </w:rPr>
        <w:t xml:space="preserve"> with the consent or approval of the Governor</w:t>
      </w:r>
      <w:r w:rsidRPr="003B7EF0">
        <w:rPr>
          <w:i/>
          <w:sz w:val="20"/>
          <w:szCs w:val="20"/>
        </w:rPr>
        <w:noBreakHyphen/>
        <w:t>in</w:t>
      </w:r>
      <w:r w:rsidRPr="003B7EF0">
        <w:rPr>
          <w:i/>
          <w:sz w:val="20"/>
          <w:szCs w:val="20"/>
        </w:rPr>
        <w:noBreakHyphen/>
        <w:t>Council; or</w:t>
      </w:r>
    </w:p>
    <w:p w:rsidR="00605D8D" w:rsidRPr="003B7EF0" w:rsidRDefault="00605D8D" w:rsidP="00584FDB">
      <w:pPr>
        <w:ind w:left="2446" w:hanging="524"/>
        <w:rPr>
          <w:i/>
          <w:sz w:val="20"/>
          <w:szCs w:val="20"/>
        </w:rPr>
      </w:pPr>
      <w:r w:rsidRPr="003B7EF0">
        <w:rPr>
          <w:i/>
          <w:sz w:val="20"/>
          <w:szCs w:val="20"/>
        </w:rPr>
        <w:t>(iii)</w:t>
      </w:r>
      <w:r w:rsidRPr="003B7EF0">
        <w:rPr>
          <w:i/>
          <w:sz w:val="20"/>
          <w:szCs w:val="20"/>
        </w:rPr>
        <w:tab/>
        <w:t>which the Governor</w:t>
      </w:r>
      <w:r w:rsidRPr="003B7EF0">
        <w:rPr>
          <w:i/>
          <w:sz w:val="20"/>
          <w:szCs w:val="20"/>
        </w:rPr>
        <w:noBreakHyphen/>
        <w:t>in</w:t>
      </w:r>
      <w:r w:rsidRPr="003B7EF0">
        <w:rPr>
          <w:i/>
          <w:sz w:val="20"/>
          <w:szCs w:val="20"/>
        </w:rPr>
        <w:noBreakHyphen/>
        <w:t xml:space="preserve">Council has power to disallow – </w:t>
      </w:r>
      <w:r w:rsidRPr="003B7EF0">
        <w:rPr>
          <w:i/>
          <w:sz w:val="20"/>
          <w:szCs w:val="20"/>
        </w:rPr>
        <w:br/>
        <w:t>other than a regulation made by a local authority or by a person or body with jurisdiction limited to a district or locality; or</w:t>
      </w:r>
    </w:p>
    <w:p w:rsidR="00605D8D" w:rsidRPr="003B7EF0" w:rsidRDefault="00605D8D" w:rsidP="00584FDB">
      <w:pPr>
        <w:ind w:left="1906" w:hanging="556"/>
        <w:rPr>
          <w:i/>
          <w:sz w:val="20"/>
          <w:szCs w:val="20"/>
        </w:rPr>
      </w:pPr>
      <w:r w:rsidRPr="003B7EF0">
        <w:rPr>
          <w:i/>
          <w:sz w:val="20"/>
          <w:szCs w:val="20"/>
        </w:rPr>
        <w:t>(b)</w:t>
      </w:r>
      <w:r w:rsidRPr="003B7EF0">
        <w:rPr>
          <w:i/>
          <w:sz w:val="20"/>
          <w:szCs w:val="20"/>
        </w:rPr>
        <w:tab/>
      </w:r>
      <w:proofErr w:type="gramStart"/>
      <w:r w:rsidRPr="003B7EF0">
        <w:rPr>
          <w:i/>
          <w:sz w:val="20"/>
          <w:szCs w:val="20"/>
        </w:rPr>
        <w:t>a</w:t>
      </w:r>
      <w:proofErr w:type="gramEnd"/>
      <w:r w:rsidRPr="003B7EF0">
        <w:rPr>
          <w:i/>
          <w:sz w:val="20"/>
          <w:szCs w:val="20"/>
        </w:rPr>
        <w:t xml:space="preserve"> rule relating to a court or tribunal or the procedure, practice or costs of a court or tribunal; or</w:t>
      </w:r>
    </w:p>
    <w:p w:rsidR="00605D8D" w:rsidRPr="003B7EF0" w:rsidRDefault="00605D8D" w:rsidP="00584FDB">
      <w:pPr>
        <w:ind w:left="1906" w:hanging="556"/>
        <w:rPr>
          <w:i/>
          <w:sz w:val="20"/>
          <w:szCs w:val="20"/>
        </w:rPr>
      </w:pPr>
      <w:r w:rsidRPr="003B7EF0">
        <w:rPr>
          <w:i/>
          <w:sz w:val="20"/>
          <w:szCs w:val="20"/>
        </w:rPr>
        <w:t>(c)</w:t>
      </w:r>
      <w:r w:rsidRPr="003B7EF0">
        <w:rPr>
          <w:i/>
          <w:sz w:val="20"/>
          <w:szCs w:val="20"/>
        </w:rPr>
        <w:tab/>
      </w:r>
      <w:proofErr w:type="gramStart"/>
      <w:r w:rsidRPr="003B7EF0">
        <w:rPr>
          <w:i/>
          <w:sz w:val="20"/>
          <w:szCs w:val="20"/>
        </w:rPr>
        <w:t>an</w:t>
      </w:r>
      <w:proofErr w:type="gramEnd"/>
      <w:r w:rsidRPr="003B7EF0">
        <w:rPr>
          <w:i/>
          <w:sz w:val="20"/>
          <w:szCs w:val="20"/>
        </w:rPr>
        <w:t xml:space="preserve"> instrument or a class of instruments prescribed to be a statutory rule or statutory rules under </w:t>
      </w:r>
      <w:r w:rsidR="00D13659" w:rsidRPr="003B7EF0">
        <w:rPr>
          <w:i/>
          <w:sz w:val="20"/>
          <w:szCs w:val="20"/>
        </w:rPr>
        <w:t>section </w:t>
      </w:r>
      <w:r w:rsidRPr="003B7EF0">
        <w:rPr>
          <w:i/>
          <w:sz w:val="20"/>
          <w:szCs w:val="20"/>
        </w:rPr>
        <w:t>4(1)(a); or</w:t>
      </w:r>
    </w:p>
    <w:p w:rsidR="00605D8D" w:rsidRPr="003B7EF0" w:rsidRDefault="00605D8D" w:rsidP="00584FDB">
      <w:pPr>
        <w:ind w:left="1906" w:hanging="556"/>
        <w:rPr>
          <w:i/>
          <w:sz w:val="20"/>
          <w:szCs w:val="20"/>
        </w:rPr>
      </w:pPr>
      <w:r w:rsidRPr="003B7EF0">
        <w:rPr>
          <w:i/>
          <w:sz w:val="20"/>
          <w:szCs w:val="20"/>
        </w:rPr>
        <w:t>(d)</w:t>
      </w:r>
      <w:r w:rsidRPr="003B7EF0">
        <w:rPr>
          <w:i/>
          <w:sz w:val="20"/>
          <w:szCs w:val="20"/>
        </w:rPr>
        <w:tab/>
        <w:t xml:space="preserve">an instrument or class of instrument that is deemed to be a statutory rules by the authorising Act – </w:t>
      </w:r>
      <w:r w:rsidRPr="003B7EF0">
        <w:rPr>
          <w:i/>
          <w:sz w:val="20"/>
          <w:szCs w:val="20"/>
        </w:rPr>
        <w:br/>
        <w:t xml:space="preserve">but does not include an instrument or class of instrument specified in paragraph (a) or (b) which is exempted under </w:t>
      </w:r>
      <w:r w:rsidR="00D13659" w:rsidRPr="003B7EF0">
        <w:rPr>
          <w:i/>
          <w:sz w:val="20"/>
          <w:szCs w:val="20"/>
        </w:rPr>
        <w:t>section </w:t>
      </w:r>
      <w:r w:rsidRPr="003B7EF0">
        <w:rPr>
          <w:i/>
          <w:sz w:val="20"/>
          <w:szCs w:val="20"/>
        </w:rPr>
        <w:t>4(1)(b).’</w:t>
      </w:r>
    </w:p>
    <w:p w:rsidR="00605D8D" w:rsidRPr="003B7EF0" w:rsidRDefault="00605D8D" w:rsidP="00605D8D">
      <w:pPr>
        <w:pStyle w:val="Heading3NoNum"/>
        <w:rPr>
          <w:color w:val="auto"/>
          <w:sz w:val="20"/>
          <w:szCs w:val="20"/>
        </w:rPr>
      </w:pPr>
      <w:r w:rsidRPr="003B7EF0">
        <w:rPr>
          <w:color w:val="auto"/>
          <w:sz w:val="20"/>
          <w:szCs w:val="20"/>
        </w:rPr>
        <w:t>What is a legislative instrument?</w:t>
      </w:r>
    </w:p>
    <w:p w:rsidR="00605D8D" w:rsidRPr="003B7EF0" w:rsidRDefault="00605D8D" w:rsidP="00605D8D">
      <w:pPr>
        <w:rPr>
          <w:sz w:val="20"/>
          <w:szCs w:val="20"/>
        </w:rPr>
      </w:pPr>
      <w:r w:rsidRPr="003B7EF0">
        <w:rPr>
          <w:sz w:val="20"/>
          <w:szCs w:val="20"/>
        </w:rPr>
        <w:t>‘Legislative instrument’ is a term to describe the broad range of subordinate legislation that became subject to the SLA RIS requirements from 1 July 2011.</w:t>
      </w:r>
      <w:r w:rsidR="00950ED0" w:rsidRPr="003B7EF0">
        <w:rPr>
          <w:rStyle w:val="FootnoteReference"/>
          <w:sz w:val="20"/>
          <w:szCs w:val="20"/>
        </w:rPr>
        <w:footnoteReference w:id="10"/>
      </w:r>
      <w:r w:rsidRPr="003B7EF0">
        <w:rPr>
          <w:sz w:val="20"/>
          <w:szCs w:val="20"/>
        </w:rPr>
        <w:t xml:space="preserve"> The requirement to prepare a RIS for these instruments, in addition to statutory rules, has been introduced as a number of these other instruments can impose a significant burden on a sector of the public.</w:t>
      </w:r>
    </w:p>
    <w:p w:rsidR="00605D8D" w:rsidRPr="003B7EF0" w:rsidRDefault="00605D8D" w:rsidP="00605D8D">
      <w:pPr>
        <w:pStyle w:val="Heading4NoNum"/>
        <w:rPr>
          <w:color w:val="auto"/>
          <w:sz w:val="20"/>
          <w:szCs w:val="20"/>
        </w:rPr>
      </w:pPr>
      <w:r w:rsidRPr="003B7EF0">
        <w:rPr>
          <w:color w:val="auto"/>
          <w:sz w:val="20"/>
          <w:szCs w:val="20"/>
        </w:rPr>
        <w:t>What is a legislative instrument?</w:t>
      </w:r>
    </w:p>
    <w:p w:rsidR="00605D8D" w:rsidRPr="003B7EF0" w:rsidRDefault="00605D8D" w:rsidP="00605D8D">
      <w:pPr>
        <w:rPr>
          <w:sz w:val="20"/>
          <w:szCs w:val="20"/>
        </w:rPr>
      </w:pPr>
      <w:r w:rsidRPr="003B7EF0">
        <w:rPr>
          <w:sz w:val="20"/>
          <w:szCs w:val="20"/>
        </w:rPr>
        <w:t xml:space="preserve">A legislative instrument is defined in </w:t>
      </w:r>
      <w:r w:rsidR="00D13659" w:rsidRPr="003B7EF0">
        <w:rPr>
          <w:sz w:val="20"/>
          <w:szCs w:val="20"/>
        </w:rPr>
        <w:t>section </w:t>
      </w:r>
      <w:r w:rsidRPr="003B7EF0">
        <w:rPr>
          <w:sz w:val="20"/>
          <w:szCs w:val="20"/>
        </w:rPr>
        <w:t>3 of the SLA as follows.</w:t>
      </w:r>
    </w:p>
    <w:p w:rsidR="00605D8D" w:rsidRPr="003B7EF0" w:rsidRDefault="00605D8D" w:rsidP="00584FDB">
      <w:pPr>
        <w:ind w:left="1350"/>
        <w:rPr>
          <w:i/>
          <w:sz w:val="20"/>
          <w:szCs w:val="20"/>
        </w:rPr>
      </w:pPr>
      <w:r w:rsidRPr="003B7EF0">
        <w:rPr>
          <w:i/>
          <w:sz w:val="20"/>
          <w:szCs w:val="20"/>
        </w:rPr>
        <w:t>‘</w:t>
      </w:r>
      <w:proofErr w:type="gramStart"/>
      <w:r w:rsidRPr="003B7EF0">
        <w:rPr>
          <w:b/>
          <w:i/>
          <w:sz w:val="20"/>
          <w:szCs w:val="20"/>
        </w:rPr>
        <w:t>legislative</w:t>
      </w:r>
      <w:proofErr w:type="gramEnd"/>
      <w:r w:rsidRPr="003B7EF0">
        <w:rPr>
          <w:b/>
          <w:i/>
          <w:sz w:val="20"/>
          <w:szCs w:val="20"/>
        </w:rPr>
        <w:t xml:space="preserve"> instrument’ </w:t>
      </w:r>
      <w:r w:rsidRPr="003B7EF0">
        <w:rPr>
          <w:i/>
          <w:sz w:val="20"/>
          <w:szCs w:val="20"/>
        </w:rPr>
        <w:t>means an instrument made under an Act or statutory rule that is of a legislative character but does not include</w:t>
      </w:r>
    </w:p>
    <w:p w:rsidR="00605D8D" w:rsidRPr="003B7EF0" w:rsidRDefault="00605D8D" w:rsidP="00584FDB">
      <w:pPr>
        <w:ind w:left="1906" w:hanging="556"/>
        <w:rPr>
          <w:i/>
          <w:sz w:val="20"/>
          <w:szCs w:val="20"/>
        </w:rPr>
      </w:pPr>
      <w:r w:rsidRPr="003B7EF0">
        <w:rPr>
          <w:i/>
          <w:sz w:val="20"/>
          <w:szCs w:val="20"/>
        </w:rPr>
        <w:t>(a)</w:t>
      </w:r>
      <w:r w:rsidRPr="003B7EF0">
        <w:rPr>
          <w:i/>
          <w:sz w:val="20"/>
          <w:szCs w:val="20"/>
        </w:rPr>
        <w:tab/>
      </w:r>
      <w:proofErr w:type="gramStart"/>
      <w:r w:rsidRPr="003B7EF0">
        <w:rPr>
          <w:i/>
          <w:sz w:val="20"/>
          <w:szCs w:val="20"/>
        </w:rPr>
        <w:t>a</w:t>
      </w:r>
      <w:proofErr w:type="gramEnd"/>
      <w:r w:rsidRPr="003B7EF0">
        <w:rPr>
          <w:i/>
          <w:sz w:val="20"/>
          <w:szCs w:val="20"/>
        </w:rPr>
        <w:t xml:space="preserve"> statutory rule; or</w:t>
      </w:r>
    </w:p>
    <w:p w:rsidR="00605D8D" w:rsidRPr="003B7EF0" w:rsidRDefault="00605D8D" w:rsidP="00584FDB">
      <w:pPr>
        <w:ind w:left="1906" w:hanging="556"/>
        <w:rPr>
          <w:i/>
          <w:sz w:val="20"/>
          <w:szCs w:val="20"/>
        </w:rPr>
      </w:pPr>
      <w:r w:rsidRPr="003B7EF0">
        <w:rPr>
          <w:i/>
          <w:sz w:val="20"/>
          <w:szCs w:val="20"/>
        </w:rPr>
        <w:t>(b)</w:t>
      </w:r>
      <w:r w:rsidRPr="003B7EF0">
        <w:rPr>
          <w:i/>
          <w:sz w:val="20"/>
          <w:szCs w:val="20"/>
        </w:rPr>
        <w:tab/>
        <w:t xml:space="preserve">a local law made under Part 5 of the </w:t>
      </w:r>
      <w:r w:rsidRPr="003B7EF0">
        <w:rPr>
          <w:sz w:val="20"/>
          <w:szCs w:val="20"/>
        </w:rPr>
        <w:t>Local Government Act 1989</w:t>
      </w:r>
      <w:r w:rsidRPr="003B7EF0">
        <w:rPr>
          <w:i/>
          <w:sz w:val="20"/>
          <w:szCs w:val="20"/>
        </w:rPr>
        <w:t xml:space="preserve"> and any other instrument made by a council under that Act or any other Act; or</w:t>
      </w:r>
    </w:p>
    <w:p w:rsidR="00605D8D" w:rsidRPr="003B7EF0" w:rsidRDefault="00605D8D" w:rsidP="00584FDB">
      <w:pPr>
        <w:ind w:left="1906" w:hanging="556"/>
        <w:rPr>
          <w:i/>
          <w:sz w:val="20"/>
          <w:szCs w:val="20"/>
        </w:rPr>
      </w:pPr>
      <w:r w:rsidRPr="003B7EF0">
        <w:rPr>
          <w:i/>
          <w:sz w:val="20"/>
          <w:szCs w:val="20"/>
        </w:rPr>
        <w:t>(c)</w:t>
      </w:r>
      <w:r w:rsidRPr="003B7EF0">
        <w:rPr>
          <w:i/>
          <w:sz w:val="20"/>
          <w:szCs w:val="20"/>
        </w:rPr>
        <w:tab/>
      </w:r>
      <w:proofErr w:type="gramStart"/>
      <w:r w:rsidRPr="003B7EF0">
        <w:rPr>
          <w:i/>
          <w:sz w:val="20"/>
          <w:szCs w:val="20"/>
        </w:rPr>
        <w:t>a</w:t>
      </w:r>
      <w:proofErr w:type="gramEnd"/>
      <w:r w:rsidRPr="003B7EF0">
        <w:rPr>
          <w:i/>
          <w:sz w:val="20"/>
          <w:szCs w:val="20"/>
        </w:rPr>
        <w:t xml:space="preserve"> proclamation of commencement of an Act or any provision of an Act; or</w:t>
      </w:r>
    </w:p>
    <w:p w:rsidR="00605D8D" w:rsidRPr="003B7EF0" w:rsidRDefault="00605D8D" w:rsidP="00584FDB">
      <w:pPr>
        <w:ind w:left="1906" w:hanging="556"/>
        <w:rPr>
          <w:i/>
          <w:sz w:val="20"/>
          <w:szCs w:val="20"/>
        </w:rPr>
      </w:pPr>
      <w:r w:rsidRPr="003B7EF0">
        <w:rPr>
          <w:i/>
          <w:sz w:val="20"/>
          <w:szCs w:val="20"/>
        </w:rPr>
        <w:t>(d)</w:t>
      </w:r>
      <w:r w:rsidRPr="003B7EF0">
        <w:rPr>
          <w:i/>
          <w:sz w:val="20"/>
          <w:szCs w:val="20"/>
        </w:rPr>
        <w:tab/>
      </w:r>
      <w:proofErr w:type="gramStart"/>
      <w:r w:rsidRPr="003B7EF0">
        <w:rPr>
          <w:i/>
          <w:sz w:val="20"/>
          <w:szCs w:val="20"/>
        </w:rPr>
        <w:t>a</w:t>
      </w:r>
      <w:proofErr w:type="gramEnd"/>
      <w:r w:rsidRPr="003B7EF0">
        <w:rPr>
          <w:i/>
          <w:sz w:val="20"/>
          <w:szCs w:val="20"/>
        </w:rPr>
        <w:t xml:space="preserve"> planning scheme or an amendment to a planning scheme under the </w:t>
      </w:r>
      <w:r w:rsidRPr="003B7EF0">
        <w:rPr>
          <w:sz w:val="20"/>
          <w:szCs w:val="20"/>
        </w:rPr>
        <w:t>Planning and Environment Act 1987</w:t>
      </w:r>
      <w:r w:rsidRPr="003B7EF0">
        <w:rPr>
          <w:i/>
          <w:sz w:val="20"/>
          <w:szCs w:val="20"/>
        </w:rPr>
        <w:t>; or</w:t>
      </w:r>
    </w:p>
    <w:p w:rsidR="00605D8D" w:rsidRPr="003B7EF0" w:rsidRDefault="00605D8D" w:rsidP="00584FDB">
      <w:pPr>
        <w:ind w:left="1906" w:hanging="556"/>
        <w:rPr>
          <w:i/>
          <w:sz w:val="20"/>
          <w:szCs w:val="20"/>
        </w:rPr>
      </w:pPr>
      <w:r w:rsidRPr="003B7EF0">
        <w:rPr>
          <w:i/>
          <w:sz w:val="20"/>
          <w:szCs w:val="20"/>
        </w:rPr>
        <w:t>(e)</w:t>
      </w:r>
      <w:r w:rsidRPr="003B7EF0">
        <w:rPr>
          <w:i/>
          <w:sz w:val="20"/>
          <w:szCs w:val="20"/>
        </w:rPr>
        <w:tab/>
      </w:r>
      <w:proofErr w:type="gramStart"/>
      <w:r w:rsidRPr="003B7EF0">
        <w:rPr>
          <w:i/>
          <w:sz w:val="20"/>
          <w:szCs w:val="20"/>
        </w:rPr>
        <w:t>the</w:t>
      </w:r>
      <w:proofErr w:type="gramEnd"/>
      <w:r w:rsidRPr="003B7EF0">
        <w:rPr>
          <w:i/>
          <w:sz w:val="20"/>
          <w:szCs w:val="20"/>
        </w:rPr>
        <w:t xml:space="preserve"> Victoria Planning Provisions within the meaning of the </w:t>
      </w:r>
      <w:r w:rsidRPr="003B7EF0">
        <w:rPr>
          <w:sz w:val="20"/>
          <w:szCs w:val="20"/>
        </w:rPr>
        <w:t>Planning and Environment Act 1987</w:t>
      </w:r>
      <w:r w:rsidRPr="003B7EF0">
        <w:rPr>
          <w:i/>
          <w:sz w:val="20"/>
          <w:szCs w:val="20"/>
        </w:rPr>
        <w:t>; or</w:t>
      </w:r>
    </w:p>
    <w:p w:rsidR="00605D8D" w:rsidRPr="003B7EF0" w:rsidRDefault="00605D8D" w:rsidP="00584FDB">
      <w:pPr>
        <w:ind w:left="1906" w:hanging="556"/>
        <w:rPr>
          <w:i/>
          <w:sz w:val="20"/>
          <w:szCs w:val="20"/>
        </w:rPr>
      </w:pPr>
      <w:r w:rsidRPr="003B7EF0">
        <w:rPr>
          <w:i/>
          <w:sz w:val="20"/>
          <w:szCs w:val="20"/>
        </w:rPr>
        <w:t>(f)</w:t>
      </w:r>
      <w:r w:rsidRPr="003B7EF0">
        <w:rPr>
          <w:i/>
          <w:sz w:val="20"/>
          <w:szCs w:val="20"/>
        </w:rPr>
        <w:tab/>
        <w:t>a practice note or practice direction issued by or on behalf of a court or tribunal or an instrument which relates only to a court or tribunal or the procedure, practice or costs of a court or tribunal; or</w:t>
      </w:r>
    </w:p>
    <w:p w:rsidR="00605D8D" w:rsidRPr="003B7EF0" w:rsidRDefault="00605D8D" w:rsidP="00584FDB">
      <w:pPr>
        <w:ind w:left="1906" w:hanging="556"/>
        <w:rPr>
          <w:i/>
          <w:sz w:val="20"/>
          <w:szCs w:val="20"/>
        </w:rPr>
      </w:pPr>
      <w:r w:rsidRPr="003B7EF0">
        <w:rPr>
          <w:i/>
          <w:sz w:val="20"/>
          <w:szCs w:val="20"/>
        </w:rPr>
        <w:t>(g)</w:t>
      </w:r>
      <w:r w:rsidRPr="003B7EF0">
        <w:rPr>
          <w:i/>
          <w:sz w:val="20"/>
          <w:szCs w:val="20"/>
        </w:rPr>
        <w:tab/>
      </w:r>
      <w:proofErr w:type="gramStart"/>
      <w:r w:rsidRPr="003B7EF0">
        <w:rPr>
          <w:i/>
          <w:sz w:val="20"/>
          <w:szCs w:val="20"/>
        </w:rPr>
        <w:t>an</w:t>
      </w:r>
      <w:proofErr w:type="gramEnd"/>
      <w:r w:rsidRPr="003B7EF0">
        <w:rPr>
          <w:i/>
          <w:sz w:val="20"/>
          <w:szCs w:val="20"/>
        </w:rPr>
        <w:t xml:space="preserve"> instrument of purely administrative character; or</w:t>
      </w:r>
    </w:p>
    <w:p w:rsidR="00605D8D" w:rsidRPr="003B7EF0" w:rsidRDefault="00605D8D" w:rsidP="00584FDB">
      <w:pPr>
        <w:ind w:left="1906" w:hanging="556"/>
        <w:rPr>
          <w:i/>
          <w:sz w:val="20"/>
          <w:szCs w:val="20"/>
        </w:rPr>
      </w:pPr>
      <w:r w:rsidRPr="003B7EF0">
        <w:rPr>
          <w:i/>
          <w:sz w:val="20"/>
          <w:szCs w:val="20"/>
        </w:rPr>
        <w:t>(h)</w:t>
      </w:r>
      <w:r w:rsidRPr="003B7EF0">
        <w:rPr>
          <w:i/>
          <w:sz w:val="20"/>
          <w:szCs w:val="20"/>
        </w:rPr>
        <w:tab/>
      </w:r>
      <w:proofErr w:type="gramStart"/>
      <w:r w:rsidRPr="003B7EF0">
        <w:rPr>
          <w:i/>
          <w:sz w:val="20"/>
          <w:szCs w:val="20"/>
        </w:rPr>
        <w:t>a</w:t>
      </w:r>
      <w:proofErr w:type="gramEnd"/>
      <w:r w:rsidRPr="003B7EF0">
        <w:rPr>
          <w:i/>
          <w:sz w:val="20"/>
          <w:szCs w:val="20"/>
        </w:rPr>
        <w:t xml:space="preserve"> prescribed instrument or a prescribed class of instrument’</w:t>
      </w:r>
    </w:p>
    <w:p w:rsidR="00604E54" w:rsidRPr="003B7EF0" w:rsidRDefault="00604E54" w:rsidP="00604E54">
      <w:pPr>
        <w:pStyle w:val="Heading3NoNum"/>
        <w:rPr>
          <w:sz w:val="22"/>
        </w:rPr>
      </w:pPr>
      <w:r w:rsidRPr="003B7EF0">
        <w:rPr>
          <w:sz w:val="22"/>
        </w:rPr>
        <w:t>Exemptions to the RIS requirement</w:t>
      </w:r>
    </w:p>
    <w:p w:rsidR="007D101E" w:rsidRPr="003B7EF0" w:rsidRDefault="007D101E" w:rsidP="00303C4C">
      <w:pPr>
        <w:pStyle w:val="Heading3NoNum"/>
        <w:rPr>
          <w:sz w:val="20"/>
          <w:szCs w:val="20"/>
        </w:rPr>
      </w:pPr>
      <w:r w:rsidRPr="003B7EF0">
        <w:rPr>
          <w:sz w:val="20"/>
          <w:szCs w:val="20"/>
        </w:rPr>
        <w:t>Exemption by regulation</w:t>
      </w:r>
    </w:p>
    <w:p w:rsidR="007D101E" w:rsidRPr="003B7EF0" w:rsidRDefault="007D101E" w:rsidP="007D101E">
      <w:pPr>
        <w:spacing w:after="120"/>
        <w:rPr>
          <w:sz w:val="20"/>
          <w:szCs w:val="20"/>
        </w:rPr>
      </w:pPr>
      <w:r w:rsidRPr="003B7EF0">
        <w:rPr>
          <w:sz w:val="20"/>
          <w:szCs w:val="20"/>
        </w:rPr>
        <w:t>To find out whether a statutory rule or (from 1 July 2011) a legislative instrument is exempt by regulation from the requirements of the SLA, please consult the regulations made under sections 4 and/or 4A of the Act (SLA Regulations).</w:t>
      </w:r>
      <w:r w:rsidRPr="003B7EF0">
        <w:rPr>
          <w:i/>
          <w:sz w:val="20"/>
          <w:szCs w:val="20"/>
        </w:rPr>
        <w:t xml:space="preserve"> </w:t>
      </w:r>
      <w:r w:rsidRPr="003B7EF0">
        <w:rPr>
          <w:sz w:val="20"/>
          <w:szCs w:val="20"/>
        </w:rPr>
        <w:t>The SLA Regulations will specify which, if any, SLA requirements apply to those rules and instruments. For legislative instruments, exemption by regulation generally means that the instrument will be exempt from all of the provisions of the SLA except gazettal.</w:t>
      </w:r>
      <w:r w:rsidR="00303C4C" w:rsidRPr="003B7EF0">
        <w:rPr>
          <w:rStyle w:val="FootnoteReference"/>
          <w:sz w:val="20"/>
          <w:szCs w:val="20"/>
        </w:rPr>
        <w:footnoteReference w:id="11"/>
      </w:r>
    </w:p>
    <w:p w:rsidR="007D101E" w:rsidRPr="003B7EF0" w:rsidRDefault="007D101E" w:rsidP="007D101E">
      <w:pPr>
        <w:spacing w:after="120"/>
        <w:rPr>
          <w:sz w:val="20"/>
          <w:szCs w:val="20"/>
        </w:rPr>
      </w:pPr>
      <w:r w:rsidRPr="003B7EF0">
        <w:rPr>
          <w:sz w:val="20"/>
          <w:szCs w:val="20"/>
        </w:rPr>
        <w:t>Rules or instruments exempted from the SLA requirements by regulation will still need to comply with any requirements set out in their enabling legislation.</w:t>
      </w:r>
    </w:p>
    <w:p w:rsidR="007D101E" w:rsidRPr="003B7EF0" w:rsidRDefault="007D101E" w:rsidP="00303C4C">
      <w:pPr>
        <w:pStyle w:val="Heading3NoNum"/>
        <w:rPr>
          <w:sz w:val="20"/>
          <w:szCs w:val="20"/>
        </w:rPr>
      </w:pPr>
      <w:r w:rsidRPr="003B7EF0">
        <w:rPr>
          <w:sz w:val="20"/>
          <w:szCs w:val="20"/>
        </w:rPr>
        <w:t>Exemption by Ministerial certificate</w:t>
      </w:r>
    </w:p>
    <w:p w:rsidR="007D101E" w:rsidRPr="003B7EF0" w:rsidRDefault="007D101E" w:rsidP="007D101E">
      <w:pPr>
        <w:spacing w:after="120"/>
        <w:rPr>
          <w:sz w:val="20"/>
          <w:szCs w:val="20"/>
        </w:rPr>
      </w:pPr>
      <w:r w:rsidRPr="003B7EF0">
        <w:rPr>
          <w:sz w:val="20"/>
          <w:szCs w:val="20"/>
        </w:rPr>
        <w:t xml:space="preserve">To exempt a statutory rule or legislative instrument by Ministerial certificate, the Minister must certify that in his or her opinion, one or more of the exemptions in section 8 (for statutory rules) or section 12F (for legislative instruments) applies. Further information about this process is provided in the Premier’s Guidelines issued under s 26 of the SLA. An example Ministerial certificate is provided in </w:t>
      </w:r>
      <w:r w:rsidR="00687DE5" w:rsidRPr="003B7EF0">
        <w:rPr>
          <w:sz w:val="20"/>
          <w:szCs w:val="20"/>
        </w:rPr>
        <w:t>Attachment 1</w:t>
      </w:r>
      <w:r w:rsidRPr="003B7EF0">
        <w:rPr>
          <w:sz w:val="20"/>
          <w:szCs w:val="20"/>
        </w:rPr>
        <w:t>.</w:t>
      </w:r>
    </w:p>
    <w:p w:rsidR="00604E54" w:rsidRPr="003B7EF0" w:rsidRDefault="00604E54" w:rsidP="00604E54">
      <w:pPr>
        <w:rPr>
          <w:sz w:val="20"/>
          <w:szCs w:val="20"/>
        </w:rPr>
      </w:pPr>
      <w:r w:rsidRPr="003B7EF0">
        <w:rPr>
          <w:sz w:val="20"/>
          <w:szCs w:val="20"/>
        </w:rPr>
        <w:t xml:space="preserve">Sections 8 and 12F of the SLA specify that a regulation or legislative instrument (respectively) will be exempt from the requirement to prepare a RIS if the responsible Minister certifies in writing that in his/her opinion the proposed statutory rule or legislative instrument satisfies certain conditions. While a RIS may not need to be prepared for full public consultation, some consultation requirements may still apply. For further information on consultation requirements, please refer to the most recent version of the Premier’s Guidelines. </w:t>
      </w:r>
    </w:p>
    <w:p w:rsidR="00604E54" w:rsidRPr="003B7EF0" w:rsidRDefault="00604E54" w:rsidP="00604E54">
      <w:pPr>
        <w:rPr>
          <w:sz w:val="20"/>
          <w:szCs w:val="20"/>
        </w:rPr>
      </w:pPr>
      <w:r w:rsidRPr="003B7EF0">
        <w:rPr>
          <w:sz w:val="20"/>
          <w:szCs w:val="20"/>
        </w:rPr>
        <w:t xml:space="preserve">Under section 8(1) of the SLA, exemptions from the RIS requirement for </w:t>
      </w:r>
      <w:r w:rsidRPr="003B7EF0">
        <w:rPr>
          <w:b/>
          <w:sz w:val="20"/>
          <w:szCs w:val="20"/>
        </w:rPr>
        <w:t>statutory rules</w:t>
      </w:r>
      <w:r w:rsidRPr="003B7EF0">
        <w:rPr>
          <w:sz w:val="20"/>
          <w:szCs w:val="20"/>
        </w:rPr>
        <w:t xml:space="preserve"> may be applicable where the responsible Minister issues an exemption certificate certifying that, in the Minister’s opinion:</w:t>
      </w:r>
    </w:p>
    <w:p w:rsidR="00604E54" w:rsidRPr="003B7EF0" w:rsidRDefault="00604E54" w:rsidP="00604E54">
      <w:pPr>
        <w:ind w:left="1260" w:hanging="466"/>
        <w:rPr>
          <w:sz w:val="20"/>
          <w:szCs w:val="20"/>
        </w:rPr>
      </w:pPr>
      <w:r w:rsidRPr="003B7EF0">
        <w:rPr>
          <w:sz w:val="20"/>
          <w:szCs w:val="20"/>
        </w:rPr>
        <w:t>(a)</w:t>
      </w:r>
      <w:r w:rsidRPr="003B7EF0">
        <w:rPr>
          <w:sz w:val="20"/>
          <w:szCs w:val="20"/>
        </w:rPr>
        <w:tab/>
        <w:t>The proposed statutory rule would not impose a significant economic or social burden on any sector of the public.</w:t>
      </w:r>
    </w:p>
    <w:p w:rsidR="00604E54" w:rsidRPr="003B7EF0" w:rsidRDefault="00604E54" w:rsidP="00604E54">
      <w:pPr>
        <w:ind w:left="1260" w:hanging="466"/>
        <w:rPr>
          <w:sz w:val="20"/>
          <w:szCs w:val="20"/>
        </w:rPr>
      </w:pPr>
      <w:r w:rsidRPr="003B7EF0">
        <w:rPr>
          <w:sz w:val="20"/>
          <w:szCs w:val="20"/>
        </w:rPr>
        <w:t>(b)</w:t>
      </w:r>
      <w:r w:rsidRPr="003B7EF0">
        <w:rPr>
          <w:sz w:val="20"/>
          <w:szCs w:val="20"/>
        </w:rPr>
        <w:tab/>
        <w:t>The proposed statutory rule relates only to a court or tribunal or the procedure, practice or costs of a court or tribunal.</w:t>
      </w:r>
    </w:p>
    <w:p w:rsidR="00604E54" w:rsidRPr="003B7EF0" w:rsidRDefault="00604E54" w:rsidP="00604E54">
      <w:pPr>
        <w:ind w:left="1260" w:hanging="466"/>
        <w:rPr>
          <w:sz w:val="20"/>
          <w:szCs w:val="20"/>
          <w:vertAlign w:val="superscript"/>
        </w:rPr>
      </w:pPr>
      <w:r w:rsidRPr="003B7EF0">
        <w:rPr>
          <w:sz w:val="20"/>
          <w:szCs w:val="20"/>
        </w:rPr>
        <w:t>(c)</w:t>
      </w:r>
      <w:r w:rsidRPr="003B7EF0">
        <w:rPr>
          <w:sz w:val="20"/>
          <w:szCs w:val="20"/>
        </w:rPr>
        <w:tab/>
        <w:t>The proposed statutory rule is fundamentally declaratory or machinery in nature.</w:t>
      </w:r>
      <w:r w:rsidRPr="003B7EF0">
        <w:rPr>
          <w:rStyle w:val="FootnoteReference"/>
          <w:sz w:val="20"/>
          <w:szCs w:val="20"/>
        </w:rPr>
        <w:footnoteReference w:id="12"/>
      </w:r>
    </w:p>
    <w:p w:rsidR="00604E54" w:rsidRPr="003B7EF0" w:rsidRDefault="00604E54" w:rsidP="00604E54">
      <w:pPr>
        <w:ind w:left="1260" w:hanging="466"/>
        <w:rPr>
          <w:sz w:val="20"/>
          <w:szCs w:val="20"/>
        </w:rPr>
      </w:pPr>
      <w:r w:rsidRPr="003B7EF0">
        <w:rPr>
          <w:sz w:val="20"/>
          <w:szCs w:val="20"/>
        </w:rPr>
        <w:t>(d)</w:t>
      </w:r>
      <w:r w:rsidRPr="003B7EF0">
        <w:rPr>
          <w:sz w:val="20"/>
          <w:szCs w:val="20"/>
        </w:rPr>
        <w:tab/>
        <w:t>The proposed statutory rule only increases fees in respect of a financial year by an amount not exceeding the annual rate approved by the Treasurer in relation to the State Budget.</w:t>
      </w:r>
    </w:p>
    <w:p w:rsidR="00604E54" w:rsidRPr="003B7EF0" w:rsidRDefault="00604E54" w:rsidP="00604E54">
      <w:pPr>
        <w:ind w:left="1260" w:hanging="466"/>
        <w:rPr>
          <w:sz w:val="20"/>
          <w:szCs w:val="20"/>
        </w:rPr>
      </w:pPr>
      <w:r w:rsidRPr="003B7EF0">
        <w:rPr>
          <w:sz w:val="20"/>
          <w:szCs w:val="20"/>
        </w:rPr>
        <w:t>(e)</w:t>
      </w:r>
      <w:r w:rsidRPr="003B7EF0">
        <w:rPr>
          <w:sz w:val="20"/>
          <w:szCs w:val="20"/>
        </w:rPr>
        <w:tab/>
        <w:t xml:space="preserve">The proposed statutory rule – </w:t>
      </w:r>
    </w:p>
    <w:p w:rsidR="00604E54" w:rsidRPr="003B7EF0" w:rsidRDefault="00604E54" w:rsidP="00604E54">
      <w:pPr>
        <w:ind w:left="1800" w:hanging="540"/>
        <w:rPr>
          <w:sz w:val="20"/>
          <w:szCs w:val="20"/>
        </w:rPr>
      </w:pPr>
      <w:r w:rsidRPr="003B7EF0">
        <w:rPr>
          <w:sz w:val="20"/>
          <w:szCs w:val="20"/>
        </w:rPr>
        <w:t>(</w:t>
      </w:r>
      <w:proofErr w:type="spellStart"/>
      <w:r w:rsidRPr="003B7EF0">
        <w:rPr>
          <w:sz w:val="20"/>
          <w:szCs w:val="20"/>
        </w:rPr>
        <w:t>i</w:t>
      </w:r>
      <w:proofErr w:type="spellEnd"/>
      <w:r w:rsidRPr="003B7EF0">
        <w:rPr>
          <w:sz w:val="20"/>
          <w:szCs w:val="20"/>
        </w:rPr>
        <w:t>)</w:t>
      </w:r>
      <w:r w:rsidRPr="003B7EF0">
        <w:rPr>
          <w:sz w:val="20"/>
          <w:szCs w:val="20"/>
        </w:rPr>
        <w:tab/>
      </w:r>
      <w:proofErr w:type="gramStart"/>
      <w:r w:rsidRPr="003B7EF0">
        <w:rPr>
          <w:sz w:val="20"/>
          <w:szCs w:val="20"/>
        </w:rPr>
        <w:t>only</w:t>
      </w:r>
      <w:proofErr w:type="gramEnd"/>
      <w:r w:rsidRPr="003B7EF0">
        <w:rPr>
          <w:sz w:val="20"/>
          <w:szCs w:val="20"/>
        </w:rPr>
        <w:t xml:space="preserve"> prescribes under section 4(1)(a) an instrument or class of instrument to be a statutory rule; or</w:t>
      </w:r>
    </w:p>
    <w:p w:rsidR="00604E54" w:rsidRPr="003B7EF0" w:rsidRDefault="00604E54" w:rsidP="00604E54">
      <w:pPr>
        <w:ind w:left="1800" w:hanging="540"/>
        <w:rPr>
          <w:sz w:val="20"/>
          <w:szCs w:val="20"/>
        </w:rPr>
      </w:pPr>
      <w:r w:rsidRPr="003B7EF0">
        <w:rPr>
          <w:sz w:val="20"/>
          <w:szCs w:val="20"/>
        </w:rPr>
        <w:t>(ii)</w:t>
      </w:r>
      <w:r w:rsidRPr="003B7EF0">
        <w:rPr>
          <w:sz w:val="20"/>
          <w:szCs w:val="20"/>
        </w:rPr>
        <w:tab/>
      </w:r>
      <w:proofErr w:type="gramStart"/>
      <w:r w:rsidRPr="003B7EF0">
        <w:rPr>
          <w:sz w:val="20"/>
          <w:szCs w:val="20"/>
        </w:rPr>
        <w:t>only</w:t>
      </w:r>
      <w:proofErr w:type="gramEnd"/>
      <w:r w:rsidRPr="003B7EF0">
        <w:rPr>
          <w:sz w:val="20"/>
          <w:szCs w:val="20"/>
        </w:rPr>
        <w:t xml:space="preserve"> exempts under section 4(1)(b) an instrument of class of instrument from the operation of this Act; or</w:t>
      </w:r>
    </w:p>
    <w:p w:rsidR="00604E54" w:rsidRPr="003B7EF0" w:rsidRDefault="00604E54" w:rsidP="00604E54">
      <w:pPr>
        <w:ind w:left="1800" w:hanging="540"/>
        <w:rPr>
          <w:sz w:val="20"/>
          <w:szCs w:val="20"/>
        </w:rPr>
      </w:pPr>
      <w:r w:rsidRPr="003B7EF0">
        <w:rPr>
          <w:sz w:val="20"/>
          <w:szCs w:val="20"/>
        </w:rPr>
        <w:t>(iii)</w:t>
      </w:r>
      <w:r w:rsidRPr="003B7EF0">
        <w:rPr>
          <w:sz w:val="20"/>
          <w:szCs w:val="20"/>
        </w:rPr>
        <w:tab/>
      </w:r>
      <w:proofErr w:type="gramStart"/>
      <w:r w:rsidRPr="003B7EF0">
        <w:rPr>
          <w:sz w:val="20"/>
          <w:szCs w:val="20"/>
        </w:rPr>
        <w:t>is</w:t>
      </w:r>
      <w:proofErr w:type="gramEnd"/>
      <w:r w:rsidRPr="003B7EF0">
        <w:rPr>
          <w:sz w:val="20"/>
          <w:szCs w:val="20"/>
        </w:rPr>
        <w:t xml:space="preserve"> an extension regulation.</w:t>
      </w:r>
    </w:p>
    <w:p w:rsidR="00604E54" w:rsidRPr="003B7EF0" w:rsidRDefault="00604E54" w:rsidP="00604E54">
      <w:pPr>
        <w:ind w:left="1260" w:hanging="466"/>
        <w:rPr>
          <w:sz w:val="20"/>
          <w:szCs w:val="20"/>
        </w:rPr>
      </w:pPr>
      <w:r w:rsidRPr="003B7EF0">
        <w:rPr>
          <w:sz w:val="20"/>
          <w:szCs w:val="20"/>
        </w:rPr>
        <w:t>(f)</w:t>
      </w:r>
      <w:r w:rsidRPr="003B7EF0">
        <w:rPr>
          <w:sz w:val="20"/>
          <w:szCs w:val="20"/>
        </w:rPr>
        <w:tab/>
        <w:t>The proposed statutory rule is required under a national uniform legislation scheme, and an assessment of the costs and benefits has been undertaken under that scheme.</w:t>
      </w:r>
    </w:p>
    <w:p w:rsidR="00604E54" w:rsidRPr="003B7EF0" w:rsidRDefault="00604E54" w:rsidP="00604E54">
      <w:pPr>
        <w:ind w:left="1260" w:hanging="466"/>
        <w:rPr>
          <w:sz w:val="20"/>
          <w:szCs w:val="20"/>
        </w:rPr>
      </w:pPr>
      <w:r w:rsidRPr="003B7EF0">
        <w:rPr>
          <w:sz w:val="20"/>
          <w:szCs w:val="20"/>
        </w:rPr>
        <w:t>(g)</w:t>
      </w:r>
      <w:r w:rsidRPr="003B7EF0">
        <w:rPr>
          <w:sz w:val="20"/>
          <w:szCs w:val="20"/>
        </w:rPr>
        <w:tab/>
        <w:t xml:space="preserve">The proposed statutory rule deals with administration or procedures within, or between, departments or declared authorities within the meaning of the </w:t>
      </w:r>
      <w:r w:rsidRPr="003B7EF0">
        <w:rPr>
          <w:i/>
          <w:sz w:val="20"/>
          <w:szCs w:val="20"/>
        </w:rPr>
        <w:t>Public Administration Act 2004</w:t>
      </w:r>
      <w:r w:rsidRPr="003B7EF0">
        <w:rPr>
          <w:sz w:val="20"/>
          <w:szCs w:val="20"/>
        </w:rPr>
        <w:t xml:space="preserve"> (or its successor) or within the meaning of the </w:t>
      </w:r>
      <w:r w:rsidRPr="003B7EF0">
        <w:rPr>
          <w:i/>
          <w:sz w:val="20"/>
          <w:szCs w:val="20"/>
        </w:rPr>
        <w:t>Parliamentary Administration Act 2005</w:t>
      </w:r>
      <w:r w:rsidRPr="003B7EF0">
        <w:rPr>
          <w:sz w:val="20"/>
          <w:szCs w:val="20"/>
        </w:rPr>
        <w:t xml:space="preserve"> (or its successor).</w:t>
      </w:r>
    </w:p>
    <w:p w:rsidR="00604E54" w:rsidRPr="003B7EF0" w:rsidRDefault="00604E54" w:rsidP="00604E54">
      <w:pPr>
        <w:ind w:left="1260" w:hanging="466"/>
        <w:rPr>
          <w:sz w:val="20"/>
          <w:szCs w:val="20"/>
        </w:rPr>
      </w:pPr>
      <w:r w:rsidRPr="003B7EF0">
        <w:rPr>
          <w:sz w:val="20"/>
          <w:szCs w:val="20"/>
        </w:rPr>
        <w:t>(h)</w:t>
      </w:r>
      <w:r w:rsidRPr="003B7EF0">
        <w:rPr>
          <w:sz w:val="20"/>
          <w:szCs w:val="20"/>
        </w:rPr>
        <w:tab/>
        <w:t>Notice of the proposed statutory rule would render the rule ineffective, or would unfairly advantage or disadvantage any person likely to be affected by the proposed rule. (For example, this exemption would relate to situations such as the requirement for urgent environmental or species protection where advance notice of the statutory rule would allow a scarce resource to be exploited pending operation of the rule.)</w:t>
      </w:r>
    </w:p>
    <w:p w:rsidR="00604E54" w:rsidRPr="003B7EF0" w:rsidRDefault="00604E54" w:rsidP="00604E54">
      <w:pPr>
        <w:rPr>
          <w:sz w:val="20"/>
          <w:szCs w:val="20"/>
        </w:rPr>
      </w:pPr>
      <w:r w:rsidRPr="003B7EF0">
        <w:rPr>
          <w:sz w:val="20"/>
          <w:szCs w:val="20"/>
        </w:rPr>
        <w:t xml:space="preserve">In the case of </w:t>
      </w:r>
      <w:r w:rsidRPr="003B7EF0">
        <w:rPr>
          <w:b/>
          <w:sz w:val="20"/>
          <w:szCs w:val="20"/>
        </w:rPr>
        <w:t>legislative instruments</w:t>
      </w:r>
      <w:r w:rsidRPr="003B7EF0">
        <w:rPr>
          <w:sz w:val="20"/>
          <w:szCs w:val="20"/>
        </w:rPr>
        <w:t xml:space="preserve">, section 12F of the SLA provides for the responsible Minister to issue an exemption certificate from this requirement, certifying in writing that, in the opinion of the Minister; </w:t>
      </w:r>
    </w:p>
    <w:p w:rsidR="00604E54" w:rsidRPr="003B7EF0" w:rsidRDefault="00604E54" w:rsidP="00604E54">
      <w:pPr>
        <w:ind w:left="1260" w:hanging="466"/>
        <w:rPr>
          <w:sz w:val="20"/>
          <w:szCs w:val="20"/>
        </w:rPr>
      </w:pPr>
      <w:r w:rsidRPr="003B7EF0">
        <w:rPr>
          <w:sz w:val="20"/>
          <w:szCs w:val="20"/>
        </w:rPr>
        <w:t>(a)</w:t>
      </w:r>
      <w:r w:rsidRPr="003B7EF0">
        <w:rPr>
          <w:sz w:val="20"/>
          <w:szCs w:val="20"/>
        </w:rPr>
        <w:tab/>
        <w:t>The proposed legislative instrument would not impose a significant economic or social burden on any sector of the public.</w:t>
      </w:r>
    </w:p>
    <w:p w:rsidR="00604E54" w:rsidRPr="003B7EF0" w:rsidRDefault="00604E54" w:rsidP="00604E54">
      <w:pPr>
        <w:ind w:left="1260" w:hanging="466"/>
        <w:rPr>
          <w:sz w:val="20"/>
          <w:szCs w:val="20"/>
        </w:rPr>
      </w:pPr>
      <w:r w:rsidRPr="003B7EF0">
        <w:rPr>
          <w:sz w:val="20"/>
          <w:szCs w:val="20"/>
        </w:rPr>
        <w:t>(b)</w:t>
      </w:r>
      <w:r w:rsidRPr="003B7EF0">
        <w:rPr>
          <w:sz w:val="20"/>
          <w:szCs w:val="20"/>
        </w:rPr>
        <w:tab/>
        <w:t>The proposed legislative instrument is fundamentally declaratory or machinery in nature.</w:t>
      </w:r>
      <w:r w:rsidRPr="003B7EF0">
        <w:rPr>
          <w:rStyle w:val="FootnoteReference"/>
          <w:sz w:val="20"/>
          <w:szCs w:val="20"/>
        </w:rPr>
        <w:footnoteReference w:id="13"/>
      </w:r>
    </w:p>
    <w:p w:rsidR="00604E54" w:rsidRPr="003B7EF0" w:rsidRDefault="00604E54" w:rsidP="00604E54">
      <w:pPr>
        <w:ind w:left="1260" w:hanging="466"/>
        <w:rPr>
          <w:sz w:val="20"/>
          <w:szCs w:val="20"/>
        </w:rPr>
      </w:pPr>
      <w:r w:rsidRPr="003B7EF0">
        <w:rPr>
          <w:sz w:val="20"/>
          <w:szCs w:val="20"/>
        </w:rPr>
        <w:t>(c)</w:t>
      </w:r>
      <w:r w:rsidRPr="003B7EF0">
        <w:rPr>
          <w:sz w:val="20"/>
          <w:szCs w:val="20"/>
        </w:rPr>
        <w:tab/>
        <w:t>The proposed legislative instrument only increases fees in respect of a financial year by an amount not exceeding the annual rate approved by the Treasurer in relation to the State Budget.</w:t>
      </w:r>
    </w:p>
    <w:p w:rsidR="00604E54" w:rsidRPr="003B7EF0" w:rsidRDefault="00604E54" w:rsidP="00604E54">
      <w:pPr>
        <w:ind w:left="1260" w:hanging="466"/>
        <w:rPr>
          <w:sz w:val="20"/>
          <w:szCs w:val="20"/>
        </w:rPr>
      </w:pPr>
      <w:r w:rsidRPr="003B7EF0">
        <w:rPr>
          <w:sz w:val="20"/>
          <w:szCs w:val="20"/>
        </w:rPr>
        <w:t>(d)</w:t>
      </w:r>
      <w:r w:rsidRPr="003B7EF0">
        <w:rPr>
          <w:sz w:val="20"/>
          <w:szCs w:val="20"/>
        </w:rPr>
        <w:tab/>
        <w:t>The proposed legislative instrument would only impose a burden on a public sector body.</w:t>
      </w:r>
    </w:p>
    <w:p w:rsidR="00604E54" w:rsidRPr="003B7EF0" w:rsidRDefault="00604E54" w:rsidP="00604E54">
      <w:pPr>
        <w:ind w:left="1260" w:hanging="466"/>
        <w:rPr>
          <w:sz w:val="20"/>
          <w:szCs w:val="20"/>
        </w:rPr>
      </w:pPr>
      <w:r w:rsidRPr="003B7EF0">
        <w:rPr>
          <w:sz w:val="20"/>
          <w:szCs w:val="20"/>
        </w:rPr>
        <w:t>(e)</w:t>
      </w:r>
      <w:r w:rsidRPr="003B7EF0">
        <w:rPr>
          <w:sz w:val="20"/>
          <w:szCs w:val="20"/>
        </w:rPr>
        <w:tab/>
        <w:t xml:space="preserve">The proposed legislative instrument is an order made under the </w:t>
      </w:r>
      <w:r w:rsidRPr="003B7EF0">
        <w:rPr>
          <w:i/>
          <w:sz w:val="20"/>
          <w:szCs w:val="20"/>
        </w:rPr>
        <w:t>Administrative Arrangements Act 1983</w:t>
      </w:r>
      <w:r w:rsidRPr="003B7EF0">
        <w:rPr>
          <w:sz w:val="20"/>
          <w:szCs w:val="20"/>
        </w:rPr>
        <w:t>.</w:t>
      </w:r>
    </w:p>
    <w:p w:rsidR="00604E54" w:rsidRPr="003B7EF0" w:rsidRDefault="00604E54" w:rsidP="00604E54">
      <w:pPr>
        <w:ind w:left="1260" w:hanging="466"/>
        <w:rPr>
          <w:sz w:val="20"/>
          <w:szCs w:val="20"/>
        </w:rPr>
      </w:pPr>
      <w:r w:rsidRPr="003B7EF0">
        <w:rPr>
          <w:sz w:val="20"/>
          <w:szCs w:val="20"/>
        </w:rPr>
        <w:t>(f)</w:t>
      </w:r>
      <w:r w:rsidRPr="003B7EF0">
        <w:rPr>
          <w:sz w:val="20"/>
          <w:szCs w:val="20"/>
        </w:rPr>
        <w:tab/>
        <w:t>The proposed legislative instrument is required under a national uniform legislation scheme, and an assessment of the costs and benefits has been undertaken under that scheme.</w:t>
      </w:r>
    </w:p>
    <w:p w:rsidR="00604E54" w:rsidRPr="003B7EF0" w:rsidRDefault="00604E54" w:rsidP="00604E54">
      <w:pPr>
        <w:ind w:left="1260" w:hanging="466"/>
        <w:rPr>
          <w:sz w:val="20"/>
          <w:szCs w:val="20"/>
        </w:rPr>
      </w:pPr>
      <w:r w:rsidRPr="003B7EF0">
        <w:rPr>
          <w:sz w:val="20"/>
          <w:szCs w:val="20"/>
        </w:rPr>
        <w:t>(g)</w:t>
      </w:r>
      <w:r w:rsidRPr="003B7EF0">
        <w:rPr>
          <w:sz w:val="20"/>
          <w:szCs w:val="20"/>
        </w:rPr>
        <w:tab/>
        <w:t>The proposed legislative instrument is required to undergo, or has undergone, an analytical and consultation process which, in the opinion of the responsible Minister, is equivalent to the process for a RIS normally required.</w:t>
      </w:r>
    </w:p>
    <w:p w:rsidR="00604E54" w:rsidRPr="003B7EF0" w:rsidRDefault="00604E54" w:rsidP="00604E54">
      <w:pPr>
        <w:ind w:left="1260" w:hanging="466"/>
        <w:rPr>
          <w:sz w:val="20"/>
          <w:szCs w:val="20"/>
        </w:rPr>
      </w:pPr>
      <w:r w:rsidRPr="003B7EF0">
        <w:rPr>
          <w:sz w:val="20"/>
          <w:szCs w:val="20"/>
        </w:rPr>
        <w:t>(h)</w:t>
      </w:r>
      <w:r w:rsidRPr="003B7EF0">
        <w:rPr>
          <w:sz w:val="20"/>
          <w:szCs w:val="20"/>
        </w:rPr>
        <w:tab/>
        <w:t>The proposed legislative instrument is of not more than 12 months duration and is necessary to respond to—</w:t>
      </w:r>
    </w:p>
    <w:p w:rsidR="00604E54" w:rsidRPr="003B7EF0" w:rsidRDefault="00604E54" w:rsidP="00604E54">
      <w:pPr>
        <w:ind w:left="1800" w:hanging="540"/>
        <w:rPr>
          <w:sz w:val="20"/>
          <w:szCs w:val="20"/>
        </w:rPr>
      </w:pPr>
      <w:r w:rsidRPr="003B7EF0">
        <w:rPr>
          <w:sz w:val="20"/>
          <w:szCs w:val="20"/>
        </w:rPr>
        <w:t>(</w:t>
      </w:r>
      <w:proofErr w:type="spellStart"/>
      <w:r w:rsidRPr="003B7EF0">
        <w:rPr>
          <w:sz w:val="20"/>
          <w:szCs w:val="20"/>
        </w:rPr>
        <w:t>i</w:t>
      </w:r>
      <w:proofErr w:type="spellEnd"/>
      <w:r w:rsidRPr="003B7EF0">
        <w:rPr>
          <w:sz w:val="20"/>
          <w:szCs w:val="20"/>
        </w:rPr>
        <w:t>)</w:t>
      </w:r>
      <w:r w:rsidRPr="003B7EF0">
        <w:rPr>
          <w:sz w:val="20"/>
          <w:szCs w:val="20"/>
        </w:rPr>
        <w:tab/>
      </w:r>
      <w:proofErr w:type="gramStart"/>
      <w:r w:rsidRPr="003B7EF0">
        <w:rPr>
          <w:sz w:val="20"/>
          <w:szCs w:val="20"/>
        </w:rPr>
        <w:t>a</w:t>
      </w:r>
      <w:proofErr w:type="gramEnd"/>
      <w:r w:rsidRPr="003B7EF0">
        <w:rPr>
          <w:sz w:val="20"/>
          <w:szCs w:val="20"/>
        </w:rPr>
        <w:t xml:space="preserve"> public emergency; or</w:t>
      </w:r>
    </w:p>
    <w:p w:rsidR="00604E54" w:rsidRPr="003B7EF0" w:rsidRDefault="00604E54" w:rsidP="00604E54">
      <w:pPr>
        <w:ind w:left="1800" w:hanging="540"/>
        <w:rPr>
          <w:sz w:val="20"/>
          <w:szCs w:val="20"/>
        </w:rPr>
      </w:pPr>
      <w:r w:rsidRPr="003B7EF0">
        <w:rPr>
          <w:sz w:val="20"/>
          <w:szCs w:val="20"/>
        </w:rPr>
        <w:t>(ii)</w:t>
      </w:r>
      <w:r w:rsidRPr="003B7EF0">
        <w:rPr>
          <w:sz w:val="20"/>
          <w:szCs w:val="20"/>
        </w:rPr>
        <w:tab/>
      </w:r>
      <w:proofErr w:type="gramStart"/>
      <w:r w:rsidRPr="003B7EF0">
        <w:rPr>
          <w:sz w:val="20"/>
          <w:szCs w:val="20"/>
        </w:rPr>
        <w:t>an</w:t>
      </w:r>
      <w:proofErr w:type="gramEnd"/>
      <w:r w:rsidRPr="003B7EF0">
        <w:rPr>
          <w:sz w:val="20"/>
          <w:szCs w:val="20"/>
        </w:rPr>
        <w:t xml:space="preserve"> urgent public health issue or an urgent public safety issue; or</w:t>
      </w:r>
    </w:p>
    <w:p w:rsidR="00604E54" w:rsidRPr="003B7EF0" w:rsidRDefault="00604E54" w:rsidP="00604E54">
      <w:pPr>
        <w:ind w:left="1800" w:hanging="540"/>
        <w:rPr>
          <w:sz w:val="20"/>
          <w:szCs w:val="20"/>
        </w:rPr>
      </w:pPr>
      <w:r w:rsidRPr="003B7EF0">
        <w:rPr>
          <w:sz w:val="20"/>
          <w:szCs w:val="20"/>
        </w:rPr>
        <w:t>(iii)</w:t>
      </w:r>
      <w:r w:rsidRPr="003B7EF0">
        <w:rPr>
          <w:sz w:val="20"/>
          <w:szCs w:val="20"/>
        </w:rPr>
        <w:tab/>
      </w:r>
      <w:proofErr w:type="gramStart"/>
      <w:r w:rsidRPr="003B7EF0">
        <w:rPr>
          <w:sz w:val="20"/>
          <w:szCs w:val="20"/>
        </w:rPr>
        <w:t>likely</w:t>
      </w:r>
      <w:proofErr w:type="gramEnd"/>
      <w:r w:rsidRPr="003B7EF0">
        <w:rPr>
          <w:sz w:val="20"/>
          <w:szCs w:val="20"/>
        </w:rPr>
        <w:t xml:space="preserve"> or actual significant damage to the environment, resource sustainability or the economy.</w:t>
      </w:r>
    </w:p>
    <w:p w:rsidR="00604E54" w:rsidRPr="003B7EF0" w:rsidRDefault="00604E54" w:rsidP="00604E54">
      <w:pPr>
        <w:ind w:left="1260" w:hanging="466"/>
        <w:rPr>
          <w:sz w:val="20"/>
          <w:szCs w:val="20"/>
        </w:rPr>
      </w:pPr>
      <w:r w:rsidRPr="003B7EF0">
        <w:rPr>
          <w:sz w:val="20"/>
          <w:szCs w:val="20"/>
        </w:rPr>
        <w:t>(</w:t>
      </w:r>
      <w:proofErr w:type="spellStart"/>
      <w:r w:rsidRPr="003B7EF0">
        <w:rPr>
          <w:sz w:val="20"/>
          <w:szCs w:val="20"/>
        </w:rPr>
        <w:t>i</w:t>
      </w:r>
      <w:proofErr w:type="spellEnd"/>
      <w:r w:rsidRPr="003B7EF0">
        <w:rPr>
          <w:sz w:val="20"/>
          <w:szCs w:val="20"/>
        </w:rPr>
        <w:t>)</w:t>
      </w:r>
      <w:r w:rsidRPr="003B7EF0">
        <w:rPr>
          <w:sz w:val="20"/>
          <w:szCs w:val="20"/>
        </w:rPr>
        <w:tab/>
        <w:t xml:space="preserve">The proposed legislative instrument deals with administration or procedures within, or between, departments or declared authorities within the meaning of the </w:t>
      </w:r>
      <w:r w:rsidRPr="003B7EF0">
        <w:rPr>
          <w:i/>
          <w:sz w:val="20"/>
          <w:szCs w:val="20"/>
        </w:rPr>
        <w:t>Public Administration Act 2004</w:t>
      </w:r>
      <w:r w:rsidRPr="003B7EF0">
        <w:rPr>
          <w:sz w:val="20"/>
          <w:szCs w:val="20"/>
        </w:rPr>
        <w:t xml:space="preserve"> (or its successor) or within the meaning of the </w:t>
      </w:r>
      <w:r w:rsidRPr="003B7EF0">
        <w:rPr>
          <w:i/>
          <w:sz w:val="20"/>
          <w:szCs w:val="20"/>
        </w:rPr>
        <w:t>Parliamentary Administration Act 2005</w:t>
      </w:r>
      <w:r w:rsidRPr="003B7EF0">
        <w:rPr>
          <w:sz w:val="20"/>
          <w:szCs w:val="20"/>
        </w:rPr>
        <w:t xml:space="preserve"> (or its successor).</w:t>
      </w:r>
    </w:p>
    <w:p w:rsidR="00604E54" w:rsidRPr="003B7EF0" w:rsidRDefault="00604E54" w:rsidP="00604E54">
      <w:pPr>
        <w:ind w:left="1260" w:hanging="466"/>
        <w:rPr>
          <w:sz w:val="20"/>
          <w:szCs w:val="20"/>
        </w:rPr>
      </w:pPr>
      <w:r w:rsidRPr="003B7EF0">
        <w:rPr>
          <w:sz w:val="20"/>
          <w:szCs w:val="20"/>
        </w:rPr>
        <w:t>(j)</w:t>
      </w:r>
      <w:r w:rsidRPr="003B7EF0">
        <w:rPr>
          <w:sz w:val="20"/>
          <w:szCs w:val="20"/>
        </w:rPr>
        <w:tab/>
        <w:t xml:space="preserve">Notice of the proposed legislative instrument would render the proposed legislative instrument ineffective, or would unfairly advantage or disadvantage any person likely to be affected by the proposed legislative instrument. </w:t>
      </w:r>
    </w:p>
    <w:p w:rsidR="00604E54" w:rsidRPr="003B7EF0" w:rsidRDefault="00604E54" w:rsidP="00604E54">
      <w:pPr>
        <w:ind w:left="1260" w:hanging="466"/>
        <w:rPr>
          <w:sz w:val="20"/>
          <w:szCs w:val="20"/>
        </w:rPr>
      </w:pPr>
      <w:r w:rsidRPr="003B7EF0">
        <w:rPr>
          <w:sz w:val="20"/>
          <w:szCs w:val="20"/>
        </w:rPr>
        <w:t>(k)</w:t>
      </w:r>
      <w:r w:rsidRPr="003B7EF0">
        <w:rPr>
          <w:sz w:val="20"/>
          <w:szCs w:val="20"/>
        </w:rPr>
        <w:tab/>
        <w:t>The proposed legislative instrument is made under a statutory rule and the regulatory impact statement for that statutory rule has adequately considered the impact of the proposed legislative instrument.</w:t>
      </w:r>
    </w:p>
    <w:p w:rsidR="00604E54" w:rsidRPr="003B7EF0" w:rsidRDefault="00604E54" w:rsidP="00604E54">
      <w:pPr>
        <w:rPr>
          <w:sz w:val="20"/>
          <w:szCs w:val="20"/>
        </w:rPr>
      </w:pPr>
      <w:r w:rsidRPr="003B7EF0">
        <w:rPr>
          <w:sz w:val="20"/>
          <w:szCs w:val="20"/>
        </w:rPr>
        <w:t xml:space="preserve">All exemptions require the completion of an exemption certificate, which is to be presented to the SARC and to both Houses of Parliament (see </w:t>
      </w:r>
      <w:r w:rsidR="00687DE5" w:rsidRPr="003B7EF0">
        <w:rPr>
          <w:sz w:val="20"/>
          <w:szCs w:val="20"/>
        </w:rPr>
        <w:t>Attachment 1</w:t>
      </w:r>
      <w:r w:rsidRPr="003B7EF0">
        <w:rPr>
          <w:sz w:val="20"/>
          <w:szCs w:val="20"/>
        </w:rPr>
        <w:t>). Reasons supporting the Minister’s opinion that the rule be exempted must be specified in the certificate.</w:t>
      </w:r>
    </w:p>
    <w:p w:rsidR="00604E54" w:rsidRPr="003B7EF0" w:rsidRDefault="00604E54" w:rsidP="00604E54">
      <w:pPr>
        <w:rPr>
          <w:sz w:val="20"/>
          <w:szCs w:val="20"/>
        </w:rPr>
      </w:pPr>
      <w:r w:rsidRPr="003B7EF0">
        <w:rPr>
          <w:sz w:val="20"/>
          <w:szCs w:val="20"/>
        </w:rPr>
        <w:t>It should be noted with respect to legislative instruments that a ground for exemption under section </w:t>
      </w:r>
      <w:proofErr w:type="gramStart"/>
      <w:r w:rsidRPr="003B7EF0">
        <w:rPr>
          <w:sz w:val="20"/>
          <w:szCs w:val="20"/>
        </w:rPr>
        <w:t>12F(</w:t>
      </w:r>
      <w:proofErr w:type="gramEnd"/>
      <w:r w:rsidRPr="003B7EF0">
        <w:rPr>
          <w:sz w:val="20"/>
          <w:szCs w:val="20"/>
        </w:rPr>
        <w:t>1)(k) is where the proposed legislative instrument is made under a statutory rule and the regulatory impact statement for that statutory rule has adequately considered the impact of the proposed legislative instrument.</w:t>
      </w:r>
    </w:p>
    <w:p w:rsidR="00604E54" w:rsidRPr="003B7EF0" w:rsidRDefault="00604E54" w:rsidP="00604E54">
      <w:pPr>
        <w:rPr>
          <w:sz w:val="20"/>
          <w:szCs w:val="20"/>
        </w:rPr>
      </w:pPr>
      <w:r w:rsidRPr="003B7EF0">
        <w:rPr>
          <w:sz w:val="20"/>
          <w:szCs w:val="20"/>
        </w:rPr>
        <w:t>It should be remembered that sections 8 and 12F do not require a Minister to exempt any given proposed statutory rule or legislative instrument from the RIS process, but only enable a Minister to do so. The RIS process must still be undertaken if the Minister believes that it is appropriate or desirable.</w:t>
      </w:r>
    </w:p>
    <w:p w:rsidR="00604E54" w:rsidRPr="003B7EF0" w:rsidRDefault="00604E54" w:rsidP="00604E54">
      <w:pPr>
        <w:rPr>
          <w:sz w:val="20"/>
          <w:szCs w:val="20"/>
        </w:rPr>
      </w:pPr>
      <w:r w:rsidRPr="003B7EF0">
        <w:rPr>
          <w:sz w:val="20"/>
          <w:szCs w:val="20"/>
        </w:rPr>
        <w:t xml:space="preserve">In providing advice to Ministers regarding whether a statutory rules and legislative instrument fall under any of the above exemption criteria, Departments are encouraged to seek the </w:t>
      </w:r>
      <w:r w:rsidR="00C66CA0">
        <w:rPr>
          <w:sz w:val="20"/>
          <w:szCs w:val="20"/>
        </w:rPr>
        <w:t>Commissioner</w:t>
      </w:r>
      <w:r w:rsidRPr="003B7EF0">
        <w:rPr>
          <w:sz w:val="20"/>
          <w:szCs w:val="20"/>
        </w:rPr>
        <w:t>’s views.</w:t>
      </w:r>
    </w:p>
    <w:p w:rsidR="007D101E" w:rsidRPr="003B7EF0" w:rsidRDefault="007D101E" w:rsidP="007D101E">
      <w:pPr>
        <w:spacing w:after="120"/>
        <w:rPr>
          <w:sz w:val="20"/>
          <w:szCs w:val="20"/>
        </w:rPr>
      </w:pPr>
      <w:r w:rsidRPr="003B7EF0">
        <w:rPr>
          <w:sz w:val="20"/>
          <w:szCs w:val="20"/>
        </w:rPr>
        <w:t>Rules and Instruments exempt by Ministerial certificate are exempt only from the RIS process; all other SLA requirements must be complied with.</w:t>
      </w:r>
    </w:p>
    <w:p w:rsidR="00584FDB" w:rsidRPr="00A516C8" w:rsidRDefault="007D101E" w:rsidP="00A516C8">
      <w:pPr>
        <w:spacing w:after="120"/>
        <w:rPr>
          <w:sz w:val="20"/>
          <w:szCs w:val="20"/>
        </w:rPr>
      </w:pPr>
      <w:r w:rsidRPr="003B7EF0">
        <w:rPr>
          <w:sz w:val="20"/>
          <w:szCs w:val="20"/>
        </w:rPr>
        <w:t xml:space="preserve">The flow chart at Figure </w:t>
      </w:r>
      <w:r w:rsidR="00687DE5" w:rsidRPr="003B7EF0">
        <w:rPr>
          <w:sz w:val="20"/>
          <w:szCs w:val="20"/>
        </w:rPr>
        <w:t>3</w:t>
      </w:r>
      <w:r w:rsidRPr="003B7EF0">
        <w:rPr>
          <w:sz w:val="20"/>
          <w:szCs w:val="20"/>
        </w:rPr>
        <w:t xml:space="preserve"> sets out the process for making subordinate legislation which is exempt from th</w:t>
      </w:r>
      <w:r w:rsidR="00A516C8">
        <w:rPr>
          <w:sz w:val="20"/>
          <w:szCs w:val="20"/>
        </w:rPr>
        <w:t>e requirement to prepare a RIS.</w:t>
      </w:r>
    </w:p>
    <w:p w:rsidR="007D101E" w:rsidRPr="00030A92" w:rsidRDefault="00B05534" w:rsidP="007D101E">
      <w:pPr>
        <w:pStyle w:val="Heading3NoNum"/>
        <w:rPr>
          <w:color w:val="auto"/>
          <w:sz w:val="22"/>
        </w:rPr>
      </w:pPr>
      <w:r w:rsidRPr="00030A92">
        <w:rPr>
          <w:color w:val="auto"/>
          <w:sz w:val="22"/>
        </w:rPr>
        <w:t>Special circumstances: e</w:t>
      </w:r>
      <w:r w:rsidR="007D101E" w:rsidRPr="00030A92">
        <w:rPr>
          <w:color w:val="auto"/>
          <w:sz w:val="22"/>
        </w:rPr>
        <w:t xml:space="preserve">xemption </w:t>
      </w:r>
      <w:r w:rsidRPr="00030A92">
        <w:rPr>
          <w:color w:val="auto"/>
          <w:sz w:val="22"/>
        </w:rPr>
        <w:t>via</w:t>
      </w:r>
      <w:r w:rsidR="007D101E" w:rsidRPr="00030A92">
        <w:rPr>
          <w:color w:val="auto"/>
          <w:sz w:val="22"/>
        </w:rPr>
        <w:t xml:space="preserve"> Premier’s certificate</w:t>
      </w:r>
    </w:p>
    <w:p w:rsidR="00B05534" w:rsidRPr="00030A92" w:rsidRDefault="00B05534" w:rsidP="00B05534">
      <w:pPr>
        <w:rPr>
          <w:sz w:val="20"/>
          <w:szCs w:val="20"/>
        </w:rPr>
      </w:pPr>
      <w:r w:rsidRPr="00030A92">
        <w:rPr>
          <w:sz w:val="20"/>
          <w:szCs w:val="20"/>
        </w:rPr>
        <w:t xml:space="preserve">Sections 9(1) and </w:t>
      </w:r>
      <w:proofErr w:type="gramStart"/>
      <w:r w:rsidRPr="00030A92">
        <w:rPr>
          <w:sz w:val="20"/>
          <w:szCs w:val="20"/>
        </w:rPr>
        <w:t>12G(</w:t>
      </w:r>
      <w:proofErr w:type="gramEnd"/>
      <w:r w:rsidRPr="00030A92">
        <w:rPr>
          <w:sz w:val="20"/>
          <w:szCs w:val="20"/>
        </w:rPr>
        <w:t>1) of the SLA give the Premier the power to exempt a proposed statutory rule or legislative instrument (respectively) from the RIS process where the Premier is of the opinion that, in the special circumstances of the particular case, the public interest requires that the proposed statutory rule or legislative instrument be made without complying with the normal RIS process. This power is for use in cases of emergency or overriding public interest only. Furthermore, such an exemption can only be given if the proposed rule is to expire on or before 12 months after its commencement date (as stipulated in section 9(2</w:t>
      </w:r>
      <w:proofErr w:type="gramStart"/>
      <w:r w:rsidRPr="00030A92">
        <w:rPr>
          <w:sz w:val="20"/>
          <w:szCs w:val="20"/>
        </w:rPr>
        <w:t>)(</w:t>
      </w:r>
      <w:proofErr w:type="gramEnd"/>
      <w:r w:rsidRPr="00030A92">
        <w:rPr>
          <w:sz w:val="20"/>
          <w:szCs w:val="20"/>
        </w:rPr>
        <w:t xml:space="preserve">a) and section 12G(2)(b)of the SLA). </w:t>
      </w:r>
    </w:p>
    <w:p w:rsidR="00B05534" w:rsidRPr="00030A92" w:rsidRDefault="00B05534" w:rsidP="00B05534">
      <w:pPr>
        <w:rPr>
          <w:sz w:val="20"/>
          <w:szCs w:val="20"/>
        </w:rPr>
      </w:pPr>
      <w:r w:rsidRPr="00030A92">
        <w:rPr>
          <w:sz w:val="20"/>
          <w:szCs w:val="20"/>
        </w:rPr>
        <w:t>Requests for a Premier’s certificate should not be made lightly. The Premier’s power to grant exemptions is not intended to operate as an alternative means of making statutory rules or legislative instruments. The purpose of this form of exemption is to ensure that matters of genuine public interest can be made without delay. Accordingly, the application for a Premier’s certificate must set out sufficient evidence to enable the Premier to form the requisite opinion. There are no set criteria for determining the public interest, and each case must be argued on its own merits.</w:t>
      </w:r>
    </w:p>
    <w:p w:rsidR="00B05534" w:rsidRPr="00030A92" w:rsidRDefault="00B05534" w:rsidP="00B05534">
      <w:pPr>
        <w:rPr>
          <w:sz w:val="20"/>
          <w:szCs w:val="20"/>
        </w:rPr>
      </w:pPr>
      <w:r w:rsidRPr="00030A92">
        <w:rPr>
          <w:sz w:val="20"/>
          <w:szCs w:val="20"/>
        </w:rPr>
        <w:t xml:space="preserve">If granted, copies of the Premier’s certificate must be forwarded to SARC and laid before each House of Parliament (see </w:t>
      </w:r>
      <w:r w:rsidR="00687DE5" w:rsidRPr="00030A92">
        <w:rPr>
          <w:sz w:val="20"/>
          <w:szCs w:val="20"/>
        </w:rPr>
        <w:t>Attachment 1</w:t>
      </w:r>
      <w:r w:rsidRPr="00030A92">
        <w:rPr>
          <w:sz w:val="20"/>
          <w:szCs w:val="20"/>
        </w:rPr>
        <w:t>).</w:t>
      </w:r>
    </w:p>
    <w:p w:rsidR="00B05534" w:rsidRPr="00030A92" w:rsidRDefault="00B05534" w:rsidP="00B05534">
      <w:pPr>
        <w:rPr>
          <w:sz w:val="20"/>
          <w:szCs w:val="20"/>
        </w:rPr>
      </w:pPr>
      <w:r w:rsidRPr="00030A92">
        <w:rPr>
          <w:sz w:val="20"/>
          <w:szCs w:val="20"/>
        </w:rPr>
        <w:t>If a Premier’s certificate is granted, the RIS process will still need to be commenced and completed within the lifetime of the certificate. Only in exceptional circumstances will more than one certificate be granted. Moreover, the duration of the certificate will be the shortest possible period to enable the RIS process to be undertaken (unless exceptional circumstances are involved). In practice, a six</w:t>
      </w:r>
      <w:r w:rsidRPr="00030A92">
        <w:rPr>
          <w:sz w:val="20"/>
          <w:szCs w:val="20"/>
        </w:rPr>
        <w:noBreakHyphen/>
        <w:t>month period is often the maximum period granted.</w:t>
      </w:r>
    </w:p>
    <w:p w:rsidR="00B05534" w:rsidRPr="00030A92" w:rsidRDefault="00B05534" w:rsidP="00B05534">
      <w:pPr>
        <w:spacing w:after="120"/>
        <w:rPr>
          <w:sz w:val="20"/>
          <w:szCs w:val="20"/>
        </w:rPr>
      </w:pPr>
      <w:r w:rsidRPr="00030A92">
        <w:rPr>
          <w:sz w:val="20"/>
          <w:szCs w:val="20"/>
        </w:rPr>
        <w:t xml:space="preserve">Rules and instruments exempted by Premier’s certificate are subject to all the processes of the SLA, except the RIS requirements. </w:t>
      </w:r>
    </w:p>
    <w:p w:rsidR="00605D8D" w:rsidRPr="00030A92" w:rsidRDefault="00605D8D" w:rsidP="00605D8D">
      <w:pPr>
        <w:pStyle w:val="Heading3NoNum"/>
        <w:rPr>
          <w:color w:val="auto"/>
          <w:sz w:val="22"/>
        </w:rPr>
      </w:pPr>
      <w:r w:rsidRPr="00030A92">
        <w:rPr>
          <w:color w:val="auto"/>
          <w:sz w:val="22"/>
        </w:rPr>
        <w:t>COAG/national RIS process exemptions</w:t>
      </w:r>
    </w:p>
    <w:p w:rsidR="00605D8D" w:rsidRPr="00030A92" w:rsidRDefault="00605D8D" w:rsidP="00605D8D">
      <w:pPr>
        <w:rPr>
          <w:sz w:val="20"/>
          <w:szCs w:val="20"/>
        </w:rPr>
      </w:pPr>
      <w:r w:rsidRPr="00030A92">
        <w:rPr>
          <w:sz w:val="20"/>
          <w:szCs w:val="20"/>
        </w:rPr>
        <w:t>Included among the exemptions are proposed statutory rules or legislative instruments that are required under a national uniformity scheme, and where an assessment of costs and benefits has been undertaken as part of a COAG/national RIS for that scheme. It would be expected that the COAG/national RIS had been recently prepared (say, within the last three to five years) and assessed as adequate at the decision</w:t>
      </w:r>
      <w:r w:rsidRPr="00030A92">
        <w:rPr>
          <w:sz w:val="20"/>
          <w:szCs w:val="20"/>
        </w:rPr>
        <w:noBreakHyphen/>
        <w:t>making stage by the Commonwealth Government’s Office of Best Practice Regulation.</w:t>
      </w:r>
      <w:r w:rsidRPr="00030A92">
        <w:rPr>
          <w:rStyle w:val="FootnoteReference"/>
          <w:sz w:val="20"/>
          <w:szCs w:val="20"/>
        </w:rPr>
        <w:footnoteReference w:id="14"/>
      </w:r>
      <w:r w:rsidRPr="00030A92">
        <w:rPr>
          <w:sz w:val="20"/>
          <w:szCs w:val="20"/>
        </w:rPr>
        <w:t xml:space="preserve"> In determining whether a separate RIS might need to be undertaken in Victoria, consideration must be given to whether the regulation or legislative instrument to be introduced in Victoria would have the same impacts as were identified in the COAG/national RIS (including the assessment of any fees), and the time that has lapsed since the national assessment was conducted. </w:t>
      </w:r>
    </w:p>
    <w:p w:rsidR="00605D8D" w:rsidRPr="00030A92" w:rsidRDefault="00605D8D" w:rsidP="00605D8D">
      <w:pPr>
        <w:rPr>
          <w:sz w:val="20"/>
          <w:szCs w:val="20"/>
        </w:rPr>
      </w:pPr>
      <w:r w:rsidRPr="00030A92">
        <w:rPr>
          <w:sz w:val="20"/>
          <w:szCs w:val="20"/>
        </w:rPr>
        <w:t>It is generally advisable to seek comment from Victorian</w:t>
      </w:r>
      <w:r w:rsidRPr="00030A92">
        <w:rPr>
          <w:sz w:val="20"/>
          <w:szCs w:val="20"/>
        </w:rPr>
        <w:noBreakHyphen/>
        <w:t xml:space="preserve">based stakeholders on the national RIS assessment when this is released for consultation to assess whether the national RIS adequately reflects the likely impact in Victoria. The </w:t>
      </w:r>
      <w:r w:rsidR="00C66CA0">
        <w:rPr>
          <w:sz w:val="20"/>
          <w:szCs w:val="20"/>
        </w:rPr>
        <w:t>Commissioner</w:t>
      </w:r>
      <w:r w:rsidRPr="00030A92">
        <w:rPr>
          <w:sz w:val="20"/>
          <w:szCs w:val="20"/>
        </w:rPr>
        <w:t xml:space="preserve"> must be provided with a copy of the draft COAG/national RIS when it is released for consultation after assessment by the Office of Best Practice Regulation</w:t>
      </w:r>
      <w:r w:rsidR="00CB101E" w:rsidRPr="00030A92">
        <w:rPr>
          <w:sz w:val="20"/>
          <w:szCs w:val="20"/>
        </w:rPr>
        <w:t xml:space="preserve">. The </w:t>
      </w:r>
      <w:r w:rsidR="00C66CA0">
        <w:rPr>
          <w:sz w:val="20"/>
          <w:szCs w:val="20"/>
        </w:rPr>
        <w:t>Commissioner</w:t>
      </w:r>
      <w:r w:rsidR="00CB101E" w:rsidRPr="00030A92">
        <w:rPr>
          <w:sz w:val="20"/>
          <w:szCs w:val="20"/>
        </w:rPr>
        <w:t xml:space="preserve"> must also be provided with a copy of the decision COAG/national RIS</w:t>
      </w:r>
      <w:r w:rsidRPr="00030A92">
        <w:rPr>
          <w:sz w:val="20"/>
          <w:szCs w:val="20"/>
        </w:rPr>
        <w:t xml:space="preserve">. </w:t>
      </w:r>
    </w:p>
    <w:p w:rsidR="00605D8D" w:rsidRPr="00030A92" w:rsidRDefault="00605D8D" w:rsidP="00605D8D">
      <w:pPr>
        <w:rPr>
          <w:sz w:val="20"/>
          <w:szCs w:val="20"/>
          <w:lang w:eastAsia="en-US"/>
        </w:rPr>
      </w:pPr>
      <w:r w:rsidRPr="00030A92">
        <w:rPr>
          <w:sz w:val="20"/>
          <w:szCs w:val="20"/>
          <w:lang w:eastAsia="en-US"/>
        </w:rPr>
        <w:t xml:space="preserve">Where departments are participating in national reform processes that involve developing national impact assessments (i.e. COAG/national RISs), they should engage with the </w:t>
      </w:r>
      <w:r w:rsidR="00C66CA0">
        <w:rPr>
          <w:sz w:val="20"/>
          <w:szCs w:val="20"/>
          <w:lang w:eastAsia="en-US"/>
        </w:rPr>
        <w:t>Commissioner</w:t>
      </w:r>
      <w:r w:rsidRPr="00030A92">
        <w:rPr>
          <w:sz w:val="20"/>
          <w:szCs w:val="20"/>
          <w:lang w:eastAsia="en-US"/>
        </w:rPr>
        <w:t xml:space="preserve"> as early as possible. In this way, it would be hoped that areas where early draft RISs do not meet Victorian standards of adequacy can be satisfactorily addressed by the time final documents are released for public comment.</w:t>
      </w:r>
    </w:p>
    <w:p w:rsidR="00605D8D" w:rsidRPr="00030A92" w:rsidRDefault="00605D8D" w:rsidP="00605D8D">
      <w:pPr>
        <w:rPr>
          <w:sz w:val="20"/>
          <w:szCs w:val="20"/>
        </w:rPr>
      </w:pPr>
      <w:r w:rsidRPr="00030A92">
        <w:rPr>
          <w:sz w:val="20"/>
          <w:szCs w:val="20"/>
        </w:rPr>
        <w:t xml:space="preserve">Any comments on the COAG/national RIS made by the </w:t>
      </w:r>
      <w:r w:rsidR="00C66CA0">
        <w:rPr>
          <w:sz w:val="20"/>
          <w:szCs w:val="20"/>
        </w:rPr>
        <w:t>Commissioner</w:t>
      </w:r>
      <w:r w:rsidRPr="00030A92">
        <w:rPr>
          <w:sz w:val="20"/>
          <w:szCs w:val="20"/>
        </w:rPr>
        <w:t xml:space="preserve"> must be taken into account when determining whether to seek an exemption from Victoria’s requirements. In particular, where it is considered that the costs and benefits of a regulation or legislative</w:t>
      </w:r>
      <w:r>
        <w:t xml:space="preserve"> </w:t>
      </w:r>
      <w:r w:rsidRPr="00030A92">
        <w:rPr>
          <w:sz w:val="20"/>
          <w:szCs w:val="20"/>
        </w:rPr>
        <w:t>instrument, as adopted in Victoria, are likely to differ substantially from those of the ‘model’ regulation contained in a national RIS, then a separate RIS must be completed under Victorian processes.</w:t>
      </w:r>
    </w:p>
    <w:p w:rsidR="00605D8D" w:rsidRPr="00030A92" w:rsidRDefault="00605D8D" w:rsidP="00605D8D">
      <w:pPr>
        <w:rPr>
          <w:sz w:val="20"/>
          <w:szCs w:val="20"/>
        </w:rPr>
      </w:pPr>
      <w:r w:rsidRPr="00030A92">
        <w:rPr>
          <w:sz w:val="20"/>
          <w:szCs w:val="20"/>
        </w:rPr>
        <w:t>A Victorian RIS will be required for those aspects that were not covered by the COAG RIS.</w:t>
      </w:r>
    </w:p>
    <w:p w:rsidR="00605D8D" w:rsidRPr="00B40862" w:rsidRDefault="00605D8D" w:rsidP="00605D8D">
      <w:pPr>
        <w:pStyle w:val="Heading3"/>
        <w:rPr>
          <w:b w:val="0"/>
          <w:bCs/>
          <w:color w:val="004EA8"/>
        </w:rPr>
      </w:pPr>
      <w:r w:rsidRPr="00B40862">
        <w:rPr>
          <w:b w:val="0"/>
          <w:color w:val="004EA8"/>
        </w:rPr>
        <w:t>Specific RIS requirements for different types of regulations</w:t>
      </w:r>
    </w:p>
    <w:p w:rsidR="00605D8D" w:rsidRPr="00030A92" w:rsidRDefault="00605D8D" w:rsidP="00605D8D">
      <w:pPr>
        <w:rPr>
          <w:sz w:val="20"/>
          <w:szCs w:val="20"/>
        </w:rPr>
      </w:pPr>
      <w:r w:rsidRPr="00030A92">
        <w:rPr>
          <w:sz w:val="20"/>
          <w:szCs w:val="20"/>
        </w:rPr>
        <w:t>Unless exemptions have been made, RISs will need to be prepared for proposed statutory rules and legislative instruments made under the following circumstances:</w:t>
      </w:r>
    </w:p>
    <w:p w:rsidR="00605D8D" w:rsidRPr="00030A92" w:rsidRDefault="00605D8D" w:rsidP="00605D8D">
      <w:pPr>
        <w:pStyle w:val="Bullet1"/>
        <w:rPr>
          <w:sz w:val="20"/>
          <w:szCs w:val="20"/>
        </w:rPr>
      </w:pPr>
      <w:r w:rsidRPr="00030A92">
        <w:rPr>
          <w:sz w:val="20"/>
          <w:szCs w:val="20"/>
        </w:rPr>
        <w:t>the establishment of new regulations;</w:t>
      </w:r>
    </w:p>
    <w:p w:rsidR="00605D8D" w:rsidRPr="00030A92" w:rsidRDefault="00605D8D" w:rsidP="00605D8D">
      <w:pPr>
        <w:pStyle w:val="Bullet1"/>
        <w:rPr>
          <w:sz w:val="20"/>
          <w:szCs w:val="20"/>
        </w:rPr>
      </w:pPr>
      <w:r w:rsidRPr="00030A92">
        <w:rPr>
          <w:sz w:val="20"/>
          <w:szCs w:val="20"/>
        </w:rPr>
        <w:t xml:space="preserve">the replacement of </w:t>
      </w:r>
      <w:proofErr w:type="spellStart"/>
      <w:r w:rsidRPr="00030A92">
        <w:rPr>
          <w:sz w:val="20"/>
          <w:szCs w:val="20"/>
        </w:rPr>
        <w:t>sunsetting</w:t>
      </w:r>
      <w:proofErr w:type="spellEnd"/>
      <w:r w:rsidRPr="00030A92">
        <w:rPr>
          <w:sz w:val="20"/>
          <w:szCs w:val="20"/>
        </w:rPr>
        <w:t xml:space="preserve"> regulations; </w:t>
      </w:r>
    </w:p>
    <w:p w:rsidR="00605D8D" w:rsidRPr="00030A92" w:rsidRDefault="00605D8D" w:rsidP="00605D8D">
      <w:pPr>
        <w:pStyle w:val="Bullet1"/>
        <w:rPr>
          <w:sz w:val="20"/>
          <w:szCs w:val="20"/>
        </w:rPr>
      </w:pPr>
      <w:r w:rsidRPr="00030A92">
        <w:rPr>
          <w:sz w:val="20"/>
          <w:szCs w:val="20"/>
        </w:rPr>
        <w:t>amendments to existing regulations; and</w:t>
      </w:r>
    </w:p>
    <w:p w:rsidR="00605D8D" w:rsidRPr="00030A92" w:rsidRDefault="00605D8D" w:rsidP="00605D8D">
      <w:pPr>
        <w:pStyle w:val="Bullet1"/>
        <w:rPr>
          <w:sz w:val="20"/>
          <w:szCs w:val="20"/>
        </w:rPr>
      </w:pPr>
      <w:proofErr w:type="gramStart"/>
      <w:r w:rsidRPr="00030A92">
        <w:rPr>
          <w:sz w:val="20"/>
          <w:szCs w:val="20"/>
        </w:rPr>
        <w:t>regulations</w:t>
      </w:r>
      <w:proofErr w:type="gramEnd"/>
      <w:r w:rsidRPr="00030A92">
        <w:rPr>
          <w:sz w:val="20"/>
          <w:szCs w:val="20"/>
        </w:rPr>
        <w:t xml:space="preserve"> imposing fees and charges.</w:t>
      </w:r>
    </w:p>
    <w:p w:rsidR="00605D8D" w:rsidRPr="00030A92" w:rsidRDefault="00605D8D" w:rsidP="00605D8D">
      <w:pPr>
        <w:rPr>
          <w:sz w:val="20"/>
          <w:szCs w:val="20"/>
        </w:rPr>
      </w:pPr>
      <w:r w:rsidRPr="00030A92">
        <w:rPr>
          <w:sz w:val="20"/>
          <w:szCs w:val="20"/>
        </w:rPr>
        <w:t>The Act does not specifically differentiate between RIS requirements applying to different circumstances. However, as discussed in the following paragraphs, there are some differences in emphasis that should be taken into account in order to ensure the clarity and usefulness of the resulting document, and to ensure that the requirements of the Act are fully met in the specific case in question.</w:t>
      </w:r>
    </w:p>
    <w:p w:rsidR="00605D8D" w:rsidRPr="00030A92" w:rsidRDefault="00605D8D" w:rsidP="00605D8D">
      <w:pPr>
        <w:pStyle w:val="Heading3NoNum"/>
        <w:rPr>
          <w:color w:val="auto"/>
          <w:sz w:val="22"/>
        </w:rPr>
      </w:pPr>
      <w:r w:rsidRPr="00030A92">
        <w:rPr>
          <w:color w:val="auto"/>
          <w:sz w:val="22"/>
        </w:rPr>
        <w:t>New regulations</w:t>
      </w:r>
    </w:p>
    <w:p w:rsidR="00605D8D" w:rsidRPr="00030A92" w:rsidRDefault="00605D8D" w:rsidP="00605D8D">
      <w:pPr>
        <w:rPr>
          <w:sz w:val="20"/>
          <w:szCs w:val="20"/>
        </w:rPr>
      </w:pPr>
      <w:r w:rsidRPr="00030A92">
        <w:rPr>
          <w:sz w:val="20"/>
          <w:szCs w:val="20"/>
        </w:rPr>
        <w:t xml:space="preserve">RISs dealing with the regulation of an area not previously regulated should take care to establish the ‘threshold question’ is adequately answered – i.e. the discussion of the nature and extent of the problem being addressed must make it clear there is an issue which clearly requires public policy intervention. Comparisons with the approaches taken to the same issue in other jurisdictions may be helpful in making this case. Furthermore, the examination of other viable options is particularly important in the assessment of new regulations. </w:t>
      </w:r>
    </w:p>
    <w:p w:rsidR="00605D8D" w:rsidRPr="00030A92" w:rsidRDefault="00605D8D" w:rsidP="00605D8D">
      <w:pPr>
        <w:rPr>
          <w:sz w:val="20"/>
          <w:szCs w:val="20"/>
        </w:rPr>
      </w:pPr>
      <w:r w:rsidRPr="00030A92">
        <w:rPr>
          <w:sz w:val="20"/>
          <w:szCs w:val="20"/>
        </w:rPr>
        <w:t>The cost</w:t>
      </w:r>
      <w:r w:rsidRPr="00030A92">
        <w:rPr>
          <w:sz w:val="20"/>
          <w:szCs w:val="20"/>
        </w:rPr>
        <w:noBreakHyphen/>
        <w:t>benefit analysis undertaken in the RIS should be conducted in relation to the base case of there being no regulation.</w:t>
      </w:r>
    </w:p>
    <w:p w:rsidR="00605D8D" w:rsidRPr="00030A92" w:rsidRDefault="00605D8D" w:rsidP="00605D8D">
      <w:pPr>
        <w:rPr>
          <w:sz w:val="20"/>
          <w:szCs w:val="20"/>
        </w:rPr>
      </w:pPr>
      <w:r w:rsidRPr="00030A92">
        <w:rPr>
          <w:sz w:val="20"/>
          <w:szCs w:val="20"/>
        </w:rPr>
        <w:t>The issue of the likely extent of compliance will also require careful examination, as there will clearly be little relevant experience upon which to rely. Inter</w:t>
      </w:r>
      <w:r w:rsidRPr="00030A92">
        <w:rPr>
          <w:sz w:val="20"/>
          <w:szCs w:val="20"/>
        </w:rPr>
        <w:noBreakHyphen/>
        <w:t>jurisdictional comparisons may also be helpful here.</w:t>
      </w:r>
    </w:p>
    <w:p w:rsidR="00584FDB" w:rsidRPr="00030A92" w:rsidRDefault="00584FDB">
      <w:pPr>
        <w:spacing w:before="0" w:after="0"/>
        <w:ind w:left="0"/>
        <w:rPr>
          <w:b/>
          <w:sz w:val="20"/>
          <w:szCs w:val="20"/>
          <w:lang w:eastAsia="en-US"/>
        </w:rPr>
      </w:pPr>
      <w:r w:rsidRPr="00030A92">
        <w:rPr>
          <w:sz w:val="20"/>
          <w:szCs w:val="20"/>
        </w:rPr>
        <w:br w:type="page"/>
      </w:r>
    </w:p>
    <w:p w:rsidR="00605D8D" w:rsidRPr="00030A92" w:rsidRDefault="00605D8D" w:rsidP="00605D8D">
      <w:pPr>
        <w:pStyle w:val="Heading3NoNum"/>
        <w:rPr>
          <w:color w:val="auto"/>
          <w:sz w:val="22"/>
        </w:rPr>
      </w:pPr>
      <w:r w:rsidRPr="00030A92">
        <w:rPr>
          <w:color w:val="auto"/>
          <w:sz w:val="22"/>
        </w:rPr>
        <w:t xml:space="preserve">Replacement of </w:t>
      </w:r>
      <w:proofErr w:type="spellStart"/>
      <w:r w:rsidRPr="00030A92">
        <w:rPr>
          <w:color w:val="auto"/>
          <w:sz w:val="22"/>
        </w:rPr>
        <w:t>sunsetting</w:t>
      </w:r>
      <w:proofErr w:type="spellEnd"/>
      <w:r w:rsidRPr="00030A92">
        <w:rPr>
          <w:color w:val="auto"/>
          <w:sz w:val="22"/>
        </w:rPr>
        <w:t xml:space="preserve"> regulations</w:t>
      </w:r>
    </w:p>
    <w:p w:rsidR="00605D8D" w:rsidRPr="00030A92" w:rsidRDefault="00605D8D" w:rsidP="00605D8D">
      <w:pPr>
        <w:rPr>
          <w:sz w:val="20"/>
          <w:szCs w:val="20"/>
        </w:rPr>
      </w:pPr>
      <w:r w:rsidRPr="00030A92">
        <w:rPr>
          <w:sz w:val="20"/>
          <w:szCs w:val="20"/>
        </w:rPr>
        <w:t xml:space="preserve">In order to replace </w:t>
      </w:r>
      <w:proofErr w:type="spellStart"/>
      <w:r w:rsidRPr="00030A92">
        <w:rPr>
          <w:sz w:val="20"/>
          <w:szCs w:val="20"/>
        </w:rPr>
        <w:t>sunsetting</w:t>
      </w:r>
      <w:proofErr w:type="spellEnd"/>
      <w:r w:rsidRPr="00030A92">
        <w:rPr>
          <w:sz w:val="20"/>
          <w:szCs w:val="20"/>
        </w:rPr>
        <w:t xml:space="preserve"> regulations, it is important to provide a strong and clear demonstration that each restriction imposed by regulation is still required. When replacing </w:t>
      </w:r>
      <w:proofErr w:type="spellStart"/>
      <w:r w:rsidRPr="00030A92">
        <w:rPr>
          <w:sz w:val="20"/>
          <w:szCs w:val="20"/>
        </w:rPr>
        <w:t>sunsetting</w:t>
      </w:r>
      <w:proofErr w:type="spellEnd"/>
      <w:r w:rsidRPr="00030A92">
        <w:rPr>
          <w:sz w:val="20"/>
          <w:szCs w:val="20"/>
        </w:rPr>
        <w:t xml:space="preserve"> regulation, whether in similar or modified form, particular attention should be given to the following requirements during the preparation of the RIS:</w:t>
      </w:r>
    </w:p>
    <w:p w:rsidR="00605D8D" w:rsidRPr="00030A92" w:rsidRDefault="00605D8D" w:rsidP="00605D8D">
      <w:pPr>
        <w:pStyle w:val="Bullet1"/>
        <w:rPr>
          <w:sz w:val="20"/>
          <w:szCs w:val="20"/>
        </w:rPr>
      </w:pPr>
      <w:r w:rsidRPr="00030A92">
        <w:rPr>
          <w:sz w:val="20"/>
          <w:szCs w:val="20"/>
        </w:rPr>
        <w:t>demonstrating that the nature and extent of the problem still require a regulatory response;</w:t>
      </w:r>
    </w:p>
    <w:p w:rsidR="00605D8D" w:rsidRPr="00030A92" w:rsidRDefault="00605D8D" w:rsidP="00605D8D">
      <w:pPr>
        <w:pStyle w:val="Bullet1"/>
        <w:rPr>
          <w:sz w:val="20"/>
          <w:szCs w:val="20"/>
        </w:rPr>
      </w:pPr>
      <w:r w:rsidRPr="00030A92">
        <w:rPr>
          <w:sz w:val="20"/>
          <w:szCs w:val="20"/>
        </w:rPr>
        <w:t>evaluating the actual effectiveness of the existing regulatory regime;</w:t>
      </w:r>
    </w:p>
    <w:p w:rsidR="00605D8D" w:rsidRPr="00030A92" w:rsidRDefault="00605D8D" w:rsidP="00605D8D">
      <w:pPr>
        <w:pStyle w:val="Bullet1"/>
        <w:rPr>
          <w:sz w:val="20"/>
          <w:szCs w:val="20"/>
        </w:rPr>
      </w:pPr>
      <w:r w:rsidRPr="00030A92">
        <w:rPr>
          <w:sz w:val="20"/>
          <w:szCs w:val="20"/>
        </w:rPr>
        <w:t xml:space="preserve">substantiating that the particular regulatory response remains the best solution; </w:t>
      </w:r>
    </w:p>
    <w:p w:rsidR="00605D8D" w:rsidRPr="00030A92" w:rsidRDefault="00605D8D" w:rsidP="00605D8D">
      <w:pPr>
        <w:pStyle w:val="Bullet1"/>
        <w:rPr>
          <w:sz w:val="20"/>
          <w:szCs w:val="20"/>
        </w:rPr>
      </w:pPr>
      <w:r w:rsidRPr="00030A92">
        <w:rPr>
          <w:sz w:val="20"/>
          <w:szCs w:val="20"/>
        </w:rPr>
        <w:t>presenting an option that reduces the burden imposed on business and/or the community as outlined in</w:t>
      </w:r>
      <w:r w:rsidR="00687DE5" w:rsidRPr="00030A92">
        <w:rPr>
          <w:sz w:val="20"/>
          <w:szCs w:val="20"/>
        </w:rPr>
        <w:t xml:space="preserve"> the Victorian Guide to Regulation</w:t>
      </w:r>
      <w:r w:rsidRPr="00030A92">
        <w:rPr>
          <w:sz w:val="20"/>
          <w:szCs w:val="20"/>
        </w:rPr>
        <w:t>; and</w:t>
      </w:r>
    </w:p>
    <w:p w:rsidR="00605D8D" w:rsidRPr="00030A92" w:rsidRDefault="00605D8D" w:rsidP="00605D8D">
      <w:pPr>
        <w:pStyle w:val="Bullet1"/>
        <w:rPr>
          <w:sz w:val="20"/>
          <w:szCs w:val="20"/>
        </w:rPr>
      </w:pPr>
      <w:proofErr w:type="gramStart"/>
      <w:r w:rsidRPr="00030A92">
        <w:rPr>
          <w:sz w:val="20"/>
          <w:szCs w:val="20"/>
        </w:rPr>
        <w:t>conducting</w:t>
      </w:r>
      <w:proofErr w:type="gramEnd"/>
      <w:r w:rsidRPr="00030A92">
        <w:rPr>
          <w:sz w:val="20"/>
          <w:szCs w:val="20"/>
        </w:rPr>
        <w:t xml:space="preserve"> the cost</w:t>
      </w:r>
      <w:r w:rsidRPr="00030A92">
        <w:rPr>
          <w:sz w:val="20"/>
          <w:szCs w:val="20"/>
        </w:rPr>
        <w:noBreakHyphen/>
        <w:t xml:space="preserve">benefit analysis in terms of a comparison with the base case of an unregulated situation. </w:t>
      </w:r>
    </w:p>
    <w:p w:rsidR="00605D8D" w:rsidRPr="00030A92" w:rsidRDefault="00605D8D" w:rsidP="00605D8D">
      <w:pPr>
        <w:rPr>
          <w:sz w:val="20"/>
          <w:szCs w:val="20"/>
        </w:rPr>
      </w:pPr>
      <w:r w:rsidRPr="00030A92">
        <w:rPr>
          <w:sz w:val="20"/>
          <w:szCs w:val="20"/>
        </w:rPr>
        <w:t>Undertaking cost</w:t>
      </w:r>
      <w:r w:rsidRPr="00030A92">
        <w:rPr>
          <w:sz w:val="20"/>
          <w:szCs w:val="20"/>
        </w:rPr>
        <w:noBreakHyphen/>
        <w:t>benefit analysis against an unregulated situation is essential to ensure that the policy development process considers the full impact on society, in terms of costs and benefits, of the regulatory proposal and other viable options. A particular focus here should be to ensure that the RIS does not simply re</w:t>
      </w:r>
      <w:r w:rsidRPr="00030A92">
        <w:rPr>
          <w:sz w:val="20"/>
          <w:szCs w:val="20"/>
        </w:rPr>
        <w:noBreakHyphen/>
        <w:t>state the problem that underpinned the existing regulations, but instead takes account of developments that have occurred over time – for example, in relation to factors such as market structure, technological advances and community expectations. A policy development process that follows this approach will focus on developing a regulatory proposal that maximises the net benefit to society, rather than simply remaking the previous regulations.</w:t>
      </w:r>
    </w:p>
    <w:p w:rsidR="00605D8D" w:rsidRPr="00030A92" w:rsidRDefault="00605D8D" w:rsidP="00605D8D">
      <w:pPr>
        <w:rPr>
          <w:sz w:val="20"/>
          <w:szCs w:val="20"/>
        </w:rPr>
      </w:pPr>
      <w:r w:rsidRPr="00030A92">
        <w:rPr>
          <w:sz w:val="20"/>
          <w:szCs w:val="20"/>
        </w:rPr>
        <w:t xml:space="preserve">Describing the nature of the problem in the ‘unregulated situation’ should be possible using the framework set out in the </w:t>
      </w:r>
      <w:r w:rsidR="00687DE5" w:rsidRPr="00030A92">
        <w:rPr>
          <w:sz w:val="20"/>
          <w:szCs w:val="20"/>
        </w:rPr>
        <w:t>Victorian Guide to Regulation</w:t>
      </w:r>
      <w:r w:rsidRPr="00030A92">
        <w:rPr>
          <w:sz w:val="20"/>
          <w:szCs w:val="20"/>
        </w:rPr>
        <w:t>. Quantifying the extent of the problem in the absence of regulation may be more difficult, particularly where the existing regulations have been in place for some time. Data sources that should be examined to quantify the extent of the problem in the absence of regulation include:</w:t>
      </w:r>
    </w:p>
    <w:p w:rsidR="00605D8D" w:rsidRPr="00030A92" w:rsidRDefault="00605D8D" w:rsidP="00605D8D">
      <w:pPr>
        <w:pStyle w:val="Bullet1"/>
        <w:rPr>
          <w:sz w:val="20"/>
          <w:szCs w:val="20"/>
        </w:rPr>
      </w:pPr>
      <w:r w:rsidRPr="00030A92">
        <w:rPr>
          <w:b/>
          <w:sz w:val="20"/>
          <w:szCs w:val="20"/>
        </w:rPr>
        <w:t>an evaluation of the existing regulations</w:t>
      </w:r>
      <w:r w:rsidRPr="00030A92">
        <w:rPr>
          <w:sz w:val="20"/>
          <w:szCs w:val="20"/>
        </w:rPr>
        <w:t xml:space="preserve"> – this requires an understanding of the policy and data baseline prior to the regulations being in place as well as comprehensive review of the effectiveness of the existing regulations in addressing the original problem (see below for an example); </w:t>
      </w:r>
    </w:p>
    <w:p w:rsidR="00605D8D" w:rsidRPr="00030A92" w:rsidRDefault="00605D8D" w:rsidP="00605D8D">
      <w:pPr>
        <w:pStyle w:val="Bullet1"/>
        <w:rPr>
          <w:sz w:val="20"/>
          <w:szCs w:val="20"/>
        </w:rPr>
      </w:pPr>
      <w:r w:rsidRPr="00030A92">
        <w:rPr>
          <w:b/>
          <w:sz w:val="20"/>
          <w:szCs w:val="20"/>
        </w:rPr>
        <w:t>consultation with stakeholders</w:t>
      </w:r>
      <w:r w:rsidRPr="00030A92">
        <w:rPr>
          <w:sz w:val="20"/>
          <w:szCs w:val="20"/>
        </w:rPr>
        <w:t xml:space="preserve"> (for example, on what would happen in the absence of the regulations as part of normal business practices or other regulatory requirements); </w:t>
      </w:r>
    </w:p>
    <w:p w:rsidR="00605D8D" w:rsidRPr="00030A92" w:rsidRDefault="00605D8D" w:rsidP="00605D8D">
      <w:pPr>
        <w:pStyle w:val="Bullet1"/>
        <w:rPr>
          <w:sz w:val="20"/>
          <w:szCs w:val="20"/>
        </w:rPr>
      </w:pPr>
      <w:r w:rsidRPr="00030A92">
        <w:rPr>
          <w:b/>
          <w:sz w:val="20"/>
          <w:szCs w:val="20"/>
        </w:rPr>
        <w:t>experience in other jurisdictions</w:t>
      </w:r>
      <w:r w:rsidRPr="00030A92">
        <w:rPr>
          <w:sz w:val="20"/>
          <w:szCs w:val="20"/>
        </w:rPr>
        <w:t xml:space="preserve"> – particularly those with different regulatory frameworks; and</w:t>
      </w:r>
    </w:p>
    <w:p w:rsidR="00605D8D" w:rsidRPr="00030A92" w:rsidRDefault="00605D8D" w:rsidP="00605D8D">
      <w:pPr>
        <w:pStyle w:val="Bullet1"/>
        <w:rPr>
          <w:sz w:val="20"/>
          <w:szCs w:val="20"/>
        </w:rPr>
      </w:pPr>
      <w:proofErr w:type="gramStart"/>
      <w:r w:rsidRPr="00030A92">
        <w:rPr>
          <w:b/>
          <w:sz w:val="20"/>
          <w:szCs w:val="20"/>
        </w:rPr>
        <w:t>academic</w:t>
      </w:r>
      <w:proofErr w:type="gramEnd"/>
      <w:r w:rsidRPr="00030A92">
        <w:rPr>
          <w:b/>
          <w:sz w:val="20"/>
          <w:szCs w:val="20"/>
        </w:rPr>
        <w:t xml:space="preserve"> research</w:t>
      </w:r>
      <w:r w:rsidRPr="00030A92">
        <w:rPr>
          <w:sz w:val="20"/>
          <w:szCs w:val="20"/>
        </w:rPr>
        <w:t xml:space="preserve"> – which may also evaluate regulatory effectiveness and contain cross</w:t>
      </w:r>
      <w:r w:rsidRPr="00030A92">
        <w:rPr>
          <w:sz w:val="20"/>
          <w:szCs w:val="20"/>
        </w:rPr>
        <w:noBreakHyphen/>
        <w:t xml:space="preserve">jurisdictional comparisons. </w:t>
      </w:r>
    </w:p>
    <w:p w:rsidR="00584FDB" w:rsidRPr="00A516C8" w:rsidRDefault="00605D8D" w:rsidP="00A516C8">
      <w:pPr>
        <w:rPr>
          <w:sz w:val="20"/>
          <w:szCs w:val="20"/>
        </w:rPr>
      </w:pPr>
      <w:r w:rsidRPr="00030A92">
        <w:rPr>
          <w:sz w:val="20"/>
          <w:szCs w:val="20"/>
        </w:rPr>
        <w:t xml:space="preserve">Where amendments are being made to </w:t>
      </w:r>
      <w:proofErr w:type="spellStart"/>
      <w:r w:rsidRPr="00030A92">
        <w:rPr>
          <w:sz w:val="20"/>
          <w:szCs w:val="20"/>
        </w:rPr>
        <w:t>sunsetting</w:t>
      </w:r>
      <w:proofErr w:type="spellEnd"/>
      <w:r w:rsidRPr="00030A92">
        <w:rPr>
          <w:sz w:val="20"/>
          <w:szCs w:val="20"/>
        </w:rPr>
        <w:t xml:space="preserve"> regulations, the specific problems that the proposed amendments are intended to address must also be explicitly identified, and the analysis of other approaches must compare the remaking of </w:t>
      </w:r>
      <w:proofErr w:type="spellStart"/>
      <w:r w:rsidRPr="00030A92">
        <w:rPr>
          <w:sz w:val="20"/>
          <w:szCs w:val="20"/>
        </w:rPr>
        <w:t>sunsetting</w:t>
      </w:r>
      <w:proofErr w:type="spellEnd"/>
      <w:r w:rsidRPr="00030A92">
        <w:rPr>
          <w:sz w:val="20"/>
          <w:szCs w:val="20"/>
        </w:rPr>
        <w:t xml:space="preserve"> regulations to th</w:t>
      </w:r>
      <w:r w:rsidR="00A516C8">
        <w:rPr>
          <w:sz w:val="20"/>
          <w:szCs w:val="20"/>
        </w:rPr>
        <w:t>e proposed amended regulations.</w:t>
      </w:r>
    </w:p>
    <w:p w:rsidR="00605D8D" w:rsidRPr="00030A92" w:rsidRDefault="00605D8D" w:rsidP="00605D8D">
      <w:pPr>
        <w:pStyle w:val="Heading4NoNum"/>
        <w:rPr>
          <w:color w:val="auto"/>
        </w:rPr>
      </w:pPr>
      <w:r w:rsidRPr="00030A92">
        <w:rPr>
          <w:color w:val="auto"/>
        </w:rPr>
        <w:t>Assessing the unregulated situation through evaluation of existing regulations – occupational licensing example</w:t>
      </w:r>
    </w:p>
    <w:p w:rsidR="00605D8D" w:rsidRPr="00030A92" w:rsidRDefault="00605D8D" w:rsidP="00605D8D">
      <w:pPr>
        <w:rPr>
          <w:sz w:val="20"/>
          <w:szCs w:val="20"/>
        </w:rPr>
      </w:pPr>
      <w:r w:rsidRPr="00030A92">
        <w:rPr>
          <w:sz w:val="20"/>
          <w:szCs w:val="20"/>
        </w:rPr>
        <w:t xml:space="preserve">Occupational licensing is a common form of regulation for certain professional services (e.g. medical services) because consumers may not be able to make fully informed choices regarding the choice of providers and may be unable to effectively monitor the performance of providers. (This problem is sometimes referred to as ‘information asymmetries’). As a result, consumers may experience harm or losses in an unregulated environment. </w:t>
      </w:r>
    </w:p>
    <w:p w:rsidR="00605D8D" w:rsidRPr="00030A92" w:rsidRDefault="00605D8D" w:rsidP="00605D8D">
      <w:pPr>
        <w:rPr>
          <w:sz w:val="20"/>
          <w:szCs w:val="20"/>
        </w:rPr>
      </w:pPr>
      <w:r w:rsidRPr="00030A92">
        <w:rPr>
          <w:sz w:val="20"/>
          <w:szCs w:val="20"/>
        </w:rPr>
        <w:t xml:space="preserve">For the purposes of replacing </w:t>
      </w:r>
      <w:proofErr w:type="spellStart"/>
      <w:r w:rsidRPr="00030A92">
        <w:rPr>
          <w:sz w:val="20"/>
          <w:szCs w:val="20"/>
        </w:rPr>
        <w:t>sunsetting</w:t>
      </w:r>
      <w:proofErr w:type="spellEnd"/>
      <w:r w:rsidRPr="00030A92">
        <w:rPr>
          <w:sz w:val="20"/>
          <w:szCs w:val="20"/>
        </w:rPr>
        <w:t xml:space="preserve"> occupational licensing regulations, the associated cost</w:t>
      </w:r>
      <w:r w:rsidRPr="00030A92">
        <w:rPr>
          <w:sz w:val="20"/>
          <w:szCs w:val="20"/>
        </w:rPr>
        <w:noBreakHyphen/>
        <w:t>benefit analysis should attempt to quantify the harm or losses suffered under an unregulated scenario. This could be achieved by undertaking an evaluation of the existing regulatory framework. This evaluation could examine enforcement data (including complaints investigated, offences committed, compensation or damages awarded and fines or penalties imposed), focusing on any differences between licensed and (illegally) unlicensed providers. The unlicensed providers could provide a ‘proxy’ for what would occur under an unregulated environment, with the number of investigations and prosecutions, and the level of damages or fines imposed on unlicensed providers providing a quantifiable indication of the extent of the problem in an unregulated situation.</w:t>
      </w:r>
    </w:p>
    <w:p w:rsidR="00605D8D" w:rsidRPr="00030A92" w:rsidRDefault="00605D8D" w:rsidP="00605D8D">
      <w:pPr>
        <w:pStyle w:val="Heading3NoNum"/>
        <w:rPr>
          <w:color w:val="auto"/>
          <w:sz w:val="24"/>
          <w:szCs w:val="24"/>
        </w:rPr>
      </w:pPr>
      <w:r w:rsidRPr="00030A92">
        <w:rPr>
          <w:color w:val="auto"/>
          <w:sz w:val="24"/>
          <w:szCs w:val="24"/>
        </w:rPr>
        <w:t>Amendments to existing regulations and legislative instruments</w:t>
      </w:r>
    </w:p>
    <w:p w:rsidR="00605D8D" w:rsidRPr="00030A92" w:rsidRDefault="00605D8D" w:rsidP="00605D8D">
      <w:pPr>
        <w:rPr>
          <w:sz w:val="20"/>
          <w:szCs w:val="20"/>
        </w:rPr>
      </w:pPr>
      <w:r w:rsidRPr="00030A92">
        <w:rPr>
          <w:sz w:val="20"/>
          <w:szCs w:val="20"/>
        </w:rPr>
        <w:t>Where a RIS relates to amendments to existing regulations and legislative instruments, the cost</w:t>
      </w:r>
      <w:r w:rsidRPr="00030A92">
        <w:rPr>
          <w:sz w:val="20"/>
          <w:szCs w:val="20"/>
        </w:rPr>
        <w:noBreakHyphen/>
        <w:t xml:space="preserve">benefit analysis must focus on the incremental costs and benefits of moving from the existing regulations to those proposed. </w:t>
      </w:r>
    </w:p>
    <w:p w:rsidR="00605D8D" w:rsidRPr="00030A92" w:rsidRDefault="00605D8D" w:rsidP="00605D8D">
      <w:pPr>
        <w:rPr>
          <w:sz w:val="20"/>
          <w:szCs w:val="20"/>
        </w:rPr>
      </w:pPr>
      <w:r w:rsidRPr="00030A92">
        <w:rPr>
          <w:sz w:val="20"/>
          <w:szCs w:val="20"/>
        </w:rPr>
        <w:t>In some instances, the benefit may simply be to clarify understanding, which may result in a higher level of compliance or reduce the likelihood for confusion. In such a case, the costs of the amendment may be negligible. It is the change, not the principal regulation that has to be justified.</w:t>
      </w:r>
    </w:p>
    <w:p w:rsidR="00605D8D" w:rsidRPr="00030A92" w:rsidRDefault="00605D8D" w:rsidP="00605D8D">
      <w:pPr>
        <w:pStyle w:val="Heading3NoNum"/>
        <w:rPr>
          <w:color w:val="auto"/>
          <w:sz w:val="22"/>
        </w:rPr>
      </w:pPr>
      <w:r w:rsidRPr="00030A92">
        <w:rPr>
          <w:color w:val="auto"/>
          <w:sz w:val="22"/>
        </w:rPr>
        <w:t>Fees and charges</w:t>
      </w:r>
    </w:p>
    <w:p w:rsidR="00605D8D" w:rsidRPr="00030A92" w:rsidRDefault="00605D8D" w:rsidP="00605D8D">
      <w:pPr>
        <w:rPr>
          <w:sz w:val="20"/>
          <w:szCs w:val="20"/>
        </w:rPr>
      </w:pPr>
      <w:r w:rsidRPr="00030A92">
        <w:rPr>
          <w:sz w:val="20"/>
          <w:szCs w:val="20"/>
        </w:rPr>
        <w:t xml:space="preserve">The guidelines made under </w:t>
      </w:r>
      <w:r w:rsidR="00D13659" w:rsidRPr="00030A92">
        <w:rPr>
          <w:sz w:val="20"/>
          <w:szCs w:val="20"/>
        </w:rPr>
        <w:t>section </w:t>
      </w:r>
      <w:r w:rsidRPr="00030A92">
        <w:rPr>
          <w:sz w:val="20"/>
          <w:szCs w:val="20"/>
        </w:rPr>
        <w:t>26 of the SLA state that statutory rules and legislative instruments that impose fees or charges may impose a significant burden within the meaning of the Act. As a general rule, a RIS is likely to be required for proposals that:</w:t>
      </w:r>
    </w:p>
    <w:p w:rsidR="00605D8D" w:rsidRPr="00030A92" w:rsidRDefault="00605D8D" w:rsidP="00605D8D">
      <w:pPr>
        <w:pStyle w:val="Bullet1"/>
        <w:rPr>
          <w:sz w:val="20"/>
          <w:szCs w:val="20"/>
        </w:rPr>
      </w:pPr>
      <w:r w:rsidRPr="00030A92">
        <w:rPr>
          <w:sz w:val="20"/>
          <w:szCs w:val="20"/>
        </w:rPr>
        <w:t xml:space="preserve">introduce new fees or remake </w:t>
      </w:r>
      <w:proofErr w:type="spellStart"/>
      <w:r w:rsidRPr="00030A92">
        <w:rPr>
          <w:sz w:val="20"/>
          <w:szCs w:val="20"/>
        </w:rPr>
        <w:t>sunsetting</w:t>
      </w:r>
      <w:proofErr w:type="spellEnd"/>
      <w:r w:rsidRPr="00030A92">
        <w:rPr>
          <w:sz w:val="20"/>
          <w:szCs w:val="20"/>
        </w:rPr>
        <w:t xml:space="preserve"> regulations that recover $2 million or more in fee revenue per year; and</w:t>
      </w:r>
    </w:p>
    <w:p w:rsidR="00605D8D" w:rsidRPr="00030A92" w:rsidRDefault="00605D8D" w:rsidP="00605D8D">
      <w:pPr>
        <w:pStyle w:val="Bullet1"/>
        <w:rPr>
          <w:sz w:val="20"/>
          <w:szCs w:val="20"/>
        </w:rPr>
      </w:pPr>
      <w:proofErr w:type="gramStart"/>
      <w:r w:rsidRPr="00030A92">
        <w:rPr>
          <w:sz w:val="20"/>
          <w:szCs w:val="20"/>
        </w:rPr>
        <w:t>increase</w:t>
      </w:r>
      <w:proofErr w:type="gramEnd"/>
      <w:r w:rsidRPr="00030A92">
        <w:rPr>
          <w:sz w:val="20"/>
          <w:szCs w:val="20"/>
        </w:rPr>
        <w:t xml:space="preserve"> existing fees that generate additional revenue of $2 million or more per year. </w:t>
      </w:r>
    </w:p>
    <w:p w:rsidR="00605D8D" w:rsidRPr="00030A92" w:rsidRDefault="00605D8D" w:rsidP="00605D8D">
      <w:pPr>
        <w:rPr>
          <w:sz w:val="20"/>
          <w:szCs w:val="20"/>
        </w:rPr>
      </w:pPr>
      <w:r w:rsidRPr="00030A92">
        <w:rPr>
          <w:sz w:val="20"/>
          <w:szCs w:val="20"/>
        </w:rPr>
        <w:t>In these instances, the likely impact of a proposal on an individual, community group, or business will need to be considered in determining whether it imposes a significant burden.</w:t>
      </w:r>
    </w:p>
    <w:p w:rsidR="00584FDB" w:rsidRPr="00A516C8" w:rsidRDefault="00605D8D" w:rsidP="00A516C8">
      <w:pPr>
        <w:rPr>
          <w:sz w:val="20"/>
          <w:szCs w:val="20"/>
        </w:rPr>
      </w:pPr>
      <w:r w:rsidRPr="00030A92">
        <w:rPr>
          <w:sz w:val="20"/>
          <w:szCs w:val="20"/>
        </w:rPr>
        <w:t>Statutory rules or legislative instruments that reduce existing fees or charges would not be expected to impose a significant burden so as to require the preparation of the RIS (provided that the statutory rules or legislative instruments do nothing else that would warrant the need for a RIS). However, there are exceptions where the reduction in fees or charges is the result of shifting costs to other sectors (for example, where a reduction in fees lowers the level of cost recovery, which is then made up through general taxation</w:t>
      </w:r>
      <w:r w:rsidR="00A516C8">
        <w:rPr>
          <w:sz w:val="20"/>
          <w:szCs w:val="20"/>
        </w:rPr>
        <w:t xml:space="preserve">). </w:t>
      </w:r>
    </w:p>
    <w:p w:rsidR="00605D8D" w:rsidRPr="00030A92" w:rsidRDefault="00605D8D" w:rsidP="00605D8D">
      <w:pPr>
        <w:rPr>
          <w:sz w:val="20"/>
          <w:szCs w:val="20"/>
        </w:rPr>
      </w:pPr>
      <w:r w:rsidRPr="00030A92">
        <w:rPr>
          <w:sz w:val="20"/>
          <w:szCs w:val="20"/>
        </w:rPr>
        <w:t xml:space="preserve">The central issue will be the accuracy of the costing of service provision. The RIS must describe and justify each task involved in providing the service. These tasks must be costed, with both direct and indirect costs, including overheads and capital related to providing the service. For further guidance on costing approaches, please refer to DTF’s </w:t>
      </w:r>
      <w:r w:rsidRPr="00030A92">
        <w:rPr>
          <w:i/>
          <w:sz w:val="20"/>
          <w:szCs w:val="20"/>
        </w:rPr>
        <w:t>Cost Recovery Guidelines</w:t>
      </w:r>
      <w:r w:rsidRPr="00030A92">
        <w:rPr>
          <w:sz w:val="20"/>
          <w:szCs w:val="20"/>
        </w:rPr>
        <w:t xml:space="preserve"> available at </w:t>
      </w:r>
      <w:hyperlink r:id="rId22" w:history="1">
        <w:r w:rsidRPr="00030A92">
          <w:rPr>
            <w:rStyle w:val="Hyperlink"/>
            <w:sz w:val="20"/>
            <w:szCs w:val="20"/>
          </w:rPr>
          <w:t>www.dtf.vic.gov.au</w:t>
        </w:r>
      </w:hyperlink>
      <w:r w:rsidRPr="00030A92">
        <w:rPr>
          <w:sz w:val="20"/>
          <w:szCs w:val="20"/>
        </w:rPr>
        <w:t>.</w:t>
      </w:r>
    </w:p>
    <w:p w:rsidR="00605D8D" w:rsidRPr="00030A92" w:rsidRDefault="00605D8D" w:rsidP="00605D8D">
      <w:pPr>
        <w:rPr>
          <w:sz w:val="20"/>
          <w:szCs w:val="20"/>
        </w:rPr>
      </w:pPr>
      <w:r w:rsidRPr="00030A92">
        <w:rPr>
          <w:sz w:val="20"/>
          <w:szCs w:val="20"/>
        </w:rPr>
        <w:t>Furthermore, in discussing the allocation of costs, the RIS needs to demonstrate adherence to the Government’s competitive neutrality policy.</w:t>
      </w:r>
    </w:p>
    <w:p w:rsidR="00605D8D" w:rsidRPr="00030A92" w:rsidRDefault="00605D8D" w:rsidP="00605D8D">
      <w:pPr>
        <w:rPr>
          <w:sz w:val="20"/>
          <w:szCs w:val="20"/>
        </w:rPr>
      </w:pPr>
      <w:r w:rsidRPr="00030A92">
        <w:rPr>
          <w:sz w:val="20"/>
          <w:szCs w:val="20"/>
        </w:rPr>
        <w:t>Finally, note that under the SLA, the RIS must include a table comparing new and old fees and charges.</w:t>
      </w:r>
    </w:p>
    <w:p w:rsidR="00605D8D" w:rsidRPr="00B40862" w:rsidRDefault="00605D8D" w:rsidP="00605D8D">
      <w:pPr>
        <w:pStyle w:val="Heading3"/>
        <w:rPr>
          <w:b w:val="0"/>
          <w:bCs/>
          <w:color w:val="004EA8"/>
        </w:rPr>
      </w:pPr>
      <w:r w:rsidRPr="00B40862">
        <w:rPr>
          <w:b w:val="0"/>
          <w:color w:val="004EA8"/>
        </w:rPr>
        <w:t>Role of consultation in the RIS process</w:t>
      </w:r>
    </w:p>
    <w:p w:rsidR="00605D8D" w:rsidRPr="00030A92" w:rsidRDefault="00605D8D" w:rsidP="00605D8D">
      <w:pPr>
        <w:rPr>
          <w:sz w:val="20"/>
          <w:szCs w:val="20"/>
        </w:rPr>
      </w:pPr>
      <w:r w:rsidRPr="00030A92">
        <w:rPr>
          <w:sz w:val="20"/>
          <w:szCs w:val="20"/>
        </w:rPr>
        <w:t>Consultation is an integral part of the RIS process. Appropriate consultation is important to determine whether a statutory rule or legislative instrument should be made and, if so, the nature of that rule. The Act requires that consultation take place in appropriate cases at the initial stages of the RIS process (i.e. before the final RIS document has been prepared) and after the RIS has been completed, so that the analysis and assessments contained in the RIS can be tested in the community.</w:t>
      </w:r>
    </w:p>
    <w:p w:rsidR="00605D8D" w:rsidRPr="00030A92" w:rsidRDefault="00605D8D" w:rsidP="00605D8D">
      <w:pPr>
        <w:rPr>
          <w:sz w:val="20"/>
          <w:szCs w:val="20"/>
        </w:rPr>
      </w:pPr>
      <w:r w:rsidRPr="00030A92">
        <w:rPr>
          <w:sz w:val="20"/>
          <w:szCs w:val="20"/>
        </w:rPr>
        <w:t xml:space="preserve">Timing considerations for the various elements of the public consultation process are summarised in </w:t>
      </w:r>
      <w:r w:rsidR="00D13659" w:rsidRPr="00030A92">
        <w:rPr>
          <w:sz w:val="20"/>
          <w:szCs w:val="20"/>
        </w:rPr>
        <w:t>Section </w:t>
      </w:r>
      <w:r w:rsidR="00CE2C34" w:rsidRPr="00030A92">
        <w:rPr>
          <w:sz w:val="20"/>
          <w:szCs w:val="20"/>
        </w:rPr>
        <w:t>1.5</w:t>
      </w:r>
      <w:r w:rsidR="00E31815" w:rsidRPr="00030A92">
        <w:rPr>
          <w:sz w:val="20"/>
          <w:szCs w:val="20"/>
        </w:rPr>
        <w:t xml:space="preserve">.6 </w:t>
      </w:r>
      <w:r w:rsidRPr="00030A92">
        <w:rPr>
          <w:sz w:val="20"/>
          <w:szCs w:val="20"/>
        </w:rPr>
        <w:t>below.</w:t>
      </w:r>
    </w:p>
    <w:p w:rsidR="00605D8D" w:rsidRPr="00030A92" w:rsidRDefault="00605D8D" w:rsidP="00605D8D">
      <w:pPr>
        <w:pStyle w:val="Heading4NoNum"/>
        <w:rPr>
          <w:color w:val="auto"/>
        </w:rPr>
      </w:pPr>
      <w:r w:rsidRPr="00030A92">
        <w:rPr>
          <w:color w:val="auto"/>
        </w:rPr>
        <w:t>Consultation during initial stages of RIS process</w:t>
      </w:r>
    </w:p>
    <w:p w:rsidR="00605D8D" w:rsidRPr="00030A92" w:rsidRDefault="00605D8D" w:rsidP="00605D8D">
      <w:pPr>
        <w:rPr>
          <w:sz w:val="20"/>
          <w:szCs w:val="20"/>
        </w:rPr>
      </w:pPr>
      <w:r w:rsidRPr="00030A92">
        <w:rPr>
          <w:sz w:val="20"/>
          <w:szCs w:val="20"/>
        </w:rPr>
        <w:t>Consultation in the early stages of the RIS process is important because the RIS document must address a range of policy options that may not be identified or developed until there has been at least some initial consultation with persons and bodies potentially affected by the proposed statutory rule or legislative instrument.</w:t>
      </w:r>
    </w:p>
    <w:p w:rsidR="00605D8D" w:rsidRPr="00030A92" w:rsidRDefault="00605D8D" w:rsidP="00605D8D">
      <w:pPr>
        <w:rPr>
          <w:sz w:val="20"/>
          <w:szCs w:val="20"/>
        </w:rPr>
      </w:pPr>
      <w:r w:rsidRPr="00030A92">
        <w:rPr>
          <w:sz w:val="20"/>
          <w:szCs w:val="20"/>
        </w:rPr>
        <w:t>Consultation is required with:</w:t>
      </w:r>
    </w:p>
    <w:p w:rsidR="00605D8D" w:rsidRPr="00030A92" w:rsidRDefault="00605D8D" w:rsidP="00605D8D">
      <w:pPr>
        <w:pStyle w:val="Bullet1"/>
        <w:rPr>
          <w:b/>
          <w:sz w:val="20"/>
          <w:szCs w:val="20"/>
        </w:rPr>
      </w:pPr>
      <w:r w:rsidRPr="00030A92">
        <w:rPr>
          <w:b/>
          <w:sz w:val="20"/>
          <w:szCs w:val="20"/>
        </w:rPr>
        <w:t xml:space="preserve">Any other Ministers whose area of responsibility may be affected by a proposed statutory rule or legislative instrument. </w:t>
      </w:r>
    </w:p>
    <w:p w:rsidR="00605D8D" w:rsidRPr="00030A92" w:rsidRDefault="00605D8D" w:rsidP="00605D8D">
      <w:pPr>
        <w:pStyle w:val="NormalIndent"/>
        <w:rPr>
          <w:sz w:val="20"/>
          <w:szCs w:val="20"/>
        </w:rPr>
      </w:pPr>
      <w:r w:rsidRPr="00030A92">
        <w:rPr>
          <w:sz w:val="20"/>
          <w:szCs w:val="20"/>
        </w:rPr>
        <w:t xml:space="preserve">If a proposed statutory rule or legislative instrument may impinge upon or affect the area of responsibility of another government Minister, department, agency or statutory body, consultation must take place with a view to ensuring that any differences are reconciled, and that there is no overlapping or duplication of, or conflict with, legislation, statutory rules or legislative instruments, or stated government policies administered by that other body. Such consultation must take place before external consultation is undertaken and before a public notice of the RIS is made (see below). Any areas of significant disagreement must be referred to Ministers for resolution, or brought to Cabinet, or the appropriate committee of Cabinet, for consideration. </w:t>
      </w:r>
    </w:p>
    <w:p w:rsidR="00605D8D" w:rsidRPr="00030A92" w:rsidRDefault="00605D8D" w:rsidP="00605D8D">
      <w:pPr>
        <w:pStyle w:val="Bullet1"/>
        <w:rPr>
          <w:b/>
          <w:sz w:val="20"/>
          <w:szCs w:val="20"/>
        </w:rPr>
      </w:pPr>
      <w:r w:rsidRPr="00030A92">
        <w:rPr>
          <w:b/>
          <w:sz w:val="20"/>
          <w:szCs w:val="20"/>
        </w:rPr>
        <w:t>Any sector of the public on which a significant economic or social burden may be imposed by a proposed statutory rule or legislative instrument.</w:t>
      </w:r>
    </w:p>
    <w:p w:rsidR="00584FDB" w:rsidRPr="00030A92" w:rsidRDefault="00605D8D" w:rsidP="00A516C8">
      <w:pPr>
        <w:pStyle w:val="NormalIndent"/>
        <w:rPr>
          <w:sz w:val="20"/>
          <w:szCs w:val="20"/>
        </w:rPr>
      </w:pPr>
      <w:r w:rsidRPr="00030A92">
        <w:rPr>
          <w:sz w:val="20"/>
          <w:szCs w:val="20"/>
        </w:rPr>
        <w:t>If the proposed statutory rule or legislative instrument is likely to impose any significant burden, cost or disadvantage on any sector of the public, consultation must take place with that sector (e.g. business groups, community groups, consumer groups, special interest groups). This consultation should include discussion of the need for and meth</w:t>
      </w:r>
      <w:r w:rsidR="00A516C8">
        <w:rPr>
          <w:sz w:val="20"/>
          <w:szCs w:val="20"/>
        </w:rPr>
        <w:t xml:space="preserve">od of the proposed regulation. </w:t>
      </w:r>
    </w:p>
    <w:p w:rsidR="00605D8D" w:rsidRPr="00030A92" w:rsidRDefault="00605D8D" w:rsidP="00605D8D">
      <w:pPr>
        <w:rPr>
          <w:sz w:val="20"/>
          <w:szCs w:val="20"/>
        </w:rPr>
      </w:pPr>
      <w:r w:rsidRPr="00030A92">
        <w:rPr>
          <w:sz w:val="20"/>
          <w:szCs w:val="20"/>
        </w:rPr>
        <w:t xml:space="preserve">The level of consultation required under </w:t>
      </w:r>
      <w:r w:rsidR="00D13659" w:rsidRPr="00030A92">
        <w:rPr>
          <w:sz w:val="20"/>
          <w:szCs w:val="20"/>
        </w:rPr>
        <w:t>section </w:t>
      </w:r>
      <w:r w:rsidRPr="00030A92">
        <w:rPr>
          <w:sz w:val="20"/>
          <w:szCs w:val="20"/>
        </w:rPr>
        <w:t>6 of the Act and the consultation procedures adopted depend upon the nature of the proposed statutory rule or legislative instrument, and is a matter for the responsible Minister. Factors to be taken into account when determining the appropriate level of consultation include:</w:t>
      </w:r>
    </w:p>
    <w:p w:rsidR="00605D8D" w:rsidRPr="00030A92" w:rsidRDefault="00605D8D" w:rsidP="00605D8D">
      <w:pPr>
        <w:pStyle w:val="Bullet1"/>
        <w:rPr>
          <w:sz w:val="20"/>
          <w:szCs w:val="20"/>
        </w:rPr>
      </w:pPr>
      <w:r w:rsidRPr="00030A92">
        <w:rPr>
          <w:sz w:val="20"/>
          <w:szCs w:val="20"/>
        </w:rPr>
        <w:t>Is the measure being introduced into a previously unregulated area?</w:t>
      </w:r>
    </w:p>
    <w:p w:rsidR="00605D8D" w:rsidRPr="00030A92" w:rsidRDefault="00605D8D" w:rsidP="00605D8D">
      <w:pPr>
        <w:pStyle w:val="Bullet1"/>
        <w:rPr>
          <w:sz w:val="20"/>
          <w:szCs w:val="20"/>
        </w:rPr>
      </w:pPr>
      <w:r w:rsidRPr="00030A92">
        <w:rPr>
          <w:sz w:val="20"/>
          <w:szCs w:val="20"/>
        </w:rPr>
        <w:t>What is the nature of the industry that will be affected by the measure? Does it have peak bodies that should be consulted?</w:t>
      </w:r>
    </w:p>
    <w:p w:rsidR="00605D8D" w:rsidRPr="00030A92" w:rsidRDefault="00605D8D" w:rsidP="00605D8D">
      <w:pPr>
        <w:pStyle w:val="Bullet1"/>
        <w:rPr>
          <w:sz w:val="20"/>
          <w:szCs w:val="20"/>
        </w:rPr>
      </w:pPr>
      <w:r w:rsidRPr="00030A92">
        <w:rPr>
          <w:sz w:val="20"/>
          <w:szCs w:val="20"/>
        </w:rPr>
        <w:t>Is the proposed measure replacing an existing regime (e.g. a voluntary code of conduct)?</w:t>
      </w:r>
    </w:p>
    <w:p w:rsidR="00605D8D" w:rsidRPr="00030A92" w:rsidRDefault="00605D8D" w:rsidP="00605D8D">
      <w:pPr>
        <w:pStyle w:val="Bullet1"/>
        <w:rPr>
          <w:sz w:val="20"/>
          <w:szCs w:val="20"/>
        </w:rPr>
      </w:pPr>
      <w:r w:rsidRPr="00030A92">
        <w:rPr>
          <w:sz w:val="20"/>
          <w:szCs w:val="20"/>
        </w:rPr>
        <w:t>Will the proposed measure impose criminal or civil penalties?</w:t>
      </w:r>
    </w:p>
    <w:p w:rsidR="00605D8D" w:rsidRPr="00030A92" w:rsidRDefault="00605D8D" w:rsidP="00605D8D">
      <w:pPr>
        <w:pStyle w:val="Bullet1"/>
        <w:rPr>
          <w:sz w:val="20"/>
          <w:szCs w:val="20"/>
        </w:rPr>
      </w:pPr>
      <w:r w:rsidRPr="00030A92">
        <w:rPr>
          <w:sz w:val="20"/>
          <w:szCs w:val="20"/>
        </w:rPr>
        <w:t>Is there likely to be substantial controversy over the acceptability of the proposed measure?</w:t>
      </w:r>
    </w:p>
    <w:p w:rsidR="00605D8D" w:rsidRPr="00030A92" w:rsidRDefault="00605D8D" w:rsidP="00605D8D">
      <w:pPr>
        <w:pStyle w:val="Bullet1"/>
        <w:rPr>
          <w:sz w:val="20"/>
          <w:szCs w:val="20"/>
        </w:rPr>
      </w:pPr>
      <w:r w:rsidRPr="00030A92">
        <w:rPr>
          <w:sz w:val="20"/>
          <w:szCs w:val="20"/>
        </w:rPr>
        <w:t>Are there many different stakeholder groups that will be affected by the proposed measure?</w:t>
      </w:r>
    </w:p>
    <w:p w:rsidR="00605D8D" w:rsidRPr="00030A92" w:rsidRDefault="00605D8D" w:rsidP="00605D8D">
      <w:pPr>
        <w:pStyle w:val="Bullet1"/>
        <w:rPr>
          <w:sz w:val="20"/>
          <w:szCs w:val="20"/>
        </w:rPr>
      </w:pPr>
      <w:r w:rsidRPr="00030A92">
        <w:rPr>
          <w:sz w:val="20"/>
          <w:szCs w:val="20"/>
        </w:rPr>
        <w:t>Are there community or environmental groups or other peak bodies that should be consulted?</w:t>
      </w:r>
    </w:p>
    <w:p w:rsidR="00605D8D" w:rsidRPr="00030A92" w:rsidRDefault="00605D8D" w:rsidP="00605D8D">
      <w:pPr>
        <w:pStyle w:val="Bullet1"/>
        <w:rPr>
          <w:sz w:val="20"/>
          <w:szCs w:val="20"/>
        </w:rPr>
      </w:pPr>
      <w:r w:rsidRPr="00030A92">
        <w:rPr>
          <w:sz w:val="20"/>
          <w:szCs w:val="20"/>
        </w:rPr>
        <w:t>Are the potential impacts subject to considerable uncertainty?</w:t>
      </w:r>
    </w:p>
    <w:p w:rsidR="00605D8D" w:rsidRPr="00030A92" w:rsidRDefault="00605D8D" w:rsidP="00605D8D">
      <w:pPr>
        <w:rPr>
          <w:sz w:val="20"/>
          <w:szCs w:val="20"/>
        </w:rPr>
      </w:pPr>
      <w:r w:rsidRPr="00030A92">
        <w:rPr>
          <w:sz w:val="20"/>
          <w:szCs w:val="20"/>
        </w:rPr>
        <w:t>Clearly, more consultation will be required in areas that were previously unregulated than those where the proposed rule or instrument is merely fine</w:t>
      </w:r>
      <w:r w:rsidRPr="00030A92">
        <w:rPr>
          <w:sz w:val="20"/>
          <w:szCs w:val="20"/>
        </w:rPr>
        <w:noBreakHyphen/>
        <w:t>tuning existing regulation.</w:t>
      </w:r>
    </w:p>
    <w:p w:rsidR="00605D8D" w:rsidRPr="00030A92" w:rsidRDefault="00605D8D" w:rsidP="00605D8D">
      <w:pPr>
        <w:rPr>
          <w:sz w:val="20"/>
          <w:szCs w:val="20"/>
        </w:rPr>
      </w:pPr>
      <w:r w:rsidRPr="00030A92">
        <w:rPr>
          <w:sz w:val="20"/>
          <w:szCs w:val="20"/>
        </w:rPr>
        <w:t>As RISs are final consultation documents, consultation should occur prior to the advertisement of RISs. Such consultation may take the form of focus groups and briefing sessions with key stakeholders before deciding that a regulatory proposal is the most appropriate response to an issue. It is important that peak industry bodies are notified during the development of regulatory proposals. Issues papers can be used as a preliminary vehicle for communication.</w:t>
      </w:r>
    </w:p>
    <w:p w:rsidR="00605D8D" w:rsidRPr="00030A92" w:rsidRDefault="00605D8D" w:rsidP="00605D8D">
      <w:pPr>
        <w:rPr>
          <w:sz w:val="20"/>
          <w:szCs w:val="20"/>
        </w:rPr>
      </w:pPr>
      <w:r w:rsidRPr="00030A92">
        <w:rPr>
          <w:sz w:val="20"/>
          <w:szCs w:val="20"/>
        </w:rPr>
        <w:t>The SARC must be provided with a certificate of consultation once the proposed statutory rule or legislative instrument has been made.</w:t>
      </w:r>
    </w:p>
    <w:p w:rsidR="00605D8D" w:rsidRPr="00030A92" w:rsidRDefault="00605D8D" w:rsidP="00605D8D">
      <w:pPr>
        <w:rPr>
          <w:sz w:val="20"/>
          <w:szCs w:val="20"/>
        </w:rPr>
      </w:pPr>
      <w:r w:rsidRPr="00030A92">
        <w:rPr>
          <w:sz w:val="20"/>
          <w:szCs w:val="20"/>
        </w:rPr>
        <w:t xml:space="preserve">As discussed in </w:t>
      </w:r>
      <w:r w:rsidR="004E7631" w:rsidRPr="00030A92">
        <w:rPr>
          <w:sz w:val="20"/>
          <w:szCs w:val="20"/>
        </w:rPr>
        <w:t>Section</w:t>
      </w:r>
      <w:r w:rsidRPr="00030A92">
        <w:rPr>
          <w:sz w:val="20"/>
          <w:szCs w:val="20"/>
        </w:rPr>
        <w:t xml:space="preserve"> </w:t>
      </w:r>
      <w:r w:rsidR="00CE2C34" w:rsidRPr="00030A92">
        <w:rPr>
          <w:sz w:val="20"/>
          <w:szCs w:val="20"/>
        </w:rPr>
        <w:t>1.5</w:t>
      </w:r>
      <w:r w:rsidR="00E31815" w:rsidRPr="00030A92">
        <w:rPr>
          <w:sz w:val="20"/>
          <w:szCs w:val="20"/>
        </w:rPr>
        <w:t>.4</w:t>
      </w:r>
      <w:r w:rsidRPr="00030A92">
        <w:rPr>
          <w:sz w:val="20"/>
          <w:szCs w:val="20"/>
        </w:rPr>
        <w:t>, consultation is also required in most cases where consideration is given to whether a proposed statutory rule or legislative instrument should be exempt from the RIS process.</w:t>
      </w:r>
    </w:p>
    <w:p w:rsidR="00605D8D" w:rsidRPr="00030A92" w:rsidRDefault="00605D8D" w:rsidP="00605D8D">
      <w:pPr>
        <w:pStyle w:val="Heading4NoNum"/>
        <w:rPr>
          <w:color w:val="auto"/>
        </w:rPr>
      </w:pPr>
      <w:r w:rsidRPr="00030A92">
        <w:rPr>
          <w:color w:val="auto"/>
        </w:rPr>
        <w:t>Consultation after RIS document is prepared</w:t>
      </w:r>
    </w:p>
    <w:p w:rsidR="00605D8D" w:rsidRPr="00030A92" w:rsidRDefault="00605D8D" w:rsidP="00605D8D">
      <w:pPr>
        <w:rPr>
          <w:sz w:val="20"/>
          <w:szCs w:val="20"/>
        </w:rPr>
      </w:pPr>
      <w:r w:rsidRPr="00030A92">
        <w:rPr>
          <w:sz w:val="20"/>
          <w:szCs w:val="20"/>
        </w:rPr>
        <w:t xml:space="preserve">Once the RIS document is prepared and independent advice from the </w:t>
      </w:r>
      <w:r w:rsidR="00C66CA0">
        <w:rPr>
          <w:sz w:val="20"/>
          <w:szCs w:val="20"/>
        </w:rPr>
        <w:t>Commissioner</w:t>
      </w:r>
      <w:r w:rsidRPr="00030A92">
        <w:rPr>
          <w:sz w:val="20"/>
          <w:szCs w:val="20"/>
        </w:rPr>
        <w:t xml:space="preserve"> has confirmed its adequacy (discussed in </w:t>
      </w:r>
      <w:r w:rsidR="00D13659" w:rsidRPr="00030A92">
        <w:rPr>
          <w:sz w:val="20"/>
          <w:szCs w:val="20"/>
        </w:rPr>
        <w:t>Section </w:t>
      </w:r>
      <w:r w:rsidR="00CE2C34" w:rsidRPr="00030A92">
        <w:rPr>
          <w:sz w:val="20"/>
          <w:szCs w:val="20"/>
        </w:rPr>
        <w:t>1.5</w:t>
      </w:r>
      <w:r w:rsidR="00E31815" w:rsidRPr="00030A92">
        <w:rPr>
          <w:sz w:val="20"/>
          <w:szCs w:val="20"/>
        </w:rPr>
        <w:t xml:space="preserve">.5 </w:t>
      </w:r>
      <w:r w:rsidRPr="00030A92">
        <w:rPr>
          <w:sz w:val="20"/>
          <w:szCs w:val="20"/>
        </w:rPr>
        <w:t>below), a notice must be placed in:</w:t>
      </w:r>
    </w:p>
    <w:p w:rsidR="00605D8D" w:rsidRPr="00030A92" w:rsidRDefault="00605D8D" w:rsidP="00605D8D">
      <w:pPr>
        <w:pStyle w:val="Bullet1"/>
        <w:rPr>
          <w:sz w:val="20"/>
          <w:szCs w:val="20"/>
        </w:rPr>
      </w:pPr>
      <w:r w:rsidRPr="00030A92">
        <w:rPr>
          <w:sz w:val="20"/>
          <w:szCs w:val="20"/>
        </w:rPr>
        <w:t>the Government Gazette;</w:t>
      </w:r>
    </w:p>
    <w:p w:rsidR="00605D8D" w:rsidRPr="00030A92" w:rsidRDefault="00605D8D" w:rsidP="00605D8D">
      <w:pPr>
        <w:pStyle w:val="Bullet1"/>
        <w:rPr>
          <w:sz w:val="20"/>
          <w:szCs w:val="20"/>
        </w:rPr>
      </w:pPr>
      <w:r w:rsidRPr="00030A92">
        <w:rPr>
          <w:sz w:val="20"/>
          <w:szCs w:val="20"/>
        </w:rPr>
        <w:t>a daily newspaper circulating generally throughout Victoria; and</w:t>
      </w:r>
    </w:p>
    <w:p w:rsidR="00605D8D" w:rsidRPr="00030A92" w:rsidRDefault="00605D8D" w:rsidP="00605D8D">
      <w:pPr>
        <w:pStyle w:val="Bullet1"/>
        <w:rPr>
          <w:sz w:val="20"/>
          <w:szCs w:val="20"/>
        </w:rPr>
      </w:pPr>
      <w:proofErr w:type="gramStart"/>
      <w:r w:rsidRPr="00030A92">
        <w:rPr>
          <w:sz w:val="20"/>
          <w:szCs w:val="20"/>
        </w:rPr>
        <w:t>in</w:t>
      </w:r>
      <w:proofErr w:type="gramEnd"/>
      <w:r w:rsidRPr="00030A92">
        <w:rPr>
          <w:sz w:val="20"/>
          <w:szCs w:val="20"/>
        </w:rPr>
        <w:t xml:space="preserve"> a relevant trade, professional or public interest publication if the responsible Minister considers it appropriate.</w:t>
      </w:r>
    </w:p>
    <w:p w:rsidR="00605D8D" w:rsidRPr="00030A92" w:rsidRDefault="00605D8D" w:rsidP="00605D8D">
      <w:pPr>
        <w:rPr>
          <w:sz w:val="20"/>
          <w:szCs w:val="20"/>
        </w:rPr>
      </w:pPr>
      <w:r w:rsidRPr="00030A92">
        <w:rPr>
          <w:sz w:val="20"/>
          <w:szCs w:val="20"/>
        </w:rPr>
        <w:t xml:space="preserve">As stipulated in </w:t>
      </w:r>
      <w:r w:rsidR="00D13659" w:rsidRPr="00030A92">
        <w:rPr>
          <w:sz w:val="20"/>
          <w:szCs w:val="20"/>
        </w:rPr>
        <w:t>section </w:t>
      </w:r>
      <w:r w:rsidRPr="00030A92">
        <w:rPr>
          <w:sz w:val="20"/>
          <w:szCs w:val="20"/>
        </w:rPr>
        <w:t xml:space="preserve">11(2) and </w:t>
      </w:r>
      <w:r w:rsidR="00D13659" w:rsidRPr="00030A92">
        <w:rPr>
          <w:sz w:val="20"/>
          <w:szCs w:val="20"/>
        </w:rPr>
        <w:t>section </w:t>
      </w:r>
      <w:r w:rsidRPr="00030A92">
        <w:rPr>
          <w:sz w:val="20"/>
          <w:szCs w:val="20"/>
        </w:rPr>
        <w:t>12I of the SLA, the notice must:</w:t>
      </w:r>
    </w:p>
    <w:p w:rsidR="00605D8D" w:rsidRPr="00030A92" w:rsidRDefault="00605D8D" w:rsidP="00605D8D">
      <w:pPr>
        <w:pStyle w:val="Bullet1"/>
        <w:rPr>
          <w:sz w:val="20"/>
          <w:szCs w:val="20"/>
        </w:rPr>
      </w:pPr>
      <w:r w:rsidRPr="00030A92">
        <w:rPr>
          <w:sz w:val="20"/>
          <w:szCs w:val="20"/>
        </w:rPr>
        <w:t>state the reason for, and the objectives of, the proposed statutory rule or legislative instrument;</w:t>
      </w:r>
    </w:p>
    <w:p w:rsidR="00605D8D" w:rsidRPr="00030A92" w:rsidRDefault="00605D8D" w:rsidP="00605D8D">
      <w:pPr>
        <w:pStyle w:val="Bullet1"/>
        <w:rPr>
          <w:sz w:val="20"/>
          <w:szCs w:val="20"/>
        </w:rPr>
      </w:pPr>
      <w:r w:rsidRPr="00030A92">
        <w:rPr>
          <w:sz w:val="20"/>
          <w:szCs w:val="20"/>
        </w:rPr>
        <w:t>summarise the results of the RIS;</w:t>
      </w:r>
    </w:p>
    <w:p w:rsidR="00605D8D" w:rsidRPr="00030A92" w:rsidRDefault="00605D8D" w:rsidP="00605D8D">
      <w:pPr>
        <w:pStyle w:val="Bullet1"/>
        <w:rPr>
          <w:sz w:val="20"/>
          <w:szCs w:val="20"/>
        </w:rPr>
      </w:pPr>
      <w:r w:rsidRPr="00030A92">
        <w:rPr>
          <w:sz w:val="20"/>
          <w:szCs w:val="20"/>
        </w:rPr>
        <w:t xml:space="preserve">specify the locations (including government website) where a copy of the RIS and the proposed statutory rule or legislative instrument can be obtained; and </w:t>
      </w:r>
    </w:p>
    <w:p w:rsidR="00605D8D" w:rsidRPr="00030A92" w:rsidRDefault="00605D8D" w:rsidP="00605D8D">
      <w:pPr>
        <w:pStyle w:val="Bullet1"/>
        <w:rPr>
          <w:sz w:val="20"/>
          <w:szCs w:val="20"/>
        </w:rPr>
      </w:pPr>
      <w:proofErr w:type="gramStart"/>
      <w:r w:rsidRPr="00030A92">
        <w:rPr>
          <w:sz w:val="20"/>
          <w:szCs w:val="20"/>
        </w:rPr>
        <w:t>invite</w:t>
      </w:r>
      <w:proofErr w:type="gramEnd"/>
      <w:r w:rsidRPr="00030A92">
        <w:rPr>
          <w:sz w:val="20"/>
          <w:szCs w:val="20"/>
        </w:rPr>
        <w:t xml:space="preserve"> public comments or submissions.</w:t>
      </w:r>
    </w:p>
    <w:p w:rsidR="00605D8D" w:rsidRPr="00030A92" w:rsidRDefault="00605D8D" w:rsidP="00605D8D">
      <w:pPr>
        <w:rPr>
          <w:sz w:val="20"/>
          <w:szCs w:val="20"/>
        </w:rPr>
      </w:pPr>
      <w:r w:rsidRPr="00030A92">
        <w:rPr>
          <w:sz w:val="20"/>
          <w:szCs w:val="20"/>
        </w:rPr>
        <w:t>It is good practice to send a copy of the RIS document, along with the accompanying assessment letter</w:t>
      </w:r>
      <w:r w:rsidR="00C66CA0">
        <w:rPr>
          <w:sz w:val="20"/>
          <w:szCs w:val="20"/>
        </w:rPr>
        <w:t xml:space="preserve"> from the Commissioner</w:t>
      </w:r>
      <w:r w:rsidRPr="00030A92">
        <w:rPr>
          <w:sz w:val="20"/>
          <w:szCs w:val="20"/>
        </w:rPr>
        <w:t xml:space="preserve">, to key stakeholder groups, or at least advise them directly of its availability. </w:t>
      </w:r>
    </w:p>
    <w:p w:rsidR="00605D8D" w:rsidRPr="00030A92" w:rsidRDefault="00605D8D" w:rsidP="00605D8D">
      <w:pPr>
        <w:rPr>
          <w:sz w:val="20"/>
          <w:szCs w:val="20"/>
        </w:rPr>
      </w:pPr>
      <w:r w:rsidRPr="00030A92">
        <w:rPr>
          <w:sz w:val="20"/>
          <w:szCs w:val="20"/>
        </w:rPr>
        <w:t>Under the Act, there is to be a minimum 28</w:t>
      </w:r>
      <w:r w:rsidRPr="00030A92">
        <w:rPr>
          <w:sz w:val="20"/>
          <w:szCs w:val="20"/>
        </w:rPr>
        <w:noBreakHyphen/>
        <w:t xml:space="preserve">day period from the publication of the notice about the availability of the RIS to the receipt of public comments and submissions. However, wherever feasible, a longer time period for public submissions is encouraged as part of the Victorian Government’s pursuit of a best practice regulatory regime. To this end, a consultation period of at least 60 days is recommended. </w:t>
      </w:r>
    </w:p>
    <w:p w:rsidR="00605D8D" w:rsidRPr="00030A92" w:rsidRDefault="00605D8D" w:rsidP="00605D8D">
      <w:pPr>
        <w:rPr>
          <w:sz w:val="20"/>
          <w:szCs w:val="20"/>
        </w:rPr>
      </w:pPr>
      <w:r w:rsidRPr="00030A92">
        <w:rPr>
          <w:sz w:val="20"/>
          <w:szCs w:val="20"/>
        </w:rPr>
        <w:t>To ensure a transparent process, good practice dictates that the RIS should make it clear that submissions are generally considered public documents, and are available to other stakeholders, either on request, or by being posted on the agency’s website.</w:t>
      </w:r>
    </w:p>
    <w:p w:rsidR="00605D8D" w:rsidRPr="00030A92" w:rsidRDefault="00605D8D" w:rsidP="00605D8D">
      <w:pPr>
        <w:pStyle w:val="Heading4NoNum"/>
        <w:rPr>
          <w:color w:val="auto"/>
        </w:rPr>
      </w:pPr>
      <w:r w:rsidRPr="00030A92">
        <w:rPr>
          <w:color w:val="auto"/>
        </w:rPr>
        <w:t>Consideration of public submissions</w:t>
      </w:r>
    </w:p>
    <w:p w:rsidR="00605D8D" w:rsidRPr="00030A92" w:rsidRDefault="00605D8D" w:rsidP="00605D8D">
      <w:pPr>
        <w:rPr>
          <w:sz w:val="20"/>
          <w:szCs w:val="20"/>
        </w:rPr>
      </w:pPr>
      <w:r w:rsidRPr="00030A92">
        <w:rPr>
          <w:sz w:val="20"/>
          <w:szCs w:val="20"/>
        </w:rPr>
        <w:t xml:space="preserve">Sections 11(3) and </w:t>
      </w:r>
      <w:proofErr w:type="gramStart"/>
      <w:r w:rsidRPr="00030A92">
        <w:rPr>
          <w:sz w:val="20"/>
          <w:szCs w:val="20"/>
        </w:rPr>
        <w:t>12I(</w:t>
      </w:r>
      <w:proofErr w:type="gramEnd"/>
      <w:r w:rsidRPr="00030A92">
        <w:rPr>
          <w:sz w:val="20"/>
          <w:szCs w:val="20"/>
        </w:rPr>
        <w:t xml:space="preserve">4) of the SLA require the responsible Minister to consider all submissions and comments received about a statutory rule or legislative instrument where a RIS has been prepared. </w:t>
      </w:r>
    </w:p>
    <w:p w:rsidR="00605D8D" w:rsidRPr="00030A92" w:rsidRDefault="00605D8D" w:rsidP="00605D8D">
      <w:pPr>
        <w:rPr>
          <w:sz w:val="20"/>
          <w:szCs w:val="20"/>
        </w:rPr>
      </w:pPr>
      <w:r w:rsidRPr="00030A92">
        <w:rPr>
          <w:sz w:val="20"/>
          <w:szCs w:val="20"/>
        </w:rPr>
        <w:t xml:space="preserve">Departments/agencies must provide reasons for the direction taken in final regulations that broadly address any general issues raised in submissions. This statement of reasons must be published on a government website (e.g. the </w:t>
      </w:r>
      <w:r w:rsidR="00C66CA0">
        <w:rPr>
          <w:sz w:val="20"/>
          <w:szCs w:val="20"/>
        </w:rPr>
        <w:t>Commissioner</w:t>
      </w:r>
      <w:r w:rsidRPr="00030A92">
        <w:rPr>
          <w:sz w:val="20"/>
          <w:szCs w:val="20"/>
        </w:rPr>
        <w:t>’s website or that of the responsible department/agency) and be made available in hard copy format. The effort of providing detailed explanations for proceeding in a particular direction (and rejecting particular suggestions) can result in the greater community acceptance of the final regulations.</w:t>
      </w:r>
    </w:p>
    <w:p w:rsidR="00605D8D" w:rsidRPr="00030A92" w:rsidRDefault="00605D8D" w:rsidP="00605D8D">
      <w:pPr>
        <w:rPr>
          <w:sz w:val="20"/>
          <w:szCs w:val="20"/>
        </w:rPr>
      </w:pPr>
      <w:r w:rsidRPr="00030A92">
        <w:rPr>
          <w:sz w:val="20"/>
          <w:szCs w:val="20"/>
        </w:rPr>
        <w:t>In addition, the Scrutiny of Acts and Regulations Committee (SARC) of Parliament has indicated that it expects departments and agencies to send responses ‘to those who have taken the time and effort to send in a submission’.</w:t>
      </w:r>
      <w:r w:rsidRPr="00030A92">
        <w:rPr>
          <w:rStyle w:val="FootnoteReference"/>
          <w:sz w:val="20"/>
          <w:szCs w:val="20"/>
        </w:rPr>
        <w:footnoteReference w:id="15"/>
      </w:r>
      <w:r w:rsidRPr="00030A92">
        <w:rPr>
          <w:sz w:val="20"/>
          <w:szCs w:val="20"/>
        </w:rPr>
        <w:t xml:space="preserve"> This response should provide a clear demonstration that matters raised in submissions have been considered. Where there are a large number of submissions, a general letter with an attachment covering the various issues raised, and documenting how each issue has been addressed, can be used. Such a considered response contributes to the transparency of the regulatory process. </w:t>
      </w:r>
    </w:p>
    <w:p w:rsidR="00605D8D" w:rsidRPr="00030A92" w:rsidRDefault="00605D8D" w:rsidP="00605D8D">
      <w:pPr>
        <w:rPr>
          <w:sz w:val="20"/>
          <w:szCs w:val="20"/>
        </w:rPr>
      </w:pPr>
      <w:r w:rsidRPr="00030A92">
        <w:rPr>
          <w:sz w:val="20"/>
          <w:szCs w:val="20"/>
        </w:rPr>
        <w:t xml:space="preserve">The failure of a department or agency to adequately address any valid criticisms or suggestions made may be highlighted by the SARC which, under sections </w:t>
      </w:r>
      <w:proofErr w:type="gramStart"/>
      <w:r w:rsidRPr="00030A92">
        <w:rPr>
          <w:sz w:val="20"/>
          <w:szCs w:val="20"/>
        </w:rPr>
        <w:t>15A(</w:t>
      </w:r>
      <w:proofErr w:type="gramEnd"/>
      <w:r w:rsidRPr="00030A92">
        <w:rPr>
          <w:sz w:val="20"/>
          <w:szCs w:val="20"/>
        </w:rPr>
        <w:t xml:space="preserve">1)(c) and 16C(1)(d) of the Act, must be provided with a copy of all comments and submissions received in relation of the RIS. It is also good practice to forward copies of the public comments and submissions to the </w:t>
      </w:r>
      <w:r w:rsidR="00C66CA0">
        <w:rPr>
          <w:sz w:val="20"/>
          <w:szCs w:val="20"/>
        </w:rPr>
        <w:t>Commissioner</w:t>
      </w:r>
      <w:r w:rsidRPr="00030A92">
        <w:rPr>
          <w:sz w:val="20"/>
          <w:szCs w:val="20"/>
        </w:rPr>
        <w:t xml:space="preserve">. </w:t>
      </w:r>
    </w:p>
    <w:p w:rsidR="00605D8D" w:rsidRPr="00030A92" w:rsidRDefault="00605D8D" w:rsidP="00605D8D">
      <w:pPr>
        <w:rPr>
          <w:sz w:val="20"/>
          <w:szCs w:val="20"/>
        </w:rPr>
      </w:pPr>
      <w:r w:rsidRPr="00030A92">
        <w:rPr>
          <w:sz w:val="20"/>
          <w:szCs w:val="20"/>
        </w:rPr>
        <w:t>After consideration of the public comments and submissions, a notice advising of the decision to make or not make the proposed statutory rule or legislative instrument must be published in:</w:t>
      </w:r>
    </w:p>
    <w:p w:rsidR="00605D8D" w:rsidRPr="00030A92" w:rsidRDefault="00605D8D" w:rsidP="00605D8D">
      <w:pPr>
        <w:pStyle w:val="Bullet1"/>
        <w:rPr>
          <w:sz w:val="20"/>
          <w:szCs w:val="20"/>
        </w:rPr>
      </w:pPr>
      <w:r w:rsidRPr="00030A92">
        <w:rPr>
          <w:sz w:val="20"/>
          <w:szCs w:val="20"/>
        </w:rPr>
        <w:t>the Government Gazette; and</w:t>
      </w:r>
    </w:p>
    <w:p w:rsidR="00605D8D" w:rsidRPr="00030A92" w:rsidRDefault="00605D8D" w:rsidP="00605D8D">
      <w:pPr>
        <w:pStyle w:val="Bullet1"/>
        <w:rPr>
          <w:sz w:val="20"/>
          <w:szCs w:val="20"/>
        </w:rPr>
      </w:pPr>
      <w:proofErr w:type="gramStart"/>
      <w:r w:rsidRPr="00030A92">
        <w:rPr>
          <w:sz w:val="20"/>
          <w:szCs w:val="20"/>
        </w:rPr>
        <w:t>a</w:t>
      </w:r>
      <w:proofErr w:type="gramEnd"/>
      <w:r w:rsidRPr="00030A92">
        <w:rPr>
          <w:sz w:val="20"/>
          <w:szCs w:val="20"/>
        </w:rPr>
        <w:t xml:space="preserve"> daily newspaper circulating generally throughout Victoria.</w:t>
      </w:r>
    </w:p>
    <w:p w:rsidR="00584FDB" w:rsidRPr="00030A92" w:rsidRDefault="00605D8D" w:rsidP="00A516C8">
      <w:pPr>
        <w:rPr>
          <w:sz w:val="20"/>
          <w:szCs w:val="20"/>
        </w:rPr>
      </w:pPr>
      <w:r w:rsidRPr="00030A92">
        <w:rPr>
          <w:sz w:val="20"/>
          <w:szCs w:val="20"/>
        </w:rPr>
        <w:t xml:space="preserve">This notice must be forwarded to the SARC, along with the other documentation listed in </w:t>
      </w:r>
      <w:r w:rsidR="00E31815" w:rsidRPr="00030A92">
        <w:rPr>
          <w:sz w:val="20"/>
          <w:szCs w:val="20"/>
        </w:rPr>
        <w:t>Attachment 1</w:t>
      </w:r>
      <w:r w:rsidR="00A516C8">
        <w:rPr>
          <w:sz w:val="20"/>
          <w:szCs w:val="20"/>
        </w:rPr>
        <w:t>.</w:t>
      </w:r>
    </w:p>
    <w:p w:rsidR="00605D8D" w:rsidRPr="00030A92" w:rsidRDefault="00605D8D" w:rsidP="00605D8D">
      <w:pPr>
        <w:rPr>
          <w:sz w:val="20"/>
          <w:szCs w:val="20"/>
        </w:rPr>
      </w:pPr>
      <w:r w:rsidRPr="00030A92">
        <w:rPr>
          <w:sz w:val="20"/>
          <w:szCs w:val="20"/>
        </w:rPr>
        <w:t>In addition, a statement is to be prepared explaining how the general issues raised in the public comments/submissions have been addressed. This statement is to be provided to the SARC and be published on the same government website used to consult on the RIS and be available in hard copy format on request. It is up to the discretion of departments/agencies about how to provide responses to authors of individual submissions.</w:t>
      </w:r>
    </w:p>
    <w:p w:rsidR="00605D8D" w:rsidRPr="00030A92" w:rsidRDefault="00605D8D" w:rsidP="00605D8D">
      <w:pPr>
        <w:pStyle w:val="Heading4NoNum"/>
        <w:rPr>
          <w:color w:val="auto"/>
        </w:rPr>
      </w:pPr>
      <w:r w:rsidRPr="00030A92">
        <w:rPr>
          <w:color w:val="auto"/>
        </w:rPr>
        <w:t>Benefits of consultation</w:t>
      </w:r>
    </w:p>
    <w:p w:rsidR="00605D8D" w:rsidRPr="00030A92" w:rsidRDefault="00605D8D" w:rsidP="00605D8D">
      <w:pPr>
        <w:rPr>
          <w:sz w:val="20"/>
          <w:szCs w:val="20"/>
        </w:rPr>
      </w:pPr>
      <w:r w:rsidRPr="00030A92">
        <w:rPr>
          <w:sz w:val="20"/>
          <w:szCs w:val="20"/>
        </w:rPr>
        <w:t>An important role of consultation in the RIS process – particularly with business and community groups – is to gain information to assist the examination of the costs and benefits of the proposed statutory rule or legislative instrument and other options being considered, as well as to identify other methods of achieving the stated objective. For example, the people involved in a particular industry build up a wealth of knowledge about its historical development, current operation and future direction, and the interrelationships with other industries and economic activities. They can greatly assist in the identification of innovative techniques for dealing with the particular concerns about the industry.</w:t>
      </w:r>
    </w:p>
    <w:p w:rsidR="00605D8D" w:rsidRPr="00030A92" w:rsidRDefault="00605D8D" w:rsidP="00605D8D">
      <w:pPr>
        <w:rPr>
          <w:sz w:val="20"/>
          <w:szCs w:val="20"/>
        </w:rPr>
      </w:pPr>
      <w:r w:rsidRPr="00030A92">
        <w:rPr>
          <w:sz w:val="20"/>
          <w:szCs w:val="20"/>
        </w:rPr>
        <w:t>Business has extensive knowledge about the costs of regulatory proposals. For example, a firm may be able to estimate the impact of a new statutory rule or legislative instrument on the costs of its operations. Information of this kind greatly assists in evaluating other viable options.</w:t>
      </w:r>
    </w:p>
    <w:p w:rsidR="00605D8D" w:rsidRPr="00030A92" w:rsidRDefault="00605D8D" w:rsidP="00605D8D">
      <w:pPr>
        <w:rPr>
          <w:sz w:val="20"/>
          <w:szCs w:val="20"/>
        </w:rPr>
      </w:pPr>
      <w:r w:rsidRPr="00030A92">
        <w:rPr>
          <w:sz w:val="20"/>
          <w:szCs w:val="20"/>
        </w:rPr>
        <w:t xml:space="preserve">Through consultation, the RIS process gives business and the wider community an opportunity to communicate to government any concerns it may have about regulations affecting its activities. It provides a mechanism to draw on information and comment from the widest possible sources, thereby exposing any subjectivity or faulty reasoning in the regulatory proposal, and ensuring that competing interests are recognised and considered. </w:t>
      </w:r>
    </w:p>
    <w:p w:rsidR="00605D8D" w:rsidRPr="00030A92" w:rsidRDefault="00605D8D" w:rsidP="00605D8D">
      <w:pPr>
        <w:rPr>
          <w:sz w:val="20"/>
          <w:szCs w:val="20"/>
        </w:rPr>
      </w:pPr>
      <w:r w:rsidRPr="00030A92">
        <w:rPr>
          <w:sz w:val="20"/>
          <w:szCs w:val="20"/>
        </w:rPr>
        <w:t>As such, it is important that processes for consultation are designed so they are widely accessible to all sections of the community (including, for example, people with disabilities and those from culturally diverse backgrounds).</w:t>
      </w:r>
    </w:p>
    <w:p w:rsidR="00605D8D" w:rsidRPr="00B40862" w:rsidRDefault="00605D8D" w:rsidP="00605D8D">
      <w:pPr>
        <w:pStyle w:val="Heading3"/>
        <w:rPr>
          <w:b w:val="0"/>
          <w:bCs/>
          <w:color w:val="004EA8"/>
        </w:rPr>
      </w:pPr>
      <w:r w:rsidRPr="00B40862">
        <w:rPr>
          <w:b w:val="0"/>
          <w:color w:val="004EA8"/>
        </w:rPr>
        <w:t>Assessing the adequacy of the RIS</w:t>
      </w:r>
    </w:p>
    <w:p w:rsidR="00605D8D" w:rsidRPr="00030A92" w:rsidRDefault="00605D8D" w:rsidP="00605D8D">
      <w:pPr>
        <w:rPr>
          <w:sz w:val="20"/>
          <w:szCs w:val="20"/>
        </w:rPr>
      </w:pPr>
      <w:r w:rsidRPr="00030A92">
        <w:rPr>
          <w:sz w:val="20"/>
          <w:szCs w:val="20"/>
        </w:rPr>
        <w:t>The Act requires three levels of checks on the adequacy of a RIS. These are:</w:t>
      </w:r>
    </w:p>
    <w:p w:rsidR="00605D8D" w:rsidRPr="00030A92" w:rsidRDefault="00605D8D" w:rsidP="00605D8D">
      <w:pPr>
        <w:pStyle w:val="Bullet1"/>
        <w:rPr>
          <w:sz w:val="20"/>
          <w:szCs w:val="20"/>
        </w:rPr>
      </w:pPr>
      <w:r w:rsidRPr="00030A92">
        <w:rPr>
          <w:sz w:val="20"/>
          <w:szCs w:val="20"/>
        </w:rPr>
        <w:t>an independent assessment must be sought;</w:t>
      </w:r>
    </w:p>
    <w:p w:rsidR="00605D8D" w:rsidRPr="00030A92" w:rsidRDefault="00605D8D" w:rsidP="00605D8D">
      <w:pPr>
        <w:pStyle w:val="Bullet1"/>
        <w:rPr>
          <w:sz w:val="20"/>
          <w:szCs w:val="20"/>
        </w:rPr>
      </w:pPr>
      <w:r w:rsidRPr="00030A92">
        <w:rPr>
          <w:sz w:val="20"/>
          <w:szCs w:val="20"/>
        </w:rPr>
        <w:t>on the basis of the above assessment, and any other relevant advice, the responsible Minister must certify the adequacy of the RIS; and</w:t>
      </w:r>
    </w:p>
    <w:p w:rsidR="00605D8D" w:rsidRPr="00030A92" w:rsidRDefault="00605D8D" w:rsidP="00605D8D">
      <w:pPr>
        <w:pStyle w:val="Bullet1"/>
        <w:rPr>
          <w:sz w:val="20"/>
          <w:szCs w:val="20"/>
        </w:rPr>
      </w:pPr>
      <w:proofErr w:type="gramStart"/>
      <w:r w:rsidRPr="00030A92">
        <w:rPr>
          <w:sz w:val="20"/>
          <w:szCs w:val="20"/>
        </w:rPr>
        <w:t>after</w:t>
      </w:r>
      <w:proofErr w:type="gramEnd"/>
      <w:r w:rsidRPr="00030A92">
        <w:rPr>
          <w:sz w:val="20"/>
          <w:szCs w:val="20"/>
        </w:rPr>
        <w:t xml:space="preserve"> the regulations are made, the SARC reviews the regulations and the adequacy of the RIS.</w:t>
      </w:r>
    </w:p>
    <w:p w:rsidR="00605D8D" w:rsidRPr="00030A92" w:rsidRDefault="00605D8D" w:rsidP="00605D8D">
      <w:pPr>
        <w:rPr>
          <w:sz w:val="20"/>
          <w:szCs w:val="20"/>
        </w:rPr>
      </w:pPr>
      <w:r w:rsidRPr="00030A92">
        <w:rPr>
          <w:sz w:val="20"/>
          <w:szCs w:val="20"/>
        </w:rPr>
        <w:t>These are discussed in more detail below.</w:t>
      </w:r>
    </w:p>
    <w:p w:rsidR="00605D8D" w:rsidRPr="00030A92" w:rsidRDefault="00605D8D" w:rsidP="00605D8D">
      <w:pPr>
        <w:pStyle w:val="Heading4NoNum"/>
        <w:rPr>
          <w:color w:val="auto"/>
        </w:rPr>
      </w:pPr>
      <w:r w:rsidRPr="00030A92">
        <w:rPr>
          <w:color w:val="auto"/>
        </w:rPr>
        <w:t>Independent assessment</w:t>
      </w:r>
    </w:p>
    <w:p w:rsidR="00584FDB" w:rsidRPr="00030A92" w:rsidRDefault="00D13659" w:rsidP="00A516C8">
      <w:pPr>
        <w:rPr>
          <w:sz w:val="20"/>
          <w:szCs w:val="20"/>
        </w:rPr>
      </w:pPr>
      <w:r w:rsidRPr="00030A92">
        <w:rPr>
          <w:sz w:val="20"/>
          <w:szCs w:val="20"/>
        </w:rPr>
        <w:t>Section </w:t>
      </w:r>
      <w:r w:rsidR="00605D8D" w:rsidRPr="00030A92">
        <w:rPr>
          <w:sz w:val="20"/>
          <w:szCs w:val="20"/>
        </w:rPr>
        <w:t xml:space="preserve">10(3) and </w:t>
      </w:r>
      <w:r w:rsidRPr="00030A92">
        <w:rPr>
          <w:sz w:val="20"/>
          <w:szCs w:val="20"/>
        </w:rPr>
        <w:t>section </w:t>
      </w:r>
      <w:r w:rsidR="00605D8D" w:rsidRPr="00030A92">
        <w:rPr>
          <w:sz w:val="20"/>
          <w:szCs w:val="20"/>
        </w:rPr>
        <w:t xml:space="preserve">12H(3) of the Act stipulate that the responsible Minister must seek independent advice to confirm that the RIS adequately meets the requirements of the legislation (i.e. it states the objectives of the regulation; explains its effects; identifies other measures; assesses costs and benefits; and discusses why other options are not appropriate). The guidelines issued under </w:t>
      </w:r>
      <w:r w:rsidRPr="00030A92">
        <w:rPr>
          <w:sz w:val="20"/>
          <w:szCs w:val="20"/>
        </w:rPr>
        <w:t>section </w:t>
      </w:r>
      <w:r w:rsidR="00605D8D" w:rsidRPr="00030A92">
        <w:rPr>
          <w:sz w:val="20"/>
          <w:szCs w:val="20"/>
        </w:rPr>
        <w:t xml:space="preserve">26 of the SLA state that the </w:t>
      </w:r>
      <w:r w:rsidR="00C66CA0">
        <w:rPr>
          <w:sz w:val="20"/>
          <w:szCs w:val="20"/>
        </w:rPr>
        <w:t>Commissioner</w:t>
      </w:r>
      <w:r w:rsidR="00605D8D" w:rsidRPr="00030A92">
        <w:rPr>
          <w:sz w:val="20"/>
          <w:szCs w:val="20"/>
        </w:rPr>
        <w:t xml:space="preserve"> undertakes the independent assessment of all RISs. </w:t>
      </w:r>
    </w:p>
    <w:p w:rsidR="00605D8D" w:rsidRPr="00030A92" w:rsidRDefault="00605D8D" w:rsidP="00A516C8">
      <w:pPr>
        <w:spacing w:before="120"/>
        <w:rPr>
          <w:sz w:val="20"/>
          <w:szCs w:val="20"/>
        </w:rPr>
      </w:pPr>
      <w:r w:rsidRPr="00030A92">
        <w:rPr>
          <w:sz w:val="20"/>
          <w:szCs w:val="20"/>
        </w:rPr>
        <w:t xml:space="preserve">The RIS must not be released for public comment until the responsible Minister has received independent advice from the </w:t>
      </w:r>
      <w:r w:rsidR="00C66CA0">
        <w:rPr>
          <w:sz w:val="20"/>
          <w:szCs w:val="20"/>
        </w:rPr>
        <w:t>Commissioner</w:t>
      </w:r>
      <w:r w:rsidRPr="00030A92">
        <w:rPr>
          <w:sz w:val="20"/>
          <w:szCs w:val="20"/>
        </w:rPr>
        <w:t xml:space="preserve"> regarding the adequacy with which the RIS addresses the matters required to be included in the RIS under the legislation. If the advice of the </w:t>
      </w:r>
      <w:r w:rsidR="00C66CA0">
        <w:rPr>
          <w:sz w:val="20"/>
          <w:szCs w:val="20"/>
        </w:rPr>
        <w:t>Commissioner</w:t>
      </w:r>
      <w:r w:rsidR="00C66CA0" w:rsidRPr="00030A92">
        <w:rPr>
          <w:sz w:val="20"/>
          <w:szCs w:val="20"/>
        </w:rPr>
        <w:t xml:space="preserve"> </w:t>
      </w:r>
      <w:r w:rsidRPr="00030A92">
        <w:rPr>
          <w:sz w:val="20"/>
          <w:szCs w:val="20"/>
        </w:rPr>
        <w:t xml:space="preserve">is that it considers the RIS to be inadequate, further work may be undertaken on the RIS by the appropriate department or agency, or the Minister may determine it is appropriate to release the RIS for public consultation, in which case the </w:t>
      </w:r>
      <w:r w:rsidR="00C66CA0">
        <w:rPr>
          <w:sz w:val="20"/>
          <w:szCs w:val="20"/>
        </w:rPr>
        <w:t>Commissioner’s</w:t>
      </w:r>
      <w:r w:rsidR="00C66CA0" w:rsidRPr="00030A92">
        <w:rPr>
          <w:sz w:val="20"/>
          <w:szCs w:val="20"/>
        </w:rPr>
        <w:t xml:space="preserve"> </w:t>
      </w:r>
      <w:r w:rsidRPr="00030A92">
        <w:rPr>
          <w:sz w:val="20"/>
          <w:szCs w:val="20"/>
        </w:rPr>
        <w:t>assessment must be attached to the RIS.</w:t>
      </w:r>
    </w:p>
    <w:p w:rsidR="00605D8D" w:rsidRPr="00030A92" w:rsidRDefault="00605D8D" w:rsidP="00605D8D">
      <w:pPr>
        <w:rPr>
          <w:sz w:val="20"/>
          <w:szCs w:val="20"/>
        </w:rPr>
      </w:pPr>
      <w:r w:rsidRPr="00030A92">
        <w:rPr>
          <w:sz w:val="20"/>
          <w:szCs w:val="20"/>
        </w:rPr>
        <w:t xml:space="preserve">The normal process is for each RIS to be subject to approximately 3-4 iterations with </w:t>
      </w:r>
      <w:r w:rsidR="00B41D1D">
        <w:rPr>
          <w:sz w:val="20"/>
          <w:szCs w:val="20"/>
        </w:rPr>
        <w:t xml:space="preserve">the </w:t>
      </w:r>
      <w:r w:rsidR="00C66CA0">
        <w:rPr>
          <w:sz w:val="20"/>
          <w:szCs w:val="20"/>
        </w:rPr>
        <w:t>Commissioner</w:t>
      </w:r>
      <w:r w:rsidR="00B41D1D">
        <w:rPr>
          <w:sz w:val="20"/>
          <w:szCs w:val="20"/>
        </w:rPr>
        <w:t xml:space="preserve">’s </w:t>
      </w:r>
      <w:r w:rsidRPr="00030A92">
        <w:rPr>
          <w:sz w:val="20"/>
          <w:szCs w:val="20"/>
        </w:rPr>
        <w:t xml:space="preserve">advice to be provided within 10 working days for the first iteration. When the last iteration </w:t>
      </w:r>
      <w:r w:rsidR="00FC6390" w:rsidRPr="00030A92">
        <w:rPr>
          <w:sz w:val="20"/>
          <w:szCs w:val="20"/>
        </w:rPr>
        <w:t>that addresses</w:t>
      </w:r>
      <w:r w:rsidRPr="00030A92">
        <w:rPr>
          <w:sz w:val="20"/>
          <w:szCs w:val="20"/>
        </w:rPr>
        <w:t xml:space="preserve"> outstanding issues is received, it will be 2-3 days or less between receipt of the final draft </w:t>
      </w:r>
      <w:r w:rsidRPr="00030A92">
        <w:rPr>
          <w:sz w:val="20"/>
          <w:szCs w:val="20"/>
          <w:vertAlign w:val="superscript"/>
        </w:rPr>
        <w:footnoteReference w:id="16"/>
      </w:r>
      <w:r w:rsidRPr="00030A92">
        <w:rPr>
          <w:sz w:val="20"/>
          <w:szCs w:val="20"/>
        </w:rPr>
        <w:t xml:space="preserve"> and the </w:t>
      </w:r>
      <w:r w:rsidR="00C66CA0">
        <w:rPr>
          <w:sz w:val="20"/>
          <w:szCs w:val="20"/>
        </w:rPr>
        <w:t>Commissioner</w:t>
      </w:r>
      <w:r w:rsidRPr="00030A92">
        <w:rPr>
          <w:sz w:val="20"/>
          <w:szCs w:val="20"/>
        </w:rPr>
        <w:t>’s final letter</w:t>
      </w:r>
      <w:r w:rsidRPr="00030A92">
        <w:rPr>
          <w:sz w:val="20"/>
          <w:szCs w:val="20"/>
          <w:lang w:eastAsia="en-US"/>
        </w:rPr>
        <w:t>.</w:t>
      </w:r>
      <w:r w:rsidRPr="00030A92">
        <w:rPr>
          <w:sz w:val="20"/>
          <w:szCs w:val="20"/>
        </w:rPr>
        <w:t xml:space="preserve"> </w:t>
      </w:r>
    </w:p>
    <w:p w:rsidR="00605D8D" w:rsidRPr="00030A92" w:rsidRDefault="00605D8D" w:rsidP="00605D8D">
      <w:pPr>
        <w:rPr>
          <w:sz w:val="20"/>
          <w:szCs w:val="20"/>
        </w:rPr>
      </w:pPr>
      <w:r w:rsidRPr="00030A92">
        <w:rPr>
          <w:sz w:val="20"/>
          <w:szCs w:val="20"/>
        </w:rPr>
        <w:t xml:space="preserve">The </w:t>
      </w:r>
      <w:r w:rsidR="00C66CA0">
        <w:rPr>
          <w:sz w:val="20"/>
          <w:szCs w:val="20"/>
        </w:rPr>
        <w:t>Commissioner</w:t>
      </w:r>
      <w:r w:rsidRPr="00030A92">
        <w:rPr>
          <w:sz w:val="20"/>
          <w:szCs w:val="20"/>
        </w:rPr>
        <w:t xml:space="preserve"> encourages departments and agencies to </w:t>
      </w:r>
      <w:r w:rsidR="00C66CA0">
        <w:rPr>
          <w:sz w:val="20"/>
          <w:szCs w:val="20"/>
        </w:rPr>
        <w:t xml:space="preserve">make </w:t>
      </w:r>
      <w:proofErr w:type="gramStart"/>
      <w:r w:rsidRPr="00030A92">
        <w:rPr>
          <w:sz w:val="20"/>
          <w:szCs w:val="20"/>
        </w:rPr>
        <w:t>contact  early</w:t>
      </w:r>
      <w:proofErr w:type="gramEnd"/>
      <w:r w:rsidRPr="00030A92">
        <w:rPr>
          <w:sz w:val="20"/>
          <w:szCs w:val="20"/>
        </w:rPr>
        <w:t xml:space="preserve"> in the RIS process so that its assessment can be planned and necessary guidance can be provided in a timely fashion. Independent regulators preparing regulation and RISs must ensure that their Minister’s department is briefed on the proposal. The </w:t>
      </w:r>
      <w:r w:rsidR="00B41D1D">
        <w:rPr>
          <w:sz w:val="20"/>
          <w:szCs w:val="20"/>
        </w:rPr>
        <w:t>Commis</w:t>
      </w:r>
      <w:r w:rsidR="00C66CA0">
        <w:rPr>
          <w:sz w:val="20"/>
          <w:szCs w:val="20"/>
        </w:rPr>
        <w:t>s</w:t>
      </w:r>
      <w:r w:rsidR="00B41D1D">
        <w:rPr>
          <w:sz w:val="20"/>
          <w:szCs w:val="20"/>
        </w:rPr>
        <w:t>i</w:t>
      </w:r>
      <w:r w:rsidR="00C66CA0">
        <w:rPr>
          <w:sz w:val="20"/>
          <w:szCs w:val="20"/>
        </w:rPr>
        <w:t>oner</w:t>
      </w:r>
      <w:r w:rsidRPr="00030A92">
        <w:rPr>
          <w:sz w:val="20"/>
          <w:szCs w:val="20"/>
        </w:rPr>
        <w:t xml:space="preserve"> will often seek the department’s assistance on issues arising from its examination of the RIS, particularly in terms of the interaction of the proposed regulatory measure with other regulation and policy initiatives. </w:t>
      </w:r>
    </w:p>
    <w:p w:rsidR="00605D8D" w:rsidRPr="00030A92" w:rsidRDefault="00605D8D" w:rsidP="00605D8D">
      <w:pPr>
        <w:rPr>
          <w:sz w:val="20"/>
          <w:szCs w:val="20"/>
        </w:rPr>
      </w:pPr>
      <w:r w:rsidRPr="00030A92">
        <w:rPr>
          <w:sz w:val="20"/>
          <w:szCs w:val="20"/>
        </w:rPr>
        <w:t xml:space="preserve">Validation of the RIS document by the </w:t>
      </w:r>
      <w:r w:rsidR="00C66CA0">
        <w:rPr>
          <w:sz w:val="20"/>
          <w:szCs w:val="20"/>
        </w:rPr>
        <w:t>Commissioner</w:t>
      </w:r>
      <w:r w:rsidRPr="00030A92">
        <w:rPr>
          <w:sz w:val="20"/>
          <w:szCs w:val="20"/>
        </w:rPr>
        <w:t xml:space="preserve"> should not be taken to mean that the assessment of costs and benefits contained in the RIS is necessarily comprehensive and/or accurate. Rather, the </w:t>
      </w:r>
      <w:r w:rsidR="00C66CA0">
        <w:rPr>
          <w:sz w:val="20"/>
          <w:szCs w:val="20"/>
        </w:rPr>
        <w:t>Commissioner</w:t>
      </w:r>
      <w:r w:rsidR="00C66CA0" w:rsidRPr="00030A92">
        <w:rPr>
          <w:sz w:val="20"/>
          <w:szCs w:val="20"/>
        </w:rPr>
        <w:t xml:space="preserve"> </w:t>
      </w:r>
      <w:r w:rsidRPr="00030A92">
        <w:rPr>
          <w:sz w:val="20"/>
          <w:szCs w:val="20"/>
        </w:rPr>
        <w:t xml:space="preserve">assesses the analysis of the costs and benefits presented in the RIS as being adequate for consultation (i.e. the data appear appropriate and the assumptions explicit and reasonable), thereby representing the Government’s best estimate at that time. Other issues relevant to the </w:t>
      </w:r>
      <w:r w:rsidR="00C66CA0">
        <w:rPr>
          <w:sz w:val="20"/>
          <w:szCs w:val="20"/>
        </w:rPr>
        <w:t>Commissioner</w:t>
      </w:r>
      <w:r w:rsidRPr="00030A92">
        <w:rPr>
          <w:sz w:val="20"/>
          <w:szCs w:val="20"/>
        </w:rPr>
        <w:t>’s assessment of cost</w:t>
      </w:r>
      <w:r w:rsidRPr="00030A92">
        <w:rPr>
          <w:sz w:val="20"/>
          <w:szCs w:val="20"/>
        </w:rPr>
        <w:noBreakHyphen/>
        <w:t>benefit analyses are outlined below.</w:t>
      </w:r>
    </w:p>
    <w:p w:rsidR="00605D8D" w:rsidRPr="00030A92" w:rsidRDefault="00605D8D" w:rsidP="00605D8D">
      <w:pPr>
        <w:pStyle w:val="Heading4NoNum"/>
        <w:rPr>
          <w:color w:val="auto"/>
        </w:rPr>
      </w:pPr>
      <w:r w:rsidRPr="00030A92">
        <w:rPr>
          <w:color w:val="auto"/>
        </w:rPr>
        <w:t xml:space="preserve">Assessment of moral judgements and technical specifications by the </w:t>
      </w:r>
      <w:r w:rsidR="00C66CA0">
        <w:rPr>
          <w:color w:val="auto"/>
        </w:rPr>
        <w:t>Commissioner</w:t>
      </w:r>
    </w:p>
    <w:p w:rsidR="00605D8D" w:rsidRPr="00030A92" w:rsidRDefault="00605D8D" w:rsidP="00605D8D">
      <w:pPr>
        <w:rPr>
          <w:sz w:val="20"/>
          <w:szCs w:val="20"/>
        </w:rPr>
      </w:pPr>
      <w:r w:rsidRPr="00030A92">
        <w:rPr>
          <w:sz w:val="20"/>
          <w:szCs w:val="20"/>
        </w:rPr>
        <w:t>Cost</w:t>
      </w:r>
      <w:r w:rsidRPr="00030A92">
        <w:rPr>
          <w:sz w:val="20"/>
          <w:szCs w:val="20"/>
        </w:rPr>
        <w:noBreakHyphen/>
        <w:t>benefit analysis of social regulation may require moral judgements to be made – for example, where the benefits of the regulation include the benefits to the community of prohibiting activities that society considers offensive or inappropriate. In its assessment of such cost</w:t>
      </w:r>
      <w:r w:rsidRPr="00030A92">
        <w:rPr>
          <w:sz w:val="20"/>
          <w:szCs w:val="20"/>
        </w:rPr>
        <w:noBreakHyphen/>
        <w:t xml:space="preserve">benefit analyses, it is not the role of </w:t>
      </w:r>
      <w:r w:rsidR="00C66CA0">
        <w:rPr>
          <w:sz w:val="20"/>
          <w:szCs w:val="20"/>
        </w:rPr>
        <w:t>Commissioner</w:t>
      </w:r>
      <w:r w:rsidRPr="00030A92">
        <w:rPr>
          <w:sz w:val="20"/>
          <w:szCs w:val="20"/>
        </w:rPr>
        <w:t xml:space="preserve"> to evaluate the validity of the moral/social judgements, or the weights given to the views of various groups in the community; such judgements are the responsibility of government. Rather, the </w:t>
      </w:r>
      <w:r w:rsidR="00C66CA0">
        <w:rPr>
          <w:sz w:val="20"/>
          <w:szCs w:val="20"/>
        </w:rPr>
        <w:t>Commissioner</w:t>
      </w:r>
      <w:r w:rsidRPr="00030A92">
        <w:rPr>
          <w:sz w:val="20"/>
          <w:szCs w:val="20"/>
        </w:rPr>
        <w:t>’s concern is to ensure that the RIS:</w:t>
      </w:r>
    </w:p>
    <w:p w:rsidR="00605D8D" w:rsidRPr="00030A92" w:rsidRDefault="00605D8D" w:rsidP="00605D8D">
      <w:pPr>
        <w:pStyle w:val="Bullet1"/>
        <w:rPr>
          <w:sz w:val="20"/>
          <w:szCs w:val="20"/>
        </w:rPr>
      </w:pPr>
      <w:r w:rsidRPr="00030A92">
        <w:rPr>
          <w:sz w:val="20"/>
          <w:szCs w:val="20"/>
        </w:rPr>
        <w:t xml:space="preserve">transparently provides information on the basis on which those judgements have been made; </w:t>
      </w:r>
    </w:p>
    <w:p w:rsidR="00605D8D" w:rsidRPr="00030A92" w:rsidRDefault="00605D8D" w:rsidP="00605D8D">
      <w:pPr>
        <w:pStyle w:val="Bullet1"/>
        <w:rPr>
          <w:sz w:val="20"/>
          <w:szCs w:val="20"/>
        </w:rPr>
      </w:pPr>
      <w:r w:rsidRPr="00030A92">
        <w:rPr>
          <w:sz w:val="20"/>
          <w:szCs w:val="20"/>
        </w:rPr>
        <w:t xml:space="preserve">gathers information and evidence to support those judgements, where possible; and </w:t>
      </w:r>
    </w:p>
    <w:p w:rsidR="00584FDB" w:rsidRPr="00A516C8" w:rsidRDefault="00605D8D" w:rsidP="00A516C8">
      <w:pPr>
        <w:pStyle w:val="Bullet1"/>
        <w:rPr>
          <w:sz w:val="20"/>
          <w:szCs w:val="20"/>
        </w:rPr>
      </w:pPr>
      <w:proofErr w:type="gramStart"/>
      <w:r w:rsidRPr="00030A92">
        <w:rPr>
          <w:sz w:val="20"/>
          <w:szCs w:val="20"/>
        </w:rPr>
        <w:t>has</w:t>
      </w:r>
      <w:proofErr w:type="gramEnd"/>
      <w:r w:rsidRPr="00030A92">
        <w:rPr>
          <w:sz w:val="20"/>
          <w:szCs w:val="20"/>
        </w:rPr>
        <w:t xml:space="preserve"> a consultation process that is sufficiently comprehensive to canvas the f</w:t>
      </w:r>
      <w:r w:rsidR="00A516C8">
        <w:rPr>
          <w:sz w:val="20"/>
          <w:szCs w:val="20"/>
        </w:rPr>
        <w:t>ull spectrum of relevant views.</w:t>
      </w:r>
    </w:p>
    <w:p w:rsidR="00605D8D" w:rsidRPr="00030A92" w:rsidRDefault="00605D8D" w:rsidP="00605D8D">
      <w:pPr>
        <w:rPr>
          <w:sz w:val="20"/>
          <w:szCs w:val="20"/>
        </w:rPr>
      </w:pPr>
      <w:r w:rsidRPr="00030A92">
        <w:rPr>
          <w:sz w:val="20"/>
          <w:szCs w:val="20"/>
        </w:rPr>
        <w:t xml:space="preserve">Another issue is the approach taken by the </w:t>
      </w:r>
      <w:r w:rsidR="00C66CA0">
        <w:rPr>
          <w:sz w:val="20"/>
          <w:szCs w:val="20"/>
        </w:rPr>
        <w:t>Commissioner</w:t>
      </w:r>
      <w:r w:rsidRPr="00030A92">
        <w:rPr>
          <w:sz w:val="20"/>
          <w:szCs w:val="20"/>
        </w:rPr>
        <w:t xml:space="preserve"> in </w:t>
      </w:r>
      <w:r w:rsidR="00C66CA0">
        <w:rPr>
          <w:sz w:val="20"/>
          <w:szCs w:val="20"/>
        </w:rPr>
        <w:t>the</w:t>
      </w:r>
      <w:r w:rsidRPr="00030A92">
        <w:rPr>
          <w:sz w:val="20"/>
          <w:szCs w:val="20"/>
        </w:rPr>
        <w:t xml:space="preserve"> assessment of a cost</w:t>
      </w:r>
      <w:r w:rsidRPr="00030A92">
        <w:rPr>
          <w:sz w:val="20"/>
          <w:szCs w:val="20"/>
        </w:rPr>
        <w:noBreakHyphen/>
        <w:t xml:space="preserve">benefit analysis where the regulations contain </w:t>
      </w:r>
      <w:r w:rsidRPr="00030A92">
        <w:rPr>
          <w:b/>
          <w:i/>
          <w:sz w:val="20"/>
          <w:szCs w:val="20"/>
        </w:rPr>
        <w:t>technical specifications</w:t>
      </w:r>
      <w:r w:rsidRPr="00030A92">
        <w:rPr>
          <w:sz w:val="20"/>
          <w:szCs w:val="20"/>
        </w:rPr>
        <w:t xml:space="preserve">. Often, the </w:t>
      </w:r>
      <w:r w:rsidR="00C66CA0">
        <w:rPr>
          <w:sz w:val="20"/>
          <w:szCs w:val="20"/>
        </w:rPr>
        <w:t>Commissioner</w:t>
      </w:r>
      <w:r w:rsidR="00B41D1D">
        <w:rPr>
          <w:sz w:val="20"/>
          <w:szCs w:val="20"/>
        </w:rPr>
        <w:t xml:space="preserve"> </w:t>
      </w:r>
      <w:r w:rsidR="00B55850">
        <w:rPr>
          <w:sz w:val="20"/>
          <w:szCs w:val="20"/>
        </w:rPr>
        <w:t>and the</w:t>
      </w:r>
      <w:r w:rsidR="00B41D1D">
        <w:rPr>
          <w:sz w:val="20"/>
          <w:szCs w:val="20"/>
        </w:rPr>
        <w:t xml:space="preserve"> OCBR</w:t>
      </w:r>
      <w:r w:rsidRPr="00030A92">
        <w:rPr>
          <w:sz w:val="20"/>
          <w:szCs w:val="20"/>
        </w:rPr>
        <w:t xml:space="preserve"> would not have the technical expertise necessary to assess the adequacy of an analysis of the costs and benefits of highly technical standards. In such cases, the </w:t>
      </w:r>
      <w:r w:rsidR="00C66CA0">
        <w:rPr>
          <w:sz w:val="20"/>
          <w:szCs w:val="20"/>
        </w:rPr>
        <w:t>Commissioner</w:t>
      </w:r>
      <w:r w:rsidRPr="00030A92">
        <w:rPr>
          <w:sz w:val="20"/>
          <w:szCs w:val="20"/>
        </w:rPr>
        <w:t xml:space="preserve"> would look for the RIS to demonstrate that the process undertaken to set the technical standard was consistent with the requirements of the RIS to demonstrate that the benefits of the proposed regulation outweigh the costs. For example, a process that is likely to generate this outcome would have: </w:t>
      </w:r>
    </w:p>
    <w:p w:rsidR="00605D8D" w:rsidRPr="00030A92" w:rsidRDefault="00605D8D" w:rsidP="00605D8D">
      <w:pPr>
        <w:pStyle w:val="Bullet1"/>
        <w:rPr>
          <w:sz w:val="20"/>
          <w:szCs w:val="20"/>
        </w:rPr>
      </w:pPr>
      <w:r w:rsidRPr="00030A92">
        <w:rPr>
          <w:sz w:val="20"/>
          <w:szCs w:val="20"/>
        </w:rPr>
        <w:t>assessment criteria that are consistent with the objectives of balancing costs and benefits;</w:t>
      </w:r>
    </w:p>
    <w:p w:rsidR="00605D8D" w:rsidRPr="00030A92" w:rsidRDefault="00605D8D" w:rsidP="00605D8D">
      <w:pPr>
        <w:pStyle w:val="Bullet1"/>
        <w:rPr>
          <w:sz w:val="20"/>
          <w:szCs w:val="20"/>
        </w:rPr>
      </w:pPr>
      <w:r w:rsidRPr="00030A92">
        <w:rPr>
          <w:sz w:val="20"/>
          <w:szCs w:val="20"/>
        </w:rPr>
        <w:t>access to the technical expertise necessary to set the standards;</w:t>
      </w:r>
    </w:p>
    <w:p w:rsidR="00605D8D" w:rsidRPr="00030A92" w:rsidRDefault="00605D8D" w:rsidP="00605D8D">
      <w:pPr>
        <w:pStyle w:val="Bullet1"/>
        <w:rPr>
          <w:sz w:val="20"/>
          <w:szCs w:val="20"/>
        </w:rPr>
      </w:pPr>
      <w:r w:rsidRPr="00030A92">
        <w:rPr>
          <w:sz w:val="20"/>
          <w:szCs w:val="20"/>
        </w:rPr>
        <w:t>transparent decision</w:t>
      </w:r>
      <w:r w:rsidRPr="00030A92">
        <w:rPr>
          <w:sz w:val="20"/>
          <w:szCs w:val="20"/>
        </w:rPr>
        <w:noBreakHyphen/>
        <w:t>making processes; and</w:t>
      </w:r>
    </w:p>
    <w:p w:rsidR="00605D8D" w:rsidRPr="00030A92" w:rsidRDefault="00605D8D" w:rsidP="00605D8D">
      <w:pPr>
        <w:pStyle w:val="Bullet1"/>
        <w:rPr>
          <w:sz w:val="20"/>
          <w:szCs w:val="20"/>
        </w:rPr>
      </w:pPr>
      <w:proofErr w:type="gramStart"/>
      <w:r w:rsidRPr="00030A92">
        <w:rPr>
          <w:sz w:val="20"/>
          <w:szCs w:val="20"/>
        </w:rPr>
        <w:t>an</w:t>
      </w:r>
      <w:proofErr w:type="gramEnd"/>
      <w:r w:rsidRPr="00030A92">
        <w:rPr>
          <w:sz w:val="20"/>
          <w:szCs w:val="20"/>
        </w:rPr>
        <w:t xml:space="preserve"> appropriate level of consultation.</w:t>
      </w:r>
    </w:p>
    <w:p w:rsidR="00605D8D" w:rsidRPr="00030A92" w:rsidRDefault="00605D8D" w:rsidP="00605D8D">
      <w:pPr>
        <w:rPr>
          <w:sz w:val="20"/>
          <w:szCs w:val="20"/>
        </w:rPr>
      </w:pPr>
      <w:r w:rsidRPr="00030A92">
        <w:rPr>
          <w:sz w:val="20"/>
          <w:szCs w:val="20"/>
        </w:rPr>
        <w:t xml:space="preserve">As discussed above, an important reason for releasing the RIS for public consultation is to gather feedback from affected parties on the size and nature of potential impacts arising from the proposed approach. This feedback must be taken into account when making the final decision as to whether or not to proceed with the proposal. Copies of the public submissions received on the RIS, and documentation on how these comments have been subsequently addressed, should be provided to the </w:t>
      </w:r>
      <w:r w:rsidR="00C66CA0">
        <w:rPr>
          <w:sz w:val="20"/>
          <w:szCs w:val="20"/>
        </w:rPr>
        <w:t>Commissioner</w:t>
      </w:r>
      <w:r w:rsidR="00C66CA0" w:rsidRPr="00030A92">
        <w:rPr>
          <w:sz w:val="20"/>
          <w:szCs w:val="20"/>
        </w:rPr>
        <w:t xml:space="preserve"> </w:t>
      </w:r>
      <w:r w:rsidRPr="00030A92">
        <w:rPr>
          <w:sz w:val="20"/>
          <w:szCs w:val="20"/>
        </w:rPr>
        <w:t>for information, to assist it in improving its assessment processes in the future.</w:t>
      </w:r>
    </w:p>
    <w:p w:rsidR="00605D8D" w:rsidRPr="00030A92" w:rsidRDefault="00605D8D" w:rsidP="00605D8D">
      <w:pPr>
        <w:rPr>
          <w:sz w:val="20"/>
          <w:szCs w:val="20"/>
        </w:rPr>
      </w:pPr>
      <w:r w:rsidRPr="00030A92">
        <w:rPr>
          <w:sz w:val="20"/>
          <w:szCs w:val="20"/>
        </w:rPr>
        <w:t xml:space="preserve">Copies of the </w:t>
      </w:r>
      <w:r w:rsidR="00B41D1D">
        <w:rPr>
          <w:sz w:val="20"/>
          <w:szCs w:val="20"/>
        </w:rPr>
        <w:t>Commissioner</w:t>
      </w:r>
      <w:r w:rsidRPr="00030A92">
        <w:rPr>
          <w:sz w:val="20"/>
          <w:szCs w:val="20"/>
        </w:rPr>
        <w:t xml:space="preserve">’s assessment of RISs must be forwarded to the SARC, along with other relevant documentation (as detailed in </w:t>
      </w:r>
      <w:r w:rsidR="00E31815" w:rsidRPr="00030A92">
        <w:rPr>
          <w:sz w:val="20"/>
          <w:szCs w:val="20"/>
        </w:rPr>
        <w:t>Attachment 1</w:t>
      </w:r>
      <w:r w:rsidRPr="00030A92">
        <w:rPr>
          <w:sz w:val="20"/>
          <w:szCs w:val="20"/>
        </w:rPr>
        <w:t>).</w:t>
      </w:r>
    </w:p>
    <w:p w:rsidR="00605D8D" w:rsidRPr="00030A92" w:rsidRDefault="00605D8D" w:rsidP="00605D8D">
      <w:pPr>
        <w:rPr>
          <w:sz w:val="20"/>
          <w:szCs w:val="20"/>
        </w:rPr>
      </w:pPr>
      <w:r w:rsidRPr="00030A92">
        <w:rPr>
          <w:sz w:val="20"/>
          <w:szCs w:val="20"/>
        </w:rPr>
        <w:t xml:space="preserve">The </w:t>
      </w:r>
      <w:r w:rsidR="00C66CA0">
        <w:rPr>
          <w:sz w:val="20"/>
          <w:szCs w:val="20"/>
        </w:rPr>
        <w:t>Commissioner</w:t>
      </w:r>
      <w:r w:rsidRPr="00030A92">
        <w:rPr>
          <w:sz w:val="20"/>
          <w:szCs w:val="20"/>
        </w:rPr>
        <w:t xml:space="preserve">’s role in the RIS process is illustrated in Figure </w:t>
      </w:r>
      <w:r w:rsidR="00E31815" w:rsidRPr="00030A92">
        <w:rPr>
          <w:sz w:val="20"/>
          <w:szCs w:val="20"/>
        </w:rPr>
        <w:t xml:space="preserve">2 </w:t>
      </w:r>
      <w:r w:rsidRPr="00030A92">
        <w:rPr>
          <w:sz w:val="20"/>
          <w:szCs w:val="20"/>
        </w:rPr>
        <w:t xml:space="preserve">above. </w:t>
      </w:r>
    </w:p>
    <w:p w:rsidR="00605D8D" w:rsidRPr="00030A92" w:rsidRDefault="00605D8D" w:rsidP="00605D8D">
      <w:pPr>
        <w:pStyle w:val="Heading4NoNum"/>
        <w:rPr>
          <w:color w:val="auto"/>
        </w:rPr>
      </w:pPr>
      <w:r w:rsidRPr="00030A92">
        <w:rPr>
          <w:color w:val="auto"/>
        </w:rPr>
        <w:t>Ministerial RIS compliance certification</w:t>
      </w:r>
    </w:p>
    <w:p w:rsidR="00605D8D" w:rsidRPr="00030A92" w:rsidRDefault="00D13659" w:rsidP="00605D8D">
      <w:pPr>
        <w:rPr>
          <w:sz w:val="20"/>
          <w:szCs w:val="20"/>
        </w:rPr>
      </w:pPr>
      <w:r w:rsidRPr="00030A92">
        <w:rPr>
          <w:sz w:val="20"/>
          <w:szCs w:val="20"/>
        </w:rPr>
        <w:t>Section </w:t>
      </w:r>
      <w:r w:rsidR="00605D8D" w:rsidRPr="00030A92">
        <w:rPr>
          <w:sz w:val="20"/>
          <w:szCs w:val="20"/>
        </w:rPr>
        <w:t xml:space="preserve">10(4) and </w:t>
      </w:r>
      <w:r w:rsidRPr="00030A92">
        <w:rPr>
          <w:sz w:val="20"/>
          <w:szCs w:val="20"/>
        </w:rPr>
        <w:t>section </w:t>
      </w:r>
      <w:proofErr w:type="gramStart"/>
      <w:r w:rsidR="00605D8D" w:rsidRPr="00030A92">
        <w:rPr>
          <w:sz w:val="20"/>
          <w:szCs w:val="20"/>
        </w:rPr>
        <w:t>12H(</w:t>
      </w:r>
      <w:proofErr w:type="gramEnd"/>
      <w:r w:rsidR="00605D8D" w:rsidRPr="00030A92">
        <w:rPr>
          <w:sz w:val="20"/>
          <w:szCs w:val="20"/>
        </w:rPr>
        <w:t>4) of the Act require the responsible Minister to provide a compliance certificate in writing, specifying:</w:t>
      </w:r>
    </w:p>
    <w:p w:rsidR="00605D8D" w:rsidRPr="00030A92" w:rsidRDefault="00605D8D" w:rsidP="00605D8D">
      <w:pPr>
        <w:pStyle w:val="Bullet1"/>
        <w:rPr>
          <w:sz w:val="20"/>
          <w:szCs w:val="20"/>
        </w:rPr>
      </w:pPr>
      <w:r w:rsidRPr="00030A92">
        <w:rPr>
          <w:sz w:val="20"/>
          <w:szCs w:val="20"/>
        </w:rPr>
        <w:t>the requirements relating to the RIS process have been complied with; and</w:t>
      </w:r>
    </w:p>
    <w:p w:rsidR="00605D8D" w:rsidRPr="00030A92" w:rsidRDefault="00605D8D" w:rsidP="00605D8D">
      <w:pPr>
        <w:pStyle w:val="Bullet1"/>
        <w:rPr>
          <w:sz w:val="20"/>
          <w:szCs w:val="20"/>
        </w:rPr>
      </w:pPr>
      <w:proofErr w:type="gramStart"/>
      <w:r w:rsidRPr="00030A92">
        <w:rPr>
          <w:sz w:val="20"/>
          <w:szCs w:val="20"/>
        </w:rPr>
        <w:t>in</w:t>
      </w:r>
      <w:proofErr w:type="gramEnd"/>
      <w:r w:rsidRPr="00030A92">
        <w:rPr>
          <w:sz w:val="20"/>
          <w:szCs w:val="20"/>
        </w:rPr>
        <w:t xml:space="preserve"> the opinion of the responsible Minister, the RIS adequately assesses the likely impact of the proposed statutory rule or legislative instrument.</w:t>
      </w:r>
    </w:p>
    <w:p w:rsidR="00605D8D" w:rsidRPr="00030A92" w:rsidRDefault="00E31815" w:rsidP="00605D8D">
      <w:pPr>
        <w:rPr>
          <w:sz w:val="20"/>
          <w:szCs w:val="20"/>
        </w:rPr>
      </w:pPr>
      <w:r w:rsidRPr="00030A92">
        <w:rPr>
          <w:sz w:val="20"/>
          <w:szCs w:val="20"/>
        </w:rPr>
        <w:t>Attachment 1</w:t>
      </w:r>
      <w:r w:rsidR="00605D8D" w:rsidRPr="00030A92">
        <w:rPr>
          <w:sz w:val="20"/>
          <w:szCs w:val="20"/>
        </w:rPr>
        <w:t xml:space="preserve"> contains an example of this certificate and details its lodgement process.</w:t>
      </w:r>
    </w:p>
    <w:p w:rsidR="00605D8D" w:rsidRPr="00030A92" w:rsidRDefault="00605D8D" w:rsidP="00605D8D">
      <w:pPr>
        <w:pStyle w:val="Heading4NoNum"/>
        <w:rPr>
          <w:color w:val="auto"/>
        </w:rPr>
      </w:pPr>
      <w:r w:rsidRPr="00030A92">
        <w:rPr>
          <w:color w:val="auto"/>
        </w:rPr>
        <w:t>Role of the Scrutiny of Acts and Regulations Committee</w:t>
      </w:r>
    </w:p>
    <w:p w:rsidR="00605D8D" w:rsidRPr="00030A92" w:rsidRDefault="00605D8D" w:rsidP="00605D8D">
      <w:pPr>
        <w:rPr>
          <w:sz w:val="20"/>
          <w:szCs w:val="20"/>
        </w:rPr>
      </w:pPr>
      <w:r w:rsidRPr="00030A92">
        <w:rPr>
          <w:sz w:val="20"/>
          <w:szCs w:val="20"/>
        </w:rPr>
        <w:t xml:space="preserve">After statutory rules or legislative instruments are made, the SARC must be supplied with copies of the RIS, the </w:t>
      </w:r>
      <w:r w:rsidR="00C66CA0">
        <w:rPr>
          <w:sz w:val="20"/>
          <w:szCs w:val="20"/>
        </w:rPr>
        <w:t>Commissioner</w:t>
      </w:r>
      <w:r w:rsidRPr="00030A92">
        <w:rPr>
          <w:sz w:val="20"/>
          <w:szCs w:val="20"/>
        </w:rPr>
        <w:t>’s final assessment letter for the RIS, the regulations or legislative instruments, all public comments received during the consultation period, and the relevant department/agency’s response to the main issues raised in the public comments. The SARC will review the regulations in accordance with the criteria relating to the adequacy of the statutory head of power authorising the regulations; their consistency with principles of justice and fairness; and conformity with the processes for regulation</w:t>
      </w:r>
      <w:r w:rsidRPr="00030A92">
        <w:rPr>
          <w:sz w:val="20"/>
          <w:szCs w:val="20"/>
        </w:rPr>
        <w:noBreakHyphen/>
        <w:t xml:space="preserve">making specified in the Act. </w:t>
      </w:r>
    </w:p>
    <w:p w:rsidR="00605D8D" w:rsidRPr="00030A92" w:rsidRDefault="00605D8D" w:rsidP="00605D8D">
      <w:pPr>
        <w:rPr>
          <w:sz w:val="20"/>
          <w:szCs w:val="20"/>
        </w:rPr>
      </w:pPr>
      <w:r w:rsidRPr="00030A92">
        <w:rPr>
          <w:sz w:val="20"/>
          <w:szCs w:val="20"/>
        </w:rPr>
        <w:t>The Act provides that, if it is of the belief that any of these criteria has not been met, the SARC may make any recommendations to Parliament that it considers appropriate, including the disallowance of the regulation, wholly or in part, and the suspension of the regulation. In practice, however, the SARC has indicated that, where it is considered that a statutory rule can be rectified by amendment, the Committee will approach the Minister privately to seek amendment rather than report to Parliament.</w:t>
      </w:r>
    </w:p>
    <w:p w:rsidR="00605D8D" w:rsidRPr="00B40862" w:rsidRDefault="00605D8D" w:rsidP="00605D8D">
      <w:pPr>
        <w:pStyle w:val="Heading3"/>
        <w:rPr>
          <w:b w:val="0"/>
          <w:bCs/>
          <w:color w:val="004EA8"/>
        </w:rPr>
      </w:pPr>
      <w:r w:rsidRPr="00B40862">
        <w:rPr>
          <w:b w:val="0"/>
          <w:color w:val="004EA8"/>
        </w:rPr>
        <w:t>Timing considerations</w:t>
      </w:r>
    </w:p>
    <w:p w:rsidR="00605D8D" w:rsidRPr="00030A92" w:rsidRDefault="00605D8D" w:rsidP="00605D8D">
      <w:pPr>
        <w:rPr>
          <w:sz w:val="20"/>
          <w:szCs w:val="20"/>
        </w:rPr>
      </w:pPr>
      <w:r w:rsidRPr="00030A92">
        <w:rPr>
          <w:sz w:val="20"/>
          <w:szCs w:val="20"/>
        </w:rPr>
        <w:t xml:space="preserve">The time taken to prepare the RIS document is largely in the hands of regulating agencies, and will clearly depend on the complexity of the proposed regulation. The quality of the arguments and evidence presented in any RIS will also reflect the time taken on its preparation. As a rough rule of thumb, departments should allow about three months between commencement of the writing of the document and having it cleared within a department/agency for assessment by the </w:t>
      </w:r>
      <w:r w:rsidR="00C66CA0">
        <w:rPr>
          <w:sz w:val="20"/>
          <w:szCs w:val="20"/>
        </w:rPr>
        <w:t>Commissioner</w:t>
      </w:r>
      <w:r w:rsidRPr="00030A92">
        <w:rPr>
          <w:sz w:val="20"/>
          <w:szCs w:val="20"/>
        </w:rPr>
        <w:t xml:space="preserve">. </w:t>
      </w:r>
    </w:p>
    <w:p w:rsidR="00605D8D" w:rsidRPr="00030A92" w:rsidRDefault="00605D8D" w:rsidP="00605D8D">
      <w:pPr>
        <w:rPr>
          <w:sz w:val="20"/>
          <w:szCs w:val="20"/>
        </w:rPr>
      </w:pPr>
      <w:r w:rsidRPr="00030A92">
        <w:rPr>
          <w:sz w:val="20"/>
          <w:szCs w:val="20"/>
        </w:rPr>
        <w:t xml:space="preserve">There are also timing considerations for the public consultation process. </w:t>
      </w:r>
    </w:p>
    <w:p w:rsidR="00605D8D" w:rsidRPr="00030A92" w:rsidRDefault="00605D8D" w:rsidP="00605D8D">
      <w:pPr>
        <w:rPr>
          <w:sz w:val="20"/>
          <w:szCs w:val="20"/>
        </w:rPr>
      </w:pPr>
      <w:r w:rsidRPr="00030A92">
        <w:rPr>
          <w:sz w:val="20"/>
          <w:szCs w:val="20"/>
        </w:rPr>
        <w:t xml:space="preserve">Departments and agencies should be mindful that, in general, statutory rules will sunset or expire on the tenth anniversary of their making. It is important, therefore that accurate dates are maintained of the sunset for all statutory dates administered by the Ministers to which departments/agencies reports, and that sufficient time is allowed for the review of the continued appropriateness of the statutory rule and for the completion of the associated RIS, where appropriate. </w:t>
      </w:r>
      <w:proofErr w:type="gramStart"/>
      <w:r w:rsidRPr="00030A92">
        <w:rPr>
          <w:sz w:val="20"/>
          <w:szCs w:val="20"/>
        </w:rPr>
        <w:t xml:space="preserve">(Further discussion of processes relevant to the </w:t>
      </w:r>
      <w:proofErr w:type="spellStart"/>
      <w:r w:rsidRPr="00030A92">
        <w:rPr>
          <w:sz w:val="20"/>
          <w:szCs w:val="20"/>
        </w:rPr>
        <w:t>sunsetting</w:t>
      </w:r>
      <w:proofErr w:type="spellEnd"/>
      <w:r w:rsidRPr="00030A92">
        <w:rPr>
          <w:sz w:val="20"/>
          <w:szCs w:val="20"/>
        </w:rPr>
        <w:t xml:space="preserve"> and extension of statutory rules can be found in Part </w:t>
      </w:r>
      <w:r w:rsidR="00B41D1D">
        <w:rPr>
          <w:sz w:val="20"/>
          <w:szCs w:val="20"/>
        </w:rPr>
        <w:t>Five</w:t>
      </w:r>
      <w:r w:rsidRPr="00030A92">
        <w:rPr>
          <w:sz w:val="20"/>
          <w:szCs w:val="20"/>
        </w:rPr>
        <w:t xml:space="preserve"> of the </w:t>
      </w:r>
      <w:r w:rsidRPr="00030A92">
        <w:rPr>
          <w:i/>
          <w:sz w:val="20"/>
          <w:szCs w:val="20"/>
        </w:rPr>
        <w:t xml:space="preserve">Subordinate Legislation Act 1994 </w:t>
      </w:r>
      <w:r w:rsidRPr="00030A92">
        <w:rPr>
          <w:sz w:val="20"/>
          <w:szCs w:val="20"/>
        </w:rPr>
        <w:t>Guidelines)</w:t>
      </w:r>
      <w:r w:rsidR="004E7631" w:rsidRPr="00030A92">
        <w:rPr>
          <w:sz w:val="20"/>
          <w:szCs w:val="20"/>
        </w:rPr>
        <w:t>.</w:t>
      </w:r>
      <w:proofErr w:type="gramEnd"/>
    </w:p>
    <w:p w:rsidR="00605D8D" w:rsidRPr="00030A92" w:rsidRDefault="00605D8D" w:rsidP="00605D8D">
      <w:pPr>
        <w:rPr>
          <w:sz w:val="20"/>
          <w:szCs w:val="20"/>
        </w:rPr>
      </w:pPr>
      <w:r w:rsidRPr="00030A92">
        <w:rPr>
          <w:sz w:val="20"/>
          <w:szCs w:val="20"/>
        </w:rPr>
        <w:t xml:space="preserve">Table </w:t>
      </w:r>
      <w:r w:rsidRPr="00030A92">
        <w:rPr>
          <w:sz w:val="20"/>
          <w:szCs w:val="20"/>
          <w:lang w:eastAsia="en-US"/>
        </w:rPr>
        <w:t>4.</w:t>
      </w:r>
      <w:r w:rsidRPr="00030A92">
        <w:rPr>
          <w:sz w:val="20"/>
          <w:szCs w:val="20"/>
        </w:rPr>
        <w:t xml:space="preserve">3 attempts to summarise the timing requirements for the different elements of the RIS process. The table identifies those timings that are mandated by legislation (i.e. the </w:t>
      </w:r>
      <w:r w:rsidRPr="00030A92">
        <w:rPr>
          <w:i/>
          <w:sz w:val="20"/>
          <w:szCs w:val="20"/>
        </w:rPr>
        <w:t>Subordinate Legislation Act 1994</w:t>
      </w:r>
      <w:r w:rsidRPr="00030A92">
        <w:rPr>
          <w:sz w:val="20"/>
          <w:szCs w:val="20"/>
        </w:rPr>
        <w:t xml:space="preserve">) by referring to the relevant </w:t>
      </w:r>
      <w:r w:rsidR="00D13659" w:rsidRPr="00030A92">
        <w:rPr>
          <w:sz w:val="20"/>
          <w:szCs w:val="20"/>
        </w:rPr>
        <w:t>section </w:t>
      </w:r>
      <w:r w:rsidRPr="00030A92">
        <w:rPr>
          <w:sz w:val="20"/>
          <w:szCs w:val="20"/>
        </w:rPr>
        <w:t xml:space="preserve">of the Act. </w:t>
      </w:r>
    </w:p>
    <w:p w:rsidR="00605D8D" w:rsidRPr="00030A92" w:rsidRDefault="00605D8D" w:rsidP="00605D8D">
      <w:pPr>
        <w:rPr>
          <w:sz w:val="20"/>
          <w:szCs w:val="20"/>
        </w:rPr>
      </w:pPr>
      <w:r w:rsidRPr="00030A92">
        <w:rPr>
          <w:sz w:val="20"/>
          <w:szCs w:val="20"/>
        </w:rPr>
        <w:t>Departments are advised to allow around six months between the beginning of a RIS process and the making of the associated statutory rule or legislative instrument.</w:t>
      </w:r>
    </w:p>
    <w:p w:rsidR="00605D8D" w:rsidRDefault="00605D8D" w:rsidP="00605D8D">
      <w:pPr>
        <w:pStyle w:val="Caption"/>
      </w:pPr>
      <w:r w:rsidRPr="00E31815">
        <w:t>Table</w:t>
      </w:r>
      <w:r w:rsidR="00E31815" w:rsidRPr="00E31815">
        <w:t xml:space="preserve"> 3</w:t>
      </w:r>
      <w:r w:rsidRPr="00E31815">
        <w:t>: RIS timing</w:t>
      </w:r>
      <w:r w:rsidRPr="00865111">
        <w:t xml:space="preserve"> considerations</w:t>
      </w:r>
      <w:r w:rsidRPr="00A86FF8">
        <w:rPr>
          <w:rStyle w:val="FootnoteReference"/>
        </w:rPr>
        <w:footnoteReference w:id="17"/>
      </w:r>
    </w:p>
    <w:tbl>
      <w:tblPr>
        <w:tblW w:w="8568" w:type="dxa"/>
        <w:tblInd w:w="835" w:type="dxa"/>
        <w:tblBorders>
          <w:top w:val="single" w:sz="6" w:space="0" w:color="auto"/>
          <w:bottom w:val="single" w:sz="6" w:space="0" w:color="auto"/>
          <w:insideH w:val="single" w:sz="6" w:space="0" w:color="auto"/>
        </w:tblBorders>
        <w:tblCellMar>
          <w:left w:w="72" w:type="dxa"/>
          <w:right w:w="72" w:type="dxa"/>
        </w:tblCellMar>
        <w:tblLook w:val="0000" w:firstRow="0" w:lastRow="0" w:firstColumn="0" w:lastColumn="0" w:noHBand="0" w:noVBand="0"/>
      </w:tblPr>
      <w:tblGrid>
        <w:gridCol w:w="2207"/>
        <w:gridCol w:w="2250"/>
        <w:gridCol w:w="4111"/>
      </w:tblGrid>
      <w:tr w:rsidR="00605D8D" w:rsidRPr="00030A92" w:rsidTr="00DE4E32">
        <w:trPr>
          <w:cantSplit/>
          <w:tblHeader/>
        </w:trPr>
        <w:tc>
          <w:tcPr>
            <w:tcW w:w="2207" w:type="dxa"/>
            <w:tcBorders>
              <w:top w:val="single" w:sz="2" w:space="0" w:color="auto"/>
            </w:tcBorders>
            <w:shd w:val="clear" w:color="auto" w:fill="009CA6"/>
          </w:tcPr>
          <w:p w:rsidR="00605D8D" w:rsidRPr="00DE4E32" w:rsidRDefault="00605D8D" w:rsidP="00D72695">
            <w:pPr>
              <w:pStyle w:val="TableHeader"/>
              <w:rPr>
                <w:b/>
                <w:color w:val="FFFFFF" w:themeColor="background1"/>
                <w:sz w:val="20"/>
                <w:szCs w:val="20"/>
              </w:rPr>
            </w:pPr>
            <w:r w:rsidRPr="00DE4E32">
              <w:rPr>
                <w:b/>
                <w:color w:val="FFFFFF" w:themeColor="background1"/>
                <w:sz w:val="20"/>
                <w:szCs w:val="20"/>
              </w:rPr>
              <w:t>Element of RIS process</w:t>
            </w:r>
          </w:p>
        </w:tc>
        <w:tc>
          <w:tcPr>
            <w:tcW w:w="2250" w:type="dxa"/>
            <w:tcBorders>
              <w:top w:val="single" w:sz="2" w:space="0" w:color="auto"/>
            </w:tcBorders>
            <w:shd w:val="clear" w:color="auto" w:fill="009CA6"/>
          </w:tcPr>
          <w:p w:rsidR="00605D8D" w:rsidRPr="00DE4E32" w:rsidRDefault="00605D8D" w:rsidP="00D72695">
            <w:pPr>
              <w:pStyle w:val="TableHeader"/>
              <w:rPr>
                <w:b/>
                <w:color w:val="FFFFFF" w:themeColor="background1"/>
                <w:sz w:val="20"/>
                <w:szCs w:val="20"/>
              </w:rPr>
            </w:pPr>
            <w:r w:rsidRPr="00DE4E32">
              <w:rPr>
                <w:b/>
                <w:color w:val="FFFFFF" w:themeColor="background1"/>
                <w:sz w:val="20"/>
                <w:szCs w:val="20"/>
              </w:rPr>
              <w:t>Timing requirement</w:t>
            </w:r>
          </w:p>
        </w:tc>
        <w:tc>
          <w:tcPr>
            <w:tcW w:w="4111" w:type="dxa"/>
            <w:tcBorders>
              <w:top w:val="single" w:sz="2" w:space="0" w:color="auto"/>
            </w:tcBorders>
            <w:shd w:val="clear" w:color="auto" w:fill="009CA6"/>
          </w:tcPr>
          <w:p w:rsidR="00605D8D" w:rsidRPr="00DE4E32" w:rsidRDefault="00605D8D" w:rsidP="00D72695">
            <w:pPr>
              <w:pStyle w:val="TableHeader"/>
              <w:rPr>
                <w:b/>
                <w:color w:val="FFFFFF" w:themeColor="background1"/>
                <w:sz w:val="20"/>
                <w:szCs w:val="20"/>
              </w:rPr>
            </w:pPr>
            <w:r w:rsidRPr="00DE4E32">
              <w:rPr>
                <w:b/>
                <w:color w:val="FFFFFF" w:themeColor="background1"/>
                <w:sz w:val="20"/>
                <w:szCs w:val="20"/>
              </w:rPr>
              <w:t>Comment</w:t>
            </w:r>
          </w:p>
        </w:tc>
      </w:tr>
      <w:tr w:rsidR="00605D8D" w:rsidRPr="00030A92" w:rsidTr="00D72695">
        <w:trPr>
          <w:cantSplit/>
        </w:trPr>
        <w:tc>
          <w:tcPr>
            <w:tcW w:w="2207" w:type="dxa"/>
          </w:tcPr>
          <w:p w:rsidR="00605D8D" w:rsidRPr="00030A92" w:rsidRDefault="00605D8D" w:rsidP="00C66CA0">
            <w:pPr>
              <w:pStyle w:val="TableText"/>
              <w:rPr>
                <w:szCs w:val="20"/>
              </w:rPr>
            </w:pPr>
            <w:r w:rsidRPr="00030A92">
              <w:rPr>
                <w:szCs w:val="20"/>
              </w:rPr>
              <w:t xml:space="preserve">Inform </w:t>
            </w:r>
            <w:r w:rsidR="00C66CA0">
              <w:rPr>
                <w:szCs w:val="20"/>
              </w:rPr>
              <w:t>the Commissioner</w:t>
            </w:r>
          </w:p>
        </w:tc>
        <w:tc>
          <w:tcPr>
            <w:tcW w:w="2250" w:type="dxa"/>
          </w:tcPr>
          <w:p w:rsidR="00605D8D" w:rsidRPr="00030A92" w:rsidRDefault="00605D8D" w:rsidP="00D72695">
            <w:pPr>
              <w:pStyle w:val="TableText"/>
              <w:rPr>
                <w:szCs w:val="20"/>
              </w:rPr>
            </w:pPr>
            <w:r w:rsidRPr="00030A92">
              <w:rPr>
                <w:szCs w:val="20"/>
              </w:rPr>
              <w:t>At beginning of process</w:t>
            </w:r>
          </w:p>
        </w:tc>
        <w:tc>
          <w:tcPr>
            <w:tcW w:w="4111" w:type="dxa"/>
          </w:tcPr>
          <w:p w:rsidR="00605D8D" w:rsidRPr="00030A92" w:rsidRDefault="00605D8D" w:rsidP="00C66CA0">
            <w:pPr>
              <w:pStyle w:val="TableText"/>
              <w:rPr>
                <w:szCs w:val="20"/>
              </w:rPr>
            </w:pPr>
            <w:r w:rsidRPr="00030A92">
              <w:rPr>
                <w:szCs w:val="20"/>
              </w:rPr>
              <w:t xml:space="preserve">To ensure that the </w:t>
            </w:r>
            <w:r w:rsidR="00C66CA0">
              <w:rPr>
                <w:szCs w:val="20"/>
              </w:rPr>
              <w:t>Commissioner</w:t>
            </w:r>
            <w:r w:rsidRPr="00030A92">
              <w:rPr>
                <w:szCs w:val="20"/>
              </w:rPr>
              <w:t xml:space="preserve"> can plan its assessment processes and can provide guidance in a timely fashion, it should be informed of the intention to prepare a RIS at the beginning of the process.</w:t>
            </w:r>
            <w:r w:rsidR="005534D8" w:rsidRPr="00030A92">
              <w:rPr>
                <w:szCs w:val="20"/>
              </w:rPr>
              <w:t xml:space="preserve"> Early engagement will also help to facilitate the preparation of a robust, proportionate and timely RIS, and the implementation of better solutions.</w:t>
            </w:r>
          </w:p>
        </w:tc>
      </w:tr>
      <w:tr w:rsidR="00605D8D" w:rsidRPr="00030A92" w:rsidTr="00D72695">
        <w:trPr>
          <w:cantSplit/>
        </w:trPr>
        <w:tc>
          <w:tcPr>
            <w:tcW w:w="2207" w:type="dxa"/>
          </w:tcPr>
          <w:p w:rsidR="00605D8D" w:rsidRPr="00030A92" w:rsidRDefault="00605D8D" w:rsidP="00D72695">
            <w:pPr>
              <w:pStyle w:val="TableText"/>
              <w:rPr>
                <w:szCs w:val="20"/>
              </w:rPr>
            </w:pPr>
            <w:r w:rsidRPr="00030A92">
              <w:rPr>
                <w:szCs w:val="20"/>
              </w:rPr>
              <w:t>Settle drafting of the regulations with Office of the Chief Parliamentary Counsel (OCPC)</w:t>
            </w:r>
          </w:p>
        </w:tc>
        <w:tc>
          <w:tcPr>
            <w:tcW w:w="2250" w:type="dxa"/>
          </w:tcPr>
          <w:p w:rsidR="00605D8D" w:rsidRPr="00030A92" w:rsidRDefault="00605D8D" w:rsidP="005534D8">
            <w:pPr>
              <w:pStyle w:val="TableText"/>
              <w:rPr>
                <w:iCs/>
                <w:szCs w:val="20"/>
                <w:u w:val="single"/>
              </w:rPr>
            </w:pPr>
            <w:r w:rsidRPr="00030A92">
              <w:rPr>
                <w:szCs w:val="20"/>
              </w:rPr>
              <w:t>At beginning of process – may take several weeks or months (depending on complexity)</w:t>
            </w:r>
            <w:r w:rsidR="005534D8" w:rsidRPr="00030A92">
              <w:rPr>
                <w:szCs w:val="20"/>
              </w:rPr>
              <w:t>. Changes to the Regulations may be made during the development of the RIS, where the analysis points to a different (improved) approach. Thus, the process of drafting the Regulations may be an iterative process.</w:t>
            </w:r>
          </w:p>
        </w:tc>
        <w:tc>
          <w:tcPr>
            <w:tcW w:w="4111" w:type="dxa"/>
          </w:tcPr>
          <w:p w:rsidR="00605D8D" w:rsidRPr="00030A92" w:rsidRDefault="00605D8D" w:rsidP="00D72695">
            <w:pPr>
              <w:pStyle w:val="TableText"/>
              <w:rPr>
                <w:szCs w:val="20"/>
              </w:rPr>
            </w:pPr>
            <w:r w:rsidRPr="00030A92">
              <w:rPr>
                <w:szCs w:val="20"/>
              </w:rPr>
              <w:t>The OCPC should be consulted as early as possible for assistance in drafting the regulations. This is particularly important during peak demand times (e.g. in the lead up to Parliamentary sessions). Even a simple set of regulations may take several weeks to settle; major or complex regulations may take months to draft and settle.</w:t>
            </w:r>
            <w:r w:rsidR="005534D8" w:rsidRPr="00030A92">
              <w:rPr>
                <w:rStyle w:val="FootnoteReference"/>
                <w:szCs w:val="20"/>
              </w:rPr>
              <w:footnoteReference w:id="18"/>
            </w:r>
          </w:p>
        </w:tc>
      </w:tr>
      <w:tr w:rsidR="00605D8D" w:rsidRPr="00030A92" w:rsidTr="00D72695">
        <w:trPr>
          <w:cantSplit/>
        </w:trPr>
        <w:tc>
          <w:tcPr>
            <w:tcW w:w="2207" w:type="dxa"/>
          </w:tcPr>
          <w:p w:rsidR="00605D8D" w:rsidRPr="00030A92" w:rsidRDefault="00605D8D" w:rsidP="00D72695">
            <w:pPr>
              <w:pStyle w:val="TableText"/>
              <w:rPr>
                <w:szCs w:val="20"/>
              </w:rPr>
            </w:pPr>
            <w:r w:rsidRPr="00030A92">
              <w:rPr>
                <w:szCs w:val="20"/>
              </w:rPr>
              <w:t>Writing of RIS document (including initial consultations)</w:t>
            </w:r>
          </w:p>
        </w:tc>
        <w:tc>
          <w:tcPr>
            <w:tcW w:w="2250" w:type="dxa"/>
          </w:tcPr>
          <w:p w:rsidR="00605D8D" w:rsidRPr="00030A92" w:rsidRDefault="00605D8D" w:rsidP="00D72695">
            <w:pPr>
              <w:pStyle w:val="TableText"/>
              <w:rPr>
                <w:szCs w:val="20"/>
              </w:rPr>
            </w:pPr>
            <w:r w:rsidRPr="00030A92">
              <w:rPr>
                <w:szCs w:val="20"/>
              </w:rPr>
              <w:t>Around three months</w:t>
            </w:r>
          </w:p>
        </w:tc>
        <w:tc>
          <w:tcPr>
            <w:tcW w:w="4111" w:type="dxa"/>
          </w:tcPr>
          <w:p w:rsidR="00605D8D" w:rsidRPr="00030A92" w:rsidRDefault="00605D8D" w:rsidP="00C66CA0">
            <w:pPr>
              <w:pStyle w:val="TableText"/>
              <w:rPr>
                <w:szCs w:val="20"/>
              </w:rPr>
            </w:pPr>
            <w:r w:rsidRPr="00030A92">
              <w:rPr>
                <w:szCs w:val="20"/>
              </w:rPr>
              <w:t xml:space="preserve">Will depend on the complexity and impact level of the proposed regulation. Discussions with the </w:t>
            </w:r>
            <w:r w:rsidR="00C66CA0">
              <w:rPr>
                <w:szCs w:val="20"/>
              </w:rPr>
              <w:t>Commissioner</w:t>
            </w:r>
            <w:r w:rsidRPr="00030A92">
              <w:rPr>
                <w:szCs w:val="20"/>
              </w:rPr>
              <w:t xml:space="preserve"> and provision of draft RIS documents should occur during this stage to facilitate timely assessment. Draft RISs will be turned around within 10 working days.</w:t>
            </w:r>
          </w:p>
        </w:tc>
      </w:tr>
      <w:tr w:rsidR="00605D8D" w:rsidRPr="00030A92" w:rsidTr="00D72695">
        <w:trPr>
          <w:cantSplit/>
        </w:trPr>
        <w:tc>
          <w:tcPr>
            <w:tcW w:w="2207" w:type="dxa"/>
          </w:tcPr>
          <w:p w:rsidR="00605D8D" w:rsidRPr="00030A92" w:rsidRDefault="00605D8D" w:rsidP="00D72695">
            <w:pPr>
              <w:pStyle w:val="TableText"/>
              <w:rPr>
                <w:szCs w:val="20"/>
              </w:rPr>
            </w:pPr>
            <w:r w:rsidRPr="00030A92">
              <w:rPr>
                <w:szCs w:val="20"/>
              </w:rPr>
              <w:t>Independent assessment of RIS</w:t>
            </w:r>
          </w:p>
        </w:tc>
        <w:tc>
          <w:tcPr>
            <w:tcW w:w="2250" w:type="dxa"/>
          </w:tcPr>
          <w:p w:rsidR="00605D8D" w:rsidRPr="00030A92" w:rsidRDefault="00605D8D" w:rsidP="00D72695">
            <w:pPr>
              <w:pStyle w:val="TableText"/>
              <w:rPr>
                <w:szCs w:val="20"/>
              </w:rPr>
            </w:pPr>
            <w:r w:rsidRPr="00030A92">
              <w:rPr>
                <w:szCs w:val="20"/>
              </w:rPr>
              <w:t>28 days</w:t>
            </w:r>
          </w:p>
        </w:tc>
        <w:tc>
          <w:tcPr>
            <w:tcW w:w="4111" w:type="dxa"/>
          </w:tcPr>
          <w:p w:rsidR="00605D8D" w:rsidRPr="00030A92" w:rsidRDefault="00605D8D" w:rsidP="00D72695">
            <w:pPr>
              <w:pStyle w:val="TableText"/>
              <w:rPr>
                <w:szCs w:val="20"/>
              </w:rPr>
            </w:pPr>
            <w:r w:rsidRPr="00030A92">
              <w:rPr>
                <w:szCs w:val="20"/>
              </w:rPr>
              <w:t>If assessment cannot be completed within this timeframe, the Minister may seek alternative independent advice.</w:t>
            </w:r>
          </w:p>
        </w:tc>
      </w:tr>
      <w:tr w:rsidR="00605D8D" w:rsidRPr="00030A92" w:rsidTr="00D72695">
        <w:trPr>
          <w:cantSplit/>
        </w:trPr>
        <w:tc>
          <w:tcPr>
            <w:tcW w:w="2207" w:type="dxa"/>
          </w:tcPr>
          <w:p w:rsidR="00605D8D" w:rsidRPr="00030A92" w:rsidRDefault="00605D8D" w:rsidP="00D72695">
            <w:pPr>
              <w:pStyle w:val="TableText"/>
              <w:rPr>
                <w:szCs w:val="20"/>
              </w:rPr>
            </w:pPr>
            <w:r w:rsidRPr="00030A92">
              <w:rPr>
                <w:szCs w:val="20"/>
              </w:rPr>
              <w:t>Notice that RIS has been prepared</w:t>
            </w:r>
          </w:p>
        </w:tc>
        <w:tc>
          <w:tcPr>
            <w:tcW w:w="2250" w:type="dxa"/>
          </w:tcPr>
          <w:p w:rsidR="00605D8D" w:rsidRPr="00030A92" w:rsidRDefault="00605D8D" w:rsidP="00D72695">
            <w:pPr>
              <w:pStyle w:val="TableText"/>
              <w:rPr>
                <w:szCs w:val="20"/>
              </w:rPr>
            </w:pPr>
            <w:r w:rsidRPr="00030A92">
              <w:rPr>
                <w:b/>
                <w:iCs/>
                <w:szCs w:val="20"/>
              </w:rPr>
              <w:t>At least</w:t>
            </w:r>
            <w:r w:rsidRPr="00030A92">
              <w:rPr>
                <w:szCs w:val="20"/>
              </w:rPr>
              <w:t xml:space="preserve"> eight weeks before statutory rule or legislative instrument is to be made</w:t>
            </w:r>
          </w:p>
        </w:tc>
        <w:tc>
          <w:tcPr>
            <w:tcW w:w="4111" w:type="dxa"/>
          </w:tcPr>
          <w:p w:rsidR="00605D8D" w:rsidRPr="00030A92" w:rsidRDefault="00605D8D" w:rsidP="00D72695">
            <w:pPr>
              <w:pStyle w:val="TableText"/>
              <w:rPr>
                <w:szCs w:val="20"/>
              </w:rPr>
            </w:pPr>
            <w:r w:rsidRPr="00030A92">
              <w:rPr>
                <w:szCs w:val="20"/>
              </w:rPr>
              <w:t xml:space="preserve">Sufficient time is needed to take into account: a minimum public submissions period; consideration of the submissions; and time for the printing and for the Chief Parliamentary Counsel to give a certificate on a statutory rule under </w:t>
            </w:r>
            <w:r w:rsidR="00D13659" w:rsidRPr="00030A92">
              <w:rPr>
                <w:szCs w:val="20"/>
              </w:rPr>
              <w:t>section </w:t>
            </w:r>
            <w:r w:rsidRPr="00030A92">
              <w:rPr>
                <w:szCs w:val="20"/>
              </w:rPr>
              <w:t>13 of the Act.</w:t>
            </w:r>
          </w:p>
        </w:tc>
      </w:tr>
      <w:tr w:rsidR="00605D8D" w:rsidRPr="00030A92" w:rsidTr="00D72695">
        <w:trPr>
          <w:cantSplit/>
        </w:trPr>
        <w:tc>
          <w:tcPr>
            <w:tcW w:w="2207" w:type="dxa"/>
          </w:tcPr>
          <w:p w:rsidR="00605D8D" w:rsidRPr="00030A92" w:rsidRDefault="00605D8D" w:rsidP="00D72695">
            <w:pPr>
              <w:pStyle w:val="TableText"/>
              <w:rPr>
                <w:szCs w:val="20"/>
              </w:rPr>
            </w:pPr>
            <w:r w:rsidRPr="00030A92">
              <w:rPr>
                <w:szCs w:val="20"/>
              </w:rPr>
              <w:t>Public comments and submissions</w:t>
            </w:r>
          </w:p>
        </w:tc>
        <w:tc>
          <w:tcPr>
            <w:tcW w:w="2250" w:type="dxa"/>
          </w:tcPr>
          <w:p w:rsidR="00605D8D" w:rsidRPr="00030A92" w:rsidRDefault="00605D8D" w:rsidP="00D72695">
            <w:pPr>
              <w:pStyle w:val="TableText"/>
              <w:rPr>
                <w:szCs w:val="20"/>
              </w:rPr>
            </w:pPr>
            <w:r w:rsidRPr="00030A92">
              <w:rPr>
                <w:b/>
                <w:iCs/>
                <w:szCs w:val="20"/>
              </w:rPr>
              <w:t>At least</w:t>
            </w:r>
            <w:r w:rsidRPr="00030A92">
              <w:rPr>
                <w:szCs w:val="20"/>
              </w:rPr>
              <w:t xml:space="preserve"> 28 days, but preferably 60 days</w:t>
            </w:r>
          </w:p>
        </w:tc>
        <w:tc>
          <w:tcPr>
            <w:tcW w:w="4111" w:type="dxa"/>
          </w:tcPr>
          <w:p w:rsidR="00605D8D" w:rsidRPr="00030A92" w:rsidRDefault="00605D8D" w:rsidP="00D72695">
            <w:pPr>
              <w:pStyle w:val="TableText"/>
              <w:rPr>
                <w:szCs w:val="20"/>
              </w:rPr>
            </w:pPr>
            <w:r w:rsidRPr="00030A92">
              <w:rPr>
                <w:szCs w:val="20"/>
              </w:rPr>
              <w:t>Sections 11(2</w:t>
            </w:r>
            <w:proofErr w:type="gramStart"/>
            <w:r w:rsidRPr="00030A92">
              <w:rPr>
                <w:szCs w:val="20"/>
              </w:rPr>
              <w:t>)(</w:t>
            </w:r>
            <w:proofErr w:type="gramEnd"/>
            <w:r w:rsidRPr="00030A92">
              <w:rPr>
                <w:szCs w:val="20"/>
              </w:rPr>
              <w:t>d) and 12I(2)(d) of the SLA mandate the 28</w:t>
            </w:r>
            <w:r w:rsidRPr="00030A92">
              <w:rPr>
                <w:szCs w:val="20"/>
              </w:rPr>
              <w:noBreakHyphen/>
              <w:t>day minimum period. The Victorian Government encourages longer time periods (preferably 60 days), where feasible.</w:t>
            </w:r>
          </w:p>
        </w:tc>
      </w:tr>
      <w:tr w:rsidR="00605D8D" w:rsidRPr="00030A92" w:rsidTr="00D72695">
        <w:trPr>
          <w:cantSplit/>
        </w:trPr>
        <w:tc>
          <w:tcPr>
            <w:tcW w:w="2207" w:type="dxa"/>
          </w:tcPr>
          <w:p w:rsidR="00605D8D" w:rsidRPr="00030A92" w:rsidRDefault="00605D8D" w:rsidP="00D72695">
            <w:pPr>
              <w:pStyle w:val="TableText"/>
              <w:rPr>
                <w:szCs w:val="20"/>
              </w:rPr>
            </w:pPr>
            <w:r w:rsidRPr="00030A92">
              <w:rPr>
                <w:szCs w:val="20"/>
              </w:rPr>
              <w:t>Consideration of public submissions</w:t>
            </w:r>
          </w:p>
        </w:tc>
        <w:tc>
          <w:tcPr>
            <w:tcW w:w="2250" w:type="dxa"/>
          </w:tcPr>
          <w:p w:rsidR="00605D8D" w:rsidRPr="00030A92" w:rsidRDefault="00605D8D" w:rsidP="00D72695">
            <w:pPr>
              <w:pStyle w:val="TableText"/>
              <w:rPr>
                <w:szCs w:val="20"/>
              </w:rPr>
            </w:pPr>
            <w:r w:rsidRPr="00030A92">
              <w:rPr>
                <w:b/>
                <w:iCs/>
                <w:szCs w:val="20"/>
              </w:rPr>
              <w:t>At least</w:t>
            </w:r>
            <w:r w:rsidRPr="00030A92">
              <w:rPr>
                <w:i/>
                <w:iCs/>
                <w:szCs w:val="20"/>
                <w:u w:val="single"/>
              </w:rPr>
              <w:t xml:space="preserve"> </w:t>
            </w:r>
            <w:r w:rsidRPr="00030A92">
              <w:rPr>
                <w:szCs w:val="20"/>
              </w:rPr>
              <w:t xml:space="preserve">one week, but often four weeks </w:t>
            </w:r>
          </w:p>
        </w:tc>
        <w:tc>
          <w:tcPr>
            <w:tcW w:w="4111" w:type="dxa"/>
          </w:tcPr>
          <w:p w:rsidR="00605D8D" w:rsidRPr="00030A92" w:rsidRDefault="00605D8D" w:rsidP="00D72695">
            <w:pPr>
              <w:pStyle w:val="TableText"/>
              <w:rPr>
                <w:szCs w:val="20"/>
              </w:rPr>
            </w:pPr>
            <w:r w:rsidRPr="00030A92">
              <w:rPr>
                <w:szCs w:val="20"/>
              </w:rPr>
              <w:t>Based on experience. Clearly, this will depend on the number of submissions received and their level of detail.</w:t>
            </w:r>
          </w:p>
        </w:tc>
      </w:tr>
      <w:tr w:rsidR="00605D8D" w:rsidRPr="00030A92" w:rsidTr="00D72695">
        <w:trPr>
          <w:cantSplit/>
        </w:trPr>
        <w:tc>
          <w:tcPr>
            <w:tcW w:w="2207" w:type="dxa"/>
          </w:tcPr>
          <w:p w:rsidR="00605D8D" w:rsidRPr="00030A92" w:rsidRDefault="00605D8D" w:rsidP="00D72695">
            <w:pPr>
              <w:pStyle w:val="TableText"/>
              <w:rPr>
                <w:szCs w:val="20"/>
              </w:rPr>
            </w:pPr>
            <w:r w:rsidRPr="00030A92">
              <w:rPr>
                <w:szCs w:val="20"/>
              </w:rPr>
              <w:t xml:space="preserve">Notice of a decision </w:t>
            </w:r>
            <w:r w:rsidRPr="00030A92">
              <w:rPr>
                <w:b/>
                <w:iCs/>
                <w:szCs w:val="20"/>
              </w:rPr>
              <w:t>not</w:t>
            </w:r>
            <w:r w:rsidRPr="00030A92">
              <w:rPr>
                <w:szCs w:val="20"/>
              </w:rPr>
              <w:t xml:space="preserve"> to make a proposed statutory rule or legislative instrument</w:t>
            </w:r>
          </w:p>
        </w:tc>
        <w:tc>
          <w:tcPr>
            <w:tcW w:w="2250" w:type="dxa"/>
          </w:tcPr>
          <w:p w:rsidR="00605D8D" w:rsidRPr="00030A92" w:rsidRDefault="00605D8D" w:rsidP="00D72695">
            <w:pPr>
              <w:pStyle w:val="TableText"/>
              <w:rPr>
                <w:szCs w:val="20"/>
              </w:rPr>
            </w:pPr>
            <w:r w:rsidRPr="00030A92">
              <w:rPr>
                <w:szCs w:val="20"/>
              </w:rPr>
              <w:t>As soon as practicable after the decision has been made</w:t>
            </w:r>
          </w:p>
        </w:tc>
        <w:tc>
          <w:tcPr>
            <w:tcW w:w="4111" w:type="dxa"/>
          </w:tcPr>
          <w:p w:rsidR="00605D8D" w:rsidRPr="00030A92" w:rsidRDefault="00605D8D" w:rsidP="00D72695">
            <w:pPr>
              <w:pStyle w:val="TableText"/>
              <w:rPr>
                <w:szCs w:val="20"/>
              </w:rPr>
            </w:pPr>
            <w:r w:rsidRPr="00030A92">
              <w:rPr>
                <w:szCs w:val="20"/>
              </w:rPr>
              <w:t xml:space="preserve">As mandated in sections 12(2) and </w:t>
            </w:r>
            <w:proofErr w:type="gramStart"/>
            <w:r w:rsidRPr="00030A92">
              <w:rPr>
                <w:szCs w:val="20"/>
              </w:rPr>
              <w:t>12J(</w:t>
            </w:r>
            <w:proofErr w:type="gramEnd"/>
            <w:r w:rsidRPr="00030A92">
              <w:rPr>
                <w:szCs w:val="20"/>
              </w:rPr>
              <w:t>1) of the SLA.</w:t>
            </w:r>
          </w:p>
        </w:tc>
      </w:tr>
      <w:tr w:rsidR="00605D8D" w:rsidRPr="00030A92" w:rsidTr="00D72695">
        <w:trPr>
          <w:cantSplit/>
        </w:trPr>
        <w:tc>
          <w:tcPr>
            <w:tcW w:w="2207" w:type="dxa"/>
          </w:tcPr>
          <w:p w:rsidR="00605D8D" w:rsidRPr="00030A92" w:rsidRDefault="00605D8D" w:rsidP="00D72695">
            <w:pPr>
              <w:pStyle w:val="TableText"/>
              <w:rPr>
                <w:szCs w:val="20"/>
              </w:rPr>
            </w:pPr>
            <w:r w:rsidRPr="00030A92">
              <w:rPr>
                <w:szCs w:val="20"/>
              </w:rPr>
              <w:t>Notice of a decision to make a proposed statutory rule or legislative instrument</w:t>
            </w:r>
          </w:p>
        </w:tc>
        <w:tc>
          <w:tcPr>
            <w:tcW w:w="2250" w:type="dxa"/>
          </w:tcPr>
          <w:p w:rsidR="00605D8D" w:rsidRPr="00030A92" w:rsidRDefault="00605D8D" w:rsidP="00D72695">
            <w:pPr>
              <w:pStyle w:val="TableText"/>
              <w:rPr>
                <w:szCs w:val="20"/>
              </w:rPr>
            </w:pPr>
            <w:r w:rsidRPr="00030A92">
              <w:rPr>
                <w:szCs w:val="20"/>
              </w:rPr>
              <w:t>Before the statutory rule or legislative instrument is made</w:t>
            </w:r>
          </w:p>
        </w:tc>
        <w:tc>
          <w:tcPr>
            <w:tcW w:w="4111" w:type="dxa"/>
          </w:tcPr>
          <w:p w:rsidR="00605D8D" w:rsidRPr="00030A92" w:rsidRDefault="00605D8D" w:rsidP="00D72695">
            <w:pPr>
              <w:pStyle w:val="TableText"/>
              <w:rPr>
                <w:szCs w:val="20"/>
              </w:rPr>
            </w:pPr>
            <w:r w:rsidRPr="00030A92">
              <w:rPr>
                <w:szCs w:val="20"/>
              </w:rPr>
              <w:t xml:space="preserve">As mandated in sections 12(3) and </w:t>
            </w:r>
            <w:proofErr w:type="gramStart"/>
            <w:r w:rsidRPr="00030A92">
              <w:rPr>
                <w:szCs w:val="20"/>
              </w:rPr>
              <w:t>12J(</w:t>
            </w:r>
            <w:proofErr w:type="gramEnd"/>
            <w:r w:rsidRPr="00030A92">
              <w:rPr>
                <w:szCs w:val="20"/>
              </w:rPr>
              <w:t>4) of the SLA.</w:t>
            </w:r>
          </w:p>
        </w:tc>
      </w:tr>
      <w:tr w:rsidR="00605D8D" w:rsidRPr="00030A92" w:rsidTr="00D72695">
        <w:trPr>
          <w:cantSplit/>
        </w:trPr>
        <w:tc>
          <w:tcPr>
            <w:tcW w:w="2207" w:type="dxa"/>
          </w:tcPr>
          <w:p w:rsidR="00605D8D" w:rsidRPr="00030A92" w:rsidRDefault="00605D8D" w:rsidP="00D72695">
            <w:pPr>
              <w:pStyle w:val="TableText"/>
              <w:rPr>
                <w:szCs w:val="20"/>
              </w:rPr>
            </w:pPr>
            <w:r w:rsidRPr="00030A92">
              <w:rPr>
                <w:szCs w:val="20"/>
              </w:rPr>
              <w:t xml:space="preserve">Time for printing and for the Chief Parliamentary Counsel to give a certificate on the statutory rule under </w:t>
            </w:r>
            <w:r w:rsidR="00D13659" w:rsidRPr="00030A92">
              <w:rPr>
                <w:szCs w:val="20"/>
              </w:rPr>
              <w:t>section </w:t>
            </w:r>
            <w:r w:rsidRPr="00030A92">
              <w:rPr>
                <w:szCs w:val="20"/>
              </w:rPr>
              <w:t>13 of the Act</w:t>
            </w:r>
          </w:p>
        </w:tc>
        <w:tc>
          <w:tcPr>
            <w:tcW w:w="2250" w:type="dxa"/>
          </w:tcPr>
          <w:p w:rsidR="00605D8D" w:rsidRPr="00030A92" w:rsidRDefault="00605D8D" w:rsidP="00D72695">
            <w:pPr>
              <w:pStyle w:val="TableText"/>
              <w:rPr>
                <w:szCs w:val="20"/>
              </w:rPr>
            </w:pPr>
            <w:r w:rsidRPr="00030A92">
              <w:rPr>
                <w:b/>
                <w:iCs/>
                <w:szCs w:val="20"/>
              </w:rPr>
              <w:t>At least</w:t>
            </w:r>
            <w:r w:rsidRPr="00030A92">
              <w:rPr>
                <w:szCs w:val="20"/>
              </w:rPr>
              <w:t xml:space="preserve"> three weeks</w:t>
            </w:r>
          </w:p>
        </w:tc>
        <w:tc>
          <w:tcPr>
            <w:tcW w:w="4111" w:type="dxa"/>
          </w:tcPr>
          <w:p w:rsidR="00605D8D" w:rsidRPr="00030A92" w:rsidRDefault="00605D8D" w:rsidP="00D72695">
            <w:pPr>
              <w:pStyle w:val="TableText"/>
              <w:rPr>
                <w:szCs w:val="20"/>
              </w:rPr>
            </w:pPr>
            <w:r w:rsidRPr="00030A92">
              <w:rPr>
                <w:szCs w:val="20"/>
              </w:rPr>
              <w:t>Based on guidance notes on statutory rules prepared by the Office of the Chief Parliamentary Counsel, Victoria.</w:t>
            </w:r>
          </w:p>
        </w:tc>
      </w:tr>
    </w:tbl>
    <w:p w:rsidR="00605D8D" w:rsidRPr="00B40862" w:rsidRDefault="00605D8D" w:rsidP="002436EC">
      <w:pPr>
        <w:pStyle w:val="Heading2"/>
        <w:rPr>
          <w:b/>
          <w:i/>
          <w:color w:val="004EA8"/>
          <w:sz w:val="26"/>
          <w:szCs w:val="26"/>
        </w:rPr>
      </w:pPr>
      <w:bookmarkStart w:id="73" w:name="_Toc382908239"/>
      <w:bookmarkStart w:id="74" w:name="_Toc397608131"/>
      <w:r w:rsidRPr="00B40862">
        <w:rPr>
          <w:b/>
          <w:i/>
          <w:color w:val="004EA8"/>
          <w:sz w:val="26"/>
          <w:szCs w:val="26"/>
        </w:rPr>
        <w:t>Charter of Human Rights and Responsibilities Act 2006</w:t>
      </w:r>
      <w:bookmarkEnd w:id="73"/>
      <w:bookmarkEnd w:id="74"/>
    </w:p>
    <w:p w:rsidR="00605D8D" w:rsidRPr="00030A92" w:rsidRDefault="00605D8D" w:rsidP="00605D8D">
      <w:pPr>
        <w:rPr>
          <w:sz w:val="20"/>
          <w:szCs w:val="20"/>
        </w:rPr>
      </w:pPr>
      <w:r w:rsidRPr="00030A92">
        <w:rPr>
          <w:sz w:val="20"/>
          <w:szCs w:val="20"/>
        </w:rPr>
        <w:t xml:space="preserve">The </w:t>
      </w:r>
      <w:r w:rsidRPr="00030A92">
        <w:rPr>
          <w:i/>
          <w:sz w:val="20"/>
          <w:szCs w:val="20"/>
        </w:rPr>
        <w:t>Charter of Human Rights and Responsibilities Act 2006</w:t>
      </w:r>
      <w:r w:rsidRPr="00030A92">
        <w:rPr>
          <w:sz w:val="20"/>
          <w:szCs w:val="20"/>
        </w:rPr>
        <w:t xml:space="preserve"> (‘the Charter Act’) provides a framework for the protection and promotion of human rights in Victoria. The range of rights and freedoms that are protected by the Charter Act are shown below.</w:t>
      </w:r>
    </w:p>
    <w:p w:rsidR="00605D8D" w:rsidRPr="00030A92" w:rsidRDefault="00605D8D" w:rsidP="00605D8D">
      <w:pPr>
        <w:pStyle w:val="Heading3NoNum"/>
        <w:rPr>
          <w:color w:val="auto"/>
          <w:sz w:val="22"/>
        </w:rPr>
      </w:pPr>
      <w:r w:rsidRPr="00030A92">
        <w:rPr>
          <w:color w:val="auto"/>
          <w:sz w:val="22"/>
        </w:rPr>
        <w:t>Human rights and freedoms that are protected in the Charter Act</w:t>
      </w:r>
    </w:p>
    <w:p w:rsidR="00605D8D" w:rsidRPr="00030A92" w:rsidRDefault="00605D8D" w:rsidP="00605D8D">
      <w:pPr>
        <w:pStyle w:val="Bullet1"/>
        <w:rPr>
          <w:sz w:val="20"/>
          <w:szCs w:val="20"/>
        </w:rPr>
      </w:pPr>
      <w:r w:rsidRPr="00030A92">
        <w:rPr>
          <w:sz w:val="20"/>
          <w:szCs w:val="20"/>
        </w:rPr>
        <w:t>recognition and equality before the law;</w:t>
      </w:r>
    </w:p>
    <w:p w:rsidR="00605D8D" w:rsidRPr="00030A92" w:rsidRDefault="00605D8D" w:rsidP="00605D8D">
      <w:pPr>
        <w:pStyle w:val="Bullet1"/>
        <w:rPr>
          <w:sz w:val="20"/>
          <w:szCs w:val="20"/>
        </w:rPr>
      </w:pPr>
      <w:r w:rsidRPr="00030A92">
        <w:rPr>
          <w:sz w:val="20"/>
          <w:szCs w:val="20"/>
        </w:rPr>
        <w:t>right to life;</w:t>
      </w:r>
    </w:p>
    <w:p w:rsidR="00605D8D" w:rsidRPr="00030A92" w:rsidRDefault="00605D8D" w:rsidP="00605D8D">
      <w:pPr>
        <w:pStyle w:val="Bullet1"/>
        <w:rPr>
          <w:sz w:val="20"/>
          <w:szCs w:val="20"/>
        </w:rPr>
      </w:pPr>
      <w:r w:rsidRPr="00030A92">
        <w:rPr>
          <w:sz w:val="20"/>
          <w:szCs w:val="20"/>
        </w:rPr>
        <w:t>protection from torture and cruel, inhuman or degrading treatment;</w:t>
      </w:r>
    </w:p>
    <w:p w:rsidR="00605D8D" w:rsidRPr="00030A92" w:rsidRDefault="00605D8D" w:rsidP="00605D8D">
      <w:pPr>
        <w:pStyle w:val="Bullet1"/>
        <w:rPr>
          <w:sz w:val="20"/>
          <w:szCs w:val="20"/>
        </w:rPr>
      </w:pPr>
      <w:r w:rsidRPr="00030A92">
        <w:rPr>
          <w:sz w:val="20"/>
          <w:szCs w:val="20"/>
        </w:rPr>
        <w:t>freedom from forced work;</w:t>
      </w:r>
    </w:p>
    <w:p w:rsidR="00605D8D" w:rsidRPr="00030A92" w:rsidRDefault="00605D8D" w:rsidP="00605D8D">
      <w:pPr>
        <w:pStyle w:val="Bullet1"/>
        <w:rPr>
          <w:sz w:val="20"/>
          <w:szCs w:val="20"/>
        </w:rPr>
      </w:pPr>
      <w:r w:rsidRPr="00030A92">
        <w:rPr>
          <w:sz w:val="20"/>
          <w:szCs w:val="20"/>
        </w:rPr>
        <w:t>freedom of movement;</w:t>
      </w:r>
    </w:p>
    <w:p w:rsidR="00605D8D" w:rsidRPr="00030A92" w:rsidRDefault="00605D8D" w:rsidP="00605D8D">
      <w:pPr>
        <w:pStyle w:val="Bullet1"/>
        <w:rPr>
          <w:sz w:val="20"/>
          <w:szCs w:val="20"/>
        </w:rPr>
      </w:pPr>
      <w:r w:rsidRPr="00030A92">
        <w:rPr>
          <w:sz w:val="20"/>
          <w:szCs w:val="20"/>
        </w:rPr>
        <w:t>privacy and reputation;</w:t>
      </w:r>
    </w:p>
    <w:p w:rsidR="00605D8D" w:rsidRPr="00030A92" w:rsidRDefault="00605D8D" w:rsidP="00605D8D">
      <w:pPr>
        <w:pStyle w:val="Bullet1"/>
        <w:rPr>
          <w:sz w:val="20"/>
          <w:szCs w:val="20"/>
        </w:rPr>
      </w:pPr>
      <w:r w:rsidRPr="00030A92">
        <w:rPr>
          <w:sz w:val="20"/>
          <w:szCs w:val="20"/>
        </w:rPr>
        <w:t>freedom of thought, conscience, religion and belief;</w:t>
      </w:r>
    </w:p>
    <w:p w:rsidR="00605D8D" w:rsidRPr="00030A92" w:rsidRDefault="00605D8D" w:rsidP="00605D8D">
      <w:pPr>
        <w:pStyle w:val="Bullet1"/>
        <w:rPr>
          <w:sz w:val="20"/>
          <w:szCs w:val="20"/>
        </w:rPr>
      </w:pPr>
      <w:r w:rsidRPr="00030A92">
        <w:rPr>
          <w:sz w:val="20"/>
          <w:szCs w:val="20"/>
        </w:rPr>
        <w:t>freedom of expression;</w:t>
      </w:r>
    </w:p>
    <w:p w:rsidR="00605D8D" w:rsidRPr="00030A92" w:rsidRDefault="00605D8D" w:rsidP="00605D8D">
      <w:pPr>
        <w:pStyle w:val="Bullet1"/>
        <w:rPr>
          <w:sz w:val="20"/>
          <w:szCs w:val="20"/>
        </w:rPr>
      </w:pPr>
      <w:r w:rsidRPr="00030A92">
        <w:rPr>
          <w:sz w:val="20"/>
          <w:szCs w:val="20"/>
        </w:rPr>
        <w:t>peaceful assembly and freedom of association;</w:t>
      </w:r>
    </w:p>
    <w:p w:rsidR="00605D8D" w:rsidRPr="00030A92" w:rsidRDefault="00605D8D" w:rsidP="00605D8D">
      <w:pPr>
        <w:pStyle w:val="Bullet1"/>
        <w:rPr>
          <w:sz w:val="20"/>
          <w:szCs w:val="20"/>
        </w:rPr>
      </w:pPr>
      <w:r w:rsidRPr="00030A92">
        <w:rPr>
          <w:sz w:val="20"/>
          <w:szCs w:val="20"/>
        </w:rPr>
        <w:t>protection of families and children;</w:t>
      </w:r>
    </w:p>
    <w:p w:rsidR="00605D8D" w:rsidRPr="00030A92" w:rsidRDefault="00605D8D" w:rsidP="00605D8D">
      <w:pPr>
        <w:pStyle w:val="Bullet1"/>
        <w:rPr>
          <w:sz w:val="20"/>
          <w:szCs w:val="20"/>
        </w:rPr>
      </w:pPr>
      <w:r w:rsidRPr="00030A92">
        <w:rPr>
          <w:sz w:val="20"/>
          <w:szCs w:val="20"/>
        </w:rPr>
        <w:t>rights to take part in public life;</w:t>
      </w:r>
    </w:p>
    <w:p w:rsidR="00605D8D" w:rsidRPr="00030A92" w:rsidRDefault="00605D8D" w:rsidP="00605D8D">
      <w:pPr>
        <w:pStyle w:val="Bullet1"/>
        <w:rPr>
          <w:sz w:val="20"/>
          <w:szCs w:val="20"/>
        </w:rPr>
      </w:pPr>
      <w:r w:rsidRPr="00030A92">
        <w:rPr>
          <w:sz w:val="20"/>
          <w:szCs w:val="20"/>
        </w:rPr>
        <w:t>cultural rights;</w:t>
      </w:r>
    </w:p>
    <w:p w:rsidR="00605D8D" w:rsidRPr="00030A92" w:rsidRDefault="00605D8D" w:rsidP="00605D8D">
      <w:pPr>
        <w:pStyle w:val="Bullet1"/>
        <w:rPr>
          <w:sz w:val="20"/>
          <w:szCs w:val="20"/>
        </w:rPr>
      </w:pPr>
      <w:r w:rsidRPr="00030A92">
        <w:rPr>
          <w:sz w:val="20"/>
          <w:szCs w:val="20"/>
        </w:rPr>
        <w:t>property rights;</w:t>
      </w:r>
    </w:p>
    <w:p w:rsidR="00605D8D" w:rsidRPr="00030A92" w:rsidRDefault="00605D8D" w:rsidP="00605D8D">
      <w:pPr>
        <w:pStyle w:val="Bullet1"/>
        <w:rPr>
          <w:sz w:val="20"/>
          <w:szCs w:val="20"/>
        </w:rPr>
      </w:pPr>
      <w:r w:rsidRPr="00030A92">
        <w:rPr>
          <w:sz w:val="20"/>
          <w:szCs w:val="20"/>
        </w:rPr>
        <w:t>right to liberty and security of person;</w:t>
      </w:r>
    </w:p>
    <w:p w:rsidR="00605D8D" w:rsidRPr="00030A92" w:rsidRDefault="00605D8D" w:rsidP="00605D8D">
      <w:pPr>
        <w:pStyle w:val="Bullet1"/>
        <w:rPr>
          <w:sz w:val="20"/>
          <w:szCs w:val="20"/>
        </w:rPr>
      </w:pPr>
      <w:r w:rsidRPr="00030A92">
        <w:rPr>
          <w:sz w:val="20"/>
          <w:szCs w:val="20"/>
        </w:rPr>
        <w:t>humane treatment when deprived of liberty;</w:t>
      </w:r>
    </w:p>
    <w:p w:rsidR="00605D8D" w:rsidRPr="00030A92" w:rsidRDefault="00605D8D" w:rsidP="00605D8D">
      <w:pPr>
        <w:pStyle w:val="Bullet1"/>
        <w:rPr>
          <w:sz w:val="20"/>
          <w:szCs w:val="20"/>
        </w:rPr>
      </w:pPr>
      <w:r w:rsidRPr="00030A92">
        <w:rPr>
          <w:sz w:val="20"/>
          <w:szCs w:val="20"/>
        </w:rPr>
        <w:t>rights of children in the criminal process;</w:t>
      </w:r>
    </w:p>
    <w:p w:rsidR="00605D8D" w:rsidRPr="00030A92" w:rsidRDefault="00605D8D" w:rsidP="00605D8D">
      <w:pPr>
        <w:pStyle w:val="Bullet1"/>
        <w:rPr>
          <w:sz w:val="20"/>
          <w:szCs w:val="20"/>
        </w:rPr>
      </w:pPr>
      <w:r w:rsidRPr="00030A92">
        <w:rPr>
          <w:sz w:val="20"/>
          <w:szCs w:val="20"/>
        </w:rPr>
        <w:t>right to a fair hearing;</w:t>
      </w:r>
    </w:p>
    <w:p w:rsidR="00605D8D" w:rsidRPr="00030A92" w:rsidRDefault="00605D8D" w:rsidP="00605D8D">
      <w:pPr>
        <w:pStyle w:val="Bullet1"/>
        <w:rPr>
          <w:sz w:val="20"/>
          <w:szCs w:val="20"/>
        </w:rPr>
      </w:pPr>
      <w:r w:rsidRPr="00030A92">
        <w:rPr>
          <w:sz w:val="20"/>
          <w:szCs w:val="20"/>
        </w:rPr>
        <w:t>rights in criminal proceedings;</w:t>
      </w:r>
    </w:p>
    <w:p w:rsidR="00605D8D" w:rsidRPr="00030A92" w:rsidRDefault="00605D8D" w:rsidP="00605D8D">
      <w:pPr>
        <w:pStyle w:val="Bullet1"/>
        <w:rPr>
          <w:sz w:val="20"/>
          <w:szCs w:val="20"/>
        </w:rPr>
      </w:pPr>
      <w:r w:rsidRPr="00030A92">
        <w:rPr>
          <w:sz w:val="20"/>
          <w:szCs w:val="20"/>
        </w:rPr>
        <w:t>right not to be tried or punished more than once; and</w:t>
      </w:r>
    </w:p>
    <w:p w:rsidR="00605D8D" w:rsidRPr="00030A92" w:rsidRDefault="00605D8D" w:rsidP="00605D8D">
      <w:pPr>
        <w:pStyle w:val="Bullet1"/>
        <w:rPr>
          <w:sz w:val="20"/>
          <w:szCs w:val="20"/>
        </w:rPr>
      </w:pPr>
      <w:proofErr w:type="gramStart"/>
      <w:r w:rsidRPr="00030A92">
        <w:rPr>
          <w:sz w:val="20"/>
          <w:szCs w:val="20"/>
        </w:rPr>
        <w:t>retrospective</w:t>
      </w:r>
      <w:proofErr w:type="gramEnd"/>
      <w:r w:rsidRPr="00030A92">
        <w:rPr>
          <w:sz w:val="20"/>
          <w:szCs w:val="20"/>
        </w:rPr>
        <w:t xml:space="preserve"> criminal laws.</w:t>
      </w:r>
    </w:p>
    <w:p w:rsidR="00605D8D" w:rsidRPr="00030A92" w:rsidRDefault="00605D8D" w:rsidP="00605D8D">
      <w:pPr>
        <w:rPr>
          <w:sz w:val="20"/>
          <w:szCs w:val="20"/>
        </w:rPr>
      </w:pPr>
      <w:r w:rsidRPr="00030A92">
        <w:rPr>
          <w:sz w:val="20"/>
          <w:szCs w:val="20"/>
        </w:rPr>
        <w:t>The Charter Act is intended to be an integral part of policy development. In addition to legislative proposals, it applies to a broad range of policy proposals, operational guidelines and other programs that are put before Cabinet. Because of this broad scope, separate guidance material has been developed for government departments and agencies by the Human Rights Units of the Department of Justice, and training in the obligations under the Charter Act is being provided to the legal areas of government departments/agencies.</w:t>
      </w:r>
    </w:p>
    <w:p w:rsidR="00584FDB" w:rsidRPr="00644151" w:rsidRDefault="00605D8D" w:rsidP="00644151">
      <w:pPr>
        <w:rPr>
          <w:sz w:val="20"/>
          <w:szCs w:val="20"/>
        </w:rPr>
      </w:pPr>
      <w:r w:rsidRPr="00030A92">
        <w:rPr>
          <w:sz w:val="20"/>
          <w:szCs w:val="20"/>
        </w:rPr>
        <w:t xml:space="preserve">Because the Charter Act applies to the preparation of new Bills, statutory rules and legislative instruments, this </w:t>
      </w:r>
      <w:r w:rsidR="00D13659" w:rsidRPr="00030A92">
        <w:rPr>
          <w:sz w:val="20"/>
          <w:szCs w:val="20"/>
        </w:rPr>
        <w:t>section </w:t>
      </w:r>
      <w:r w:rsidRPr="00030A92">
        <w:rPr>
          <w:sz w:val="20"/>
          <w:szCs w:val="20"/>
        </w:rPr>
        <w:t xml:space="preserve">of the guide provides an overview of the Act’s key features and the obligations it imposes, focusing on the implications for primary and subordinate legislation. This overview is intended primarily to raise awareness about the Charter Act, but in no way should be treated as a substitute for the more extensive guidance material that is being developed for government departments/agencies by the Department of Justice (see contact details at the end of this section). </w:t>
      </w:r>
      <w:bookmarkStart w:id="75" w:name="_Toc365449613"/>
      <w:bookmarkStart w:id="76" w:name="_Toc365451090"/>
      <w:bookmarkStart w:id="77" w:name="_Toc365451395"/>
      <w:bookmarkStart w:id="78" w:name="_Toc365451472"/>
      <w:bookmarkStart w:id="79" w:name="_Toc365451545"/>
      <w:bookmarkStart w:id="80" w:name="_Toc366165845"/>
      <w:bookmarkStart w:id="81" w:name="_Toc366165918"/>
      <w:bookmarkStart w:id="82" w:name="_Toc366166047"/>
      <w:bookmarkStart w:id="83" w:name="_Toc366166220"/>
      <w:bookmarkStart w:id="84" w:name="_Toc382838347"/>
      <w:bookmarkEnd w:id="75"/>
      <w:bookmarkEnd w:id="76"/>
      <w:bookmarkEnd w:id="77"/>
      <w:bookmarkEnd w:id="78"/>
      <w:bookmarkEnd w:id="79"/>
      <w:bookmarkEnd w:id="80"/>
      <w:bookmarkEnd w:id="81"/>
      <w:bookmarkEnd w:id="82"/>
      <w:bookmarkEnd w:id="83"/>
      <w:bookmarkEnd w:id="84"/>
    </w:p>
    <w:p w:rsidR="00605D8D" w:rsidRPr="00B40862" w:rsidRDefault="00605D8D" w:rsidP="00605D8D">
      <w:pPr>
        <w:pStyle w:val="Heading3"/>
        <w:rPr>
          <w:b w:val="0"/>
          <w:bCs/>
          <w:color w:val="004EA8"/>
        </w:rPr>
      </w:pPr>
      <w:r w:rsidRPr="00B40862">
        <w:rPr>
          <w:b w:val="0"/>
          <w:color w:val="004EA8"/>
        </w:rPr>
        <w:t>Overview of the human rights impact assessment process</w:t>
      </w:r>
    </w:p>
    <w:p w:rsidR="00605D8D" w:rsidRPr="00030A92" w:rsidRDefault="00605D8D" w:rsidP="00605D8D">
      <w:pPr>
        <w:rPr>
          <w:sz w:val="20"/>
          <w:szCs w:val="20"/>
        </w:rPr>
      </w:pPr>
      <w:r w:rsidRPr="00030A92">
        <w:rPr>
          <w:sz w:val="20"/>
          <w:szCs w:val="20"/>
        </w:rPr>
        <w:t xml:space="preserve">There are a number of steps involved to ensure that a proposal (whether it be a policy proposal, Bill or proposed subordinate legislation) is compatible with the Charter Act. The first is to consider whether the proposal raises any human rights issues, and identify each human right that the proposal might impact upon. </w:t>
      </w:r>
    </w:p>
    <w:p w:rsidR="00605D8D" w:rsidRPr="00030A92" w:rsidRDefault="00605D8D" w:rsidP="00605D8D">
      <w:pPr>
        <w:rPr>
          <w:sz w:val="20"/>
          <w:szCs w:val="20"/>
        </w:rPr>
      </w:pPr>
      <w:r w:rsidRPr="00030A92">
        <w:rPr>
          <w:sz w:val="20"/>
          <w:szCs w:val="20"/>
        </w:rPr>
        <w:t xml:space="preserve">Secondly, the scope of the each human right raised by the proposal should be considered. At this stage, account should be taken of any specific limitation or express exceptions that appear in the </w:t>
      </w:r>
      <w:r w:rsidR="00D13659" w:rsidRPr="00030A92">
        <w:rPr>
          <w:sz w:val="20"/>
          <w:szCs w:val="20"/>
        </w:rPr>
        <w:t>section </w:t>
      </w:r>
      <w:r w:rsidRPr="00030A92">
        <w:rPr>
          <w:sz w:val="20"/>
          <w:szCs w:val="20"/>
        </w:rPr>
        <w:t xml:space="preserve">providing for that right in the Charter Act. </w:t>
      </w:r>
    </w:p>
    <w:p w:rsidR="00605D8D" w:rsidRPr="00030A92" w:rsidRDefault="00605D8D" w:rsidP="00605D8D">
      <w:pPr>
        <w:rPr>
          <w:sz w:val="20"/>
          <w:szCs w:val="20"/>
        </w:rPr>
      </w:pPr>
      <w:r w:rsidRPr="00030A92">
        <w:rPr>
          <w:sz w:val="20"/>
          <w:szCs w:val="20"/>
        </w:rPr>
        <w:t xml:space="preserve">The third step is to consider whether the proposal limits, restricts or interferes with the scope of the right. </w:t>
      </w:r>
    </w:p>
    <w:p w:rsidR="00605D8D" w:rsidRPr="00030A92" w:rsidRDefault="00605D8D" w:rsidP="00605D8D">
      <w:pPr>
        <w:rPr>
          <w:sz w:val="20"/>
          <w:szCs w:val="20"/>
        </w:rPr>
      </w:pPr>
      <w:r w:rsidRPr="00030A92">
        <w:rPr>
          <w:sz w:val="20"/>
          <w:szCs w:val="20"/>
        </w:rPr>
        <w:t xml:space="preserve">The fourth step is to consider whether that limitation or restriction is reasonable and demonstrably justified under </w:t>
      </w:r>
      <w:r w:rsidR="00D13659" w:rsidRPr="00030A92">
        <w:rPr>
          <w:sz w:val="20"/>
          <w:szCs w:val="20"/>
        </w:rPr>
        <w:t>section </w:t>
      </w:r>
      <w:r w:rsidRPr="00030A92">
        <w:rPr>
          <w:sz w:val="20"/>
          <w:szCs w:val="20"/>
        </w:rPr>
        <w:t>7 of the Charter Act (see the following sub</w:t>
      </w:r>
      <w:r w:rsidRPr="00030A92">
        <w:rPr>
          <w:sz w:val="20"/>
          <w:szCs w:val="20"/>
        </w:rPr>
        <w:noBreakHyphen/>
      </w:r>
      <w:r w:rsidR="00D13659" w:rsidRPr="00030A92">
        <w:rPr>
          <w:sz w:val="20"/>
          <w:szCs w:val="20"/>
        </w:rPr>
        <w:t>section </w:t>
      </w:r>
      <w:r w:rsidRPr="00030A92">
        <w:rPr>
          <w:sz w:val="20"/>
          <w:szCs w:val="20"/>
        </w:rPr>
        <w:t xml:space="preserve">for further details). This would require identification of all the reasons why the limitation or restriction on the right is justified. These may be extensive. This information is required for the preparation of a Statement of Compatibility or Human Rights Certificate (discussed in </w:t>
      </w:r>
      <w:r w:rsidR="00E31815" w:rsidRPr="00030A92">
        <w:rPr>
          <w:sz w:val="20"/>
          <w:szCs w:val="20"/>
        </w:rPr>
        <w:t>Attachment 1</w:t>
      </w:r>
      <w:r w:rsidR="00D13659" w:rsidRPr="00030A92">
        <w:rPr>
          <w:sz w:val="20"/>
          <w:szCs w:val="20"/>
        </w:rPr>
        <w:t> </w:t>
      </w:r>
      <w:r w:rsidRPr="00030A92">
        <w:rPr>
          <w:sz w:val="20"/>
          <w:szCs w:val="20"/>
        </w:rPr>
        <w:t>below).</w:t>
      </w:r>
    </w:p>
    <w:p w:rsidR="00605D8D" w:rsidRPr="00030A92" w:rsidRDefault="00605D8D" w:rsidP="00605D8D">
      <w:pPr>
        <w:rPr>
          <w:sz w:val="20"/>
          <w:szCs w:val="20"/>
        </w:rPr>
      </w:pPr>
      <w:r w:rsidRPr="00030A92">
        <w:rPr>
          <w:sz w:val="20"/>
          <w:szCs w:val="20"/>
        </w:rPr>
        <w:t>If it is determined that any limitations or restrictions are not reasonable or demonstrably justified, then the fifth step is to modify the proposal. On some occasions, which are likely to be rare, it may not be possible to modify the proposals. In these situations, reasons will need to be given as to the nature and extent of the incompatibility.</w:t>
      </w:r>
    </w:p>
    <w:p w:rsidR="00605D8D" w:rsidRPr="00030A92" w:rsidRDefault="00605D8D" w:rsidP="00605D8D">
      <w:pPr>
        <w:rPr>
          <w:sz w:val="20"/>
          <w:szCs w:val="20"/>
        </w:rPr>
      </w:pPr>
      <w:r w:rsidRPr="00030A92">
        <w:rPr>
          <w:sz w:val="20"/>
          <w:szCs w:val="20"/>
        </w:rPr>
        <w:t xml:space="preserve">Figure </w:t>
      </w:r>
      <w:r w:rsidR="00E31815" w:rsidRPr="00030A92">
        <w:rPr>
          <w:sz w:val="20"/>
          <w:szCs w:val="20"/>
        </w:rPr>
        <w:t xml:space="preserve">4 </w:t>
      </w:r>
      <w:r w:rsidRPr="00030A92">
        <w:rPr>
          <w:sz w:val="20"/>
          <w:szCs w:val="20"/>
        </w:rPr>
        <w:t>illustrates the various stages involved in the human rights assessment process.</w:t>
      </w:r>
    </w:p>
    <w:p w:rsidR="00605D8D" w:rsidRPr="00030A92" w:rsidRDefault="004E7631" w:rsidP="00605D8D">
      <w:pPr>
        <w:pStyle w:val="Caption"/>
      </w:pPr>
      <w:r w:rsidRPr="00030A92">
        <w:t>Figure</w:t>
      </w:r>
      <w:r w:rsidR="00E31815" w:rsidRPr="00030A92">
        <w:t xml:space="preserve"> 4</w:t>
      </w:r>
      <w:r w:rsidR="00605D8D" w:rsidRPr="00030A92">
        <w:t>: Flow chart of human rights impact assessment</w:t>
      </w:r>
    </w:p>
    <w:p w:rsidR="00605D8D" w:rsidRDefault="000B2629" w:rsidP="00605D8D">
      <w:r>
        <w:object w:dxaOrig="8540" w:dyaOrig="6895">
          <v:shape id="_x0000_i1028" type="#_x0000_t75" style="width:426.55pt;height:345.1pt" o:ole="">
            <v:imagedata r:id="rId23" o:title=""/>
          </v:shape>
          <o:OLEObject Type="Embed" ProgID="Visio.Drawing.11" ShapeID="_x0000_i1028" DrawAspect="Content" ObjectID="_1540619618" r:id="rId24"/>
        </w:object>
      </w:r>
    </w:p>
    <w:p w:rsidR="00605D8D" w:rsidRPr="00030A92" w:rsidRDefault="00605D8D" w:rsidP="00605D8D">
      <w:pPr>
        <w:pStyle w:val="Heading4NoNum"/>
        <w:rPr>
          <w:color w:val="auto"/>
        </w:rPr>
      </w:pPr>
      <w:r w:rsidRPr="00030A92">
        <w:rPr>
          <w:color w:val="auto"/>
        </w:rPr>
        <w:t xml:space="preserve">Reasonable limitations – </w:t>
      </w:r>
      <w:r w:rsidR="00D13659" w:rsidRPr="00030A92">
        <w:rPr>
          <w:color w:val="auto"/>
        </w:rPr>
        <w:t>section </w:t>
      </w:r>
      <w:r w:rsidRPr="00030A92">
        <w:rPr>
          <w:color w:val="auto"/>
        </w:rPr>
        <w:t>7 of the Charter Act</w:t>
      </w:r>
    </w:p>
    <w:p w:rsidR="00605D8D" w:rsidRPr="00030A92" w:rsidRDefault="00605D8D" w:rsidP="00605D8D">
      <w:pPr>
        <w:rPr>
          <w:sz w:val="20"/>
          <w:szCs w:val="20"/>
        </w:rPr>
      </w:pPr>
      <w:r w:rsidRPr="00030A92">
        <w:rPr>
          <w:sz w:val="20"/>
          <w:szCs w:val="20"/>
        </w:rPr>
        <w:t>All of the human rights in the Charter Act are subject to a general limitations clause (</w:t>
      </w:r>
      <w:r w:rsidR="00D13659" w:rsidRPr="00030A92">
        <w:rPr>
          <w:sz w:val="20"/>
          <w:szCs w:val="20"/>
        </w:rPr>
        <w:t>section </w:t>
      </w:r>
      <w:r w:rsidRPr="00030A92">
        <w:rPr>
          <w:sz w:val="20"/>
          <w:szCs w:val="20"/>
        </w:rPr>
        <w:t xml:space="preserve">7 of the Act), which means that the human rights not absolute. In other words, the Charter Act recognises that, under certain circumstances, a human right may be limited, and there may be grounds for a policy or legislative proposal to limit, restrict or interfere with human rights if: </w:t>
      </w:r>
    </w:p>
    <w:p w:rsidR="00605D8D" w:rsidRPr="00030A92" w:rsidRDefault="00605D8D" w:rsidP="00605D8D">
      <w:pPr>
        <w:pStyle w:val="Bullet1"/>
        <w:rPr>
          <w:sz w:val="20"/>
          <w:szCs w:val="20"/>
        </w:rPr>
      </w:pPr>
      <w:r w:rsidRPr="00030A92">
        <w:rPr>
          <w:sz w:val="20"/>
          <w:szCs w:val="20"/>
        </w:rPr>
        <w:t>the limit is provided under law (e.g. an Act, regulation or the common law);</w:t>
      </w:r>
    </w:p>
    <w:p w:rsidR="00605D8D" w:rsidRPr="00030A92" w:rsidRDefault="00605D8D" w:rsidP="00605D8D">
      <w:pPr>
        <w:pStyle w:val="Bullet1"/>
        <w:rPr>
          <w:sz w:val="20"/>
          <w:szCs w:val="20"/>
        </w:rPr>
      </w:pPr>
      <w:r w:rsidRPr="00030A92">
        <w:rPr>
          <w:sz w:val="20"/>
          <w:szCs w:val="20"/>
        </w:rPr>
        <w:t>it is considered reasonable; and</w:t>
      </w:r>
    </w:p>
    <w:p w:rsidR="00605D8D" w:rsidRPr="00030A92" w:rsidRDefault="00605D8D" w:rsidP="00605D8D">
      <w:pPr>
        <w:pStyle w:val="Bullet1"/>
        <w:rPr>
          <w:sz w:val="20"/>
          <w:szCs w:val="20"/>
        </w:rPr>
      </w:pPr>
      <w:proofErr w:type="gramStart"/>
      <w:r w:rsidRPr="00030A92">
        <w:rPr>
          <w:sz w:val="20"/>
          <w:szCs w:val="20"/>
        </w:rPr>
        <w:t>its</w:t>
      </w:r>
      <w:proofErr w:type="gramEnd"/>
      <w:r w:rsidRPr="00030A92">
        <w:rPr>
          <w:sz w:val="20"/>
          <w:szCs w:val="20"/>
        </w:rPr>
        <w:t xml:space="preserve"> imposition on the human right must be demonstrably justified in a free and democratic society based on human dignity, equality and freedom.</w:t>
      </w:r>
    </w:p>
    <w:p w:rsidR="00605D8D" w:rsidRPr="00030A92" w:rsidRDefault="00605D8D" w:rsidP="00605D8D">
      <w:pPr>
        <w:rPr>
          <w:sz w:val="20"/>
          <w:szCs w:val="20"/>
        </w:rPr>
      </w:pPr>
      <w:r w:rsidRPr="00030A92">
        <w:rPr>
          <w:sz w:val="20"/>
          <w:szCs w:val="20"/>
        </w:rPr>
        <w:t xml:space="preserve">In determining whether a limit is reasonable, </w:t>
      </w:r>
      <w:r w:rsidR="00D13659" w:rsidRPr="00030A92">
        <w:rPr>
          <w:sz w:val="20"/>
          <w:szCs w:val="20"/>
        </w:rPr>
        <w:t>section </w:t>
      </w:r>
      <w:r w:rsidRPr="00030A92">
        <w:rPr>
          <w:sz w:val="20"/>
          <w:szCs w:val="20"/>
        </w:rPr>
        <w:t>7 states that all relevant factors should be taken into account, including (but not limited to) those identified below.</w:t>
      </w:r>
    </w:p>
    <w:p w:rsidR="00605D8D" w:rsidRPr="00030A92" w:rsidRDefault="00605D8D" w:rsidP="00605D8D">
      <w:pPr>
        <w:pStyle w:val="Heading4NoNum"/>
        <w:rPr>
          <w:color w:val="auto"/>
        </w:rPr>
      </w:pPr>
      <w:r w:rsidRPr="00030A92">
        <w:rPr>
          <w:color w:val="auto"/>
        </w:rPr>
        <w:t>Relevant factors to take into account in determining whether a limit to a human right is ‘reasonable’</w:t>
      </w:r>
    </w:p>
    <w:p w:rsidR="00605D8D" w:rsidRPr="00030A92" w:rsidRDefault="00605D8D" w:rsidP="00605D8D">
      <w:pPr>
        <w:pStyle w:val="Bullet1"/>
        <w:rPr>
          <w:sz w:val="20"/>
          <w:szCs w:val="20"/>
        </w:rPr>
      </w:pPr>
      <w:r w:rsidRPr="00030A92">
        <w:rPr>
          <w:sz w:val="20"/>
          <w:szCs w:val="20"/>
        </w:rPr>
        <w:t>The nature of the right: if the right is a robust and important right (e.g. an absolute right in international law, such as the right to life or protection from torture), then more weight should be given to the human right when it is being balanced against the proposed limit, restriction or form of interference.</w:t>
      </w:r>
    </w:p>
    <w:p w:rsidR="00605D8D" w:rsidRPr="00030A92" w:rsidRDefault="00605D8D" w:rsidP="00605D8D">
      <w:pPr>
        <w:pStyle w:val="Bullet1"/>
        <w:rPr>
          <w:sz w:val="20"/>
          <w:szCs w:val="20"/>
        </w:rPr>
      </w:pPr>
      <w:r w:rsidRPr="00030A92">
        <w:rPr>
          <w:sz w:val="20"/>
          <w:szCs w:val="20"/>
        </w:rPr>
        <w:t>The importance of the purpose of the limitation: a specific rather than general area of public or social concern should be addressed by the limit and that area of concern should be important, not trivial.</w:t>
      </w:r>
    </w:p>
    <w:p w:rsidR="00605D8D" w:rsidRPr="00030A92" w:rsidRDefault="00605D8D" w:rsidP="00605D8D">
      <w:pPr>
        <w:pStyle w:val="Bullet1"/>
        <w:rPr>
          <w:sz w:val="20"/>
          <w:szCs w:val="20"/>
        </w:rPr>
      </w:pPr>
      <w:r w:rsidRPr="00030A92">
        <w:rPr>
          <w:sz w:val="20"/>
          <w:szCs w:val="20"/>
        </w:rPr>
        <w:t>Nature and extent of the limitation: it is necessary to ascertain the precise way in which the limit constrains the right.</w:t>
      </w:r>
    </w:p>
    <w:p w:rsidR="00605D8D" w:rsidRPr="00030A92" w:rsidRDefault="00605D8D" w:rsidP="00605D8D">
      <w:pPr>
        <w:pStyle w:val="Bullet1"/>
        <w:rPr>
          <w:sz w:val="20"/>
          <w:szCs w:val="20"/>
        </w:rPr>
      </w:pPr>
      <w:r w:rsidRPr="00030A92">
        <w:rPr>
          <w:sz w:val="20"/>
          <w:szCs w:val="20"/>
        </w:rPr>
        <w:t>Relationship between the limitation and its purpose: for a limitation to a right to be reasonable, there should be a rational connection between the nature and extent of the limitation and the purpose which that limitation seeks to achieve. There should also be proportionality between the purpose of the limitation and the means employed to achieve that purpose.</w:t>
      </w:r>
    </w:p>
    <w:p w:rsidR="00605D8D" w:rsidRPr="00030A92" w:rsidRDefault="00605D8D" w:rsidP="00605D8D">
      <w:pPr>
        <w:pStyle w:val="Bullet1"/>
        <w:rPr>
          <w:sz w:val="20"/>
          <w:szCs w:val="20"/>
        </w:rPr>
      </w:pPr>
      <w:r w:rsidRPr="00030A92">
        <w:rPr>
          <w:sz w:val="20"/>
          <w:szCs w:val="20"/>
        </w:rPr>
        <w:t>Any less restrictive means reasonably available to achieve the purpose that the limitation seeks to achieve: to be reasonable, the limit must impair the right no more than is reasonably necessary. If there is another available way that the purpose for which the limitation has been imposed could be achieved which would have a lesser adverse impact on the human right, then the limit may be deemed to be unreasonable.</w:t>
      </w:r>
    </w:p>
    <w:p w:rsidR="00605D8D" w:rsidRPr="00B40862" w:rsidRDefault="00605D8D" w:rsidP="00605D8D">
      <w:pPr>
        <w:pStyle w:val="Heading3"/>
        <w:rPr>
          <w:b w:val="0"/>
          <w:bCs/>
          <w:color w:val="004EA8"/>
        </w:rPr>
      </w:pPr>
      <w:r w:rsidRPr="00B40862">
        <w:rPr>
          <w:b w:val="0"/>
          <w:color w:val="004EA8"/>
        </w:rPr>
        <w:t>Impact of the Charter Act on the preparation of legislation</w:t>
      </w:r>
    </w:p>
    <w:p w:rsidR="00605D8D" w:rsidRPr="00030A92" w:rsidRDefault="00605D8D" w:rsidP="00605D8D">
      <w:pPr>
        <w:rPr>
          <w:sz w:val="20"/>
          <w:szCs w:val="20"/>
        </w:rPr>
      </w:pPr>
      <w:r w:rsidRPr="00030A92">
        <w:rPr>
          <w:sz w:val="20"/>
          <w:szCs w:val="20"/>
        </w:rPr>
        <w:t xml:space="preserve">This </w:t>
      </w:r>
      <w:r w:rsidR="00D13659" w:rsidRPr="00030A92">
        <w:rPr>
          <w:sz w:val="20"/>
          <w:szCs w:val="20"/>
        </w:rPr>
        <w:t>section </w:t>
      </w:r>
      <w:r w:rsidRPr="00030A92">
        <w:rPr>
          <w:sz w:val="20"/>
          <w:szCs w:val="20"/>
        </w:rPr>
        <w:t>summarises the various process that now have to be followed for both primary legislative proposals (‘Bills’) and subordinate legislation (in the form of statutory rules and legislative instruments) to demonstrate compatibility with the Charter Act.</w:t>
      </w:r>
    </w:p>
    <w:p w:rsidR="00584FDB" w:rsidRPr="00644151" w:rsidRDefault="00605D8D" w:rsidP="00644151">
      <w:pPr>
        <w:rPr>
          <w:sz w:val="20"/>
          <w:szCs w:val="20"/>
        </w:rPr>
      </w:pPr>
      <w:r w:rsidRPr="00030A92">
        <w:rPr>
          <w:sz w:val="20"/>
          <w:szCs w:val="20"/>
        </w:rPr>
        <w:t xml:space="preserve">It is important that these processes are followed, and that compatibility is adequately demonstrated, because the functions of the Scrutiny of Acts and Regulations Committee now include considering whether any Bill introduced is incompatible with human rights and whether any statutory rule or legislative instrument is </w:t>
      </w:r>
      <w:r w:rsidR="00644151">
        <w:rPr>
          <w:sz w:val="20"/>
          <w:szCs w:val="20"/>
        </w:rPr>
        <w:t>incompatible with human rights.</w:t>
      </w:r>
    </w:p>
    <w:p w:rsidR="00605D8D" w:rsidRPr="00030A92" w:rsidRDefault="00605D8D" w:rsidP="00605D8D">
      <w:pPr>
        <w:pStyle w:val="Heading4NoNum"/>
        <w:rPr>
          <w:color w:val="auto"/>
        </w:rPr>
      </w:pPr>
      <w:r w:rsidRPr="00030A92">
        <w:rPr>
          <w:color w:val="auto"/>
        </w:rPr>
        <w:t>Primary legislative proposals (‘Bills’)</w:t>
      </w:r>
    </w:p>
    <w:p w:rsidR="00605D8D" w:rsidRPr="00030A92" w:rsidRDefault="00605D8D" w:rsidP="00605D8D">
      <w:pPr>
        <w:rPr>
          <w:sz w:val="20"/>
          <w:szCs w:val="20"/>
        </w:rPr>
      </w:pPr>
      <w:r w:rsidRPr="00030A92">
        <w:rPr>
          <w:sz w:val="20"/>
          <w:szCs w:val="20"/>
        </w:rPr>
        <w:t xml:space="preserve">Cabinet Submissions for </w:t>
      </w:r>
      <w:r w:rsidRPr="00030A92">
        <w:rPr>
          <w:b/>
          <w:sz w:val="20"/>
          <w:szCs w:val="20"/>
        </w:rPr>
        <w:t>approval</w:t>
      </w:r>
      <w:r w:rsidRPr="00030A92">
        <w:rPr>
          <w:b/>
          <w:sz w:val="20"/>
          <w:szCs w:val="20"/>
        </w:rPr>
        <w:noBreakHyphen/>
        <w:t>in</w:t>
      </w:r>
      <w:r w:rsidRPr="00030A92">
        <w:rPr>
          <w:b/>
          <w:sz w:val="20"/>
          <w:szCs w:val="20"/>
        </w:rPr>
        <w:noBreakHyphen/>
        <w:t>principle</w:t>
      </w:r>
      <w:r w:rsidRPr="00030A92">
        <w:rPr>
          <w:sz w:val="20"/>
          <w:szCs w:val="20"/>
        </w:rPr>
        <w:t xml:space="preserve"> of a legislative proposal must include a detailed overview of the human rights impacts of the proposal. Officers should identify which human rights issues the proposed legislation raises; whether the department has sought advice in relation to the proposal; and whether the proposal can be developed compatibly with the Charter Act.</w:t>
      </w:r>
    </w:p>
    <w:p w:rsidR="00605D8D" w:rsidRPr="00030A92" w:rsidRDefault="00605D8D" w:rsidP="00605D8D">
      <w:pPr>
        <w:rPr>
          <w:sz w:val="20"/>
          <w:szCs w:val="20"/>
        </w:rPr>
      </w:pPr>
      <w:r w:rsidRPr="00030A92">
        <w:rPr>
          <w:sz w:val="20"/>
          <w:szCs w:val="20"/>
        </w:rPr>
        <w:t xml:space="preserve">At the </w:t>
      </w:r>
      <w:r w:rsidRPr="00030A92">
        <w:rPr>
          <w:b/>
          <w:sz w:val="20"/>
          <w:szCs w:val="20"/>
        </w:rPr>
        <w:t>Bill</w:t>
      </w:r>
      <w:r w:rsidRPr="00030A92">
        <w:rPr>
          <w:b/>
          <w:sz w:val="20"/>
          <w:szCs w:val="20"/>
        </w:rPr>
        <w:noBreakHyphen/>
        <w:t>at</w:t>
      </w:r>
      <w:r w:rsidRPr="00030A92">
        <w:rPr>
          <w:b/>
          <w:sz w:val="20"/>
          <w:szCs w:val="20"/>
        </w:rPr>
        <w:noBreakHyphen/>
        <w:t>Cabinet stage</w:t>
      </w:r>
      <w:r w:rsidRPr="00030A92">
        <w:rPr>
          <w:sz w:val="20"/>
          <w:szCs w:val="20"/>
        </w:rPr>
        <w:t xml:space="preserve">, Submissions for final approval of Bills must state whether or not the Bill is compatible with the Charter Act. </w:t>
      </w:r>
      <w:r w:rsidRPr="00030A92">
        <w:rPr>
          <w:b/>
          <w:sz w:val="20"/>
          <w:szCs w:val="20"/>
        </w:rPr>
        <w:t>The Statement of Compatibility</w:t>
      </w:r>
      <w:r w:rsidRPr="00030A92">
        <w:rPr>
          <w:sz w:val="20"/>
          <w:szCs w:val="20"/>
        </w:rPr>
        <w:t xml:space="preserve"> (see below) must be attached to the Cabinet Submission. The recommendations in the Submission must include a recommendation that Cabinet note the Statement of Compatibility.</w:t>
      </w:r>
    </w:p>
    <w:p w:rsidR="00605D8D" w:rsidRPr="00030A92" w:rsidRDefault="00605D8D" w:rsidP="00605D8D">
      <w:pPr>
        <w:pStyle w:val="Heading4NoNum"/>
        <w:rPr>
          <w:color w:val="auto"/>
        </w:rPr>
      </w:pPr>
      <w:r w:rsidRPr="00030A92">
        <w:rPr>
          <w:color w:val="auto"/>
        </w:rPr>
        <w:t>Statements of compatibility</w:t>
      </w:r>
    </w:p>
    <w:p w:rsidR="00605D8D" w:rsidRPr="00030A92" w:rsidRDefault="00605D8D" w:rsidP="00605D8D">
      <w:pPr>
        <w:rPr>
          <w:sz w:val="20"/>
          <w:szCs w:val="20"/>
        </w:rPr>
      </w:pPr>
      <w:r w:rsidRPr="00030A92">
        <w:rPr>
          <w:sz w:val="20"/>
          <w:szCs w:val="20"/>
        </w:rPr>
        <w:t xml:space="preserve">All new Bills introduced into Parliament must be accompanied by the </w:t>
      </w:r>
      <w:r w:rsidRPr="00030A92">
        <w:rPr>
          <w:b/>
          <w:sz w:val="20"/>
          <w:szCs w:val="20"/>
        </w:rPr>
        <w:t>Statement of Compatibility</w:t>
      </w:r>
      <w:r w:rsidRPr="00030A92">
        <w:rPr>
          <w:sz w:val="20"/>
          <w:szCs w:val="20"/>
        </w:rPr>
        <w:t xml:space="preserve"> in both Houses. The Statement must set out whether, in the opinion of the Minister (or the Member of Parliament introducing the Bill), the Bill is compatible with the human rights that are set out in the Charter Act. In addition, reasons must be provided in the Statement to demonstrate how a Bill is compatible – or otherwise to explain the nature and extent of any incompatibility. The Statement of Compatibility must be tabled in Parliament before the second reading speech.</w:t>
      </w:r>
    </w:p>
    <w:p w:rsidR="00605D8D" w:rsidRPr="00030A92" w:rsidRDefault="00605D8D" w:rsidP="00605D8D">
      <w:pPr>
        <w:rPr>
          <w:sz w:val="20"/>
          <w:szCs w:val="20"/>
        </w:rPr>
      </w:pPr>
      <w:r w:rsidRPr="00030A92">
        <w:rPr>
          <w:sz w:val="20"/>
          <w:szCs w:val="20"/>
        </w:rPr>
        <w:t>If a Bill is amended by Parliament, the Statement will need to be updated before the Bill is introduced into the next House if the amendments raise human rights issues.</w:t>
      </w:r>
    </w:p>
    <w:p w:rsidR="00605D8D" w:rsidRPr="00030A92" w:rsidRDefault="00605D8D" w:rsidP="00605D8D">
      <w:pPr>
        <w:rPr>
          <w:sz w:val="20"/>
          <w:szCs w:val="20"/>
        </w:rPr>
      </w:pPr>
      <w:r w:rsidRPr="00030A92">
        <w:rPr>
          <w:sz w:val="20"/>
          <w:szCs w:val="20"/>
        </w:rPr>
        <w:t>A template for the Statement of Compatibility is provided below.</w:t>
      </w:r>
    </w:p>
    <w:p w:rsidR="00605D8D" w:rsidRPr="00030A92" w:rsidRDefault="00605D8D" w:rsidP="00605D8D">
      <w:pPr>
        <w:pStyle w:val="Heading4NoNum"/>
        <w:rPr>
          <w:color w:val="auto"/>
        </w:rPr>
      </w:pPr>
      <w:r w:rsidRPr="00030A92">
        <w:rPr>
          <w:color w:val="auto"/>
        </w:rPr>
        <w:t>Template for Statement of Compatib</w:t>
      </w:r>
      <w:r w:rsidR="00322641" w:rsidRPr="00030A92">
        <w:rPr>
          <w:color w:val="auto"/>
        </w:rPr>
        <w:t>ility</w:t>
      </w:r>
    </w:p>
    <w:p w:rsidR="00605D8D" w:rsidRPr="00030A92" w:rsidRDefault="00605D8D" w:rsidP="00605D8D">
      <w:pPr>
        <w:jc w:val="center"/>
        <w:rPr>
          <w:i/>
          <w:sz w:val="20"/>
          <w:szCs w:val="20"/>
        </w:rPr>
      </w:pPr>
      <w:r w:rsidRPr="00030A92">
        <w:rPr>
          <w:i/>
          <w:sz w:val="20"/>
          <w:szCs w:val="20"/>
        </w:rPr>
        <w:t>Charter of Human Rights and Responsibilities Act 2006</w:t>
      </w:r>
    </w:p>
    <w:p w:rsidR="00605D8D" w:rsidRPr="00030A92" w:rsidRDefault="00605D8D" w:rsidP="00605D8D">
      <w:pPr>
        <w:jc w:val="center"/>
        <w:rPr>
          <w:sz w:val="20"/>
          <w:szCs w:val="20"/>
        </w:rPr>
      </w:pPr>
      <w:r w:rsidRPr="00030A92">
        <w:rPr>
          <w:sz w:val="20"/>
          <w:szCs w:val="20"/>
        </w:rPr>
        <w:t>Statement of Compatibility</w:t>
      </w:r>
    </w:p>
    <w:p w:rsidR="00605D8D" w:rsidRPr="00030A92" w:rsidRDefault="00605D8D" w:rsidP="00605D8D">
      <w:pPr>
        <w:jc w:val="center"/>
        <w:rPr>
          <w:sz w:val="20"/>
          <w:szCs w:val="20"/>
        </w:rPr>
      </w:pPr>
      <w:r w:rsidRPr="00030A92">
        <w:rPr>
          <w:sz w:val="20"/>
          <w:szCs w:val="20"/>
        </w:rPr>
        <w:t>[Insert name of Bill]</w:t>
      </w:r>
    </w:p>
    <w:p w:rsidR="00605D8D" w:rsidRPr="00030A92" w:rsidRDefault="00605D8D" w:rsidP="00605D8D">
      <w:pPr>
        <w:rPr>
          <w:sz w:val="20"/>
          <w:szCs w:val="20"/>
        </w:rPr>
      </w:pPr>
      <w:r w:rsidRPr="00030A92">
        <w:rPr>
          <w:sz w:val="20"/>
          <w:szCs w:val="20"/>
        </w:rPr>
        <w:t xml:space="preserve">In accordance with </w:t>
      </w:r>
      <w:r w:rsidR="00D13659" w:rsidRPr="00030A92">
        <w:rPr>
          <w:sz w:val="20"/>
          <w:szCs w:val="20"/>
        </w:rPr>
        <w:t>section </w:t>
      </w:r>
      <w:r w:rsidRPr="00030A92">
        <w:rPr>
          <w:sz w:val="20"/>
          <w:szCs w:val="20"/>
        </w:rPr>
        <w:t xml:space="preserve">28 of the </w:t>
      </w:r>
      <w:r w:rsidRPr="00030A92">
        <w:rPr>
          <w:b/>
          <w:i/>
          <w:sz w:val="20"/>
          <w:szCs w:val="20"/>
        </w:rPr>
        <w:t>Charter of Human Rights and Responsibilities Act 2006</w:t>
      </w:r>
      <w:r w:rsidRPr="00030A92">
        <w:rPr>
          <w:sz w:val="20"/>
          <w:szCs w:val="20"/>
        </w:rPr>
        <w:t>, I make this statement of compatibility with respect to the […..] Bill 200X.</w:t>
      </w:r>
    </w:p>
    <w:p w:rsidR="00605D8D" w:rsidRPr="00030A92" w:rsidRDefault="00605D8D" w:rsidP="00605D8D">
      <w:pPr>
        <w:rPr>
          <w:sz w:val="20"/>
          <w:szCs w:val="20"/>
        </w:rPr>
      </w:pPr>
      <w:r w:rsidRPr="00030A92">
        <w:rPr>
          <w:sz w:val="20"/>
          <w:szCs w:val="20"/>
        </w:rPr>
        <w:t>In my opinion, the […..] Bill 200X, as introduced to the Legislative [Assembly/Council], is compatible with the human rights protected by the Charter Act. I base my opinion on the reasons outlined in this statement.</w:t>
      </w:r>
    </w:p>
    <w:p w:rsidR="00605D8D" w:rsidRPr="00030A92" w:rsidRDefault="00605D8D" w:rsidP="00605D8D">
      <w:pPr>
        <w:rPr>
          <w:b/>
        </w:rPr>
      </w:pPr>
      <w:r w:rsidRPr="00030A92">
        <w:rPr>
          <w:b/>
        </w:rPr>
        <w:t>Overview of Bill</w:t>
      </w:r>
    </w:p>
    <w:p w:rsidR="00605D8D" w:rsidRPr="00030A92" w:rsidRDefault="00605D8D" w:rsidP="00605D8D">
      <w:pPr>
        <w:rPr>
          <w:i/>
          <w:sz w:val="20"/>
          <w:szCs w:val="20"/>
        </w:rPr>
      </w:pPr>
      <w:r w:rsidRPr="00030A92">
        <w:rPr>
          <w:i/>
          <w:sz w:val="20"/>
          <w:szCs w:val="20"/>
        </w:rPr>
        <w:t>[Provide an overview of the Bill and state its general purpose.]</w:t>
      </w:r>
    </w:p>
    <w:p w:rsidR="00605D8D" w:rsidRPr="00030A92" w:rsidRDefault="00605D8D" w:rsidP="00605D8D">
      <w:pPr>
        <w:rPr>
          <w:sz w:val="20"/>
          <w:szCs w:val="20"/>
        </w:rPr>
      </w:pPr>
      <w:r w:rsidRPr="00030A92">
        <w:rPr>
          <w:sz w:val="20"/>
          <w:szCs w:val="20"/>
        </w:rPr>
        <w:t xml:space="preserve">This is the central </w:t>
      </w:r>
      <w:r w:rsidR="00D13659" w:rsidRPr="00030A92">
        <w:rPr>
          <w:sz w:val="20"/>
          <w:szCs w:val="20"/>
        </w:rPr>
        <w:t>section </w:t>
      </w:r>
      <w:r w:rsidRPr="00030A92">
        <w:rPr>
          <w:sz w:val="20"/>
          <w:szCs w:val="20"/>
        </w:rPr>
        <w:t>of the statement of compatibility.</w:t>
      </w:r>
    </w:p>
    <w:p w:rsidR="00605D8D" w:rsidRPr="00030A92" w:rsidRDefault="00605D8D" w:rsidP="00605D8D">
      <w:pPr>
        <w:rPr>
          <w:b/>
        </w:rPr>
      </w:pPr>
      <w:r w:rsidRPr="00030A92">
        <w:rPr>
          <w:b/>
        </w:rPr>
        <w:t>Human Rights Issues</w:t>
      </w:r>
    </w:p>
    <w:p w:rsidR="00605D8D" w:rsidRPr="00030A92" w:rsidRDefault="00605D8D" w:rsidP="00605D8D">
      <w:pPr>
        <w:pStyle w:val="ListNumber"/>
        <w:rPr>
          <w:b/>
          <w:i/>
          <w:sz w:val="20"/>
          <w:szCs w:val="20"/>
        </w:rPr>
      </w:pPr>
      <w:r w:rsidRPr="00030A92">
        <w:rPr>
          <w:b/>
          <w:i/>
          <w:sz w:val="20"/>
          <w:szCs w:val="20"/>
        </w:rPr>
        <w:t>Human rights protected by the Charter Act that are relevant to the Bill</w:t>
      </w:r>
    </w:p>
    <w:p w:rsidR="00605D8D" w:rsidRPr="00030A92" w:rsidRDefault="00605D8D" w:rsidP="00605D8D">
      <w:pPr>
        <w:ind w:left="1077"/>
        <w:rPr>
          <w:i/>
          <w:sz w:val="20"/>
          <w:szCs w:val="20"/>
        </w:rPr>
      </w:pPr>
      <w:r w:rsidRPr="00030A92">
        <w:rPr>
          <w:i/>
          <w:sz w:val="20"/>
          <w:szCs w:val="20"/>
        </w:rPr>
        <w:t>[Identify each human right that the Bill will have an impact upon or engage.]</w:t>
      </w:r>
    </w:p>
    <w:p w:rsidR="00605D8D" w:rsidRPr="00030A92" w:rsidRDefault="00605D8D" w:rsidP="00605D8D">
      <w:pPr>
        <w:ind w:left="1077"/>
        <w:rPr>
          <w:i/>
          <w:sz w:val="20"/>
          <w:szCs w:val="20"/>
        </w:rPr>
      </w:pPr>
      <w:r w:rsidRPr="00030A92">
        <w:rPr>
          <w:i/>
          <w:sz w:val="20"/>
          <w:szCs w:val="20"/>
        </w:rPr>
        <w:t>[For each relevant right, identify the relevant clause or clauses of the Bill that will have an impact upon that human right.]</w:t>
      </w:r>
    </w:p>
    <w:p w:rsidR="00605D8D" w:rsidRPr="00030A92" w:rsidRDefault="00605D8D" w:rsidP="00605D8D">
      <w:pPr>
        <w:ind w:left="1077"/>
        <w:rPr>
          <w:i/>
          <w:sz w:val="20"/>
          <w:szCs w:val="20"/>
        </w:rPr>
      </w:pPr>
      <w:r w:rsidRPr="00030A92">
        <w:rPr>
          <w:i/>
          <w:sz w:val="20"/>
          <w:szCs w:val="20"/>
        </w:rPr>
        <w:t>[Analyse how the clause interacts with the right – e.g. the degree to which it will restrict the operation of the right or whether the scope of the right is unaffected.]</w:t>
      </w:r>
    </w:p>
    <w:p w:rsidR="00605D8D" w:rsidRPr="00030A92" w:rsidRDefault="00605D8D" w:rsidP="00605D8D">
      <w:pPr>
        <w:ind w:left="1077"/>
        <w:rPr>
          <w:i/>
          <w:sz w:val="20"/>
          <w:szCs w:val="20"/>
        </w:rPr>
      </w:pPr>
      <w:r w:rsidRPr="00030A92">
        <w:rPr>
          <w:i/>
          <w:sz w:val="20"/>
          <w:szCs w:val="20"/>
        </w:rPr>
        <w:t>[It may be clear at this stage that the Bill, or a specific clause of the Bill, is compatible with the relevant right or rights it has an impact upon.]</w:t>
      </w:r>
    </w:p>
    <w:p w:rsidR="00605D8D" w:rsidRPr="00030A92" w:rsidRDefault="00605D8D" w:rsidP="00584FDB">
      <w:pPr>
        <w:pStyle w:val="ListNumber"/>
        <w:keepNext/>
        <w:ind w:left="1080" w:hanging="288"/>
        <w:rPr>
          <w:b/>
          <w:i/>
          <w:sz w:val="20"/>
          <w:szCs w:val="20"/>
        </w:rPr>
      </w:pPr>
      <w:r w:rsidRPr="00030A92">
        <w:rPr>
          <w:b/>
          <w:i/>
          <w:sz w:val="20"/>
          <w:szCs w:val="20"/>
        </w:rPr>
        <w:t xml:space="preserve">Consideration of reasonable limitations – </w:t>
      </w:r>
      <w:r w:rsidR="00D13659" w:rsidRPr="00030A92">
        <w:rPr>
          <w:b/>
          <w:i/>
          <w:sz w:val="20"/>
          <w:szCs w:val="20"/>
        </w:rPr>
        <w:t>section </w:t>
      </w:r>
      <w:r w:rsidRPr="00030A92">
        <w:rPr>
          <w:b/>
          <w:i/>
          <w:sz w:val="20"/>
          <w:szCs w:val="20"/>
        </w:rPr>
        <w:t>7(2)</w:t>
      </w:r>
    </w:p>
    <w:p w:rsidR="00605D8D" w:rsidRPr="00030A92" w:rsidRDefault="00605D8D" w:rsidP="00605D8D">
      <w:pPr>
        <w:ind w:left="1077"/>
        <w:rPr>
          <w:i/>
          <w:sz w:val="20"/>
          <w:szCs w:val="20"/>
        </w:rPr>
      </w:pPr>
      <w:r w:rsidRPr="00030A92">
        <w:rPr>
          <w:i/>
          <w:sz w:val="20"/>
          <w:szCs w:val="20"/>
        </w:rPr>
        <w:t xml:space="preserve">[If a clause of the Bill limits or restricts or interferes with the relevant human right that has been identified, analyse in detail whether the limitation is reasonable and can be demonstrably justified in a free and democratic society under </w:t>
      </w:r>
      <w:r w:rsidR="00D13659" w:rsidRPr="00030A92">
        <w:rPr>
          <w:i/>
          <w:sz w:val="20"/>
          <w:szCs w:val="20"/>
        </w:rPr>
        <w:t>section </w:t>
      </w:r>
      <w:r w:rsidRPr="00030A92">
        <w:rPr>
          <w:i/>
          <w:sz w:val="20"/>
          <w:szCs w:val="20"/>
        </w:rPr>
        <w:t>7(2) of the Charter Act. All relevant factors should be taken into account, including:</w:t>
      </w:r>
    </w:p>
    <w:p w:rsidR="00605D8D" w:rsidRPr="00030A92" w:rsidRDefault="00605D8D" w:rsidP="00605D8D">
      <w:pPr>
        <w:ind w:left="1530" w:hanging="466"/>
        <w:rPr>
          <w:i/>
          <w:sz w:val="20"/>
          <w:szCs w:val="20"/>
        </w:rPr>
      </w:pPr>
      <w:r w:rsidRPr="00030A92">
        <w:rPr>
          <w:i/>
          <w:sz w:val="20"/>
          <w:szCs w:val="20"/>
        </w:rPr>
        <w:t>(a)</w:t>
      </w:r>
      <w:r w:rsidRPr="00030A92">
        <w:rPr>
          <w:i/>
          <w:sz w:val="20"/>
          <w:szCs w:val="20"/>
        </w:rPr>
        <w:tab/>
        <w:t>What is the nature of the right being limited (e.g. what are the values underlying the human right? Is it an ‘absolute’ right in international law?)?</w:t>
      </w:r>
    </w:p>
    <w:p w:rsidR="00605D8D" w:rsidRPr="00030A92" w:rsidRDefault="00605D8D" w:rsidP="00605D8D">
      <w:pPr>
        <w:ind w:left="1530" w:hanging="466"/>
        <w:rPr>
          <w:i/>
          <w:sz w:val="20"/>
          <w:szCs w:val="20"/>
        </w:rPr>
      </w:pPr>
      <w:r w:rsidRPr="00030A92">
        <w:rPr>
          <w:i/>
          <w:sz w:val="20"/>
          <w:szCs w:val="20"/>
        </w:rPr>
        <w:t>(b)</w:t>
      </w:r>
      <w:r w:rsidRPr="00030A92">
        <w:rPr>
          <w:i/>
          <w:sz w:val="20"/>
          <w:szCs w:val="20"/>
        </w:rPr>
        <w:tab/>
        <w:t>What is the importance of the purpose of the limitation? (Does the purpose of the limitation or restriction address a public or social concern that is pressing and substantial? Where possible, provide empirical data that demonstrates that the limitation of restriction is important.)</w:t>
      </w:r>
    </w:p>
    <w:p w:rsidR="00605D8D" w:rsidRPr="00030A92" w:rsidRDefault="00605D8D" w:rsidP="00605D8D">
      <w:pPr>
        <w:ind w:left="1530" w:hanging="466"/>
        <w:rPr>
          <w:i/>
          <w:sz w:val="20"/>
          <w:szCs w:val="20"/>
        </w:rPr>
      </w:pPr>
      <w:r w:rsidRPr="00030A92">
        <w:rPr>
          <w:i/>
          <w:sz w:val="20"/>
          <w:szCs w:val="20"/>
        </w:rPr>
        <w:t>(c)</w:t>
      </w:r>
      <w:r w:rsidRPr="00030A92">
        <w:rPr>
          <w:i/>
          <w:sz w:val="20"/>
          <w:szCs w:val="20"/>
        </w:rPr>
        <w:tab/>
        <w:t>What is the nature and extent of the limitation? (In what ways does the Bill or a clause in the Bill limit or restrict the right? How far does this limitation or restriction go?)</w:t>
      </w:r>
    </w:p>
    <w:p w:rsidR="00605D8D" w:rsidRPr="00030A92" w:rsidRDefault="00605D8D" w:rsidP="00605D8D">
      <w:pPr>
        <w:ind w:left="1530" w:hanging="466"/>
        <w:rPr>
          <w:i/>
          <w:sz w:val="20"/>
          <w:szCs w:val="20"/>
        </w:rPr>
      </w:pPr>
      <w:r w:rsidRPr="00030A92">
        <w:rPr>
          <w:i/>
          <w:sz w:val="20"/>
          <w:szCs w:val="20"/>
        </w:rPr>
        <w:t>(d)</w:t>
      </w:r>
      <w:r w:rsidRPr="00030A92">
        <w:rPr>
          <w:i/>
          <w:sz w:val="20"/>
          <w:szCs w:val="20"/>
        </w:rPr>
        <w:tab/>
        <w:t>What is the relationship between the limitation and its purpose? (Is there a rational connection between the limitation or restriction on the right and the purpose it seeks to achieve? Is there proportionality between the purpose of the limitation and the means used to achieve that purpose?</w:t>
      </w:r>
    </w:p>
    <w:p w:rsidR="00605D8D" w:rsidRPr="00030A92" w:rsidRDefault="00605D8D" w:rsidP="00605D8D">
      <w:pPr>
        <w:ind w:left="1530" w:hanging="466"/>
        <w:rPr>
          <w:i/>
          <w:sz w:val="20"/>
          <w:szCs w:val="20"/>
        </w:rPr>
      </w:pPr>
      <w:r w:rsidRPr="00030A92">
        <w:rPr>
          <w:i/>
          <w:sz w:val="20"/>
          <w:szCs w:val="20"/>
        </w:rPr>
        <w:t>(e)</w:t>
      </w:r>
      <w:r w:rsidRPr="00030A92">
        <w:rPr>
          <w:i/>
          <w:sz w:val="20"/>
          <w:szCs w:val="20"/>
        </w:rPr>
        <w:tab/>
        <w:t>Are there any less restrictive means reasonably available to achieve its purpose? (Describe how the rights</w:t>
      </w:r>
      <w:r w:rsidRPr="00030A92">
        <w:rPr>
          <w:i/>
          <w:sz w:val="20"/>
          <w:szCs w:val="20"/>
        </w:rPr>
        <w:noBreakHyphen/>
        <w:t>limiting clause is within the range of reasonable solutions to the problem, including any safeguards that are incorporated.)</w:t>
      </w:r>
    </w:p>
    <w:p w:rsidR="00605D8D" w:rsidRPr="00030A92" w:rsidRDefault="00605D8D" w:rsidP="00605D8D">
      <w:pPr>
        <w:ind w:left="1530" w:hanging="466"/>
        <w:rPr>
          <w:i/>
          <w:sz w:val="20"/>
          <w:szCs w:val="20"/>
        </w:rPr>
      </w:pPr>
      <w:r w:rsidRPr="00030A92">
        <w:rPr>
          <w:i/>
          <w:sz w:val="20"/>
          <w:szCs w:val="20"/>
        </w:rPr>
        <w:t>(f)</w:t>
      </w:r>
      <w:r w:rsidRPr="00030A92">
        <w:rPr>
          <w:i/>
          <w:sz w:val="20"/>
          <w:szCs w:val="20"/>
        </w:rPr>
        <w:tab/>
        <w:t>Are there any other relevant factors? (E.g. does the Bill replace previous legislation which provided for a regime with less strict safeguards for the protection of rights?)]</w:t>
      </w:r>
    </w:p>
    <w:p w:rsidR="00605D8D" w:rsidRPr="00EF17E5" w:rsidRDefault="00605D8D" w:rsidP="00605D8D">
      <w:pPr>
        <w:rPr>
          <w:b/>
        </w:rPr>
      </w:pPr>
      <w:r w:rsidRPr="00EF17E5">
        <w:rPr>
          <w:b/>
        </w:rPr>
        <w:t>Conclusion</w:t>
      </w:r>
    </w:p>
    <w:p w:rsidR="00605D8D" w:rsidRPr="00030A92" w:rsidRDefault="00605D8D" w:rsidP="00605D8D">
      <w:pPr>
        <w:rPr>
          <w:i/>
          <w:sz w:val="20"/>
          <w:szCs w:val="20"/>
        </w:rPr>
      </w:pPr>
      <w:r w:rsidRPr="00030A92">
        <w:rPr>
          <w:i/>
          <w:sz w:val="20"/>
          <w:szCs w:val="20"/>
        </w:rPr>
        <w:t xml:space="preserve">[This </w:t>
      </w:r>
      <w:r w:rsidR="00D13659" w:rsidRPr="00030A92">
        <w:rPr>
          <w:i/>
          <w:sz w:val="20"/>
          <w:szCs w:val="20"/>
        </w:rPr>
        <w:t>section </w:t>
      </w:r>
      <w:r w:rsidRPr="00030A92">
        <w:rPr>
          <w:i/>
          <w:sz w:val="20"/>
          <w:szCs w:val="20"/>
        </w:rPr>
        <w:t xml:space="preserve">should contain the conclusion about why the Bill is compatible with human rights.] </w:t>
      </w:r>
    </w:p>
    <w:p w:rsidR="00605D8D" w:rsidRPr="00030A92" w:rsidRDefault="00605D8D" w:rsidP="00605D8D">
      <w:pPr>
        <w:rPr>
          <w:i/>
          <w:sz w:val="20"/>
          <w:szCs w:val="20"/>
        </w:rPr>
      </w:pPr>
      <w:r w:rsidRPr="00030A92">
        <w:rPr>
          <w:i/>
          <w:sz w:val="20"/>
          <w:szCs w:val="20"/>
        </w:rPr>
        <w:t xml:space="preserve">…………………………………………………. </w:t>
      </w:r>
    </w:p>
    <w:p w:rsidR="00605D8D" w:rsidRPr="00030A92" w:rsidRDefault="00605D8D" w:rsidP="00605D8D">
      <w:pPr>
        <w:rPr>
          <w:i/>
          <w:sz w:val="20"/>
          <w:szCs w:val="20"/>
        </w:rPr>
      </w:pPr>
      <w:r w:rsidRPr="00030A92">
        <w:rPr>
          <w:i/>
          <w:sz w:val="20"/>
          <w:szCs w:val="20"/>
        </w:rPr>
        <w:t>[Print name and title of Member of Parliament responsible for introducing the Bill]</w:t>
      </w:r>
    </w:p>
    <w:p w:rsidR="00605D8D" w:rsidRPr="00030A92" w:rsidRDefault="00605D8D" w:rsidP="00605D8D">
      <w:pPr>
        <w:pStyle w:val="NoteNormal"/>
        <w:rPr>
          <w:sz w:val="20"/>
          <w:szCs w:val="20"/>
        </w:rPr>
      </w:pPr>
      <w:r w:rsidRPr="00030A92">
        <w:rPr>
          <w:sz w:val="20"/>
          <w:szCs w:val="20"/>
        </w:rPr>
        <w:t>Note:</w:t>
      </w:r>
    </w:p>
    <w:p w:rsidR="00605D8D" w:rsidRPr="00030A92" w:rsidRDefault="00605D8D" w:rsidP="00605D8D">
      <w:pPr>
        <w:pStyle w:val="NoteNormal"/>
        <w:rPr>
          <w:sz w:val="20"/>
          <w:szCs w:val="20"/>
        </w:rPr>
      </w:pPr>
      <w:r w:rsidRPr="00030A92">
        <w:rPr>
          <w:sz w:val="20"/>
          <w:szCs w:val="20"/>
        </w:rPr>
        <w:t>1. In the unlikely event that, in the opinion of the member, the Bill is incompatible with the Charter Act, the statement should describe under the headings the nature and extent of the incompatibility.</w:t>
      </w:r>
    </w:p>
    <w:p w:rsidR="00605D8D" w:rsidRPr="00030A92" w:rsidRDefault="00605D8D" w:rsidP="00605D8D">
      <w:pPr>
        <w:rPr>
          <w:sz w:val="20"/>
          <w:szCs w:val="20"/>
        </w:rPr>
      </w:pPr>
    </w:p>
    <w:p w:rsidR="00605D8D" w:rsidRPr="00030A92" w:rsidRDefault="00605D8D" w:rsidP="00605D8D">
      <w:pPr>
        <w:pStyle w:val="Heading4NoNum"/>
        <w:rPr>
          <w:color w:val="auto"/>
        </w:rPr>
      </w:pPr>
      <w:r w:rsidRPr="00030A92">
        <w:rPr>
          <w:color w:val="auto"/>
        </w:rPr>
        <w:t>Subordinate legislation: Statutory rules and legislative instruments</w:t>
      </w:r>
    </w:p>
    <w:p w:rsidR="00584FDB" w:rsidRPr="00644151" w:rsidRDefault="00605D8D" w:rsidP="00644151">
      <w:pPr>
        <w:rPr>
          <w:sz w:val="20"/>
          <w:szCs w:val="20"/>
        </w:rPr>
      </w:pPr>
      <w:r w:rsidRPr="00030A92">
        <w:rPr>
          <w:sz w:val="20"/>
          <w:szCs w:val="20"/>
        </w:rPr>
        <w:t>It is important to ensure that subordinate legislation is developed in a way that is compatible with the Charter Act, particularly as the operational matters detailed in subordinate legislation will often affect human rights. Furthermore, if subordinate legislation is inconsistent with the Charter Act, it may be found to be beyond the regulation- or instrument</w:t>
      </w:r>
      <w:r w:rsidRPr="00030A92">
        <w:rPr>
          <w:sz w:val="20"/>
          <w:szCs w:val="20"/>
        </w:rPr>
        <w:noBreakHyphen/>
        <w:t xml:space="preserve">making power </w:t>
      </w:r>
      <w:r w:rsidR="00644151">
        <w:rPr>
          <w:sz w:val="20"/>
          <w:szCs w:val="20"/>
        </w:rPr>
        <w:t>conferred by the principal Act.</w:t>
      </w:r>
    </w:p>
    <w:p w:rsidR="00605D8D" w:rsidRPr="00030A92" w:rsidRDefault="00605D8D" w:rsidP="00605D8D">
      <w:pPr>
        <w:pStyle w:val="Heading4NoNum"/>
        <w:rPr>
          <w:color w:val="auto"/>
        </w:rPr>
      </w:pPr>
      <w:r w:rsidRPr="00030A92">
        <w:rPr>
          <w:color w:val="auto"/>
        </w:rPr>
        <w:t>Human Rights Certificates</w:t>
      </w:r>
    </w:p>
    <w:p w:rsidR="00605D8D" w:rsidRPr="00030A92" w:rsidRDefault="00605D8D" w:rsidP="00605D8D">
      <w:pPr>
        <w:rPr>
          <w:sz w:val="20"/>
          <w:szCs w:val="20"/>
        </w:rPr>
      </w:pPr>
      <w:r w:rsidRPr="00030A92">
        <w:rPr>
          <w:sz w:val="20"/>
          <w:szCs w:val="20"/>
        </w:rPr>
        <w:t xml:space="preserve">A </w:t>
      </w:r>
      <w:r w:rsidRPr="00030A92">
        <w:rPr>
          <w:b/>
          <w:sz w:val="20"/>
          <w:szCs w:val="20"/>
        </w:rPr>
        <w:t>Human Rights Certificate</w:t>
      </w:r>
      <w:r w:rsidRPr="00030A92">
        <w:rPr>
          <w:sz w:val="20"/>
          <w:szCs w:val="20"/>
        </w:rPr>
        <w:t xml:space="preserve"> must be prepared for proposed statutory rules and legislative instruments (including amending statutory rules and instruments), unless they are exempt under </w:t>
      </w:r>
      <w:r w:rsidR="00D13659" w:rsidRPr="00030A92">
        <w:rPr>
          <w:sz w:val="20"/>
          <w:szCs w:val="20"/>
        </w:rPr>
        <w:t>section </w:t>
      </w:r>
      <w:r w:rsidRPr="00030A92">
        <w:rPr>
          <w:sz w:val="20"/>
          <w:szCs w:val="20"/>
        </w:rPr>
        <w:t xml:space="preserve">12A(3) or </w:t>
      </w:r>
      <w:r w:rsidR="00D13659" w:rsidRPr="00030A92">
        <w:rPr>
          <w:sz w:val="20"/>
          <w:szCs w:val="20"/>
        </w:rPr>
        <w:t>section </w:t>
      </w:r>
      <w:r w:rsidRPr="00030A92">
        <w:rPr>
          <w:sz w:val="20"/>
          <w:szCs w:val="20"/>
        </w:rPr>
        <w:t xml:space="preserve">12D(3) of the </w:t>
      </w:r>
      <w:r w:rsidRPr="00030A92">
        <w:rPr>
          <w:i/>
          <w:sz w:val="20"/>
          <w:szCs w:val="20"/>
        </w:rPr>
        <w:t>Subordinate Legislation Act 1994</w:t>
      </w:r>
      <w:r w:rsidRPr="00030A92">
        <w:rPr>
          <w:rStyle w:val="FootnoteReference"/>
          <w:sz w:val="20"/>
          <w:szCs w:val="20"/>
        </w:rPr>
        <w:footnoteReference w:id="19"/>
      </w:r>
      <w:r w:rsidRPr="00030A92">
        <w:rPr>
          <w:i/>
          <w:sz w:val="20"/>
          <w:szCs w:val="20"/>
        </w:rPr>
        <w:t xml:space="preserve"> </w:t>
      </w:r>
      <w:r w:rsidRPr="00030A92">
        <w:rPr>
          <w:sz w:val="20"/>
          <w:szCs w:val="20"/>
        </w:rPr>
        <w:t>or Regulations made under the Act. The statutory requirements for this Certificate are set out in sections 12A and 12D of the SLA.</w:t>
      </w:r>
    </w:p>
    <w:p w:rsidR="00605D8D" w:rsidRPr="00030A92" w:rsidRDefault="00605D8D" w:rsidP="00605D8D">
      <w:pPr>
        <w:rPr>
          <w:sz w:val="20"/>
          <w:szCs w:val="20"/>
        </w:rPr>
      </w:pPr>
      <w:r w:rsidRPr="00030A92">
        <w:rPr>
          <w:sz w:val="20"/>
          <w:szCs w:val="20"/>
        </w:rPr>
        <w:t xml:space="preserve">The Certificate must specify, in the opinion of the responsible Minister, whether the proposed statutory rule or legislative instrument does or does not limit any human right set out in the Charter Act. If the statutory rule or legislative instrument does limit a Charter Act right, the Certificate must provide a detailed justification that the limit is reasonable, using the same criteria as set out in </w:t>
      </w:r>
      <w:r w:rsidR="00D13659" w:rsidRPr="00030A92">
        <w:rPr>
          <w:sz w:val="20"/>
          <w:szCs w:val="20"/>
        </w:rPr>
        <w:t>section </w:t>
      </w:r>
      <w:r w:rsidRPr="00030A92">
        <w:rPr>
          <w:sz w:val="20"/>
          <w:szCs w:val="20"/>
        </w:rPr>
        <w:t xml:space="preserve">7 of the Charter Act (as discussed in Figure </w:t>
      </w:r>
      <w:r w:rsidRPr="00030A92">
        <w:rPr>
          <w:sz w:val="20"/>
          <w:szCs w:val="20"/>
          <w:lang w:eastAsia="en-US"/>
        </w:rPr>
        <w:t>4</w:t>
      </w:r>
      <w:r w:rsidRPr="00030A92">
        <w:rPr>
          <w:sz w:val="20"/>
          <w:szCs w:val="20"/>
        </w:rPr>
        <w:t xml:space="preserve"> above). </w:t>
      </w:r>
    </w:p>
    <w:p w:rsidR="00605D8D" w:rsidRPr="00030A92" w:rsidRDefault="00605D8D" w:rsidP="00605D8D">
      <w:pPr>
        <w:rPr>
          <w:sz w:val="20"/>
          <w:szCs w:val="20"/>
        </w:rPr>
      </w:pPr>
      <w:r w:rsidRPr="00030A92">
        <w:rPr>
          <w:sz w:val="20"/>
          <w:szCs w:val="20"/>
        </w:rPr>
        <w:t xml:space="preserve">Templates for the Human Rights Certificate and exemptions for this Certificate are provided in </w:t>
      </w:r>
      <w:r w:rsidR="004E7631" w:rsidRPr="00030A92">
        <w:rPr>
          <w:sz w:val="20"/>
          <w:szCs w:val="20"/>
        </w:rPr>
        <w:t>Attachment</w:t>
      </w:r>
      <w:r w:rsidR="00E31815" w:rsidRPr="00030A92">
        <w:rPr>
          <w:sz w:val="20"/>
          <w:szCs w:val="20"/>
        </w:rPr>
        <w:t xml:space="preserve"> 1</w:t>
      </w:r>
      <w:r w:rsidRPr="00030A92">
        <w:rPr>
          <w:b/>
          <w:sz w:val="20"/>
          <w:szCs w:val="20"/>
        </w:rPr>
        <w:t>.</w:t>
      </w:r>
    </w:p>
    <w:p w:rsidR="00605D8D" w:rsidRPr="00B40862" w:rsidRDefault="00605D8D" w:rsidP="00605D8D">
      <w:pPr>
        <w:pStyle w:val="Heading3"/>
        <w:rPr>
          <w:b w:val="0"/>
          <w:bCs/>
          <w:color w:val="004EA8"/>
        </w:rPr>
      </w:pPr>
      <w:r w:rsidRPr="00B40862">
        <w:rPr>
          <w:b w:val="0"/>
          <w:color w:val="004EA8"/>
        </w:rPr>
        <w:t>Further information and advice about the Charter Act</w:t>
      </w:r>
    </w:p>
    <w:p w:rsidR="00605D8D" w:rsidRPr="00030A92" w:rsidRDefault="00605D8D" w:rsidP="00605D8D">
      <w:pPr>
        <w:rPr>
          <w:sz w:val="20"/>
          <w:szCs w:val="20"/>
        </w:rPr>
      </w:pPr>
      <w:r w:rsidRPr="00030A92">
        <w:rPr>
          <w:sz w:val="20"/>
          <w:szCs w:val="20"/>
        </w:rPr>
        <w:t xml:space="preserve">As indicated in the introduction to this </w:t>
      </w:r>
      <w:r w:rsidR="005C086B">
        <w:rPr>
          <w:sz w:val="20"/>
          <w:szCs w:val="20"/>
        </w:rPr>
        <w:t>s</w:t>
      </w:r>
      <w:r w:rsidRPr="00030A92">
        <w:rPr>
          <w:sz w:val="20"/>
          <w:szCs w:val="20"/>
        </w:rPr>
        <w:t>ection, more extensive guidance material about the Charter Act for government departments/agencies is being developed by the Department of Justice (see details below).</w:t>
      </w:r>
    </w:p>
    <w:p w:rsidR="00605D8D" w:rsidRPr="00030A92" w:rsidRDefault="00605D8D" w:rsidP="00605D8D">
      <w:pPr>
        <w:rPr>
          <w:sz w:val="20"/>
          <w:szCs w:val="20"/>
        </w:rPr>
      </w:pPr>
      <w:r w:rsidRPr="00030A92">
        <w:rPr>
          <w:sz w:val="20"/>
          <w:szCs w:val="20"/>
        </w:rPr>
        <w:t>Where Charter Act issues are identified and there is uncertainty about the scope of a right or the application of the reasonable limitations clause, it is recommended that officers consult with the legal branch within their departments/agencies or with the Human Rights Unit in the Department of Justice (tel. 8684 0859).</w:t>
      </w:r>
    </w:p>
    <w:p w:rsidR="00605D8D" w:rsidRPr="00030A92" w:rsidRDefault="00605D8D" w:rsidP="00605D8D">
      <w:pPr>
        <w:rPr>
          <w:sz w:val="20"/>
          <w:szCs w:val="20"/>
        </w:rPr>
      </w:pPr>
      <w:r w:rsidRPr="00030A92">
        <w:rPr>
          <w:sz w:val="20"/>
          <w:szCs w:val="20"/>
        </w:rPr>
        <w:t>For legislative proposals, it is anticipated that the legal officer responsible for instructing Parliamentary Counsel or drafting regulations will be the person directly involved in drafting the Statement of Compatibility or the Human Rights Certificate. If policy officers are working on legislative proposals, it is recommended that they consult with a legal officer within their department about preparing the Statement of Compatibility or the Human Rights Certificate. It is best to consult with those officers early in the process, as well as at the time when the proposal is being refined, or during the drafting of the Bill, when many of the human rights issues will emerge more clearly.</w:t>
      </w:r>
    </w:p>
    <w:p w:rsidR="00605D8D" w:rsidRPr="00B40862" w:rsidRDefault="00605D8D" w:rsidP="002436EC">
      <w:pPr>
        <w:pStyle w:val="Heading2"/>
        <w:rPr>
          <w:b/>
          <w:color w:val="004EA8"/>
          <w:sz w:val="26"/>
          <w:szCs w:val="26"/>
        </w:rPr>
      </w:pPr>
      <w:bookmarkStart w:id="85" w:name="_Toc382908240"/>
      <w:bookmarkStart w:id="86" w:name="_Toc397608132"/>
      <w:r w:rsidRPr="00B40862">
        <w:rPr>
          <w:b/>
          <w:color w:val="004EA8"/>
          <w:sz w:val="26"/>
          <w:szCs w:val="26"/>
        </w:rPr>
        <w:t>Consultation with local government</w:t>
      </w:r>
      <w:bookmarkEnd w:id="85"/>
      <w:bookmarkEnd w:id="86"/>
    </w:p>
    <w:p w:rsidR="00605D8D" w:rsidRPr="00030A92" w:rsidRDefault="00605D8D" w:rsidP="00605D8D">
      <w:pPr>
        <w:rPr>
          <w:sz w:val="20"/>
          <w:szCs w:val="20"/>
        </w:rPr>
      </w:pPr>
      <w:r w:rsidRPr="00030A92">
        <w:rPr>
          <w:sz w:val="20"/>
          <w:szCs w:val="20"/>
        </w:rPr>
        <w:t>In some cases, local government can play an important role in administering and enforcing state legislation/regulation for which state ministers are ultimately accountable to the Parliament of Victoria. (Food safety and planning regulations are good examples of where local governments play a key role in the administration and enforcement of state regulation/ legislation.)</w:t>
      </w:r>
    </w:p>
    <w:p w:rsidR="00584FDB" w:rsidRPr="00030A92" w:rsidRDefault="00605D8D" w:rsidP="00644151">
      <w:pPr>
        <w:rPr>
          <w:sz w:val="20"/>
          <w:szCs w:val="20"/>
        </w:rPr>
      </w:pPr>
      <w:r w:rsidRPr="00030A92">
        <w:rPr>
          <w:sz w:val="20"/>
          <w:szCs w:val="20"/>
        </w:rPr>
        <w:t>In this context, the resources available to, and capability of, local governments, particularly the availability of staff with appropriate training and skills, to efficiently administer and enforce state regulation is of utmost</w:t>
      </w:r>
      <w:r w:rsidR="00644151">
        <w:rPr>
          <w:sz w:val="20"/>
          <w:szCs w:val="20"/>
        </w:rPr>
        <w:t xml:space="preserve"> importance to the Government. </w:t>
      </w:r>
    </w:p>
    <w:p w:rsidR="00605D8D" w:rsidRPr="00030A92" w:rsidRDefault="00605D8D" w:rsidP="00605D8D">
      <w:pPr>
        <w:rPr>
          <w:sz w:val="20"/>
          <w:szCs w:val="20"/>
        </w:rPr>
      </w:pPr>
      <w:r w:rsidRPr="00030A92">
        <w:rPr>
          <w:sz w:val="20"/>
          <w:szCs w:val="20"/>
        </w:rPr>
        <w:t xml:space="preserve">Accordingly, where the Victorian Government intends for local government to administer or enforce new primary legislation, or new or revised regulation, the relevant lead department should consult with local government on: </w:t>
      </w:r>
    </w:p>
    <w:p w:rsidR="00605D8D" w:rsidRPr="00030A92" w:rsidRDefault="00605D8D" w:rsidP="00605D8D">
      <w:pPr>
        <w:pStyle w:val="Bullet1"/>
        <w:rPr>
          <w:sz w:val="20"/>
          <w:szCs w:val="20"/>
        </w:rPr>
      </w:pPr>
      <w:r w:rsidRPr="00030A92">
        <w:rPr>
          <w:sz w:val="20"/>
          <w:szCs w:val="20"/>
        </w:rPr>
        <w:t>the resources required for the efficient administration and enforcement of the regulation;</w:t>
      </w:r>
    </w:p>
    <w:p w:rsidR="00605D8D" w:rsidRPr="00030A92" w:rsidRDefault="00605D8D" w:rsidP="00605D8D">
      <w:pPr>
        <w:pStyle w:val="Bullet1"/>
        <w:rPr>
          <w:sz w:val="20"/>
          <w:szCs w:val="20"/>
        </w:rPr>
      </w:pPr>
      <w:r w:rsidRPr="00030A92">
        <w:rPr>
          <w:sz w:val="20"/>
          <w:szCs w:val="20"/>
        </w:rPr>
        <w:t>how those resources will be funded;</w:t>
      </w:r>
    </w:p>
    <w:p w:rsidR="00605D8D" w:rsidRPr="00030A92" w:rsidRDefault="00605D8D" w:rsidP="00605D8D">
      <w:pPr>
        <w:pStyle w:val="Bullet1"/>
        <w:rPr>
          <w:sz w:val="20"/>
          <w:szCs w:val="20"/>
        </w:rPr>
      </w:pPr>
      <w:r w:rsidRPr="00030A92">
        <w:rPr>
          <w:sz w:val="20"/>
          <w:szCs w:val="20"/>
        </w:rPr>
        <w:t>the training and assistance which will be made available to local governments;</w:t>
      </w:r>
    </w:p>
    <w:p w:rsidR="00605D8D" w:rsidRPr="00030A92" w:rsidRDefault="00605D8D" w:rsidP="00605D8D">
      <w:pPr>
        <w:pStyle w:val="Bullet1"/>
        <w:rPr>
          <w:sz w:val="20"/>
          <w:szCs w:val="20"/>
        </w:rPr>
      </w:pPr>
      <w:r w:rsidRPr="00030A92">
        <w:rPr>
          <w:sz w:val="20"/>
          <w:szCs w:val="20"/>
        </w:rPr>
        <w:t xml:space="preserve">how the performance of the local governments in the efficient administration and enforcement will be assessed; </w:t>
      </w:r>
    </w:p>
    <w:p w:rsidR="00605D8D" w:rsidRPr="00030A92" w:rsidRDefault="00605D8D" w:rsidP="00605D8D">
      <w:pPr>
        <w:pStyle w:val="Bullet1"/>
        <w:rPr>
          <w:sz w:val="20"/>
          <w:szCs w:val="20"/>
        </w:rPr>
      </w:pPr>
      <w:r w:rsidRPr="00030A92">
        <w:rPr>
          <w:sz w:val="20"/>
          <w:szCs w:val="20"/>
        </w:rPr>
        <w:t>how the responsible state minister will account for local government performance; and</w:t>
      </w:r>
    </w:p>
    <w:p w:rsidR="00605D8D" w:rsidRPr="00030A92" w:rsidRDefault="00605D8D" w:rsidP="00605D8D">
      <w:pPr>
        <w:pStyle w:val="Bullet1"/>
        <w:rPr>
          <w:sz w:val="20"/>
          <w:szCs w:val="20"/>
        </w:rPr>
      </w:pPr>
      <w:proofErr w:type="gramStart"/>
      <w:r w:rsidRPr="00030A92">
        <w:rPr>
          <w:sz w:val="20"/>
          <w:szCs w:val="20"/>
        </w:rPr>
        <w:t>an</w:t>
      </w:r>
      <w:proofErr w:type="gramEnd"/>
      <w:r w:rsidRPr="00030A92">
        <w:rPr>
          <w:sz w:val="20"/>
          <w:szCs w:val="20"/>
        </w:rPr>
        <w:t xml:space="preserve"> appropriate mechanism to publish the agreed resourcing, funding, training and performance monitoring arrangements.</w:t>
      </w:r>
    </w:p>
    <w:p w:rsidR="00605D8D" w:rsidRPr="00030A92" w:rsidRDefault="00605D8D" w:rsidP="00605D8D">
      <w:pPr>
        <w:rPr>
          <w:sz w:val="20"/>
          <w:szCs w:val="20"/>
        </w:rPr>
      </w:pPr>
      <w:r w:rsidRPr="00030A92">
        <w:rPr>
          <w:sz w:val="20"/>
          <w:szCs w:val="20"/>
        </w:rPr>
        <w:t>How these matters are to be addressed should be detailed in associated ministerial briefings and Cabinet submissions, and included in relevant steps of an associated LIA or RIS.</w:t>
      </w:r>
    </w:p>
    <w:p w:rsidR="00605D8D" w:rsidRPr="00030A92" w:rsidRDefault="00605D8D" w:rsidP="00605D8D">
      <w:pPr>
        <w:rPr>
          <w:sz w:val="20"/>
          <w:szCs w:val="20"/>
        </w:rPr>
      </w:pPr>
      <w:r w:rsidRPr="00030A92">
        <w:rPr>
          <w:sz w:val="20"/>
          <w:szCs w:val="20"/>
        </w:rPr>
        <w:t>For example,</w:t>
      </w:r>
      <w:r w:rsidR="00BA49E6" w:rsidRPr="00030A92">
        <w:rPr>
          <w:sz w:val="20"/>
          <w:szCs w:val="20"/>
        </w:rPr>
        <w:t xml:space="preserve"> any</w:t>
      </w:r>
      <w:r w:rsidRPr="00030A92">
        <w:rPr>
          <w:sz w:val="20"/>
          <w:szCs w:val="20"/>
        </w:rPr>
        <w:t xml:space="preserve"> </w:t>
      </w:r>
      <w:r w:rsidR="00BA49E6" w:rsidRPr="00030A92">
        <w:rPr>
          <w:sz w:val="20"/>
          <w:szCs w:val="20"/>
        </w:rPr>
        <w:t>local government impacts</w:t>
      </w:r>
      <w:r w:rsidRPr="00030A92">
        <w:rPr>
          <w:sz w:val="20"/>
          <w:szCs w:val="20"/>
        </w:rPr>
        <w:t xml:space="preserve"> associated with the administration and enforcement of regulation </w:t>
      </w:r>
      <w:r w:rsidR="00BA49E6" w:rsidRPr="00030A92">
        <w:rPr>
          <w:sz w:val="20"/>
          <w:szCs w:val="20"/>
        </w:rPr>
        <w:t xml:space="preserve">needs to be identified for relevant options in an LIA or RIS and </w:t>
      </w:r>
      <w:r w:rsidRPr="00030A92">
        <w:rPr>
          <w:sz w:val="20"/>
          <w:szCs w:val="20"/>
        </w:rPr>
        <w:t>included in the cost</w:t>
      </w:r>
      <w:r w:rsidRPr="00030A92">
        <w:rPr>
          <w:sz w:val="20"/>
          <w:szCs w:val="20"/>
        </w:rPr>
        <w:noBreakHyphen/>
        <w:t xml:space="preserve">benefit analysis undertaken </w:t>
      </w:r>
      <w:r w:rsidR="00BA49E6" w:rsidRPr="00030A92">
        <w:rPr>
          <w:sz w:val="20"/>
          <w:szCs w:val="20"/>
        </w:rPr>
        <w:t>for those options</w:t>
      </w:r>
      <w:r w:rsidRPr="00030A92">
        <w:rPr>
          <w:sz w:val="20"/>
          <w:szCs w:val="20"/>
        </w:rPr>
        <w:t xml:space="preserve"> (and subject to scrutiny by the </w:t>
      </w:r>
      <w:r w:rsidR="00C66CA0">
        <w:rPr>
          <w:sz w:val="20"/>
          <w:szCs w:val="20"/>
        </w:rPr>
        <w:t>Commissioner</w:t>
      </w:r>
      <w:r w:rsidRPr="00030A92">
        <w:rPr>
          <w:sz w:val="20"/>
          <w:szCs w:val="20"/>
        </w:rPr>
        <w:t xml:space="preserve">) – see </w:t>
      </w:r>
      <w:r w:rsidR="00B40E52" w:rsidRPr="00030A92">
        <w:rPr>
          <w:sz w:val="20"/>
          <w:szCs w:val="20"/>
        </w:rPr>
        <w:t>the Victorian Guide to Regulation</w:t>
      </w:r>
      <w:r w:rsidRPr="00030A92">
        <w:rPr>
          <w:sz w:val="20"/>
          <w:szCs w:val="20"/>
        </w:rPr>
        <w:t xml:space="preserve">. Furthermore, </w:t>
      </w:r>
      <w:r w:rsidR="00BA49E6" w:rsidRPr="00030A92">
        <w:rPr>
          <w:sz w:val="20"/>
          <w:szCs w:val="20"/>
        </w:rPr>
        <w:t xml:space="preserve">if the preferred regulatory option involves an administrative and/or enforcement role for local government, this needs to be addressed in an </w:t>
      </w:r>
      <w:r w:rsidRPr="00030A92">
        <w:rPr>
          <w:sz w:val="20"/>
          <w:szCs w:val="20"/>
        </w:rPr>
        <w:t xml:space="preserve">implementation </w:t>
      </w:r>
      <w:r w:rsidR="00BA49E6" w:rsidRPr="00030A92">
        <w:rPr>
          <w:sz w:val="20"/>
          <w:szCs w:val="20"/>
        </w:rPr>
        <w:t>plan. These aspects are covered in the Victo</w:t>
      </w:r>
      <w:r w:rsidR="00B40E52" w:rsidRPr="00030A92">
        <w:rPr>
          <w:sz w:val="20"/>
          <w:szCs w:val="20"/>
        </w:rPr>
        <w:t>rian Guide to Regulation</w:t>
      </w:r>
      <w:r w:rsidRPr="00030A92">
        <w:rPr>
          <w:sz w:val="20"/>
          <w:szCs w:val="20"/>
        </w:rPr>
        <w:t>.</w:t>
      </w:r>
    </w:p>
    <w:p w:rsidR="00605D8D" w:rsidRPr="0045341B" w:rsidRDefault="00517DD1" w:rsidP="00DE4E32">
      <w:pPr>
        <w:pStyle w:val="Attachment1"/>
        <w:spacing w:after="360"/>
        <w:rPr>
          <w:b/>
          <w:color w:val="87189D"/>
          <w:sz w:val="36"/>
          <w:szCs w:val="36"/>
        </w:rPr>
      </w:pPr>
      <w:bookmarkStart w:id="87" w:name="_Toc397608133"/>
      <w:r w:rsidRPr="0045341B">
        <w:rPr>
          <w:b/>
          <w:color w:val="87189D"/>
          <w:sz w:val="36"/>
          <w:szCs w:val="36"/>
        </w:rPr>
        <w:t xml:space="preserve">Documentation </w:t>
      </w:r>
      <w:r w:rsidR="006147D1" w:rsidRPr="0045341B">
        <w:rPr>
          <w:b/>
          <w:color w:val="87189D"/>
          <w:sz w:val="36"/>
          <w:szCs w:val="36"/>
        </w:rPr>
        <w:t>accompanying subordinate legislation</w:t>
      </w:r>
      <w:bookmarkEnd w:id="87"/>
    </w:p>
    <w:p w:rsidR="00605D8D" w:rsidRPr="0045341B" w:rsidRDefault="00605D8D" w:rsidP="00EF1B77">
      <w:pPr>
        <w:pStyle w:val="Heading2"/>
        <w:numPr>
          <w:ilvl w:val="0"/>
          <w:numId w:val="0"/>
        </w:numPr>
        <w:ind w:left="794"/>
        <w:rPr>
          <w:b/>
          <w:color w:val="004EA8"/>
          <w:sz w:val="26"/>
          <w:szCs w:val="26"/>
        </w:rPr>
      </w:pPr>
      <w:bookmarkStart w:id="88" w:name="_Toc164499605"/>
      <w:bookmarkStart w:id="89" w:name="_Toc152149890"/>
      <w:bookmarkStart w:id="90" w:name="_Toc152149635"/>
      <w:bookmarkStart w:id="91" w:name="_Toc152149313"/>
      <w:bookmarkStart w:id="92" w:name="_Toc397608134"/>
      <w:r w:rsidRPr="0045341B">
        <w:rPr>
          <w:b/>
          <w:color w:val="004EA8"/>
          <w:sz w:val="26"/>
          <w:szCs w:val="26"/>
        </w:rPr>
        <w:t>Introduction</w:t>
      </w:r>
      <w:bookmarkEnd w:id="88"/>
      <w:bookmarkEnd w:id="89"/>
      <w:bookmarkEnd w:id="90"/>
      <w:bookmarkEnd w:id="91"/>
      <w:bookmarkEnd w:id="92"/>
    </w:p>
    <w:p w:rsidR="00605D8D" w:rsidRPr="0045341B" w:rsidRDefault="00605D8D" w:rsidP="00605D8D">
      <w:pPr>
        <w:rPr>
          <w:sz w:val="20"/>
          <w:szCs w:val="20"/>
        </w:rPr>
      </w:pPr>
      <w:r w:rsidRPr="0045341B">
        <w:rPr>
          <w:sz w:val="20"/>
          <w:szCs w:val="20"/>
        </w:rPr>
        <w:t xml:space="preserve">There are slightly different processes and documentation requirements depending upon whether or not the proposed subordinate legislation requires the preparation of a Regulatory Impact Statement (RIS) under </w:t>
      </w:r>
      <w:r w:rsidR="00D13659" w:rsidRPr="0045341B">
        <w:rPr>
          <w:sz w:val="20"/>
          <w:szCs w:val="20"/>
        </w:rPr>
        <w:t>section </w:t>
      </w:r>
      <w:r w:rsidRPr="0045341B">
        <w:rPr>
          <w:sz w:val="20"/>
          <w:szCs w:val="20"/>
        </w:rPr>
        <w:t xml:space="preserve">7 or 12E of the </w:t>
      </w:r>
      <w:r w:rsidRPr="0045341B">
        <w:rPr>
          <w:i/>
          <w:sz w:val="20"/>
          <w:szCs w:val="20"/>
        </w:rPr>
        <w:t>Subordinate Legislation Act 1994</w:t>
      </w:r>
      <w:r w:rsidRPr="0045341B">
        <w:rPr>
          <w:sz w:val="20"/>
          <w:szCs w:val="20"/>
        </w:rPr>
        <w:t xml:space="preserve">. </w:t>
      </w:r>
    </w:p>
    <w:p w:rsidR="00605D8D" w:rsidRPr="0045341B" w:rsidRDefault="00605D8D" w:rsidP="00605D8D">
      <w:pPr>
        <w:rPr>
          <w:sz w:val="20"/>
          <w:szCs w:val="20"/>
        </w:rPr>
      </w:pPr>
      <w:r w:rsidRPr="0045341B">
        <w:rPr>
          <w:sz w:val="20"/>
          <w:szCs w:val="20"/>
        </w:rPr>
        <w:t xml:space="preserve">In each case, </w:t>
      </w:r>
      <w:r w:rsidR="00E31815" w:rsidRPr="0045341B">
        <w:rPr>
          <w:sz w:val="20"/>
          <w:szCs w:val="20"/>
        </w:rPr>
        <w:t>this attachment</w:t>
      </w:r>
      <w:r w:rsidRPr="0045341B">
        <w:rPr>
          <w:sz w:val="20"/>
          <w:szCs w:val="20"/>
        </w:rPr>
        <w:t xml:space="preserve"> provides the following information:</w:t>
      </w:r>
    </w:p>
    <w:p w:rsidR="00605D8D" w:rsidRPr="0045341B" w:rsidRDefault="00605D8D" w:rsidP="00605D8D">
      <w:pPr>
        <w:pStyle w:val="Bullet1"/>
        <w:rPr>
          <w:sz w:val="20"/>
          <w:szCs w:val="20"/>
        </w:rPr>
      </w:pPr>
      <w:r w:rsidRPr="0045341B">
        <w:rPr>
          <w:sz w:val="20"/>
          <w:szCs w:val="20"/>
        </w:rPr>
        <w:t>checklists of the documentation required to be submitted during the subordinate legislation</w:t>
      </w:r>
      <w:r w:rsidRPr="0045341B">
        <w:rPr>
          <w:sz w:val="20"/>
          <w:szCs w:val="20"/>
        </w:rPr>
        <w:noBreakHyphen/>
        <w:t>making process;</w:t>
      </w:r>
    </w:p>
    <w:p w:rsidR="00605D8D" w:rsidRPr="0045341B" w:rsidRDefault="00605D8D" w:rsidP="00605D8D">
      <w:pPr>
        <w:pStyle w:val="Bullet1"/>
        <w:rPr>
          <w:sz w:val="20"/>
          <w:szCs w:val="20"/>
        </w:rPr>
      </w:pPr>
      <w:proofErr w:type="gramStart"/>
      <w:r w:rsidRPr="0045341B">
        <w:rPr>
          <w:sz w:val="20"/>
          <w:szCs w:val="20"/>
        </w:rPr>
        <w:t>examples</w:t>
      </w:r>
      <w:proofErr w:type="gramEnd"/>
      <w:r w:rsidRPr="0045341B">
        <w:rPr>
          <w:sz w:val="20"/>
          <w:szCs w:val="20"/>
        </w:rPr>
        <w:t xml:space="preserve"> of the various types of certificates that may be created during the subordinate legislation</w:t>
      </w:r>
      <w:r w:rsidRPr="0045341B">
        <w:rPr>
          <w:sz w:val="20"/>
          <w:szCs w:val="20"/>
        </w:rPr>
        <w:noBreakHyphen/>
        <w:t>making process.</w:t>
      </w:r>
    </w:p>
    <w:p w:rsidR="00605D8D" w:rsidRPr="0045341B" w:rsidRDefault="00605D8D" w:rsidP="00605D8D">
      <w:pPr>
        <w:rPr>
          <w:sz w:val="20"/>
          <w:szCs w:val="20"/>
        </w:rPr>
      </w:pPr>
      <w:r w:rsidRPr="0045341B">
        <w:rPr>
          <w:sz w:val="20"/>
          <w:szCs w:val="20"/>
        </w:rPr>
        <w:t xml:space="preserve">In addition, the </w:t>
      </w:r>
      <w:r w:rsidR="00E31815" w:rsidRPr="0045341B">
        <w:rPr>
          <w:sz w:val="20"/>
          <w:szCs w:val="20"/>
        </w:rPr>
        <w:t>attachment</w:t>
      </w:r>
      <w:r w:rsidRPr="0045341B">
        <w:rPr>
          <w:sz w:val="20"/>
          <w:szCs w:val="20"/>
        </w:rPr>
        <w:t xml:space="preserve"> provides information on:</w:t>
      </w:r>
    </w:p>
    <w:p w:rsidR="00605D8D" w:rsidRPr="0045341B" w:rsidRDefault="00605D8D" w:rsidP="00605D8D">
      <w:pPr>
        <w:pStyle w:val="Bullet1"/>
        <w:rPr>
          <w:sz w:val="20"/>
          <w:szCs w:val="20"/>
        </w:rPr>
      </w:pPr>
      <w:r w:rsidRPr="0045341B">
        <w:rPr>
          <w:sz w:val="20"/>
          <w:szCs w:val="20"/>
        </w:rPr>
        <w:t>exemptions from the requirement to prepare a RIS and how to apply for the relevant exemption certificates; and</w:t>
      </w:r>
    </w:p>
    <w:p w:rsidR="00605D8D" w:rsidRPr="0045341B" w:rsidRDefault="00605D8D" w:rsidP="00605D8D">
      <w:pPr>
        <w:pStyle w:val="Bullet1"/>
        <w:rPr>
          <w:sz w:val="20"/>
          <w:szCs w:val="20"/>
        </w:rPr>
      </w:pPr>
      <w:proofErr w:type="gramStart"/>
      <w:r w:rsidRPr="0045341B">
        <w:rPr>
          <w:sz w:val="20"/>
          <w:szCs w:val="20"/>
        </w:rPr>
        <w:t>guidance</w:t>
      </w:r>
      <w:proofErr w:type="gramEnd"/>
      <w:r w:rsidRPr="0045341B">
        <w:rPr>
          <w:sz w:val="20"/>
          <w:szCs w:val="20"/>
        </w:rPr>
        <w:t xml:space="preserve"> on how to seek an extension for statutory rules due to be revoked (otherwise known as </w:t>
      </w:r>
      <w:r w:rsidR="00D72695" w:rsidRPr="0045341B">
        <w:rPr>
          <w:sz w:val="20"/>
          <w:szCs w:val="20"/>
        </w:rPr>
        <w:t>‘</w:t>
      </w:r>
      <w:r w:rsidRPr="0045341B">
        <w:rPr>
          <w:sz w:val="20"/>
          <w:szCs w:val="20"/>
        </w:rPr>
        <w:t>sun</w:t>
      </w:r>
      <w:r w:rsidRPr="0045341B">
        <w:rPr>
          <w:sz w:val="20"/>
          <w:szCs w:val="20"/>
        </w:rPr>
        <w:noBreakHyphen/>
        <w:t>setting regulations</w:t>
      </w:r>
      <w:r w:rsidR="00D72695" w:rsidRPr="0045341B">
        <w:rPr>
          <w:sz w:val="20"/>
          <w:szCs w:val="20"/>
        </w:rPr>
        <w:t>’</w:t>
      </w:r>
      <w:r w:rsidRPr="0045341B">
        <w:rPr>
          <w:sz w:val="20"/>
          <w:szCs w:val="20"/>
        </w:rPr>
        <w:t>).</w:t>
      </w:r>
    </w:p>
    <w:p w:rsidR="00605D8D" w:rsidRPr="0045341B" w:rsidRDefault="00605D8D" w:rsidP="00605D8D">
      <w:pPr>
        <w:rPr>
          <w:sz w:val="20"/>
          <w:szCs w:val="20"/>
        </w:rPr>
      </w:pPr>
      <w:r w:rsidRPr="0045341B">
        <w:rPr>
          <w:sz w:val="20"/>
          <w:szCs w:val="20"/>
        </w:rPr>
        <w:t xml:space="preserve">The final </w:t>
      </w:r>
      <w:r w:rsidR="00D13659" w:rsidRPr="0045341B">
        <w:rPr>
          <w:sz w:val="20"/>
          <w:szCs w:val="20"/>
        </w:rPr>
        <w:t>section </w:t>
      </w:r>
      <w:r w:rsidRPr="0045341B">
        <w:rPr>
          <w:sz w:val="20"/>
          <w:szCs w:val="20"/>
        </w:rPr>
        <w:t xml:space="preserve">of the </w:t>
      </w:r>
      <w:r w:rsidR="00E31815" w:rsidRPr="0045341B">
        <w:rPr>
          <w:sz w:val="20"/>
          <w:szCs w:val="20"/>
        </w:rPr>
        <w:t>attachment</w:t>
      </w:r>
      <w:r w:rsidRPr="0045341B">
        <w:rPr>
          <w:sz w:val="20"/>
          <w:szCs w:val="20"/>
        </w:rPr>
        <w:t xml:space="preserve"> provides guidance on how to incorporate external material into a statutory rule or legislative instrument.</w:t>
      </w:r>
    </w:p>
    <w:p w:rsidR="00605D8D" w:rsidRPr="0045341B" w:rsidRDefault="00605D8D" w:rsidP="00605D8D">
      <w:pPr>
        <w:rPr>
          <w:sz w:val="20"/>
          <w:szCs w:val="20"/>
        </w:rPr>
      </w:pPr>
      <w:r w:rsidRPr="0045341B">
        <w:rPr>
          <w:sz w:val="20"/>
          <w:szCs w:val="20"/>
        </w:rPr>
        <w:t xml:space="preserve">This </w:t>
      </w:r>
      <w:r w:rsidR="00E31815" w:rsidRPr="0045341B">
        <w:rPr>
          <w:sz w:val="20"/>
          <w:szCs w:val="20"/>
        </w:rPr>
        <w:t>attachment</w:t>
      </w:r>
      <w:r w:rsidRPr="0045341B">
        <w:rPr>
          <w:sz w:val="20"/>
          <w:szCs w:val="20"/>
        </w:rPr>
        <w:t xml:space="preserve"> does </w:t>
      </w:r>
      <w:r w:rsidRPr="0045341B">
        <w:rPr>
          <w:i/>
          <w:sz w:val="20"/>
          <w:szCs w:val="20"/>
        </w:rPr>
        <w:t xml:space="preserve">not </w:t>
      </w:r>
      <w:r w:rsidRPr="0045341B">
        <w:rPr>
          <w:sz w:val="20"/>
          <w:szCs w:val="20"/>
        </w:rPr>
        <w:t xml:space="preserve">address matters relating to the drafting of statutory rules, such as guidelines as to the style and language to be used. Readers should refer to the Office of the Chief Parliamentary Counsel’s publication: </w:t>
      </w:r>
      <w:r w:rsidRPr="0045341B">
        <w:rPr>
          <w:i/>
          <w:sz w:val="20"/>
          <w:szCs w:val="20"/>
        </w:rPr>
        <w:t xml:space="preserve">Notes on the Preparation of Statutory Rules </w:t>
      </w:r>
      <w:r w:rsidRPr="0045341B">
        <w:rPr>
          <w:sz w:val="20"/>
          <w:szCs w:val="20"/>
        </w:rPr>
        <w:t xml:space="preserve">for this information. (It is available from the Office’s website </w:t>
      </w:r>
      <w:hyperlink r:id="rId25" w:history="1">
        <w:r w:rsidRPr="0045341B">
          <w:rPr>
            <w:rStyle w:val="Hyperlink"/>
            <w:rFonts w:eastAsia="Times"/>
            <w:sz w:val="20"/>
            <w:szCs w:val="20"/>
          </w:rPr>
          <w:t>www.ocpc.vic.gov.au</w:t>
        </w:r>
      </w:hyperlink>
      <w:r w:rsidRPr="0045341B">
        <w:rPr>
          <w:sz w:val="20"/>
          <w:szCs w:val="20"/>
        </w:rPr>
        <w:t>).</w:t>
      </w:r>
    </w:p>
    <w:bookmarkStart w:id="93" w:name="_Toc397608135"/>
    <w:bookmarkStart w:id="94" w:name="_Toc152149892"/>
    <w:bookmarkStart w:id="95" w:name="_Toc152149315"/>
    <w:bookmarkStart w:id="96" w:name="_Toc152149893"/>
    <w:bookmarkStart w:id="97" w:name="_Toc152149316"/>
    <w:p w:rsidR="00176E45" w:rsidRPr="0045341B" w:rsidRDefault="00176E45" w:rsidP="00EF1B77">
      <w:pPr>
        <w:pStyle w:val="Heading2"/>
        <w:numPr>
          <w:ilvl w:val="0"/>
          <w:numId w:val="0"/>
        </w:numPr>
        <w:ind w:left="794"/>
        <w:rPr>
          <w:b/>
          <w:color w:val="004EA8"/>
          <w:sz w:val="26"/>
          <w:szCs w:val="26"/>
        </w:rPr>
      </w:pPr>
      <w:r w:rsidRPr="0045341B">
        <w:rPr>
          <w:b/>
          <w:noProof/>
          <w:color w:val="004EA8"/>
          <w:sz w:val="26"/>
          <w:szCs w:val="26"/>
          <w:lang w:eastAsia="en-AU"/>
        </w:rPr>
        <mc:AlternateContent>
          <mc:Choice Requires="wps">
            <w:drawing>
              <wp:anchor distT="0" distB="0" distL="114300" distR="114300" simplePos="0" relativeHeight="251681792" behindDoc="0" locked="0" layoutInCell="1" allowOverlap="1" wp14:anchorId="4E4C0EF3" wp14:editId="56E66EB8">
                <wp:simplePos x="0" y="0"/>
                <wp:positionH relativeFrom="column">
                  <wp:posOffset>8623935</wp:posOffset>
                </wp:positionH>
                <wp:positionV relativeFrom="paragraph">
                  <wp:posOffset>5308600</wp:posOffset>
                </wp:positionV>
                <wp:extent cx="0" cy="228600"/>
                <wp:effectExtent l="55880" t="13335" r="58420" b="1524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05pt,418pt" to="679.0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m+Mg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">
                <v:stroke endarrow="block"/>
              </v:line>
            </w:pict>
          </mc:Fallback>
        </mc:AlternateContent>
      </w:r>
      <w:r w:rsidRPr="0045341B">
        <w:rPr>
          <w:b/>
          <w:noProof/>
          <w:color w:val="004EA8"/>
          <w:sz w:val="26"/>
          <w:szCs w:val="26"/>
          <w:lang w:eastAsia="en-AU"/>
        </w:rPr>
        <mc:AlternateContent>
          <mc:Choice Requires="wps">
            <w:drawing>
              <wp:anchor distT="0" distB="0" distL="114300" distR="114300" simplePos="0" relativeHeight="251680768" behindDoc="0" locked="0" layoutInCell="1" allowOverlap="1" wp14:anchorId="61327F01" wp14:editId="693F345C">
                <wp:simplePos x="0" y="0"/>
                <wp:positionH relativeFrom="column">
                  <wp:posOffset>7366635</wp:posOffset>
                </wp:positionH>
                <wp:positionV relativeFrom="paragraph">
                  <wp:posOffset>5308600</wp:posOffset>
                </wp:positionV>
                <wp:extent cx="0" cy="228600"/>
                <wp:effectExtent l="55880" t="13335" r="58420" b="1524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05pt,418pt" to="580.0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">
                <v:stroke endarrow="block"/>
              </v:line>
            </w:pict>
          </mc:Fallback>
        </mc:AlternateContent>
      </w:r>
      <w:r w:rsidRPr="0045341B">
        <w:rPr>
          <w:b/>
          <w:noProof/>
          <w:color w:val="004EA8"/>
          <w:sz w:val="26"/>
          <w:szCs w:val="26"/>
          <w:lang w:eastAsia="en-AU"/>
        </w:rPr>
        <mc:AlternateContent>
          <mc:Choice Requires="wps">
            <w:drawing>
              <wp:anchor distT="0" distB="0" distL="114300" distR="114300" simplePos="0" relativeHeight="251679744" behindDoc="0" locked="0" layoutInCell="1" allowOverlap="1" wp14:anchorId="38C895F3" wp14:editId="022D4DAB">
                <wp:simplePos x="0" y="0"/>
                <wp:positionH relativeFrom="column">
                  <wp:posOffset>7480935</wp:posOffset>
                </wp:positionH>
                <wp:positionV relativeFrom="paragraph">
                  <wp:posOffset>6158865</wp:posOffset>
                </wp:positionV>
                <wp:extent cx="0" cy="342900"/>
                <wp:effectExtent l="55880" t="6350" r="58420" b="222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05pt,484.95pt" to="589.05pt,5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">
                <v:stroke endarrow="block"/>
              </v:line>
            </w:pict>
          </mc:Fallback>
        </mc:AlternateContent>
      </w:r>
      <w:r w:rsidRPr="0045341B">
        <w:rPr>
          <w:b/>
          <w:noProof/>
          <w:color w:val="004EA8"/>
          <w:sz w:val="26"/>
          <w:szCs w:val="26"/>
          <w:lang w:eastAsia="en-AU"/>
        </w:rPr>
        <mc:AlternateContent>
          <mc:Choice Requires="wps">
            <w:drawing>
              <wp:anchor distT="0" distB="0" distL="114300" distR="114300" simplePos="0" relativeHeight="251678720" behindDoc="0" locked="0" layoutInCell="1" allowOverlap="1" wp14:anchorId="1F094A0D" wp14:editId="426A9FA7">
                <wp:simplePos x="0" y="0"/>
                <wp:positionH relativeFrom="column">
                  <wp:posOffset>2400300</wp:posOffset>
                </wp:positionH>
                <wp:positionV relativeFrom="paragraph">
                  <wp:posOffset>3020060</wp:posOffset>
                </wp:positionV>
                <wp:extent cx="342900" cy="0"/>
                <wp:effectExtent l="4445" t="127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37.8pt" to="3in,2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" stroked="f">
                <v:stroke endarrow="block"/>
              </v:line>
            </w:pict>
          </mc:Fallback>
        </mc:AlternateContent>
      </w:r>
      <w:r w:rsidRPr="0045341B">
        <w:rPr>
          <w:b/>
          <w:noProof/>
          <w:color w:val="004EA8"/>
          <w:sz w:val="26"/>
          <w:szCs w:val="26"/>
          <w:lang w:eastAsia="en-AU"/>
        </w:rPr>
        <mc:AlternateContent>
          <mc:Choice Requires="wps">
            <w:drawing>
              <wp:anchor distT="0" distB="0" distL="114300" distR="114300" simplePos="0" relativeHeight="251677696" behindDoc="0" locked="0" layoutInCell="1" allowOverlap="1" wp14:anchorId="0F7BACBA" wp14:editId="169E13FF">
                <wp:simplePos x="0" y="0"/>
                <wp:positionH relativeFrom="column">
                  <wp:posOffset>2400300</wp:posOffset>
                </wp:positionH>
                <wp:positionV relativeFrom="paragraph">
                  <wp:posOffset>2905760</wp:posOffset>
                </wp:positionV>
                <wp:extent cx="342900" cy="0"/>
                <wp:effectExtent l="4445" t="127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28.8pt" to="3in,2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" stroked="f">
                <v:stroke endarrow="block"/>
              </v:line>
            </w:pict>
          </mc:Fallback>
        </mc:AlternateContent>
      </w:r>
      <w:r w:rsidRPr="0045341B">
        <w:rPr>
          <w:b/>
          <w:noProof/>
          <w:color w:val="004EA8"/>
          <w:sz w:val="26"/>
          <w:szCs w:val="26"/>
          <w:lang w:eastAsia="en-AU"/>
        </w:rPr>
        <mc:AlternateContent>
          <mc:Choice Requires="wps">
            <w:drawing>
              <wp:anchor distT="0" distB="0" distL="114300" distR="114300" simplePos="0" relativeHeight="251676672" behindDoc="0" locked="0" layoutInCell="1" allowOverlap="1" wp14:anchorId="4971C87F" wp14:editId="2D258615">
                <wp:simplePos x="0" y="0"/>
                <wp:positionH relativeFrom="column">
                  <wp:posOffset>10298430</wp:posOffset>
                </wp:positionH>
                <wp:positionV relativeFrom="paragraph">
                  <wp:posOffset>4988560</wp:posOffset>
                </wp:positionV>
                <wp:extent cx="0" cy="457200"/>
                <wp:effectExtent l="53975" t="7620" r="60325" b="209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0.9pt,392.8pt" to="810.9pt,4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">
                <v:stroke endarrow="block"/>
              </v:line>
            </w:pict>
          </mc:Fallback>
        </mc:AlternateContent>
      </w:r>
      <w:r w:rsidRPr="0045341B">
        <w:rPr>
          <w:b/>
          <w:noProof/>
          <w:color w:val="004EA8"/>
          <w:sz w:val="26"/>
          <w:szCs w:val="26"/>
          <w:lang w:eastAsia="en-AU"/>
        </w:rPr>
        <mc:AlternateContent>
          <mc:Choice Requires="wps">
            <w:drawing>
              <wp:anchor distT="0" distB="0" distL="114300" distR="114300" simplePos="0" relativeHeight="251675648" behindDoc="0" locked="0" layoutInCell="1" allowOverlap="1" wp14:anchorId="13959438" wp14:editId="6C63F1D9">
                <wp:simplePos x="0" y="0"/>
                <wp:positionH relativeFrom="column">
                  <wp:posOffset>1230630</wp:posOffset>
                </wp:positionH>
                <wp:positionV relativeFrom="paragraph">
                  <wp:posOffset>485140</wp:posOffset>
                </wp:positionV>
                <wp:extent cx="914400" cy="914400"/>
                <wp:effectExtent l="0" t="0" r="317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96.9pt;margin-top:38.2pt;width:1in;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" filled="f" stroked="f"/>
            </w:pict>
          </mc:Fallback>
        </mc:AlternateContent>
      </w:r>
      <w:r w:rsidRPr="0045341B">
        <w:rPr>
          <w:b/>
          <w:noProof/>
          <w:color w:val="004EA8"/>
          <w:sz w:val="26"/>
          <w:szCs w:val="26"/>
          <w:lang w:eastAsia="en-AU"/>
        </w:rPr>
        <mc:AlternateContent>
          <mc:Choice Requires="wps">
            <w:drawing>
              <wp:anchor distT="0" distB="0" distL="114300" distR="114300" simplePos="0" relativeHeight="251674624" behindDoc="0" locked="0" layoutInCell="1" allowOverlap="1" wp14:anchorId="5141F2F0" wp14:editId="6A11CA9C">
                <wp:simplePos x="0" y="0"/>
                <wp:positionH relativeFrom="column">
                  <wp:posOffset>1116330</wp:posOffset>
                </wp:positionH>
                <wp:positionV relativeFrom="paragraph">
                  <wp:posOffset>1513840</wp:posOffset>
                </wp:positionV>
                <wp:extent cx="457200" cy="457200"/>
                <wp:effectExtent l="0" t="0" r="317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9pt,119.2pt" to="123.9pt,1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" stroked="f">
                <v:stroke endarrow="block"/>
              </v:line>
            </w:pict>
          </mc:Fallback>
        </mc:AlternateContent>
      </w:r>
      <w:r w:rsidRPr="0045341B">
        <w:rPr>
          <w:b/>
          <w:color w:val="004EA8"/>
          <w:sz w:val="26"/>
          <w:szCs w:val="26"/>
        </w:rPr>
        <w:t>Seeking an extension for statutory rules due to be revoked</w:t>
      </w:r>
      <w:bookmarkEnd w:id="93"/>
      <w:r w:rsidRPr="0045341B">
        <w:rPr>
          <w:b/>
          <w:color w:val="004EA8"/>
          <w:sz w:val="26"/>
          <w:szCs w:val="26"/>
        </w:rPr>
        <w:t xml:space="preserve"> </w:t>
      </w:r>
    </w:p>
    <w:p w:rsidR="00584FDB" w:rsidRPr="00644151" w:rsidRDefault="00176E45" w:rsidP="00644151">
      <w:pPr>
        <w:spacing w:after="60"/>
        <w:ind w:left="792"/>
        <w:rPr>
          <w:sz w:val="20"/>
          <w:szCs w:val="20"/>
        </w:rPr>
      </w:pPr>
      <w:r w:rsidRPr="0045341B">
        <w:rPr>
          <w:sz w:val="20"/>
          <w:szCs w:val="20"/>
        </w:rPr>
        <w:t>Under section 5 of the SLA, statutory rules (‘commonly referred to as regulations’) are automatically revoked 10 years after their commencement. Section 5A, however, allows the Governor in Council to make a regulation extending the operation of a statutory rule for up to 12 months beyond this 10 year period. A statutory rule can only be extended in this way if the SLA requirements for the replacement rule cannot be completed before the expiry of the existing statutory rule. The extension effectively provides more time for the completion of Part 2 requirements, including (where appli</w:t>
      </w:r>
      <w:r w:rsidR="00644151">
        <w:rPr>
          <w:sz w:val="20"/>
          <w:szCs w:val="20"/>
        </w:rPr>
        <w:t>cable) completion of a RIS.</w:t>
      </w:r>
    </w:p>
    <w:p w:rsidR="00176E45" w:rsidRPr="0045341B" w:rsidRDefault="00176E45" w:rsidP="00176E45">
      <w:pPr>
        <w:rPr>
          <w:sz w:val="20"/>
          <w:szCs w:val="20"/>
        </w:rPr>
      </w:pPr>
      <w:r w:rsidRPr="0045341B">
        <w:rPr>
          <w:sz w:val="20"/>
          <w:szCs w:val="20"/>
        </w:rPr>
        <w:t>Before the Governor in Council can make such a regulation extending the existing statutory rule, the following steps must be taken:</w:t>
      </w:r>
    </w:p>
    <w:p w:rsidR="00176E45" w:rsidRPr="0045341B" w:rsidRDefault="00176E45" w:rsidP="00322641">
      <w:pPr>
        <w:pStyle w:val="ListNumber"/>
        <w:numPr>
          <w:ilvl w:val="0"/>
          <w:numId w:val="25"/>
        </w:numPr>
        <w:rPr>
          <w:sz w:val="20"/>
          <w:szCs w:val="20"/>
        </w:rPr>
      </w:pPr>
      <w:r w:rsidRPr="0045341B">
        <w:rPr>
          <w:sz w:val="20"/>
          <w:szCs w:val="20"/>
        </w:rPr>
        <w:t>The Minister must be satisfied that:</w:t>
      </w:r>
    </w:p>
    <w:p w:rsidR="00176E45" w:rsidRPr="0045341B" w:rsidRDefault="00176E45" w:rsidP="00176E45">
      <w:pPr>
        <w:pStyle w:val="Bullet3"/>
        <w:rPr>
          <w:sz w:val="20"/>
          <w:szCs w:val="20"/>
        </w:rPr>
      </w:pPr>
      <w:r w:rsidRPr="0045341B">
        <w:rPr>
          <w:sz w:val="20"/>
          <w:szCs w:val="20"/>
        </w:rPr>
        <w:t>due to special circumstances, there is insufficient time to enable compliance with Part 2 in respect of a proposed statutory rule before the rule it is intended to replace is to be revoked by section 5; and</w:t>
      </w:r>
    </w:p>
    <w:p w:rsidR="00176E45" w:rsidRPr="0045341B" w:rsidRDefault="00176E45" w:rsidP="00176E45">
      <w:pPr>
        <w:pStyle w:val="Bullet3"/>
        <w:rPr>
          <w:sz w:val="20"/>
          <w:szCs w:val="20"/>
        </w:rPr>
      </w:pPr>
      <w:proofErr w:type="gramStart"/>
      <w:r w:rsidRPr="0045341B">
        <w:rPr>
          <w:sz w:val="20"/>
          <w:szCs w:val="20"/>
        </w:rPr>
        <w:t>the</w:t>
      </w:r>
      <w:proofErr w:type="gramEnd"/>
      <w:r w:rsidRPr="0045341B">
        <w:rPr>
          <w:sz w:val="20"/>
          <w:szCs w:val="20"/>
        </w:rPr>
        <w:t xml:space="preserve"> statutory rule which would otherwise be revoked should be extended for a specified period not exceeding 12 months.</w:t>
      </w:r>
    </w:p>
    <w:p w:rsidR="00176E45" w:rsidRPr="0045341B" w:rsidRDefault="00176E45" w:rsidP="00584FDB">
      <w:pPr>
        <w:pStyle w:val="ListNumber"/>
        <w:ind w:left="1080" w:hanging="288"/>
        <w:contextualSpacing w:val="0"/>
        <w:rPr>
          <w:sz w:val="20"/>
          <w:szCs w:val="20"/>
        </w:rPr>
      </w:pPr>
      <w:r w:rsidRPr="0045341B">
        <w:rPr>
          <w:sz w:val="20"/>
          <w:szCs w:val="20"/>
        </w:rPr>
        <w:t>The Minister must request the Premier to issue a certificate under section </w:t>
      </w:r>
      <w:proofErr w:type="gramStart"/>
      <w:r w:rsidRPr="0045341B">
        <w:rPr>
          <w:sz w:val="20"/>
          <w:szCs w:val="20"/>
        </w:rPr>
        <w:t>5A(</w:t>
      </w:r>
      <w:proofErr w:type="gramEnd"/>
      <w:r w:rsidRPr="0045341B">
        <w:rPr>
          <w:sz w:val="20"/>
          <w:szCs w:val="20"/>
        </w:rPr>
        <w:t>3) specifying that the Premier has agreed that the statutory rule should be extended for the specified period. The statutory rule maker should consult the Department of Premier and Cabinet’s Legal Branch as soon as it becomes evident that a Premier’s certificate may be required. After consultation, the responsible Minister may request that the Premier issue a certificate in writing. Unless there are exceptional circumstances, requests should be made at least 28 days before the date on which the statutory rule is sought to be made. The Minister’s request should provide sufficiently detailed information to satisfy the Premier that special circumstances exist that require the extension of the statutory rule.</w:t>
      </w:r>
    </w:p>
    <w:p w:rsidR="00176E45" w:rsidRPr="0045341B" w:rsidRDefault="00176E45" w:rsidP="00584FDB">
      <w:pPr>
        <w:pStyle w:val="ListNumber"/>
        <w:ind w:left="1080" w:hanging="288"/>
        <w:contextualSpacing w:val="0"/>
        <w:rPr>
          <w:sz w:val="20"/>
          <w:szCs w:val="20"/>
        </w:rPr>
      </w:pPr>
      <w:r w:rsidRPr="0045341B">
        <w:rPr>
          <w:sz w:val="20"/>
          <w:szCs w:val="20"/>
        </w:rPr>
        <w:t>Once a Premier’s certificate has been obtained, the Minister may issue a certificate under section </w:t>
      </w:r>
      <w:proofErr w:type="gramStart"/>
      <w:r w:rsidRPr="0045341B">
        <w:rPr>
          <w:sz w:val="20"/>
          <w:szCs w:val="20"/>
        </w:rPr>
        <w:t>5A(</w:t>
      </w:r>
      <w:proofErr w:type="gramEnd"/>
      <w:r w:rsidRPr="0045341B">
        <w:rPr>
          <w:sz w:val="20"/>
          <w:szCs w:val="20"/>
        </w:rPr>
        <w:t>1). The certificate must contain the following information:</w:t>
      </w:r>
    </w:p>
    <w:p w:rsidR="00176E45" w:rsidRPr="0045341B" w:rsidRDefault="00176E45" w:rsidP="00176E45">
      <w:pPr>
        <w:pStyle w:val="Bullet3"/>
        <w:rPr>
          <w:sz w:val="20"/>
          <w:szCs w:val="20"/>
        </w:rPr>
      </w:pPr>
      <w:r w:rsidRPr="0045341B">
        <w:rPr>
          <w:sz w:val="20"/>
          <w:szCs w:val="20"/>
        </w:rPr>
        <w:t>a statement that the Minister is satisfied that, due to special circumstances, there is insufficient time to enable compliance with Part 2 in respect of a proposed statutory rule before the rule it is intended to replace is to be revoked by section 5;</w:t>
      </w:r>
    </w:p>
    <w:p w:rsidR="00176E45" w:rsidRPr="0045341B" w:rsidRDefault="00176E45" w:rsidP="00176E45">
      <w:pPr>
        <w:pStyle w:val="Bullet3"/>
        <w:rPr>
          <w:sz w:val="20"/>
          <w:szCs w:val="20"/>
        </w:rPr>
      </w:pPr>
      <w:r w:rsidRPr="0045341B">
        <w:rPr>
          <w:sz w:val="20"/>
          <w:szCs w:val="20"/>
        </w:rPr>
        <w:t>a statement that the Minister is satisfied that the statutory rule which would otherwise be revoked should be extended for a specified period not exceeding 12 months; and</w:t>
      </w:r>
    </w:p>
    <w:p w:rsidR="00176E45" w:rsidRPr="0045341B" w:rsidRDefault="00176E45" w:rsidP="00176E45">
      <w:pPr>
        <w:pStyle w:val="Bullet3"/>
        <w:rPr>
          <w:sz w:val="20"/>
          <w:szCs w:val="20"/>
        </w:rPr>
      </w:pPr>
      <w:proofErr w:type="gramStart"/>
      <w:r w:rsidRPr="0045341B">
        <w:rPr>
          <w:sz w:val="20"/>
          <w:szCs w:val="20"/>
        </w:rPr>
        <w:t>a</w:t>
      </w:r>
      <w:proofErr w:type="gramEnd"/>
      <w:r w:rsidRPr="0045341B">
        <w:rPr>
          <w:sz w:val="20"/>
          <w:szCs w:val="20"/>
        </w:rPr>
        <w:t xml:space="preserve"> description of the special circumstances that apply and the reasons why the extension is necessary.</w:t>
      </w:r>
    </w:p>
    <w:p w:rsidR="00176E45" w:rsidRPr="0045341B" w:rsidRDefault="00176E45" w:rsidP="00176E45">
      <w:pPr>
        <w:rPr>
          <w:sz w:val="20"/>
          <w:szCs w:val="20"/>
        </w:rPr>
      </w:pPr>
      <w:r w:rsidRPr="0045341B">
        <w:rPr>
          <w:sz w:val="20"/>
          <w:szCs w:val="20"/>
        </w:rPr>
        <w:t xml:space="preserve">The special circumstances giving rise to the need for the extension must also be provided on the Explanatory Memorandum to the Governor in Council. Matters such as delay or oversight are </w:t>
      </w:r>
      <w:r w:rsidRPr="0045341B">
        <w:rPr>
          <w:i/>
          <w:iCs/>
          <w:sz w:val="20"/>
          <w:szCs w:val="20"/>
        </w:rPr>
        <w:t>not</w:t>
      </w:r>
      <w:r w:rsidRPr="0045341B">
        <w:rPr>
          <w:sz w:val="20"/>
          <w:szCs w:val="20"/>
        </w:rPr>
        <w:t xml:space="preserve"> sufficient to justify a certificate under this section.</w:t>
      </w:r>
    </w:p>
    <w:p w:rsidR="006147D1" w:rsidRPr="0045341B" w:rsidRDefault="006147D1" w:rsidP="00EF1B77">
      <w:pPr>
        <w:pStyle w:val="Heading2"/>
        <w:numPr>
          <w:ilvl w:val="0"/>
          <w:numId w:val="0"/>
        </w:numPr>
        <w:ind w:left="794"/>
        <w:rPr>
          <w:b/>
          <w:color w:val="004EA8"/>
          <w:sz w:val="26"/>
          <w:szCs w:val="26"/>
        </w:rPr>
      </w:pPr>
      <w:bookmarkStart w:id="98" w:name="_Toc397608136"/>
      <w:r w:rsidRPr="0045341B">
        <w:rPr>
          <w:b/>
          <w:color w:val="004EA8"/>
          <w:sz w:val="26"/>
          <w:szCs w:val="26"/>
        </w:rPr>
        <w:t>Documentation checklists and publication requirements</w:t>
      </w:r>
      <w:bookmarkEnd w:id="98"/>
    </w:p>
    <w:p w:rsidR="002436EC" w:rsidRPr="0045341B" w:rsidRDefault="002436EC" w:rsidP="002436EC">
      <w:pPr>
        <w:rPr>
          <w:sz w:val="20"/>
          <w:szCs w:val="20"/>
        </w:rPr>
      </w:pPr>
      <w:r w:rsidRPr="0045341B">
        <w:rPr>
          <w:rFonts w:cs="Arial"/>
          <w:bCs/>
          <w:sz w:val="20"/>
          <w:szCs w:val="20"/>
        </w:rPr>
        <w:t>This section provides various checklists setting out the documents and certificates which must accompany statutory rules and legislative instruments.</w:t>
      </w:r>
    </w:p>
    <w:p w:rsidR="00584FDB" w:rsidRPr="00644151" w:rsidRDefault="00605D8D" w:rsidP="00644151">
      <w:pPr>
        <w:spacing w:after="60"/>
        <w:rPr>
          <w:sz w:val="20"/>
          <w:szCs w:val="20"/>
        </w:rPr>
      </w:pPr>
      <w:r w:rsidRPr="0045341B">
        <w:rPr>
          <w:rFonts w:cs="Arial"/>
          <w:bCs/>
          <w:sz w:val="20"/>
          <w:szCs w:val="20"/>
        </w:rPr>
        <w:t xml:space="preserve">Figure </w:t>
      </w:r>
      <w:r w:rsidR="00CA47F0" w:rsidRPr="0045341B">
        <w:rPr>
          <w:rFonts w:cs="Arial"/>
          <w:bCs/>
          <w:sz w:val="20"/>
          <w:szCs w:val="20"/>
        </w:rPr>
        <w:t xml:space="preserve">5 </w:t>
      </w:r>
      <w:r w:rsidRPr="0045341B">
        <w:rPr>
          <w:rFonts w:cs="Arial"/>
          <w:bCs/>
          <w:sz w:val="20"/>
          <w:szCs w:val="20"/>
        </w:rPr>
        <w:t>on the following page</w:t>
      </w:r>
      <w:r w:rsidRPr="0045341B">
        <w:rPr>
          <w:rFonts w:cs="Arial"/>
          <w:b/>
          <w:bCs/>
          <w:sz w:val="20"/>
          <w:szCs w:val="20"/>
        </w:rPr>
        <w:t xml:space="preserve"> </w:t>
      </w:r>
      <w:r w:rsidRPr="0045341B">
        <w:rPr>
          <w:rFonts w:cs="Arial"/>
          <w:bCs/>
          <w:sz w:val="20"/>
          <w:szCs w:val="20"/>
        </w:rPr>
        <w:t xml:space="preserve">provides a checklist of all documents accompanying subordinate legislation. </w:t>
      </w:r>
      <w:r w:rsidR="002436EC" w:rsidRPr="0045341B">
        <w:rPr>
          <w:rFonts w:cs="Arial"/>
          <w:bCs/>
          <w:sz w:val="20"/>
          <w:szCs w:val="20"/>
        </w:rPr>
        <w:t xml:space="preserve">The checklist specifies who these documents must be submitted to and the timeframes for submission. </w:t>
      </w:r>
      <w:r w:rsidRPr="0045341B">
        <w:rPr>
          <w:sz w:val="20"/>
          <w:szCs w:val="20"/>
        </w:rPr>
        <w:t xml:space="preserve">Boxes shaded in grey apply only to statutory rules (commonly known as </w:t>
      </w:r>
      <w:r w:rsidR="00D72695" w:rsidRPr="0045341B">
        <w:rPr>
          <w:sz w:val="20"/>
          <w:szCs w:val="20"/>
        </w:rPr>
        <w:t>‘</w:t>
      </w:r>
      <w:r w:rsidRPr="0045341B">
        <w:rPr>
          <w:sz w:val="20"/>
          <w:szCs w:val="20"/>
        </w:rPr>
        <w:t>regulations</w:t>
      </w:r>
      <w:r w:rsidR="00D72695" w:rsidRPr="0045341B">
        <w:rPr>
          <w:sz w:val="20"/>
          <w:szCs w:val="20"/>
        </w:rPr>
        <w:t>’</w:t>
      </w:r>
      <w:r w:rsidRPr="0045341B">
        <w:rPr>
          <w:sz w:val="20"/>
          <w:szCs w:val="20"/>
        </w:rPr>
        <w:t>).</w:t>
      </w:r>
      <w:r w:rsidRPr="0045341B">
        <w:rPr>
          <w:rStyle w:val="FootnoteReference"/>
          <w:sz w:val="20"/>
          <w:szCs w:val="20"/>
        </w:rPr>
        <w:footnoteReference w:id="20"/>
      </w:r>
      <w:r w:rsidR="00644151">
        <w:rPr>
          <w:sz w:val="20"/>
          <w:szCs w:val="20"/>
        </w:rPr>
        <w:t xml:space="preserve"> </w:t>
      </w:r>
    </w:p>
    <w:p w:rsidR="00605D8D" w:rsidRPr="008D1B23" w:rsidRDefault="00605D8D" w:rsidP="00605D8D">
      <w:pPr>
        <w:rPr>
          <w:sz w:val="20"/>
          <w:szCs w:val="20"/>
        </w:rPr>
      </w:pPr>
      <w:r w:rsidRPr="008D1B23">
        <w:rPr>
          <w:sz w:val="20"/>
          <w:szCs w:val="20"/>
        </w:rPr>
        <w:t xml:space="preserve">The following documents are </w:t>
      </w:r>
      <w:r w:rsidRPr="008D1B23">
        <w:rPr>
          <w:b/>
          <w:sz w:val="20"/>
          <w:szCs w:val="20"/>
        </w:rPr>
        <w:t>not</w:t>
      </w:r>
      <w:r w:rsidRPr="008D1B23">
        <w:rPr>
          <w:sz w:val="20"/>
          <w:szCs w:val="20"/>
        </w:rPr>
        <w:t xml:space="preserve"> applicable where subordinate legislation is exempt from the RIS process:</w:t>
      </w:r>
    </w:p>
    <w:p w:rsidR="00605D8D" w:rsidRPr="008D1B23" w:rsidRDefault="00D72695" w:rsidP="00605D8D">
      <w:pPr>
        <w:pStyle w:val="Bullet1"/>
        <w:rPr>
          <w:sz w:val="20"/>
          <w:szCs w:val="20"/>
        </w:rPr>
      </w:pPr>
      <w:r w:rsidRPr="008D1B23">
        <w:rPr>
          <w:rFonts w:cs="Arial"/>
          <w:bCs/>
          <w:sz w:val="20"/>
          <w:szCs w:val="20"/>
        </w:rPr>
        <w:t xml:space="preserve">certificate </w:t>
      </w:r>
      <w:r w:rsidR="00605D8D" w:rsidRPr="008D1B23">
        <w:rPr>
          <w:rFonts w:cs="Arial"/>
          <w:bCs/>
          <w:sz w:val="20"/>
          <w:szCs w:val="20"/>
        </w:rPr>
        <w:t>of RIS compliance (10(4) or 12H)</w:t>
      </w:r>
      <w:r w:rsidRPr="008D1B23">
        <w:rPr>
          <w:rFonts w:cs="Arial"/>
          <w:bCs/>
          <w:sz w:val="20"/>
          <w:szCs w:val="20"/>
        </w:rPr>
        <w:t>;</w:t>
      </w:r>
    </w:p>
    <w:p w:rsidR="00605D8D" w:rsidRPr="008D1B23" w:rsidRDefault="00D72695" w:rsidP="00605D8D">
      <w:pPr>
        <w:pStyle w:val="Bullet1"/>
        <w:rPr>
          <w:sz w:val="20"/>
          <w:szCs w:val="20"/>
        </w:rPr>
      </w:pPr>
      <w:r w:rsidRPr="008D1B23">
        <w:rPr>
          <w:sz w:val="20"/>
          <w:szCs w:val="20"/>
        </w:rPr>
        <w:t xml:space="preserve">copies </w:t>
      </w:r>
      <w:r w:rsidR="00605D8D" w:rsidRPr="008D1B23">
        <w:rPr>
          <w:sz w:val="20"/>
          <w:szCs w:val="20"/>
        </w:rPr>
        <w:t>of public submissions/comments</w:t>
      </w:r>
      <w:r w:rsidRPr="008D1B23">
        <w:rPr>
          <w:sz w:val="20"/>
          <w:szCs w:val="20"/>
        </w:rPr>
        <w:t>;</w:t>
      </w:r>
    </w:p>
    <w:p w:rsidR="00605D8D" w:rsidRPr="008D1B23" w:rsidRDefault="00B41D1D" w:rsidP="00605D8D">
      <w:pPr>
        <w:pStyle w:val="Bullet1"/>
        <w:rPr>
          <w:sz w:val="20"/>
          <w:szCs w:val="20"/>
        </w:rPr>
      </w:pPr>
      <w:r>
        <w:rPr>
          <w:sz w:val="20"/>
          <w:szCs w:val="20"/>
        </w:rPr>
        <w:t>the Commissioner’s</w:t>
      </w:r>
      <w:r w:rsidR="00605D8D" w:rsidRPr="008D1B23">
        <w:rPr>
          <w:sz w:val="20"/>
          <w:szCs w:val="20"/>
        </w:rPr>
        <w:t xml:space="preserve"> assessment of RIS</w:t>
      </w:r>
      <w:r w:rsidR="00D72695" w:rsidRPr="008D1B23">
        <w:rPr>
          <w:sz w:val="20"/>
          <w:szCs w:val="20"/>
        </w:rPr>
        <w:t>; and</w:t>
      </w:r>
    </w:p>
    <w:p w:rsidR="00605D8D" w:rsidRPr="008D1B23" w:rsidRDefault="00D72695" w:rsidP="00605D8D">
      <w:pPr>
        <w:pStyle w:val="Bullet1"/>
        <w:rPr>
          <w:sz w:val="20"/>
          <w:szCs w:val="20"/>
        </w:rPr>
      </w:pPr>
      <w:proofErr w:type="gramStart"/>
      <w:r w:rsidRPr="008D1B23">
        <w:rPr>
          <w:sz w:val="20"/>
          <w:szCs w:val="20"/>
        </w:rPr>
        <w:t>competition</w:t>
      </w:r>
      <w:proofErr w:type="gramEnd"/>
      <w:r w:rsidRPr="008D1B23">
        <w:rPr>
          <w:sz w:val="20"/>
          <w:szCs w:val="20"/>
        </w:rPr>
        <w:t xml:space="preserve"> </w:t>
      </w:r>
      <w:r w:rsidR="00605D8D" w:rsidRPr="008D1B23">
        <w:rPr>
          <w:sz w:val="20"/>
          <w:szCs w:val="20"/>
        </w:rPr>
        <w:t>policy certificate</w:t>
      </w:r>
      <w:r w:rsidRPr="008D1B23">
        <w:rPr>
          <w:sz w:val="20"/>
          <w:szCs w:val="20"/>
        </w:rPr>
        <w:t>.</w:t>
      </w:r>
    </w:p>
    <w:p w:rsidR="00644151" w:rsidRDefault="00644151">
      <w:pPr>
        <w:spacing w:before="0" w:after="0"/>
        <w:ind w:left="0"/>
        <w:rPr>
          <w:b/>
          <w:sz w:val="20"/>
          <w:szCs w:val="20"/>
        </w:rPr>
      </w:pPr>
      <w:r>
        <w:rPr>
          <w:b/>
          <w:sz w:val="20"/>
          <w:szCs w:val="20"/>
        </w:rPr>
        <w:br w:type="page"/>
      </w:r>
    </w:p>
    <w:p w:rsidR="00605D8D" w:rsidRDefault="00605D8D" w:rsidP="00D72695">
      <w:pPr>
        <w:pStyle w:val="Caption"/>
      </w:pPr>
      <w:r w:rsidRPr="00CA47F0">
        <w:t>Figure</w:t>
      </w:r>
      <w:r w:rsidR="00CA47F0" w:rsidRPr="00CA47F0">
        <w:t xml:space="preserve"> 5</w:t>
      </w:r>
      <w:r w:rsidRPr="00CA47F0">
        <w:t>: Documentation</w:t>
      </w:r>
      <w:r w:rsidRPr="00245BE8">
        <w:t xml:space="preserve"> required </w:t>
      </w:r>
      <w:proofErr w:type="gramStart"/>
      <w:r w:rsidRPr="00245BE8">
        <w:t>to accompany</w:t>
      </w:r>
      <w:proofErr w:type="gramEnd"/>
      <w:r w:rsidRPr="00245BE8">
        <w:t xml:space="preserve"> subordinate legislation</w:t>
      </w:r>
    </w:p>
    <w:p w:rsidR="00605D8D" w:rsidRPr="008D1B23" w:rsidRDefault="00605D8D" w:rsidP="00D72695">
      <w:pPr>
        <w:rPr>
          <w:sz w:val="20"/>
          <w:szCs w:val="20"/>
        </w:rPr>
      </w:pPr>
      <w:r w:rsidRPr="008D1B23">
        <w:rPr>
          <w:sz w:val="20"/>
          <w:szCs w:val="20"/>
        </w:rPr>
        <w:t xml:space="preserve">Boxes shaded in grey apply only to statutory rules (commonly known as </w:t>
      </w:r>
      <w:r w:rsidR="00D72695" w:rsidRPr="008D1B23">
        <w:rPr>
          <w:sz w:val="20"/>
          <w:szCs w:val="20"/>
        </w:rPr>
        <w:t>‘</w:t>
      </w:r>
      <w:r w:rsidRPr="008D1B23">
        <w:rPr>
          <w:sz w:val="20"/>
          <w:szCs w:val="20"/>
        </w:rPr>
        <w:t>regulations</w:t>
      </w:r>
      <w:r w:rsidR="00D72695" w:rsidRPr="008D1B23">
        <w:rPr>
          <w:sz w:val="20"/>
          <w:szCs w:val="20"/>
        </w:rPr>
        <w:t>’</w:t>
      </w:r>
      <w:r w:rsidRPr="008D1B23">
        <w:rPr>
          <w:sz w:val="20"/>
          <w:szCs w:val="20"/>
        </w:rPr>
        <w:t>)</w:t>
      </w:r>
    </w:p>
    <w:tbl>
      <w:tblPr>
        <w:tblW w:w="8505" w:type="dxa"/>
        <w:tblInd w:w="835" w:type="dxa"/>
        <w:tblBorders>
          <w:top w:val="single" w:sz="4" w:space="0" w:color="auto"/>
          <w:bottom w:val="single" w:sz="4" w:space="0" w:color="auto"/>
          <w:insideH w:val="single" w:sz="4" w:space="0" w:color="auto"/>
        </w:tblBorders>
        <w:tblCellMar>
          <w:left w:w="43" w:type="dxa"/>
          <w:right w:w="43" w:type="dxa"/>
        </w:tblCellMar>
        <w:tblLook w:val="0000" w:firstRow="0" w:lastRow="0" w:firstColumn="0" w:lastColumn="0" w:noHBand="0" w:noVBand="0"/>
      </w:tblPr>
      <w:tblGrid>
        <w:gridCol w:w="1818"/>
        <w:gridCol w:w="3142"/>
        <w:gridCol w:w="1775"/>
        <w:gridCol w:w="1770"/>
      </w:tblGrid>
      <w:tr w:rsidR="00605D8D" w:rsidRPr="008D1B23" w:rsidTr="00DE4E32">
        <w:trPr>
          <w:cantSplit/>
          <w:tblHeader/>
        </w:trPr>
        <w:tc>
          <w:tcPr>
            <w:tcW w:w="1818" w:type="dxa"/>
            <w:shd w:val="clear" w:color="auto" w:fill="009CA6"/>
            <w:vAlign w:val="bottom"/>
          </w:tcPr>
          <w:p w:rsidR="00605D8D" w:rsidRPr="00DE4E32" w:rsidRDefault="00605D8D" w:rsidP="00D72695">
            <w:pPr>
              <w:pStyle w:val="TableHeader"/>
              <w:rPr>
                <w:rFonts w:asciiTheme="minorHAnsi" w:hAnsiTheme="minorHAnsi"/>
                <w:b/>
                <w:color w:val="FFFFFF" w:themeColor="background1"/>
                <w:sz w:val="20"/>
                <w:szCs w:val="20"/>
              </w:rPr>
            </w:pPr>
            <w:r w:rsidRPr="00DE4E32">
              <w:rPr>
                <w:rFonts w:asciiTheme="minorHAnsi" w:hAnsiTheme="minorHAnsi"/>
                <w:b/>
                <w:color w:val="FFFFFF" w:themeColor="background1"/>
                <w:sz w:val="20"/>
                <w:szCs w:val="20"/>
              </w:rPr>
              <w:t>Documentation</w:t>
            </w:r>
            <w:r w:rsidR="00D72695" w:rsidRPr="00DE4E32">
              <w:rPr>
                <w:rFonts w:asciiTheme="minorHAnsi" w:hAnsiTheme="minorHAnsi"/>
                <w:b/>
                <w:color w:val="FFFFFF" w:themeColor="background1"/>
                <w:sz w:val="20"/>
                <w:szCs w:val="20"/>
              </w:rPr>
              <w:t xml:space="preserve"> </w:t>
            </w:r>
            <w:r w:rsidRPr="00DE4E32">
              <w:rPr>
                <w:rFonts w:asciiTheme="minorHAnsi" w:hAnsiTheme="minorHAnsi"/>
                <w:b/>
                <w:i/>
                <w:color w:val="FFFFFF" w:themeColor="background1"/>
                <w:sz w:val="20"/>
                <w:szCs w:val="20"/>
              </w:rPr>
              <w:t xml:space="preserve">and relevant </w:t>
            </w:r>
            <w:r w:rsidR="00D13659" w:rsidRPr="00DE4E32">
              <w:rPr>
                <w:rFonts w:asciiTheme="minorHAnsi" w:hAnsiTheme="minorHAnsi"/>
                <w:b/>
                <w:i/>
                <w:color w:val="FFFFFF" w:themeColor="background1"/>
                <w:sz w:val="20"/>
                <w:szCs w:val="20"/>
              </w:rPr>
              <w:t>section </w:t>
            </w:r>
            <w:r w:rsidRPr="00DE4E32">
              <w:rPr>
                <w:rFonts w:asciiTheme="minorHAnsi" w:hAnsiTheme="minorHAnsi"/>
                <w:b/>
                <w:i/>
                <w:color w:val="FFFFFF" w:themeColor="background1"/>
                <w:sz w:val="20"/>
                <w:szCs w:val="20"/>
              </w:rPr>
              <w:t>of the Act</w:t>
            </w:r>
          </w:p>
        </w:tc>
        <w:tc>
          <w:tcPr>
            <w:tcW w:w="3142" w:type="dxa"/>
            <w:shd w:val="clear" w:color="auto" w:fill="009CA6"/>
            <w:vAlign w:val="bottom"/>
          </w:tcPr>
          <w:p w:rsidR="00605D8D" w:rsidRPr="00DE4E32" w:rsidRDefault="00605D8D" w:rsidP="00D72695">
            <w:pPr>
              <w:pStyle w:val="TableHeader"/>
              <w:rPr>
                <w:rFonts w:asciiTheme="minorHAnsi" w:hAnsiTheme="minorHAnsi"/>
                <w:b/>
                <w:color w:val="FFFFFF" w:themeColor="background1"/>
                <w:sz w:val="20"/>
                <w:szCs w:val="20"/>
              </w:rPr>
            </w:pPr>
            <w:r w:rsidRPr="00DE4E32">
              <w:rPr>
                <w:rFonts w:asciiTheme="minorHAnsi" w:hAnsiTheme="minorHAnsi"/>
                <w:b/>
                <w:color w:val="FFFFFF" w:themeColor="background1"/>
                <w:sz w:val="20"/>
                <w:szCs w:val="20"/>
              </w:rPr>
              <w:t>Description</w:t>
            </w:r>
          </w:p>
        </w:tc>
        <w:tc>
          <w:tcPr>
            <w:tcW w:w="1775" w:type="dxa"/>
            <w:shd w:val="clear" w:color="auto" w:fill="009CA6"/>
            <w:vAlign w:val="bottom"/>
          </w:tcPr>
          <w:p w:rsidR="00605D8D" w:rsidRPr="00DE4E32" w:rsidRDefault="00605D8D" w:rsidP="00D72695">
            <w:pPr>
              <w:pStyle w:val="TableHeader"/>
              <w:rPr>
                <w:rFonts w:asciiTheme="minorHAnsi" w:hAnsiTheme="minorHAnsi"/>
                <w:b/>
                <w:color w:val="FFFFFF" w:themeColor="background1"/>
                <w:sz w:val="20"/>
                <w:szCs w:val="20"/>
              </w:rPr>
            </w:pPr>
            <w:r w:rsidRPr="00DE4E32">
              <w:rPr>
                <w:rFonts w:asciiTheme="minorHAnsi" w:hAnsiTheme="minorHAnsi"/>
                <w:b/>
                <w:color w:val="FFFFFF" w:themeColor="background1"/>
                <w:sz w:val="20"/>
                <w:szCs w:val="20"/>
              </w:rPr>
              <w:t>Submitted to</w:t>
            </w:r>
          </w:p>
        </w:tc>
        <w:tc>
          <w:tcPr>
            <w:tcW w:w="1770" w:type="dxa"/>
            <w:shd w:val="clear" w:color="auto" w:fill="009CA6"/>
            <w:vAlign w:val="bottom"/>
          </w:tcPr>
          <w:p w:rsidR="00605D8D" w:rsidRPr="00DE4E32" w:rsidRDefault="00605D8D" w:rsidP="00D72695">
            <w:pPr>
              <w:pStyle w:val="TableHeader"/>
              <w:rPr>
                <w:rFonts w:asciiTheme="minorHAnsi" w:hAnsiTheme="minorHAnsi"/>
                <w:b/>
                <w:color w:val="FFFFFF" w:themeColor="background1"/>
                <w:sz w:val="20"/>
                <w:szCs w:val="20"/>
              </w:rPr>
            </w:pPr>
            <w:r w:rsidRPr="00DE4E32">
              <w:rPr>
                <w:rFonts w:asciiTheme="minorHAnsi" w:hAnsiTheme="minorHAnsi"/>
                <w:b/>
                <w:color w:val="FFFFFF" w:themeColor="background1"/>
                <w:sz w:val="20"/>
                <w:szCs w:val="20"/>
              </w:rPr>
              <w:t>When</w:t>
            </w:r>
          </w:p>
        </w:tc>
      </w:tr>
      <w:tr w:rsidR="00605D8D" w:rsidRPr="008D1B23" w:rsidTr="00DE4E32">
        <w:trPr>
          <w:cantSplit/>
          <w:trHeight w:val="705"/>
        </w:trPr>
        <w:tc>
          <w:tcPr>
            <w:tcW w:w="1818" w:type="dxa"/>
            <w:shd w:val="clear" w:color="auto" w:fill="F2F2F2" w:themeFill="background1" w:themeFillShade="F2"/>
          </w:tcPr>
          <w:p w:rsidR="00D72695" w:rsidRPr="008D1B23" w:rsidRDefault="00605D8D" w:rsidP="00D72695">
            <w:pPr>
              <w:pStyle w:val="TableTextbold"/>
              <w:rPr>
                <w:rFonts w:asciiTheme="minorHAnsi" w:hAnsiTheme="minorHAnsi"/>
                <w:szCs w:val="20"/>
              </w:rPr>
            </w:pPr>
            <w:r w:rsidRPr="008D1B23">
              <w:rPr>
                <w:rFonts w:asciiTheme="minorHAnsi" w:hAnsiTheme="minorHAnsi"/>
                <w:szCs w:val="20"/>
              </w:rPr>
              <w:t xml:space="preserve">Certificate recommending extension of statutory rule </w:t>
            </w:r>
          </w:p>
          <w:p w:rsidR="00605D8D" w:rsidRPr="008D1B23" w:rsidRDefault="00605D8D" w:rsidP="00D72695">
            <w:pPr>
              <w:pStyle w:val="TableText"/>
              <w:rPr>
                <w:rFonts w:asciiTheme="minorHAnsi" w:hAnsiTheme="minorHAnsi"/>
                <w:i/>
                <w:szCs w:val="20"/>
              </w:rPr>
            </w:pPr>
            <w:r w:rsidRPr="008D1B23">
              <w:rPr>
                <w:rFonts w:asciiTheme="minorHAnsi" w:hAnsiTheme="minorHAnsi"/>
                <w:szCs w:val="20"/>
              </w:rPr>
              <w:t>(if applicable)</w:t>
            </w:r>
          </w:p>
          <w:p w:rsidR="00605D8D" w:rsidRPr="008D1B23" w:rsidRDefault="00D13659" w:rsidP="00D72695">
            <w:pPr>
              <w:pStyle w:val="TableText"/>
              <w:rPr>
                <w:rFonts w:asciiTheme="minorHAnsi" w:hAnsiTheme="minorHAnsi"/>
                <w:b/>
                <w:bCs/>
                <w:szCs w:val="20"/>
              </w:rPr>
            </w:pPr>
            <w:r w:rsidRPr="008D1B23">
              <w:rPr>
                <w:rFonts w:asciiTheme="minorHAnsi" w:hAnsiTheme="minorHAnsi"/>
                <w:i/>
                <w:szCs w:val="20"/>
              </w:rPr>
              <w:t>section </w:t>
            </w:r>
            <w:r w:rsidR="00605D8D" w:rsidRPr="008D1B23">
              <w:rPr>
                <w:rFonts w:asciiTheme="minorHAnsi" w:hAnsiTheme="minorHAnsi"/>
                <w:i/>
                <w:szCs w:val="20"/>
              </w:rPr>
              <w:t>5A</w:t>
            </w:r>
          </w:p>
        </w:tc>
        <w:tc>
          <w:tcPr>
            <w:tcW w:w="3142" w:type="dxa"/>
            <w:shd w:val="clear" w:color="auto" w:fill="F2F2F2" w:themeFill="background1" w:themeFillShade="F2"/>
          </w:tcPr>
          <w:p w:rsidR="00605D8D" w:rsidRPr="008D1B23" w:rsidRDefault="00605D8D" w:rsidP="00D72695">
            <w:pPr>
              <w:pStyle w:val="TableText"/>
              <w:rPr>
                <w:rFonts w:asciiTheme="minorHAnsi" w:hAnsiTheme="minorHAnsi"/>
                <w:szCs w:val="20"/>
              </w:rPr>
            </w:pPr>
            <w:r w:rsidRPr="008D1B23">
              <w:rPr>
                <w:rFonts w:asciiTheme="minorHAnsi" w:hAnsiTheme="minorHAnsi"/>
                <w:szCs w:val="20"/>
              </w:rPr>
              <w:t>Responsible Minister certifies if he/she is satisfied that, due to special circumstances, there is insufficient time to comply with Part 2 of the Act (i.e. consultation, preparation of RIS) before automatic revocation of existing statutory rule</w:t>
            </w:r>
          </w:p>
        </w:tc>
        <w:tc>
          <w:tcPr>
            <w:tcW w:w="1775" w:type="dxa"/>
            <w:shd w:val="clear" w:color="auto" w:fill="F2F2F2" w:themeFill="background1" w:themeFillShade="F2"/>
          </w:tcPr>
          <w:p w:rsidR="00605D8D" w:rsidRPr="008D1B23" w:rsidRDefault="00605D8D" w:rsidP="00D72695">
            <w:pPr>
              <w:pStyle w:val="TableText"/>
              <w:rPr>
                <w:rFonts w:asciiTheme="minorHAnsi" w:hAnsiTheme="minorHAnsi"/>
                <w:szCs w:val="20"/>
              </w:rPr>
            </w:pPr>
            <w:r w:rsidRPr="008D1B23">
              <w:rPr>
                <w:rFonts w:asciiTheme="minorHAnsi" w:hAnsiTheme="minorHAnsi"/>
                <w:szCs w:val="20"/>
              </w:rPr>
              <w:t>Governor</w:t>
            </w:r>
            <w:r w:rsidRPr="008D1B23">
              <w:rPr>
                <w:rFonts w:asciiTheme="minorHAnsi" w:hAnsiTheme="minorHAnsi"/>
                <w:szCs w:val="20"/>
              </w:rPr>
              <w:noBreakHyphen/>
              <w:t>in</w:t>
            </w:r>
            <w:r w:rsidRPr="008D1B23">
              <w:rPr>
                <w:rFonts w:asciiTheme="minorHAnsi" w:hAnsiTheme="minorHAnsi"/>
                <w:szCs w:val="20"/>
              </w:rPr>
              <w:noBreakHyphen/>
              <w:t xml:space="preserve"> Council (via Clerk of the Executive Council)</w:t>
            </w:r>
          </w:p>
        </w:tc>
        <w:tc>
          <w:tcPr>
            <w:tcW w:w="1770" w:type="dxa"/>
            <w:shd w:val="clear" w:color="auto" w:fill="F2F2F2" w:themeFill="background1" w:themeFillShade="F2"/>
          </w:tcPr>
          <w:p w:rsidR="00605D8D" w:rsidRPr="008D1B23" w:rsidRDefault="00605D8D" w:rsidP="00D72695">
            <w:pPr>
              <w:pStyle w:val="TableText"/>
              <w:rPr>
                <w:rFonts w:asciiTheme="minorHAnsi" w:hAnsiTheme="minorHAnsi"/>
                <w:szCs w:val="20"/>
              </w:rPr>
            </w:pPr>
            <w:r w:rsidRPr="008D1B23">
              <w:rPr>
                <w:rFonts w:asciiTheme="minorHAnsi" w:hAnsiTheme="minorHAnsi"/>
                <w:szCs w:val="20"/>
              </w:rPr>
              <w:t>Before automatic revocation of existing statutory rule</w:t>
            </w:r>
          </w:p>
        </w:tc>
      </w:tr>
      <w:tr w:rsidR="00605D8D" w:rsidRPr="008D1B23" w:rsidTr="00DE4E32">
        <w:trPr>
          <w:cantSplit/>
          <w:trHeight w:val="705"/>
        </w:trPr>
        <w:tc>
          <w:tcPr>
            <w:tcW w:w="1818" w:type="dxa"/>
            <w:vMerge w:val="restart"/>
          </w:tcPr>
          <w:p w:rsidR="00605D8D" w:rsidRPr="008D1B23" w:rsidRDefault="00605D8D" w:rsidP="00D72695">
            <w:pPr>
              <w:pStyle w:val="TableTextbold"/>
              <w:rPr>
                <w:rFonts w:asciiTheme="minorHAnsi" w:hAnsiTheme="minorHAnsi"/>
                <w:szCs w:val="20"/>
              </w:rPr>
            </w:pPr>
            <w:r w:rsidRPr="008D1B23">
              <w:rPr>
                <w:rFonts w:asciiTheme="minorHAnsi" w:hAnsiTheme="minorHAnsi"/>
                <w:szCs w:val="20"/>
              </w:rPr>
              <w:t>Certificate of consultation</w:t>
            </w:r>
            <w:r w:rsidRPr="008D1B23">
              <w:rPr>
                <w:rStyle w:val="FootnoteReference"/>
                <w:rFonts w:asciiTheme="minorHAnsi" w:hAnsiTheme="minorHAnsi"/>
                <w:b w:val="0"/>
                <w:bCs/>
                <w:szCs w:val="20"/>
              </w:rPr>
              <w:footnoteReference w:id="21"/>
            </w:r>
            <w:r w:rsidRPr="008D1B23">
              <w:rPr>
                <w:rFonts w:asciiTheme="minorHAnsi" w:hAnsiTheme="minorHAnsi"/>
                <w:szCs w:val="20"/>
              </w:rPr>
              <w:t xml:space="preserve"> </w:t>
            </w:r>
          </w:p>
          <w:p w:rsidR="00605D8D" w:rsidRPr="008D1B23" w:rsidRDefault="00D13659" w:rsidP="00D72695">
            <w:pPr>
              <w:pStyle w:val="TableText"/>
              <w:rPr>
                <w:rFonts w:asciiTheme="minorHAnsi" w:hAnsiTheme="minorHAnsi"/>
                <w:i/>
                <w:szCs w:val="20"/>
              </w:rPr>
            </w:pPr>
            <w:r w:rsidRPr="008D1B23">
              <w:rPr>
                <w:rFonts w:asciiTheme="minorHAnsi" w:hAnsiTheme="minorHAnsi"/>
                <w:i/>
                <w:szCs w:val="20"/>
              </w:rPr>
              <w:t>section </w:t>
            </w:r>
            <w:r w:rsidR="00605D8D" w:rsidRPr="008D1B23">
              <w:rPr>
                <w:rFonts w:asciiTheme="minorHAnsi" w:hAnsiTheme="minorHAnsi"/>
                <w:i/>
                <w:szCs w:val="20"/>
              </w:rPr>
              <w:t xml:space="preserve">6 or </w:t>
            </w:r>
            <w:r w:rsidRPr="008D1B23">
              <w:rPr>
                <w:rFonts w:asciiTheme="minorHAnsi" w:hAnsiTheme="minorHAnsi"/>
                <w:i/>
                <w:szCs w:val="20"/>
              </w:rPr>
              <w:t>section </w:t>
            </w:r>
            <w:r w:rsidR="00605D8D" w:rsidRPr="008D1B23">
              <w:rPr>
                <w:rFonts w:asciiTheme="minorHAnsi" w:hAnsiTheme="minorHAnsi"/>
                <w:i/>
                <w:szCs w:val="20"/>
              </w:rPr>
              <w:t>12C</w:t>
            </w:r>
          </w:p>
          <w:p w:rsidR="00605D8D" w:rsidRPr="008D1B23" w:rsidRDefault="00605D8D" w:rsidP="00D72695">
            <w:pPr>
              <w:pStyle w:val="TableText"/>
              <w:rPr>
                <w:rFonts w:asciiTheme="minorHAnsi" w:hAnsiTheme="minorHAnsi"/>
                <w:szCs w:val="20"/>
              </w:rPr>
            </w:pPr>
            <w:r w:rsidRPr="008D1B23">
              <w:rPr>
                <w:rFonts w:asciiTheme="minorHAnsi" w:hAnsiTheme="minorHAnsi"/>
                <w:i/>
                <w:szCs w:val="20"/>
              </w:rPr>
              <w:t xml:space="preserve">NB Under sections 12B and 12K, this certificate can be made a </w:t>
            </w:r>
            <w:r w:rsidR="00D72695" w:rsidRPr="008D1B23">
              <w:rPr>
                <w:rFonts w:asciiTheme="minorHAnsi" w:hAnsiTheme="minorHAnsi"/>
                <w:i/>
                <w:szCs w:val="20"/>
              </w:rPr>
              <w:t>‘</w:t>
            </w:r>
            <w:r w:rsidRPr="008D1B23">
              <w:rPr>
                <w:rFonts w:asciiTheme="minorHAnsi" w:hAnsiTheme="minorHAnsi"/>
                <w:i/>
                <w:szCs w:val="20"/>
              </w:rPr>
              <w:t>composite certificate</w:t>
            </w:r>
            <w:r w:rsidR="00D72695" w:rsidRPr="008D1B23">
              <w:rPr>
                <w:rFonts w:asciiTheme="minorHAnsi" w:hAnsiTheme="minorHAnsi"/>
                <w:i/>
                <w:szCs w:val="20"/>
              </w:rPr>
              <w:t>’</w:t>
            </w:r>
            <w:r w:rsidRPr="008D1B23">
              <w:rPr>
                <w:rFonts w:asciiTheme="minorHAnsi" w:hAnsiTheme="minorHAnsi"/>
                <w:i/>
                <w:szCs w:val="20"/>
              </w:rPr>
              <w:t xml:space="preserve"> and combined with certificates made under sections 6A, 8, 10(4), 12F or 12H of the Act.</w:t>
            </w:r>
          </w:p>
        </w:tc>
        <w:tc>
          <w:tcPr>
            <w:tcW w:w="3142" w:type="dxa"/>
            <w:vMerge w:val="restart"/>
          </w:tcPr>
          <w:p w:rsidR="00605D8D" w:rsidRPr="008D1B23" w:rsidRDefault="00605D8D" w:rsidP="00D72695">
            <w:pPr>
              <w:pStyle w:val="TableText"/>
              <w:rPr>
                <w:rFonts w:asciiTheme="minorHAnsi" w:hAnsiTheme="minorHAnsi"/>
                <w:szCs w:val="20"/>
              </w:rPr>
            </w:pPr>
            <w:r w:rsidRPr="008D1B23">
              <w:rPr>
                <w:rFonts w:asciiTheme="minorHAnsi" w:hAnsiTheme="minorHAnsi"/>
                <w:szCs w:val="20"/>
              </w:rPr>
              <w:t>Responsible Minister certifies consultation in accordance with Premier’s Guidelines with any other Minister whose area of responsibility may be affected, and any sector of the public on which a significant economic/social burden may be imposed. Details of parties consulted should be provided.</w:t>
            </w:r>
          </w:p>
        </w:tc>
        <w:tc>
          <w:tcPr>
            <w:tcW w:w="1775" w:type="dxa"/>
            <w:shd w:val="clear" w:color="auto" w:fill="F2F2F2" w:themeFill="background1" w:themeFillShade="F2"/>
          </w:tcPr>
          <w:p w:rsidR="00605D8D" w:rsidRPr="008D1B23" w:rsidRDefault="00605D8D" w:rsidP="00D72695">
            <w:pPr>
              <w:pStyle w:val="TableText"/>
              <w:rPr>
                <w:rFonts w:asciiTheme="minorHAnsi" w:hAnsiTheme="minorHAnsi" w:cs="Arial"/>
                <w:szCs w:val="20"/>
              </w:rPr>
            </w:pPr>
            <w:r w:rsidRPr="008D1B23">
              <w:rPr>
                <w:rFonts w:asciiTheme="minorHAnsi" w:hAnsiTheme="minorHAnsi" w:cs="Arial"/>
                <w:szCs w:val="20"/>
              </w:rPr>
              <w:t>Governor</w:t>
            </w:r>
            <w:r w:rsidRPr="008D1B23">
              <w:rPr>
                <w:rFonts w:asciiTheme="minorHAnsi" w:hAnsiTheme="minorHAnsi" w:cs="Arial"/>
                <w:szCs w:val="20"/>
              </w:rPr>
              <w:noBreakHyphen/>
              <w:t>in</w:t>
            </w:r>
            <w:r w:rsidRPr="008D1B23">
              <w:rPr>
                <w:rFonts w:asciiTheme="minorHAnsi" w:hAnsiTheme="minorHAnsi" w:cs="Arial"/>
                <w:szCs w:val="20"/>
              </w:rPr>
              <w:noBreakHyphen/>
              <w:t xml:space="preserve"> Council (via Clerk of the Executive Council)</w:t>
            </w:r>
          </w:p>
        </w:tc>
        <w:tc>
          <w:tcPr>
            <w:tcW w:w="1770" w:type="dxa"/>
            <w:shd w:val="clear" w:color="auto" w:fill="F2F2F2" w:themeFill="background1" w:themeFillShade="F2"/>
          </w:tcPr>
          <w:p w:rsidR="00605D8D" w:rsidRPr="008D1B23" w:rsidRDefault="00605D8D" w:rsidP="00D72695">
            <w:pPr>
              <w:pStyle w:val="TableText"/>
              <w:rPr>
                <w:rFonts w:asciiTheme="minorHAnsi" w:hAnsiTheme="minorHAnsi"/>
                <w:szCs w:val="20"/>
              </w:rPr>
            </w:pPr>
            <w:r w:rsidRPr="008D1B23">
              <w:rPr>
                <w:rFonts w:asciiTheme="minorHAnsi" w:hAnsiTheme="minorHAnsi"/>
                <w:szCs w:val="20"/>
              </w:rPr>
              <w:t>When proposed statutory rule is submitted to the Governor in Council</w:t>
            </w:r>
          </w:p>
        </w:tc>
      </w:tr>
      <w:tr w:rsidR="00605D8D" w:rsidRPr="008D1B23" w:rsidTr="00D72695">
        <w:trPr>
          <w:cantSplit/>
          <w:trHeight w:val="810"/>
        </w:trPr>
        <w:tc>
          <w:tcPr>
            <w:tcW w:w="1818" w:type="dxa"/>
            <w:vMerge/>
            <w:vAlign w:val="center"/>
          </w:tcPr>
          <w:p w:rsidR="00605D8D" w:rsidRPr="008D1B23" w:rsidRDefault="00605D8D" w:rsidP="00D72695">
            <w:pPr>
              <w:spacing w:after="0"/>
              <w:rPr>
                <w:rFonts w:asciiTheme="minorHAnsi" w:hAnsiTheme="minorHAnsi" w:cs="Arial"/>
                <w:i/>
                <w:iCs/>
                <w:sz w:val="20"/>
                <w:szCs w:val="20"/>
              </w:rPr>
            </w:pPr>
          </w:p>
        </w:tc>
        <w:tc>
          <w:tcPr>
            <w:tcW w:w="3142" w:type="dxa"/>
            <w:vMerge/>
            <w:vAlign w:val="center"/>
          </w:tcPr>
          <w:p w:rsidR="00605D8D" w:rsidRPr="008D1B23" w:rsidRDefault="00605D8D" w:rsidP="00D72695">
            <w:pPr>
              <w:pStyle w:val="TableText"/>
              <w:rPr>
                <w:rFonts w:asciiTheme="minorHAnsi" w:hAnsiTheme="minorHAnsi" w:cs="Arial"/>
                <w:szCs w:val="20"/>
              </w:rPr>
            </w:pPr>
          </w:p>
        </w:tc>
        <w:tc>
          <w:tcPr>
            <w:tcW w:w="1775" w:type="dxa"/>
          </w:tcPr>
          <w:p w:rsidR="00605D8D" w:rsidRPr="008D1B23" w:rsidRDefault="00605D8D" w:rsidP="00D72695">
            <w:pPr>
              <w:pStyle w:val="TableText"/>
              <w:rPr>
                <w:rFonts w:asciiTheme="minorHAnsi" w:hAnsiTheme="minorHAnsi"/>
                <w:szCs w:val="20"/>
              </w:rPr>
            </w:pPr>
            <w:r w:rsidRPr="008D1B23">
              <w:rPr>
                <w:rFonts w:asciiTheme="minorHAnsi" w:hAnsiTheme="minorHAnsi"/>
                <w:szCs w:val="20"/>
              </w:rPr>
              <w:t>SARC</w:t>
            </w:r>
          </w:p>
        </w:tc>
        <w:tc>
          <w:tcPr>
            <w:tcW w:w="1770" w:type="dxa"/>
          </w:tcPr>
          <w:p w:rsidR="00605D8D" w:rsidRPr="008D1B23" w:rsidRDefault="00605D8D" w:rsidP="00D72695">
            <w:pPr>
              <w:pStyle w:val="TableText"/>
              <w:rPr>
                <w:rFonts w:asciiTheme="minorHAnsi" w:hAnsiTheme="minorHAnsi"/>
                <w:szCs w:val="20"/>
              </w:rPr>
            </w:pPr>
            <w:r w:rsidRPr="008D1B23">
              <w:rPr>
                <w:rFonts w:asciiTheme="minorHAnsi" w:hAnsiTheme="minorHAnsi"/>
                <w:szCs w:val="20"/>
              </w:rPr>
              <w:t>Within 10 working days of the making of the rule or instrument*</w:t>
            </w:r>
          </w:p>
        </w:tc>
      </w:tr>
      <w:tr w:rsidR="00605D8D" w:rsidRPr="008D1B23" w:rsidTr="00D72695">
        <w:trPr>
          <w:cantSplit/>
          <w:trHeight w:val="810"/>
        </w:trPr>
        <w:tc>
          <w:tcPr>
            <w:tcW w:w="1818" w:type="dxa"/>
            <w:vMerge/>
            <w:tcBorders>
              <w:bottom w:val="single" w:sz="4" w:space="0" w:color="auto"/>
            </w:tcBorders>
            <w:vAlign w:val="center"/>
          </w:tcPr>
          <w:p w:rsidR="00605D8D" w:rsidRPr="008D1B23" w:rsidRDefault="00605D8D" w:rsidP="00D72695">
            <w:pPr>
              <w:spacing w:after="0"/>
              <w:rPr>
                <w:rFonts w:asciiTheme="minorHAnsi" w:hAnsiTheme="minorHAnsi" w:cs="Arial"/>
                <w:i/>
                <w:iCs/>
                <w:sz w:val="20"/>
                <w:szCs w:val="20"/>
              </w:rPr>
            </w:pPr>
          </w:p>
        </w:tc>
        <w:tc>
          <w:tcPr>
            <w:tcW w:w="3142" w:type="dxa"/>
            <w:vMerge/>
            <w:tcBorders>
              <w:bottom w:val="single" w:sz="4" w:space="0" w:color="auto"/>
            </w:tcBorders>
            <w:vAlign w:val="center"/>
          </w:tcPr>
          <w:p w:rsidR="00605D8D" w:rsidRPr="008D1B23" w:rsidRDefault="00605D8D" w:rsidP="00D72695">
            <w:pPr>
              <w:pStyle w:val="TableText"/>
              <w:rPr>
                <w:rFonts w:asciiTheme="minorHAnsi" w:hAnsiTheme="minorHAnsi" w:cs="Arial"/>
                <w:szCs w:val="20"/>
              </w:rPr>
            </w:pPr>
          </w:p>
        </w:tc>
        <w:tc>
          <w:tcPr>
            <w:tcW w:w="1775" w:type="dxa"/>
            <w:tcBorders>
              <w:bottom w:val="single" w:sz="4" w:space="0" w:color="auto"/>
            </w:tcBorders>
          </w:tcPr>
          <w:p w:rsidR="00605D8D" w:rsidRPr="008D1B23" w:rsidRDefault="00605D8D" w:rsidP="00D72695">
            <w:pPr>
              <w:pStyle w:val="TableText"/>
              <w:rPr>
                <w:rFonts w:asciiTheme="minorHAnsi" w:hAnsiTheme="minorHAnsi"/>
                <w:szCs w:val="20"/>
              </w:rPr>
            </w:pPr>
            <w:r w:rsidRPr="008D1B23">
              <w:rPr>
                <w:rFonts w:asciiTheme="minorHAnsi" w:hAnsiTheme="minorHAnsi"/>
                <w:szCs w:val="20"/>
              </w:rPr>
              <w:t>Parliament</w:t>
            </w:r>
          </w:p>
        </w:tc>
        <w:tc>
          <w:tcPr>
            <w:tcW w:w="1770" w:type="dxa"/>
            <w:tcBorders>
              <w:bottom w:val="single" w:sz="4" w:space="0" w:color="auto"/>
            </w:tcBorders>
          </w:tcPr>
          <w:p w:rsidR="00605D8D" w:rsidRPr="008D1B23" w:rsidRDefault="00605D8D" w:rsidP="00D72695">
            <w:pPr>
              <w:pStyle w:val="TableText"/>
              <w:rPr>
                <w:rFonts w:asciiTheme="minorHAnsi" w:hAnsiTheme="minorHAnsi"/>
                <w:szCs w:val="20"/>
              </w:rPr>
            </w:pPr>
            <w:r w:rsidRPr="008D1B23">
              <w:rPr>
                <w:rFonts w:asciiTheme="minorHAnsi" w:hAnsiTheme="minorHAnsi"/>
                <w:szCs w:val="20"/>
              </w:rPr>
              <w:t>When rule or instrument is laid before Parliament (on or before the 6</w:t>
            </w:r>
            <w:r w:rsidRPr="008D1B23">
              <w:rPr>
                <w:rFonts w:asciiTheme="minorHAnsi" w:hAnsiTheme="minorHAnsi"/>
                <w:szCs w:val="20"/>
                <w:vertAlign w:val="superscript"/>
              </w:rPr>
              <w:t>th</w:t>
            </w:r>
            <w:r w:rsidRPr="008D1B23">
              <w:rPr>
                <w:rFonts w:asciiTheme="minorHAnsi" w:hAnsiTheme="minorHAnsi"/>
                <w:szCs w:val="20"/>
              </w:rPr>
              <w:t xml:space="preserve"> sitting day after gazettal)</w:t>
            </w:r>
            <w:r w:rsidRPr="008D1B23">
              <w:rPr>
                <w:rFonts w:asciiTheme="minorHAnsi" w:hAnsiTheme="minorHAnsi"/>
                <w:szCs w:val="20"/>
              </w:rPr>
              <w:sym w:font="Symbol" w:char="0023"/>
            </w:r>
          </w:p>
        </w:tc>
      </w:tr>
      <w:tr w:rsidR="00605D8D" w:rsidRPr="008D1B23" w:rsidTr="00D72695">
        <w:trPr>
          <w:cantSplit/>
        </w:trPr>
        <w:tc>
          <w:tcPr>
            <w:tcW w:w="8505" w:type="dxa"/>
            <w:gridSpan w:val="4"/>
            <w:tcBorders>
              <w:bottom w:val="single" w:sz="4" w:space="0" w:color="auto"/>
            </w:tcBorders>
          </w:tcPr>
          <w:p w:rsidR="00605D8D" w:rsidRPr="008D1B23" w:rsidRDefault="002436EC" w:rsidP="002436EC">
            <w:pPr>
              <w:pStyle w:val="TableTextbold"/>
              <w:tabs>
                <w:tab w:val="right" w:pos="8419"/>
              </w:tabs>
              <w:rPr>
                <w:rFonts w:asciiTheme="minorHAnsi" w:hAnsiTheme="minorHAnsi"/>
                <w:i/>
                <w:szCs w:val="20"/>
              </w:rPr>
            </w:pPr>
            <w:r w:rsidRPr="008D1B23">
              <w:rPr>
                <w:rFonts w:asciiTheme="minorHAnsi" w:hAnsiTheme="minorHAnsi"/>
                <w:i/>
                <w:szCs w:val="20"/>
              </w:rPr>
              <w:tab/>
            </w:r>
            <w:r w:rsidR="00605D8D" w:rsidRPr="008D1B23">
              <w:rPr>
                <w:rFonts w:asciiTheme="minorHAnsi" w:hAnsiTheme="minorHAnsi"/>
                <w:i/>
                <w:szCs w:val="20"/>
              </w:rPr>
              <w:t>Continued on next page</w:t>
            </w:r>
          </w:p>
        </w:tc>
      </w:tr>
      <w:tr w:rsidR="00605D8D" w:rsidRPr="008D1B23" w:rsidTr="00DE4E32">
        <w:trPr>
          <w:cantSplit/>
          <w:trHeight w:val="1275"/>
        </w:trPr>
        <w:tc>
          <w:tcPr>
            <w:tcW w:w="1818" w:type="dxa"/>
            <w:vMerge w:val="restart"/>
            <w:tcBorders>
              <w:top w:val="single" w:sz="4" w:space="0" w:color="auto"/>
            </w:tcBorders>
            <w:shd w:val="clear" w:color="auto" w:fill="F2F2F2" w:themeFill="background1" w:themeFillShade="F2"/>
          </w:tcPr>
          <w:p w:rsidR="00605D8D" w:rsidRPr="008D1B23" w:rsidRDefault="00605D8D" w:rsidP="00D72695">
            <w:pPr>
              <w:pStyle w:val="TableTextbold"/>
              <w:pageBreakBefore/>
              <w:rPr>
                <w:rFonts w:asciiTheme="minorHAnsi" w:hAnsiTheme="minorHAnsi"/>
                <w:szCs w:val="20"/>
              </w:rPr>
            </w:pPr>
            <w:r w:rsidRPr="008D1B23">
              <w:rPr>
                <w:rFonts w:asciiTheme="minorHAnsi" w:hAnsiTheme="minorHAnsi"/>
                <w:szCs w:val="20"/>
              </w:rPr>
              <w:t>Infringements offence consultation certificate</w:t>
            </w:r>
          </w:p>
          <w:p w:rsidR="00605D8D" w:rsidRPr="008D1B23" w:rsidRDefault="00605D8D" w:rsidP="00D72695">
            <w:pPr>
              <w:pStyle w:val="TableText"/>
              <w:rPr>
                <w:rFonts w:asciiTheme="minorHAnsi" w:hAnsiTheme="minorHAnsi"/>
                <w:szCs w:val="20"/>
              </w:rPr>
            </w:pPr>
            <w:r w:rsidRPr="008D1B23">
              <w:rPr>
                <w:rFonts w:asciiTheme="minorHAnsi" w:hAnsiTheme="minorHAnsi"/>
                <w:szCs w:val="20"/>
              </w:rPr>
              <w:t>(if applicable)</w:t>
            </w:r>
          </w:p>
          <w:p w:rsidR="00605D8D" w:rsidRPr="008D1B23" w:rsidRDefault="00D13659" w:rsidP="00D72695">
            <w:pPr>
              <w:pStyle w:val="TableText"/>
              <w:rPr>
                <w:rFonts w:asciiTheme="minorHAnsi" w:hAnsiTheme="minorHAnsi"/>
                <w:i/>
                <w:szCs w:val="20"/>
              </w:rPr>
            </w:pPr>
            <w:r w:rsidRPr="008D1B23">
              <w:rPr>
                <w:rFonts w:asciiTheme="minorHAnsi" w:hAnsiTheme="minorHAnsi"/>
                <w:i/>
                <w:szCs w:val="20"/>
              </w:rPr>
              <w:t>section </w:t>
            </w:r>
            <w:r w:rsidR="00605D8D" w:rsidRPr="008D1B23">
              <w:rPr>
                <w:rFonts w:asciiTheme="minorHAnsi" w:hAnsiTheme="minorHAnsi"/>
                <w:i/>
                <w:szCs w:val="20"/>
              </w:rPr>
              <w:t>6A</w:t>
            </w:r>
          </w:p>
          <w:p w:rsidR="00605D8D" w:rsidRPr="008D1B23" w:rsidRDefault="00605D8D" w:rsidP="00D72695">
            <w:pPr>
              <w:pStyle w:val="TableText"/>
              <w:rPr>
                <w:rFonts w:asciiTheme="minorHAnsi" w:hAnsiTheme="minorHAnsi"/>
                <w:i/>
                <w:szCs w:val="20"/>
              </w:rPr>
            </w:pPr>
            <w:r w:rsidRPr="008D1B23">
              <w:rPr>
                <w:rFonts w:asciiTheme="minorHAnsi" w:hAnsiTheme="minorHAnsi"/>
                <w:i/>
                <w:szCs w:val="20"/>
              </w:rPr>
              <w:t xml:space="preserve">NB Under </w:t>
            </w:r>
            <w:r w:rsidR="00D13659" w:rsidRPr="008D1B23">
              <w:rPr>
                <w:rFonts w:asciiTheme="minorHAnsi" w:hAnsiTheme="minorHAnsi"/>
                <w:i/>
                <w:szCs w:val="20"/>
              </w:rPr>
              <w:t>section </w:t>
            </w:r>
            <w:r w:rsidRPr="008D1B23">
              <w:rPr>
                <w:rFonts w:asciiTheme="minorHAnsi" w:hAnsiTheme="minorHAnsi"/>
                <w:i/>
                <w:szCs w:val="20"/>
              </w:rPr>
              <w:t xml:space="preserve">12B, this certificate can be made a </w:t>
            </w:r>
            <w:r w:rsidR="00D72695" w:rsidRPr="008D1B23">
              <w:rPr>
                <w:rFonts w:asciiTheme="minorHAnsi" w:hAnsiTheme="minorHAnsi"/>
                <w:i/>
                <w:szCs w:val="20"/>
              </w:rPr>
              <w:t>‘</w:t>
            </w:r>
            <w:r w:rsidRPr="008D1B23">
              <w:rPr>
                <w:rFonts w:asciiTheme="minorHAnsi" w:hAnsiTheme="minorHAnsi"/>
                <w:i/>
                <w:szCs w:val="20"/>
              </w:rPr>
              <w:t>composite certificate</w:t>
            </w:r>
            <w:r w:rsidR="00D72695" w:rsidRPr="008D1B23">
              <w:rPr>
                <w:rFonts w:asciiTheme="minorHAnsi" w:hAnsiTheme="minorHAnsi"/>
                <w:i/>
                <w:szCs w:val="20"/>
              </w:rPr>
              <w:t>’</w:t>
            </w:r>
            <w:r w:rsidRPr="008D1B23">
              <w:rPr>
                <w:rFonts w:asciiTheme="minorHAnsi" w:hAnsiTheme="minorHAnsi"/>
                <w:i/>
                <w:szCs w:val="20"/>
              </w:rPr>
              <w:t xml:space="preserve"> and combined with any certificates made under </w:t>
            </w:r>
            <w:r w:rsidR="00D13659" w:rsidRPr="008D1B23">
              <w:rPr>
                <w:rFonts w:asciiTheme="minorHAnsi" w:hAnsiTheme="minorHAnsi"/>
                <w:i/>
                <w:szCs w:val="20"/>
              </w:rPr>
              <w:t>section </w:t>
            </w:r>
            <w:r w:rsidRPr="008D1B23">
              <w:rPr>
                <w:rFonts w:asciiTheme="minorHAnsi" w:hAnsiTheme="minorHAnsi"/>
                <w:i/>
                <w:szCs w:val="20"/>
              </w:rPr>
              <w:t>6, 8 or 10(4) of the Act</w:t>
            </w:r>
            <w:r w:rsidRPr="008D1B23">
              <w:rPr>
                <w:rFonts w:asciiTheme="minorHAnsi" w:hAnsiTheme="minorHAnsi" w:cs="Arial"/>
                <w:i/>
                <w:iCs/>
                <w:szCs w:val="20"/>
              </w:rPr>
              <w:t>.</w:t>
            </w:r>
          </w:p>
        </w:tc>
        <w:tc>
          <w:tcPr>
            <w:tcW w:w="3142" w:type="dxa"/>
            <w:vMerge w:val="restart"/>
            <w:tcBorders>
              <w:top w:val="single" w:sz="4" w:space="0" w:color="auto"/>
            </w:tcBorders>
            <w:shd w:val="clear" w:color="auto" w:fill="F2F2F2" w:themeFill="background1" w:themeFillShade="F2"/>
          </w:tcPr>
          <w:p w:rsidR="00605D8D" w:rsidRPr="008D1B23" w:rsidRDefault="00605D8D" w:rsidP="00D72695">
            <w:pPr>
              <w:pStyle w:val="TableText"/>
              <w:rPr>
                <w:rFonts w:asciiTheme="minorHAnsi" w:hAnsiTheme="minorHAnsi"/>
                <w:szCs w:val="20"/>
              </w:rPr>
            </w:pPr>
            <w:r w:rsidRPr="008D1B23">
              <w:rPr>
                <w:rFonts w:asciiTheme="minorHAnsi" w:hAnsiTheme="minorHAnsi"/>
                <w:szCs w:val="20"/>
              </w:rPr>
              <w:t>Where a proposed statutory rule provides for the enforcement of an offence against the statutory rule by an infringement notice, the responsible Minister must certify that the Department of Justice has been consulted about the suitability of the proposal, and that the Attorney</w:t>
            </w:r>
            <w:r w:rsidRPr="008D1B23">
              <w:rPr>
                <w:rFonts w:asciiTheme="minorHAnsi" w:hAnsiTheme="minorHAnsi"/>
                <w:szCs w:val="20"/>
              </w:rPr>
              <w:noBreakHyphen/>
              <w:t>General’s guidelines made under the</w:t>
            </w:r>
            <w:r w:rsidRPr="008D1B23">
              <w:rPr>
                <w:rFonts w:asciiTheme="minorHAnsi" w:hAnsiTheme="minorHAnsi"/>
                <w:i/>
                <w:szCs w:val="20"/>
              </w:rPr>
              <w:t xml:space="preserve"> Infringements Act 2006</w:t>
            </w:r>
            <w:r w:rsidRPr="008D1B23">
              <w:rPr>
                <w:rFonts w:asciiTheme="minorHAnsi" w:hAnsiTheme="minorHAnsi"/>
                <w:szCs w:val="20"/>
              </w:rPr>
              <w:t xml:space="preserve"> have been taken into account in the preparation of the proposed rule and the Minister is satisfied that the proposed rule meets the requirements of the guidelines.</w:t>
            </w:r>
            <w:r w:rsidRPr="008D1B23">
              <w:rPr>
                <w:rStyle w:val="FootnoteReference"/>
                <w:rFonts w:asciiTheme="minorHAnsi" w:hAnsiTheme="minorHAnsi" w:cs="Arial"/>
                <w:szCs w:val="20"/>
              </w:rPr>
              <w:footnoteReference w:id="22"/>
            </w:r>
          </w:p>
        </w:tc>
        <w:tc>
          <w:tcPr>
            <w:tcW w:w="1775" w:type="dxa"/>
            <w:tcBorders>
              <w:top w:val="single" w:sz="4" w:space="0" w:color="auto"/>
            </w:tcBorders>
            <w:shd w:val="clear" w:color="auto" w:fill="F2F2F2" w:themeFill="background1" w:themeFillShade="F2"/>
          </w:tcPr>
          <w:p w:rsidR="00605D8D" w:rsidRPr="008D1B23" w:rsidRDefault="00605D8D" w:rsidP="00D72695">
            <w:pPr>
              <w:pStyle w:val="TableText"/>
              <w:rPr>
                <w:rFonts w:asciiTheme="minorHAnsi" w:hAnsiTheme="minorHAnsi"/>
                <w:szCs w:val="20"/>
              </w:rPr>
            </w:pPr>
            <w:r w:rsidRPr="008D1B23">
              <w:rPr>
                <w:rFonts w:asciiTheme="minorHAnsi" w:hAnsiTheme="minorHAnsi"/>
                <w:szCs w:val="20"/>
              </w:rPr>
              <w:t>Governor</w:t>
            </w:r>
            <w:r w:rsidRPr="008D1B23">
              <w:rPr>
                <w:rFonts w:asciiTheme="minorHAnsi" w:hAnsiTheme="minorHAnsi"/>
                <w:szCs w:val="20"/>
              </w:rPr>
              <w:noBreakHyphen/>
              <w:t>in</w:t>
            </w:r>
            <w:r w:rsidRPr="008D1B23">
              <w:rPr>
                <w:rFonts w:asciiTheme="minorHAnsi" w:hAnsiTheme="minorHAnsi"/>
                <w:szCs w:val="20"/>
              </w:rPr>
              <w:noBreakHyphen/>
              <w:t xml:space="preserve"> Council (via Clerk of the Executive Council)</w:t>
            </w:r>
          </w:p>
        </w:tc>
        <w:tc>
          <w:tcPr>
            <w:tcW w:w="1770" w:type="dxa"/>
            <w:tcBorders>
              <w:top w:val="single" w:sz="4" w:space="0" w:color="auto"/>
            </w:tcBorders>
            <w:shd w:val="clear" w:color="auto" w:fill="F2F2F2" w:themeFill="background1" w:themeFillShade="F2"/>
          </w:tcPr>
          <w:p w:rsidR="00605D8D" w:rsidRPr="008D1B23" w:rsidRDefault="00605D8D" w:rsidP="00D72695">
            <w:pPr>
              <w:pStyle w:val="TableText"/>
              <w:rPr>
                <w:rFonts w:asciiTheme="minorHAnsi" w:hAnsiTheme="minorHAnsi"/>
                <w:szCs w:val="20"/>
              </w:rPr>
            </w:pPr>
            <w:r w:rsidRPr="008D1B23">
              <w:rPr>
                <w:rFonts w:asciiTheme="minorHAnsi" w:hAnsiTheme="minorHAnsi"/>
                <w:szCs w:val="20"/>
              </w:rPr>
              <w:t>When proposed statutory rule is submitted to the Governor in Council</w:t>
            </w:r>
          </w:p>
        </w:tc>
      </w:tr>
      <w:tr w:rsidR="00605D8D" w:rsidRPr="008D1B23" w:rsidTr="00DE4E32">
        <w:trPr>
          <w:cantSplit/>
          <w:trHeight w:val="1275"/>
        </w:trPr>
        <w:tc>
          <w:tcPr>
            <w:tcW w:w="1818" w:type="dxa"/>
            <w:vMerge/>
            <w:shd w:val="clear" w:color="auto" w:fill="F2F2F2" w:themeFill="background1" w:themeFillShade="F2"/>
            <w:vAlign w:val="center"/>
          </w:tcPr>
          <w:p w:rsidR="00605D8D" w:rsidRPr="008D1B23" w:rsidRDefault="00605D8D" w:rsidP="00D72695">
            <w:pPr>
              <w:spacing w:after="0"/>
              <w:rPr>
                <w:rFonts w:asciiTheme="minorHAnsi" w:hAnsiTheme="minorHAnsi"/>
                <w:bCs/>
                <w:i/>
                <w:sz w:val="20"/>
                <w:szCs w:val="20"/>
              </w:rPr>
            </w:pPr>
          </w:p>
        </w:tc>
        <w:tc>
          <w:tcPr>
            <w:tcW w:w="3142" w:type="dxa"/>
            <w:vMerge/>
            <w:shd w:val="clear" w:color="auto" w:fill="F2F2F2" w:themeFill="background1" w:themeFillShade="F2"/>
            <w:vAlign w:val="center"/>
          </w:tcPr>
          <w:p w:rsidR="00605D8D" w:rsidRPr="008D1B23" w:rsidRDefault="00605D8D" w:rsidP="00D72695">
            <w:pPr>
              <w:pStyle w:val="TableText"/>
              <w:rPr>
                <w:rFonts w:asciiTheme="minorHAnsi" w:hAnsiTheme="minorHAnsi"/>
                <w:szCs w:val="20"/>
              </w:rPr>
            </w:pPr>
          </w:p>
        </w:tc>
        <w:tc>
          <w:tcPr>
            <w:tcW w:w="1775" w:type="dxa"/>
            <w:shd w:val="clear" w:color="auto" w:fill="F2F2F2" w:themeFill="background1" w:themeFillShade="F2"/>
          </w:tcPr>
          <w:p w:rsidR="00605D8D" w:rsidRPr="008D1B23" w:rsidRDefault="00605D8D" w:rsidP="00D72695">
            <w:pPr>
              <w:pStyle w:val="TableText"/>
              <w:rPr>
                <w:rFonts w:asciiTheme="minorHAnsi" w:hAnsiTheme="minorHAnsi"/>
                <w:szCs w:val="20"/>
              </w:rPr>
            </w:pPr>
            <w:r w:rsidRPr="008D1B23">
              <w:rPr>
                <w:rFonts w:asciiTheme="minorHAnsi" w:hAnsiTheme="minorHAnsi"/>
                <w:szCs w:val="20"/>
              </w:rPr>
              <w:t>SARC</w:t>
            </w:r>
          </w:p>
        </w:tc>
        <w:tc>
          <w:tcPr>
            <w:tcW w:w="1770" w:type="dxa"/>
            <w:shd w:val="clear" w:color="auto" w:fill="F2F2F2" w:themeFill="background1" w:themeFillShade="F2"/>
          </w:tcPr>
          <w:p w:rsidR="00605D8D" w:rsidRPr="008D1B23" w:rsidRDefault="00605D8D" w:rsidP="00D72695">
            <w:pPr>
              <w:pStyle w:val="TableText"/>
              <w:rPr>
                <w:rFonts w:asciiTheme="minorHAnsi" w:hAnsiTheme="minorHAnsi"/>
                <w:szCs w:val="20"/>
              </w:rPr>
            </w:pPr>
            <w:r w:rsidRPr="008D1B23">
              <w:rPr>
                <w:rFonts w:asciiTheme="minorHAnsi" w:hAnsiTheme="minorHAnsi"/>
                <w:szCs w:val="20"/>
              </w:rPr>
              <w:t>Within 10 working days of the making of the statutory rule*</w:t>
            </w:r>
          </w:p>
        </w:tc>
      </w:tr>
      <w:tr w:rsidR="00605D8D" w:rsidRPr="008D1B23" w:rsidTr="00DE4E32">
        <w:trPr>
          <w:cantSplit/>
          <w:trHeight w:val="1275"/>
        </w:trPr>
        <w:tc>
          <w:tcPr>
            <w:tcW w:w="1818" w:type="dxa"/>
            <w:vMerge/>
            <w:shd w:val="clear" w:color="auto" w:fill="F2F2F2" w:themeFill="background1" w:themeFillShade="F2"/>
            <w:vAlign w:val="center"/>
          </w:tcPr>
          <w:p w:rsidR="00605D8D" w:rsidRPr="008D1B23" w:rsidRDefault="00605D8D" w:rsidP="00D72695">
            <w:pPr>
              <w:spacing w:after="0"/>
              <w:rPr>
                <w:rFonts w:asciiTheme="minorHAnsi" w:hAnsiTheme="minorHAnsi"/>
                <w:bCs/>
                <w:i/>
                <w:sz w:val="20"/>
                <w:szCs w:val="20"/>
              </w:rPr>
            </w:pPr>
          </w:p>
        </w:tc>
        <w:tc>
          <w:tcPr>
            <w:tcW w:w="3142" w:type="dxa"/>
            <w:vMerge/>
            <w:shd w:val="clear" w:color="auto" w:fill="F2F2F2" w:themeFill="background1" w:themeFillShade="F2"/>
            <w:vAlign w:val="center"/>
          </w:tcPr>
          <w:p w:rsidR="00605D8D" w:rsidRPr="008D1B23" w:rsidRDefault="00605D8D" w:rsidP="00D72695">
            <w:pPr>
              <w:pStyle w:val="TableText"/>
              <w:rPr>
                <w:rFonts w:asciiTheme="minorHAnsi" w:hAnsiTheme="minorHAnsi"/>
                <w:szCs w:val="20"/>
              </w:rPr>
            </w:pPr>
          </w:p>
        </w:tc>
        <w:tc>
          <w:tcPr>
            <w:tcW w:w="1775" w:type="dxa"/>
            <w:shd w:val="clear" w:color="auto" w:fill="F2F2F2" w:themeFill="background1" w:themeFillShade="F2"/>
          </w:tcPr>
          <w:p w:rsidR="00605D8D" w:rsidRPr="008D1B23" w:rsidRDefault="00605D8D" w:rsidP="00D72695">
            <w:pPr>
              <w:pStyle w:val="TableText"/>
              <w:rPr>
                <w:rFonts w:asciiTheme="minorHAnsi" w:hAnsiTheme="minorHAnsi"/>
                <w:szCs w:val="20"/>
              </w:rPr>
            </w:pPr>
            <w:r w:rsidRPr="008D1B23">
              <w:rPr>
                <w:rFonts w:asciiTheme="minorHAnsi" w:hAnsiTheme="minorHAnsi"/>
                <w:szCs w:val="20"/>
              </w:rPr>
              <w:t>Parliament</w:t>
            </w:r>
          </w:p>
        </w:tc>
        <w:tc>
          <w:tcPr>
            <w:tcW w:w="1770" w:type="dxa"/>
            <w:shd w:val="clear" w:color="auto" w:fill="F2F2F2" w:themeFill="background1" w:themeFillShade="F2"/>
          </w:tcPr>
          <w:p w:rsidR="00605D8D" w:rsidRPr="008D1B23" w:rsidRDefault="00605D8D" w:rsidP="00D72695">
            <w:pPr>
              <w:pStyle w:val="TableText"/>
              <w:rPr>
                <w:rFonts w:asciiTheme="minorHAnsi" w:hAnsiTheme="minorHAnsi"/>
                <w:szCs w:val="20"/>
              </w:rPr>
            </w:pPr>
            <w:r w:rsidRPr="008D1B23">
              <w:rPr>
                <w:rFonts w:asciiTheme="minorHAnsi" w:hAnsiTheme="minorHAnsi"/>
                <w:szCs w:val="20"/>
              </w:rPr>
              <w:t>When statutory rule is laid before Parliament (on or before the 6</w:t>
            </w:r>
            <w:r w:rsidRPr="008D1B23">
              <w:rPr>
                <w:rFonts w:asciiTheme="minorHAnsi" w:hAnsiTheme="minorHAnsi"/>
                <w:szCs w:val="20"/>
                <w:vertAlign w:val="superscript"/>
              </w:rPr>
              <w:t>th</w:t>
            </w:r>
            <w:r w:rsidRPr="008D1B23">
              <w:rPr>
                <w:rFonts w:asciiTheme="minorHAnsi" w:hAnsiTheme="minorHAnsi"/>
                <w:szCs w:val="20"/>
              </w:rPr>
              <w:t xml:space="preserve"> sitting day after gazettal)</w:t>
            </w:r>
            <w:r w:rsidRPr="008D1B23">
              <w:rPr>
                <w:rFonts w:asciiTheme="minorHAnsi" w:hAnsiTheme="minorHAnsi"/>
                <w:szCs w:val="20"/>
              </w:rPr>
              <w:sym w:font="Symbol" w:char="0023"/>
            </w:r>
          </w:p>
        </w:tc>
      </w:tr>
      <w:tr w:rsidR="00605D8D" w:rsidRPr="008D1B23" w:rsidTr="00DE4E32">
        <w:trPr>
          <w:cantSplit/>
          <w:trHeight w:val="510"/>
        </w:trPr>
        <w:tc>
          <w:tcPr>
            <w:tcW w:w="1818" w:type="dxa"/>
            <w:vMerge w:val="restart"/>
          </w:tcPr>
          <w:p w:rsidR="00605D8D" w:rsidRPr="008D1B23" w:rsidRDefault="00605D8D" w:rsidP="00D72695">
            <w:pPr>
              <w:pStyle w:val="TableTextbold"/>
              <w:rPr>
                <w:rFonts w:asciiTheme="minorHAnsi" w:hAnsiTheme="minorHAnsi"/>
                <w:szCs w:val="20"/>
              </w:rPr>
            </w:pPr>
            <w:r w:rsidRPr="008D1B23">
              <w:rPr>
                <w:rFonts w:asciiTheme="minorHAnsi" w:hAnsiTheme="minorHAnsi"/>
                <w:szCs w:val="20"/>
              </w:rPr>
              <w:t>Human Rights Certificate</w:t>
            </w:r>
          </w:p>
          <w:p w:rsidR="00605D8D" w:rsidRPr="008D1B23" w:rsidRDefault="00D13659" w:rsidP="00D72695">
            <w:pPr>
              <w:pStyle w:val="TableText"/>
              <w:rPr>
                <w:rFonts w:asciiTheme="minorHAnsi" w:hAnsiTheme="minorHAnsi"/>
                <w:i/>
                <w:szCs w:val="20"/>
              </w:rPr>
            </w:pPr>
            <w:r w:rsidRPr="008D1B23">
              <w:rPr>
                <w:rFonts w:asciiTheme="minorHAnsi" w:hAnsiTheme="minorHAnsi"/>
                <w:i/>
                <w:szCs w:val="20"/>
              </w:rPr>
              <w:t>section </w:t>
            </w:r>
            <w:r w:rsidR="00605D8D" w:rsidRPr="008D1B23">
              <w:rPr>
                <w:rFonts w:asciiTheme="minorHAnsi" w:hAnsiTheme="minorHAnsi"/>
                <w:i/>
                <w:szCs w:val="20"/>
              </w:rPr>
              <w:t>12A or 12D</w:t>
            </w:r>
          </w:p>
          <w:p w:rsidR="00605D8D" w:rsidRPr="008D1B23" w:rsidRDefault="00605D8D" w:rsidP="00D72695">
            <w:pPr>
              <w:pStyle w:val="TableText"/>
              <w:rPr>
                <w:rFonts w:asciiTheme="minorHAnsi" w:hAnsiTheme="minorHAnsi"/>
                <w:szCs w:val="20"/>
              </w:rPr>
            </w:pPr>
            <w:r w:rsidRPr="008D1B23">
              <w:rPr>
                <w:rFonts w:asciiTheme="minorHAnsi" w:hAnsiTheme="minorHAnsi"/>
                <w:i/>
                <w:szCs w:val="20"/>
              </w:rPr>
              <w:t xml:space="preserve">or </w:t>
            </w:r>
            <w:r w:rsidRPr="008D1B23">
              <w:rPr>
                <w:rFonts w:asciiTheme="minorHAnsi" w:hAnsiTheme="minorHAnsi"/>
                <w:b/>
                <w:i/>
                <w:szCs w:val="20"/>
              </w:rPr>
              <w:t>exemption certificate</w:t>
            </w:r>
            <w:r w:rsidRPr="008D1B23">
              <w:rPr>
                <w:rFonts w:asciiTheme="minorHAnsi" w:hAnsiTheme="minorHAnsi"/>
                <w:i/>
                <w:szCs w:val="20"/>
              </w:rPr>
              <w:t xml:space="preserve"> under s12A(3) or 12D(3)</w:t>
            </w:r>
          </w:p>
        </w:tc>
        <w:tc>
          <w:tcPr>
            <w:tcW w:w="3142" w:type="dxa"/>
            <w:vMerge w:val="restart"/>
          </w:tcPr>
          <w:p w:rsidR="00605D8D" w:rsidRPr="008D1B23" w:rsidRDefault="00605D8D" w:rsidP="00D72695">
            <w:pPr>
              <w:pStyle w:val="TableText"/>
              <w:rPr>
                <w:rFonts w:asciiTheme="minorHAnsi" w:hAnsiTheme="minorHAnsi"/>
                <w:szCs w:val="20"/>
              </w:rPr>
            </w:pPr>
            <w:r w:rsidRPr="008D1B23">
              <w:rPr>
                <w:rFonts w:asciiTheme="minorHAnsi" w:hAnsiTheme="minorHAnsi"/>
                <w:szCs w:val="20"/>
              </w:rPr>
              <w:t>Responsible Minister certifies that the proposed statutory rule or legislative instrument does or does not limit any human right set out in the Charter of Human Rights and Responsibilities</w:t>
            </w:r>
          </w:p>
          <w:p w:rsidR="00605D8D" w:rsidRPr="008D1B23" w:rsidRDefault="00605D8D" w:rsidP="00D72695">
            <w:pPr>
              <w:pStyle w:val="TableText"/>
              <w:rPr>
                <w:rFonts w:asciiTheme="minorHAnsi" w:hAnsiTheme="minorHAnsi"/>
                <w:szCs w:val="20"/>
              </w:rPr>
            </w:pPr>
            <w:r w:rsidRPr="008D1B23">
              <w:rPr>
                <w:rFonts w:asciiTheme="minorHAnsi" w:hAnsiTheme="minorHAnsi"/>
                <w:szCs w:val="20"/>
              </w:rPr>
              <w:t xml:space="preserve">Where a human rights exemption certificate is issued, the Minister must specify which of the exemption categories in </w:t>
            </w:r>
            <w:r w:rsidR="00D13659" w:rsidRPr="008D1B23">
              <w:rPr>
                <w:rFonts w:asciiTheme="minorHAnsi" w:hAnsiTheme="minorHAnsi"/>
                <w:szCs w:val="20"/>
              </w:rPr>
              <w:t>section </w:t>
            </w:r>
            <w:proofErr w:type="gramStart"/>
            <w:r w:rsidRPr="008D1B23">
              <w:rPr>
                <w:rFonts w:asciiTheme="minorHAnsi" w:hAnsiTheme="minorHAnsi"/>
                <w:szCs w:val="20"/>
              </w:rPr>
              <w:t>12A(</w:t>
            </w:r>
            <w:proofErr w:type="gramEnd"/>
            <w:r w:rsidRPr="008D1B23">
              <w:rPr>
                <w:rFonts w:asciiTheme="minorHAnsi" w:hAnsiTheme="minorHAnsi"/>
                <w:szCs w:val="20"/>
              </w:rPr>
              <w:t>3) or 12D(3) applies to the rule or instrument.</w:t>
            </w:r>
          </w:p>
        </w:tc>
        <w:tc>
          <w:tcPr>
            <w:tcW w:w="1775" w:type="dxa"/>
            <w:shd w:val="clear" w:color="auto" w:fill="F2F2F2" w:themeFill="background1" w:themeFillShade="F2"/>
          </w:tcPr>
          <w:p w:rsidR="00605D8D" w:rsidRPr="008D1B23" w:rsidRDefault="00605D8D" w:rsidP="00D72695">
            <w:pPr>
              <w:pStyle w:val="TableText"/>
              <w:rPr>
                <w:rFonts w:asciiTheme="minorHAnsi" w:hAnsiTheme="minorHAnsi"/>
                <w:szCs w:val="20"/>
              </w:rPr>
            </w:pPr>
            <w:r w:rsidRPr="008D1B23">
              <w:rPr>
                <w:rFonts w:asciiTheme="minorHAnsi" w:hAnsiTheme="minorHAnsi"/>
                <w:szCs w:val="20"/>
              </w:rPr>
              <w:t>Governor</w:t>
            </w:r>
            <w:r w:rsidRPr="008D1B23">
              <w:rPr>
                <w:rFonts w:asciiTheme="minorHAnsi" w:hAnsiTheme="minorHAnsi"/>
                <w:szCs w:val="20"/>
              </w:rPr>
              <w:noBreakHyphen/>
              <w:t>in</w:t>
            </w:r>
            <w:r w:rsidRPr="008D1B23">
              <w:rPr>
                <w:rFonts w:asciiTheme="minorHAnsi" w:hAnsiTheme="minorHAnsi"/>
                <w:szCs w:val="20"/>
              </w:rPr>
              <w:noBreakHyphen/>
              <w:t xml:space="preserve"> Council (via Clerk of the Executive Council)</w:t>
            </w:r>
          </w:p>
        </w:tc>
        <w:tc>
          <w:tcPr>
            <w:tcW w:w="1770" w:type="dxa"/>
            <w:shd w:val="clear" w:color="auto" w:fill="F2F2F2" w:themeFill="background1" w:themeFillShade="F2"/>
          </w:tcPr>
          <w:p w:rsidR="00605D8D" w:rsidRPr="008D1B23" w:rsidRDefault="00605D8D" w:rsidP="00D72695">
            <w:pPr>
              <w:pStyle w:val="TableText"/>
              <w:rPr>
                <w:rFonts w:asciiTheme="minorHAnsi" w:hAnsiTheme="minorHAnsi"/>
                <w:szCs w:val="20"/>
              </w:rPr>
            </w:pPr>
            <w:r w:rsidRPr="008D1B23">
              <w:rPr>
                <w:rFonts w:asciiTheme="minorHAnsi" w:hAnsiTheme="minorHAnsi"/>
                <w:szCs w:val="20"/>
              </w:rPr>
              <w:t>When proposed statutory rule is submitted to the Governor in Council</w:t>
            </w:r>
          </w:p>
        </w:tc>
      </w:tr>
      <w:tr w:rsidR="00605D8D" w:rsidRPr="008D1B23" w:rsidTr="00D72695">
        <w:trPr>
          <w:cantSplit/>
          <w:trHeight w:val="390"/>
        </w:trPr>
        <w:tc>
          <w:tcPr>
            <w:tcW w:w="1818" w:type="dxa"/>
            <w:vMerge/>
            <w:vAlign w:val="center"/>
          </w:tcPr>
          <w:p w:rsidR="00605D8D" w:rsidRPr="008D1B23" w:rsidRDefault="00605D8D" w:rsidP="00D72695">
            <w:pPr>
              <w:spacing w:after="0"/>
              <w:rPr>
                <w:rFonts w:asciiTheme="minorHAnsi" w:hAnsiTheme="minorHAnsi"/>
                <w:bCs/>
                <w:i/>
                <w:sz w:val="20"/>
                <w:szCs w:val="20"/>
              </w:rPr>
            </w:pPr>
          </w:p>
        </w:tc>
        <w:tc>
          <w:tcPr>
            <w:tcW w:w="3142" w:type="dxa"/>
            <w:vMerge/>
            <w:vAlign w:val="center"/>
          </w:tcPr>
          <w:p w:rsidR="00605D8D" w:rsidRPr="008D1B23" w:rsidRDefault="00605D8D" w:rsidP="00D72695">
            <w:pPr>
              <w:spacing w:after="0"/>
              <w:rPr>
                <w:rFonts w:asciiTheme="minorHAnsi" w:hAnsiTheme="minorHAnsi" w:cs="Arial"/>
                <w:sz w:val="20"/>
                <w:szCs w:val="20"/>
              </w:rPr>
            </w:pPr>
          </w:p>
        </w:tc>
        <w:tc>
          <w:tcPr>
            <w:tcW w:w="1775" w:type="dxa"/>
          </w:tcPr>
          <w:p w:rsidR="00605D8D" w:rsidRPr="008D1B23" w:rsidRDefault="00605D8D" w:rsidP="00D72695">
            <w:pPr>
              <w:pStyle w:val="TableText"/>
              <w:rPr>
                <w:rFonts w:asciiTheme="minorHAnsi" w:hAnsiTheme="minorHAnsi"/>
                <w:szCs w:val="20"/>
              </w:rPr>
            </w:pPr>
            <w:r w:rsidRPr="008D1B23">
              <w:rPr>
                <w:rFonts w:asciiTheme="minorHAnsi" w:hAnsiTheme="minorHAnsi"/>
                <w:szCs w:val="20"/>
              </w:rPr>
              <w:t>SARC</w:t>
            </w:r>
          </w:p>
        </w:tc>
        <w:tc>
          <w:tcPr>
            <w:tcW w:w="1770" w:type="dxa"/>
          </w:tcPr>
          <w:p w:rsidR="00605D8D" w:rsidRPr="008D1B23" w:rsidRDefault="00605D8D" w:rsidP="00D72695">
            <w:pPr>
              <w:pStyle w:val="TableText"/>
              <w:rPr>
                <w:rFonts w:asciiTheme="minorHAnsi" w:hAnsiTheme="minorHAnsi"/>
                <w:szCs w:val="20"/>
              </w:rPr>
            </w:pPr>
            <w:r w:rsidRPr="008D1B23">
              <w:rPr>
                <w:rFonts w:asciiTheme="minorHAnsi" w:hAnsiTheme="minorHAnsi"/>
                <w:szCs w:val="20"/>
              </w:rPr>
              <w:t>Within 10 working days of the making of the rule or instrument*</w:t>
            </w:r>
          </w:p>
        </w:tc>
      </w:tr>
      <w:tr w:rsidR="00605D8D" w:rsidRPr="008D1B23" w:rsidTr="00D72695">
        <w:trPr>
          <w:cantSplit/>
          <w:trHeight w:val="390"/>
        </w:trPr>
        <w:tc>
          <w:tcPr>
            <w:tcW w:w="1818" w:type="dxa"/>
            <w:vMerge/>
            <w:tcBorders>
              <w:bottom w:val="single" w:sz="4" w:space="0" w:color="auto"/>
            </w:tcBorders>
            <w:vAlign w:val="center"/>
          </w:tcPr>
          <w:p w:rsidR="00605D8D" w:rsidRPr="008D1B23" w:rsidRDefault="00605D8D" w:rsidP="00D72695">
            <w:pPr>
              <w:spacing w:after="0"/>
              <w:rPr>
                <w:rFonts w:asciiTheme="minorHAnsi" w:hAnsiTheme="minorHAnsi"/>
                <w:bCs/>
                <w:i/>
                <w:sz w:val="20"/>
                <w:szCs w:val="20"/>
              </w:rPr>
            </w:pPr>
          </w:p>
        </w:tc>
        <w:tc>
          <w:tcPr>
            <w:tcW w:w="3142" w:type="dxa"/>
            <w:vMerge/>
            <w:tcBorders>
              <w:bottom w:val="single" w:sz="4" w:space="0" w:color="auto"/>
            </w:tcBorders>
            <w:vAlign w:val="center"/>
          </w:tcPr>
          <w:p w:rsidR="00605D8D" w:rsidRPr="008D1B23" w:rsidRDefault="00605D8D" w:rsidP="00D72695">
            <w:pPr>
              <w:spacing w:after="0"/>
              <w:rPr>
                <w:rFonts w:asciiTheme="minorHAnsi" w:hAnsiTheme="minorHAnsi" w:cs="Arial"/>
                <w:sz w:val="20"/>
                <w:szCs w:val="20"/>
              </w:rPr>
            </w:pPr>
          </w:p>
        </w:tc>
        <w:tc>
          <w:tcPr>
            <w:tcW w:w="1775" w:type="dxa"/>
            <w:tcBorders>
              <w:bottom w:val="single" w:sz="4" w:space="0" w:color="auto"/>
            </w:tcBorders>
          </w:tcPr>
          <w:p w:rsidR="00605D8D" w:rsidRPr="008D1B23" w:rsidRDefault="00605D8D" w:rsidP="00D72695">
            <w:pPr>
              <w:pStyle w:val="TableText"/>
              <w:rPr>
                <w:rFonts w:asciiTheme="minorHAnsi" w:hAnsiTheme="minorHAnsi"/>
                <w:szCs w:val="20"/>
              </w:rPr>
            </w:pPr>
            <w:r w:rsidRPr="008D1B23">
              <w:rPr>
                <w:rFonts w:asciiTheme="minorHAnsi" w:hAnsiTheme="minorHAnsi"/>
                <w:szCs w:val="20"/>
              </w:rPr>
              <w:t>Parliament</w:t>
            </w:r>
          </w:p>
        </w:tc>
        <w:tc>
          <w:tcPr>
            <w:tcW w:w="1770" w:type="dxa"/>
            <w:tcBorders>
              <w:bottom w:val="single" w:sz="4" w:space="0" w:color="auto"/>
            </w:tcBorders>
          </w:tcPr>
          <w:p w:rsidR="00605D8D" w:rsidRPr="008D1B23" w:rsidRDefault="00605D8D" w:rsidP="00D72695">
            <w:pPr>
              <w:pStyle w:val="TableText"/>
              <w:rPr>
                <w:rFonts w:asciiTheme="minorHAnsi" w:hAnsiTheme="minorHAnsi"/>
                <w:szCs w:val="20"/>
              </w:rPr>
            </w:pPr>
            <w:r w:rsidRPr="008D1B23">
              <w:rPr>
                <w:rFonts w:asciiTheme="minorHAnsi" w:hAnsiTheme="minorHAnsi"/>
                <w:szCs w:val="20"/>
              </w:rPr>
              <w:t>When rule or instrument is laid before Parliament (on or before the 6</w:t>
            </w:r>
            <w:r w:rsidRPr="008D1B23">
              <w:rPr>
                <w:rFonts w:asciiTheme="minorHAnsi" w:hAnsiTheme="minorHAnsi"/>
                <w:szCs w:val="20"/>
                <w:vertAlign w:val="superscript"/>
              </w:rPr>
              <w:t>th</w:t>
            </w:r>
            <w:r w:rsidRPr="008D1B23">
              <w:rPr>
                <w:rFonts w:asciiTheme="minorHAnsi" w:hAnsiTheme="minorHAnsi"/>
                <w:szCs w:val="20"/>
              </w:rPr>
              <w:t xml:space="preserve"> sitting day after gazettal)</w:t>
            </w:r>
            <w:r w:rsidRPr="008D1B23">
              <w:rPr>
                <w:rFonts w:asciiTheme="minorHAnsi" w:hAnsiTheme="minorHAnsi"/>
                <w:szCs w:val="20"/>
              </w:rPr>
              <w:sym w:font="Symbol" w:char="0023"/>
            </w:r>
          </w:p>
        </w:tc>
      </w:tr>
      <w:tr w:rsidR="00605D8D" w:rsidRPr="008D1B23" w:rsidTr="00D72695">
        <w:trPr>
          <w:cantSplit/>
        </w:trPr>
        <w:tc>
          <w:tcPr>
            <w:tcW w:w="8505" w:type="dxa"/>
            <w:gridSpan w:val="4"/>
            <w:tcBorders>
              <w:bottom w:val="single" w:sz="4" w:space="0" w:color="auto"/>
            </w:tcBorders>
          </w:tcPr>
          <w:p w:rsidR="00605D8D" w:rsidRPr="008D1B23" w:rsidRDefault="00605D8D" w:rsidP="00D72695">
            <w:pPr>
              <w:pStyle w:val="TableTextbold"/>
              <w:jc w:val="right"/>
              <w:rPr>
                <w:rFonts w:asciiTheme="minorHAnsi" w:hAnsiTheme="minorHAnsi"/>
                <w:i/>
                <w:szCs w:val="20"/>
              </w:rPr>
            </w:pPr>
            <w:r w:rsidRPr="008D1B23">
              <w:rPr>
                <w:rFonts w:asciiTheme="minorHAnsi" w:hAnsiTheme="minorHAnsi"/>
                <w:i/>
                <w:szCs w:val="20"/>
              </w:rPr>
              <w:t>Continued on next page</w:t>
            </w:r>
          </w:p>
        </w:tc>
      </w:tr>
      <w:tr w:rsidR="00605D8D" w:rsidRPr="008D1B23" w:rsidTr="00DE4E32">
        <w:trPr>
          <w:cantSplit/>
          <w:trHeight w:val="570"/>
        </w:trPr>
        <w:tc>
          <w:tcPr>
            <w:tcW w:w="1818" w:type="dxa"/>
            <w:vMerge w:val="restart"/>
            <w:tcBorders>
              <w:top w:val="single" w:sz="4" w:space="0" w:color="auto"/>
            </w:tcBorders>
          </w:tcPr>
          <w:p w:rsidR="00605D8D" w:rsidRPr="008D1B23" w:rsidRDefault="00605D8D" w:rsidP="00D72695">
            <w:pPr>
              <w:pStyle w:val="TableText"/>
              <w:pageBreakBefore/>
              <w:spacing w:before="40" w:after="40"/>
              <w:rPr>
                <w:rFonts w:asciiTheme="minorHAnsi" w:hAnsiTheme="minorHAnsi"/>
                <w:b/>
                <w:bCs/>
                <w:szCs w:val="20"/>
              </w:rPr>
            </w:pPr>
            <w:r w:rsidRPr="008D1B23">
              <w:rPr>
                <w:rFonts w:asciiTheme="minorHAnsi" w:hAnsiTheme="minorHAnsi"/>
                <w:b/>
                <w:bCs/>
                <w:szCs w:val="20"/>
              </w:rPr>
              <w:t>Certificate of RIS compliance</w:t>
            </w:r>
          </w:p>
          <w:p w:rsidR="00605D8D" w:rsidRPr="008D1B23" w:rsidRDefault="00D13659" w:rsidP="00D72695">
            <w:pPr>
              <w:pStyle w:val="TableText"/>
              <w:spacing w:before="40" w:after="40"/>
              <w:rPr>
                <w:rFonts w:asciiTheme="minorHAnsi" w:hAnsiTheme="minorHAnsi" w:cs="Arial"/>
                <w:i/>
                <w:iCs/>
                <w:szCs w:val="20"/>
              </w:rPr>
            </w:pPr>
            <w:r w:rsidRPr="008D1B23">
              <w:rPr>
                <w:rFonts w:asciiTheme="minorHAnsi" w:hAnsiTheme="minorHAnsi" w:cs="Arial"/>
                <w:i/>
                <w:iCs/>
                <w:szCs w:val="20"/>
              </w:rPr>
              <w:t>section </w:t>
            </w:r>
            <w:r w:rsidR="00605D8D" w:rsidRPr="008D1B23">
              <w:rPr>
                <w:rFonts w:asciiTheme="minorHAnsi" w:hAnsiTheme="minorHAnsi" w:cs="Arial"/>
                <w:i/>
                <w:iCs/>
                <w:szCs w:val="20"/>
              </w:rPr>
              <w:t>10(4) or 12H</w:t>
            </w:r>
          </w:p>
          <w:p w:rsidR="00605D8D" w:rsidRPr="008D1B23" w:rsidRDefault="00D72695" w:rsidP="00D72695">
            <w:pPr>
              <w:pStyle w:val="TableText"/>
              <w:spacing w:before="40" w:after="40"/>
              <w:rPr>
                <w:rFonts w:asciiTheme="minorHAnsi" w:hAnsiTheme="minorHAnsi" w:cs="Arial"/>
                <w:i/>
                <w:iCs/>
                <w:szCs w:val="20"/>
              </w:rPr>
            </w:pPr>
            <w:r w:rsidRPr="008D1B23">
              <w:rPr>
                <w:rFonts w:asciiTheme="minorHAnsi" w:hAnsiTheme="minorHAnsi" w:cs="Arial"/>
                <w:i/>
                <w:iCs/>
                <w:szCs w:val="20"/>
              </w:rPr>
              <w:t>or</w:t>
            </w:r>
          </w:p>
          <w:p w:rsidR="00605D8D" w:rsidRPr="008D1B23" w:rsidRDefault="00605D8D" w:rsidP="00D72695">
            <w:pPr>
              <w:pStyle w:val="TableText"/>
              <w:spacing w:before="40" w:after="40"/>
              <w:rPr>
                <w:rFonts w:asciiTheme="minorHAnsi" w:hAnsiTheme="minorHAnsi" w:cs="Arial"/>
                <w:b/>
                <w:iCs/>
                <w:szCs w:val="20"/>
              </w:rPr>
            </w:pPr>
            <w:r w:rsidRPr="008D1B23">
              <w:rPr>
                <w:rFonts w:asciiTheme="minorHAnsi" w:hAnsiTheme="minorHAnsi" w:cs="Arial"/>
                <w:b/>
                <w:iCs/>
                <w:szCs w:val="20"/>
              </w:rPr>
              <w:t xml:space="preserve">Certificate of RIS exemption under </w:t>
            </w:r>
          </w:p>
          <w:p w:rsidR="00605D8D" w:rsidRPr="008D1B23" w:rsidRDefault="00605D8D" w:rsidP="00D72695">
            <w:pPr>
              <w:pStyle w:val="TableText"/>
              <w:spacing w:before="40" w:after="40"/>
              <w:rPr>
                <w:rFonts w:asciiTheme="minorHAnsi" w:hAnsiTheme="minorHAnsi" w:cs="Arial"/>
                <w:b/>
                <w:iCs/>
                <w:szCs w:val="20"/>
              </w:rPr>
            </w:pPr>
            <w:r w:rsidRPr="008D1B23">
              <w:rPr>
                <w:rFonts w:asciiTheme="minorHAnsi" w:hAnsiTheme="minorHAnsi" w:cs="Arial"/>
                <w:i/>
                <w:iCs/>
                <w:szCs w:val="20"/>
              </w:rPr>
              <w:t>sections 8, 9, 12F or 12G</w:t>
            </w:r>
          </w:p>
          <w:p w:rsidR="00605D8D" w:rsidRPr="008D1B23" w:rsidRDefault="00605D8D" w:rsidP="00D72695">
            <w:pPr>
              <w:pStyle w:val="TableText"/>
              <w:spacing w:before="40" w:after="40"/>
              <w:rPr>
                <w:rFonts w:asciiTheme="minorHAnsi" w:hAnsiTheme="minorHAnsi" w:cs="Arial"/>
                <w:i/>
                <w:iCs/>
                <w:szCs w:val="20"/>
              </w:rPr>
            </w:pPr>
            <w:r w:rsidRPr="008D1B23">
              <w:rPr>
                <w:rFonts w:asciiTheme="minorHAnsi" w:hAnsiTheme="minorHAnsi" w:cs="Arial"/>
                <w:i/>
                <w:iCs/>
                <w:szCs w:val="20"/>
              </w:rPr>
              <w:t xml:space="preserve">NB Under </w:t>
            </w:r>
            <w:r w:rsidR="00D13659" w:rsidRPr="008D1B23">
              <w:rPr>
                <w:rFonts w:asciiTheme="minorHAnsi" w:hAnsiTheme="minorHAnsi" w:cs="Arial"/>
                <w:i/>
                <w:iCs/>
                <w:szCs w:val="20"/>
              </w:rPr>
              <w:t>section </w:t>
            </w:r>
            <w:r w:rsidRPr="008D1B23">
              <w:rPr>
                <w:rFonts w:asciiTheme="minorHAnsi" w:hAnsiTheme="minorHAnsi" w:cs="Arial"/>
                <w:i/>
                <w:iCs/>
                <w:szCs w:val="20"/>
              </w:rPr>
              <w:t xml:space="preserve">12B and 12K, Minister’s certificates under </w:t>
            </w:r>
            <w:r w:rsidR="00D13659" w:rsidRPr="008D1B23">
              <w:rPr>
                <w:rFonts w:asciiTheme="minorHAnsi" w:hAnsiTheme="minorHAnsi" w:cs="Arial"/>
                <w:i/>
                <w:iCs/>
                <w:szCs w:val="20"/>
              </w:rPr>
              <w:t>section </w:t>
            </w:r>
            <w:r w:rsidRPr="008D1B23">
              <w:rPr>
                <w:rFonts w:asciiTheme="minorHAnsi" w:hAnsiTheme="minorHAnsi" w:cs="Arial"/>
                <w:i/>
                <w:iCs/>
                <w:szCs w:val="20"/>
              </w:rPr>
              <w:t xml:space="preserve">10(4) or 12H can be made as a </w:t>
            </w:r>
            <w:r w:rsidR="00D72695" w:rsidRPr="008D1B23">
              <w:rPr>
                <w:rFonts w:asciiTheme="minorHAnsi" w:hAnsiTheme="minorHAnsi" w:cs="Arial"/>
                <w:i/>
                <w:iCs/>
                <w:szCs w:val="20"/>
              </w:rPr>
              <w:t>‘</w:t>
            </w:r>
            <w:r w:rsidRPr="008D1B23">
              <w:rPr>
                <w:rFonts w:asciiTheme="minorHAnsi" w:hAnsiTheme="minorHAnsi" w:cs="Arial"/>
                <w:i/>
                <w:iCs/>
                <w:szCs w:val="20"/>
              </w:rPr>
              <w:t>composite certificate</w:t>
            </w:r>
            <w:r w:rsidR="00D72695" w:rsidRPr="008D1B23">
              <w:rPr>
                <w:rFonts w:asciiTheme="minorHAnsi" w:hAnsiTheme="minorHAnsi" w:cs="Arial"/>
                <w:i/>
                <w:iCs/>
                <w:szCs w:val="20"/>
              </w:rPr>
              <w:t>’</w:t>
            </w:r>
            <w:r w:rsidRPr="008D1B23">
              <w:rPr>
                <w:rFonts w:asciiTheme="minorHAnsi" w:hAnsiTheme="minorHAnsi" w:cs="Arial"/>
                <w:i/>
                <w:iCs/>
                <w:szCs w:val="20"/>
              </w:rPr>
              <w:t xml:space="preserve"> combined with any certificates made under </w:t>
            </w:r>
            <w:r w:rsidR="00D13659" w:rsidRPr="008D1B23">
              <w:rPr>
                <w:rFonts w:asciiTheme="minorHAnsi" w:hAnsiTheme="minorHAnsi" w:cs="Arial"/>
                <w:i/>
                <w:iCs/>
                <w:szCs w:val="20"/>
              </w:rPr>
              <w:t>section </w:t>
            </w:r>
            <w:r w:rsidRPr="008D1B23">
              <w:rPr>
                <w:rFonts w:asciiTheme="minorHAnsi" w:hAnsiTheme="minorHAnsi" w:cs="Arial"/>
                <w:i/>
                <w:iCs/>
                <w:szCs w:val="20"/>
              </w:rPr>
              <w:t>6, 6A or 12C of the Act.</w:t>
            </w:r>
          </w:p>
        </w:tc>
        <w:tc>
          <w:tcPr>
            <w:tcW w:w="3142" w:type="dxa"/>
            <w:vMerge w:val="restart"/>
            <w:tcBorders>
              <w:top w:val="single" w:sz="4" w:space="0" w:color="auto"/>
            </w:tcBorders>
          </w:tcPr>
          <w:p w:rsidR="00605D8D" w:rsidRPr="008D1B23" w:rsidRDefault="00605D8D" w:rsidP="00D72695">
            <w:pPr>
              <w:pStyle w:val="TableText"/>
              <w:spacing w:before="40" w:after="40"/>
              <w:rPr>
                <w:rFonts w:asciiTheme="minorHAnsi" w:hAnsiTheme="minorHAnsi" w:cs="Arial"/>
                <w:szCs w:val="20"/>
              </w:rPr>
            </w:pPr>
            <w:r w:rsidRPr="008D1B23">
              <w:rPr>
                <w:rFonts w:asciiTheme="minorHAnsi" w:hAnsiTheme="minorHAnsi" w:cs="Arial"/>
                <w:szCs w:val="20"/>
              </w:rPr>
              <w:t>Responsible Minister certifies that requirements relating to RIS and guidelines have been met, and RIS adequately assesses the likely impact of the proposed statutory rule or legislative instrument.</w:t>
            </w:r>
          </w:p>
          <w:p w:rsidR="00605D8D" w:rsidRPr="008D1B23" w:rsidRDefault="00605D8D" w:rsidP="00D72695">
            <w:pPr>
              <w:pStyle w:val="TableText"/>
              <w:spacing w:before="40" w:after="40"/>
              <w:rPr>
                <w:rFonts w:asciiTheme="minorHAnsi" w:hAnsiTheme="minorHAnsi" w:cs="Arial"/>
                <w:szCs w:val="20"/>
              </w:rPr>
            </w:pPr>
            <w:r w:rsidRPr="008D1B23">
              <w:rPr>
                <w:rFonts w:asciiTheme="minorHAnsi" w:hAnsiTheme="minorHAnsi" w:cs="Arial"/>
                <w:szCs w:val="20"/>
              </w:rPr>
              <w:t xml:space="preserve">Where a certificate of RIS exemption is issued under </w:t>
            </w:r>
            <w:r w:rsidR="00D13659" w:rsidRPr="008D1B23">
              <w:rPr>
                <w:rFonts w:asciiTheme="minorHAnsi" w:hAnsiTheme="minorHAnsi" w:cs="Arial"/>
                <w:szCs w:val="20"/>
              </w:rPr>
              <w:t>section </w:t>
            </w:r>
            <w:r w:rsidRPr="008D1B23">
              <w:rPr>
                <w:rFonts w:asciiTheme="minorHAnsi" w:hAnsiTheme="minorHAnsi" w:cs="Arial"/>
                <w:szCs w:val="20"/>
              </w:rPr>
              <w:t>8 or 12F, the responsible Minister certifies that the proposed rule/instrument meets the conditions for exemption from the RIS process, as specified in the Act.</w:t>
            </w:r>
          </w:p>
          <w:p w:rsidR="00605D8D" w:rsidRPr="008D1B23" w:rsidRDefault="00605D8D" w:rsidP="00D72695">
            <w:pPr>
              <w:pStyle w:val="TableText"/>
              <w:spacing w:before="40" w:after="40"/>
              <w:rPr>
                <w:rFonts w:asciiTheme="minorHAnsi" w:hAnsiTheme="minorHAnsi" w:cs="Arial"/>
                <w:szCs w:val="20"/>
              </w:rPr>
            </w:pPr>
            <w:r w:rsidRPr="008D1B23">
              <w:rPr>
                <w:rFonts w:asciiTheme="minorHAnsi" w:hAnsiTheme="minorHAnsi" w:cs="Arial"/>
                <w:szCs w:val="20"/>
              </w:rPr>
              <w:t xml:space="preserve">Where a certificate is issued under </w:t>
            </w:r>
            <w:r w:rsidR="00D13659" w:rsidRPr="008D1B23">
              <w:rPr>
                <w:rFonts w:asciiTheme="minorHAnsi" w:hAnsiTheme="minorHAnsi" w:cs="Arial"/>
                <w:szCs w:val="20"/>
              </w:rPr>
              <w:t>section </w:t>
            </w:r>
            <w:r w:rsidRPr="008D1B23">
              <w:rPr>
                <w:rFonts w:asciiTheme="minorHAnsi" w:hAnsiTheme="minorHAnsi" w:cs="Arial"/>
                <w:szCs w:val="20"/>
              </w:rPr>
              <w:t>9 or 12G, the Premier certifies that it is in the public interest that the rule/instrument be exempt from the RIS process.</w:t>
            </w:r>
          </w:p>
        </w:tc>
        <w:tc>
          <w:tcPr>
            <w:tcW w:w="1775" w:type="dxa"/>
            <w:tcBorders>
              <w:top w:val="single" w:sz="4" w:space="0" w:color="auto"/>
            </w:tcBorders>
            <w:shd w:val="clear" w:color="auto" w:fill="F2F2F2" w:themeFill="background1" w:themeFillShade="F2"/>
          </w:tcPr>
          <w:p w:rsidR="00605D8D" w:rsidRPr="008D1B23" w:rsidRDefault="00605D8D" w:rsidP="00D72695">
            <w:pPr>
              <w:pStyle w:val="TableText"/>
              <w:spacing w:before="40" w:after="40"/>
              <w:rPr>
                <w:rFonts w:asciiTheme="minorHAnsi" w:hAnsiTheme="minorHAnsi" w:cs="Arial"/>
                <w:szCs w:val="20"/>
              </w:rPr>
            </w:pPr>
            <w:r w:rsidRPr="008D1B23">
              <w:rPr>
                <w:rFonts w:asciiTheme="minorHAnsi" w:hAnsiTheme="minorHAnsi" w:cs="Arial"/>
                <w:szCs w:val="20"/>
              </w:rPr>
              <w:t>Governor</w:t>
            </w:r>
            <w:r w:rsidRPr="008D1B23">
              <w:rPr>
                <w:rFonts w:asciiTheme="minorHAnsi" w:hAnsiTheme="minorHAnsi" w:cs="Arial"/>
                <w:szCs w:val="20"/>
              </w:rPr>
              <w:noBreakHyphen/>
              <w:t>in</w:t>
            </w:r>
            <w:r w:rsidRPr="008D1B23">
              <w:rPr>
                <w:rFonts w:asciiTheme="minorHAnsi" w:hAnsiTheme="minorHAnsi" w:cs="Arial"/>
                <w:szCs w:val="20"/>
              </w:rPr>
              <w:noBreakHyphen/>
              <w:t xml:space="preserve"> Council (via Clerk of the Executive Council)</w:t>
            </w:r>
          </w:p>
        </w:tc>
        <w:tc>
          <w:tcPr>
            <w:tcW w:w="1770" w:type="dxa"/>
            <w:tcBorders>
              <w:top w:val="single" w:sz="4" w:space="0" w:color="auto"/>
            </w:tcBorders>
            <w:shd w:val="clear" w:color="auto" w:fill="F2F2F2" w:themeFill="background1" w:themeFillShade="F2"/>
          </w:tcPr>
          <w:p w:rsidR="00605D8D" w:rsidRPr="008D1B23" w:rsidRDefault="00605D8D" w:rsidP="00D72695">
            <w:pPr>
              <w:pStyle w:val="TableText"/>
              <w:spacing w:before="40" w:after="40"/>
              <w:rPr>
                <w:rFonts w:asciiTheme="minorHAnsi" w:hAnsiTheme="minorHAnsi" w:cs="Arial"/>
                <w:szCs w:val="20"/>
              </w:rPr>
            </w:pPr>
            <w:r w:rsidRPr="008D1B23">
              <w:rPr>
                <w:rFonts w:asciiTheme="minorHAnsi" w:hAnsiTheme="minorHAnsi" w:cs="Arial"/>
                <w:szCs w:val="20"/>
              </w:rPr>
              <w:t>When proposed statutory rule is submitted to the Governor in Council</w:t>
            </w:r>
          </w:p>
        </w:tc>
      </w:tr>
      <w:tr w:rsidR="00605D8D" w:rsidRPr="008D1B23" w:rsidTr="00D72695">
        <w:trPr>
          <w:cantSplit/>
          <w:trHeight w:val="825"/>
        </w:trPr>
        <w:tc>
          <w:tcPr>
            <w:tcW w:w="1818" w:type="dxa"/>
            <w:vMerge/>
            <w:vAlign w:val="center"/>
          </w:tcPr>
          <w:p w:rsidR="00605D8D" w:rsidRPr="008D1B23" w:rsidRDefault="00605D8D" w:rsidP="00D72695">
            <w:pPr>
              <w:spacing w:after="0"/>
              <w:rPr>
                <w:rFonts w:asciiTheme="minorHAnsi" w:hAnsiTheme="minorHAnsi" w:cs="Arial"/>
                <w:i/>
                <w:iCs/>
                <w:sz w:val="20"/>
                <w:szCs w:val="20"/>
              </w:rPr>
            </w:pPr>
          </w:p>
        </w:tc>
        <w:tc>
          <w:tcPr>
            <w:tcW w:w="3142" w:type="dxa"/>
            <w:vMerge/>
            <w:vAlign w:val="center"/>
          </w:tcPr>
          <w:p w:rsidR="00605D8D" w:rsidRPr="008D1B23" w:rsidRDefault="00605D8D" w:rsidP="00D72695">
            <w:pPr>
              <w:spacing w:after="0"/>
              <w:rPr>
                <w:rFonts w:asciiTheme="minorHAnsi" w:hAnsiTheme="minorHAnsi" w:cs="Arial"/>
                <w:sz w:val="20"/>
                <w:szCs w:val="20"/>
              </w:rPr>
            </w:pPr>
          </w:p>
        </w:tc>
        <w:tc>
          <w:tcPr>
            <w:tcW w:w="1775" w:type="dxa"/>
          </w:tcPr>
          <w:p w:rsidR="00605D8D" w:rsidRPr="008D1B23" w:rsidRDefault="00605D8D" w:rsidP="00D72695">
            <w:pPr>
              <w:pStyle w:val="TableText"/>
              <w:spacing w:before="40" w:after="40"/>
              <w:rPr>
                <w:rFonts w:asciiTheme="minorHAnsi" w:hAnsiTheme="minorHAnsi" w:cs="Arial"/>
                <w:szCs w:val="20"/>
              </w:rPr>
            </w:pPr>
            <w:r w:rsidRPr="008D1B23">
              <w:rPr>
                <w:rFonts w:asciiTheme="minorHAnsi" w:hAnsiTheme="minorHAnsi" w:cs="Arial"/>
                <w:szCs w:val="20"/>
              </w:rPr>
              <w:t>SARC (submitted along with copy of RIS)</w:t>
            </w:r>
          </w:p>
        </w:tc>
        <w:tc>
          <w:tcPr>
            <w:tcW w:w="1770" w:type="dxa"/>
          </w:tcPr>
          <w:p w:rsidR="00605D8D" w:rsidRPr="008D1B23" w:rsidRDefault="00605D8D" w:rsidP="00D72695">
            <w:pPr>
              <w:pStyle w:val="TableText"/>
              <w:spacing w:before="40" w:after="40"/>
              <w:rPr>
                <w:rFonts w:asciiTheme="minorHAnsi" w:hAnsiTheme="minorHAnsi" w:cs="Arial"/>
                <w:szCs w:val="20"/>
              </w:rPr>
            </w:pPr>
            <w:r w:rsidRPr="008D1B23">
              <w:rPr>
                <w:rFonts w:asciiTheme="minorHAnsi" w:hAnsiTheme="minorHAnsi" w:cs="Arial"/>
                <w:szCs w:val="20"/>
              </w:rPr>
              <w:t>Within 10 working days of the making of the rule or instrument*</w:t>
            </w:r>
          </w:p>
        </w:tc>
      </w:tr>
      <w:tr w:rsidR="00605D8D" w:rsidRPr="008D1B23" w:rsidTr="00D72695">
        <w:trPr>
          <w:cantSplit/>
          <w:trHeight w:val="825"/>
        </w:trPr>
        <w:tc>
          <w:tcPr>
            <w:tcW w:w="1818" w:type="dxa"/>
            <w:vMerge/>
            <w:vAlign w:val="center"/>
          </w:tcPr>
          <w:p w:rsidR="00605D8D" w:rsidRPr="008D1B23" w:rsidRDefault="00605D8D" w:rsidP="00D72695">
            <w:pPr>
              <w:spacing w:after="0"/>
              <w:rPr>
                <w:rFonts w:asciiTheme="minorHAnsi" w:hAnsiTheme="minorHAnsi" w:cs="Arial"/>
                <w:i/>
                <w:iCs/>
                <w:sz w:val="20"/>
                <w:szCs w:val="20"/>
              </w:rPr>
            </w:pPr>
          </w:p>
        </w:tc>
        <w:tc>
          <w:tcPr>
            <w:tcW w:w="3142" w:type="dxa"/>
            <w:vMerge/>
            <w:vAlign w:val="center"/>
          </w:tcPr>
          <w:p w:rsidR="00605D8D" w:rsidRPr="008D1B23" w:rsidRDefault="00605D8D" w:rsidP="00D72695">
            <w:pPr>
              <w:spacing w:after="0"/>
              <w:rPr>
                <w:rFonts w:asciiTheme="minorHAnsi" w:hAnsiTheme="minorHAnsi" w:cs="Arial"/>
                <w:sz w:val="20"/>
                <w:szCs w:val="20"/>
              </w:rPr>
            </w:pPr>
          </w:p>
        </w:tc>
        <w:tc>
          <w:tcPr>
            <w:tcW w:w="1775" w:type="dxa"/>
          </w:tcPr>
          <w:p w:rsidR="00605D8D" w:rsidRPr="008D1B23" w:rsidRDefault="00605D8D" w:rsidP="00D72695">
            <w:pPr>
              <w:pStyle w:val="TableText"/>
              <w:spacing w:before="40" w:after="40"/>
              <w:rPr>
                <w:rFonts w:asciiTheme="minorHAnsi" w:hAnsiTheme="minorHAnsi" w:cs="Arial"/>
                <w:szCs w:val="20"/>
              </w:rPr>
            </w:pPr>
            <w:r w:rsidRPr="008D1B23">
              <w:rPr>
                <w:rFonts w:asciiTheme="minorHAnsi" w:hAnsiTheme="minorHAnsi" w:cs="Arial"/>
                <w:szCs w:val="20"/>
              </w:rPr>
              <w:t>Parliament</w:t>
            </w:r>
          </w:p>
        </w:tc>
        <w:tc>
          <w:tcPr>
            <w:tcW w:w="1770" w:type="dxa"/>
          </w:tcPr>
          <w:p w:rsidR="00605D8D" w:rsidRPr="008D1B23" w:rsidRDefault="00605D8D" w:rsidP="00D72695">
            <w:pPr>
              <w:pStyle w:val="TableText"/>
              <w:spacing w:before="40" w:after="40"/>
              <w:rPr>
                <w:rFonts w:asciiTheme="minorHAnsi" w:hAnsiTheme="minorHAnsi" w:cs="Arial"/>
                <w:szCs w:val="20"/>
              </w:rPr>
            </w:pPr>
            <w:r w:rsidRPr="008D1B23">
              <w:rPr>
                <w:rFonts w:asciiTheme="minorHAnsi" w:hAnsiTheme="minorHAnsi" w:cs="Arial"/>
                <w:szCs w:val="20"/>
              </w:rPr>
              <w:t>When rule or instrument is laid before Parliament (on or before the 6</w:t>
            </w:r>
            <w:r w:rsidRPr="008D1B23">
              <w:rPr>
                <w:rFonts w:asciiTheme="minorHAnsi" w:hAnsiTheme="minorHAnsi" w:cs="Arial"/>
                <w:szCs w:val="20"/>
                <w:vertAlign w:val="superscript"/>
              </w:rPr>
              <w:t>th</w:t>
            </w:r>
            <w:r w:rsidRPr="008D1B23">
              <w:rPr>
                <w:rFonts w:asciiTheme="minorHAnsi" w:hAnsiTheme="minorHAnsi" w:cs="Arial"/>
                <w:szCs w:val="20"/>
              </w:rPr>
              <w:t xml:space="preserve"> sitting day after gazettal)</w:t>
            </w:r>
            <w:r w:rsidRPr="008D1B23">
              <w:rPr>
                <w:rFonts w:asciiTheme="minorHAnsi" w:hAnsiTheme="minorHAnsi" w:cs="Arial"/>
                <w:szCs w:val="20"/>
              </w:rPr>
              <w:sym w:font="Symbol" w:char="0023"/>
            </w:r>
          </w:p>
        </w:tc>
      </w:tr>
      <w:tr w:rsidR="00605D8D" w:rsidRPr="008D1B23" w:rsidTr="00D72695">
        <w:trPr>
          <w:cantSplit/>
        </w:trPr>
        <w:tc>
          <w:tcPr>
            <w:tcW w:w="1818" w:type="dxa"/>
          </w:tcPr>
          <w:p w:rsidR="00605D8D" w:rsidRPr="008D1B23" w:rsidRDefault="00B41D1D" w:rsidP="00D72695">
            <w:pPr>
              <w:pStyle w:val="TableText"/>
              <w:spacing w:before="40" w:after="40"/>
              <w:rPr>
                <w:rFonts w:asciiTheme="minorHAnsi" w:hAnsiTheme="minorHAnsi"/>
                <w:b/>
                <w:bCs/>
                <w:szCs w:val="20"/>
              </w:rPr>
            </w:pPr>
            <w:r>
              <w:rPr>
                <w:rFonts w:asciiTheme="minorHAnsi" w:hAnsiTheme="minorHAnsi"/>
                <w:b/>
                <w:bCs/>
                <w:szCs w:val="20"/>
              </w:rPr>
              <w:t>Commissioner’s</w:t>
            </w:r>
            <w:r w:rsidR="00605D8D" w:rsidRPr="008D1B23">
              <w:rPr>
                <w:rFonts w:asciiTheme="minorHAnsi" w:hAnsiTheme="minorHAnsi"/>
                <w:b/>
                <w:bCs/>
                <w:szCs w:val="20"/>
              </w:rPr>
              <w:t xml:space="preserve"> assessment of RIS</w:t>
            </w:r>
          </w:p>
          <w:p w:rsidR="00605D8D" w:rsidRPr="008D1B23" w:rsidRDefault="00605D8D" w:rsidP="00D72695">
            <w:pPr>
              <w:pStyle w:val="TableText"/>
              <w:spacing w:before="40" w:after="40"/>
              <w:rPr>
                <w:rFonts w:asciiTheme="minorHAnsi" w:hAnsiTheme="minorHAnsi"/>
                <w:bCs/>
                <w:szCs w:val="20"/>
              </w:rPr>
            </w:pPr>
            <w:r w:rsidRPr="008D1B23">
              <w:rPr>
                <w:rFonts w:asciiTheme="minorHAnsi" w:hAnsiTheme="minorHAnsi"/>
                <w:bCs/>
                <w:szCs w:val="20"/>
              </w:rPr>
              <w:t>(where RIS has been prepared)</w:t>
            </w:r>
          </w:p>
          <w:p w:rsidR="00605D8D" w:rsidRPr="008D1B23" w:rsidRDefault="00605D8D" w:rsidP="00D72695">
            <w:pPr>
              <w:pStyle w:val="TableText"/>
              <w:spacing w:before="40" w:after="40"/>
              <w:rPr>
                <w:rFonts w:asciiTheme="minorHAnsi" w:hAnsiTheme="minorHAnsi"/>
                <w:b/>
                <w:bCs/>
                <w:szCs w:val="20"/>
              </w:rPr>
            </w:pPr>
            <w:r w:rsidRPr="008D1B23">
              <w:rPr>
                <w:rFonts w:asciiTheme="minorHAnsi" w:hAnsiTheme="minorHAnsi"/>
                <w:i/>
                <w:iCs/>
                <w:szCs w:val="20"/>
              </w:rPr>
              <w:t xml:space="preserve">Required under Guidelines made under </w:t>
            </w:r>
            <w:r w:rsidR="00D13659" w:rsidRPr="008D1B23">
              <w:rPr>
                <w:rFonts w:asciiTheme="minorHAnsi" w:hAnsiTheme="minorHAnsi"/>
                <w:i/>
                <w:iCs/>
                <w:szCs w:val="20"/>
              </w:rPr>
              <w:t>section </w:t>
            </w:r>
            <w:r w:rsidRPr="008D1B23">
              <w:rPr>
                <w:rFonts w:asciiTheme="minorHAnsi" w:hAnsiTheme="minorHAnsi"/>
                <w:i/>
                <w:iCs/>
                <w:szCs w:val="20"/>
              </w:rPr>
              <w:t>26</w:t>
            </w:r>
          </w:p>
        </w:tc>
        <w:tc>
          <w:tcPr>
            <w:tcW w:w="3142" w:type="dxa"/>
          </w:tcPr>
          <w:p w:rsidR="00605D8D" w:rsidRPr="008D1B23" w:rsidRDefault="00605D8D" w:rsidP="00B41D1D">
            <w:pPr>
              <w:pStyle w:val="TableText"/>
              <w:spacing w:before="40" w:after="40"/>
              <w:rPr>
                <w:rFonts w:asciiTheme="minorHAnsi" w:hAnsiTheme="minorHAnsi" w:cs="Arial"/>
                <w:szCs w:val="20"/>
              </w:rPr>
            </w:pPr>
            <w:r w:rsidRPr="008D1B23">
              <w:rPr>
                <w:rFonts w:asciiTheme="minorHAnsi" w:hAnsiTheme="minorHAnsi" w:cs="Arial"/>
                <w:szCs w:val="20"/>
              </w:rPr>
              <w:t xml:space="preserve">Copy of the </w:t>
            </w:r>
            <w:r w:rsidR="00B55850">
              <w:rPr>
                <w:rFonts w:asciiTheme="minorHAnsi" w:hAnsiTheme="minorHAnsi" w:cs="Arial"/>
                <w:szCs w:val="20"/>
              </w:rPr>
              <w:t>Commissioner</w:t>
            </w:r>
            <w:r w:rsidR="00B55850" w:rsidRPr="008D1B23">
              <w:rPr>
                <w:rFonts w:asciiTheme="minorHAnsi" w:hAnsiTheme="minorHAnsi" w:cs="Arial"/>
                <w:szCs w:val="20"/>
              </w:rPr>
              <w:t>’s</w:t>
            </w:r>
            <w:r w:rsidRPr="008D1B23">
              <w:rPr>
                <w:rFonts w:asciiTheme="minorHAnsi" w:hAnsiTheme="minorHAnsi" w:cs="Arial"/>
                <w:szCs w:val="20"/>
              </w:rPr>
              <w:t xml:space="preserve"> independent assessment of the adequacy of the RIS</w:t>
            </w:r>
          </w:p>
        </w:tc>
        <w:tc>
          <w:tcPr>
            <w:tcW w:w="1775" w:type="dxa"/>
          </w:tcPr>
          <w:p w:rsidR="00605D8D" w:rsidRPr="008D1B23" w:rsidRDefault="00605D8D" w:rsidP="00D72695">
            <w:pPr>
              <w:pStyle w:val="TableText"/>
              <w:spacing w:before="40" w:after="40"/>
              <w:rPr>
                <w:rFonts w:asciiTheme="minorHAnsi" w:hAnsiTheme="minorHAnsi" w:cs="Arial"/>
                <w:szCs w:val="20"/>
              </w:rPr>
            </w:pPr>
            <w:r w:rsidRPr="008D1B23">
              <w:rPr>
                <w:rFonts w:asciiTheme="minorHAnsi" w:hAnsiTheme="minorHAnsi" w:cs="Arial"/>
                <w:szCs w:val="20"/>
              </w:rPr>
              <w:t>SARC</w:t>
            </w:r>
          </w:p>
        </w:tc>
        <w:tc>
          <w:tcPr>
            <w:tcW w:w="1770" w:type="dxa"/>
          </w:tcPr>
          <w:p w:rsidR="00605D8D" w:rsidRPr="008D1B23" w:rsidRDefault="00605D8D" w:rsidP="00D72695">
            <w:pPr>
              <w:pStyle w:val="TableText"/>
              <w:spacing w:before="40" w:after="40"/>
              <w:rPr>
                <w:rFonts w:asciiTheme="minorHAnsi" w:hAnsiTheme="minorHAnsi" w:cs="Arial"/>
                <w:szCs w:val="20"/>
              </w:rPr>
            </w:pPr>
            <w:r w:rsidRPr="008D1B23">
              <w:rPr>
                <w:rFonts w:asciiTheme="minorHAnsi" w:hAnsiTheme="minorHAnsi" w:cs="Arial"/>
                <w:szCs w:val="20"/>
              </w:rPr>
              <w:t>As soon as practicable after the statutory rule or legislative instrument is made.</w:t>
            </w:r>
          </w:p>
        </w:tc>
      </w:tr>
      <w:tr w:rsidR="00605D8D" w:rsidRPr="008D1B23" w:rsidTr="00D72695">
        <w:trPr>
          <w:cantSplit/>
        </w:trPr>
        <w:tc>
          <w:tcPr>
            <w:tcW w:w="1818" w:type="dxa"/>
            <w:tcBorders>
              <w:bottom w:val="single" w:sz="4" w:space="0" w:color="auto"/>
            </w:tcBorders>
          </w:tcPr>
          <w:p w:rsidR="00605D8D" w:rsidRPr="008D1B23" w:rsidRDefault="00605D8D" w:rsidP="00D72695">
            <w:pPr>
              <w:pStyle w:val="TableText"/>
              <w:spacing w:before="40" w:after="40"/>
              <w:rPr>
                <w:rFonts w:asciiTheme="minorHAnsi" w:hAnsiTheme="minorHAnsi"/>
                <w:b/>
                <w:bCs/>
                <w:szCs w:val="20"/>
              </w:rPr>
            </w:pPr>
            <w:r w:rsidRPr="008D1B23">
              <w:rPr>
                <w:rFonts w:asciiTheme="minorHAnsi" w:hAnsiTheme="minorHAnsi"/>
                <w:b/>
                <w:bCs/>
                <w:szCs w:val="20"/>
              </w:rPr>
              <w:t>Copies of all public comments and submissions on RIS</w:t>
            </w:r>
          </w:p>
          <w:p w:rsidR="00605D8D" w:rsidRPr="008D1B23" w:rsidRDefault="00605D8D" w:rsidP="00D72695">
            <w:pPr>
              <w:pStyle w:val="TableText"/>
              <w:spacing w:before="40" w:after="40"/>
              <w:rPr>
                <w:rFonts w:asciiTheme="minorHAnsi" w:hAnsiTheme="minorHAnsi"/>
                <w:bCs/>
                <w:szCs w:val="20"/>
              </w:rPr>
            </w:pPr>
            <w:r w:rsidRPr="008D1B23">
              <w:rPr>
                <w:rFonts w:asciiTheme="minorHAnsi" w:hAnsiTheme="minorHAnsi"/>
                <w:bCs/>
                <w:szCs w:val="20"/>
              </w:rPr>
              <w:t>(where RIS has been prepared)</w:t>
            </w:r>
          </w:p>
          <w:p w:rsidR="00605D8D" w:rsidRPr="008D1B23" w:rsidRDefault="00D13659" w:rsidP="00D72695">
            <w:pPr>
              <w:pStyle w:val="TableText"/>
              <w:spacing w:before="40" w:after="40"/>
              <w:rPr>
                <w:rFonts w:asciiTheme="minorHAnsi" w:hAnsiTheme="minorHAnsi" w:cs="Arial"/>
                <w:i/>
                <w:iCs/>
                <w:szCs w:val="20"/>
              </w:rPr>
            </w:pPr>
            <w:r w:rsidRPr="008D1B23">
              <w:rPr>
                <w:rFonts w:asciiTheme="minorHAnsi" w:hAnsiTheme="minorHAnsi" w:cs="Arial"/>
                <w:i/>
                <w:iCs/>
                <w:szCs w:val="20"/>
              </w:rPr>
              <w:t>section </w:t>
            </w:r>
            <w:r w:rsidR="00605D8D" w:rsidRPr="008D1B23">
              <w:rPr>
                <w:rFonts w:asciiTheme="minorHAnsi" w:hAnsiTheme="minorHAnsi" w:cs="Arial"/>
                <w:i/>
                <w:iCs/>
                <w:szCs w:val="20"/>
              </w:rPr>
              <w:t xml:space="preserve">15A(1)(c) and </w:t>
            </w:r>
            <w:r w:rsidRPr="008D1B23">
              <w:rPr>
                <w:rFonts w:asciiTheme="minorHAnsi" w:hAnsiTheme="minorHAnsi" w:cs="Arial"/>
                <w:i/>
                <w:iCs/>
                <w:szCs w:val="20"/>
              </w:rPr>
              <w:t>section </w:t>
            </w:r>
            <w:r w:rsidR="00605D8D" w:rsidRPr="008D1B23">
              <w:rPr>
                <w:rFonts w:asciiTheme="minorHAnsi" w:hAnsiTheme="minorHAnsi" w:cs="Arial"/>
                <w:i/>
                <w:iCs/>
                <w:szCs w:val="20"/>
              </w:rPr>
              <w:t>16C</w:t>
            </w:r>
          </w:p>
        </w:tc>
        <w:tc>
          <w:tcPr>
            <w:tcW w:w="3142" w:type="dxa"/>
            <w:tcBorders>
              <w:bottom w:val="single" w:sz="4" w:space="0" w:color="auto"/>
            </w:tcBorders>
          </w:tcPr>
          <w:p w:rsidR="00605D8D" w:rsidRPr="008D1B23" w:rsidRDefault="00605D8D" w:rsidP="00D72695">
            <w:pPr>
              <w:pStyle w:val="TableText"/>
              <w:spacing w:before="40" w:after="40"/>
              <w:rPr>
                <w:rFonts w:asciiTheme="minorHAnsi" w:hAnsiTheme="minorHAnsi" w:cs="Arial"/>
                <w:szCs w:val="20"/>
              </w:rPr>
            </w:pPr>
            <w:r w:rsidRPr="008D1B23">
              <w:rPr>
                <w:rFonts w:asciiTheme="minorHAnsi" w:hAnsiTheme="minorHAnsi" w:cs="Arial"/>
                <w:szCs w:val="20"/>
              </w:rPr>
              <w:t>Copies of all public comments/submissions received during consultation period after RIS is published, and the response to the comments by the relevant body</w:t>
            </w:r>
          </w:p>
        </w:tc>
        <w:tc>
          <w:tcPr>
            <w:tcW w:w="1775" w:type="dxa"/>
            <w:tcBorders>
              <w:bottom w:val="single" w:sz="4" w:space="0" w:color="auto"/>
            </w:tcBorders>
          </w:tcPr>
          <w:p w:rsidR="00605D8D" w:rsidRPr="008D1B23" w:rsidRDefault="00605D8D" w:rsidP="00B41D1D">
            <w:pPr>
              <w:pStyle w:val="TableText"/>
              <w:spacing w:before="40" w:after="40"/>
              <w:rPr>
                <w:rFonts w:asciiTheme="minorHAnsi" w:hAnsiTheme="minorHAnsi" w:cs="Arial"/>
                <w:szCs w:val="20"/>
              </w:rPr>
            </w:pPr>
            <w:r w:rsidRPr="008D1B23">
              <w:rPr>
                <w:rFonts w:asciiTheme="minorHAnsi" w:hAnsiTheme="minorHAnsi" w:cs="Arial"/>
                <w:szCs w:val="20"/>
              </w:rPr>
              <w:t xml:space="preserve">SARC and </w:t>
            </w:r>
            <w:r w:rsidR="00B41D1D">
              <w:rPr>
                <w:rFonts w:asciiTheme="minorHAnsi" w:hAnsiTheme="minorHAnsi" w:cs="Arial"/>
                <w:szCs w:val="20"/>
              </w:rPr>
              <w:t>the Commissioner</w:t>
            </w:r>
          </w:p>
        </w:tc>
        <w:tc>
          <w:tcPr>
            <w:tcW w:w="1770" w:type="dxa"/>
            <w:tcBorders>
              <w:bottom w:val="single" w:sz="4" w:space="0" w:color="auto"/>
            </w:tcBorders>
          </w:tcPr>
          <w:p w:rsidR="00605D8D" w:rsidRPr="008D1B23" w:rsidRDefault="00605D8D" w:rsidP="00D72695">
            <w:pPr>
              <w:pStyle w:val="TableText"/>
              <w:spacing w:before="40" w:after="40"/>
              <w:rPr>
                <w:rFonts w:asciiTheme="minorHAnsi" w:hAnsiTheme="minorHAnsi" w:cs="Arial"/>
                <w:szCs w:val="20"/>
              </w:rPr>
            </w:pPr>
            <w:r w:rsidRPr="008D1B23">
              <w:rPr>
                <w:rFonts w:asciiTheme="minorHAnsi" w:hAnsiTheme="minorHAnsi" w:cs="Arial"/>
                <w:szCs w:val="20"/>
              </w:rPr>
              <w:t>Within 10 working days of the making of the rule or instrument</w:t>
            </w:r>
          </w:p>
        </w:tc>
      </w:tr>
      <w:tr w:rsidR="00605D8D" w:rsidRPr="008D1B23" w:rsidTr="00D72695">
        <w:trPr>
          <w:cantSplit/>
        </w:trPr>
        <w:tc>
          <w:tcPr>
            <w:tcW w:w="8505" w:type="dxa"/>
            <w:gridSpan w:val="4"/>
            <w:tcBorders>
              <w:bottom w:val="single" w:sz="4" w:space="0" w:color="auto"/>
            </w:tcBorders>
          </w:tcPr>
          <w:p w:rsidR="00605D8D" w:rsidRPr="008D1B23" w:rsidRDefault="00605D8D" w:rsidP="00D72695">
            <w:pPr>
              <w:pStyle w:val="TableText"/>
              <w:spacing w:before="40" w:after="40"/>
              <w:jc w:val="right"/>
              <w:rPr>
                <w:rFonts w:asciiTheme="minorHAnsi" w:hAnsiTheme="minorHAnsi" w:cs="Arial"/>
                <w:b/>
                <w:i/>
                <w:szCs w:val="20"/>
              </w:rPr>
            </w:pPr>
            <w:r w:rsidRPr="008D1B23">
              <w:rPr>
                <w:rFonts w:asciiTheme="minorHAnsi" w:hAnsiTheme="minorHAnsi" w:cs="Arial"/>
                <w:b/>
                <w:i/>
                <w:szCs w:val="20"/>
              </w:rPr>
              <w:t>Continued on next page</w:t>
            </w:r>
          </w:p>
        </w:tc>
      </w:tr>
      <w:tr w:rsidR="00605D8D" w:rsidRPr="008D1B23" w:rsidTr="00DE4E32">
        <w:trPr>
          <w:cantSplit/>
        </w:trPr>
        <w:tc>
          <w:tcPr>
            <w:tcW w:w="1818" w:type="dxa"/>
            <w:vMerge w:val="restart"/>
            <w:tcBorders>
              <w:top w:val="single" w:sz="4" w:space="0" w:color="auto"/>
            </w:tcBorders>
            <w:shd w:val="clear" w:color="auto" w:fill="F2F2F2" w:themeFill="background1" w:themeFillShade="F2"/>
          </w:tcPr>
          <w:p w:rsidR="00605D8D" w:rsidRPr="008D1B23" w:rsidRDefault="00605D8D" w:rsidP="00D72695">
            <w:pPr>
              <w:pStyle w:val="TableTextbold"/>
              <w:pageBreakBefore/>
              <w:rPr>
                <w:rFonts w:asciiTheme="minorHAnsi" w:hAnsiTheme="minorHAnsi"/>
                <w:szCs w:val="20"/>
              </w:rPr>
            </w:pPr>
            <w:r w:rsidRPr="008D1B23">
              <w:rPr>
                <w:rFonts w:asciiTheme="minorHAnsi" w:hAnsiTheme="minorHAnsi"/>
                <w:szCs w:val="20"/>
              </w:rPr>
              <w:t>Chief Parliamentary Counsel certificate</w:t>
            </w:r>
          </w:p>
          <w:p w:rsidR="00605D8D" w:rsidRPr="008D1B23" w:rsidRDefault="00D13659" w:rsidP="00D72695">
            <w:pPr>
              <w:pStyle w:val="TableText"/>
              <w:spacing w:before="40" w:after="40"/>
              <w:rPr>
                <w:rFonts w:asciiTheme="minorHAnsi" w:hAnsiTheme="minorHAnsi"/>
                <w:i/>
                <w:iCs/>
                <w:szCs w:val="20"/>
              </w:rPr>
            </w:pPr>
            <w:r w:rsidRPr="008D1B23">
              <w:rPr>
                <w:rFonts w:asciiTheme="minorHAnsi" w:hAnsiTheme="minorHAnsi"/>
                <w:i/>
                <w:iCs/>
                <w:szCs w:val="20"/>
              </w:rPr>
              <w:t>section </w:t>
            </w:r>
            <w:r w:rsidR="00605D8D" w:rsidRPr="008D1B23">
              <w:rPr>
                <w:rFonts w:asciiTheme="minorHAnsi" w:hAnsiTheme="minorHAnsi"/>
                <w:i/>
                <w:iCs/>
                <w:szCs w:val="20"/>
              </w:rPr>
              <w:t>13</w:t>
            </w:r>
            <w:r w:rsidR="00605D8D" w:rsidRPr="008D1B23">
              <w:rPr>
                <w:rFonts w:asciiTheme="minorHAnsi" w:hAnsiTheme="minorHAnsi" w:cs="Arial"/>
                <w:iCs/>
                <w:szCs w:val="20"/>
                <w:vertAlign w:val="superscript"/>
              </w:rPr>
              <w:t>†</w:t>
            </w:r>
          </w:p>
        </w:tc>
        <w:tc>
          <w:tcPr>
            <w:tcW w:w="3142" w:type="dxa"/>
            <w:vMerge w:val="restart"/>
            <w:tcBorders>
              <w:top w:val="single" w:sz="4" w:space="0" w:color="auto"/>
            </w:tcBorders>
            <w:shd w:val="clear" w:color="auto" w:fill="F2F2F2" w:themeFill="background1" w:themeFillShade="F2"/>
          </w:tcPr>
          <w:p w:rsidR="00605D8D" w:rsidRPr="008D1B23" w:rsidRDefault="00605D8D" w:rsidP="00D72695">
            <w:pPr>
              <w:pStyle w:val="TableText"/>
              <w:spacing w:before="40" w:after="40"/>
              <w:rPr>
                <w:rFonts w:asciiTheme="minorHAnsi" w:hAnsiTheme="minorHAnsi" w:cs="Arial"/>
                <w:szCs w:val="20"/>
              </w:rPr>
            </w:pPr>
            <w:r w:rsidRPr="008D1B23">
              <w:rPr>
                <w:rFonts w:asciiTheme="minorHAnsi" w:hAnsiTheme="minorHAnsi" w:cs="Arial"/>
                <w:szCs w:val="20"/>
              </w:rPr>
              <w:t xml:space="preserve">Chief Parliamentary Counsel issues a certificate having regard to the matters listed in </w:t>
            </w:r>
            <w:r w:rsidR="00D13659" w:rsidRPr="008D1B23">
              <w:rPr>
                <w:rFonts w:asciiTheme="minorHAnsi" w:hAnsiTheme="minorHAnsi" w:cs="Arial"/>
                <w:szCs w:val="20"/>
              </w:rPr>
              <w:t>Section </w:t>
            </w:r>
            <w:r w:rsidRPr="008D1B23">
              <w:rPr>
                <w:rFonts w:asciiTheme="minorHAnsi" w:hAnsiTheme="minorHAnsi" w:cs="Arial"/>
                <w:szCs w:val="20"/>
              </w:rPr>
              <w:t xml:space="preserve">13 of the Act (which relate to the legality and effectiveness of the proposed rules) </w:t>
            </w:r>
          </w:p>
        </w:tc>
        <w:tc>
          <w:tcPr>
            <w:tcW w:w="1775" w:type="dxa"/>
            <w:tcBorders>
              <w:top w:val="single" w:sz="4" w:space="0" w:color="auto"/>
            </w:tcBorders>
            <w:shd w:val="clear" w:color="auto" w:fill="F2F2F2" w:themeFill="background1" w:themeFillShade="F2"/>
          </w:tcPr>
          <w:p w:rsidR="00605D8D" w:rsidRPr="008D1B23" w:rsidRDefault="00605D8D" w:rsidP="00D72695">
            <w:pPr>
              <w:pStyle w:val="TableText"/>
              <w:spacing w:before="40" w:after="40"/>
              <w:rPr>
                <w:rFonts w:asciiTheme="minorHAnsi" w:hAnsiTheme="minorHAnsi" w:cs="Arial"/>
                <w:szCs w:val="20"/>
              </w:rPr>
            </w:pPr>
            <w:r w:rsidRPr="008D1B23">
              <w:rPr>
                <w:rFonts w:asciiTheme="minorHAnsi" w:hAnsiTheme="minorHAnsi" w:cs="Arial"/>
                <w:szCs w:val="20"/>
              </w:rPr>
              <w:t>Issued by Chief Parliamentary Counsel and submitted to Governor</w:t>
            </w:r>
            <w:r w:rsidRPr="008D1B23">
              <w:rPr>
                <w:rFonts w:asciiTheme="minorHAnsi" w:hAnsiTheme="minorHAnsi" w:cs="Arial"/>
                <w:szCs w:val="20"/>
              </w:rPr>
              <w:noBreakHyphen/>
              <w:t>in</w:t>
            </w:r>
            <w:r w:rsidRPr="008D1B23">
              <w:rPr>
                <w:rFonts w:asciiTheme="minorHAnsi" w:hAnsiTheme="minorHAnsi" w:cs="Arial"/>
                <w:szCs w:val="20"/>
              </w:rPr>
              <w:noBreakHyphen/>
              <w:t xml:space="preserve"> Council (via Clerk of the Executive Council)</w:t>
            </w:r>
          </w:p>
        </w:tc>
        <w:tc>
          <w:tcPr>
            <w:tcW w:w="1770" w:type="dxa"/>
            <w:tcBorders>
              <w:top w:val="single" w:sz="4" w:space="0" w:color="auto"/>
            </w:tcBorders>
            <w:shd w:val="clear" w:color="auto" w:fill="F2F2F2" w:themeFill="background1" w:themeFillShade="F2"/>
          </w:tcPr>
          <w:p w:rsidR="00605D8D" w:rsidRPr="008D1B23" w:rsidRDefault="00605D8D" w:rsidP="00D72695">
            <w:pPr>
              <w:pStyle w:val="TableText"/>
              <w:spacing w:before="40" w:after="40"/>
              <w:rPr>
                <w:rFonts w:asciiTheme="minorHAnsi" w:hAnsiTheme="minorHAnsi" w:cs="Arial"/>
                <w:szCs w:val="20"/>
              </w:rPr>
            </w:pPr>
            <w:r w:rsidRPr="008D1B23">
              <w:rPr>
                <w:rFonts w:asciiTheme="minorHAnsi" w:hAnsiTheme="minorHAnsi" w:cs="Arial"/>
                <w:szCs w:val="20"/>
              </w:rPr>
              <w:t>When proposed statutory rule is submitted to the Governor in Council</w:t>
            </w:r>
          </w:p>
          <w:p w:rsidR="00605D8D" w:rsidRPr="008D1B23" w:rsidRDefault="00605D8D" w:rsidP="00D72695">
            <w:pPr>
              <w:pStyle w:val="TableText"/>
              <w:spacing w:before="40" w:after="40"/>
              <w:rPr>
                <w:rFonts w:asciiTheme="minorHAnsi" w:hAnsiTheme="minorHAnsi" w:cs="Arial"/>
                <w:szCs w:val="20"/>
              </w:rPr>
            </w:pPr>
            <w:r w:rsidRPr="008D1B23">
              <w:rPr>
                <w:rFonts w:asciiTheme="minorHAnsi" w:hAnsiTheme="minorHAnsi" w:cs="Arial"/>
                <w:szCs w:val="20"/>
              </w:rPr>
              <w:t xml:space="preserve">Request for a </w:t>
            </w:r>
            <w:r w:rsidR="00D13659" w:rsidRPr="008D1B23">
              <w:rPr>
                <w:rFonts w:asciiTheme="minorHAnsi" w:hAnsiTheme="minorHAnsi" w:cs="Arial"/>
                <w:szCs w:val="20"/>
              </w:rPr>
              <w:t>section </w:t>
            </w:r>
            <w:r w:rsidRPr="008D1B23">
              <w:rPr>
                <w:rFonts w:asciiTheme="minorHAnsi" w:hAnsiTheme="minorHAnsi" w:cs="Arial"/>
                <w:szCs w:val="20"/>
              </w:rPr>
              <w:t>13 certificate must be made at least two weeks before the date on which it is proposed to submit the statutory rule to the Minister for recommendation</w:t>
            </w:r>
          </w:p>
        </w:tc>
      </w:tr>
      <w:tr w:rsidR="00605D8D" w:rsidRPr="008D1B23" w:rsidTr="00DE4E32">
        <w:trPr>
          <w:cantSplit/>
        </w:trPr>
        <w:tc>
          <w:tcPr>
            <w:tcW w:w="1818" w:type="dxa"/>
            <w:vMerge/>
            <w:shd w:val="clear" w:color="auto" w:fill="F2F2F2" w:themeFill="background1" w:themeFillShade="F2"/>
            <w:vAlign w:val="center"/>
          </w:tcPr>
          <w:p w:rsidR="00605D8D" w:rsidRPr="008D1B23" w:rsidRDefault="00605D8D" w:rsidP="00D72695">
            <w:pPr>
              <w:spacing w:after="0"/>
              <w:rPr>
                <w:rFonts w:asciiTheme="minorHAnsi" w:hAnsiTheme="minorHAnsi" w:cs="Arial"/>
                <w:sz w:val="20"/>
                <w:szCs w:val="20"/>
              </w:rPr>
            </w:pPr>
          </w:p>
        </w:tc>
        <w:tc>
          <w:tcPr>
            <w:tcW w:w="3142" w:type="dxa"/>
            <w:vMerge/>
            <w:shd w:val="clear" w:color="auto" w:fill="F2F2F2" w:themeFill="background1" w:themeFillShade="F2"/>
            <w:vAlign w:val="center"/>
          </w:tcPr>
          <w:p w:rsidR="00605D8D" w:rsidRPr="008D1B23" w:rsidRDefault="00605D8D" w:rsidP="00D72695">
            <w:pPr>
              <w:spacing w:after="0"/>
              <w:rPr>
                <w:rFonts w:asciiTheme="minorHAnsi" w:hAnsiTheme="minorHAnsi" w:cs="Arial"/>
                <w:sz w:val="20"/>
                <w:szCs w:val="20"/>
              </w:rPr>
            </w:pPr>
          </w:p>
        </w:tc>
        <w:tc>
          <w:tcPr>
            <w:tcW w:w="1775" w:type="dxa"/>
            <w:shd w:val="clear" w:color="auto" w:fill="F2F2F2" w:themeFill="background1" w:themeFillShade="F2"/>
          </w:tcPr>
          <w:p w:rsidR="00605D8D" w:rsidRPr="008D1B23" w:rsidRDefault="00605D8D" w:rsidP="00D72695">
            <w:pPr>
              <w:pStyle w:val="TableText"/>
              <w:spacing w:before="40" w:after="40"/>
              <w:rPr>
                <w:rFonts w:asciiTheme="minorHAnsi" w:hAnsiTheme="minorHAnsi" w:cs="Arial"/>
                <w:szCs w:val="20"/>
              </w:rPr>
            </w:pPr>
            <w:r w:rsidRPr="008D1B23">
              <w:rPr>
                <w:rFonts w:asciiTheme="minorHAnsi" w:hAnsiTheme="minorHAnsi" w:cs="Arial"/>
                <w:szCs w:val="20"/>
              </w:rPr>
              <w:t>SARC</w:t>
            </w:r>
          </w:p>
        </w:tc>
        <w:tc>
          <w:tcPr>
            <w:tcW w:w="1770" w:type="dxa"/>
            <w:shd w:val="clear" w:color="auto" w:fill="F2F2F2" w:themeFill="background1" w:themeFillShade="F2"/>
          </w:tcPr>
          <w:p w:rsidR="00605D8D" w:rsidRPr="008D1B23" w:rsidRDefault="00605D8D" w:rsidP="00D72695">
            <w:pPr>
              <w:pStyle w:val="TableText"/>
              <w:spacing w:before="40" w:after="40"/>
              <w:rPr>
                <w:rFonts w:asciiTheme="minorHAnsi" w:hAnsiTheme="minorHAnsi" w:cs="Arial"/>
                <w:szCs w:val="20"/>
              </w:rPr>
            </w:pPr>
            <w:r w:rsidRPr="008D1B23">
              <w:rPr>
                <w:rFonts w:asciiTheme="minorHAnsi" w:hAnsiTheme="minorHAnsi" w:cs="Arial"/>
                <w:szCs w:val="20"/>
              </w:rPr>
              <w:t>Within 10 working days of the making of the statutory rule*</w:t>
            </w:r>
          </w:p>
        </w:tc>
      </w:tr>
      <w:tr w:rsidR="00605D8D" w:rsidRPr="008D1B23" w:rsidTr="00DE4E32">
        <w:trPr>
          <w:cantSplit/>
        </w:trPr>
        <w:tc>
          <w:tcPr>
            <w:tcW w:w="1818" w:type="dxa"/>
            <w:vMerge/>
            <w:shd w:val="clear" w:color="auto" w:fill="F2F2F2" w:themeFill="background1" w:themeFillShade="F2"/>
            <w:vAlign w:val="center"/>
          </w:tcPr>
          <w:p w:rsidR="00605D8D" w:rsidRPr="008D1B23" w:rsidRDefault="00605D8D" w:rsidP="00D72695">
            <w:pPr>
              <w:spacing w:after="0"/>
              <w:rPr>
                <w:rFonts w:asciiTheme="minorHAnsi" w:hAnsiTheme="minorHAnsi" w:cs="Arial"/>
                <w:sz w:val="20"/>
                <w:szCs w:val="20"/>
              </w:rPr>
            </w:pPr>
          </w:p>
        </w:tc>
        <w:tc>
          <w:tcPr>
            <w:tcW w:w="3142" w:type="dxa"/>
            <w:vMerge/>
            <w:shd w:val="clear" w:color="auto" w:fill="F2F2F2" w:themeFill="background1" w:themeFillShade="F2"/>
            <w:vAlign w:val="center"/>
          </w:tcPr>
          <w:p w:rsidR="00605D8D" w:rsidRPr="008D1B23" w:rsidRDefault="00605D8D" w:rsidP="00D72695">
            <w:pPr>
              <w:spacing w:after="0"/>
              <w:rPr>
                <w:rFonts w:asciiTheme="minorHAnsi" w:hAnsiTheme="minorHAnsi" w:cs="Arial"/>
                <w:sz w:val="20"/>
                <w:szCs w:val="20"/>
              </w:rPr>
            </w:pPr>
          </w:p>
        </w:tc>
        <w:tc>
          <w:tcPr>
            <w:tcW w:w="1775" w:type="dxa"/>
            <w:shd w:val="clear" w:color="auto" w:fill="F2F2F2" w:themeFill="background1" w:themeFillShade="F2"/>
          </w:tcPr>
          <w:p w:rsidR="00605D8D" w:rsidRPr="008D1B23" w:rsidRDefault="00605D8D" w:rsidP="00D72695">
            <w:pPr>
              <w:pStyle w:val="TableText"/>
              <w:spacing w:before="40" w:after="40"/>
              <w:rPr>
                <w:rFonts w:asciiTheme="minorHAnsi" w:hAnsiTheme="minorHAnsi" w:cs="Arial"/>
                <w:szCs w:val="20"/>
              </w:rPr>
            </w:pPr>
            <w:r w:rsidRPr="008D1B23">
              <w:rPr>
                <w:rFonts w:asciiTheme="minorHAnsi" w:hAnsiTheme="minorHAnsi" w:cs="Arial"/>
                <w:szCs w:val="20"/>
              </w:rPr>
              <w:t>Parliament</w:t>
            </w:r>
          </w:p>
        </w:tc>
        <w:tc>
          <w:tcPr>
            <w:tcW w:w="1770" w:type="dxa"/>
            <w:shd w:val="clear" w:color="auto" w:fill="F2F2F2" w:themeFill="background1" w:themeFillShade="F2"/>
          </w:tcPr>
          <w:p w:rsidR="00605D8D" w:rsidRPr="008D1B23" w:rsidRDefault="00605D8D" w:rsidP="00D72695">
            <w:pPr>
              <w:pStyle w:val="TableText"/>
              <w:spacing w:before="40" w:after="40"/>
              <w:rPr>
                <w:rFonts w:asciiTheme="minorHAnsi" w:hAnsiTheme="minorHAnsi" w:cs="Arial"/>
                <w:szCs w:val="20"/>
              </w:rPr>
            </w:pPr>
            <w:r w:rsidRPr="008D1B23">
              <w:rPr>
                <w:rFonts w:asciiTheme="minorHAnsi" w:hAnsiTheme="minorHAnsi" w:cs="Arial"/>
                <w:szCs w:val="20"/>
              </w:rPr>
              <w:t>When statutory rule is laid before Parliament (on or before the 6</w:t>
            </w:r>
            <w:r w:rsidRPr="008D1B23">
              <w:rPr>
                <w:rFonts w:asciiTheme="minorHAnsi" w:hAnsiTheme="minorHAnsi" w:cs="Arial"/>
                <w:szCs w:val="20"/>
                <w:vertAlign w:val="superscript"/>
              </w:rPr>
              <w:t>th</w:t>
            </w:r>
            <w:r w:rsidRPr="008D1B23">
              <w:rPr>
                <w:rFonts w:asciiTheme="minorHAnsi" w:hAnsiTheme="minorHAnsi" w:cs="Arial"/>
                <w:szCs w:val="20"/>
              </w:rPr>
              <w:t xml:space="preserve"> sitting day after gazettal)</w:t>
            </w:r>
            <w:r w:rsidRPr="008D1B23">
              <w:rPr>
                <w:rFonts w:asciiTheme="minorHAnsi" w:hAnsiTheme="minorHAnsi" w:cs="Arial"/>
                <w:szCs w:val="20"/>
              </w:rPr>
              <w:sym w:font="Symbol" w:char="0023"/>
            </w:r>
          </w:p>
        </w:tc>
      </w:tr>
      <w:tr w:rsidR="00605D8D" w:rsidRPr="008D1B23" w:rsidTr="00DE4E32">
        <w:trPr>
          <w:cantSplit/>
        </w:trPr>
        <w:tc>
          <w:tcPr>
            <w:tcW w:w="1818" w:type="dxa"/>
            <w:shd w:val="clear" w:color="auto" w:fill="F2F2F2" w:themeFill="background1" w:themeFillShade="F2"/>
          </w:tcPr>
          <w:p w:rsidR="00605D8D" w:rsidRPr="008D1B23" w:rsidRDefault="00605D8D" w:rsidP="00D72695">
            <w:pPr>
              <w:pStyle w:val="TableText"/>
              <w:spacing w:before="40" w:after="40"/>
              <w:rPr>
                <w:rFonts w:asciiTheme="minorHAnsi" w:hAnsiTheme="minorHAnsi"/>
                <w:b/>
                <w:bCs/>
                <w:szCs w:val="20"/>
              </w:rPr>
            </w:pPr>
            <w:r w:rsidRPr="008D1B23">
              <w:rPr>
                <w:rFonts w:asciiTheme="minorHAnsi" w:hAnsiTheme="minorHAnsi"/>
                <w:b/>
                <w:bCs/>
                <w:szCs w:val="20"/>
              </w:rPr>
              <w:t>Competition policy certificate</w:t>
            </w:r>
          </w:p>
          <w:p w:rsidR="00605D8D" w:rsidRPr="008D1B23" w:rsidRDefault="00605D8D" w:rsidP="00D72695">
            <w:pPr>
              <w:pStyle w:val="TableText"/>
              <w:spacing w:before="40" w:after="40"/>
              <w:rPr>
                <w:rFonts w:asciiTheme="minorHAnsi" w:hAnsiTheme="minorHAnsi"/>
                <w:i/>
                <w:iCs/>
                <w:szCs w:val="20"/>
              </w:rPr>
            </w:pPr>
            <w:r w:rsidRPr="008D1B23">
              <w:rPr>
                <w:rFonts w:asciiTheme="minorHAnsi" w:hAnsiTheme="minorHAnsi"/>
                <w:i/>
                <w:iCs/>
                <w:szCs w:val="20"/>
              </w:rPr>
              <w:t>Required under clause 5(1) of Competition Principles Agreement</w:t>
            </w:r>
          </w:p>
        </w:tc>
        <w:tc>
          <w:tcPr>
            <w:tcW w:w="3142" w:type="dxa"/>
            <w:shd w:val="clear" w:color="auto" w:fill="F2F2F2" w:themeFill="background1" w:themeFillShade="F2"/>
          </w:tcPr>
          <w:p w:rsidR="00605D8D" w:rsidRPr="008D1B23" w:rsidRDefault="00605D8D" w:rsidP="00D72695">
            <w:pPr>
              <w:pStyle w:val="TableText"/>
              <w:spacing w:before="40" w:after="0"/>
              <w:rPr>
                <w:rFonts w:asciiTheme="minorHAnsi" w:hAnsiTheme="minorHAnsi" w:cs="Arial"/>
                <w:szCs w:val="20"/>
              </w:rPr>
            </w:pPr>
            <w:r w:rsidRPr="008D1B23">
              <w:rPr>
                <w:rFonts w:asciiTheme="minorHAnsi" w:hAnsiTheme="minorHAnsi" w:cs="Arial"/>
                <w:szCs w:val="20"/>
              </w:rPr>
              <w:t>Certifies that the proposed statutory rule:</w:t>
            </w:r>
          </w:p>
          <w:p w:rsidR="00605D8D" w:rsidRPr="008D1B23" w:rsidRDefault="00605D8D" w:rsidP="00D72695">
            <w:pPr>
              <w:pStyle w:val="TableText"/>
              <w:spacing w:before="40" w:after="0"/>
              <w:rPr>
                <w:rFonts w:asciiTheme="minorHAnsi" w:hAnsiTheme="minorHAnsi" w:cs="Arial"/>
                <w:szCs w:val="20"/>
              </w:rPr>
            </w:pPr>
            <w:r w:rsidRPr="008D1B23">
              <w:rPr>
                <w:rFonts w:asciiTheme="minorHAnsi" w:hAnsiTheme="minorHAnsi" w:cs="Arial"/>
                <w:szCs w:val="20"/>
              </w:rPr>
              <w:t>a) does not contain a restriction on competition; or</w:t>
            </w:r>
          </w:p>
          <w:p w:rsidR="00605D8D" w:rsidRPr="008D1B23" w:rsidRDefault="00605D8D" w:rsidP="00D72695">
            <w:pPr>
              <w:pStyle w:val="TableText"/>
              <w:spacing w:after="0"/>
              <w:rPr>
                <w:rFonts w:asciiTheme="minorHAnsi" w:hAnsiTheme="minorHAnsi" w:cs="Arial"/>
                <w:szCs w:val="20"/>
              </w:rPr>
            </w:pPr>
            <w:r w:rsidRPr="008D1B23">
              <w:rPr>
                <w:rFonts w:asciiTheme="minorHAnsi" w:hAnsiTheme="minorHAnsi" w:cs="Arial"/>
                <w:szCs w:val="20"/>
              </w:rPr>
              <w:t xml:space="preserve">b) does contain a restriction(s) but the objective can only be achieved by restricting competition, and benefits to the community outweigh costs </w:t>
            </w:r>
          </w:p>
        </w:tc>
        <w:tc>
          <w:tcPr>
            <w:tcW w:w="1775" w:type="dxa"/>
            <w:shd w:val="clear" w:color="auto" w:fill="F2F2F2" w:themeFill="background1" w:themeFillShade="F2"/>
          </w:tcPr>
          <w:p w:rsidR="00605D8D" w:rsidRPr="008D1B23" w:rsidRDefault="00605D8D" w:rsidP="00D72695">
            <w:pPr>
              <w:pStyle w:val="TableText"/>
              <w:spacing w:before="40" w:after="40"/>
              <w:rPr>
                <w:rFonts w:asciiTheme="minorHAnsi" w:hAnsiTheme="minorHAnsi" w:cs="Arial"/>
                <w:szCs w:val="20"/>
              </w:rPr>
            </w:pPr>
            <w:r w:rsidRPr="008D1B23">
              <w:rPr>
                <w:rFonts w:asciiTheme="minorHAnsi" w:hAnsiTheme="minorHAnsi" w:cs="Arial"/>
                <w:szCs w:val="20"/>
              </w:rPr>
              <w:t>Governor</w:t>
            </w:r>
            <w:r w:rsidRPr="008D1B23">
              <w:rPr>
                <w:rFonts w:asciiTheme="minorHAnsi" w:hAnsiTheme="minorHAnsi" w:cs="Arial"/>
                <w:szCs w:val="20"/>
              </w:rPr>
              <w:noBreakHyphen/>
              <w:t>in</w:t>
            </w:r>
            <w:r w:rsidRPr="008D1B23">
              <w:rPr>
                <w:rFonts w:asciiTheme="minorHAnsi" w:hAnsiTheme="minorHAnsi" w:cs="Arial"/>
                <w:szCs w:val="20"/>
              </w:rPr>
              <w:noBreakHyphen/>
              <w:t xml:space="preserve"> Council (via Clerk of the Executive Council)</w:t>
            </w:r>
          </w:p>
        </w:tc>
        <w:tc>
          <w:tcPr>
            <w:tcW w:w="1770" w:type="dxa"/>
            <w:shd w:val="clear" w:color="auto" w:fill="F2F2F2" w:themeFill="background1" w:themeFillShade="F2"/>
          </w:tcPr>
          <w:p w:rsidR="00605D8D" w:rsidRPr="008D1B23" w:rsidRDefault="00605D8D" w:rsidP="00D72695">
            <w:pPr>
              <w:pStyle w:val="TableText"/>
              <w:spacing w:before="40" w:after="40"/>
              <w:rPr>
                <w:rFonts w:asciiTheme="minorHAnsi" w:hAnsiTheme="minorHAnsi" w:cs="Arial"/>
                <w:szCs w:val="20"/>
              </w:rPr>
            </w:pPr>
            <w:r w:rsidRPr="008D1B23">
              <w:rPr>
                <w:rFonts w:asciiTheme="minorHAnsi" w:hAnsiTheme="minorHAnsi" w:cs="Arial"/>
                <w:szCs w:val="20"/>
              </w:rPr>
              <w:t>When proposed statutory rule is submitted to the Governor in Council</w:t>
            </w:r>
          </w:p>
        </w:tc>
      </w:tr>
    </w:tbl>
    <w:p w:rsidR="00605D8D" w:rsidRPr="00D72695" w:rsidRDefault="00605D8D" w:rsidP="00D72695">
      <w:pPr>
        <w:pStyle w:val="NoteNormal"/>
      </w:pPr>
      <w:r w:rsidRPr="00D72695">
        <w:t>Notes:</w:t>
      </w:r>
    </w:p>
    <w:p w:rsidR="00605D8D" w:rsidRPr="00D72695" w:rsidRDefault="00605D8D" w:rsidP="00D72695">
      <w:pPr>
        <w:pStyle w:val="NoteNormal"/>
        <w:ind w:left="1080" w:hanging="286"/>
      </w:pPr>
      <w:r w:rsidRPr="00D72695">
        <w:t xml:space="preserve">* </w:t>
      </w:r>
      <w:r w:rsidRPr="00D72695">
        <w:tab/>
        <w:t xml:space="preserve">Or within 10 working days after the establishment of SARC, whichever is the later. </w:t>
      </w:r>
    </w:p>
    <w:p w:rsidR="00605D8D" w:rsidRPr="00D72695" w:rsidRDefault="00605D8D" w:rsidP="00D72695">
      <w:pPr>
        <w:pStyle w:val="NoteNormal"/>
        <w:ind w:left="1080" w:hanging="286"/>
      </w:pPr>
      <w:proofErr w:type="gramStart"/>
      <w:r w:rsidRPr="00D72695">
        <w:t>#</w:t>
      </w:r>
      <w:r w:rsidRPr="00D72695">
        <w:tab/>
        <w:t>See sections 15 and 16B of the SLA.</w:t>
      </w:r>
      <w:proofErr w:type="gramEnd"/>
    </w:p>
    <w:p w:rsidR="00605D8D" w:rsidRPr="00D72695" w:rsidRDefault="00605D8D" w:rsidP="00D72695">
      <w:pPr>
        <w:pStyle w:val="NoteNormal"/>
        <w:ind w:left="1080" w:hanging="286"/>
      </w:pPr>
      <w:r w:rsidRPr="00D72695">
        <w:t>†</w:t>
      </w:r>
      <w:r w:rsidRPr="00D72695">
        <w:tab/>
        <w:t xml:space="preserve">The Office of the Chief Parliamentary Counsel also issues </w:t>
      </w:r>
      <w:r w:rsidR="00D72695" w:rsidRPr="00D72695">
        <w:t>‘</w:t>
      </w:r>
      <w:r w:rsidRPr="00D72695">
        <w:t>Notes for Guidance: The Preparation of Statutory Rules</w:t>
      </w:r>
      <w:r w:rsidR="00D72695" w:rsidRPr="00D72695">
        <w:t>’</w:t>
      </w:r>
      <w:r w:rsidRPr="00D72695">
        <w:t xml:space="preserve"> which provide more detail on </w:t>
      </w:r>
      <w:r w:rsidR="00D13659">
        <w:t>section </w:t>
      </w:r>
      <w:r w:rsidRPr="00D72695">
        <w:t>13 certificates.</w:t>
      </w:r>
    </w:p>
    <w:p w:rsidR="00605D8D" w:rsidRDefault="00605D8D" w:rsidP="00605D8D">
      <w:pPr>
        <w:pStyle w:val="Heading3NoNum"/>
      </w:pPr>
      <w:r>
        <w:br w:type="page"/>
      </w:r>
      <w:r w:rsidRPr="00EE406F">
        <w:rPr>
          <w:color w:val="004EA8"/>
        </w:rPr>
        <w:t>Documents to be submitted to the Clerk of the Executive Council</w:t>
      </w:r>
    </w:p>
    <w:p w:rsidR="00605D8D" w:rsidRPr="00EE406F" w:rsidRDefault="00605D8D" w:rsidP="00605D8D">
      <w:pPr>
        <w:rPr>
          <w:sz w:val="20"/>
          <w:szCs w:val="20"/>
        </w:rPr>
      </w:pPr>
      <w:r w:rsidRPr="00EE406F">
        <w:rPr>
          <w:sz w:val="20"/>
          <w:szCs w:val="20"/>
        </w:rPr>
        <w:t xml:space="preserve">If the enabling legislation for a statutory rule requires that it be made by, or with the approval or consent of, the Governor in Council, the following documents must be submitted to the Clerk of the Executive Council before the statutory rule can be made. </w:t>
      </w:r>
    </w:p>
    <w:tbl>
      <w:tblPr>
        <w:tblW w:w="8370" w:type="dxa"/>
        <w:tblInd w:w="835" w:type="dxa"/>
        <w:tblBorders>
          <w:top w:val="single" w:sz="4" w:space="0" w:color="auto"/>
          <w:bottom w:val="single" w:sz="4" w:space="0" w:color="auto"/>
          <w:insideH w:val="single" w:sz="4" w:space="0" w:color="auto"/>
        </w:tblBorders>
        <w:tblLayout w:type="fixed"/>
        <w:tblCellMar>
          <w:left w:w="43" w:type="dxa"/>
          <w:right w:w="43" w:type="dxa"/>
        </w:tblCellMar>
        <w:tblLook w:val="01E0" w:firstRow="1" w:lastRow="1" w:firstColumn="1" w:lastColumn="1" w:noHBand="0" w:noVBand="0"/>
      </w:tblPr>
      <w:tblGrid>
        <w:gridCol w:w="5328"/>
        <w:gridCol w:w="1642"/>
        <w:gridCol w:w="1400"/>
      </w:tblGrid>
      <w:tr w:rsidR="00DE4E32" w:rsidRPr="00EE406F" w:rsidTr="00DE4E32">
        <w:trPr>
          <w:cantSplit/>
          <w:trHeight w:val="558"/>
        </w:trPr>
        <w:tc>
          <w:tcPr>
            <w:tcW w:w="5328" w:type="dxa"/>
            <w:shd w:val="clear" w:color="auto" w:fill="009CA6"/>
            <w:vAlign w:val="bottom"/>
          </w:tcPr>
          <w:p w:rsidR="00605D8D" w:rsidRPr="00DE4E32" w:rsidRDefault="00605D8D" w:rsidP="00D71A51">
            <w:pPr>
              <w:pStyle w:val="TableHeader"/>
              <w:rPr>
                <w:rFonts w:asciiTheme="minorHAnsi" w:hAnsiTheme="minorHAnsi"/>
                <w:b/>
                <w:color w:val="FFFFFF" w:themeColor="background1"/>
                <w:sz w:val="20"/>
                <w:szCs w:val="20"/>
              </w:rPr>
            </w:pPr>
            <w:r w:rsidRPr="00DE4E32">
              <w:rPr>
                <w:rFonts w:asciiTheme="minorHAnsi" w:hAnsiTheme="minorHAnsi"/>
                <w:b/>
                <w:color w:val="FFFFFF" w:themeColor="background1"/>
                <w:sz w:val="20"/>
                <w:szCs w:val="20"/>
              </w:rPr>
              <w:t>Document</w:t>
            </w:r>
          </w:p>
        </w:tc>
        <w:tc>
          <w:tcPr>
            <w:tcW w:w="1642" w:type="dxa"/>
            <w:shd w:val="clear" w:color="auto" w:fill="009CA6"/>
          </w:tcPr>
          <w:p w:rsidR="00605D8D" w:rsidRPr="00DE4E32" w:rsidRDefault="00605D8D" w:rsidP="00D71A51">
            <w:pPr>
              <w:pStyle w:val="TableHeader"/>
              <w:jc w:val="center"/>
              <w:rPr>
                <w:rFonts w:asciiTheme="minorHAnsi" w:hAnsiTheme="minorHAnsi"/>
                <w:b/>
                <w:color w:val="FFFFFF" w:themeColor="background1"/>
                <w:sz w:val="20"/>
                <w:szCs w:val="20"/>
              </w:rPr>
            </w:pPr>
            <w:r w:rsidRPr="00DE4E32">
              <w:rPr>
                <w:rFonts w:asciiTheme="minorHAnsi" w:hAnsiTheme="minorHAnsi"/>
                <w:b/>
                <w:color w:val="FFFFFF" w:themeColor="background1"/>
                <w:sz w:val="20"/>
                <w:szCs w:val="20"/>
              </w:rPr>
              <w:t>Statutory rule – with RIS</w:t>
            </w:r>
          </w:p>
        </w:tc>
        <w:tc>
          <w:tcPr>
            <w:tcW w:w="1400" w:type="dxa"/>
            <w:shd w:val="clear" w:color="auto" w:fill="009CA6"/>
          </w:tcPr>
          <w:p w:rsidR="00605D8D" w:rsidRPr="00DE4E32" w:rsidRDefault="00605D8D" w:rsidP="00D71A51">
            <w:pPr>
              <w:pStyle w:val="TableHeader"/>
              <w:jc w:val="center"/>
              <w:rPr>
                <w:rFonts w:asciiTheme="minorHAnsi" w:hAnsiTheme="minorHAnsi"/>
                <w:b/>
                <w:color w:val="FFFFFF" w:themeColor="background1"/>
                <w:sz w:val="20"/>
                <w:szCs w:val="20"/>
              </w:rPr>
            </w:pPr>
            <w:r w:rsidRPr="00DE4E32">
              <w:rPr>
                <w:rFonts w:asciiTheme="minorHAnsi" w:hAnsiTheme="minorHAnsi"/>
                <w:b/>
                <w:color w:val="FFFFFF" w:themeColor="background1"/>
                <w:sz w:val="20"/>
                <w:szCs w:val="20"/>
              </w:rPr>
              <w:t>Statutory rule – no RIS</w:t>
            </w:r>
          </w:p>
        </w:tc>
      </w:tr>
      <w:tr w:rsidR="00605D8D" w:rsidRPr="00EE406F" w:rsidTr="00584FDB">
        <w:trPr>
          <w:cantSplit/>
          <w:trHeight w:val="283"/>
        </w:trPr>
        <w:tc>
          <w:tcPr>
            <w:tcW w:w="5328" w:type="dxa"/>
            <w:shd w:val="clear" w:color="auto" w:fill="auto"/>
          </w:tcPr>
          <w:p w:rsidR="00605D8D" w:rsidRPr="00EE406F" w:rsidRDefault="00605D8D" w:rsidP="00D71A51">
            <w:pPr>
              <w:pStyle w:val="TableText"/>
              <w:rPr>
                <w:rFonts w:asciiTheme="minorHAnsi" w:hAnsiTheme="minorHAnsi"/>
                <w:szCs w:val="20"/>
              </w:rPr>
            </w:pPr>
            <w:r w:rsidRPr="00EE406F">
              <w:rPr>
                <w:rFonts w:asciiTheme="minorHAnsi" w:hAnsiTheme="minorHAnsi"/>
                <w:szCs w:val="20"/>
              </w:rPr>
              <w:t>Agenda sheet</w:t>
            </w:r>
          </w:p>
        </w:tc>
        <w:tc>
          <w:tcPr>
            <w:tcW w:w="1642"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p>
        </w:tc>
        <w:tc>
          <w:tcPr>
            <w:tcW w:w="140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p>
        </w:tc>
      </w:tr>
      <w:tr w:rsidR="00605D8D" w:rsidRPr="00EE406F" w:rsidTr="00584FDB">
        <w:trPr>
          <w:cantSplit/>
          <w:trHeight w:val="405"/>
        </w:trPr>
        <w:tc>
          <w:tcPr>
            <w:tcW w:w="5328" w:type="dxa"/>
            <w:shd w:val="clear" w:color="auto" w:fill="auto"/>
          </w:tcPr>
          <w:p w:rsidR="00605D8D" w:rsidRPr="00EE406F" w:rsidRDefault="00605D8D" w:rsidP="00D71A51">
            <w:pPr>
              <w:pStyle w:val="TableText"/>
              <w:rPr>
                <w:rFonts w:asciiTheme="minorHAnsi" w:hAnsiTheme="minorHAnsi"/>
                <w:szCs w:val="20"/>
              </w:rPr>
            </w:pPr>
            <w:r w:rsidRPr="00EE406F">
              <w:rPr>
                <w:rFonts w:asciiTheme="minorHAnsi" w:hAnsiTheme="minorHAnsi"/>
                <w:szCs w:val="20"/>
              </w:rPr>
              <w:t>Minister’s recommendation</w:t>
            </w:r>
          </w:p>
        </w:tc>
        <w:tc>
          <w:tcPr>
            <w:tcW w:w="1642"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p>
        </w:tc>
        <w:tc>
          <w:tcPr>
            <w:tcW w:w="140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p>
        </w:tc>
      </w:tr>
      <w:tr w:rsidR="00605D8D" w:rsidRPr="00EE406F" w:rsidTr="00584FDB">
        <w:trPr>
          <w:cantSplit/>
        </w:trPr>
        <w:tc>
          <w:tcPr>
            <w:tcW w:w="5328" w:type="dxa"/>
            <w:shd w:val="clear" w:color="auto" w:fill="auto"/>
          </w:tcPr>
          <w:p w:rsidR="00605D8D" w:rsidRPr="00EE406F" w:rsidRDefault="00D13659" w:rsidP="00D71A51">
            <w:pPr>
              <w:pStyle w:val="TableText"/>
              <w:rPr>
                <w:rFonts w:asciiTheme="minorHAnsi" w:hAnsiTheme="minorHAnsi"/>
                <w:szCs w:val="20"/>
              </w:rPr>
            </w:pPr>
            <w:r w:rsidRPr="00EE406F">
              <w:rPr>
                <w:rFonts w:asciiTheme="minorHAnsi" w:hAnsiTheme="minorHAnsi"/>
                <w:szCs w:val="20"/>
              </w:rPr>
              <w:t>Section </w:t>
            </w:r>
            <w:r w:rsidR="00605D8D" w:rsidRPr="00EE406F">
              <w:rPr>
                <w:rFonts w:asciiTheme="minorHAnsi" w:hAnsiTheme="minorHAnsi"/>
                <w:szCs w:val="20"/>
              </w:rPr>
              <w:t>13 certificate, issued by the Chief Parliamentary Counsel (with the proposed rule attached)</w:t>
            </w:r>
          </w:p>
        </w:tc>
        <w:tc>
          <w:tcPr>
            <w:tcW w:w="1642"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p>
        </w:tc>
        <w:tc>
          <w:tcPr>
            <w:tcW w:w="140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p>
        </w:tc>
      </w:tr>
      <w:tr w:rsidR="00605D8D" w:rsidRPr="00EE406F" w:rsidTr="00584FDB">
        <w:trPr>
          <w:cantSplit/>
        </w:trPr>
        <w:tc>
          <w:tcPr>
            <w:tcW w:w="5328" w:type="dxa"/>
            <w:shd w:val="clear" w:color="auto" w:fill="auto"/>
          </w:tcPr>
          <w:p w:rsidR="00605D8D" w:rsidRPr="00EE406F" w:rsidRDefault="00605D8D" w:rsidP="00D71A51">
            <w:pPr>
              <w:pStyle w:val="TableText"/>
              <w:rPr>
                <w:rFonts w:asciiTheme="minorHAnsi" w:hAnsiTheme="minorHAnsi"/>
                <w:szCs w:val="20"/>
              </w:rPr>
            </w:pPr>
            <w:r w:rsidRPr="00EE406F">
              <w:rPr>
                <w:rFonts w:asciiTheme="minorHAnsi" w:hAnsiTheme="minorHAnsi"/>
                <w:szCs w:val="20"/>
              </w:rPr>
              <w:t xml:space="preserve">Three copies of the proposed statutory rule (these must be identical to the copy to which the </w:t>
            </w:r>
            <w:r w:rsidR="00D13659" w:rsidRPr="00EE406F">
              <w:rPr>
                <w:rFonts w:asciiTheme="minorHAnsi" w:hAnsiTheme="minorHAnsi"/>
                <w:szCs w:val="20"/>
              </w:rPr>
              <w:t>section </w:t>
            </w:r>
            <w:r w:rsidRPr="00EE406F">
              <w:rPr>
                <w:rFonts w:asciiTheme="minorHAnsi" w:hAnsiTheme="minorHAnsi"/>
                <w:szCs w:val="20"/>
              </w:rPr>
              <w:t>13 certificate is attached)</w:t>
            </w:r>
          </w:p>
        </w:tc>
        <w:tc>
          <w:tcPr>
            <w:tcW w:w="1642"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p>
        </w:tc>
        <w:tc>
          <w:tcPr>
            <w:tcW w:w="140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p>
        </w:tc>
      </w:tr>
      <w:tr w:rsidR="00605D8D" w:rsidRPr="00EE406F" w:rsidTr="00584FDB">
        <w:trPr>
          <w:cantSplit/>
        </w:trPr>
        <w:tc>
          <w:tcPr>
            <w:tcW w:w="5328" w:type="dxa"/>
            <w:shd w:val="clear" w:color="auto" w:fill="auto"/>
          </w:tcPr>
          <w:p w:rsidR="00605D8D" w:rsidRPr="00EE406F" w:rsidRDefault="00605D8D" w:rsidP="00D71A51">
            <w:pPr>
              <w:pStyle w:val="TableText"/>
              <w:rPr>
                <w:rFonts w:asciiTheme="minorHAnsi" w:hAnsiTheme="minorHAnsi"/>
                <w:szCs w:val="20"/>
              </w:rPr>
            </w:pPr>
            <w:r w:rsidRPr="00EE406F">
              <w:rPr>
                <w:rFonts w:asciiTheme="minorHAnsi" w:hAnsiTheme="minorHAnsi"/>
                <w:szCs w:val="20"/>
              </w:rPr>
              <w:t xml:space="preserve">Copy of </w:t>
            </w:r>
            <w:r w:rsidR="00D13659" w:rsidRPr="00EE406F">
              <w:rPr>
                <w:rFonts w:asciiTheme="minorHAnsi" w:hAnsiTheme="minorHAnsi"/>
                <w:szCs w:val="20"/>
              </w:rPr>
              <w:t>section </w:t>
            </w:r>
            <w:r w:rsidRPr="00EE406F">
              <w:rPr>
                <w:rFonts w:asciiTheme="minorHAnsi" w:hAnsiTheme="minorHAnsi"/>
                <w:szCs w:val="20"/>
              </w:rPr>
              <w:t>6 consultation certificate</w:t>
            </w:r>
          </w:p>
        </w:tc>
        <w:tc>
          <w:tcPr>
            <w:tcW w:w="1642"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p>
        </w:tc>
        <w:tc>
          <w:tcPr>
            <w:tcW w:w="140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p>
        </w:tc>
      </w:tr>
      <w:tr w:rsidR="00605D8D" w:rsidRPr="00EE406F" w:rsidTr="00584FDB">
        <w:trPr>
          <w:cantSplit/>
        </w:trPr>
        <w:tc>
          <w:tcPr>
            <w:tcW w:w="5328" w:type="dxa"/>
            <w:shd w:val="clear" w:color="auto" w:fill="auto"/>
          </w:tcPr>
          <w:p w:rsidR="00605D8D" w:rsidRPr="00EE406F" w:rsidRDefault="00605D8D" w:rsidP="00D71A51">
            <w:pPr>
              <w:pStyle w:val="TableText"/>
              <w:rPr>
                <w:rFonts w:asciiTheme="minorHAnsi" w:hAnsiTheme="minorHAnsi"/>
                <w:szCs w:val="20"/>
              </w:rPr>
            </w:pPr>
            <w:r w:rsidRPr="00EE406F">
              <w:rPr>
                <w:rFonts w:asciiTheme="minorHAnsi" w:hAnsiTheme="minorHAnsi"/>
                <w:szCs w:val="20"/>
              </w:rPr>
              <w:t xml:space="preserve">Copy of </w:t>
            </w:r>
            <w:r w:rsidR="00D13659" w:rsidRPr="00EE406F">
              <w:rPr>
                <w:rFonts w:asciiTheme="minorHAnsi" w:hAnsiTheme="minorHAnsi"/>
                <w:szCs w:val="20"/>
              </w:rPr>
              <w:t>section </w:t>
            </w:r>
            <w:r w:rsidRPr="00EE406F">
              <w:rPr>
                <w:rFonts w:asciiTheme="minorHAnsi" w:hAnsiTheme="minorHAnsi"/>
                <w:szCs w:val="20"/>
              </w:rPr>
              <w:t>6A infringements offence consultation certificate (if proposed statutory rule provides for the enforcement of an offence by an infringement notice)</w:t>
            </w:r>
          </w:p>
        </w:tc>
        <w:tc>
          <w:tcPr>
            <w:tcW w:w="1642"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r w:rsidRPr="00EE406F">
              <w:rPr>
                <w:rFonts w:asciiTheme="minorHAnsi" w:hAnsiTheme="minorHAnsi"/>
                <w:szCs w:val="20"/>
              </w:rPr>
              <w:t xml:space="preserve"> </w:t>
            </w:r>
            <w:r w:rsidRPr="00EE406F">
              <w:rPr>
                <w:rFonts w:asciiTheme="minorHAnsi" w:hAnsiTheme="minorHAnsi"/>
                <w:szCs w:val="20"/>
              </w:rPr>
              <w:br/>
              <w:t>(relevant rules only)</w:t>
            </w:r>
          </w:p>
        </w:tc>
        <w:tc>
          <w:tcPr>
            <w:tcW w:w="140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r w:rsidRPr="00EE406F">
              <w:rPr>
                <w:rFonts w:asciiTheme="minorHAnsi" w:hAnsiTheme="minorHAnsi"/>
                <w:szCs w:val="20"/>
              </w:rPr>
              <w:br/>
              <w:t>(relevant rules only)</w:t>
            </w:r>
          </w:p>
        </w:tc>
      </w:tr>
      <w:tr w:rsidR="00DE4E32" w:rsidRPr="00EE406F" w:rsidTr="00DE4E32">
        <w:trPr>
          <w:cantSplit/>
        </w:trPr>
        <w:tc>
          <w:tcPr>
            <w:tcW w:w="5328" w:type="dxa"/>
            <w:shd w:val="clear" w:color="auto" w:fill="auto"/>
          </w:tcPr>
          <w:p w:rsidR="00605D8D" w:rsidRPr="00EE406F" w:rsidRDefault="00605D8D" w:rsidP="00D71A51">
            <w:pPr>
              <w:pStyle w:val="TableText"/>
              <w:rPr>
                <w:rFonts w:asciiTheme="minorHAnsi" w:hAnsiTheme="minorHAnsi"/>
                <w:szCs w:val="20"/>
              </w:rPr>
            </w:pPr>
            <w:r w:rsidRPr="00EE406F">
              <w:rPr>
                <w:rFonts w:asciiTheme="minorHAnsi" w:hAnsiTheme="minorHAnsi"/>
                <w:szCs w:val="20"/>
              </w:rPr>
              <w:t xml:space="preserve">Copy of RIS compliance certificate (under </w:t>
            </w:r>
            <w:r w:rsidR="00D13659" w:rsidRPr="00EE406F">
              <w:rPr>
                <w:rFonts w:asciiTheme="minorHAnsi" w:hAnsiTheme="minorHAnsi"/>
                <w:szCs w:val="20"/>
              </w:rPr>
              <w:t>section </w:t>
            </w:r>
            <w:r w:rsidRPr="00EE406F">
              <w:rPr>
                <w:rFonts w:asciiTheme="minorHAnsi" w:hAnsiTheme="minorHAnsi"/>
                <w:szCs w:val="20"/>
              </w:rPr>
              <w:t>10(4))</w:t>
            </w:r>
          </w:p>
        </w:tc>
        <w:tc>
          <w:tcPr>
            <w:tcW w:w="1642"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p>
        </w:tc>
        <w:tc>
          <w:tcPr>
            <w:tcW w:w="1400" w:type="dxa"/>
            <w:shd w:val="clear" w:color="auto" w:fill="F2F2F2" w:themeFill="background1" w:themeFillShade="F2"/>
          </w:tcPr>
          <w:p w:rsidR="00605D8D" w:rsidRPr="00EE406F" w:rsidRDefault="00605D8D" w:rsidP="00D72695">
            <w:pPr>
              <w:pStyle w:val="TableText"/>
              <w:jc w:val="center"/>
              <w:rPr>
                <w:rFonts w:asciiTheme="minorHAnsi" w:hAnsiTheme="minorHAnsi"/>
                <w:szCs w:val="20"/>
              </w:rPr>
            </w:pPr>
          </w:p>
        </w:tc>
      </w:tr>
      <w:tr w:rsidR="00DE4E32" w:rsidRPr="00EE406F" w:rsidTr="00DE4E32">
        <w:trPr>
          <w:cantSplit/>
        </w:trPr>
        <w:tc>
          <w:tcPr>
            <w:tcW w:w="5328" w:type="dxa"/>
            <w:shd w:val="clear" w:color="auto" w:fill="auto"/>
          </w:tcPr>
          <w:p w:rsidR="00605D8D" w:rsidRPr="00EE406F" w:rsidRDefault="00605D8D" w:rsidP="00D71A51">
            <w:pPr>
              <w:pStyle w:val="TableText"/>
              <w:rPr>
                <w:rFonts w:asciiTheme="minorHAnsi" w:hAnsiTheme="minorHAnsi"/>
                <w:szCs w:val="20"/>
              </w:rPr>
            </w:pPr>
            <w:r w:rsidRPr="00EE406F">
              <w:rPr>
                <w:rFonts w:asciiTheme="minorHAnsi" w:hAnsiTheme="minorHAnsi"/>
                <w:szCs w:val="20"/>
              </w:rPr>
              <w:t xml:space="preserve">Copy of RIS exemption certificate under </w:t>
            </w:r>
            <w:r w:rsidR="00D13659" w:rsidRPr="00EE406F">
              <w:rPr>
                <w:rFonts w:asciiTheme="minorHAnsi" w:hAnsiTheme="minorHAnsi"/>
                <w:szCs w:val="20"/>
              </w:rPr>
              <w:t>section </w:t>
            </w:r>
            <w:r w:rsidRPr="00EE406F">
              <w:rPr>
                <w:rFonts w:asciiTheme="minorHAnsi" w:hAnsiTheme="minorHAnsi"/>
                <w:szCs w:val="20"/>
              </w:rPr>
              <w:t>8 or 9.</w:t>
            </w:r>
          </w:p>
        </w:tc>
        <w:tc>
          <w:tcPr>
            <w:tcW w:w="1642" w:type="dxa"/>
            <w:shd w:val="clear" w:color="auto" w:fill="F2F2F2" w:themeFill="background1" w:themeFillShade="F2"/>
          </w:tcPr>
          <w:p w:rsidR="00605D8D" w:rsidRPr="00EE406F" w:rsidRDefault="00605D8D" w:rsidP="00D72695">
            <w:pPr>
              <w:pStyle w:val="TableText"/>
              <w:jc w:val="center"/>
              <w:rPr>
                <w:rFonts w:asciiTheme="minorHAnsi" w:hAnsiTheme="minorHAnsi"/>
                <w:szCs w:val="20"/>
              </w:rPr>
            </w:pPr>
          </w:p>
        </w:tc>
        <w:tc>
          <w:tcPr>
            <w:tcW w:w="140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p>
        </w:tc>
      </w:tr>
      <w:tr w:rsidR="00605D8D" w:rsidRPr="00EE406F" w:rsidTr="00584FDB">
        <w:trPr>
          <w:cantSplit/>
        </w:trPr>
        <w:tc>
          <w:tcPr>
            <w:tcW w:w="5328" w:type="dxa"/>
            <w:shd w:val="clear" w:color="auto" w:fill="auto"/>
          </w:tcPr>
          <w:p w:rsidR="00605D8D" w:rsidRPr="00EE406F" w:rsidRDefault="00605D8D" w:rsidP="00D71A51">
            <w:pPr>
              <w:pStyle w:val="TableText"/>
              <w:rPr>
                <w:rFonts w:asciiTheme="minorHAnsi" w:hAnsiTheme="minorHAnsi"/>
                <w:szCs w:val="20"/>
              </w:rPr>
            </w:pPr>
            <w:r w:rsidRPr="00EE406F">
              <w:rPr>
                <w:rFonts w:asciiTheme="minorHAnsi" w:hAnsiTheme="minorHAnsi"/>
                <w:szCs w:val="20"/>
              </w:rPr>
              <w:t xml:space="preserve">Copy of extension certificate and Premier’s certificate under </w:t>
            </w:r>
            <w:r w:rsidR="00D13659" w:rsidRPr="00EE406F">
              <w:rPr>
                <w:rFonts w:asciiTheme="minorHAnsi" w:hAnsiTheme="minorHAnsi"/>
                <w:szCs w:val="20"/>
              </w:rPr>
              <w:t>section </w:t>
            </w:r>
            <w:r w:rsidRPr="00EE406F">
              <w:rPr>
                <w:rFonts w:asciiTheme="minorHAnsi" w:hAnsiTheme="minorHAnsi"/>
                <w:szCs w:val="20"/>
              </w:rPr>
              <w:t>5A(3) (if proposed statutory rule is an extension regulation)</w:t>
            </w:r>
          </w:p>
        </w:tc>
        <w:tc>
          <w:tcPr>
            <w:tcW w:w="1642"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r w:rsidRPr="00EE406F">
              <w:rPr>
                <w:rFonts w:asciiTheme="minorHAnsi" w:hAnsiTheme="minorHAnsi"/>
                <w:szCs w:val="20"/>
              </w:rPr>
              <w:br/>
              <w:t>(extension rules only)</w:t>
            </w:r>
          </w:p>
        </w:tc>
        <w:tc>
          <w:tcPr>
            <w:tcW w:w="140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r w:rsidRPr="00EE406F">
              <w:rPr>
                <w:rFonts w:asciiTheme="minorHAnsi" w:hAnsiTheme="minorHAnsi"/>
                <w:szCs w:val="20"/>
              </w:rPr>
              <w:br/>
              <w:t>(extension rules only)</w:t>
            </w:r>
          </w:p>
        </w:tc>
      </w:tr>
      <w:tr w:rsidR="00605D8D" w:rsidRPr="00EE406F" w:rsidTr="00584FDB">
        <w:trPr>
          <w:cantSplit/>
        </w:trPr>
        <w:tc>
          <w:tcPr>
            <w:tcW w:w="5328" w:type="dxa"/>
            <w:shd w:val="clear" w:color="auto" w:fill="auto"/>
          </w:tcPr>
          <w:p w:rsidR="00605D8D" w:rsidRPr="00EE406F" w:rsidRDefault="00605D8D" w:rsidP="00D71A51">
            <w:pPr>
              <w:pStyle w:val="TableText"/>
              <w:rPr>
                <w:rFonts w:asciiTheme="minorHAnsi" w:hAnsiTheme="minorHAnsi"/>
                <w:szCs w:val="20"/>
              </w:rPr>
            </w:pPr>
            <w:r w:rsidRPr="00EE406F">
              <w:rPr>
                <w:rFonts w:asciiTheme="minorHAnsi" w:hAnsiTheme="minorHAnsi"/>
                <w:szCs w:val="20"/>
              </w:rPr>
              <w:t xml:space="preserve">Copy of human rights certificate (under </w:t>
            </w:r>
            <w:r w:rsidR="00D13659" w:rsidRPr="00EE406F">
              <w:rPr>
                <w:rFonts w:asciiTheme="minorHAnsi" w:hAnsiTheme="minorHAnsi"/>
                <w:szCs w:val="20"/>
              </w:rPr>
              <w:t>section </w:t>
            </w:r>
            <w:r w:rsidRPr="00EE406F">
              <w:rPr>
                <w:rFonts w:asciiTheme="minorHAnsi" w:hAnsiTheme="minorHAnsi"/>
                <w:szCs w:val="20"/>
              </w:rPr>
              <w:t xml:space="preserve">12A), or a copy of a human rights exemption certificate (under </w:t>
            </w:r>
            <w:r w:rsidR="00D13659" w:rsidRPr="00EE406F">
              <w:rPr>
                <w:rFonts w:asciiTheme="minorHAnsi" w:hAnsiTheme="minorHAnsi"/>
                <w:szCs w:val="20"/>
              </w:rPr>
              <w:t>section </w:t>
            </w:r>
            <w:proofErr w:type="gramStart"/>
            <w:r w:rsidRPr="00EE406F">
              <w:rPr>
                <w:rFonts w:asciiTheme="minorHAnsi" w:hAnsiTheme="minorHAnsi"/>
                <w:szCs w:val="20"/>
              </w:rPr>
              <w:t>12A(</w:t>
            </w:r>
            <w:proofErr w:type="gramEnd"/>
            <w:r w:rsidRPr="00EE406F">
              <w:rPr>
                <w:rFonts w:asciiTheme="minorHAnsi" w:hAnsiTheme="minorHAnsi"/>
                <w:szCs w:val="20"/>
              </w:rPr>
              <w:t>3).</w:t>
            </w:r>
          </w:p>
        </w:tc>
        <w:tc>
          <w:tcPr>
            <w:tcW w:w="1642"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p>
        </w:tc>
        <w:tc>
          <w:tcPr>
            <w:tcW w:w="140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p>
        </w:tc>
      </w:tr>
      <w:tr w:rsidR="00605D8D" w:rsidRPr="00EE406F" w:rsidTr="00584FDB">
        <w:trPr>
          <w:cantSplit/>
        </w:trPr>
        <w:tc>
          <w:tcPr>
            <w:tcW w:w="5328" w:type="dxa"/>
            <w:shd w:val="clear" w:color="auto" w:fill="auto"/>
          </w:tcPr>
          <w:p w:rsidR="00605D8D" w:rsidRPr="00EE406F" w:rsidRDefault="00605D8D" w:rsidP="00D71A51">
            <w:pPr>
              <w:pStyle w:val="TableText"/>
              <w:rPr>
                <w:rFonts w:asciiTheme="minorHAnsi" w:hAnsiTheme="minorHAnsi"/>
                <w:szCs w:val="20"/>
              </w:rPr>
            </w:pPr>
            <w:r w:rsidRPr="00EE406F">
              <w:rPr>
                <w:rFonts w:asciiTheme="minorHAnsi" w:hAnsiTheme="minorHAnsi"/>
                <w:szCs w:val="20"/>
              </w:rPr>
              <w:t>A copy of the recommendation if the proposed statutory rule is to be made on the recommendation of a Board, Committee, or body</w:t>
            </w:r>
          </w:p>
        </w:tc>
        <w:tc>
          <w:tcPr>
            <w:tcW w:w="1642"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p>
        </w:tc>
        <w:tc>
          <w:tcPr>
            <w:tcW w:w="140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p>
        </w:tc>
      </w:tr>
      <w:tr w:rsidR="00605D8D" w:rsidRPr="00EE406F" w:rsidTr="00584FDB">
        <w:trPr>
          <w:cantSplit/>
        </w:trPr>
        <w:tc>
          <w:tcPr>
            <w:tcW w:w="5328" w:type="dxa"/>
            <w:shd w:val="clear" w:color="auto" w:fill="auto"/>
          </w:tcPr>
          <w:p w:rsidR="00605D8D" w:rsidRPr="00EE406F" w:rsidRDefault="00605D8D" w:rsidP="00D71A51">
            <w:pPr>
              <w:pStyle w:val="TableText"/>
              <w:rPr>
                <w:rFonts w:asciiTheme="minorHAnsi" w:hAnsiTheme="minorHAnsi"/>
                <w:szCs w:val="20"/>
              </w:rPr>
            </w:pPr>
            <w:r w:rsidRPr="00EE406F">
              <w:rPr>
                <w:rFonts w:asciiTheme="minorHAnsi" w:hAnsiTheme="minorHAnsi"/>
                <w:szCs w:val="20"/>
              </w:rPr>
              <w:t>An explanatory memorandum for the statutory rule or legislative instrument which:</w:t>
            </w:r>
          </w:p>
          <w:p w:rsidR="00605D8D" w:rsidRPr="00EE406F" w:rsidRDefault="00605D8D" w:rsidP="00D72695">
            <w:pPr>
              <w:pStyle w:val="TableBullet"/>
              <w:rPr>
                <w:rFonts w:asciiTheme="minorHAnsi" w:hAnsiTheme="minorHAnsi"/>
                <w:szCs w:val="20"/>
              </w:rPr>
            </w:pPr>
            <w:r w:rsidRPr="00EE406F">
              <w:rPr>
                <w:rFonts w:asciiTheme="minorHAnsi" w:hAnsiTheme="minorHAnsi"/>
                <w:szCs w:val="20"/>
              </w:rPr>
              <w:t>details the purpose and operation of the rule; and</w:t>
            </w:r>
          </w:p>
          <w:p w:rsidR="00605D8D" w:rsidRPr="00EE406F" w:rsidRDefault="00605D8D" w:rsidP="00D72695">
            <w:pPr>
              <w:pStyle w:val="TableBullet"/>
              <w:rPr>
                <w:rFonts w:asciiTheme="minorHAnsi" w:hAnsiTheme="minorHAnsi"/>
                <w:szCs w:val="20"/>
              </w:rPr>
            </w:pPr>
            <w:r w:rsidRPr="00EE406F">
              <w:rPr>
                <w:rFonts w:asciiTheme="minorHAnsi" w:hAnsiTheme="minorHAnsi"/>
                <w:szCs w:val="20"/>
              </w:rPr>
              <w:t>if the rule amends or substitutes fees, sets out the previous fees (for the purposes of comparison)</w:t>
            </w:r>
          </w:p>
        </w:tc>
        <w:tc>
          <w:tcPr>
            <w:tcW w:w="1642"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p>
        </w:tc>
        <w:tc>
          <w:tcPr>
            <w:tcW w:w="140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p>
        </w:tc>
      </w:tr>
      <w:tr w:rsidR="00DE4E32" w:rsidRPr="00EE406F" w:rsidTr="00DE4E32">
        <w:trPr>
          <w:cantSplit/>
          <w:trHeight w:val="130"/>
        </w:trPr>
        <w:tc>
          <w:tcPr>
            <w:tcW w:w="5328" w:type="dxa"/>
            <w:shd w:val="clear" w:color="auto" w:fill="auto"/>
          </w:tcPr>
          <w:p w:rsidR="00605D8D" w:rsidRPr="00EE406F" w:rsidRDefault="00605D8D" w:rsidP="00D71A51">
            <w:pPr>
              <w:pStyle w:val="TableText"/>
              <w:rPr>
                <w:rFonts w:asciiTheme="minorHAnsi" w:hAnsiTheme="minorHAnsi"/>
                <w:szCs w:val="20"/>
              </w:rPr>
            </w:pPr>
            <w:r w:rsidRPr="00EE406F">
              <w:rPr>
                <w:rFonts w:asciiTheme="minorHAnsi" w:hAnsiTheme="minorHAnsi"/>
                <w:szCs w:val="20"/>
              </w:rPr>
              <w:t>A copy of the appropriate competition policy certificate</w:t>
            </w:r>
          </w:p>
        </w:tc>
        <w:tc>
          <w:tcPr>
            <w:tcW w:w="1642"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p>
        </w:tc>
        <w:tc>
          <w:tcPr>
            <w:tcW w:w="1400" w:type="dxa"/>
            <w:shd w:val="clear" w:color="auto" w:fill="F2F2F2" w:themeFill="background1" w:themeFillShade="F2"/>
          </w:tcPr>
          <w:p w:rsidR="00605D8D" w:rsidRPr="00EE406F" w:rsidRDefault="00605D8D" w:rsidP="00D72695">
            <w:pPr>
              <w:pStyle w:val="TableText"/>
              <w:jc w:val="center"/>
              <w:rPr>
                <w:rFonts w:asciiTheme="minorHAnsi" w:hAnsiTheme="minorHAnsi"/>
                <w:szCs w:val="20"/>
              </w:rPr>
            </w:pPr>
          </w:p>
        </w:tc>
      </w:tr>
    </w:tbl>
    <w:p w:rsidR="00D71A51" w:rsidRDefault="00D71A51" w:rsidP="00D71A51">
      <w:pPr>
        <w:pStyle w:val="Spacer"/>
      </w:pPr>
    </w:p>
    <w:p w:rsidR="002436EC" w:rsidRDefault="002436EC">
      <w:pPr>
        <w:spacing w:before="0" w:after="0"/>
        <w:ind w:left="0"/>
        <w:rPr>
          <w:b/>
          <w:color w:val="4D4D4D"/>
          <w:sz w:val="26"/>
          <w:lang w:eastAsia="en-US"/>
        </w:rPr>
      </w:pPr>
      <w:r>
        <w:br w:type="page"/>
      </w:r>
    </w:p>
    <w:p w:rsidR="00605D8D" w:rsidRPr="00EE406F" w:rsidRDefault="00605D8D" w:rsidP="00D71A51">
      <w:pPr>
        <w:pStyle w:val="Heading3NoNum"/>
        <w:rPr>
          <w:color w:val="004EA8"/>
        </w:rPr>
      </w:pPr>
      <w:r w:rsidRPr="00EE406F">
        <w:rPr>
          <w:color w:val="004EA8"/>
        </w:rPr>
        <w:t>Documents tabled in Parliament</w:t>
      </w:r>
    </w:p>
    <w:p w:rsidR="00D71A51" w:rsidRPr="00EE406F" w:rsidRDefault="00605D8D" w:rsidP="002436EC">
      <w:pPr>
        <w:rPr>
          <w:sz w:val="20"/>
          <w:szCs w:val="20"/>
        </w:rPr>
      </w:pPr>
      <w:r w:rsidRPr="00EE406F">
        <w:rPr>
          <w:sz w:val="20"/>
          <w:szCs w:val="20"/>
        </w:rPr>
        <w:t>On or before the 6</w:t>
      </w:r>
      <w:r w:rsidRPr="00EE406F">
        <w:rPr>
          <w:sz w:val="20"/>
          <w:szCs w:val="20"/>
          <w:vertAlign w:val="superscript"/>
        </w:rPr>
        <w:t>th</w:t>
      </w:r>
      <w:r w:rsidRPr="00EE406F">
        <w:rPr>
          <w:sz w:val="20"/>
          <w:szCs w:val="20"/>
        </w:rPr>
        <w:t xml:space="preserve"> sitting day after publication of the subordinate legislation or notice of its making has been published in the Government Gazette, a copy of the statutory rule or legislative instrument must be laid before </w:t>
      </w:r>
      <w:r w:rsidRPr="00EE406F">
        <w:rPr>
          <w:b/>
          <w:sz w:val="20"/>
          <w:szCs w:val="20"/>
        </w:rPr>
        <w:t>each</w:t>
      </w:r>
      <w:r w:rsidRPr="00EE406F">
        <w:rPr>
          <w:sz w:val="20"/>
          <w:szCs w:val="20"/>
        </w:rPr>
        <w:t xml:space="preserve"> </w:t>
      </w:r>
      <w:r w:rsidRPr="00EE406F">
        <w:rPr>
          <w:b/>
          <w:sz w:val="20"/>
          <w:szCs w:val="20"/>
        </w:rPr>
        <w:t>House of the Parliament</w:t>
      </w:r>
      <w:r w:rsidRPr="00EE406F">
        <w:rPr>
          <w:sz w:val="20"/>
          <w:szCs w:val="20"/>
        </w:rPr>
        <w:t xml:space="preserve"> along with the documents set out in the table below. Departments are responsible for arranging for the tabling of statutory rules and legislative instruments. </w:t>
      </w:r>
    </w:p>
    <w:p w:rsidR="00605D8D" w:rsidRPr="00EE406F" w:rsidRDefault="00605D8D" w:rsidP="00605D8D">
      <w:pPr>
        <w:rPr>
          <w:sz w:val="20"/>
          <w:szCs w:val="20"/>
        </w:rPr>
      </w:pPr>
      <w:r w:rsidRPr="00EE406F">
        <w:rPr>
          <w:sz w:val="20"/>
          <w:szCs w:val="20"/>
        </w:rPr>
        <w:t>As soon as possible after being laid, a copy of the statutory rule or legislative instrument must be posted or delivered to each Member of Parliament who has requested a copy of that statutory rule or legislative instrument.</w:t>
      </w:r>
    </w:p>
    <w:tbl>
      <w:tblPr>
        <w:tblW w:w="8568" w:type="dxa"/>
        <w:tblInd w:w="835" w:type="dxa"/>
        <w:tblBorders>
          <w:top w:val="single" w:sz="4" w:space="0" w:color="auto"/>
          <w:bottom w:val="single" w:sz="4" w:space="0" w:color="auto"/>
          <w:insideH w:val="single" w:sz="4" w:space="0" w:color="auto"/>
        </w:tblBorders>
        <w:tblLayout w:type="fixed"/>
        <w:tblCellMar>
          <w:left w:w="43" w:type="dxa"/>
          <w:right w:w="43" w:type="dxa"/>
        </w:tblCellMar>
        <w:tblLook w:val="0000" w:firstRow="0" w:lastRow="0" w:firstColumn="0" w:lastColumn="0" w:noHBand="0" w:noVBand="0"/>
      </w:tblPr>
      <w:tblGrid>
        <w:gridCol w:w="3438"/>
        <w:gridCol w:w="1170"/>
        <w:gridCol w:w="1170"/>
        <w:gridCol w:w="1440"/>
        <w:gridCol w:w="1350"/>
      </w:tblGrid>
      <w:tr w:rsidR="00605D8D" w:rsidRPr="00EE406F" w:rsidTr="00DE4E32">
        <w:tc>
          <w:tcPr>
            <w:tcW w:w="3438" w:type="dxa"/>
            <w:shd w:val="clear" w:color="auto" w:fill="009CA6"/>
            <w:vAlign w:val="bottom"/>
          </w:tcPr>
          <w:p w:rsidR="00605D8D" w:rsidRPr="00DE4E32" w:rsidRDefault="00605D8D" w:rsidP="00D71A51">
            <w:pPr>
              <w:pStyle w:val="TableHeader"/>
              <w:rPr>
                <w:rFonts w:asciiTheme="minorHAnsi" w:hAnsiTheme="minorHAnsi"/>
                <w:b/>
                <w:color w:val="FFFFFF" w:themeColor="background1"/>
                <w:sz w:val="20"/>
                <w:szCs w:val="20"/>
              </w:rPr>
            </w:pPr>
            <w:r w:rsidRPr="00DE4E32">
              <w:rPr>
                <w:rFonts w:asciiTheme="minorHAnsi" w:hAnsiTheme="minorHAnsi"/>
                <w:b/>
                <w:color w:val="FFFFFF" w:themeColor="background1"/>
                <w:sz w:val="20"/>
                <w:szCs w:val="20"/>
              </w:rPr>
              <w:t xml:space="preserve">Document </w:t>
            </w:r>
          </w:p>
        </w:tc>
        <w:tc>
          <w:tcPr>
            <w:tcW w:w="1170" w:type="dxa"/>
            <w:shd w:val="clear" w:color="auto" w:fill="009CA6"/>
            <w:vAlign w:val="bottom"/>
          </w:tcPr>
          <w:p w:rsidR="00605D8D" w:rsidRPr="00DE4E32" w:rsidRDefault="00605D8D" w:rsidP="00D71A51">
            <w:pPr>
              <w:pStyle w:val="TableHeader"/>
              <w:rPr>
                <w:rFonts w:asciiTheme="minorHAnsi" w:hAnsiTheme="minorHAnsi"/>
                <w:b/>
                <w:color w:val="FFFFFF" w:themeColor="background1"/>
                <w:sz w:val="20"/>
                <w:szCs w:val="20"/>
              </w:rPr>
            </w:pPr>
            <w:r w:rsidRPr="00DE4E32">
              <w:rPr>
                <w:rFonts w:asciiTheme="minorHAnsi" w:hAnsiTheme="minorHAnsi"/>
                <w:b/>
                <w:color w:val="FFFFFF" w:themeColor="background1"/>
                <w:sz w:val="20"/>
                <w:szCs w:val="20"/>
              </w:rPr>
              <w:t>Statutory rule – with RIS</w:t>
            </w:r>
          </w:p>
        </w:tc>
        <w:tc>
          <w:tcPr>
            <w:tcW w:w="1170" w:type="dxa"/>
            <w:shd w:val="clear" w:color="auto" w:fill="009CA6"/>
            <w:vAlign w:val="bottom"/>
          </w:tcPr>
          <w:p w:rsidR="00605D8D" w:rsidRPr="00DE4E32" w:rsidRDefault="00605D8D" w:rsidP="00D71A51">
            <w:pPr>
              <w:pStyle w:val="TableHeader"/>
              <w:rPr>
                <w:rFonts w:asciiTheme="minorHAnsi" w:hAnsiTheme="minorHAnsi"/>
                <w:b/>
                <w:color w:val="FFFFFF" w:themeColor="background1"/>
                <w:sz w:val="20"/>
                <w:szCs w:val="20"/>
              </w:rPr>
            </w:pPr>
            <w:r w:rsidRPr="00DE4E32">
              <w:rPr>
                <w:rFonts w:asciiTheme="minorHAnsi" w:hAnsiTheme="minorHAnsi"/>
                <w:b/>
                <w:color w:val="FFFFFF" w:themeColor="background1"/>
                <w:sz w:val="20"/>
                <w:szCs w:val="20"/>
              </w:rPr>
              <w:t>Statutory rule – no RIS</w:t>
            </w:r>
          </w:p>
        </w:tc>
        <w:tc>
          <w:tcPr>
            <w:tcW w:w="1440" w:type="dxa"/>
            <w:shd w:val="clear" w:color="auto" w:fill="009CA6"/>
            <w:vAlign w:val="bottom"/>
          </w:tcPr>
          <w:p w:rsidR="00605D8D" w:rsidRPr="00DE4E32" w:rsidRDefault="00D71A51" w:rsidP="00D71A51">
            <w:pPr>
              <w:pStyle w:val="TableHeader"/>
              <w:rPr>
                <w:rFonts w:asciiTheme="minorHAnsi" w:hAnsiTheme="minorHAnsi"/>
                <w:b/>
                <w:color w:val="FFFFFF" w:themeColor="background1"/>
                <w:sz w:val="20"/>
                <w:szCs w:val="20"/>
              </w:rPr>
            </w:pPr>
            <w:r w:rsidRPr="00DE4E32">
              <w:rPr>
                <w:rFonts w:asciiTheme="minorHAnsi" w:hAnsiTheme="minorHAnsi"/>
                <w:b/>
                <w:color w:val="FFFFFF" w:themeColor="background1"/>
                <w:sz w:val="20"/>
                <w:szCs w:val="20"/>
              </w:rPr>
              <w:t xml:space="preserve">Legislative instrument </w:t>
            </w:r>
            <w:r w:rsidR="00605D8D" w:rsidRPr="00DE4E32">
              <w:rPr>
                <w:rFonts w:asciiTheme="minorHAnsi" w:hAnsiTheme="minorHAnsi"/>
                <w:b/>
                <w:color w:val="FFFFFF" w:themeColor="background1"/>
                <w:sz w:val="20"/>
                <w:szCs w:val="20"/>
              </w:rPr>
              <w:t>– with RIS</w:t>
            </w:r>
          </w:p>
        </w:tc>
        <w:tc>
          <w:tcPr>
            <w:tcW w:w="1350" w:type="dxa"/>
            <w:shd w:val="clear" w:color="auto" w:fill="009CA6"/>
            <w:vAlign w:val="bottom"/>
          </w:tcPr>
          <w:p w:rsidR="00605D8D" w:rsidRPr="00DE4E32" w:rsidRDefault="00605D8D" w:rsidP="00D71A51">
            <w:pPr>
              <w:pStyle w:val="TableHeader"/>
              <w:rPr>
                <w:rFonts w:asciiTheme="minorHAnsi" w:hAnsiTheme="minorHAnsi"/>
                <w:b/>
                <w:color w:val="FFFFFF" w:themeColor="background1"/>
                <w:sz w:val="20"/>
                <w:szCs w:val="20"/>
              </w:rPr>
            </w:pPr>
            <w:r w:rsidRPr="00DE4E32">
              <w:rPr>
                <w:rFonts w:asciiTheme="minorHAnsi" w:hAnsiTheme="minorHAnsi"/>
                <w:b/>
                <w:color w:val="FFFFFF" w:themeColor="background1"/>
                <w:sz w:val="20"/>
                <w:szCs w:val="20"/>
              </w:rPr>
              <w:t>Legislative instrument – no RIS</w:t>
            </w:r>
          </w:p>
        </w:tc>
      </w:tr>
      <w:tr w:rsidR="00605D8D" w:rsidRPr="00EE406F" w:rsidTr="00584FDB">
        <w:tc>
          <w:tcPr>
            <w:tcW w:w="3438" w:type="dxa"/>
          </w:tcPr>
          <w:p w:rsidR="00605D8D" w:rsidRPr="00EE406F" w:rsidRDefault="00605D8D" w:rsidP="00D72695">
            <w:pPr>
              <w:pStyle w:val="TableText"/>
              <w:rPr>
                <w:rFonts w:asciiTheme="minorHAnsi" w:hAnsiTheme="minorHAnsi"/>
                <w:szCs w:val="20"/>
              </w:rPr>
            </w:pPr>
            <w:r w:rsidRPr="00EE406F">
              <w:rPr>
                <w:rFonts w:asciiTheme="minorHAnsi" w:hAnsiTheme="minorHAnsi"/>
                <w:szCs w:val="20"/>
              </w:rPr>
              <w:t>Copy of the statutory rule or legislative instrument</w:t>
            </w:r>
          </w:p>
        </w:tc>
        <w:tc>
          <w:tcPr>
            <w:tcW w:w="1170" w:type="dxa"/>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p>
        </w:tc>
        <w:tc>
          <w:tcPr>
            <w:tcW w:w="1170" w:type="dxa"/>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p>
        </w:tc>
        <w:tc>
          <w:tcPr>
            <w:tcW w:w="1440" w:type="dxa"/>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p>
        </w:tc>
        <w:tc>
          <w:tcPr>
            <w:tcW w:w="1350" w:type="dxa"/>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p>
        </w:tc>
      </w:tr>
      <w:tr w:rsidR="00605D8D" w:rsidRPr="00EE406F" w:rsidTr="00DE4E32">
        <w:tc>
          <w:tcPr>
            <w:tcW w:w="3438" w:type="dxa"/>
          </w:tcPr>
          <w:p w:rsidR="00605D8D" w:rsidRPr="00EE406F" w:rsidRDefault="00605D8D" w:rsidP="00D72695">
            <w:pPr>
              <w:pStyle w:val="TableText"/>
              <w:rPr>
                <w:rFonts w:asciiTheme="minorHAnsi" w:hAnsiTheme="minorHAnsi"/>
                <w:szCs w:val="20"/>
              </w:rPr>
            </w:pPr>
            <w:r w:rsidRPr="00EE406F">
              <w:rPr>
                <w:rFonts w:asciiTheme="minorHAnsi" w:hAnsiTheme="minorHAnsi"/>
                <w:szCs w:val="20"/>
              </w:rPr>
              <w:t xml:space="preserve">Copy of the </w:t>
            </w:r>
            <w:r w:rsidR="00D13659" w:rsidRPr="00EE406F">
              <w:rPr>
                <w:rFonts w:asciiTheme="minorHAnsi" w:hAnsiTheme="minorHAnsi"/>
                <w:szCs w:val="20"/>
              </w:rPr>
              <w:t>section </w:t>
            </w:r>
            <w:r w:rsidRPr="00EE406F">
              <w:rPr>
                <w:rFonts w:asciiTheme="minorHAnsi" w:hAnsiTheme="minorHAnsi"/>
                <w:szCs w:val="20"/>
              </w:rPr>
              <w:t>13 certificate of the Chief Parliamentary Counsel</w:t>
            </w:r>
          </w:p>
        </w:tc>
        <w:tc>
          <w:tcPr>
            <w:tcW w:w="1170" w:type="dxa"/>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p>
        </w:tc>
        <w:tc>
          <w:tcPr>
            <w:tcW w:w="1170" w:type="dxa"/>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p>
        </w:tc>
        <w:tc>
          <w:tcPr>
            <w:tcW w:w="1440" w:type="dxa"/>
            <w:shd w:val="clear" w:color="auto" w:fill="F2F2F2" w:themeFill="background1" w:themeFillShade="F2"/>
          </w:tcPr>
          <w:p w:rsidR="00605D8D" w:rsidRPr="00EE406F" w:rsidRDefault="00605D8D" w:rsidP="00D72695">
            <w:pPr>
              <w:pStyle w:val="TableText"/>
              <w:jc w:val="center"/>
              <w:rPr>
                <w:rFonts w:asciiTheme="minorHAnsi" w:hAnsiTheme="minorHAnsi"/>
                <w:szCs w:val="20"/>
              </w:rPr>
            </w:pPr>
          </w:p>
        </w:tc>
        <w:tc>
          <w:tcPr>
            <w:tcW w:w="1350" w:type="dxa"/>
            <w:shd w:val="clear" w:color="auto" w:fill="F2F2F2" w:themeFill="background1" w:themeFillShade="F2"/>
          </w:tcPr>
          <w:p w:rsidR="00605D8D" w:rsidRPr="00EE406F" w:rsidRDefault="00605D8D" w:rsidP="00D72695">
            <w:pPr>
              <w:pStyle w:val="TableText"/>
              <w:jc w:val="center"/>
              <w:rPr>
                <w:rFonts w:asciiTheme="minorHAnsi" w:hAnsiTheme="minorHAnsi"/>
                <w:szCs w:val="20"/>
              </w:rPr>
            </w:pPr>
          </w:p>
        </w:tc>
      </w:tr>
      <w:tr w:rsidR="00605D8D" w:rsidRPr="00EE406F" w:rsidTr="00584FDB">
        <w:tc>
          <w:tcPr>
            <w:tcW w:w="3438" w:type="dxa"/>
          </w:tcPr>
          <w:p w:rsidR="00605D8D" w:rsidRPr="00EE406F" w:rsidRDefault="00605D8D" w:rsidP="00D72695">
            <w:pPr>
              <w:pStyle w:val="TableText"/>
              <w:rPr>
                <w:rFonts w:asciiTheme="minorHAnsi" w:hAnsiTheme="minorHAnsi"/>
                <w:szCs w:val="20"/>
              </w:rPr>
            </w:pPr>
            <w:r w:rsidRPr="00EE406F">
              <w:rPr>
                <w:rFonts w:asciiTheme="minorHAnsi" w:hAnsiTheme="minorHAnsi"/>
                <w:szCs w:val="20"/>
              </w:rPr>
              <w:t xml:space="preserve">Copy of </w:t>
            </w:r>
            <w:r w:rsidR="00D13659" w:rsidRPr="00EE406F">
              <w:rPr>
                <w:rFonts w:asciiTheme="minorHAnsi" w:hAnsiTheme="minorHAnsi"/>
                <w:szCs w:val="20"/>
              </w:rPr>
              <w:t>section </w:t>
            </w:r>
            <w:r w:rsidRPr="00EE406F">
              <w:rPr>
                <w:rFonts w:asciiTheme="minorHAnsi" w:hAnsiTheme="minorHAnsi"/>
                <w:szCs w:val="20"/>
              </w:rPr>
              <w:t xml:space="preserve">6 (for statutory rules) or </w:t>
            </w:r>
            <w:r w:rsidR="00D13659" w:rsidRPr="00EE406F">
              <w:rPr>
                <w:rFonts w:asciiTheme="minorHAnsi" w:hAnsiTheme="minorHAnsi"/>
                <w:szCs w:val="20"/>
              </w:rPr>
              <w:t>section </w:t>
            </w:r>
            <w:r w:rsidRPr="00EE406F">
              <w:rPr>
                <w:rFonts w:asciiTheme="minorHAnsi" w:hAnsiTheme="minorHAnsi"/>
                <w:szCs w:val="20"/>
              </w:rPr>
              <w:t xml:space="preserve">12C (for legislative instruments) consultation certificate </w:t>
            </w:r>
          </w:p>
        </w:tc>
        <w:tc>
          <w:tcPr>
            <w:tcW w:w="1170" w:type="dxa"/>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p>
        </w:tc>
        <w:tc>
          <w:tcPr>
            <w:tcW w:w="1170" w:type="dxa"/>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p>
        </w:tc>
        <w:tc>
          <w:tcPr>
            <w:tcW w:w="1440" w:type="dxa"/>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p>
        </w:tc>
        <w:tc>
          <w:tcPr>
            <w:tcW w:w="1350" w:type="dxa"/>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p>
        </w:tc>
      </w:tr>
      <w:tr w:rsidR="00605D8D" w:rsidRPr="00EE406F" w:rsidTr="00DE4E32">
        <w:tc>
          <w:tcPr>
            <w:tcW w:w="3438" w:type="dxa"/>
          </w:tcPr>
          <w:p w:rsidR="00605D8D" w:rsidRPr="00EE406F" w:rsidRDefault="00605D8D" w:rsidP="00D72695">
            <w:pPr>
              <w:pStyle w:val="TableText"/>
              <w:rPr>
                <w:rFonts w:asciiTheme="minorHAnsi" w:hAnsiTheme="minorHAnsi"/>
                <w:szCs w:val="20"/>
              </w:rPr>
            </w:pPr>
            <w:r w:rsidRPr="00EE406F">
              <w:rPr>
                <w:rFonts w:asciiTheme="minorHAnsi" w:hAnsiTheme="minorHAnsi"/>
                <w:szCs w:val="20"/>
              </w:rPr>
              <w:t xml:space="preserve">Copy of </w:t>
            </w:r>
            <w:r w:rsidR="00D13659" w:rsidRPr="00EE406F">
              <w:rPr>
                <w:rFonts w:asciiTheme="minorHAnsi" w:hAnsiTheme="minorHAnsi"/>
                <w:szCs w:val="20"/>
              </w:rPr>
              <w:t>section </w:t>
            </w:r>
            <w:r w:rsidRPr="00EE406F">
              <w:rPr>
                <w:rFonts w:asciiTheme="minorHAnsi" w:hAnsiTheme="minorHAnsi"/>
                <w:szCs w:val="20"/>
              </w:rPr>
              <w:t>6A infringements offence consultation certificate (if proposed statutory rule provides for the enforcement of an offence by an infringement notice)</w:t>
            </w:r>
          </w:p>
        </w:tc>
        <w:tc>
          <w:tcPr>
            <w:tcW w:w="1170" w:type="dxa"/>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r w:rsidRPr="00EE406F">
              <w:rPr>
                <w:rFonts w:asciiTheme="minorHAnsi" w:hAnsiTheme="minorHAnsi"/>
                <w:szCs w:val="20"/>
              </w:rPr>
              <w:br/>
              <w:t>(relevant rules only)</w:t>
            </w:r>
          </w:p>
        </w:tc>
        <w:tc>
          <w:tcPr>
            <w:tcW w:w="1170" w:type="dxa"/>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r w:rsidRPr="00EE406F">
              <w:rPr>
                <w:rFonts w:asciiTheme="minorHAnsi" w:hAnsiTheme="minorHAnsi"/>
                <w:szCs w:val="20"/>
              </w:rPr>
              <w:br/>
              <w:t>(relevant rules only)</w:t>
            </w:r>
          </w:p>
        </w:tc>
        <w:tc>
          <w:tcPr>
            <w:tcW w:w="1440" w:type="dxa"/>
            <w:shd w:val="clear" w:color="auto" w:fill="F2F2F2" w:themeFill="background1" w:themeFillShade="F2"/>
          </w:tcPr>
          <w:p w:rsidR="00605D8D" w:rsidRPr="00EE406F" w:rsidRDefault="00605D8D" w:rsidP="00D72695">
            <w:pPr>
              <w:pStyle w:val="TableText"/>
              <w:jc w:val="center"/>
              <w:rPr>
                <w:rFonts w:asciiTheme="minorHAnsi" w:hAnsiTheme="minorHAnsi"/>
                <w:szCs w:val="20"/>
              </w:rPr>
            </w:pPr>
          </w:p>
        </w:tc>
        <w:tc>
          <w:tcPr>
            <w:tcW w:w="1350" w:type="dxa"/>
            <w:shd w:val="clear" w:color="auto" w:fill="F2F2F2" w:themeFill="background1" w:themeFillShade="F2"/>
          </w:tcPr>
          <w:p w:rsidR="00605D8D" w:rsidRPr="00EE406F" w:rsidRDefault="00605D8D" w:rsidP="00D72695">
            <w:pPr>
              <w:pStyle w:val="TableText"/>
              <w:jc w:val="center"/>
              <w:rPr>
                <w:rFonts w:asciiTheme="minorHAnsi" w:hAnsiTheme="minorHAnsi"/>
                <w:szCs w:val="20"/>
              </w:rPr>
            </w:pPr>
          </w:p>
        </w:tc>
      </w:tr>
      <w:tr w:rsidR="00605D8D" w:rsidRPr="00EE406F" w:rsidTr="00DE4E32">
        <w:tc>
          <w:tcPr>
            <w:tcW w:w="3438" w:type="dxa"/>
          </w:tcPr>
          <w:p w:rsidR="00605D8D" w:rsidRPr="00EE406F" w:rsidRDefault="00605D8D" w:rsidP="00D72695">
            <w:pPr>
              <w:pStyle w:val="TableText"/>
              <w:rPr>
                <w:rFonts w:asciiTheme="minorHAnsi" w:hAnsiTheme="minorHAnsi"/>
                <w:szCs w:val="20"/>
              </w:rPr>
            </w:pPr>
            <w:r w:rsidRPr="00EE406F">
              <w:rPr>
                <w:rFonts w:asciiTheme="minorHAnsi" w:hAnsiTheme="minorHAnsi"/>
                <w:szCs w:val="20"/>
              </w:rPr>
              <w:t xml:space="preserve">Copy of RIS exemption certificate (under </w:t>
            </w:r>
            <w:r w:rsidR="00D13659" w:rsidRPr="00EE406F">
              <w:rPr>
                <w:rFonts w:asciiTheme="minorHAnsi" w:hAnsiTheme="minorHAnsi"/>
                <w:szCs w:val="20"/>
              </w:rPr>
              <w:t>section </w:t>
            </w:r>
            <w:r w:rsidRPr="00EE406F">
              <w:rPr>
                <w:rFonts w:asciiTheme="minorHAnsi" w:hAnsiTheme="minorHAnsi"/>
                <w:szCs w:val="20"/>
              </w:rPr>
              <w:t xml:space="preserve">8 or 9 for statutory rules, or </w:t>
            </w:r>
            <w:r w:rsidR="00D13659" w:rsidRPr="00EE406F">
              <w:rPr>
                <w:rFonts w:asciiTheme="minorHAnsi" w:hAnsiTheme="minorHAnsi"/>
                <w:szCs w:val="20"/>
              </w:rPr>
              <w:t>section </w:t>
            </w:r>
            <w:r w:rsidRPr="00EE406F">
              <w:rPr>
                <w:rFonts w:asciiTheme="minorHAnsi" w:hAnsiTheme="minorHAnsi"/>
                <w:szCs w:val="20"/>
              </w:rPr>
              <w:t>12F or 12G for legislative instruments).</w:t>
            </w:r>
          </w:p>
        </w:tc>
        <w:tc>
          <w:tcPr>
            <w:tcW w:w="1170" w:type="dxa"/>
            <w:shd w:val="clear" w:color="auto" w:fill="F2F2F2" w:themeFill="background1" w:themeFillShade="F2"/>
          </w:tcPr>
          <w:p w:rsidR="00605D8D" w:rsidRPr="00EE406F" w:rsidRDefault="00605D8D" w:rsidP="00D72695">
            <w:pPr>
              <w:pStyle w:val="TableText"/>
              <w:jc w:val="center"/>
              <w:rPr>
                <w:rFonts w:asciiTheme="minorHAnsi" w:hAnsiTheme="minorHAnsi"/>
                <w:szCs w:val="20"/>
              </w:rPr>
            </w:pPr>
          </w:p>
        </w:tc>
        <w:tc>
          <w:tcPr>
            <w:tcW w:w="1170" w:type="dxa"/>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p>
        </w:tc>
        <w:tc>
          <w:tcPr>
            <w:tcW w:w="1440" w:type="dxa"/>
            <w:shd w:val="clear" w:color="auto" w:fill="F2F2F2" w:themeFill="background1" w:themeFillShade="F2"/>
          </w:tcPr>
          <w:p w:rsidR="00605D8D" w:rsidRPr="00EE406F" w:rsidRDefault="00605D8D" w:rsidP="00D72695">
            <w:pPr>
              <w:pStyle w:val="TableText"/>
              <w:jc w:val="center"/>
              <w:rPr>
                <w:rFonts w:asciiTheme="minorHAnsi" w:hAnsiTheme="minorHAnsi"/>
                <w:szCs w:val="20"/>
              </w:rPr>
            </w:pPr>
          </w:p>
        </w:tc>
        <w:tc>
          <w:tcPr>
            <w:tcW w:w="1350" w:type="dxa"/>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p>
        </w:tc>
      </w:tr>
      <w:tr w:rsidR="00605D8D" w:rsidRPr="00EE406F" w:rsidTr="00DE4E32">
        <w:tc>
          <w:tcPr>
            <w:tcW w:w="3438" w:type="dxa"/>
          </w:tcPr>
          <w:p w:rsidR="00605D8D" w:rsidRPr="00EE406F" w:rsidRDefault="00605D8D" w:rsidP="00D72695">
            <w:pPr>
              <w:pStyle w:val="TableText"/>
              <w:rPr>
                <w:rFonts w:asciiTheme="minorHAnsi" w:hAnsiTheme="minorHAnsi"/>
                <w:szCs w:val="20"/>
              </w:rPr>
            </w:pPr>
            <w:r w:rsidRPr="00EE406F">
              <w:rPr>
                <w:rFonts w:asciiTheme="minorHAnsi" w:hAnsiTheme="minorHAnsi"/>
                <w:szCs w:val="20"/>
              </w:rPr>
              <w:t xml:space="preserve">Copy of RIS compliance certificate (under </w:t>
            </w:r>
            <w:r w:rsidR="00D13659" w:rsidRPr="00EE406F">
              <w:rPr>
                <w:rFonts w:asciiTheme="minorHAnsi" w:hAnsiTheme="minorHAnsi"/>
                <w:szCs w:val="20"/>
              </w:rPr>
              <w:t>section </w:t>
            </w:r>
            <w:r w:rsidRPr="00EE406F">
              <w:rPr>
                <w:rFonts w:asciiTheme="minorHAnsi" w:hAnsiTheme="minorHAnsi"/>
                <w:szCs w:val="20"/>
              </w:rPr>
              <w:t xml:space="preserve">10(4) for statutory rules or </w:t>
            </w:r>
            <w:r w:rsidR="00D13659" w:rsidRPr="00EE406F">
              <w:rPr>
                <w:rFonts w:asciiTheme="minorHAnsi" w:hAnsiTheme="minorHAnsi"/>
                <w:szCs w:val="20"/>
              </w:rPr>
              <w:t>section </w:t>
            </w:r>
            <w:r w:rsidRPr="00EE406F">
              <w:rPr>
                <w:rFonts w:asciiTheme="minorHAnsi" w:hAnsiTheme="minorHAnsi"/>
                <w:szCs w:val="20"/>
              </w:rPr>
              <w:t>12H(4) for legislative instruments)</w:t>
            </w:r>
          </w:p>
        </w:tc>
        <w:tc>
          <w:tcPr>
            <w:tcW w:w="1170" w:type="dxa"/>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p>
        </w:tc>
        <w:tc>
          <w:tcPr>
            <w:tcW w:w="1170" w:type="dxa"/>
            <w:shd w:val="clear" w:color="auto" w:fill="F2F2F2" w:themeFill="background1" w:themeFillShade="F2"/>
          </w:tcPr>
          <w:p w:rsidR="00605D8D" w:rsidRPr="00EE406F" w:rsidRDefault="00605D8D" w:rsidP="00D72695">
            <w:pPr>
              <w:pStyle w:val="TableText"/>
              <w:jc w:val="center"/>
              <w:rPr>
                <w:rFonts w:asciiTheme="minorHAnsi" w:hAnsiTheme="minorHAnsi"/>
                <w:szCs w:val="20"/>
              </w:rPr>
            </w:pPr>
          </w:p>
        </w:tc>
        <w:tc>
          <w:tcPr>
            <w:tcW w:w="1440" w:type="dxa"/>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p>
        </w:tc>
        <w:tc>
          <w:tcPr>
            <w:tcW w:w="1350" w:type="dxa"/>
            <w:shd w:val="clear" w:color="auto" w:fill="F2F2F2" w:themeFill="background1" w:themeFillShade="F2"/>
          </w:tcPr>
          <w:p w:rsidR="00605D8D" w:rsidRPr="00EE406F" w:rsidRDefault="00605D8D" w:rsidP="00D72695">
            <w:pPr>
              <w:pStyle w:val="TableText"/>
              <w:jc w:val="center"/>
              <w:rPr>
                <w:rFonts w:asciiTheme="minorHAnsi" w:hAnsiTheme="minorHAnsi"/>
                <w:szCs w:val="20"/>
              </w:rPr>
            </w:pPr>
          </w:p>
        </w:tc>
      </w:tr>
      <w:tr w:rsidR="00605D8D" w:rsidRPr="00EE406F" w:rsidTr="00584FDB">
        <w:tc>
          <w:tcPr>
            <w:tcW w:w="3438" w:type="dxa"/>
          </w:tcPr>
          <w:p w:rsidR="00605D8D" w:rsidRPr="00EE406F" w:rsidRDefault="00605D8D" w:rsidP="00D72695">
            <w:pPr>
              <w:pStyle w:val="TableText"/>
              <w:rPr>
                <w:rFonts w:asciiTheme="minorHAnsi" w:hAnsiTheme="minorHAnsi"/>
                <w:szCs w:val="20"/>
              </w:rPr>
            </w:pPr>
            <w:r w:rsidRPr="00EE406F">
              <w:rPr>
                <w:rFonts w:asciiTheme="minorHAnsi" w:hAnsiTheme="minorHAnsi"/>
                <w:szCs w:val="20"/>
              </w:rPr>
              <w:t xml:space="preserve">Copy of human rights certificate (under </w:t>
            </w:r>
            <w:r w:rsidR="00D13659" w:rsidRPr="00EE406F">
              <w:rPr>
                <w:rFonts w:asciiTheme="minorHAnsi" w:hAnsiTheme="minorHAnsi"/>
                <w:szCs w:val="20"/>
              </w:rPr>
              <w:t>section </w:t>
            </w:r>
            <w:r w:rsidRPr="00EE406F">
              <w:rPr>
                <w:rFonts w:asciiTheme="minorHAnsi" w:hAnsiTheme="minorHAnsi"/>
                <w:szCs w:val="20"/>
              </w:rPr>
              <w:t xml:space="preserve">12A for statutory rules or </w:t>
            </w:r>
            <w:r w:rsidR="00D13659" w:rsidRPr="00EE406F">
              <w:rPr>
                <w:rFonts w:asciiTheme="minorHAnsi" w:hAnsiTheme="minorHAnsi"/>
                <w:szCs w:val="20"/>
              </w:rPr>
              <w:t>section </w:t>
            </w:r>
            <w:r w:rsidRPr="00EE406F">
              <w:rPr>
                <w:rFonts w:asciiTheme="minorHAnsi" w:hAnsiTheme="minorHAnsi"/>
                <w:szCs w:val="20"/>
              </w:rPr>
              <w:t xml:space="preserve">12D for legislative instruments), or copy of human rights exemption certificate (under </w:t>
            </w:r>
            <w:r w:rsidR="00D13659" w:rsidRPr="00EE406F">
              <w:rPr>
                <w:rFonts w:asciiTheme="minorHAnsi" w:hAnsiTheme="minorHAnsi"/>
                <w:szCs w:val="20"/>
              </w:rPr>
              <w:t>section </w:t>
            </w:r>
            <w:r w:rsidRPr="00EE406F">
              <w:rPr>
                <w:rFonts w:asciiTheme="minorHAnsi" w:hAnsiTheme="minorHAnsi"/>
                <w:szCs w:val="20"/>
              </w:rPr>
              <w:t xml:space="preserve">12A(3) for statutory rules or </w:t>
            </w:r>
            <w:r w:rsidR="00D13659" w:rsidRPr="00EE406F">
              <w:rPr>
                <w:rFonts w:asciiTheme="minorHAnsi" w:hAnsiTheme="minorHAnsi"/>
                <w:szCs w:val="20"/>
              </w:rPr>
              <w:t>section </w:t>
            </w:r>
            <w:r w:rsidRPr="00EE406F">
              <w:rPr>
                <w:rFonts w:asciiTheme="minorHAnsi" w:hAnsiTheme="minorHAnsi"/>
                <w:szCs w:val="20"/>
              </w:rPr>
              <w:t>12D(3) for legislative instruments)</w:t>
            </w:r>
          </w:p>
        </w:tc>
        <w:tc>
          <w:tcPr>
            <w:tcW w:w="1170" w:type="dxa"/>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p>
        </w:tc>
        <w:tc>
          <w:tcPr>
            <w:tcW w:w="1170" w:type="dxa"/>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p>
        </w:tc>
        <w:tc>
          <w:tcPr>
            <w:tcW w:w="1440" w:type="dxa"/>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p>
        </w:tc>
        <w:tc>
          <w:tcPr>
            <w:tcW w:w="1350" w:type="dxa"/>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p>
        </w:tc>
      </w:tr>
      <w:tr w:rsidR="00605D8D" w:rsidRPr="00EE406F" w:rsidTr="00DE4E32">
        <w:tc>
          <w:tcPr>
            <w:tcW w:w="3438" w:type="dxa"/>
          </w:tcPr>
          <w:p w:rsidR="00605D8D" w:rsidRPr="00EE406F" w:rsidRDefault="00605D8D" w:rsidP="00D72695">
            <w:pPr>
              <w:pStyle w:val="TableText"/>
              <w:rPr>
                <w:rFonts w:asciiTheme="minorHAnsi" w:hAnsiTheme="minorHAnsi"/>
                <w:szCs w:val="20"/>
              </w:rPr>
            </w:pPr>
            <w:r w:rsidRPr="00EE406F">
              <w:rPr>
                <w:rFonts w:asciiTheme="minorHAnsi" w:hAnsiTheme="minorHAnsi"/>
                <w:szCs w:val="20"/>
              </w:rPr>
              <w:t xml:space="preserve">Copy of extension certificate and Premier’s certificate under </w:t>
            </w:r>
            <w:r w:rsidR="00D13659" w:rsidRPr="00EE406F">
              <w:rPr>
                <w:rFonts w:asciiTheme="minorHAnsi" w:hAnsiTheme="minorHAnsi"/>
                <w:szCs w:val="20"/>
              </w:rPr>
              <w:t>section </w:t>
            </w:r>
            <w:r w:rsidRPr="00EE406F">
              <w:rPr>
                <w:rFonts w:asciiTheme="minorHAnsi" w:hAnsiTheme="minorHAnsi"/>
                <w:szCs w:val="20"/>
              </w:rPr>
              <w:t>5A(3) (if proposed statutory rule is an extension regulation)</w:t>
            </w:r>
          </w:p>
        </w:tc>
        <w:tc>
          <w:tcPr>
            <w:tcW w:w="1170" w:type="dxa"/>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r w:rsidRPr="00EE406F">
              <w:rPr>
                <w:rFonts w:asciiTheme="minorHAnsi" w:hAnsiTheme="minorHAnsi"/>
                <w:szCs w:val="20"/>
              </w:rPr>
              <w:br/>
              <w:t>(extension regulations only)</w:t>
            </w:r>
          </w:p>
        </w:tc>
        <w:tc>
          <w:tcPr>
            <w:tcW w:w="1170" w:type="dxa"/>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r w:rsidRPr="00EE406F">
              <w:rPr>
                <w:rFonts w:asciiTheme="minorHAnsi" w:hAnsiTheme="minorHAnsi"/>
                <w:szCs w:val="20"/>
              </w:rPr>
              <w:br/>
              <w:t>(extension regulations only)</w:t>
            </w:r>
          </w:p>
        </w:tc>
        <w:tc>
          <w:tcPr>
            <w:tcW w:w="1440" w:type="dxa"/>
            <w:shd w:val="clear" w:color="auto" w:fill="F2F2F2" w:themeFill="background1" w:themeFillShade="F2"/>
          </w:tcPr>
          <w:p w:rsidR="00605D8D" w:rsidRPr="00EE406F" w:rsidRDefault="00605D8D" w:rsidP="00D72695">
            <w:pPr>
              <w:pStyle w:val="TableText"/>
              <w:jc w:val="center"/>
              <w:rPr>
                <w:rFonts w:asciiTheme="minorHAnsi" w:hAnsiTheme="minorHAnsi"/>
                <w:szCs w:val="20"/>
              </w:rPr>
            </w:pPr>
          </w:p>
        </w:tc>
        <w:tc>
          <w:tcPr>
            <w:tcW w:w="1350" w:type="dxa"/>
            <w:shd w:val="clear" w:color="auto" w:fill="F2F2F2" w:themeFill="background1" w:themeFillShade="F2"/>
          </w:tcPr>
          <w:p w:rsidR="00605D8D" w:rsidRPr="00EE406F" w:rsidRDefault="00605D8D" w:rsidP="00D72695">
            <w:pPr>
              <w:pStyle w:val="TableText"/>
              <w:jc w:val="center"/>
              <w:rPr>
                <w:rFonts w:asciiTheme="minorHAnsi" w:hAnsiTheme="minorHAnsi"/>
                <w:szCs w:val="20"/>
              </w:rPr>
            </w:pPr>
          </w:p>
        </w:tc>
      </w:tr>
      <w:tr w:rsidR="00605D8D" w:rsidRPr="00EE406F" w:rsidTr="00DE4E32">
        <w:tc>
          <w:tcPr>
            <w:tcW w:w="3438" w:type="dxa"/>
          </w:tcPr>
          <w:p w:rsidR="00605D8D" w:rsidRPr="00EE406F" w:rsidRDefault="00605D8D" w:rsidP="00D72695">
            <w:pPr>
              <w:pStyle w:val="TableText"/>
              <w:rPr>
                <w:rFonts w:asciiTheme="minorHAnsi" w:hAnsiTheme="minorHAnsi"/>
                <w:szCs w:val="20"/>
              </w:rPr>
            </w:pPr>
            <w:r w:rsidRPr="00EE406F">
              <w:rPr>
                <w:rFonts w:asciiTheme="minorHAnsi" w:hAnsiTheme="minorHAnsi"/>
                <w:szCs w:val="20"/>
              </w:rPr>
              <w:t>Copy of the Minister’s recommendation to the Governor in Council to make the statutory rule</w:t>
            </w:r>
          </w:p>
        </w:tc>
        <w:tc>
          <w:tcPr>
            <w:tcW w:w="1170" w:type="dxa"/>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p>
        </w:tc>
        <w:tc>
          <w:tcPr>
            <w:tcW w:w="1170" w:type="dxa"/>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0050"/>
            </w:r>
          </w:p>
        </w:tc>
        <w:tc>
          <w:tcPr>
            <w:tcW w:w="1440" w:type="dxa"/>
            <w:shd w:val="clear" w:color="auto" w:fill="F2F2F2" w:themeFill="background1" w:themeFillShade="F2"/>
          </w:tcPr>
          <w:p w:rsidR="00605D8D" w:rsidRPr="00EE406F" w:rsidRDefault="00605D8D" w:rsidP="00D72695">
            <w:pPr>
              <w:pStyle w:val="TableText"/>
              <w:jc w:val="center"/>
              <w:rPr>
                <w:rFonts w:asciiTheme="minorHAnsi" w:hAnsiTheme="minorHAnsi"/>
                <w:szCs w:val="20"/>
              </w:rPr>
            </w:pPr>
          </w:p>
        </w:tc>
        <w:tc>
          <w:tcPr>
            <w:tcW w:w="1350" w:type="dxa"/>
            <w:shd w:val="clear" w:color="auto" w:fill="F2F2F2" w:themeFill="background1" w:themeFillShade="F2"/>
          </w:tcPr>
          <w:p w:rsidR="00605D8D" w:rsidRPr="00EE406F" w:rsidRDefault="00605D8D" w:rsidP="00D72695">
            <w:pPr>
              <w:pStyle w:val="TableText"/>
              <w:jc w:val="center"/>
              <w:rPr>
                <w:rFonts w:asciiTheme="minorHAnsi" w:hAnsiTheme="minorHAnsi"/>
                <w:szCs w:val="20"/>
              </w:rPr>
            </w:pPr>
          </w:p>
        </w:tc>
      </w:tr>
    </w:tbl>
    <w:p w:rsidR="00605D8D" w:rsidRDefault="00605D8D" w:rsidP="00605D8D"/>
    <w:p w:rsidR="00605D8D" w:rsidRDefault="00605D8D" w:rsidP="004D6B11">
      <w:pPr>
        <w:pStyle w:val="Heading3NoNum"/>
      </w:pPr>
      <w:r>
        <w:br w:type="page"/>
      </w:r>
      <w:r w:rsidRPr="00EE406F">
        <w:rPr>
          <w:color w:val="004EA8"/>
        </w:rPr>
        <w:t>Documents submitted to SARC</w:t>
      </w:r>
    </w:p>
    <w:p w:rsidR="00605D8D" w:rsidRPr="00EE406F" w:rsidRDefault="00605D8D" w:rsidP="004D6B11">
      <w:pPr>
        <w:rPr>
          <w:sz w:val="20"/>
          <w:szCs w:val="20"/>
        </w:rPr>
      </w:pPr>
      <w:r w:rsidRPr="00EE406F">
        <w:rPr>
          <w:sz w:val="20"/>
          <w:szCs w:val="20"/>
        </w:rPr>
        <w:t xml:space="preserve">The documents set out below should be provided to the </w:t>
      </w:r>
      <w:r w:rsidRPr="00EE406F">
        <w:rPr>
          <w:b/>
          <w:sz w:val="20"/>
          <w:szCs w:val="20"/>
        </w:rPr>
        <w:t>Secretary of the Scrutiny of Acts and Regulations Committee</w:t>
      </w:r>
      <w:r w:rsidRPr="00EE406F">
        <w:rPr>
          <w:sz w:val="20"/>
          <w:szCs w:val="20"/>
        </w:rPr>
        <w:t>. The majority of these documents are required to be provided within 10 days after the making of the statutory rule or legislative instrument.</w:t>
      </w:r>
    </w:p>
    <w:tbl>
      <w:tblPr>
        <w:tblW w:w="8388" w:type="dxa"/>
        <w:tblInd w:w="835" w:type="dxa"/>
        <w:tblBorders>
          <w:top w:val="single" w:sz="4" w:space="0" w:color="auto"/>
          <w:bottom w:val="single" w:sz="4" w:space="0" w:color="auto"/>
          <w:insideH w:val="single" w:sz="4" w:space="0" w:color="auto"/>
        </w:tblBorders>
        <w:tblLayout w:type="fixed"/>
        <w:tblCellMar>
          <w:left w:w="43" w:type="dxa"/>
          <w:right w:w="43" w:type="dxa"/>
        </w:tblCellMar>
        <w:tblLook w:val="01E0" w:firstRow="1" w:lastRow="1" w:firstColumn="1" w:lastColumn="1" w:noHBand="0" w:noVBand="0"/>
      </w:tblPr>
      <w:tblGrid>
        <w:gridCol w:w="3348"/>
        <w:gridCol w:w="1170"/>
        <w:gridCol w:w="1170"/>
        <w:gridCol w:w="1350"/>
        <w:gridCol w:w="1350"/>
      </w:tblGrid>
      <w:tr w:rsidR="00605D8D" w:rsidRPr="00EE406F" w:rsidTr="00DE4E32">
        <w:trPr>
          <w:cantSplit/>
          <w:trHeight w:val="698"/>
          <w:tblHeader/>
        </w:trPr>
        <w:tc>
          <w:tcPr>
            <w:tcW w:w="3348" w:type="dxa"/>
            <w:shd w:val="clear" w:color="auto" w:fill="009CA6"/>
            <w:vAlign w:val="bottom"/>
          </w:tcPr>
          <w:p w:rsidR="00605D8D" w:rsidRPr="00DE4E32" w:rsidRDefault="00605D8D" w:rsidP="004D6B11">
            <w:pPr>
              <w:pStyle w:val="TableHeader"/>
              <w:rPr>
                <w:rFonts w:asciiTheme="minorHAnsi" w:hAnsiTheme="minorHAnsi"/>
                <w:color w:val="FFFFFF" w:themeColor="background1"/>
                <w:sz w:val="20"/>
                <w:szCs w:val="20"/>
              </w:rPr>
            </w:pPr>
            <w:r w:rsidRPr="00DE4E32">
              <w:rPr>
                <w:rFonts w:asciiTheme="minorHAnsi" w:hAnsiTheme="minorHAnsi"/>
                <w:color w:val="FFFFFF" w:themeColor="background1"/>
                <w:sz w:val="20"/>
                <w:szCs w:val="20"/>
              </w:rPr>
              <w:t xml:space="preserve">Document </w:t>
            </w:r>
          </w:p>
        </w:tc>
        <w:tc>
          <w:tcPr>
            <w:tcW w:w="1170" w:type="dxa"/>
            <w:shd w:val="clear" w:color="auto" w:fill="009CA6"/>
            <w:vAlign w:val="bottom"/>
          </w:tcPr>
          <w:p w:rsidR="00605D8D" w:rsidRPr="00DE4E32" w:rsidRDefault="00605D8D" w:rsidP="004D6B11">
            <w:pPr>
              <w:pStyle w:val="TableHeader"/>
              <w:rPr>
                <w:rFonts w:asciiTheme="minorHAnsi" w:hAnsiTheme="minorHAnsi"/>
                <w:color w:val="FFFFFF" w:themeColor="background1"/>
                <w:sz w:val="20"/>
                <w:szCs w:val="20"/>
              </w:rPr>
            </w:pPr>
            <w:r w:rsidRPr="00DE4E32">
              <w:rPr>
                <w:rFonts w:asciiTheme="minorHAnsi" w:hAnsiTheme="minorHAnsi"/>
                <w:color w:val="FFFFFF" w:themeColor="background1"/>
                <w:sz w:val="20"/>
                <w:szCs w:val="20"/>
              </w:rPr>
              <w:t>Statutory rule – with RIS</w:t>
            </w:r>
          </w:p>
        </w:tc>
        <w:tc>
          <w:tcPr>
            <w:tcW w:w="1170" w:type="dxa"/>
            <w:shd w:val="clear" w:color="auto" w:fill="009CA6"/>
            <w:vAlign w:val="bottom"/>
          </w:tcPr>
          <w:p w:rsidR="00605D8D" w:rsidRPr="00DE4E32" w:rsidRDefault="00605D8D" w:rsidP="004D6B11">
            <w:pPr>
              <w:pStyle w:val="TableHeader"/>
              <w:rPr>
                <w:rFonts w:asciiTheme="minorHAnsi" w:hAnsiTheme="minorHAnsi"/>
                <w:color w:val="FFFFFF" w:themeColor="background1"/>
                <w:sz w:val="20"/>
                <w:szCs w:val="20"/>
              </w:rPr>
            </w:pPr>
            <w:r w:rsidRPr="00DE4E32">
              <w:rPr>
                <w:rFonts w:asciiTheme="minorHAnsi" w:hAnsiTheme="minorHAnsi"/>
                <w:color w:val="FFFFFF" w:themeColor="background1"/>
                <w:sz w:val="20"/>
                <w:szCs w:val="20"/>
              </w:rPr>
              <w:t>Statutory rule – no RIS</w:t>
            </w:r>
          </w:p>
        </w:tc>
        <w:tc>
          <w:tcPr>
            <w:tcW w:w="1350" w:type="dxa"/>
            <w:shd w:val="clear" w:color="auto" w:fill="009CA6"/>
            <w:vAlign w:val="bottom"/>
          </w:tcPr>
          <w:p w:rsidR="00605D8D" w:rsidRPr="00DE4E32" w:rsidRDefault="00605D8D" w:rsidP="004D6B11">
            <w:pPr>
              <w:pStyle w:val="TableHeader"/>
              <w:rPr>
                <w:rFonts w:asciiTheme="minorHAnsi" w:hAnsiTheme="minorHAnsi"/>
                <w:color w:val="FFFFFF" w:themeColor="background1"/>
                <w:sz w:val="20"/>
                <w:szCs w:val="20"/>
              </w:rPr>
            </w:pPr>
            <w:r w:rsidRPr="00DE4E32">
              <w:rPr>
                <w:rFonts w:asciiTheme="minorHAnsi" w:hAnsiTheme="minorHAnsi"/>
                <w:color w:val="FFFFFF" w:themeColor="background1"/>
                <w:sz w:val="20"/>
                <w:szCs w:val="20"/>
              </w:rPr>
              <w:t>Legislative instrument – with RIS</w:t>
            </w:r>
          </w:p>
        </w:tc>
        <w:tc>
          <w:tcPr>
            <w:tcW w:w="1350" w:type="dxa"/>
            <w:shd w:val="clear" w:color="auto" w:fill="009CA6"/>
            <w:vAlign w:val="bottom"/>
          </w:tcPr>
          <w:p w:rsidR="00605D8D" w:rsidRPr="00DE4E32" w:rsidRDefault="00605D8D" w:rsidP="004D6B11">
            <w:pPr>
              <w:pStyle w:val="TableHeader"/>
              <w:rPr>
                <w:rFonts w:asciiTheme="minorHAnsi" w:hAnsiTheme="minorHAnsi"/>
                <w:color w:val="FFFFFF" w:themeColor="background1"/>
                <w:sz w:val="20"/>
                <w:szCs w:val="20"/>
              </w:rPr>
            </w:pPr>
            <w:r w:rsidRPr="00DE4E32">
              <w:rPr>
                <w:rFonts w:asciiTheme="minorHAnsi" w:hAnsiTheme="minorHAnsi"/>
                <w:color w:val="FFFFFF" w:themeColor="background1"/>
                <w:sz w:val="20"/>
                <w:szCs w:val="20"/>
              </w:rPr>
              <w:t>Legislative instrument – no RIS</w:t>
            </w:r>
          </w:p>
        </w:tc>
      </w:tr>
      <w:tr w:rsidR="00605D8D" w:rsidRPr="00EE406F" w:rsidTr="00584FDB">
        <w:trPr>
          <w:cantSplit/>
        </w:trPr>
        <w:tc>
          <w:tcPr>
            <w:tcW w:w="3348" w:type="dxa"/>
            <w:shd w:val="clear" w:color="auto" w:fill="auto"/>
          </w:tcPr>
          <w:p w:rsidR="00605D8D" w:rsidRPr="00EE406F" w:rsidRDefault="00605D8D" w:rsidP="00D72695">
            <w:pPr>
              <w:pStyle w:val="TableText"/>
              <w:rPr>
                <w:rFonts w:asciiTheme="minorHAnsi" w:hAnsiTheme="minorHAnsi"/>
                <w:szCs w:val="20"/>
              </w:rPr>
            </w:pPr>
            <w:r w:rsidRPr="00EE406F">
              <w:rPr>
                <w:rFonts w:asciiTheme="minorHAnsi" w:hAnsiTheme="minorHAnsi"/>
                <w:szCs w:val="20"/>
              </w:rPr>
              <w:t>Copy of the statutory rule or legislative instrument</w:t>
            </w:r>
          </w:p>
        </w:tc>
        <w:tc>
          <w:tcPr>
            <w:tcW w:w="117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F050"/>
            </w:r>
          </w:p>
        </w:tc>
        <w:tc>
          <w:tcPr>
            <w:tcW w:w="117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F050"/>
            </w:r>
          </w:p>
        </w:tc>
        <w:tc>
          <w:tcPr>
            <w:tcW w:w="135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F050"/>
            </w:r>
          </w:p>
        </w:tc>
        <w:tc>
          <w:tcPr>
            <w:tcW w:w="135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F050"/>
            </w:r>
          </w:p>
        </w:tc>
      </w:tr>
      <w:tr w:rsidR="00605D8D" w:rsidRPr="00EE406F" w:rsidTr="00DE4E32">
        <w:trPr>
          <w:cantSplit/>
          <w:trHeight w:val="321"/>
        </w:trPr>
        <w:tc>
          <w:tcPr>
            <w:tcW w:w="3348" w:type="dxa"/>
            <w:shd w:val="clear" w:color="auto" w:fill="auto"/>
          </w:tcPr>
          <w:p w:rsidR="00605D8D" w:rsidRPr="00EE406F" w:rsidRDefault="00605D8D" w:rsidP="00D72695">
            <w:pPr>
              <w:pStyle w:val="TableText"/>
              <w:rPr>
                <w:rFonts w:asciiTheme="minorHAnsi" w:hAnsiTheme="minorHAnsi"/>
                <w:szCs w:val="20"/>
              </w:rPr>
            </w:pPr>
            <w:r w:rsidRPr="00EE406F">
              <w:rPr>
                <w:rFonts w:asciiTheme="minorHAnsi" w:hAnsiTheme="minorHAnsi"/>
                <w:szCs w:val="20"/>
              </w:rPr>
              <w:t xml:space="preserve">Copy of the </w:t>
            </w:r>
            <w:r w:rsidR="00D13659" w:rsidRPr="00EE406F">
              <w:rPr>
                <w:rFonts w:asciiTheme="minorHAnsi" w:hAnsiTheme="minorHAnsi"/>
                <w:szCs w:val="20"/>
              </w:rPr>
              <w:t>section </w:t>
            </w:r>
            <w:r w:rsidRPr="00EE406F">
              <w:rPr>
                <w:rFonts w:asciiTheme="minorHAnsi" w:hAnsiTheme="minorHAnsi"/>
                <w:szCs w:val="20"/>
              </w:rPr>
              <w:t>13 certificate of the Chief Parliamentary Counsel</w:t>
            </w:r>
          </w:p>
        </w:tc>
        <w:tc>
          <w:tcPr>
            <w:tcW w:w="117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F050"/>
            </w:r>
          </w:p>
        </w:tc>
        <w:tc>
          <w:tcPr>
            <w:tcW w:w="117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F050"/>
            </w:r>
          </w:p>
        </w:tc>
        <w:tc>
          <w:tcPr>
            <w:tcW w:w="1350" w:type="dxa"/>
            <w:shd w:val="clear" w:color="auto" w:fill="F2F2F2" w:themeFill="background1" w:themeFillShade="F2"/>
          </w:tcPr>
          <w:p w:rsidR="00605D8D" w:rsidRPr="00EE406F" w:rsidRDefault="00605D8D" w:rsidP="00D72695">
            <w:pPr>
              <w:pStyle w:val="TableText"/>
              <w:jc w:val="center"/>
              <w:rPr>
                <w:rFonts w:asciiTheme="minorHAnsi" w:hAnsiTheme="minorHAnsi"/>
                <w:szCs w:val="20"/>
              </w:rPr>
            </w:pPr>
          </w:p>
        </w:tc>
        <w:tc>
          <w:tcPr>
            <w:tcW w:w="1350" w:type="dxa"/>
            <w:shd w:val="clear" w:color="auto" w:fill="F2F2F2" w:themeFill="background1" w:themeFillShade="F2"/>
          </w:tcPr>
          <w:p w:rsidR="00605D8D" w:rsidRPr="00EE406F" w:rsidRDefault="00605D8D" w:rsidP="00D72695">
            <w:pPr>
              <w:pStyle w:val="TableText"/>
              <w:jc w:val="center"/>
              <w:rPr>
                <w:rFonts w:asciiTheme="minorHAnsi" w:hAnsiTheme="minorHAnsi"/>
                <w:szCs w:val="20"/>
              </w:rPr>
            </w:pPr>
          </w:p>
        </w:tc>
      </w:tr>
      <w:tr w:rsidR="00605D8D" w:rsidRPr="00EE406F" w:rsidTr="00584FDB">
        <w:trPr>
          <w:cantSplit/>
        </w:trPr>
        <w:tc>
          <w:tcPr>
            <w:tcW w:w="3348" w:type="dxa"/>
            <w:shd w:val="clear" w:color="auto" w:fill="auto"/>
          </w:tcPr>
          <w:p w:rsidR="00605D8D" w:rsidRPr="00EE406F" w:rsidRDefault="00605D8D" w:rsidP="00D72695">
            <w:pPr>
              <w:pStyle w:val="TableText"/>
              <w:rPr>
                <w:rFonts w:asciiTheme="minorHAnsi" w:hAnsiTheme="minorHAnsi"/>
                <w:szCs w:val="20"/>
              </w:rPr>
            </w:pPr>
            <w:r w:rsidRPr="00EE406F">
              <w:rPr>
                <w:rFonts w:asciiTheme="minorHAnsi" w:hAnsiTheme="minorHAnsi"/>
                <w:szCs w:val="20"/>
              </w:rPr>
              <w:t xml:space="preserve">Copy of </w:t>
            </w:r>
            <w:r w:rsidR="00D13659" w:rsidRPr="00EE406F">
              <w:rPr>
                <w:rFonts w:asciiTheme="minorHAnsi" w:hAnsiTheme="minorHAnsi"/>
                <w:szCs w:val="20"/>
              </w:rPr>
              <w:t>section </w:t>
            </w:r>
            <w:r w:rsidRPr="00EE406F">
              <w:rPr>
                <w:rFonts w:asciiTheme="minorHAnsi" w:hAnsiTheme="minorHAnsi"/>
                <w:szCs w:val="20"/>
              </w:rPr>
              <w:t xml:space="preserve">6 (for statutory rules) or </w:t>
            </w:r>
            <w:r w:rsidR="00D13659" w:rsidRPr="00EE406F">
              <w:rPr>
                <w:rFonts w:asciiTheme="minorHAnsi" w:hAnsiTheme="minorHAnsi"/>
                <w:szCs w:val="20"/>
              </w:rPr>
              <w:t>section </w:t>
            </w:r>
            <w:r w:rsidRPr="00EE406F">
              <w:rPr>
                <w:rFonts w:asciiTheme="minorHAnsi" w:hAnsiTheme="minorHAnsi"/>
                <w:szCs w:val="20"/>
              </w:rPr>
              <w:t xml:space="preserve">12C (for legislative instruments) consultation certificate </w:t>
            </w:r>
          </w:p>
        </w:tc>
        <w:tc>
          <w:tcPr>
            <w:tcW w:w="117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F050"/>
            </w:r>
          </w:p>
        </w:tc>
        <w:tc>
          <w:tcPr>
            <w:tcW w:w="117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F050"/>
            </w:r>
          </w:p>
        </w:tc>
        <w:tc>
          <w:tcPr>
            <w:tcW w:w="135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F050"/>
            </w:r>
          </w:p>
        </w:tc>
        <w:tc>
          <w:tcPr>
            <w:tcW w:w="135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F050"/>
            </w:r>
          </w:p>
        </w:tc>
      </w:tr>
      <w:tr w:rsidR="00605D8D" w:rsidRPr="00EE406F" w:rsidTr="00DE4E32">
        <w:trPr>
          <w:cantSplit/>
        </w:trPr>
        <w:tc>
          <w:tcPr>
            <w:tcW w:w="3348" w:type="dxa"/>
            <w:shd w:val="clear" w:color="auto" w:fill="auto"/>
          </w:tcPr>
          <w:p w:rsidR="00605D8D" w:rsidRPr="00EE406F" w:rsidRDefault="00605D8D" w:rsidP="00D72695">
            <w:pPr>
              <w:pStyle w:val="TableText"/>
              <w:rPr>
                <w:rFonts w:asciiTheme="minorHAnsi" w:hAnsiTheme="minorHAnsi"/>
                <w:szCs w:val="20"/>
              </w:rPr>
            </w:pPr>
            <w:r w:rsidRPr="00EE406F">
              <w:rPr>
                <w:rFonts w:asciiTheme="minorHAnsi" w:hAnsiTheme="minorHAnsi"/>
                <w:szCs w:val="20"/>
              </w:rPr>
              <w:t xml:space="preserve">Copy of </w:t>
            </w:r>
            <w:r w:rsidR="00D13659" w:rsidRPr="00EE406F">
              <w:rPr>
                <w:rFonts w:asciiTheme="minorHAnsi" w:hAnsiTheme="minorHAnsi"/>
                <w:szCs w:val="20"/>
              </w:rPr>
              <w:t>section </w:t>
            </w:r>
            <w:r w:rsidRPr="00EE406F">
              <w:rPr>
                <w:rFonts w:asciiTheme="minorHAnsi" w:hAnsiTheme="minorHAnsi"/>
                <w:szCs w:val="20"/>
              </w:rPr>
              <w:t>6A infringements offence consultation certificate (if proposed statutory rule provides for the enforcement of an offence by an infringement notice)</w:t>
            </w:r>
          </w:p>
        </w:tc>
        <w:tc>
          <w:tcPr>
            <w:tcW w:w="117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F050"/>
            </w:r>
            <w:r w:rsidRPr="00EE406F">
              <w:rPr>
                <w:rFonts w:asciiTheme="minorHAnsi" w:hAnsiTheme="minorHAnsi"/>
                <w:szCs w:val="20"/>
              </w:rPr>
              <w:br/>
              <w:t>(relevant rules only)</w:t>
            </w:r>
          </w:p>
        </w:tc>
        <w:tc>
          <w:tcPr>
            <w:tcW w:w="117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F050"/>
            </w:r>
            <w:r w:rsidRPr="00EE406F">
              <w:rPr>
                <w:rFonts w:asciiTheme="minorHAnsi" w:hAnsiTheme="minorHAnsi"/>
                <w:szCs w:val="20"/>
              </w:rPr>
              <w:br/>
              <w:t>(relevant rules only)</w:t>
            </w:r>
          </w:p>
        </w:tc>
        <w:tc>
          <w:tcPr>
            <w:tcW w:w="1350" w:type="dxa"/>
            <w:shd w:val="clear" w:color="auto" w:fill="F2F2F2" w:themeFill="background1" w:themeFillShade="F2"/>
          </w:tcPr>
          <w:p w:rsidR="00605D8D" w:rsidRPr="00EE406F" w:rsidRDefault="00605D8D" w:rsidP="00D72695">
            <w:pPr>
              <w:pStyle w:val="TableText"/>
              <w:jc w:val="center"/>
              <w:rPr>
                <w:rFonts w:asciiTheme="minorHAnsi" w:hAnsiTheme="minorHAnsi"/>
                <w:szCs w:val="20"/>
              </w:rPr>
            </w:pPr>
          </w:p>
        </w:tc>
        <w:tc>
          <w:tcPr>
            <w:tcW w:w="1350" w:type="dxa"/>
            <w:shd w:val="clear" w:color="auto" w:fill="F2F2F2" w:themeFill="background1" w:themeFillShade="F2"/>
          </w:tcPr>
          <w:p w:rsidR="00605D8D" w:rsidRPr="00EE406F" w:rsidRDefault="00605D8D" w:rsidP="00D72695">
            <w:pPr>
              <w:pStyle w:val="TableText"/>
              <w:jc w:val="center"/>
              <w:rPr>
                <w:rFonts w:asciiTheme="minorHAnsi" w:hAnsiTheme="minorHAnsi"/>
                <w:szCs w:val="20"/>
              </w:rPr>
            </w:pPr>
          </w:p>
        </w:tc>
      </w:tr>
      <w:tr w:rsidR="00605D8D" w:rsidRPr="00EE406F" w:rsidTr="00DE4E32">
        <w:trPr>
          <w:cantSplit/>
        </w:trPr>
        <w:tc>
          <w:tcPr>
            <w:tcW w:w="3348" w:type="dxa"/>
            <w:shd w:val="clear" w:color="auto" w:fill="auto"/>
          </w:tcPr>
          <w:p w:rsidR="00605D8D" w:rsidRPr="00EE406F" w:rsidRDefault="00605D8D" w:rsidP="00D72695">
            <w:pPr>
              <w:pStyle w:val="TableText"/>
              <w:rPr>
                <w:rFonts w:asciiTheme="minorHAnsi" w:hAnsiTheme="minorHAnsi"/>
                <w:szCs w:val="20"/>
              </w:rPr>
            </w:pPr>
            <w:r w:rsidRPr="00EE406F">
              <w:rPr>
                <w:rFonts w:asciiTheme="minorHAnsi" w:hAnsiTheme="minorHAnsi"/>
                <w:szCs w:val="20"/>
              </w:rPr>
              <w:t xml:space="preserve">Copy of the RIS document and RIS compliance certificate (under </w:t>
            </w:r>
            <w:r w:rsidR="00D13659" w:rsidRPr="00EE406F">
              <w:rPr>
                <w:rFonts w:asciiTheme="minorHAnsi" w:hAnsiTheme="minorHAnsi"/>
                <w:szCs w:val="20"/>
              </w:rPr>
              <w:t>section </w:t>
            </w:r>
            <w:r w:rsidRPr="00EE406F">
              <w:rPr>
                <w:rFonts w:asciiTheme="minorHAnsi" w:hAnsiTheme="minorHAnsi"/>
                <w:szCs w:val="20"/>
              </w:rPr>
              <w:t xml:space="preserve">10(4) for statutory rules or </w:t>
            </w:r>
            <w:r w:rsidR="00D13659" w:rsidRPr="00EE406F">
              <w:rPr>
                <w:rFonts w:asciiTheme="minorHAnsi" w:hAnsiTheme="minorHAnsi"/>
                <w:szCs w:val="20"/>
              </w:rPr>
              <w:t>section </w:t>
            </w:r>
            <w:r w:rsidRPr="00EE406F">
              <w:rPr>
                <w:rFonts w:asciiTheme="minorHAnsi" w:hAnsiTheme="minorHAnsi"/>
                <w:szCs w:val="20"/>
              </w:rPr>
              <w:t>12H for legislative instruments)</w:t>
            </w:r>
          </w:p>
        </w:tc>
        <w:tc>
          <w:tcPr>
            <w:tcW w:w="117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F050"/>
            </w:r>
          </w:p>
        </w:tc>
        <w:tc>
          <w:tcPr>
            <w:tcW w:w="1170" w:type="dxa"/>
            <w:shd w:val="clear" w:color="auto" w:fill="F2F2F2" w:themeFill="background1" w:themeFillShade="F2"/>
          </w:tcPr>
          <w:p w:rsidR="00605D8D" w:rsidRPr="00EE406F" w:rsidRDefault="00605D8D" w:rsidP="00D72695">
            <w:pPr>
              <w:pStyle w:val="TableText"/>
              <w:jc w:val="center"/>
              <w:rPr>
                <w:rFonts w:asciiTheme="minorHAnsi" w:hAnsiTheme="minorHAnsi"/>
                <w:szCs w:val="20"/>
              </w:rPr>
            </w:pPr>
          </w:p>
        </w:tc>
        <w:tc>
          <w:tcPr>
            <w:tcW w:w="135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F050"/>
            </w:r>
          </w:p>
        </w:tc>
        <w:tc>
          <w:tcPr>
            <w:tcW w:w="1350" w:type="dxa"/>
            <w:shd w:val="clear" w:color="auto" w:fill="F2F2F2" w:themeFill="background1" w:themeFillShade="F2"/>
          </w:tcPr>
          <w:p w:rsidR="00605D8D" w:rsidRPr="00EE406F" w:rsidRDefault="00605D8D" w:rsidP="00D72695">
            <w:pPr>
              <w:pStyle w:val="TableText"/>
              <w:jc w:val="center"/>
              <w:rPr>
                <w:rFonts w:asciiTheme="minorHAnsi" w:hAnsiTheme="minorHAnsi"/>
                <w:szCs w:val="20"/>
              </w:rPr>
            </w:pPr>
          </w:p>
        </w:tc>
      </w:tr>
      <w:tr w:rsidR="00605D8D" w:rsidRPr="00EE406F" w:rsidTr="00DE4E32">
        <w:trPr>
          <w:cantSplit/>
        </w:trPr>
        <w:tc>
          <w:tcPr>
            <w:tcW w:w="3348" w:type="dxa"/>
            <w:shd w:val="clear" w:color="auto" w:fill="auto"/>
          </w:tcPr>
          <w:p w:rsidR="00605D8D" w:rsidRPr="00EE406F" w:rsidRDefault="00605D8D" w:rsidP="00D72695">
            <w:pPr>
              <w:pStyle w:val="TableText"/>
              <w:rPr>
                <w:rFonts w:asciiTheme="minorHAnsi" w:hAnsiTheme="minorHAnsi"/>
                <w:szCs w:val="20"/>
              </w:rPr>
            </w:pPr>
            <w:r w:rsidRPr="00EE406F">
              <w:rPr>
                <w:rFonts w:asciiTheme="minorHAnsi" w:hAnsiTheme="minorHAnsi"/>
                <w:szCs w:val="20"/>
              </w:rPr>
              <w:t xml:space="preserve">Copy of </w:t>
            </w:r>
            <w:r w:rsidR="00B41D1D">
              <w:rPr>
                <w:rFonts w:asciiTheme="minorHAnsi" w:hAnsiTheme="minorHAnsi"/>
                <w:szCs w:val="20"/>
              </w:rPr>
              <w:t>the Commissioner</w:t>
            </w:r>
            <w:r w:rsidRPr="00EE406F">
              <w:rPr>
                <w:rFonts w:asciiTheme="minorHAnsi" w:hAnsiTheme="minorHAnsi"/>
                <w:szCs w:val="20"/>
              </w:rPr>
              <w:t>’s assessment of the RIS (required by the Premier’s Guidelines).</w:t>
            </w:r>
          </w:p>
        </w:tc>
        <w:tc>
          <w:tcPr>
            <w:tcW w:w="117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F050"/>
            </w:r>
          </w:p>
        </w:tc>
        <w:tc>
          <w:tcPr>
            <w:tcW w:w="1170" w:type="dxa"/>
            <w:shd w:val="clear" w:color="auto" w:fill="F2F2F2" w:themeFill="background1" w:themeFillShade="F2"/>
          </w:tcPr>
          <w:p w:rsidR="00605D8D" w:rsidRPr="00EE406F" w:rsidRDefault="00605D8D" w:rsidP="00D72695">
            <w:pPr>
              <w:pStyle w:val="TableText"/>
              <w:jc w:val="center"/>
              <w:rPr>
                <w:rFonts w:asciiTheme="minorHAnsi" w:hAnsiTheme="minorHAnsi"/>
                <w:szCs w:val="20"/>
              </w:rPr>
            </w:pPr>
          </w:p>
        </w:tc>
        <w:tc>
          <w:tcPr>
            <w:tcW w:w="135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F050"/>
            </w:r>
          </w:p>
        </w:tc>
        <w:tc>
          <w:tcPr>
            <w:tcW w:w="1350" w:type="dxa"/>
            <w:shd w:val="clear" w:color="auto" w:fill="F2F2F2" w:themeFill="background1" w:themeFillShade="F2"/>
          </w:tcPr>
          <w:p w:rsidR="00605D8D" w:rsidRPr="00EE406F" w:rsidRDefault="00605D8D" w:rsidP="00D72695">
            <w:pPr>
              <w:pStyle w:val="TableText"/>
              <w:jc w:val="center"/>
              <w:rPr>
                <w:rFonts w:asciiTheme="minorHAnsi" w:hAnsiTheme="minorHAnsi"/>
                <w:szCs w:val="20"/>
              </w:rPr>
            </w:pPr>
          </w:p>
        </w:tc>
      </w:tr>
      <w:tr w:rsidR="00605D8D" w:rsidRPr="00EE406F" w:rsidTr="00DE4E32">
        <w:trPr>
          <w:cantSplit/>
        </w:trPr>
        <w:tc>
          <w:tcPr>
            <w:tcW w:w="3348" w:type="dxa"/>
            <w:shd w:val="clear" w:color="auto" w:fill="auto"/>
          </w:tcPr>
          <w:p w:rsidR="00605D8D" w:rsidRPr="00EE406F" w:rsidRDefault="00605D8D" w:rsidP="00D72695">
            <w:pPr>
              <w:pStyle w:val="TableText"/>
              <w:rPr>
                <w:rFonts w:asciiTheme="minorHAnsi" w:hAnsiTheme="minorHAnsi"/>
                <w:szCs w:val="20"/>
              </w:rPr>
            </w:pPr>
            <w:r w:rsidRPr="00EE406F">
              <w:rPr>
                <w:rFonts w:asciiTheme="minorHAnsi" w:hAnsiTheme="minorHAnsi"/>
                <w:szCs w:val="20"/>
              </w:rPr>
              <w:t>Copies of all comments and submissions received in relation to the RIS</w:t>
            </w:r>
          </w:p>
        </w:tc>
        <w:tc>
          <w:tcPr>
            <w:tcW w:w="117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F050"/>
            </w:r>
          </w:p>
        </w:tc>
        <w:tc>
          <w:tcPr>
            <w:tcW w:w="1170" w:type="dxa"/>
            <w:shd w:val="clear" w:color="auto" w:fill="F2F2F2" w:themeFill="background1" w:themeFillShade="F2"/>
          </w:tcPr>
          <w:p w:rsidR="00605D8D" w:rsidRPr="00EE406F" w:rsidRDefault="00605D8D" w:rsidP="00D72695">
            <w:pPr>
              <w:pStyle w:val="TableText"/>
              <w:jc w:val="center"/>
              <w:rPr>
                <w:rFonts w:asciiTheme="minorHAnsi" w:hAnsiTheme="minorHAnsi"/>
                <w:szCs w:val="20"/>
              </w:rPr>
            </w:pPr>
          </w:p>
        </w:tc>
        <w:tc>
          <w:tcPr>
            <w:tcW w:w="135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F050"/>
            </w:r>
          </w:p>
        </w:tc>
        <w:tc>
          <w:tcPr>
            <w:tcW w:w="1350" w:type="dxa"/>
            <w:shd w:val="clear" w:color="auto" w:fill="F2F2F2" w:themeFill="background1" w:themeFillShade="F2"/>
          </w:tcPr>
          <w:p w:rsidR="00605D8D" w:rsidRPr="00EE406F" w:rsidRDefault="00605D8D" w:rsidP="00D72695">
            <w:pPr>
              <w:pStyle w:val="TableText"/>
              <w:jc w:val="center"/>
              <w:rPr>
                <w:rFonts w:asciiTheme="minorHAnsi" w:hAnsiTheme="minorHAnsi"/>
                <w:szCs w:val="20"/>
              </w:rPr>
            </w:pPr>
          </w:p>
        </w:tc>
      </w:tr>
      <w:tr w:rsidR="00605D8D" w:rsidRPr="00EE406F" w:rsidTr="00584FDB">
        <w:trPr>
          <w:cantSplit/>
        </w:trPr>
        <w:tc>
          <w:tcPr>
            <w:tcW w:w="3348" w:type="dxa"/>
            <w:shd w:val="clear" w:color="auto" w:fill="auto"/>
          </w:tcPr>
          <w:p w:rsidR="00605D8D" w:rsidRPr="00EE406F" w:rsidRDefault="00605D8D" w:rsidP="00D72695">
            <w:pPr>
              <w:pStyle w:val="TableText"/>
              <w:rPr>
                <w:rFonts w:asciiTheme="minorHAnsi" w:hAnsiTheme="minorHAnsi"/>
                <w:szCs w:val="20"/>
              </w:rPr>
            </w:pPr>
            <w:r w:rsidRPr="00EE406F">
              <w:rPr>
                <w:rFonts w:asciiTheme="minorHAnsi" w:hAnsiTheme="minorHAnsi"/>
                <w:szCs w:val="20"/>
              </w:rPr>
              <w:t>Copies of Notices published in the Government Gazette and daily newspaper</w:t>
            </w:r>
          </w:p>
        </w:tc>
        <w:tc>
          <w:tcPr>
            <w:tcW w:w="117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F050"/>
            </w:r>
          </w:p>
        </w:tc>
        <w:tc>
          <w:tcPr>
            <w:tcW w:w="117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F050"/>
            </w:r>
          </w:p>
        </w:tc>
        <w:tc>
          <w:tcPr>
            <w:tcW w:w="135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F050"/>
            </w:r>
          </w:p>
        </w:tc>
        <w:tc>
          <w:tcPr>
            <w:tcW w:w="135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F050"/>
            </w:r>
          </w:p>
        </w:tc>
      </w:tr>
      <w:tr w:rsidR="00605D8D" w:rsidRPr="00EE406F" w:rsidTr="00DE4E32">
        <w:trPr>
          <w:cantSplit/>
        </w:trPr>
        <w:tc>
          <w:tcPr>
            <w:tcW w:w="3348" w:type="dxa"/>
            <w:shd w:val="clear" w:color="auto" w:fill="auto"/>
          </w:tcPr>
          <w:p w:rsidR="00605D8D" w:rsidRPr="00EE406F" w:rsidRDefault="00605D8D" w:rsidP="00D72695">
            <w:pPr>
              <w:pStyle w:val="TableText"/>
              <w:rPr>
                <w:rFonts w:asciiTheme="minorHAnsi" w:hAnsiTheme="minorHAnsi"/>
                <w:szCs w:val="20"/>
              </w:rPr>
            </w:pPr>
            <w:r w:rsidRPr="00EE406F">
              <w:rPr>
                <w:rFonts w:asciiTheme="minorHAnsi" w:hAnsiTheme="minorHAnsi"/>
                <w:szCs w:val="20"/>
              </w:rPr>
              <w:t xml:space="preserve">Copy of RIS exemption certificate under </w:t>
            </w:r>
            <w:r w:rsidR="00D13659" w:rsidRPr="00EE406F">
              <w:rPr>
                <w:rFonts w:asciiTheme="minorHAnsi" w:hAnsiTheme="minorHAnsi"/>
                <w:szCs w:val="20"/>
              </w:rPr>
              <w:t>section </w:t>
            </w:r>
            <w:r w:rsidRPr="00EE406F">
              <w:rPr>
                <w:rFonts w:asciiTheme="minorHAnsi" w:hAnsiTheme="minorHAnsi"/>
                <w:szCs w:val="20"/>
              </w:rPr>
              <w:t xml:space="preserve">8 or 9 for statutory rules, or </w:t>
            </w:r>
            <w:r w:rsidR="00D13659" w:rsidRPr="00EE406F">
              <w:rPr>
                <w:rFonts w:asciiTheme="minorHAnsi" w:hAnsiTheme="minorHAnsi"/>
                <w:szCs w:val="20"/>
              </w:rPr>
              <w:t>section </w:t>
            </w:r>
            <w:r w:rsidRPr="00EE406F">
              <w:rPr>
                <w:rFonts w:asciiTheme="minorHAnsi" w:hAnsiTheme="minorHAnsi"/>
                <w:szCs w:val="20"/>
              </w:rPr>
              <w:t>12F or 12G for legislative instruments.</w:t>
            </w:r>
          </w:p>
        </w:tc>
        <w:tc>
          <w:tcPr>
            <w:tcW w:w="1170" w:type="dxa"/>
            <w:shd w:val="clear" w:color="auto" w:fill="F2F2F2" w:themeFill="background1" w:themeFillShade="F2"/>
          </w:tcPr>
          <w:p w:rsidR="00605D8D" w:rsidRPr="00EE406F" w:rsidRDefault="00605D8D" w:rsidP="00D72695">
            <w:pPr>
              <w:pStyle w:val="TableText"/>
              <w:jc w:val="center"/>
              <w:rPr>
                <w:rFonts w:asciiTheme="minorHAnsi" w:hAnsiTheme="minorHAnsi"/>
                <w:szCs w:val="20"/>
              </w:rPr>
            </w:pPr>
          </w:p>
        </w:tc>
        <w:tc>
          <w:tcPr>
            <w:tcW w:w="117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F050"/>
            </w:r>
          </w:p>
        </w:tc>
        <w:tc>
          <w:tcPr>
            <w:tcW w:w="1350" w:type="dxa"/>
            <w:shd w:val="clear" w:color="auto" w:fill="F2F2F2" w:themeFill="background1" w:themeFillShade="F2"/>
          </w:tcPr>
          <w:p w:rsidR="00605D8D" w:rsidRPr="00EE406F" w:rsidRDefault="00605D8D" w:rsidP="00D72695">
            <w:pPr>
              <w:pStyle w:val="TableText"/>
              <w:jc w:val="center"/>
              <w:rPr>
                <w:rFonts w:asciiTheme="minorHAnsi" w:hAnsiTheme="minorHAnsi"/>
                <w:szCs w:val="20"/>
              </w:rPr>
            </w:pPr>
          </w:p>
        </w:tc>
        <w:tc>
          <w:tcPr>
            <w:tcW w:w="135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F050"/>
            </w:r>
          </w:p>
        </w:tc>
      </w:tr>
      <w:tr w:rsidR="00605D8D" w:rsidRPr="00EE406F" w:rsidTr="00DE4E32">
        <w:trPr>
          <w:cantSplit/>
        </w:trPr>
        <w:tc>
          <w:tcPr>
            <w:tcW w:w="3348" w:type="dxa"/>
            <w:shd w:val="clear" w:color="auto" w:fill="auto"/>
          </w:tcPr>
          <w:p w:rsidR="00605D8D" w:rsidRPr="00EE406F" w:rsidRDefault="00605D8D" w:rsidP="00D72695">
            <w:pPr>
              <w:pStyle w:val="TableText"/>
              <w:rPr>
                <w:rFonts w:asciiTheme="minorHAnsi" w:hAnsiTheme="minorHAnsi"/>
                <w:szCs w:val="20"/>
              </w:rPr>
            </w:pPr>
            <w:r w:rsidRPr="00EE406F">
              <w:rPr>
                <w:rFonts w:asciiTheme="minorHAnsi" w:hAnsiTheme="minorHAnsi"/>
                <w:szCs w:val="20"/>
              </w:rPr>
              <w:t xml:space="preserve">If instrument is exempted by Premier’s certificate, the reasons given by the responsible Minister to the Premier as to why it is in the public interest that the instrument should be exempt </w:t>
            </w:r>
          </w:p>
        </w:tc>
        <w:tc>
          <w:tcPr>
            <w:tcW w:w="1170" w:type="dxa"/>
            <w:shd w:val="clear" w:color="auto" w:fill="F2F2F2" w:themeFill="background1" w:themeFillShade="F2"/>
          </w:tcPr>
          <w:p w:rsidR="00605D8D" w:rsidRPr="00EE406F" w:rsidRDefault="00605D8D" w:rsidP="00D72695">
            <w:pPr>
              <w:pStyle w:val="TableText"/>
              <w:jc w:val="center"/>
              <w:rPr>
                <w:rFonts w:asciiTheme="minorHAnsi" w:hAnsiTheme="minorHAnsi"/>
                <w:szCs w:val="20"/>
              </w:rPr>
            </w:pPr>
          </w:p>
        </w:tc>
        <w:tc>
          <w:tcPr>
            <w:tcW w:w="117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F050"/>
            </w:r>
          </w:p>
        </w:tc>
        <w:tc>
          <w:tcPr>
            <w:tcW w:w="1350" w:type="dxa"/>
            <w:shd w:val="clear" w:color="auto" w:fill="F2F2F2" w:themeFill="background1" w:themeFillShade="F2"/>
          </w:tcPr>
          <w:p w:rsidR="00605D8D" w:rsidRPr="00EE406F" w:rsidRDefault="00605D8D" w:rsidP="00D72695">
            <w:pPr>
              <w:pStyle w:val="TableText"/>
              <w:jc w:val="center"/>
              <w:rPr>
                <w:rFonts w:asciiTheme="minorHAnsi" w:hAnsiTheme="minorHAnsi"/>
                <w:szCs w:val="20"/>
              </w:rPr>
            </w:pPr>
          </w:p>
        </w:tc>
        <w:tc>
          <w:tcPr>
            <w:tcW w:w="135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F050"/>
            </w:r>
          </w:p>
        </w:tc>
      </w:tr>
      <w:tr w:rsidR="00605D8D" w:rsidRPr="00EE406F" w:rsidTr="00584FDB">
        <w:trPr>
          <w:cantSplit/>
        </w:trPr>
        <w:tc>
          <w:tcPr>
            <w:tcW w:w="3348" w:type="dxa"/>
            <w:shd w:val="clear" w:color="auto" w:fill="auto"/>
          </w:tcPr>
          <w:p w:rsidR="00605D8D" w:rsidRPr="00EE406F" w:rsidRDefault="00605D8D" w:rsidP="00D72695">
            <w:pPr>
              <w:pStyle w:val="TableText"/>
              <w:rPr>
                <w:rFonts w:asciiTheme="minorHAnsi" w:hAnsiTheme="minorHAnsi"/>
                <w:szCs w:val="20"/>
              </w:rPr>
            </w:pPr>
            <w:r w:rsidRPr="00EE406F">
              <w:rPr>
                <w:rFonts w:asciiTheme="minorHAnsi" w:hAnsiTheme="minorHAnsi"/>
                <w:szCs w:val="20"/>
              </w:rPr>
              <w:t xml:space="preserve">Copy of human rights certificate (under </w:t>
            </w:r>
            <w:r w:rsidR="00D13659" w:rsidRPr="00EE406F">
              <w:rPr>
                <w:rFonts w:asciiTheme="minorHAnsi" w:hAnsiTheme="minorHAnsi"/>
                <w:szCs w:val="20"/>
              </w:rPr>
              <w:t>section </w:t>
            </w:r>
            <w:r w:rsidRPr="00EE406F">
              <w:rPr>
                <w:rFonts w:asciiTheme="minorHAnsi" w:hAnsiTheme="minorHAnsi"/>
                <w:szCs w:val="20"/>
              </w:rPr>
              <w:t xml:space="preserve">12A for statutory rules or </w:t>
            </w:r>
            <w:r w:rsidR="00D13659" w:rsidRPr="00EE406F">
              <w:rPr>
                <w:rFonts w:asciiTheme="minorHAnsi" w:hAnsiTheme="minorHAnsi"/>
                <w:szCs w:val="20"/>
              </w:rPr>
              <w:t>section </w:t>
            </w:r>
            <w:r w:rsidRPr="00EE406F">
              <w:rPr>
                <w:rFonts w:asciiTheme="minorHAnsi" w:hAnsiTheme="minorHAnsi"/>
                <w:szCs w:val="20"/>
              </w:rPr>
              <w:t xml:space="preserve">12D for legislative instruments), or copy of human rights exemption certificate (under </w:t>
            </w:r>
            <w:r w:rsidR="00D13659" w:rsidRPr="00EE406F">
              <w:rPr>
                <w:rFonts w:asciiTheme="minorHAnsi" w:hAnsiTheme="minorHAnsi"/>
                <w:szCs w:val="20"/>
              </w:rPr>
              <w:t>section </w:t>
            </w:r>
            <w:r w:rsidRPr="00EE406F">
              <w:rPr>
                <w:rFonts w:asciiTheme="minorHAnsi" w:hAnsiTheme="minorHAnsi"/>
                <w:szCs w:val="20"/>
              </w:rPr>
              <w:t xml:space="preserve">12A(3) for statutory rules or </w:t>
            </w:r>
            <w:r w:rsidR="00D13659" w:rsidRPr="00EE406F">
              <w:rPr>
                <w:rFonts w:asciiTheme="minorHAnsi" w:hAnsiTheme="minorHAnsi"/>
                <w:szCs w:val="20"/>
              </w:rPr>
              <w:t>section </w:t>
            </w:r>
            <w:r w:rsidRPr="00EE406F">
              <w:rPr>
                <w:rFonts w:asciiTheme="minorHAnsi" w:hAnsiTheme="minorHAnsi"/>
                <w:szCs w:val="20"/>
              </w:rPr>
              <w:t xml:space="preserve">12D(3) for legislative instruments) </w:t>
            </w:r>
          </w:p>
        </w:tc>
        <w:tc>
          <w:tcPr>
            <w:tcW w:w="117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F050"/>
            </w:r>
          </w:p>
        </w:tc>
        <w:tc>
          <w:tcPr>
            <w:tcW w:w="117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F050"/>
            </w:r>
          </w:p>
        </w:tc>
        <w:tc>
          <w:tcPr>
            <w:tcW w:w="135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F050"/>
            </w:r>
          </w:p>
        </w:tc>
        <w:tc>
          <w:tcPr>
            <w:tcW w:w="135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F050"/>
            </w:r>
          </w:p>
        </w:tc>
      </w:tr>
      <w:tr w:rsidR="00605D8D" w:rsidRPr="00EE406F" w:rsidTr="00730738">
        <w:trPr>
          <w:cantSplit/>
        </w:trPr>
        <w:tc>
          <w:tcPr>
            <w:tcW w:w="3348" w:type="dxa"/>
            <w:shd w:val="clear" w:color="auto" w:fill="auto"/>
          </w:tcPr>
          <w:p w:rsidR="00605D8D" w:rsidRPr="00EE406F" w:rsidRDefault="00605D8D" w:rsidP="00D72695">
            <w:pPr>
              <w:pStyle w:val="TableText"/>
              <w:rPr>
                <w:rFonts w:asciiTheme="minorHAnsi" w:hAnsiTheme="minorHAnsi"/>
                <w:szCs w:val="20"/>
              </w:rPr>
            </w:pPr>
            <w:r w:rsidRPr="00EE406F">
              <w:rPr>
                <w:rFonts w:asciiTheme="minorHAnsi" w:hAnsiTheme="minorHAnsi"/>
                <w:szCs w:val="20"/>
              </w:rPr>
              <w:t xml:space="preserve">Copy of extension certificate and Premier’s certificate under </w:t>
            </w:r>
            <w:r w:rsidR="00D13659" w:rsidRPr="00EE406F">
              <w:rPr>
                <w:rFonts w:asciiTheme="minorHAnsi" w:hAnsiTheme="minorHAnsi"/>
                <w:szCs w:val="20"/>
              </w:rPr>
              <w:t>section </w:t>
            </w:r>
            <w:r w:rsidRPr="00EE406F">
              <w:rPr>
                <w:rFonts w:asciiTheme="minorHAnsi" w:hAnsiTheme="minorHAnsi"/>
                <w:szCs w:val="20"/>
              </w:rPr>
              <w:t>5A(3) (if proposed statutory rule is an extension regulation)</w:t>
            </w:r>
          </w:p>
        </w:tc>
        <w:tc>
          <w:tcPr>
            <w:tcW w:w="117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F050"/>
            </w:r>
            <w:r w:rsidRPr="00EE406F">
              <w:rPr>
                <w:rFonts w:asciiTheme="minorHAnsi" w:hAnsiTheme="minorHAnsi"/>
                <w:szCs w:val="20"/>
              </w:rPr>
              <w:br/>
              <w:t>(extension regulations only)</w:t>
            </w:r>
          </w:p>
        </w:tc>
        <w:tc>
          <w:tcPr>
            <w:tcW w:w="117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F050"/>
            </w:r>
            <w:r w:rsidRPr="00EE406F">
              <w:rPr>
                <w:rFonts w:asciiTheme="minorHAnsi" w:hAnsiTheme="minorHAnsi"/>
                <w:szCs w:val="20"/>
              </w:rPr>
              <w:br/>
              <w:t>(extension regulations only)</w:t>
            </w:r>
          </w:p>
        </w:tc>
        <w:tc>
          <w:tcPr>
            <w:tcW w:w="1350" w:type="dxa"/>
            <w:shd w:val="clear" w:color="auto" w:fill="F2F2F2" w:themeFill="background1" w:themeFillShade="F2"/>
          </w:tcPr>
          <w:p w:rsidR="00605D8D" w:rsidRPr="00EE406F" w:rsidRDefault="00605D8D" w:rsidP="00D72695">
            <w:pPr>
              <w:pStyle w:val="TableText"/>
              <w:jc w:val="center"/>
              <w:rPr>
                <w:rFonts w:asciiTheme="minorHAnsi" w:hAnsiTheme="minorHAnsi"/>
                <w:szCs w:val="20"/>
              </w:rPr>
            </w:pPr>
          </w:p>
        </w:tc>
        <w:tc>
          <w:tcPr>
            <w:tcW w:w="1350" w:type="dxa"/>
            <w:shd w:val="clear" w:color="auto" w:fill="F2F2F2" w:themeFill="background1" w:themeFillShade="F2"/>
          </w:tcPr>
          <w:p w:rsidR="00605D8D" w:rsidRPr="00EE406F" w:rsidRDefault="00605D8D" w:rsidP="00D72695">
            <w:pPr>
              <w:pStyle w:val="TableText"/>
              <w:jc w:val="center"/>
              <w:rPr>
                <w:rFonts w:asciiTheme="minorHAnsi" w:hAnsiTheme="minorHAnsi"/>
                <w:szCs w:val="20"/>
              </w:rPr>
            </w:pPr>
          </w:p>
        </w:tc>
      </w:tr>
      <w:tr w:rsidR="00605D8D" w:rsidRPr="00EE406F" w:rsidTr="00DE4E32">
        <w:trPr>
          <w:cantSplit/>
        </w:trPr>
        <w:tc>
          <w:tcPr>
            <w:tcW w:w="3348" w:type="dxa"/>
            <w:shd w:val="clear" w:color="auto" w:fill="auto"/>
          </w:tcPr>
          <w:p w:rsidR="00605D8D" w:rsidRPr="00EE406F" w:rsidRDefault="00605D8D" w:rsidP="00D72695">
            <w:pPr>
              <w:pStyle w:val="TableText"/>
              <w:rPr>
                <w:rFonts w:asciiTheme="minorHAnsi" w:hAnsiTheme="minorHAnsi"/>
                <w:szCs w:val="20"/>
              </w:rPr>
            </w:pPr>
            <w:r w:rsidRPr="00EE406F">
              <w:rPr>
                <w:rFonts w:asciiTheme="minorHAnsi" w:hAnsiTheme="minorHAnsi"/>
                <w:szCs w:val="20"/>
              </w:rPr>
              <w:t>Copy of the Minister’s recommendation to the Governor in Council to make the statutory rule</w:t>
            </w:r>
          </w:p>
        </w:tc>
        <w:tc>
          <w:tcPr>
            <w:tcW w:w="117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F050"/>
            </w:r>
          </w:p>
        </w:tc>
        <w:tc>
          <w:tcPr>
            <w:tcW w:w="117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F050"/>
            </w:r>
          </w:p>
        </w:tc>
        <w:tc>
          <w:tcPr>
            <w:tcW w:w="1350" w:type="dxa"/>
            <w:shd w:val="clear" w:color="auto" w:fill="F2F2F2" w:themeFill="background1" w:themeFillShade="F2"/>
          </w:tcPr>
          <w:p w:rsidR="00605D8D" w:rsidRPr="00EE406F" w:rsidRDefault="00605D8D" w:rsidP="00D72695">
            <w:pPr>
              <w:pStyle w:val="TableText"/>
              <w:jc w:val="center"/>
              <w:rPr>
                <w:rFonts w:asciiTheme="minorHAnsi" w:hAnsiTheme="minorHAnsi"/>
                <w:szCs w:val="20"/>
              </w:rPr>
            </w:pPr>
          </w:p>
        </w:tc>
        <w:tc>
          <w:tcPr>
            <w:tcW w:w="1350" w:type="dxa"/>
            <w:shd w:val="clear" w:color="auto" w:fill="F2F2F2" w:themeFill="background1" w:themeFillShade="F2"/>
          </w:tcPr>
          <w:p w:rsidR="00605D8D" w:rsidRPr="00EE406F" w:rsidRDefault="00605D8D" w:rsidP="00D72695">
            <w:pPr>
              <w:pStyle w:val="TableText"/>
              <w:jc w:val="center"/>
              <w:rPr>
                <w:rFonts w:asciiTheme="minorHAnsi" w:hAnsiTheme="minorHAnsi"/>
                <w:szCs w:val="20"/>
              </w:rPr>
            </w:pPr>
          </w:p>
        </w:tc>
      </w:tr>
      <w:tr w:rsidR="00605D8D" w:rsidRPr="00EE406F" w:rsidTr="00584FDB">
        <w:trPr>
          <w:cantSplit/>
        </w:trPr>
        <w:tc>
          <w:tcPr>
            <w:tcW w:w="3348" w:type="dxa"/>
            <w:shd w:val="clear" w:color="auto" w:fill="auto"/>
          </w:tcPr>
          <w:p w:rsidR="00605D8D" w:rsidRPr="00EE406F" w:rsidRDefault="00605D8D" w:rsidP="00D72695">
            <w:pPr>
              <w:pStyle w:val="TableText"/>
              <w:rPr>
                <w:rFonts w:asciiTheme="minorHAnsi" w:hAnsiTheme="minorHAnsi"/>
                <w:szCs w:val="20"/>
              </w:rPr>
            </w:pPr>
            <w:r w:rsidRPr="00EE406F">
              <w:rPr>
                <w:rFonts w:asciiTheme="minorHAnsi" w:hAnsiTheme="minorHAnsi"/>
                <w:szCs w:val="20"/>
              </w:rPr>
              <w:t>If the proposed rule or instrument is setting new fees or charges, a table comparing the new and old fees/charges, including an indication of the percentage increase or decrease of each fee.</w:t>
            </w:r>
          </w:p>
        </w:tc>
        <w:tc>
          <w:tcPr>
            <w:tcW w:w="117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F050"/>
            </w:r>
          </w:p>
        </w:tc>
        <w:tc>
          <w:tcPr>
            <w:tcW w:w="117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F050"/>
            </w:r>
          </w:p>
        </w:tc>
        <w:tc>
          <w:tcPr>
            <w:tcW w:w="135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F050"/>
            </w:r>
          </w:p>
        </w:tc>
        <w:tc>
          <w:tcPr>
            <w:tcW w:w="135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F050"/>
            </w:r>
          </w:p>
        </w:tc>
      </w:tr>
      <w:tr w:rsidR="00605D8D" w:rsidRPr="00EE406F" w:rsidTr="00DE4E32">
        <w:trPr>
          <w:cantSplit/>
        </w:trPr>
        <w:tc>
          <w:tcPr>
            <w:tcW w:w="3348" w:type="dxa"/>
            <w:shd w:val="clear" w:color="auto" w:fill="auto"/>
          </w:tcPr>
          <w:p w:rsidR="00605D8D" w:rsidRPr="00EE406F" w:rsidRDefault="00605D8D" w:rsidP="00D72695">
            <w:pPr>
              <w:pStyle w:val="TableText"/>
              <w:rPr>
                <w:rFonts w:asciiTheme="minorHAnsi" w:hAnsiTheme="minorHAnsi"/>
                <w:color w:val="000000"/>
                <w:szCs w:val="20"/>
                <w:highlight w:val="yellow"/>
              </w:rPr>
            </w:pPr>
            <w:r w:rsidRPr="00EE406F">
              <w:rPr>
                <w:rFonts w:asciiTheme="minorHAnsi" w:hAnsiTheme="minorHAnsi"/>
                <w:color w:val="000000"/>
                <w:szCs w:val="20"/>
              </w:rPr>
              <w:t xml:space="preserve">Seven copies of the explanatory memorandum that was sent to the Clerk of the Executive Council </w:t>
            </w:r>
          </w:p>
        </w:tc>
        <w:tc>
          <w:tcPr>
            <w:tcW w:w="117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F050"/>
            </w:r>
          </w:p>
        </w:tc>
        <w:tc>
          <w:tcPr>
            <w:tcW w:w="1170" w:type="dxa"/>
            <w:shd w:val="clear" w:color="auto" w:fill="auto"/>
          </w:tcPr>
          <w:p w:rsidR="00605D8D" w:rsidRPr="00EE406F" w:rsidRDefault="00605D8D" w:rsidP="00D72695">
            <w:pPr>
              <w:pStyle w:val="TableText"/>
              <w:jc w:val="center"/>
              <w:rPr>
                <w:rFonts w:asciiTheme="minorHAnsi" w:hAnsiTheme="minorHAnsi"/>
                <w:szCs w:val="20"/>
              </w:rPr>
            </w:pPr>
            <w:r w:rsidRPr="00EE406F">
              <w:rPr>
                <w:rFonts w:asciiTheme="minorHAnsi" w:hAnsiTheme="minorHAnsi"/>
                <w:szCs w:val="20"/>
              </w:rPr>
              <w:sym w:font="Wingdings 2" w:char="F050"/>
            </w:r>
          </w:p>
        </w:tc>
        <w:tc>
          <w:tcPr>
            <w:tcW w:w="1350" w:type="dxa"/>
            <w:shd w:val="clear" w:color="auto" w:fill="F2F2F2" w:themeFill="background1" w:themeFillShade="F2"/>
          </w:tcPr>
          <w:p w:rsidR="00605D8D" w:rsidRPr="00EE406F" w:rsidRDefault="00605D8D" w:rsidP="00D72695">
            <w:pPr>
              <w:pStyle w:val="TableText"/>
              <w:jc w:val="center"/>
              <w:rPr>
                <w:rFonts w:asciiTheme="minorHAnsi" w:hAnsiTheme="minorHAnsi"/>
                <w:szCs w:val="20"/>
              </w:rPr>
            </w:pPr>
          </w:p>
        </w:tc>
        <w:tc>
          <w:tcPr>
            <w:tcW w:w="1350" w:type="dxa"/>
            <w:shd w:val="clear" w:color="auto" w:fill="F2F2F2" w:themeFill="background1" w:themeFillShade="F2"/>
          </w:tcPr>
          <w:p w:rsidR="00605D8D" w:rsidRPr="00EE406F" w:rsidRDefault="00605D8D" w:rsidP="00D72695">
            <w:pPr>
              <w:pStyle w:val="TableText"/>
              <w:jc w:val="center"/>
              <w:rPr>
                <w:rFonts w:asciiTheme="minorHAnsi" w:hAnsiTheme="minorHAnsi"/>
                <w:szCs w:val="20"/>
              </w:rPr>
            </w:pPr>
          </w:p>
        </w:tc>
      </w:tr>
    </w:tbl>
    <w:p w:rsidR="00605D8D" w:rsidRDefault="00605D8D" w:rsidP="00605D8D">
      <w:pPr>
        <w:pStyle w:val="Spacer"/>
      </w:pPr>
    </w:p>
    <w:p w:rsidR="00605D8D" w:rsidRPr="00EE406F" w:rsidRDefault="00605D8D" w:rsidP="00EF1B77">
      <w:pPr>
        <w:pStyle w:val="Heading2"/>
        <w:numPr>
          <w:ilvl w:val="0"/>
          <w:numId w:val="0"/>
        </w:numPr>
        <w:ind w:left="794"/>
        <w:rPr>
          <w:b/>
          <w:color w:val="004EA8"/>
          <w:sz w:val="26"/>
          <w:szCs w:val="26"/>
        </w:rPr>
      </w:pPr>
      <w:bookmarkStart w:id="99" w:name="_Toc397608137"/>
      <w:r w:rsidRPr="00EE406F">
        <w:rPr>
          <w:b/>
          <w:color w:val="004EA8"/>
          <w:sz w:val="26"/>
          <w:szCs w:val="26"/>
        </w:rPr>
        <w:t>Certificate templates</w:t>
      </w:r>
      <w:bookmarkEnd w:id="99"/>
    </w:p>
    <w:bookmarkEnd w:id="94"/>
    <w:bookmarkEnd w:id="95"/>
    <w:bookmarkEnd w:id="96"/>
    <w:bookmarkEnd w:id="97"/>
    <w:p w:rsidR="002436EC" w:rsidRPr="00EE406F" w:rsidRDefault="002436EC" w:rsidP="002436EC">
      <w:pPr>
        <w:pStyle w:val="Heading3NoNum"/>
        <w:rPr>
          <w:sz w:val="22"/>
        </w:rPr>
      </w:pPr>
      <w:r w:rsidRPr="00EE406F">
        <w:rPr>
          <w:sz w:val="22"/>
        </w:rPr>
        <w:t>Composite certificates</w:t>
      </w:r>
    </w:p>
    <w:p w:rsidR="002436EC" w:rsidRPr="00EE406F" w:rsidRDefault="002436EC" w:rsidP="002436EC">
      <w:pPr>
        <w:rPr>
          <w:sz w:val="20"/>
          <w:szCs w:val="20"/>
        </w:rPr>
      </w:pPr>
      <w:r w:rsidRPr="00EE406F">
        <w:rPr>
          <w:sz w:val="20"/>
          <w:szCs w:val="20"/>
        </w:rPr>
        <w:t>When preparing certificates, keep in mind that a composite certificate can be made that incorporates:</w:t>
      </w:r>
    </w:p>
    <w:p w:rsidR="002436EC" w:rsidRPr="00EE406F" w:rsidRDefault="002436EC" w:rsidP="002436EC">
      <w:pPr>
        <w:pStyle w:val="Bullet1"/>
        <w:rPr>
          <w:sz w:val="20"/>
          <w:szCs w:val="20"/>
        </w:rPr>
      </w:pPr>
      <w:r w:rsidRPr="00EE406F">
        <w:rPr>
          <w:rFonts w:cs="Arial"/>
          <w:bCs/>
          <w:sz w:val="20"/>
          <w:szCs w:val="20"/>
        </w:rPr>
        <w:t>In relation to statutory rules, the certificates required by sections 6, 6A, 8 and 10(4) of the SLA (i.e. the consultation certificate, the infringements offence consultation certificate, and the RIS exemption certificate or RIS compliance certificate), or any combination of those certificates. (See section 12B).</w:t>
      </w:r>
    </w:p>
    <w:p w:rsidR="002436EC" w:rsidRPr="00EE406F" w:rsidRDefault="002436EC" w:rsidP="002436EC">
      <w:pPr>
        <w:pStyle w:val="Bullet1"/>
        <w:rPr>
          <w:sz w:val="20"/>
          <w:szCs w:val="20"/>
        </w:rPr>
      </w:pPr>
      <w:r w:rsidRPr="00EE406F">
        <w:rPr>
          <w:sz w:val="20"/>
          <w:szCs w:val="20"/>
        </w:rPr>
        <w:t xml:space="preserve">In relation to legislative instrument, the certificates required by sections 12C, 12F and </w:t>
      </w:r>
      <w:proofErr w:type="gramStart"/>
      <w:r w:rsidRPr="00EE406F">
        <w:rPr>
          <w:sz w:val="20"/>
          <w:szCs w:val="20"/>
        </w:rPr>
        <w:t>12H(</w:t>
      </w:r>
      <w:proofErr w:type="gramEnd"/>
      <w:r w:rsidRPr="00EE406F">
        <w:rPr>
          <w:sz w:val="20"/>
          <w:szCs w:val="20"/>
        </w:rPr>
        <w:t>4) (i.e. the consultation certificate and the RIS exemption certificate or RIS compliance certificate), or any combination of those certificates. (See section 12K).</w:t>
      </w:r>
    </w:p>
    <w:p w:rsidR="00584FDB" w:rsidRPr="00EE406F" w:rsidRDefault="00584FDB">
      <w:pPr>
        <w:spacing w:before="0" w:after="0"/>
        <w:ind w:left="0"/>
        <w:rPr>
          <w:rFonts w:cs="Arial"/>
          <w:bCs/>
          <w:sz w:val="20"/>
          <w:szCs w:val="20"/>
        </w:rPr>
      </w:pPr>
      <w:r w:rsidRPr="00EE406F">
        <w:rPr>
          <w:rFonts w:cs="Arial"/>
          <w:bCs/>
          <w:sz w:val="20"/>
          <w:szCs w:val="20"/>
        </w:rPr>
        <w:br w:type="page"/>
      </w:r>
    </w:p>
    <w:p w:rsidR="002436EC" w:rsidRPr="00EE406F" w:rsidRDefault="002436EC" w:rsidP="002436EC">
      <w:pPr>
        <w:spacing w:after="60"/>
        <w:rPr>
          <w:rFonts w:cs="Arial"/>
          <w:bCs/>
          <w:sz w:val="20"/>
          <w:szCs w:val="20"/>
        </w:rPr>
      </w:pPr>
      <w:r w:rsidRPr="00EE406F">
        <w:rPr>
          <w:rFonts w:cs="Arial"/>
          <w:bCs/>
          <w:sz w:val="20"/>
          <w:szCs w:val="20"/>
        </w:rPr>
        <w:t>An example of a composite certificate is provided below.</w:t>
      </w:r>
    </w:p>
    <w:p w:rsidR="00605D8D" w:rsidRPr="00EE406F" w:rsidRDefault="00605D8D" w:rsidP="004D6B11">
      <w:pPr>
        <w:pStyle w:val="Heading3NoNum"/>
        <w:rPr>
          <w:noProof/>
          <w:color w:val="auto"/>
          <w:sz w:val="22"/>
        </w:rPr>
      </w:pPr>
      <w:r w:rsidRPr="00EE406F">
        <w:rPr>
          <w:color w:val="auto"/>
          <w:sz w:val="22"/>
        </w:rPr>
        <w:t>Certificate</w:t>
      </w:r>
      <w:r w:rsidRPr="00EE406F">
        <w:rPr>
          <w:noProof/>
          <w:color w:val="auto"/>
          <w:sz w:val="22"/>
        </w:rPr>
        <w:t xml:space="preserve"> of consultation – </w:t>
      </w:r>
      <w:r w:rsidR="00D13659" w:rsidRPr="00EE406F">
        <w:rPr>
          <w:noProof/>
          <w:color w:val="auto"/>
          <w:sz w:val="22"/>
        </w:rPr>
        <w:t>section </w:t>
      </w:r>
      <w:r w:rsidRPr="00EE406F">
        <w:rPr>
          <w:noProof/>
          <w:color w:val="auto"/>
          <w:sz w:val="22"/>
        </w:rPr>
        <w:t>6 (statutory rules) or 12C (legislative instruments</w:t>
      </w:r>
      <w:r w:rsidRPr="00EE406F">
        <w:rPr>
          <w:noProof/>
          <w:color w:val="auto"/>
          <w:sz w:val="22"/>
          <w:vertAlign w:val="superscript"/>
        </w:rPr>
        <w:footnoteReference w:customMarkFollows="1" w:id="23"/>
        <w:sym w:font="Symbol" w:char="0023"/>
      </w:r>
      <w:r w:rsidRPr="00EE406F">
        <w:rPr>
          <w:noProof/>
          <w:color w:val="auto"/>
          <w:sz w:val="22"/>
        </w:rPr>
        <w:t>)</w:t>
      </w:r>
    </w:p>
    <w:tbl>
      <w:tblPr>
        <w:tblW w:w="8404"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4"/>
      </w:tblGrid>
      <w:tr w:rsidR="00605D8D" w:rsidTr="00730738">
        <w:tc>
          <w:tcPr>
            <w:tcW w:w="8404" w:type="dxa"/>
            <w:tcBorders>
              <w:top w:val="single" w:sz="4" w:space="0" w:color="auto"/>
              <w:left w:val="single" w:sz="4" w:space="0" w:color="auto"/>
              <w:bottom w:val="single" w:sz="4" w:space="0" w:color="auto"/>
              <w:right w:val="single" w:sz="4" w:space="0" w:color="auto"/>
            </w:tcBorders>
            <w:shd w:val="clear" w:color="auto" w:fill="auto"/>
          </w:tcPr>
          <w:p w:rsidR="00605D8D" w:rsidRPr="004D6B11" w:rsidRDefault="00605D8D" w:rsidP="00240B39">
            <w:pPr>
              <w:pStyle w:val="TableTextbold"/>
              <w:spacing w:before="40" w:after="40"/>
              <w:jc w:val="center"/>
              <w:rPr>
                <w:i/>
              </w:rPr>
            </w:pPr>
            <w:r w:rsidRPr="004D6B11">
              <w:rPr>
                <w:i/>
              </w:rPr>
              <w:t>Subordinate Legislation Act 1994</w:t>
            </w:r>
          </w:p>
          <w:p w:rsidR="00605D8D" w:rsidRDefault="00605D8D" w:rsidP="00240B39">
            <w:pPr>
              <w:pStyle w:val="TableTextbold"/>
              <w:spacing w:before="40" w:after="40"/>
              <w:jc w:val="center"/>
            </w:pPr>
            <w:r>
              <w:t xml:space="preserve">CERTIFICATE OF CONSULTATION UNDER [INSERT EITHER: SECTION 6 </w:t>
            </w:r>
            <w:r>
              <w:rPr>
                <w:u w:val="single"/>
              </w:rPr>
              <w:t>or</w:t>
            </w:r>
            <w:r>
              <w:t xml:space="preserve"> SECTION 12C</w:t>
            </w:r>
            <w:r>
              <w:rPr>
                <w:rStyle w:val="FootnoteReference"/>
              </w:rPr>
              <w:footnoteReference w:customMarkFollows="1" w:id="24"/>
              <w:sym w:font="Symbol" w:char="002A"/>
            </w:r>
            <w:r>
              <w:t>]</w:t>
            </w:r>
          </w:p>
          <w:p w:rsidR="00605D8D" w:rsidRDefault="00605D8D" w:rsidP="00240B39">
            <w:pPr>
              <w:pStyle w:val="TableTextbold"/>
              <w:spacing w:before="40" w:after="40"/>
              <w:jc w:val="center"/>
            </w:pPr>
            <w:r>
              <w:t>[Title of Regulations/Legislative instrument]</w:t>
            </w:r>
          </w:p>
          <w:p w:rsidR="004D6B11" w:rsidRDefault="004D6B11" w:rsidP="00240B39">
            <w:pPr>
              <w:pStyle w:val="TableText"/>
              <w:spacing w:before="40" w:after="40"/>
              <w:rPr>
                <w:sz w:val="18"/>
              </w:rPr>
            </w:pPr>
          </w:p>
          <w:p w:rsidR="00605D8D" w:rsidRDefault="00605D8D" w:rsidP="00240B39">
            <w:pPr>
              <w:pStyle w:val="TableText"/>
              <w:spacing w:before="40" w:after="40"/>
              <w:rPr>
                <w:sz w:val="18"/>
              </w:rPr>
            </w:pPr>
            <w:r w:rsidRPr="004D6B11">
              <w:rPr>
                <w:sz w:val="18"/>
              </w:rPr>
              <w:t>I, [Minister’s name], Minister for [Portfolio], and Minister for the administration of the [</w:t>
            </w:r>
            <w:r w:rsidRPr="004D6B11">
              <w:rPr>
                <w:b/>
                <w:bCs/>
                <w:sz w:val="18"/>
              </w:rPr>
              <w:t>Title of Authorising Act and Year</w:t>
            </w:r>
            <w:r w:rsidRPr="004D6B11">
              <w:rPr>
                <w:sz w:val="18"/>
              </w:rPr>
              <w:t xml:space="preserve">], certify under [insert either </w:t>
            </w:r>
            <w:r w:rsidR="00D13659">
              <w:rPr>
                <w:sz w:val="18"/>
              </w:rPr>
              <w:t>section </w:t>
            </w:r>
            <w:r w:rsidRPr="004D6B11">
              <w:rPr>
                <w:sz w:val="18"/>
              </w:rPr>
              <w:t xml:space="preserve">6 </w:t>
            </w:r>
            <w:r w:rsidRPr="004D6B11">
              <w:rPr>
                <w:sz w:val="18"/>
                <w:u w:val="single"/>
              </w:rPr>
              <w:t>or</w:t>
            </w:r>
            <w:r w:rsidRPr="004D6B11">
              <w:rPr>
                <w:sz w:val="18"/>
              </w:rPr>
              <w:t xml:space="preserve"> 12C</w:t>
            </w:r>
            <w:r w:rsidRPr="004D6B11">
              <w:rPr>
                <w:sz w:val="18"/>
                <w:vertAlign w:val="superscript"/>
              </w:rPr>
              <w:sym w:font="Symbol" w:char="002A"/>
            </w:r>
            <w:r w:rsidRPr="004D6B11">
              <w:rPr>
                <w:sz w:val="18"/>
              </w:rPr>
              <w:t xml:space="preserve">] of the </w:t>
            </w:r>
            <w:r w:rsidRPr="004D6B11">
              <w:rPr>
                <w:b/>
                <w:bCs/>
                <w:i/>
                <w:sz w:val="18"/>
              </w:rPr>
              <w:t>Subordinate Legislation Act 1994</w:t>
            </w:r>
            <w:r w:rsidRPr="004D6B11">
              <w:rPr>
                <w:sz w:val="18"/>
              </w:rPr>
              <w:t xml:space="preserve"> that:</w:t>
            </w:r>
          </w:p>
          <w:p w:rsidR="00605D8D" w:rsidRPr="004D6B11" w:rsidRDefault="00605D8D" w:rsidP="00240B39">
            <w:pPr>
              <w:pStyle w:val="ListNumbertable"/>
              <w:spacing w:before="40" w:after="40"/>
            </w:pPr>
            <w:r w:rsidRPr="004D6B11">
              <w:t xml:space="preserve">there has been consultation in accordance with the Premier’s Guidelines made under the </w:t>
            </w:r>
            <w:r w:rsidRPr="004D6B11">
              <w:rPr>
                <w:i/>
              </w:rPr>
              <w:t>Subordinate Legislation Act 1994</w:t>
            </w:r>
            <w:r w:rsidRPr="004D6B11">
              <w:t>, and the matters to be dealt with under the proposed [Title of Regulations/legislative instrument] do not impinge upon or unduly affect the area of responsibility of any other Minister, and there is no overlapping or duplication of, or conflict with, the legislation, statutory rules or stated government policies administered by other agencies; and</w:t>
            </w:r>
          </w:p>
          <w:p w:rsidR="00605D8D" w:rsidRPr="004D6B11" w:rsidRDefault="00605D8D" w:rsidP="00240B39">
            <w:pPr>
              <w:pStyle w:val="ListNumbertable"/>
              <w:spacing w:before="40" w:after="40"/>
            </w:pPr>
            <w:proofErr w:type="gramStart"/>
            <w:r w:rsidRPr="004D6B11">
              <w:t>the</w:t>
            </w:r>
            <w:proofErr w:type="gramEnd"/>
            <w:r w:rsidRPr="004D6B11">
              <w:t xml:space="preserve"> need for, and scope of the proposed [Title of Regulations/legislative instrument] have been considered and relevant sectors of the public have been consulted in accordance with the Premier’s Guidelines made under the </w:t>
            </w:r>
            <w:r w:rsidRPr="004D6B11">
              <w:rPr>
                <w:i/>
              </w:rPr>
              <w:t xml:space="preserve">Subordinate Legislation Act 1994. </w:t>
            </w:r>
          </w:p>
          <w:p w:rsidR="00605D8D" w:rsidRDefault="00605D8D" w:rsidP="00240B39">
            <w:pPr>
              <w:pStyle w:val="TableText"/>
              <w:spacing w:before="40" w:after="40"/>
              <w:rPr>
                <w:sz w:val="18"/>
              </w:rPr>
            </w:pPr>
            <w:r w:rsidRPr="004D6B11">
              <w:rPr>
                <w:sz w:val="18"/>
              </w:rPr>
              <w:t>The parties who have been consulted are: [list parties]</w:t>
            </w:r>
          </w:p>
          <w:p w:rsidR="00240B39" w:rsidRPr="004D6B11" w:rsidRDefault="00240B39" w:rsidP="00240B39">
            <w:pPr>
              <w:pStyle w:val="TableText"/>
              <w:spacing w:before="40" w:after="40"/>
              <w:rPr>
                <w:sz w:val="18"/>
              </w:rPr>
            </w:pPr>
          </w:p>
          <w:p w:rsidR="00605D8D" w:rsidRPr="004D6B11" w:rsidRDefault="00605D8D" w:rsidP="00240B39">
            <w:pPr>
              <w:pStyle w:val="TableText"/>
              <w:spacing w:before="40" w:after="40"/>
              <w:rPr>
                <w:sz w:val="18"/>
              </w:rPr>
            </w:pPr>
            <w:r w:rsidRPr="004D6B11">
              <w:rPr>
                <w:sz w:val="18"/>
              </w:rPr>
              <w:t>Dated:</w:t>
            </w:r>
          </w:p>
          <w:p w:rsidR="00605D8D" w:rsidRPr="004D6B11" w:rsidRDefault="00605D8D" w:rsidP="00240B39">
            <w:pPr>
              <w:pStyle w:val="TableText"/>
              <w:spacing w:before="40" w:after="40"/>
              <w:rPr>
                <w:sz w:val="18"/>
              </w:rPr>
            </w:pPr>
            <w:r w:rsidRPr="004D6B11">
              <w:rPr>
                <w:sz w:val="18"/>
                <w:szCs w:val="18"/>
              </w:rPr>
              <w:t>Signature</w:t>
            </w:r>
            <w:r w:rsidRPr="004D6B11">
              <w:rPr>
                <w:sz w:val="18"/>
              </w:rPr>
              <w:t xml:space="preserve"> of Minister</w:t>
            </w:r>
          </w:p>
          <w:p w:rsidR="00605D8D" w:rsidRDefault="00605D8D" w:rsidP="00240B39">
            <w:pPr>
              <w:pStyle w:val="TableText"/>
              <w:spacing w:before="40" w:after="40"/>
            </w:pPr>
            <w:r w:rsidRPr="004D6B11">
              <w:rPr>
                <w:sz w:val="18"/>
                <w:szCs w:val="18"/>
              </w:rPr>
              <w:t>Title</w:t>
            </w:r>
          </w:p>
        </w:tc>
      </w:tr>
    </w:tbl>
    <w:p w:rsidR="00605D8D" w:rsidRDefault="00605D8D" w:rsidP="00605D8D">
      <w:pPr>
        <w:pStyle w:val="Spacer"/>
      </w:pPr>
    </w:p>
    <w:p w:rsidR="00605D8D" w:rsidRPr="00EE406F" w:rsidRDefault="00605D8D" w:rsidP="00605D8D">
      <w:pPr>
        <w:pStyle w:val="Heading3NoNum"/>
        <w:rPr>
          <w:color w:val="auto"/>
          <w:sz w:val="22"/>
        </w:rPr>
      </w:pPr>
      <w:r w:rsidRPr="00EE406F">
        <w:rPr>
          <w:color w:val="auto"/>
          <w:sz w:val="22"/>
        </w:rPr>
        <w:t xml:space="preserve">Infringements offence consultation certificate – </w:t>
      </w:r>
      <w:r w:rsidR="00D13659" w:rsidRPr="00EE406F">
        <w:rPr>
          <w:color w:val="auto"/>
          <w:sz w:val="22"/>
        </w:rPr>
        <w:t>section </w:t>
      </w:r>
      <w:r w:rsidRPr="00EE406F">
        <w:rPr>
          <w:color w:val="auto"/>
          <w:sz w:val="22"/>
        </w:rPr>
        <w:t>6A (statutory rules only)</w:t>
      </w:r>
    </w:p>
    <w:tbl>
      <w:tblPr>
        <w:tblW w:w="8460" w:type="dxa"/>
        <w:tblInd w:w="91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460"/>
      </w:tblGrid>
      <w:tr w:rsidR="00605D8D" w:rsidTr="00D72695">
        <w:tc>
          <w:tcPr>
            <w:tcW w:w="8460" w:type="dxa"/>
            <w:shd w:val="clear" w:color="auto" w:fill="auto"/>
          </w:tcPr>
          <w:p w:rsidR="00605D8D" w:rsidRPr="00240B39" w:rsidRDefault="00605D8D" w:rsidP="00240B39">
            <w:pPr>
              <w:pStyle w:val="TableTextbold"/>
              <w:spacing w:before="40" w:after="40"/>
              <w:jc w:val="center"/>
              <w:rPr>
                <w:i/>
              </w:rPr>
            </w:pPr>
            <w:r w:rsidRPr="00240B39">
              <w:rPr>
                <w:i/>
              </w:rPr>
              <w:t>Subordinate Legislation Act 1994</w:t>
            </w:r>
          </w:p>
          <w:p w:rsidR="00605D8D" w:rsidRPr="00240B39" w:rsidRDefault="00605D8D" w:rsidP="00240B39">
            <w:pPr>
              <w:pStyle w:val="TableTextbold"/>
              <w:spacing w:before="40" w:after="40"/>
              <w:jc w:val="center"/>
            </w:pPr>
            <w:r w:rsidRPr="00240B39">
              <w:t>INFRINGEMENTS OFFENCE CONSULTATION CERTIFICATE UNDER SECTION 6A</w:t>
            </w:r>
          </w:p>
          <w:p w:rsidR="00605D8D" w:rsidRPr="00240B39" w:rsidRDefault="00605D8D" w:rsidP="00240B39">
            <w:pPr>
              <w:pStyle w:val="TableTextbold"/>
              <w:spacing w:before="40" w:after="40"/>
              <w:jc w:val="center"/>
            </w:pPr>
            <w:r w:rsidRPr="00240B39">
              <w:t>[Title of Regulations]</w:t>
            </w:r>
          </w:p>
          <w:p w:rsidR="00051EC1" w:rsidRDefault="00051EC1" w:rsidP="00240B39">
            <w:pPr>
              <w:pStyle w:val="TableText"/>
              <w:spacing w:before="40" w:after="40"/>
              <w:rPr>
                <w:sz w:val="18"/>
                <w:szCs w:val="18"/>
              </w:rPr>
            </w:pPr>
          </w:p>
          <w:p w:rsidR="00605D8D" w:rsidRDefault="00605D8D" w:rsidP="00240B39">
            <w:pPr>
              <w:pStyle w:val="TableText"/>
              <w:spacing w:before="40" w:after="40"/>
              <w:rPr>
                <w:sz w:val="18"/>
                <w:szCs w:val="18"/>
              </w:rPr>
            </w:pPr>
            <w:r>
              <w:rPr>
                <w:sz w:val="18"/>
                <w:szCs w:val="18"/>
              </w:rPr>
              <w:t xml:space="preserve">I, [Minister’s name] </w:t>
            </w:r>
            <w:r w:rsidRPr="00240B39">
              <w:rPr>
                <w:sz w:val="18"/>
              </w:rPr>
              <w:t>Minister</w:t>
            </w:r>
            <w:r>
              <w:rPr>
                <w:sz w:val="18"/>
                <w:szCs w:val="18"/>
              </w:rPr>
              <w:t xml:space="preserve"> for [Portfolio] and Minister responsible for administering the [</w:t>
            </w:r>
            <w:r>
              <w:rPr>
                <w:b/>
                <w:sz w:val="18"/>
                <w:szCs w:val="18"/>
              </w:rPr>
              <w:t>Title of Authorising Act and Year</w:t>
            </w:r>
            <w:r>
              <w:rPr>
                <w:sz w:val="18"/>
                <w:szCs w:val="18"/>
              </w:rPr>
              <w:t xml:space="preserve">], certify under </w:t>
            </w:r>
            <w:r w:rsidR="00D13659">
              <w:rPr>
                <w:sz w:val="18"/>
                <w:szCs w:val="18"/>
              </w:rPr>
              <w:t>section </w:t>
            </w:r>
            <w:r>
              <w:rPr>
                <w:sz w:val="18"/>
                <w:szCs w:val="18"/>
              </w:rPr>
              <w:t xml:space="preserve">6A of the </w:t>
            </w:r>
            <w:r w:rsidRPr="006D1BEB">
              <w:rPr>
                <w:b/>
                <w:i/>
                <w:sz w:val="18"/>
                <w:szCs w:val="18"/>
              </w:rPr>
              <w:t>Subordinate Legislation Act 1994</w:t>
            </w:r>
            <w:r>
              <w:rPr>
                <w:sz w:val="18"/>
                <w:szCs w:val="18"/>
              </w:rPr>
              <w:t xml:space="preserve"> that: </w:t>
            </w:r>
          </w:p>
          <w:p w:rsidR="00605D8D" w:rsidRPr="00B649B7" w:rsidRDefault="00605D8D" w:rsidP="00B649B7">
            <w:pPr>
              <w:pStyle w:val="TableBullet"/>
              <w:rPr>
                <w:sz w:val="18"/>
              </w:rPr>
            </w:pPr>
            <w:r w:rsidRPr="00B649B7">
              <w:rPr>
                <w:sz w:val="18"/>
              </w:rPr>
              <w:t>the Department of Justice has been consulted about the enforcement of the proposed statutory rule by infringement notice and the suitability of the proposed statutory rule to be an infringement offence enforced under the</w:t>
            </w:r>
            <w:r w:rsidRPr="00B649B7">
              <w:rPr>
                <w:b/>
                <w:sz w:val="18"/>
              </w:rPr>
              <w:t xml:space="preserve"> </w:t>
            </w:r>
            <w:r w:rsidRPr="00B649B7">
              <w:rPr>
                <w:b/>
                <w:i/>
                <w:sz w:val="18"/>
              </w:rPr>
              <w:t>Infringements Act 2006</w:t>
            </w:r>
          </w:p>
          <w:p w:rsidR="00605D8D" w:rsidRPr="00B649B7" w:rsidRDefault="00605D8D" w:rsidP="00240B39">
            <w:pPr>
              <w:pStyle w:val="TableText"/>
              <w:spacing w:before="40" w:after="40"/>
              <w:rPr>
                <w:sz w:val="18"/>
                <w:szCs w:val="18"/>
              </w:rPr>
            </w:pPr>
            <w:r w:rsidRPr="00B649B7">
              <w:rPr>
                <w:sz w:val="18"/>
                <w:szCs w:val="18"/>
              </w:rPr>
              <w:t>and</w:t>
            </w:r>
          </w:p>
          <w:p w:rsidR="00605D8D" w:rsidRPr="00B649B7" w:rsidRDefault="00605D8D" w:rsidP="00B649B7">
            <w:pPr>
              <w:pStyle w:val="TableBullet"/>
              <w:rPr>
                <w:sz w:val="18"/>
              </w:rPr>
            </w:pPr>
            <w:r w:rsidRPr="00B649B7">
              <w:rPr>
                <w:sz w:val="18"/>
              </w:rPr>
              <w:t>that the Attorney</w:t>
            </w:r>
            <w:r w:rsidRPr="00B649B7">
              <w:rPr>
                <w:sz w:val="18"/>
              </w:rPr>
              <w:noBreakHyphen/>
              <w:t xml:space="preserve">General’s guidelines within the meaning of the </w:t>
            </w:r>
            <w:r w:rsidRPr="00B649B7">
              <w:rPr>
                <w:b/>
                <w:i/>
                <w:sz w:val="18"/>
              </w:rPr>
              <w:t>Infringements Act 2006</w:t>
            </w:r>
            <w:r w:rsidRPr="00B649B7">
              <w:rPr>
                <w:sz w:val="18"/>
              </w:rPr>
              <w:t xml:space="preserve"> have been taken into account in the preparation of the proposed statutory rule</w:t>
            </w:r>
          </w:p>
          <w:p w:rsidR="00605D8D" w:rsidRPr="00B649B7" w:rsidRDefault="00605D8D" w:rsidP="00240B39">
            <w:pPr>
              <w:pStyle w:val="TableText"/>
              <w:spacing w:before="40" w:after="40"/>
              <w:rPr>
                <w:sz w:val="18"/>
                <w:szCs w:val="18"/>
              </w:rPr>
            </w:pPr>
            <w:r w:rsidRPr="00B649B7">
              <w:rPr>
                <w:sz w:val="18"/>
                <w:szCs w:val="18"/>
              </w:rPr>
              <w:t xml:space="preserve">and </w:t>
            </w:r>
          </w:p>
          <w:p w:rsidR="00605D8D" w:rsidRPr="00B649B7" w:rsidRDefault="00605D8D" w:rsidP="00B649B7">
            <w:pPr>
              <w:pStyle w:val="TableBullet"/>
              <w:rPr>
                <w:sz w:val="18"/>
              </w:rPr>
            </w:pPr>
            <w:r w:rsidRPr="00B649B7">
              <w:rPr>
                <w:sz w:val="18"/>
              </w:rPr>
              <w:t>[I am satisfied that the proposed statutory rule meets the requirements of those guidelines.]</w:t>
            </w:r>
          </w:p>
          <w:p w:rsidR="00605D8D" w:rsidRPr="00B649B7" w:rsidRDefault="00605D8D" w:rsidP="00240B39">
            <w:pPr>
              <w:pStyle w:val="TableText"/>
              <w:spacing w:before="40" w:after="40"/>
              <w:rPr>
                <w:sz w:val="18"/>
                <w:szCs w:val="18"/>
              </w:rPr>
            </w:pPr>
            <w:r w:rsidRPr="00B649B7">
              <w:rPr>
                <w:sz w:val="18"/>
                <w:szCs w:val="18"/>
              </w:rPr>
              <w:t>or</w:t>
            </w:r>
          </w:p>
          <w:p w:rsidR="00605D8D" w:rsidRPr="00B649B7" w:rsidRDefault="00605D8D" w:rsidP="00B649B7">
            <w:pPr>
              <w:pStyle w:val="TableBullet"/>
              <w:rPr>
                <w:sz w:val="18"/>
              </w:rPr>
            </w:pPr>
            <w:r w:rsidRPr="00B649B7">
              <w:rPr>
                <w:sz w:val="18"/>
              </w:rPr>
              <w:t xml:space="preserve">[I am satisfied that the proposed statutory rule does not meet the requirements of those guidelines but should be made despite not meeting those requirements. The reasons for forming this opinion are (insert details of the requirements in the guidelines which have not been made and a detailed justification for the statutory rule to be made despite not meeting the requirements of the guidelines).] </w:t>
            </w:r>
          </w:p>
          <w:p w:rsidR="00240B39" w:rsidRPr="00B649B7" w:rsidRDefault="00240B39" w:rsidP="00240B39">
            <w:pPr>
              <w:pStyle w:val="TableText"/>
              <w:spacing w:before="40" w:after="40"/>
              <w:rPr>
                <w:sz w:val="18"/>
                <w:szCs w:val="18"/>
              </w:rPr>
            </w:pPr>
          </w:p>
          <w:p w:rsidR="00605D8D" w:rsidRPr="00240B39" w:rsidRDefault="00605D8D" w:rsidP="00240B39">
            <w:pPr>
              <w:pStyle w:val="TableText"/>
              <w:spacing w:before="40" w:after="40"/>
              <w:rPr>
                <w:sz w:val="18"/>
              </w:rPr>
            </w:pPr>
            <w:r w:rsidRPr="00240B39">
              <w:rPr>
                <w:sz w:val="18"/>
              </w:rPr>
              <w:t>Dated:</w:t>
            </w:r>
          </w:p>
          <w:p w:rsidR="00605D8D" w:rsidRPr="00240B39" w:rsidRDefault="00605D8D" w:rsidP="00240B39">
            <w:pPr>
              <w:pStyle w:val="TableText"/>
              <w:spacing w:before="40" w:after="40"/>
              <w:rPr>
                <w:sz w:val="18"/>
              </w:rPr>
            </w:pPr>
            <w:r w:rsidRPr="00240B39">
              <w:rPr>
                <w:sz w:val="18"/>
              </w:rPr>
              <w:t>Signature of Minister</w:t>
            </w:r>
          </w:p>
          <w:p w:rsidR="00605D8D" w:rsidRDefault="00605D8D" w:rsidP="00240B39">
            <w:pPr>
              <w:pStyle w:val="TableText"/>
              <w:spacing w:before="40" w:after="40"/>
            </w:pPr>
            <w:r w:rsidRPr="00240B39">
              <w:rPr>
                <w:sz w:val="18"/>
              </w:rPr>
              <w:t>Title</w:t>
            </w:r>
          </w:p>
        </w:tc>
      </w:tr>
    </w:tbl>
    <w:p w:rsidR="00605D8D" w:rsidRDefault="00605D8D" w:rsidP="00605D8D">
      <w:pPr>
        <w:pStyle w:val="Spacer"/>
      </w:pPr>
    </w:p>
    <w:p w:rsidR="00605D8D" w:rsidRPr="00EE406F" w:rsidRDefault="00605D8D" w:rsidP="00605D8D">
      <w:pPr>
        <w:pStyle w:val="Heading3NoNum"/>
        <w:rPr>
          <w:color w:val="auto"/>
          <w:sz w:val="22"/>
        </w:rPr>
      </w:pPr>
      <w:r w:rsidRPr="00EE406F">
        <w:rPr>
          <w:color w:val="auto"/>
          <w:sz w:val="22"/>
        </w:rPr>
        <w:t xml:space="preserve">Certificate of RIS compliance – </w:t>
      </w:r>
      <w:r w:rsidR="00D13659" w:rsidRPr="00EE406F">
        <w:rPr>
          <w:color w:val="auto"/>
          <w:sz w:val="22"/>
        </w:rPr>
        <w:t>section </w:t>
      </w:r>
      <w:r w:rsidRPr="00EE406F">
        <w:rPr>
          <w:color w:val="auto"/>
          <w:sz w:val="22"/>
        </w:rPr>
        <w:t xml:space="preserve">10(4) (statutory rules) or </w:t>
      </w:r>
      <w:r w:rsidR="00D13659" w:rsidRPr="00EE406F">
        <w:rPr>
          <w:color w:val="auto"/>
          <w:sz w:val="22"/>
        </w:rPr>
        <w:t>section </w:t>
      </w:r>
      <w:proofErr w:type="gramStart"/>
      <w:r w:rsidRPr="00EE406F">
        <w:rPr>
          <w:color w:val="auto"/>
          <w:sz w:val="22"/>
        </w:rPr>
        <w:t>12H(</w:t>
      </w:r>
      <w:proofErr w:type="gramEnd"/>
      <w:r w:rsidRPr="00EE406F">
        <w:rPr>
          <w:color w:val="auto"/>
          <w:sz w:val="22"/>
        </w:rPr>
        <w:t>4) (legislative instruments</w:t>
      </w:r>
      <w:r w:rsidRPr="00EE406F">
        <w:rPr>
          <w:rStyle w:val="FootnoteReference"/>
          <w:color w:val="auto"/>
          <w:sz w:val="22"/>
        </w:rPr>
        <w:footnoteReference w:customMarkFollows="1" w:id="25"/>
        <w:sym w:font="Symbol" w:char="0023"/>
      </w:r>
      <w:r w:rsidRPr="00EE406F">
        <w:rPr>
          <w:color w:val="auto"/>
          <w:sz w:val="22"/>
        </w:rPr>
        <w:t>)</w:t>
      </w:r>
    </w:p>
    <w:tbl>
      <w:tblPr>
        <w:tblW w:w="8262" w:type="dxa"/>
        <w:tblInd w:w="918" w:type="dxa"/>
        <w:tblBorders>
          <w:top w:val="single" w:sz="6" w:space="0" w:color="auto"/>
          <w:left w:val="single" w:sz="6" w:space="0" w:color="auto"/>
          <w:bottom w:val="single" w:sz="6" w:space="0" w:color="auto"/>
          <w:right w:val="single" w:sz="6" w:space="0" w:color="auto"/>
        </w:tblBorders>
        <w:shd w:val="clear" w:color="auto" w:fill="D9D9D9"/>
        <w:tblLook w:val="0000" w:firstRow="0" w:lastRow="0" w:firstColumn="0" w:lastColumn="0" w:noHBand="0" w:noVBand="0"/>
      </w:tblPr>
      <w:tblGrid>
        <w:gridCol w:w="8262"/>
      </w:tblGrid>
      <w:tr w:rsidR="00605D8D" w:rsidTr="00730738">
        <w:tc>
          <w:tcPr>
            <w:tcW w:w="8262" w:type="dxa"/>
            <w:shd w:val="clear" w:color="auto" w:fill="auto"/>
          </w:tcPr>
          <w:p w:rsidR="00605D8D" w:rsidRPr="00A70B52" w:rsidRDefault="00605D8D" w:rsidP="00240B39">
            <w:pPr>
              <w:pStyle w:val="TableText"/>
              <w:spacing w:before="40" w:after="40"/>
              <w:jc w:val="center"/>
              <w:rPr>
                <w:b/>
              </w:rPr>
            </w:pPr>
            <w:r w:rsidRPr="00A70B52">
              <w:rPr>
                <w:b/>
              </w:rPr>
              <w:t>Subordinate Legislation Act 1994</w:t>
            </w:r>
          </w:p>
          <w:p w:rsidR="00605D8D" w:rsidRPr="00A70B52" w:rsidRDefault="00605D8D" w:rsidP="00240B39">
            <w:pPr>
              <w:pStyle w:val="TableText"/>
              <w:spacing w:before="40" w:after="40"/>
              <w:jc w:val="center"/>
              <w:rPr>
                <w:b/>
              </w:rPr>
            </w:pPr>
            <w:r w:rsidRPr="00A70B52">
              <w:rPr>
                <w:b/>
              </w:rPr>
              <w:t xml:space="preserve">CERTIFICATE OF COMPLIANCE UNDER [INSERT EITHER: SECTION 10(4) </w:t>
            </w:r>
            <w:r w:rsidRPr="00A70B52">
              <w:rPr>
                <w:b/>
                <w:u w:val="single"/>
              </w:rPr>
              <w:t>or</w:t>
            </w:r>
            <w:r w:rsidRPr="00A70B52">
              <w:rPr>
                <w:b/>
              </w:rPr>
              <w:t xml:space="preserve"> SECTION 12H(4)</w:t>
            </w:r>
            <w:r w:rsidRPr="00A70B52">
              <w:rPr>
                <w:rStyle w:val="FootnoteReference"/>
                <w:b/>
              </w:rPr>
              <w:footnoteReference w:customMarkFollows="1" w:id="26"/>
              <w:sym w:font="Symbol" w:char="002A"/>
            </w:r>
            <w:r w:rsidRPr="00A70B52">
              <w:rPr>
                <w:b/>
              </w:rPr>
              <w:t>]</w:t>
            </w:r>
          </w:p>
          <w:p w:rsidR="00605D8D" w:rsidRPr="00A70B52" w:rsidRDefault="00605D8D" w:rsidP="00240B39">
            <w:pPr>
              <w:pStyle w:val="TableText"/>
              <w:spacing w:before="40" w:after="40"/>
              <w:jc w:val="center"/>
              <w:rPr>
                <w:b/>
              </w:rPr>
            </w:pPr>
            <w:r w:rsidRPr="00A70B52">
              <w:rPr>
                <w:b/>
              </w:rPr>
              <w:t>[Title of Regulations/Legislative instrument]</w:t>
            </w:r>
          </w:p>
          <w:p w:rsidR="00051EC1" w:rsidRDefault="00051EC1" w:rsidP="00240B39">
            <w:pPr>
              <w:pStyle w:val="TableText"/>
              <w:spacing w:before="40" w:after="40"/>
              <w:rPr>
                <w:sz w:val="18"/>
              </w:rPr>
            </w:pPr>
          </w:p>
          <w:p w:rsidR="00605D8D" w:rsidRPr="00240B39" w:rsidRDefault="00605D8D" w:rsidP="00240B39">
            <w:pPr>
              <w:pStyle w:val="TableText"/>
              <w:spacing w:before="40" w:after="40"/>
              <w:rPr>
                <w:sz w:val="18"/>
              </w:rPr>
            </w:pPr>
            <w:r w:rsidRPr="00240B39">
              <w:rPr>
                <w:sz w:val="18"/>
              </w:rPr>
              <w:t>I, [Minister’s name], Minister for [Portfolio], and Minister for the administration of the [</w:t>
            </w:r>
            <w:r w:rsidRPr="00240B39">
              <w:rPr>
                <w:b/>
                <w:bCs/>
                <w:sz w:val="18"/>
              </w:rPr>
              <w:t>Title of Authorising Act and Year</w:t>
            </w:r>
            <w:r w:rsidRPr="00240B39">
              <w:rPr>
                <w:sz w:val="18"/>
              </w:rPr>
              <w:t xml:space="preserve">], certify under </w:t>
            </w:r>
            <w:r w:rsidRPr="00240B39">
              <w:rPr>
                <w:sz w:val="18"/>
                <w:szCs w:val="18"/>
              </w:rPr>
              <w:t>[</w:t>
            </w:r>
            <w:r w:rsidRPr="00240B39">
              <w:rPr>
                <w:sz w:val="18"/>
              </w:rPr>
              <w:t xml:space="preserve">insert either: </w:t>
            </w:r>
            <w:r w:rsidR="00D13659">
              <w:rPr>
                <w:sz w:val="18"/>
              </w:rPr>
              <w:t>section </w:t>
            </w:r>
            <w:r w:rsidRPr="00240B39">
              <w:rPr>
                <w:sz w:val="18"/>
              </w:rPr>
              <w:t>10(4) or s 12H(4)</w:t>
            </w:r>
            <w:r w:rsidRPr="00240B39">
              <w:rPr>
                <w:sz w:val="18"/>
                <w:szCs w:val="18"/>
                <w:vertAlign w:val="superscript"/>
              </w:rPr>
              <w:sym w:font="Symbol" w:char="002A"/>
            </w:r>
            <w:r w:rsidRPr="00240B39">
              <w:rPr>
                <w:sz w:val="18"/>
              </w:rPr>
              <w:t xml:space="preserve">] of the </w:t>
            </w:r>
            <w:r w:rsidRPr="00240B39">
              <w:rPr>
                <w:b/>
                <w:bCs/>
                <w:i/>
                <w:sz w:val="18"/>
              </w:rPr>
              <w:t>Subordinate Legislation Act 1994</w:t>
            </w:r>
            <w:r w:rsidRPr="00240B39">
              <w:rPr>
                <w:sz w:val="18"/>
              </w:rPr>
              <w:t xml:space="preserve"> that, in respect of the proposed [Title of Regulations/legislative instrument]:</w:t>
            </w:r>
          </w:p>
          <w:p w:rsidR="00605D8D" w:rsidRDefault="00605D8D" w:rsidP="00322641">
            <w:pPr>
              <w:pStyle w:val="ListNumbertable"/>
              <w:numPr>
                <w:ilvl w:val="0"/>
                <w:numId w:val="18"/>
              </w:numPr>
              <w:spacing w:before="40" w:after="40"/>
              <w:ind w:left="644"/>
            </w:pPr>
            <w:r>
              <w:t xml:space="preserve">the requirements relating to Regulatory Impact Statements in the </w:t>
            </w:r>
            <w:r w:rsidRPr="00240B39">
              <w:rPr>
                <w:b/>
                <w:bCs/>
                <w:i/>
              </w:rPr>
              <w:t>Subordinate Legislation Act 1994</w:t>
            </w:r>
            <w:r>
              <w:t xml:space="preserve"> and the guidelines have been complied with; and</w:t>
            </w:r>
          </w:p>
          <w:p w:rsidR="00605D8D" w:rsidRDefault="00605D8D" w:rsidP="00240B39">
            <w:pPr>
              <w:pStyle w:val="ListNumbertable"/>
              <w:spacing w:before="40" w:after="40"/>
            </w:pPr>
            <w:proofErr w:type="gramStart"/>
            <w:r>
              <w:t>in</w:t>
            </w:r>
            <w:proofErr w:type="gramEnd"/>
            <w:r>
              <w:t xml:space="preserve"> my opinion, the Regulatory Impact Statement prepared under the </w:t>
            </w:r>
            <w:r w:rsidRPr="006D1BEB">
              <w:rPr>
                <w:b/>
                <w:bCs/>
                <w:i/>
              </w:rPr>
              <w:t>Subordinate Legislation Act 1994</w:t>
            </w:r>
            <w:r>
              <w:t xml:space="preserve"> adequately assesses the likely impact of the proposed Regulations/legislative instrument.</w:t>
            </w:r>
          </w:p>
          <w:p w:rsidR="00605D8D" w:rsidRDefault="00605D8D" w:rsidP="00240B39">
            <w:pPr>
              <w:pStyle w:val="Dash"/>
              <w:spacing w:before="40" w:after="40"/>
              <w:ind w:left="0"/>
              <w:rPr>
                <w:sz w:val="18"/>
              </w:rPr>
            </w:pPr>
            <w:r>
              <w:rPr>
                <w:sz w:val="18"/>
              </w:rPr>
              <w:t>Dated:</w:t>
            </w:r>
          </w:p>
          <w:p w:rsidR="00605D8D" w:rsidRDefault="00605D8D" w:rsidP="00240B39">
            <w:pPr>
              <w:pStyle w:val="Dash"/>
              <w:spacing w:before="40" w:after="40"/>
              <w:ind w:left="0"/>
              <w:rPr>
                <w:sz w:val="18"/>
              </w:rPr>
            </w:pPr>
            <w:r>
              <w:rPr>
                <w:sz w:val="18"/>
              </w:rPr>
              <w:t>Signature of Minister</w:t>
            </w:r>
          </w:p>
          <w:p w:rsidR="00605D8D" w:rsidRDefault="00605D8D" w:rsidP="00240B39">
            <w:pPr>
              <w:pStyle w:val="Dash"/>
              <w:spacing w:before="40" w:after="40"/>
              <w:ind w:left="0"/>
              <w:rPr>
                <w:sz w:val="18"/>
              </w:rPr>
            </w:pPr>
            <w:r>
              <w:rPr>
                <w:sz w:val="18"/>
              </w:rPr>
              <w:t>Title</w:t>
            </w:r>
          </w:p>
        </w:tc>
      </w:tr>
    </w:tbl>
    <w:p w:rsidR="00605D8D" w:rsidRDefault="00605D8D" w:rsidP="00605D8D">
      <w:pPr>
        <w:pStyle w:val="Spacer"/>
      </w:pPr>
    </w:p>
    <w:p w:rsidR="00605D8D" w:rsidRPr="00EE406F" w:rsidRDefault="00605D8D" w:rsidP="00605D8D">
      <w:pPr>
        <w:pStyle w:val="Heading3NoNum"/>
        <w:rPr>
          <w:color w:val="auto"/>
          <w:sz w:val="22"/>
        </w:rPr>
      </w:pPr>
      <w:r w:rsidRPr="00EE406F">
        <w:rPr>
          <w:color w:val="auto"/>
          <w:sz w:val="22"/>
        </w:rPr>
        <w:t xml:space="preserve">Minister’s RIS exemption certificate – </w:t>
      </w:r>
      <w:r w:rsidR="00D13659" w:rsidRPr="00EE406F">
        <w:rPr>
          <w:color w:val="auto"/>
          <w:sz w:val="22"/>
        </w:rPr>
        <w:t>section </w:t>
      </w:r>
      <w:r w:rsidRPr="00EE406F">
        <w:rPr>
          <w:color w:val="auto"/>
          <w:sz w:val="22"/>
        </w:rPr>
        <w:t xml:space="preserve">8 (statutory rules) or </w:t>
      </w:r>
      <w:r w:rsidR="00D13659" w:rsidRPr="00EE406F">
        <w:rPr>
          <w:color w:val="auto"/>
          <w:sz w:val="22"/>
        </w:rPr>
        <w:t>section </w:t>
      </w:r>
      <w:r w:rsidRPr="00EE406F">
        <w:rPr>
          <w:color w:val="auto"/>
          <w:sz w:val="22"/>
        </w:rPr>
        <w:t>12F (legislative instruments</w:t>
      </w:r>
      <w:r w:rsidRPr="00EE406F">
        <w:rPr>
          <w:color w:val="auto"/>
          <w:sz w:val="22"/>
          <w:vertAlign w:val="superscript"/>
        </w:rPr>
        <w:sym w:font="Symbol" w:char="0023"/>
      </w:r>
      <w:r w:rsidRPr="00EE406F">
        <w:rPr>
          <w:color w:val="auto"/>
          <w:sz w:val="22"/>
        </w:rPr>
        <w:t>)</w:t>
      </w:r>
    </w:p>
    <w:tbl>
      <w:tblPr>
        <w:tblW w:w="0" w:type="auto"/>
        <w:tblInd w:w="907" w:type="dxa"/>
        <w:tblBorders>
          <w:top w:val="single" w:sz="6" w:space="0" w:color="auto"/>
          <w:left w:val="single" w:sz="6" w:space="0" w:color="auto"/>
          <w:bottom w:val="single" w:sz="6" w:space="0" w:color="auto"/>
          <w:right w:val="single" w:sz="6" w:space="0" w:color="auto"/>
        </w:tblBorders>
        <w:tblCellMar>
          <w:left w:w="113" w:type="dxa"/>
          <w:right w:w="113" w:type="dxa"/>
        </w:tblCellMar>
        <w:tblLook w:val="01E0" w:firstRow="1" w:lastRow="1" w:firstColumn="1" w:lastColumn="1" w:noHBand="0" w:noVBand="0"/>
      </w:tblPr>
      <w:tblGrid>
        <w:gridCol w:w="8345"/>
      </w:tblGrid>
      <w:tr w:rsidR="00605D8D" w:rsidTr="00D72695">
        <w:trPr>
          <w:cantSplit/>
        </w:trPr>
        <w:tc>
          <w:tcPr>
            <w:tcW w:w="9558" w:type="dxa"/>
            <w:shd w:val="clear" w:color="auto" w:fill="auto"/>
          </w:tcPr>
          <w:p w:rsidR="00605D8D" w:rsidRPr="00B649B7" w:rsidRDefault="00605D8D" w:rsidP="00B649B7">
            <w:pPr>
              <w:pStyle w:val="TableTextbold"/>
              <w:jc w:val="center"/>
              <w:rPr>
                <w:i/>
              </w:rPr>
            </w:pPr>
            <w:r w:rsidRPr="00B649B7">
              <w:rPr>
                <w:i/>
              </w:rPr>
              <w:t>Subordinate Legislation Act 1994</w:t>
            </w:r>
          </w:p>
          <w:p w:rsidR="00605D8D" w:rsidRPr="006970F5" w:rsidRDefault="00605D8D" w:rsidP="00B649B7">
            <w:pPr>
              <w:pStyle w:val="TableTextbold"/>
              <w:jc w:val="center"/>
            </w:pPr>
            <w:r w:rsidRPr="006970F5">
              <w:t>CERTIFICATE OF EXEMPTION UNDER [INSERT EITHER: SECTION 8 or SECTION 12F</w:t>
            </w:r>
            <w:r w:rsidRPr="006970F5">
              <w:rPr>
                <w:vertAlign w:val="superscript"/>
              </w:rPr>
              <w:sym w:font="Symbol" w:char="002A"/>
            </w:r>
            <w:r w:rsidRPr="006970F5">
              <w:t>]</w:t>
            </w:r>
          </w:p>
          <w:p w:rsidR="00605D8D" w:rsidRPr="006970F5" w:rsidRDefault="00605D8D" w:rsidP="00B649B7">
            <w:pPr>
              <w:pStyle w:val="TableTextbold"/>
              <w:jc w:val="center"/>
            </w:pPr>
            <w:r w:rsidRPr="006970F5">
              <w:t>[Title of Regulations/Legislative Instrument]</w:t>
            </w:r>
          </w:p>
          <w:p w:rsidR="00051EC1" w:rsidRPr="00B649B7" w:rsidRDefault="00051EC1" w:rsidP="00B649B7">
            <w:pPr>
              <w:pStyle w:val="TableText"/>
              <w:spacing w:before="40" w:after="40"/>
              <w:rPr>
                <w:sz w:val="18"/>
              </w:rPr>
            </w:pPr>
          </w:p>
          <w:p w:rsidR="00605D8D" w:rsidRPr="00B649B7" w:rsidRDefault="00605D8D" w:rsidP="00B649B7">
            <w:pPr>
              <w:pStyle w:val="TableText"/>
              <w:spacing w:before="40" w:after="40"/>
              <w:rPr>
                <w:sz w:val="18"/>
              </w:rPr>
            </w:pPr>
            <w:r w:rsidRPr="00B649B7">
              <w:rPr>
                <w:sz w:val="18"/>
              </w:rPr>
              <w:t xml:space="preserve">I, [Minister’s name], Minister for [Portfolio] </w:t>
            </w:r>
            <w:r w:rsidRPr="00B649B7">
              <w:rPr>
                <w:sz w:val="18"/>
                <w:lang w:val="en-US"/>
              </w:rPr>
              <w:t>and Minister responsible for administering the [</w:t>
            </w:r>
            <w:r w:rsidRPr="00B649B7">
              <w:rPr>
                <w:b/>
                <w:sz w:val="18"/>
                <w:lang w:val="en-US"/>
              </w:rPr>
              <w:t xml:space="preserve">Title of </w:t>
            </w:r>
            <w:proofErr w:type="spellStart"/>
            <w:r w:rsidRPr="00B649B7">
              <w:rPr>
                <w:b/>
                <w:sz w:val="18"/>
                <w:lang w:val="en-US"/>
              </w:rPr>
              <w:t>Authorising</w:t>
            </w:r>
            <w:proofErr w:type="spellEnd"/>
            <w:r w:rsidRPr="00B649B7">
              <w:rPr>
                <w:b/>
                <w:sz w:val="18"/>
                <w:lang w:val="en-US"/>
              </w:rPr>
              <w:t xml:space="preserve"> Act and Year</w:t>
            </w:r>
            <w:r w:rsidRPr="00B649B7">
              <w:rPr>
                <w:sz w:val="18"/>
                <w:lang w:val="en-US"/>
              </w:rPr>
              <w:t xml:space="preserve">], certify </w:t>
            </w:r>
            <w:r w:rsidRPr="00B649B7">
              <w:rPr>
                <w:sz w:val="18"/>
              </w:rPr>
              <w:t xml:space="preserve">that under [insert either </w:t>
            </w:r>
            <w:r w:rsidR="00D13659">
              <w:rPr>
                <w:sz w:val="18"/>
              </w:rPr>
              <w:t>section </w:t>
            </w:r>
            <w:r w:rsidRPr="00B649B7">
              <w:rPr>
                <w:sz w:val="18"/>
              </w:rPr>
              <w:t>8 or 12F</w:t>
            </w:r>
            <w:r w:rsidRPr="00B649B7">
              <w:rPr>
                <w:sz w:val="18"/>
                <w:vertAlign w:val="superscript"/>
              </w:rPr>
              <w:sym w:font="Symbol" w:char="002A"/>
            </w:r>
            <w:proofErr w:type="gramStart"/>
            <w:r w:rsidRPr="00B649B7">
              <w:rPr>
                <w:sz w:val="18"/>
              </w:rPr>
              <w:t>](</w:t>
            </w:r>
            <w:proofErr w:type="gramEnd"/>
            <w:r w:rsidRPr="00B649B7">
              <w:rPr>
                <w:sz w:val="18"/>
              </w:rPr>
              <w:t xml:space="preserve">[Relevant Subsection]) of the </w:t>
            </w:r>
            <w:r w:rsidRPr="00B649B7">
              <w:rPr>
                <w:b/>
                <w:i/>
                <w:sz w:val="18"/>
              </w:rPr>
              <w:t>Subordinate Legislation Act 1994</w:t>
            </w:r>
            <w:r w:rsidRPr="00B649B7">
              <w:rPr>
                <w:sz w:val="18"/>
              </w:rPr>
              <w:t xml:space="preserve"> that the proposed [Title of Regulations/Legislative instrument] in my opinion [are/is] exempted from the requirement to prepare a Regulatory Impact Statement under [insert either </w:t>
            </w:r>
            <w:r w:rsidR="00D13659">
              <w:rPr>
                <w:sz w:val="18"/>
              </w:rPr>
              <w:t>section </w:t>
            </w:r>
            <w:r w:rsidRPr="00B649B7">
              <w:rPr>
                <w:sz w:val="18"/>
              </w:rPr>
              <w:t xml:space="preserve">7 or </w:t>
            </w:r>
            <w:r w:rsidR="00D13659">
              <w:rPr>
                <w:sz w:val="18"/>
              </w:rPr>
              <w:t>section </w:t>
            </w:r>
            <w:r w:rsidRPr="00B649B7">
              <w:rPr>
                <w:sz w:val="18"/>
              </w:rPr>
              <w:t>12E</w:t>
            </w:r>
            <w:r w:rsidRPr="00B649B7">
              <w:rPr>
                <w:sz w:val="18"/>
                <w:vertAlign w:val="superscript"/>
              </w:rPr>
              <w:sym w:font="Symbol" w:char="002A"/>
            </w:r>
            <w:r w:rsidRPr="00B649B7">
              <w:rPr>
                <w:sz w:val="18"/>
              </w:rPr>
              <w:t>] of that Act.</w:t>
            </w:r>
          </w:p>
          <w:p w:rsidR="00605D8D" w:rsidRPr="00B649B7" w:rsidRDefault="00605D8D" w:rsidP="00B649B7">
            <w:pPr>
              <w:pStyle w:val="TableText"/>
              <w:spacing w:before="40" w:after="40"/>
              <w:rPr>
                <w:rFonts w:cs="Arial"/>
                <w:sz w:val="18"/>
                <w:vertAlign w:val="superscript"/>
              </w:rPr>
            </w:pPr>
            <w:r w:rsidRPr="00B649B7">
              <w:rPr>
                <w:sz w:val="18"/>
              </w:rPr>
              <w:t xml:space="preserve">The reasons for forming this opinion are that the proposed rule/instrument [explain why the subordinate legislation is within the exemption, and outline the nature and effect of the proposed rule or instrument, including the proposed operative date and, if relevant, the reason for that date. Where the exemption is made on the grounds that the proposed subordinate legislation would not impose a significant economic or social burden on a sector of the public, </w:t>
            </w:r>
            <w:r w:rsidRPr="00B649B7">
              <w:rPr>
                <w:i/>
                <w:iCs/>
                <w:sz w:val="18"/>
              </w:rPr>
              <w:t>detailed</w:t>
            </w:r>
            <w:r w:rsidRPr="00B649B7">
              <w:rPr>
                <w:sz w:val="18"/>
              </w:rPr>
              <w:t xml:space="preserve"> reasons must be provided to support this opinion].</w:t>
            </w:r>
            <w:r w:rsidRPr="00B649B7">
              <w:rPr>
                <w:rFonts w:cs="Arial"/>
                <w:sz w:val="18"/>
                <w:vertAlign w:val="superscript"/>
              </w:rPr>
              <w:t>†</w:t>
            </w:r>
          </w:p>
          <w:p w:rsidR="00051EC1" w:rsidRPr="00B649B7" w:rsidRDefault="00051EC1" w:rsidP="00B649B7">
            <w:pPr>
              <w:pStyle w:val="TableText"/>
              <w:spacing w:before="40" w:after="40"/>
              <w:rPr>
                <w:sz w:val="18"/>
              </w:rPr>
            </w:pPr>
          </w:p>
          <w:p w:rsidR="00605D8D" w:rsidRPr="00B649B7" w:rsidRDefault="00605D8D" w:rsidP="00B649B7">
            <w:pPr>
              <w:pStyle w:val="TableText"/>
              <w:spacing w:before="40" w:after="40"/>
              <w:rPr>
                <w:sz w:val="18"/>
              </w:rPr>
            </w:pPr>
            <w:r w:rsidRPr="00B649B7">
              <w:rPr>
                <w:sz w:val="18"/>
              </w:rPr>
              <w:t>Dated:</w:t>
            </w:r>
          </w:p>
          <w:p w:rsidR="00605D8D" w:rsidRPr="00B649B7" w:rsidRDefault="00605D8D" w:rsidP="00B649B7">
            <w:pPr>
              <w:pStyle w:val="TableText"/>
              <w:spacing w:before="40" w:after="40"/>
              <w:rPr>
                <w:sz w:val="18"/>
              </w:rPr>
            </w:pPr>
            <w:r w:rsidRPr="00B649B7">
              <w:rPr>
                <w:sz w:val="18"/>
              </w:rPr>
              <w:t>Signature of Minister</w:t>
            </w:r>
          </w:p>
          <w:p w:rsidR="00605D8D" w:rsidRPr="006970F5" w:rsidRDefault="00605D8D" w:rsidP="00B649B7">
            <w:pPr>
              <w:pStyle w:val="TableText"/>
              <w:spacing w:before="40" w:after="40"/>
            </w:pPr>
            <w:r w:rsidRPr="00B649B7">
              <w:rPr>
                <w:sz w:val="18"/>
              </w:rPr>
              <w:t>Title</w:t>
            </w:r>
          </w:p>
        </w:tc>
      </w:tr>
    </w:tbl>
    <w:p w:rsidR="00605D8D" w:rsidRDefault="00605D8D" w:rsidP="00051EC1">
      <w:pPr>
        <w:pStyle w:val="NoteNormal"/>
      </w:pPr>
      <w:r w:rsidRPr="00051EC1">
        <w:rPr>
          <w:rFonts w:cs="Arial"/>
          <w:b/>
        </w:rPr>
        <w:t>†</w:t>
      </w:r>
      <w:r w:rsidRPr="00051EC1">
        <w:rPr>
          <w:b/>
        </w:rPr>
        <w:t xml:space="preserve"> </w:t>
      </w:r>
      <w:r w:rsidRPr="00051EC1">
        <w:t>Note:</w:t>
      </w:r>
      <w:r>
        <w:t xml:space="preserve"> It is </w:t>
      </w:r>
      <w:r w:rsidRPr="00051EC1">
        <w:rPr>
          <w:b/>
          <w:iCs/>
        </w:rPr>
        <w:t>not</w:t>
      </w:r>
      <w:r>
        <w:t xml:space="preserve"> </w:t>
      </w:r>
      <w:r w:rsidRPr="00051EC1">
        <w:t>sufficient</w:t>
      </w:r>
      <w:r>
        <w:t xml:space="preserve"> to simply assert that there is no significant burden. </w:t>
      </w:r>
    </w:p>
    <w:p w:rsidR="00051EC1" w:rsidRDefault="00051EC1" w:rsidP="00051EC1">
      <w:pPr>
        <w:pStyle w:val="Spacer"/>
      </w:pPr>
    </w:p>
    <w:p w:rsidR="00584FDB" w:rsidRDefault="00584FDB">
      <w:pPr>
        <w:spacing w:before="0" w:after="0"/>
        <w:ind w:left="0"/>
        <w:rPr>
          <w:b/>
          <w:color w:val="4D4D4D"/>
          <w:sz w:val="26"/>
          <w:lang w:eastAsia="en-US"/>
        </w:rPr>
      </w:pPr>
      <w:r>
        <w:br w:type="page"/>
      </w:r>
    </w:p>
    <w:p w:rsidR="00605D8D" w:rsidRPr="00EE406F" w:rsidRDefault="00605D8D" w:rsidP="00605D8D">
      <w:pPr>
        <w:pStyle w:val="Heading3NoNum"/>
        <w:rPr>
          <w:color w:val="auto"/>
          <w:sz w:val="22"/>
        </w:rPr>
      </w:pPr>
      <w:r w:rsidRPr="00EE406F">
        <w:rPr>
          <w:color w:val="auto"/>
          <w:sz w:val="22"/>
        </w:rPr>
        <w:t xml:space="preserve">Human Rights Certificate – </w:t>
      </w:r>
      <w:r w:rsidR="00D13659" w:rsidRPr="00EE406F">
        <w:rPr>
          <w:color w:val="auto"/>
          <w:sz w:val="22"/>
        </w:rPr>
        <w:t>section </w:t>
      </w:r>
      <w:r w:rsidRPr="00EE406F">
        <w:rPr>
          <w:color w:val="auto"/>
          <w:sz w:val="22"/>
        </w:rPr>
        <w:t xml:space="preserve">12A (statutory rules) or </w:t>
      </w:r>
      <w:r w:rsidR="00D13659" w:rsidRPr="00EE406F">
        <w:rPr>
          <w:color w:val="auto"/>
          <w:sz w:val="22"/>
        </w:rPr>
        <w:t>section </w:t>
      </w:r>
      <w:r w:rsidRPr="00EE406F">
        <w:rPr>
          <w:color w:val="auto"/>
          <w:sz w:val="22"/>
        </w:rPr>
        <w:t>12D (legislative instruments</w:t>
      </w:r>
      <w:r w:rsidRPr="00EE406F">
        <w:rPr>
          <w:rStyle w:val="FootnoteReference"/>
          <w:color w:val="auto"/>
          <w:sz w:val="22"/>
        </w:rPr>
        <w:footnoteReference w:customMarkFollows="1" w:id="27"/>
        <w:sym w:font="Symbol" w:char="0023"/>
      </w:r>
      <w:r w:rsidRPr="00EE406F">
        <w:rPr>
          <w:color w:val="auto"/>
          <w:sz w:val="22"/>
        </w:rPr>
        <w:t>)</w:t>
      </w:r>
    </w:p>
    <w:tbl>
      <w:tblPr>
        <w:tblW w:w="8640" w:type="dxa"/>
        <w:tblInd w:w="918" w:type="dxa"/>
        <w:tblBorders>
          <w:top w:val="single" w:sz="6" w:space="0" w:color="auto"/>
          <w:left w:val="single" w:sz="6" w:space="0" w:color="auto"/>
          <w:bottom w:val="single" w:sz="6" w:space="0" w:color="auto"/>
          <w:right w:val="single" w:sz="6" w:space="0" w:color="auto"/>
        </w:tblBorders>
        <w:shd w:val="clear" w:color="auto" w:fill="D9D9D9"/>
        <w:tblLook w:val="01E0" w:firstRow="1" w:lastRow="1" w:firstColumn="1" w:lastColumn="1" w:noHBand="0" w:noVBand="0"/>
      </w:tblPr>
      <w:tblGrid>
        <w:gridCol w:w="8640"/>
      </w:tblGrid>
      <w:tr w:rsidR="00605D8D" w:rsidTr="00D72695">
        <w:tc>
          <w:tcPr>
            <w:tcW w:w="8640" w:type="dxa"/>
            <w:shd w:val="clear" w:color="auto" w:fill="auto"/>
          </w:tcPr>
          <w:p w:rsidR="00605D8D" w:rsidRPr="00A70B52" w:rsidRDefault="00605D8D" w:rsidP="00B649B7">
            <w:pPr>
              <w:pStyle w:val="TableTextbold"/>
              <w:jc w:val="center"/>
            </w:pPr>
            <w:r w:rsidRPr="00B649B7">
              <w:rPr>
                <w:i/>
              </w:rPr>
              <w:t>Subordinate Legislation Act 1994</w:t>
            </w:r>
            <w:r w:rsidRPr="00A70B52">
              <w:br/>
              <w:t xml:space="preserve">(INSERT EITHER: </w:t>
            </w:r>
            <w:r w:rsidR="00D13659">
              <w:t>Section </w:t>
            </w:r>
            <w:r w:rsidRPr="00A70B52">
              <w:t xml:space="preserve">12A or </w:t>
            </w:r>
            <w:r w:rsidR="00D13659">
              <w:t>Section </w:t>
            </w:r>
            <w:r w:rsidRPr="00A70B52">
              <w:t>12D</w:t>
            </w:r>
            <w:r w:rsidRPr="00A70B52">
              <w:rPr>
                <w:rStyle w:val="FootnoteReference"/>
                <w:sz w:val="18"/>
                <w:szCs w:val="18"/>
              </w:rPr>
              <w:footnoteReference w:customMarkFollows="1" w:id="28"/>
              <w:sym w:font="Symbol" w:char="002A"/>
            </w:r>
            <w:r w:rsidRPr="00A70B52">
              <w:t>)</w:t>
            </w:r>
          </w:p>
          <w:p w:rsidR="00605D8D" w:rsidRDefault="00605D8D" w:rsidP="00B649B7">
            <w:pPr>
              <w:pStyle w:val="TableTextbold"/>
              <w:jc w:val="center"/>
            </w:pPr>
            <w:r w:rsidRPr="00A70B52">
              <w:t>HUMAN RIGHTS CERTIFICATE</w:t>
            </w:r>
            <w:r>
              <w:br/>
            </w:r>
            <w:r w:rsidRPr="00A70B52">
              <w:t>[Title of Regulations/Legislative instrument]</w:t>
            </w:r>
          </w:p>
          <w:p w:rsidR="00B649B7" w:rsidRDefault="00B649B7" w:rsidP="00B649B7">
            <w:pPr>
              <w:pStyle w:val="TableText"/>
              <w:spacing w:before="40" w:after="40"/>
              <w:rPr>
                <w:sz w:val="18"/>
              </w:rPr>
            </w:pPr>
          </w:p>
          <w:p w:rsidR="00605D8D" w:rsidRPr="00B649B7" w:rsidRDefault="00605D8D" w:rsidP="00B649B7">
            <w:pPr>
              <w:pStyle w:val="TableText"/>
              <w:spacing w:before="40" w:after="40"/>
              <w:rPr>
                <w:sz w:val="18"/>
              </w:rPr>
            </w:pPr>
            <w:r w:rsidRPr="00B649B7">
              <w:rPr>
                <w:sz w:val="18"/>
              </w:rPr>
              <w:t xml:space="preserve">I, [Minister’s name], Minister for [Portfolio], certify under [insert either: </w:t>
            </w:r>
            <w:r w:rsidR="00D13659">
              <w:rPr>
                <w:sz w:val="18"/>
              </w:rPr>
              <w:t>section </w:t>
            </w:r>
            <w:r w:rsidRPr="00B649B7">
              <w:rPr>
                <w:sz w:val="18"/>
              </w:rPr>
              <w:t>12A(2) or 12D(2)</w:t>
            </w:r>
            <w:r w:rsidRPr="00B649B7">
              <w:rPr>
                <w:sz w:val="18"/>
                <w:szCs w:val="18"/>
                <w:vertAlign w:val="superscript"/>
              </w:rPr>
              <w:sym w:font="Symbol" w:char="002A"/>
            </w:r>
            <w:r w:rsidRPr="00B649B7">
              <w:rPr>
                <w:sz w:val="18"/>
              </w:rPr>
              <w:t xml:space="preserve">] of the </w:t>
            </w:r>
            <w:r w:rsidRPr="00B649B7">
              <w:rPr>
                <w:b/>
                <w:bCs/>
                <w:i/>
                <w:sz w:val="18"/>
              </w:rPr>
              <w:t>Subordinate Legislation Act 1994</w:t>
            </w:r>
            <w:r w:rsidRPr="00B649B7">
              <w:rPr>
                <w:sz w:val="18"/>
              </w:rPr>
              <w:t xml:space="preserve"> that, in my opinion –</w:t>
            </w:r>
          </w:p>
          <w:p w:rsidR="00605D8D" w:rsidRPr="00B649B7" w:rsidRDefault="00605D8D" w:rsidP="00B649B7">
            <w:pPr>
              <w:pStyle w:val="TableBullet"/>
              <w:tabs>
                <w:tab w:val="clear" w:pos="227"/>
              </w:tabs>
              <w:spacing w:before="40" w:after="40"/>
              <w:ind w:left="432"/>
              <w:rPr>
                <w:sz w:val="18"/>
              </w:rPr>
            </w:pPr>
            <w:r w:rsidRPr="00B649B7">
              <w:rPr>
                <w:sz w:val="18"/>
              </w:rPr>
              <w:t>the proposed [Title of Regulations/legislative instrument] [do/does] not limit any human rights set out in the Charter of Human Rights and Responsibilities</w:t>
            </w:r>
          </w:p>
          <w:p w:rsidR="00605D8D" w:rsidRPr="00B649B7" w:rsidRDefault="00605D8D" w:rsidP="00B649B7">
            <w:pPr>
              <w:pStyle w:val="TableText"/>
              <w:spacing w:before="40" w:after="40"/>
              <w:jc w:val="center"/>
              <w:rPr>
                <w:b/>
                <w:sz w:val="18"/>
              </w:rPr>
            </w:pPr>
            <w:r w:rsidRPr="00B649B7">
              <w:rPr>
                <w:b/>
                <w:sz w:val="18"/>
              </w:rPr>
              <w:t>OR</w:t>
            </w:r>
          </w:p>
          <w:p w:rsidR="00605D8D" w:rsidRPr="00B649B7" w:rsidRDefault="00605D8D" w:rsidP="00B649B7">
            <w:pPr>
              <w:pStyle w:val="TableBullet"/>
              <w:tabs>
                <w:tab w:val="clear" w:pos="227"/>
              </w:tabs>
              <w:spacing w:before="40" w:after="40"/>
              <w:ind w:left="432"/>
              <w:rPr>
                <w:sz w:val="18"/>
              </w:rPr>
            </w:pPr>
            <w:r w:rsidRPr="00B649B7">
              <w:rPr>
                <w:sz w:val="18"/>
              </w:rPr>
              <w:t>the proposed [Title of Regulations/legislative instrument] [do/does] limit one or more human rights set out in the Charter of Human Rights and Responsibilities as follows –</w:t>
            </w:r>
          </w:p>
          <w:p w:rsidR="00605D8D" w:rsidRPr="00B649B7" w:rsidRDefault="00605D8D" w:rsidP="00B649B7">
            <w:pPr>
              <w:pStyle w:val="TableText"/>
              <w:spacing w:before="40" w:after="40"/>
              <w:ind w:left="432"/>
              <w:rPr>
                <w:i/>
                <w:sz w:val="18"/>
              </w:rPr>
            </w:pPr>
            <w:r w:rsidRPr="00B649B7">
              <w:rPr>
                <w:i/>
                <w:sz w:val="18"/>
              </w:rPr>
              <w:t>[here, set out in respect of each human right limited]</w:t>
            </w:r>
          </w:p>
          <w:p w:rsidR="00605D8D" w:rsidRPr="00B649B7" w:rsidRDefault="00605D8D" w:rsidP="00322641">
            <w:pPr>
              <w:pStyle w:val="TableText"/>
              <w:numPr>
                <w:ilvl w:val="0"/>
                <w:numId w:val="19"/>
              </w:numPr>
              <w:spacing w:before="40" w:after="40"/>
              <w:ind w:left="1080"/>
              <w:rPr>
                <w:sz w:val="18"/>
              </w:rPr>
            </w:pPr>
            <w:r w:rsidRPr="00B649B7">
              <w:rPr>
                <w:sz w:val="18"/>
              </w:rPr>
              <w:t>the nature of the human right limited;</w:t>
            </w:r>
          </w:p>
          <w:p w:rsidR="00605D8D" w:rsidRPr="00B649B7" w:rsidRDefault="00605D8D" w:rsidP="00322641">
            <w:pPr>
              <w:pStyle w:val="TableText"/>
              <w:numPr>
                <w:ilvl w:val="0"/>
                <w:numId w:val="19"/>
              </w:numPr>
              <w:spacing w:before="40" w:after="40"/>
              <w:ind w:left="1080"/>
              <w:rPr>
                <w:sz w:val="18"/>
              </w:rPr>
            </w:pPr>
            <w:r w:rsidRPr="00B649B7">
              <w:rPr>
                <w:sz w:val="18"/>
              </w:rPr>
              <w:t>the importance of the purpose of the limitation;</w:t>
            </w:r>
          </w:p>
          <w:p w:rsidR="00605D8D" w:rsidRPr="00B649B7" w:rsidRDefault="00605D8D" w:rsidP="00322641">
            <w:pPr>
              <w:pStyle w:val="TableText"/>
              <w:numPr>
                <w:ilvl w:val="0"/>
                <w:numId w:val="19"/>
              </w:numPr>
              <w:spacing w:before="40" w:after="40"/>
              <w:ind w:left="1080"/>
              <w:rPr>
                <w:sz w:val="18"/>
              </w:rPr>
            </w:pPr>
            <w:r w:rsidRPr="00B649B7">
              <w:rPr>
                <w:sz w:val="18"/>
              </w:rPr>
              <w:t>the nature and extent of the limitation;</w:t>
            </w:r>
          </w:p>
          <w:p w:rsidR="00605D8D" w:rsidRPr="00B649B7" w:rsidRDefault="00605D8D" w:rsidP="00322641">
            <w:pPr>
              <w:pStyle w:val="TableText"/>
              <w:numPr>
                <w:ilvl w:val="0"/>
                <w:numId w:val="19"/>
              </w:numPr>
              <w:spacing w:before="40" w:after="40"/>
              <w:ind w:left="1080"/>
              <w:rPr>
                <w:sz w:val="18"/>
              </w:rPr>
            </w:pPr>
            <w:r w:rsidRPr="00B649B7">
              <w:rPr>
                <w:sz w:val="18"/>
              </w:rPr>
              <w:t>the relationship between the limitation and its purpose; and</w:t>
            </w:r>
          </w:p>
          <w:p w:rsidR="00605D8D" w:rsidRPr="00B649B7" w:rsidRDefault="00605D8D" w:rsidP="00322641">
            <w:pPr>
              <w:pStyle w:val="TableText"/>
              <w:numPr>
                <w:ilvl w:val="0"/>
                <w:numId w:val="19"/>
              </w:numPr>
              <w:spacing w:before="40" w:after="40"/>
              <w:ind w:left="1080"/>
              <w:rPr>
                <w:sz w:val="18"/>
              </w:rPr>
            </w:pPr>
            <w:proofErr w:type="gramStart"/>
            <w:r w:rsidRPr="00B649B7">
              <w:rPr>
                <w:sz w:val="18"/>
              </w:rPr>
              <w:t>any</w:t>
            </w:r>
            <w:proofErr w:type="gramEnd"/>
            <w:r w:rsidRPr="00B649B7">
              <w:rPr>
                <w:sz w:val="18"/>
              </w:rPr>
              <w:t xml:space="preserve"> less restrictive means reasonably available to achieve the purpose that the limitation seeks to achieve.</w:t>
            </w:r>
          </w:p>
          <w:p w:rsidR="00605D8D" w:rsidRPr="00B649B7" w:rsidRDefault="00605D8D" w:rsidP="00B649B7">
            <w:pPr>
              <w:pStyle w:val="Dash"/>
              <w:spacing w:before="40" w:after="40" w:line="240" w:lineRule="atLeast"/>
              <w:ind w:left="0"/>
              <w:rPr>
                <w:sz w:val="18"/>
              </w:rPr>
            </w:pPr>
            <w:r w:rsidRPr="00B649B7">
              <w:rPr>
                <w:sz w:val="18"/>
              </w:rPr>
              <w:t>Dated:</w:t>
            </w:r>
          </w:p>
          <w:p w:rsidR="00605D8D" w:rsidRPr="00B649B7" w:rsidRDefault="00605D8D" w:rsidP="00B649B7">
            <w:pPr>
              <w:pStyle w:val="Dash"/>
              <w:spacing w:before="40" w:after="40" w:line="240" w:lineRule="atLeast"/>
              <w:ind w:left="0"/>
              <w:rPr>
                <w:sz w:val="18"/>
              </w:rPr>
            </w:pPr>
            <w:r w:rsidRPr="00B649B7">
              <w:rPr>
                <w:sz w:val="18"/>
              </w:rPr>
              <w:t>Signature of Minister</w:t>
            </w:r>
          </w:p>
          <w:p w:rsidR="00605D8D" w:rsidRPr="00B649B7" w:rsidRDefault="00605D8D" w:rsidP="00B649B7">
            <w:pPr>
              <w:spacing w:before="40" w:after="40"/>
              <w:ind w:left="0"/>
              <w:rPr>
                <w:sz w:val="18"/>
              </w:rPr>
            </w:pPr>
            <w:r w:rsidRPr="00B649B7">
              <w:rPr>
                <w:sz w:val="18"/>
              </w:rPr>
              <w:t>Title</w:t>
            </w:r>
          </w:p>
          <w:p w:rsidR="00605D8D" w:rsidRPr="00B649B7" w:rsidRDefault="00605D8D" w:rsidP="00B649B7">
            <w:pPr>
              <w:pStyle w:val="TableBullet"/>
              <w:spacing w:before="40" w:after="40"/>
              <w:rPr>
                <w:i/>
              </w:rPr>
            </w:pPr>
            <w:r w:rsidRPr="00B649B7">
              <w:rPr>
                <w:i/>
                <w:sz w:val="18"/>
              </w:rPr>
              <w:t>delete if inapplicable</w:t>
            </w:r>
            <w:r w:rsidRPr="00B649B7">
              <w:rPr>
                <w:i/>
              </w:rPr>
              <w:t xml:space="preserve"> </w:t>
            </w:r>
          </w:p>
        </w:tc>
      </w:tr>
    </w:tbl>
    <w:p w:rsidR="00B649B7" w:rsidRDefault="00B649B7" w:rsidP="00584FDB">
      <w:pPr>
        <w:pStyle w:val="Spacer"/>
        <w:rPr>
          <w:lang w:eastAsia="en-US"/>
        </w:rPr>
      </w:pPr>
    </w:p>
    <w:p w:rsidR="00605D8D" w:rsidRPr="00EE406F" w:rsidRDefault="00605D8D" w:rsidP="00B649B7">
      <w:pPr>
        <w:pStyle w:val="Heading3NoNum"/>
        <w:rPr>
          <w:color w:val="auto"/>
          <w:sz w:val="22"/>
        </w:rPr>
      </w:pPr>
      <w:r w:rsidRPr="00EE406F">
        <w:rPr>
          <w:color w:val="auto"/>
          <w:sz w:val="22"/>
        </w:rPr>
        <w:t xml:space="preserve">Exemption certificate (Human Rights) – </w:t>
      </w:r>
      <w:r w:rsidR="00D13659" w:rsidRPr="00EE406F">
        <w:rPr>
          <w:color w:val="auto"/>
          <w:sz w:val="22"/>
        </w:rPr>
        <w:t>section </w:t>
      </w:r>
      <w:proofErr w:type="gramStart"/>
      <w:r w:rsidRPr="00EE406F">
        <w:rPr>
          <w:color w:val="auto"/>
          <w:sz w:val="22"/>
        </w:rPr>
        <w:t>12A(</w:t>
      </w:r>
      <w:proofErr w:type="gramEnd"/>
      <w:r w:rsidRPr="00EE406F">
        <w:rPr>
          <w:color w:val="auto"/>
          <w:sz w:val="22"/>
        </w:rPr>
        <w:t>3)(b) (statutory rules)</w:t>
      </w:r>
    </w:p>
    <w:tbl>
      <w:tblPr>
        <w:tblW w:w="8640" w:type="dxa"/>
        <w:tblInd w:w="918" w:type="dxa"/>
        <w:tblBorders>
          <w:top w:val="single" w:sz="6" w:space="0" w:color="auto"/>
          <w:left w:val="single" w:sz="6" w:space="0" w:color="auto"/>
          <w:bottom w:val="single" w:sz="6" w:space="0" w:color="auto"/>
          <w:right w:val="single" w:sz="6" w:space="0" w:color="auto"/>
        </w:tblBorders>
        <w:shd w:val="clear" w:color="auto" w:fill="D9D9D9"/>
        <w:tblLook w:val="01E0" w:firstRow="1" w:lastRow="1" w:firstColumn="1" w:lastColumn="1" w:noHBand="0" w:noVBand="0"/>
      </w:tblPr>
      <w:tblGrid>
        <w:gridCol w:w="8640"/>
      </w:tblGrid>
      <w:tr w:rsidR="00605D8D" w:rsidTr="00D72695">
        <w:tc>
          <w:tcPr>
            <w:tcW w:w="8640" w:type="dxa"/>
            <w:shd w:val="clear" w:color="auto" w:fill="auto"/>
          </w:tcPr>
          <w:p w:rsidR="00605D8D" w:rsidRPr="00B649B7" w:rsidRDefault="00605D8D" w:rsidP="00B649B7">
            <w:pPr>
              <w:pStyle w:val="TableTextbold"/>
              <w:jc w:val="center"/>
              <w:rPr>
                <w:i/>
              </w:rPr>
            </w:pPr>
            <w:r w:rsidRPr="00B649B7">
              <w:rPr>
                <w:i/>
              </w:rPr>
              <w:t>Subordinate Legislation Act 1994</w:t>
            </w:r>
          </w:p>
          <w:p w:rsidR="00605D8D" w:rsidRPr="006239AA" w:rsidRDefault="00605D8D" w:rsidP="00B649B7">
            <w:pPr>
              <w:pStyle w:val="TableTextbold"/>
              <w:jc w:val="center"/>
            </w:pPr>
            <w:r w:rsidRPr="006239AA">
              <w:t>EXEMPTION CERTIFICATE</w:t>
            </w:r>
            <w:r w:rsidRPr="006239AA">
              <w:br/>
              <w:t>(</w:t>
            </w:r>
            <w:r w:rsidR="00D13659">
              <w:t>Section </w:t>
            </w:r>
            <w:r w:rsidRPr="006239AA">
              <w:t>12A(3)(b))</w:t>
            </w:r>
          </w:p>
          <w:p w:rsidR="00605D8D" w:rsidRPr="006239AA" w:rsidRDefault="00605D8D" w:rsidP="00B649B7">
            <w:pPr>
              <w:pStyle w:val="TableTextbold"/>
              <w:jc w:val="center"/>
            </w:pPr>
            <w:r w:rsidRPr="006239AA">
              <w:t>[Title of Regulations]</w:t>
            </w:r>
          </w:p>
          <w:p w:rsidR="00B649B7" w:rsidRPr="00B649B7" w:rsidRDefault="00B649B7" w:rsidP="00584FDB">
            <w:pPr>
              <w:pStyle w:val="TableText"/>
              <w:keepNext/>
              <w:keepLines/>
              <w:spacing w:before="0" w:after="0" w:line="240" w:lineRule="atLeast"/>
              <w:rPr>
                <w:sz w:val="18"/>
              </w:rPr>
            </w:pPr>
          </w:p>
          <w:p w:rsidR="00605D8D" w:rsidRPr="00B649B7" w:rsidRDefault="00605D8D" w:rsidP="00B649B7">
            <w:pPr>
              <w:pStyle w:val="TableText"/>
              <w:keepNext/>
              <w:keepLines/>
              <w:spacing w:before="40" w:after="40" w:line="240" w:lineRule="atLeast"/>
              <w:rPr>
                <w:sz w:val="18"/>
              </w:rPr>
            </w:pPr>
            <w:r w:rsidRPr="00B649B7">
              <w:rPr>
                <w:sz w:val="18"/>
              </w:rPr>
              <w:t xml:space="preserve">I, [Minister’s name], Minister for [Portfolio], certify under </w:t>
            </w:r>
            <w:r w:rsidR="00D13659">
              <w:rPr>
                <w:sz w:val="18"/>
              </w:rPr>
              <w:t>section </w:t>
            </w:r>
            <w:r w:rsidRPr="00B649B7">
              <w:rPr>
                <w:sz w:val="18"/>
              </w:rPr>
              <w:t xml:space="preserve">12A(3) of the </w:t>
            </w:r>
            <w:r w:rsidRPr="00B649B7">
              <w:rPr>
                <w:b/>
                <w:bCs/>
                <w:i/>
                <w:sz w:val="18"/>
              </w:rPr>
              <w:t>Subordinate Legislation Act 1994</w:t>
            </w:r>
            <w:r w:rsidRPr="00B649B7">
              <w:rPr>
                <w:sz w:val="18"/>
              </w:rPr>
              <w:t xml:space="preserve"> that, in my opinion, the proposed [Title of Regulations] –</w:t>
            </w:r>
          </w:p>
          <w:p w:rsidR="00605D8D" w:rsidRPr="00B649B7" w:rsidRDefault="00605D8D" w:rsidP="00B649B7">
            <w:pPr>
              <w:pStyle w:val="TableBullet"/>
              <w:tabs>
                <w:tab w:val="clear" w:pos="227"/>
              </w:tabs>
              <w:spacing w:before="40" w:after="40"/>
              <w:ind w:left="432"/>
              <w:rPr>
                <w:sz w:val="18"/>
              </w:rPr>
            </w:pPr>
            <w:r w:rsidRPr="00B649B7">
              <w:rPr>
                <w:sz w:val="18"/>
              </w:rPr>
              <w:t xml:space="preserve">prescribe under </w:t>
            </w:r>
            <w:r w:rsidR="00D13659">
              <w:rPr>
                <w:sz w:val="18"/>
              </w:rPr>
              <w:t>section </w:t>
            </w:r>
            <w:r w:rsidRPr="00B649B7">
              <w:rPr>
                <w:sz w:val="18"/>
              </w:rPr>
              <w:t>4(1)(a) of the Act an instrument or class of in</w:t>
            </w:r>
            <w:r w:rsidR="00B649B7" w:rsidRPr="00B649B7">
              <w:rPr>
                <w:sz w:val="18"/>
              </w:rPr>
              <w:t>strument to be a statutory rule </w:t>
            </w:r>
            <w:r w:rsidRPr="00B649B7">
              <w:rPr>
                <w:sz w:val="18"/>
              </w:rPr>
              <w:t>–</w:t>
            </w:r>
          </w:p>
          <w:p w:rsidR="00605D8D" w:rsidRPr="00B649B7" w:rsidRDefault="00605D8D" w:rsidP="00B649B7">
            <w:pPr>
              <w:pStyle w:val="TableBullet"/>
              <w:tabs>
                <w:tab w:val="clear" w:pos="227"/>
              </w:tabs>
              <w:spacing w:before="40" w:after="40"/>
              <w:ind w:left="432"/>
              <w:rPr>
                <w:sz w:val="18"/>
              </w:rPr>
            </w:pPr>
            <w:r w:rsidRPr="00B649B7">
              <w:rPr>
                <w:sz w:val="18"/>
              </w:rPr>
              <w:t xml:space="preserve">exempt under </w:t>
            </w:r>
            <w:r w:rsidR="00D13659">
              <w:rPr>
                <w:sz w:val="18"/>
              </w:rPr>
              <w:t>section </w:t>
            </w:r>
            <w:r w:rsidRPr="00B649B7">
              <w:rPr>
                <w:sz w:val="18"/>
              </w:rPr>
              <w:t>4(1)(b) of the Act an instrument or class of instrument from the operation of the Act –</w:t>
            </w:r>
          </w:p>
          <w:p w:rsidR="00605D8D" w:rsidRPr="00B649B7" w:rsidRDefault="00605D8D" w:rsidP="00B649B7">
            <w:pPr>
              <w:pStyle w:val="TableBullet"/>
              <w:tabs>
                <w:tab w:val="clear" w:pos="227"/>
              </w:tabs>
              <w:spacing w:before="40" w:after="40"/>
              <w:ind w:left="432"/>
              <w:rPr>
                <w:sz w:val="18"/>
              </w:rPr>
            </w:pPr>
            <w:r w:rsidRPr="00B649B7">
              <w:rPr>
                <w:sz w:val="18"/>
              </w:rPr>
              <w:t xml:space="preserve">prescribe under </w:t>
            </w:r>
            <w:r w:rsidR="00D13659">
              <w:rPr>
                <w:sz w:val="18"/>
              </w:rPr>
              <w:t>section </w:t>
            </w:r>
            <w:r w:rsidRPr="00B649B7">
              <w:rPr>
                <w:sz w:val="18"/>
              </w:rPr>
              <w:t xml:space="preserve">4A(1)(a) an instrument or a class of instrument for the purposes of paragraph (h) of the definition of </w:t>
            </w:r>
            <w:r w:rsidRPr="00B649B7">
              <w:rPr>
                <w:i/>
                <w:sz w:val="18"/>
              </w:rPr>
              <w:t xml:space="preserve">legislative instrument </w:t>
            </w:r>
            <w:r w:rsidRPr="00B649B7">
              <w:rPr>
                <w:sz w:val="18"/>
              </w:rPr>
              <w:t>–</w:t>
            </w:r>
          </w:p>
          <w:p w:rsidR="00605D8D" w:rsidRPr="00B649B7" w:rsidRDefault="00605D8D" w:rsidP="00B649B7">
            <w:pPr>
              <w:pStyle w:val="TableBullet"/>
              <w:tabs>
                <w:tab w:val="clear" w:pos="227"/>
              </w:tabs>
              <w:spacing w:before="40" w:after="40"/>
              <w:ind w:left="432"/>
              <w:rPr>
                <w:sz w:val="18"/>
              </w:rPr>
            </w:pPr>
            <w:r w:rsidRPr="00B649B7">
              <w:rPr>
                <w:sz w:val="18"/>
              </w:rPr>
              <w:t xml:space="preserve">prescribe under </w:t>
            </w:r>
            <w:r w:rsidR="00D13659">
              <w:rPr>
                <w:sz w:val="18"/>
              </w:rPr>
              <w:t>section </w:t>
            </w:r>
            <w:r w:rsidRPr="00B649B7">
              <w:rPr>
                <w:sz w:val="18"/>
              </w:rPr>
              <w:t>4A(1)(b) an instrument or a class of instrument to be, or not to be, a legislative instrument or class of legislative instrument for the purposes of the Ac or any specified provi</w:t>
            </w:r>
            <w:r w:rsidR="00B649B7">
              <w:rPr>
                <w:sz w:val="18"/>
              </w:rPr>
              <w:t>sions of the Act </w:t>
            </w:r>
            <w:r w:rsidRPr="00B649B7">
              <w:rPr>
                <w:sz w:val="18"/>
              </w:rPr>
              <w:t>–</w:t>
            </w:r>
          </w:p>
          <w:p w:rsidR="00605D8D" w:rsidRPr="00B649B7" w:rsidRDefault="00605D8D" w:rsidP="00B649B7">
            <w:pPr>
              <w:pStyle w:val="TableBullet"/>
              <w:tabs>
                <w:tab w:val="clear" w:pos="227"/>
              </w:tabs>
              <w:spacing w:before="40" w:after="40"/>
              <w:ind w:left="432"/>
              <w:rPr>
                <w:sz w:val="18"/>
              </w:rPr>
            </w:pPr>
            <w:r w:rsidRPr="00B649B7">
              <w:rPr>
                <w:sz w:val="18"/>
              </w:rPr>
              <w:t>is an extension regulation –</w:t>
            </w:r>
          </w:p>
          <w:p w:rsidR="00605D8D" w:rsidRPr="00B649B7" w:rsidRDefault="00605D8D" w:rsidP="00B649B7">
            <w:pPr>
              <w:pStyle w:val="TableText"/>
              <w:spacing w:before="40" w:after="40"/>
              <w:ind w:left="205"/>
              <w:rPr>
                <w:sz w:val="18"/>
              </w:rPr>
            </w:pPr>
            <w:proofErr w:type="gramStart"/>
            <w:r w:rsidRPr="00B649B7">
              <w:rPr>
                <w:sz w:val="18"/>
              </w:rPr>
              <w:t>and</w:t>
            </w:r>
            <w:proofErr w:type="gramEnd"/>
            <w:r w:rsidRPr="00B649B7">
              <w:rPr>
                <w:sz w:val="18"/>
              </w:rPr>
              <w:t xml:space="preserve"> [are/is] therefore exempted from the requirement to prepare a human rights certificate under </w:t>
            </w:r>
            <w:r w:rsidR="00D13659">
              <w:rPr>
                <w:sz w:val="18"/>
              </w:rPr>
              <w:t>section </w:t>
            </w:r>
            <w:r w:rsidRPr="00B649B7">
              <w:rPr>
                <w:sz w:val="18"/>
              </w:rPr>
              <w:t>12A(1) of the Act.</w:t>
            </w:r>
          </w:p>
          <w:p w:rsidR="00B649B7" w:rsidRPr="00B649B7" w:rsidRDefault="00B649B7" w:rsidP="00B649B7">
            <w:pPr>
              <w:pStyle w:val="TableText"/>
              <w:spacing w:before="40" w:after="40"/>
              <w:rPr>
                <w:sz w:val="18"/>
              </w:rPr>
            </w:pPr>
          </w:p>
          <w:p w:rsidR="00605D8D" w:rsidRPr="00B649B7" w:rsidRDefault="00605D8D" w:rsidP="00B649B7">
            <w:pPr>
              <w:pStyle w:val="TableText"/>
              <w:rPr>
                <w:sz w:val="18"/>
              </w:rPr>
            </w:pPr>
            <w:r w:rsidRPr="00B649B7">
              <w:rPr>
                <w:sz w:val="18"/>
              </w:rPr>
              <w:t>Dated:</w:t>
            </w:r>
          </w:p>
          <w:p w:rsidR="00605D8D" w:rsidRPr="00B649B7" w:rsidRDefault="00605D8D" w:rsidP="00B649B7">
            <w:pPr>
              <w:pStyle w:val="TableText"/>
              <w:rPr>
                <w:sz w:val="18"/>
              </w:rPr>
            </w:pPr>
            <w:r w:rsidRPr="00B649B7">
              <w:rPr>
                <w:sz w:val="18"/>
              </w:rPr>
              <w:t>Signature of Minister</w:t>
            </w:r>
          </w:p>
          <w:p w:rsidR="00605D8D" w:rsidRPr="00B649B7" w:rsidRDefault="00605D8D" w:rsidP="00B649B7">
            <w:pPr>
              <w:pStyle w:val="TableText"/>
              <w:rPr>
                <w:sz w:val="18"/>
              </w:rPr>
            </w:pPr>
            <w:r w:rsidRPr="00B649B7">
              <w:rPr>
                <w:sz w:val="18"/>
              </w:rPr>
              <w:t>Title</w:t>
            </w:r>
          </w:p>
          <w:p w:rsidR="00605D8D" w:rsidRPr="00B649B7" w:rsidRDefault="00605D8D" w:rsidP="00B649B7">
            <w:pPr>
              <w:pStyle w:val="TableBullet"/>
              <w:rPr>
                <w:i/>
              </w:rPr>
            </w:pPr>
            <w:r w:rsidRPr="00B649B7">
              <w:rPr>
                <w:i/>
                <w:sz w:val="18"/>
              </w:rPr>
              <w:t xml:space="preserve">delete if inapplicable </w:t>
            </w:r>
          </w:p>
        </w:tc>
      </w:tr>
    </w:tbl>
    <w:p w:rsidR="00584FDB" w:rsidRDefault="00584FDB" w:rsidP="00584FDB">
      <w:pPr>
        <w:pStyle w:val="Spacer"/>
      </w:pPr>
    </w:p>
    <w:p w:rsidR="00605D8D" w:rsidRPr="00EE406F" w:rsidRDefault="00605D8D" w:rsidP="00605D8D">
      <w:pPr>
        <w:pStyle w:val="Heading3NoNum"/>
        <w:rPr>
          <w:color w:val="auto"/>
          <w:sz w:val="22"/>
        </w:rPr>
      </w:pPr>
      <w:r w:rsidRPr="00EE406F">
        <w:rPr>
          <w:color w:val="auto"/>
          <w:sz w:val="22"/>
        </w:rPr>
        <w:t xml:space="preserve">Exemption certificate (Human Rights) – </w:t>
      </w:r>
      <w:r w:rsidR="00D13659" w:rsidRPr="00EE406F">
        <w:rPr>
          <w:color w:val="auto"/>
          <w:sz w:val="22"/>
        </w:rPr>
        <w:t>section </w:t>
      </w:r>
      <w:proofErr w:type="gramStart"/>
      <w:r w:rsidRPr="00EE406F">
        <w:rPr>
          <w:color w:val="auto"/>
          <w:sz w:val="22"/>
        </w:rPr>
        <w:t>12D(</w:t>
      </w:r>
      <w:proofErr w:type="gramEnd"/>
      <w:r w:rsidRPr="00EE406F">
        <w:rPr>
          <w:color w:val="auto"/>
          <w:sz w:val="22"/>
        </w:rPr>
        <w:t>3) (legislative instruments</w:t>
      </w:r>
      <w:r w:rsidRPr="00EE406F">
        <w:rPr>
          <w:rStyle w:val="FootnoteReference"/>
          <w:color w:val="auto"/>
          <w:sz w:val="22"/>
        </w:rPr>
        <w:footnoteReference w:customMarkFollows="1" w:id="29"/>
        <w:sym w:font="Symbol" w:char="0023"/>
      </w:r>
      <w:r w:rsidRPr="00EE406F">
        <w:rPr>
          <w:color w:val="auto"/>
          <w:sz w:val="22"/>
        </w:rPr>
        <w:t>)</w:t>
      </w:r>
    </w:p>
    <w:tbl>
      <w:tblPr>
        <w:tblW w:w="0" w:type="auto"/>
        <w:tblInd w:w="907" w:type="dxa"/>
        <w:tblBorders>
          <w:top w:val="single" w:sz="6" w:space="0" w:color="auto"/>
          <w:left w:val="single" w:sz="6" w:space="0" w:color="auto"/>
          <w:bottom w:val="single" w:sz="6" w:space="0" w:color="auto"/>
          <w:right w:val="single" w:sz="6" w:space="0" w:color="auto"/>
        </w:tblBorders>
        <w:shd w:val="clear" w:color="auto" w:fill="CCCCCC"/>
        <w:tblCellMar>
          <w:left w:w="113" w:type="dxa"/>
          <w:right w:w="113" w:type="dxa"/>
        </w:tblCellMar>
        <w:tblLook w:val="01E0" w:firstRow="1" w:lastRow="1" w:firstColumn="1" w:lastColumn="1" w:noHBand="0" w:noVBand="0"/>
      </w:tblPr>
      <w:tblGrid>
        <w:gridCol w:w="8345"/>
      </w:tblGrid>
      <w:tr w:rsidR="00605D8D" w:rsidRPr="006970F5" w:rsidTr="00D72695">
        <w:trPr>
          <w:cantSplit/>
        </w:trPr>
        <w:tc>
          <w:tcPr>
            <w:tcW w:w="9039" w:type="dxa"/>
            <w:shd w:val="clear" w:color="auto" w:fill="auto"/>
          </w:tcPr>
          <w:p w:rsidR="00605D8D" w:rsidRPr="00B649B7" w:rsidRDefault="00605D8D" w:rsidP="00B649B7">
            <w:pPr>
              <w:pStyle w:val="TableTextbold"/>
              <w:jc w:val="center"/>
              <w:rPr>
                <w:i/>
              </w:rPr>
            </w:pPr>
            <w:r w:rsidRPr="00B649B7">
              <w:rPr>
                <w:i/>
              </w:rPr>
              <w:t>Subordinate Legislation Act 1994</w:t>
            </w:r>
          </w:p>
          <w:p w:rsidR="00605D8D" w:rsidRPr="006970F5" w:rsidRDefault="00605D8D" w:rsidP="00B649B7">
            <w:pPr>
              <w:pStyle w:val="TableTextbold"/>
              <w:jc w:val="center"/>
            </w:pPr>
            <w:r w:rsidRPr="006970F5">
              <w:t>EXEMPTION CERTIFICATE</w:t>
            </w:r>
            <w:r w:rsidRPr="006970F5">
              <w:br/>
              <w:t>(</w:t>
            </w:r>
            <w:r w:rsidR="00D13659">
              <w:t>Section </w:t>
            </w:r>
            <w:r w:rsidRPr="006970F5">
              <w:t>12D(3))</w:t>
            </w:r>
          </w:p>
          <w:p w:rsidR="00605D8D" w:rsidRPr="006970F5" w:rsidRDefault="00605D8D" w:rsidP="00B649B7">
            <w:pPr>
              <w:pStyle w:val="TableTextbold"/>
              <w:jc w:val="center"/>
            </w:pPr>
            <w:r w:rsidRPr="006970F5">
              <w:t>[Title of Legislative Instrument]</w:t>
            </w:r>
          </w:p>
          <w:p w:rsidR="00B649B7" w:rsidRDefault="00B649B7" w:rsidP="00B649B7">
            <w:pPr>
              <w:pStyle w:val="TableText"/>
              <w:spacing w:beforeLines="40" w:before="96" w:afterLines="40" w:after="96"/>
              <w:rPr>
                <w:sz w:val="18"/>
              </w:rPr>
            </w:pPr>
          </w:p>
          <w:p w:rsidR="00605D8D" w:rsidRPr="00B649B7" w:rsidRDefault="00605D8D" w:rsidP="00B649B7">
            <w:pPr>
              <w:pStyle w:val="TableText"/>
              <w:spacing w:beforeLines="40" w:before="96" w:afterLines="40" w:after="96"/>
              <w:rPr>
                <w:sz w:val="18"/>
              </w:rPr>
            </w:pPr>
            <w:r w:rsidRPr="00B649B7">
              <w:rPr>
                <w:sz w:val="18"/>
              </w:rPr>
              <w:t xml:space="preserve">I, [Minister’s name], Minister for [Portfolio], certify under </w:t>
            </w:r>
            <w:r w:rsidR="00D13659">
              <w:rPr>
                <w:sz w:val="18"/>
              </w:rPr>
              <w:t>section </w:t>
            </w:r>
            <w:r w:rsidRPr="00B649B7">
              <w:rPr>
                <w:sz w:val="18"/>
              </w:rPr>
              <w:t xml:space="preserve">12D(3) of the </w:t>
            </w:r>
            <w:r w:rsidRPr="00B649B7">
              <w:rPr>
                <w:b/>
                <w:bCs/>
                <w:i/>
                <w:sz w:val="18"/>
              </w:rPr>
              <w:t>Subordinate Legislation Act 1994</w:t>
            </w:r>
            <w:r w:rsidRPr="00B649B7">
              <w:rPr>
                <w:sz w:val="18"/>
              </w:rPr>
              <w:t xml:space="preserve"> that, in my opinion, the proposed [Title of Legislative Instrument] is of 12 months duration or less and is necessary to respond to –</w:t>
            </w:r>
          </w:p>
          <w:p w:rsidR="00605D8D" w:rsidRPr="00B649B7" w:rsidRDefault="00605D8D" w:rsidP="00B649B7">
            <w:pPr>
              <w:pStyle w:val="TableBullet"/>
              <w:tabs>
                <w:tab w:val="clear" w:pos="227"/>
              </w:tabs>
              <w:spacing w:beforeLines="40" w:before="96" w:afterLines="40" w:after="96"/>
              <w:ind w:left="432"/>
              <w:rPr>
                <w:sz w:val="18"/>
              </w:rPr>
            </w:pPr>
            <w:r w:rsidRPr="00B649B7">
              <w:rPr>
                <w:sz w:val="18"/>
              </w:rPr>
              <w:t>a public emergency –</w:t>
            </w:r>
          </w:p>
          <w:p w:rsidR="00605D8D" w:rsidRPr="00B649B7" w:rsidRDefault="00605D8D" w:rsidP="00B649B7">
            <w:pPr>
              <w:pStyle w:val="TableBullet"/>
              <w:tabs>
                <w:tab w:val="clear" w:pos="227"/>
              </w:tabs>
              <w:spacing w:beforeLines="40" w:before="96" w:afterLines="40" w:after="96"/>
              <w:ind w:left="432"/>
              <w:rPr>
                <w:sz w:val="18"/>
              </w:rPr>
            </w:pPr>
            <w:r w:rsidRPr="00B649B7">
              <w:rPr>
                <w:sz w:val="18"/>
              </w:rPr>
              <w:t>an urgent public health issue or an urgent public safety issue –</w:t>
            </w:r>
          </w:p>
          <w:p w:rsidR="00605D8D" w:rsidRPr="00B649B7" w:rsidRDefault="00605D8D" w:rsidP="00B649B7">
            <w:pPr>
              <w:pStyle w:val="TableBullet"/>
              <w:tabs>
                <w:tab w:val="clear" w:pos="227"/>
              </w:tabs>
              <w:spacing w:beforeLines="40" w:before="96" w:afterLines="40" w:after="96"/>
              <w:ind w:left="432"/>
              <w:rPr>
                <w:sz w:val="18"/>
              </w:rPr>
            </w:pPr>
            <w:r w:rsidRPr="00B649B7">
              <w:rPr>
                <w:sz w:val="18"/>
              </w:rPr>
              <w:t>likely or actual significant damage to the environment, resource sustainability or the economy –</w:t>
            </w:r>
          </w:p>
          <w:p w:rsidR="00605D8D" w:rsidRPr="00B649B7" w:rsidRDefault="00605D8D" w:rsidP="00B649B7">
            <w:pPr>
              <w:pStyle w:val="TableText"/>
              <w:spacing w:beforeLines="40" w:before="96" w:afterLines="40" w:after="96"/>
              <w:ind w:left="205"/>
              <w:rPr>
                <w:sz w:val="18"/>
              </w:rPr>
            </w:pPr>
            <w:proofErr w:type="gramStart"/>
            <w:r w:rsidRPr="00B649B7">
              <w:rPr>
                <w:sz w:val="18"/>
              </w:rPr>
              <w:t>and</w:t>
            </w:r>
            <w:proofErr w:type="gramEnd"/>
            <w:r w:rsidRPr="00B649B7">
              <w:rPr>
                <w:sz w:val="18"/>
              </w:rPr>
              <w:t xml:space="preserve"> is therefore exempted from the requirement to prepare a human rights certificate under </w:t>
            </w:r>
            <w:r w:rsidR="00D13659">
              <w:rPr>
                <w:sz w:val="18"/>
              </w:rPr>
              <w:t>section </w:t>
            </w:r>
            <w:r w:rsidRPr="00B649B7">
              <w:rPr>
                <w:sz w:val="18"/>
              </w:rPr>
              <w:t>12D(1) of the Act.</w:t>
            </w:r>
          </w:p>
          <w:p w:rsidR="00B649B7" w:rsidRPr="00B649B7" w:rsidRDefault="00B649B7" w:rsidP="00B649B7">
            <w:pPr>
              <w:pStyle w:val="Dash"/>
              <w:keepNext/>
              <w:keepLines/>
              <w:spacing w:beforeLines="40" w:before="96" w:afterLines="40" w:after="96" w:line="240" w:lineRule="atLeast"/>
              <w:ind w:left="0"/>
              <w:rPr>
                <w:sz w:val="18"/>
              </w:rPr>
            </w:pPr>
          </w:p>
          <w:p w:rsidR="00605D8D" w:rsidRPr="00B649B7" w:rsidRDefault="00605D8D" w:rsidP="00B649B7">
            <w:pPr>
              <w:pStyle w:val="TableText"/>
              <w:rPr>
                <w:sz w:val="18"/>
              </w:rPr>
            </w:pPr>
            <w:r w:rsidRPr="00B649B7">
              <w:rPr>
                <w:sz w:val="18"/>
              </w:rPr>
              <w:t>Dated:</w:t>
            </w:r>
          </w:p>
          <w:p w:rsidR="00605D8D" w:rsidRPr="00B649B7" w:rsidRDefault="00605D8D" w:rsidP="00B649B7">
            <w:pPr>
              <w:pStyle w:val="TableText"/>
              <w:rPr>
                <w:sz w:val="18"/>
              </w:rPr>
            </w:pPr>
            <w:r w:rsidRPr="00B649B7">
              <w:rPr>
                <w:sz w:val="18"/>
              </w:rPr>
              <w:t>Signature of Minister</w:t>
            </w:r>
          </w:p>
          <w:p w:rsidR="00605D8D" w:rsidRPr="00B649B7" w:rsidRDefault="00605D8D" w:rsidP="00B649B7">
            <w:pPr>
              <w:pStyle w:val="TableText"/>
              <w:rPr>
                <w:sz w:val="18"/>
              </w:rPr>
            </w:pPr>
            <w:r w:rsidRPr="00B649B7">
              <w:rPr>
                <w:sz w:val="18"/>
              </w:rPr>
              <w:t>Title</w:t>
            </w:r>
          </w:p>
          <w:p w:rsidR="00605D8D" w:rsidRPr="00B649B7" w:rsidRDefault="00605D8D" w:rsidP="00B649B7">
            <w:pPr>
              <w:pStyle w:val="TableBullet"/>
              <w:rPr>
                <w:i/>
              </w:rPr>
            </w:pPr>
            <w:r w:rsidRPr="00B649B7">
              <w:rPr>
                <w:i/>
                <w:sz w:val="18"/>
              </w:rPr>
              <w:t>delete if inapplicable</w:t>
            </w:r>
          </w:p>
        </w:tc>
      </w:tr>
    </w:tbl>
    <w:p w:rsidR="00B649B7" w:rsidRDefault="00B649B7" w:rsidP="00584FDB">
      <w:pPr>
        <w:pStyle w:val="Spacer"/>
      </w:pPr>
    </w:p>
    <w:p w:rsidR="00605D8D" w:rsidRPr="00EE406F" w:rsidRDefault="00605D8D" w:rsidP="00605D8D">
      <w:pPr>
        <w:pStyle w:val="Heading3NoNum"/>
        <w:rPr>
          <w:color w:val="auto"/>
          <w:sz w:val="22"/>
        </w:rPr>
      </w:pPr>
      <w:r w:rsidRPr="00EE406F">
        <w:rPr>
          <w:color w:val="auto"/>
          <w:sz w:val="22"/>
        </w:rPr>
        <w:t xml:space="preserve">Competition test – where subordinate legislation does </w:t>
      </w:r>
      <w:r w:rsidRPr="00EE406F">
        <w:rPr>
          <w:color w:val="auto"/>
          <w:sz w:val="22"/>
          <w:u w:val="single"/>
        </w:rPr>
        <w:t>not</w:t>
      </w:r>
      <w:r w:rsidRPr="00EE406F">
        <w:rPr>
          <w:color w:val="auto"/>
          <w:sz w:val="22"/>
        </w:rPr>
        <w:t xml:space="preserve"> restrict competition</w:t>
      </w:r>
    </w:p>
    <w:tbl>
      <w:tblPr>
        <w:tblW w:w="8404" w:type="dxa"/>
        <w:tblInd w:w="918" w:type="dxa"/>
        <w:tblBorders>
          <w:top w:val="single" w:sz="6" w:space="0" w:color="auto"/>
          <w:left w:val="single" w:sz="6" w:space="0" w:color="auto"/>
          <w:bottom w:val="single" w:sz="6" w:space="0" w:color="auto"/>
          <w:right w:val="single" w:sz="6" w:space="0" w:color="auto"/>
        </w:tblBorders>
        <w:shd w:val="clear" w:color="auto" w:fill="D9D9D9"/>
        <w:tblLook w:val="0000" w:firstRow="0" w:lastRow="0" w:firstColumn="0" w:lastColumn="0" w:noHBand="0" w:noVBand="0"/>
      </w:tblPr>
      <w:tblGrid>
        <w:gridCol w:w="8404"/>
      </w:tblGrid>
      <w:tr w:rsidR="00605D8D" w:rsidTr="00644151">
        <w:tc>
          <w:tcPr>
            <w:tcW w:w="8404" w:type="dxa"/>
            <w:shd w:val="clear" w:color="auto" w:fill="auto"/>
          </w:tcPr>
          <w:p w:rsidR="00605D8D" w:rsidRPr="00781887" w:rsidRDefault="00605D8D" w:rsidP="00B649B7">
            <w:pPr>
              <w:pStyle w:val="TableTextbold"/>
              <w:jc w:val="center"/>
            </w:pPr>
            <w:r w:rsidRPr="00781887">
              <w:t>SUBORDINATE LEGISLATION THAT DOES NOT RESTRICT COMPETITION</w:t>
            </w:r>
          </w:p>
          <w:p w:rsidR="00605D8D" w:rsidRDefault="00605D8D" w:rsidP="00B649B7">
            <w:pPr>
              <w:pStyle w:val="TableTextbold"/>
              <w:jc w:val="center"/>
            </w:pPr>
            <w:r w:rsidRPr="00781887">
              <w:t>[Title of Regulations]</w:t>
            </w:r>
          </w:p>
          <w:p w:rsidR="00B649B7" w:rsidRDefault="00B649B7" w:rsidP="00B649B7">
            <w:pPr>
              <w:pStyle w:val="TableText"/>
              <w:spacing w:before="40" w:after="40"/>
              <w:rPr>
                <w:sz w:val="18"/>
              </w:rPr>
            </w:pPr>
          </w:p>
          <w:p w:rsidR="00605D8D" w:rsidRPr="00B649B7" w:rsidRDefault="00605D8D" w:rsidP="00B649B7">
            <w:pPr>
              <w:pStyle w:val="TableText"/>
              <w:spacing w:before="40" w:after="40"/>
              <w:rPr>
                <w:sz w:val="18"/>
              </w:rPr>
            </w:pPr>
            <w:r w:rsidRPr="00B649B7">
              <w:rPr>
                <w:sz w:val="18"/>
              </w:rPr>
              <w:t>I, [Minister’s name], Minister for [Portfolio], and Minister for the administration of the [</w:t>
            </w:r>
            <w:r w:rsidRPr="00B649B7">
              <w:rPr>
                <w:b/>
                <w:bCs/>
                <w:sz w:val="18"/>
              </w:rPr>
              <w:t>Title of Authorising Act and Year</w:t>
            </w:r>
            <w:r w:rsidRPr="00B649B7">
              <w:rPr>
                <w:sz w:val="18"/>
              </w:rPr>
              <w:t>], certify that the proposed [Title of Regulations]:</w:t>
            </w:r>
          </w:p>
          <w:p w:rsidR="00605D8D" w:rsidRPr="00B649B7" w:rsidRDefault="00605D8D" w:rsidP="00322641">
            <w:pPr>
              <w:pStyle w:val="ListNumbertable"/>
              <w:numPr>
                <w:ilvl w:val="0"/>
                <w:numId w:val="20"/>
              </w:numPr>
              <w:spacing w:before="40" w:after="40"/>
              <w:ind w:left="644"/>
            </w:pPr>
            <w:r w:rsidRPr="00B649B7">
              <w:t xml:space="preserve">have been assessed in accordance with the guidelines contained in the </w:t>
            </w:r>
            <w:r w:rsidRPr="00B649B7">
              <w:rPr>
                <w:i/>
                <w:iCs/>
              </w:rPr>
              <w:t>Victorian Guide to Regulation</w:t>
            </w:r>
            <w:r w:rsidRPr="00B649B7">
              <w:t xml:space="preserve"> and the results documented in the Regulatory Impact Statement prepared for these proposed regulations; and</w:t>
            </w:r>
          </w:p>
          <w:p w:rsidR="00605D8D" w:rsidRPr="00B649B7" w:rsidRDefault="00605D8D" w:rsidP="00B649B7">
            <w:pPr>
              <w:pStyle w:val="ListNumbertable"/>
              <w:spacing w:before="40" w:after="40"/>
            </w:pPr>
            <w:proofErr w:type="gramStart"/>
            <w:r w:rsidRPr="00B649B7">
              <w:t>the</w:t>
            </w:r>
            <w:proofErr w:type="gramEnd"/>
            <w:r w:rsidRPr="00B649B7">
              <w:t xml:space="preserve"> assessment shows that the proposed subordinate legislation does not restrict competition.</w:t>
            </w:r>
          </w:p>
          <w:p w:rsidR="00B649B7" w:rsidRPr="00B649B7" w:rsidRDefault="00B649B7" w:rsidP="00B649B7">
            <w:pPr>
              <w:pStyle w:val="TableText"/>
              <w:spacing w:before="40" w:after="40"/>
              <w:rPr>
                <w:sz w:val="18"/>
              </w:rPr>
            </w:pPr>
          </w:p>
          <w:p w:rsidR="00605D8D" w:rsidRPr="00B649B7" w:rsidRDefault="00605D8D" w:rsidP="00B649B7">
            <w:pPr>
              <w:pStyle w:val="TableText"/>
              <w:rPr>
                <w:sz w:val="18"/>
              </w:rPr>
            </w:pPr>
            <w:r w:rsidRPr="00B649B7">
              <w:rPr>
                <w:sz w:val="18"/>
              </w:rPr>
              <w:t>Dated:</w:t>
            </w:r>
          </w:p>
          <w:p w:rsidR="00605D8D" w:rsidRPr="00B649B7" w:rsidRDefault="00605D8D" w:rsidP="00B649B7">
            <w:pPr>
              <w:pStyle w:val="TableText"/>
              <w:rPr>
                <w:sz w:val="18"/>
              </w:rPr>
            </w:pPr>
            <w:r w:rsidRPr="00B649B7">
              <w:rPr>
                <w:sz w:val="18"/>
              </w:rPr>
              <w:t>Signature of Minister</w:t>
            </w:r>
          </w:p>
          <w:p w:rsidR="00605D8D" w:rsidRDefault="00605D8D" w:rsidP="00B649B7">
            <w:pPr>
              <w:pStyle w:val="TableText"/>
            </w:pPr>
            <w:r w:rsidRPr="00B649B7">
              <w:rPr>
                <w:sz w:val="18"/>
              </w:rPr>
              <w:t>Title</w:t>
            </w:r>
          </w:p>
        </w:tc>
      </w:tr>
    </w:tbl>
    <w:p w:rsidR="00605D8D" w:rsidRDefault="00605D8D" w:rsidP="00605D8D">
      <w:pPr>
        <w:pStyle w:val="Spacer"/>
      </w:pPr>
    </w:p>
    <w:p w:rsidR="00584FDB" w:rsidRDefault="00584FDB">
      <w:pPr>
        <w:spacing w:before="0" w:after="0"/>
        <w:ind w:left="0"/>
        <w:rPr>
          <w:b/>
          <w:color w:val="4D4D4D"/>
          <w:sz w:val="26"/>
          <w:lang w:eastAsia="en-US"/>
        </w:rPr>
      </w:pPr>
      <w:r>
        <w:br w:type="page"/>
      </w:r>
    </w:p>
    <w:p w:rsidR="00605D8D" w:rsidRPr="00EE406F" w:rsidRDefault="00605D8D" w:rsidP="00605D8D">
      <w:pPr>
        <w:pStyle w:val="Heading3NoNum"/>
        <w:rPr>
          <w:color w:val="auto"/>
          <w:sz w:val="22"/>
        </w:rPr>
      </w:pPr>
      <w:r w:rsidRPr="00EE406F">
        <w:rPr>
          <w:color w:val="auto"/>
          <w:sz w:val="22"/>
        </w:rPr>
        <w:t xml:space="preserve">Competition test – where subordinate legislation </w:t>
      </w:r>
      <w:r w:rsidRPr="00EE406F">
        <w:rPr>
          <w:color w:val="auto"/>
          <w:sz w:val="22"/>
          <w:u w:val="single"/>
        </w:rPr>
        <w:t>does</w:t>
      </w:r>
      <w:r w:rsidRPr="00EE406F">
        <w:rPr>
          <w:color w:val="auto"/>
          <w:sz w:val="22"/>
        </w:rPr>
        <w:t xml:space="preserve"> restrict competition</w:t>
      </w:r>
    </w:p>
    <w:tbl>
      <w:tblPr>
        <w:tblW w:w="8262" w:type="dxa"/>
        <w:tblInd w:w="918" w:type="dxa"/>
        <w:tblBorders>
          <w:top w:val="single" w:sz="6" w:space="0" w:color="auto"/>
          <w:left w:val="single" w:sz="6" w:space="0" w:color="auto"/>
          <w:bottom w:val="single" w:sz="6" w:space="0" w:color="auto"/>
          <w:right w:val="single" w:sz="6" w:space="0" w:color="auto"/>
        </w:tblBorders>
        <w:shd w:val="clear" w:color="auto" w:fill="D9D9D9"/>
        <w:tblLook w:val="0000" w:firstRow="0" w:lastRow="0" w:firstColumn="0" w:lastColumn="0" w:noHBand="0" w:noVBand="0"/>
      </w:tblPr>
      <w:tblGrid>
        <w:gridCol w:w="8262"/>
      </w:tblGrid>
      <w:tr w:rsidR="00605D8D" w:rsidTr="00730738">
        <w:tc>
          <w:tcPr>
            <w:tcW w:w="8262" w:type="dxa"/>
            <w:shd w:val="clear" w:color="auto" w:fill="auto"/>
          </w:tcPr>
          <w:p w:rsidR="00605D8D" w:rsidRPr="006734CE" w:rsidRDefault="00605D8D" w:rsidP="00A66FA4">
            <w:pPr>
              <w:pStyle w:val="TableTextbold"/>
              <w:jc w:val="center"/>
            </w:pPr>
            <w:r w:rsidRPr="006734CE">
              <w:t>SUBORDINATE LEGISLATION THAT RESTRICTS COMPETITION</w:t>
            </w:r>
          </w:p>
          <w:p w:rsidR="00605D8D" w:rsidRPr="006734CE" w:rsidRDefault="00605D8D" w:rsidP="00A66FA4">
            <w:pPr>
              <w:pStyle w:val="TableTextbold"/>
              <w:jc w:val="center"/>
            </w:pPr>
            <w:r w:rsidRPr="006734CE">
              <w:t>[Title of Regulations]</w:t>
            </w:r>
          </w:p>
          <w:p w:rsidR="00A66FA4" w:rsidRPr="00A66FA4" w:rsidRDefault="00A66FA4" w:rsidP="00A66FA4">
            <w:pPr>
              <w:pStyle w:val="TableText"/>
              <w:keepNext/>
              <w:keepLines/>
              <w:spacing w:beforeLines="40" w:before="96" w:afterLines="40" w:after="96" w:line="240" w:lineRule="atLeast"/>
              <w:rPr>
                <w:sz w:val="18"/>
              </w:rPr>
            </w:pPr>
          </w:p>
          <w:p w:rsidR="00605D8D" w:rsidRPr="00A66FA4" w:rsidRDefault="00605D8D" w:rsidP="00A66FA4">
            <w:pPr>
              <w:pStyle w:val="TableText"/>
              <w:keepNext/>
              <w:keepLines/>
              <w:spacing w:beforeLines="40" w:before="96" w:afterLines="40" w:after="96" w:line="240" w:lineRule="atLeast"/>
              <w:rPr>
                <w:sz w:val="18"/>
              </w:rPr>
            </w:pPr>
            <w:r w:rsidRPr="00A66FA4">
              <w:rPr>
                <w:sz w:val="18"/>
              </w:rPr>
              <w:t>I, [Minister’s name], Minister for [Portfolio], and Minister for the administration of the [</w:t>
            </w:r>
            <w:r w:rsidRPr="00A66FA4">
              <w:rPr>
                <w:b/>
                <w:bCs/>
                <w:sz w:val="18"/>
              </w:rPr>
              <w:t>Title of Authorising Act and Year</w:t>
            </w:r>
            <w:r w:rsidRPr="00A66FA4">
              <w:rPr>
                <w:sz w:val="18"/>
              </w:rPr>
              <w:t>], certify that the proposed [Title of Regulations]:</w:t>
            </w:r>
          </w:p>
          <w:p w:rsidR="00605D8D" w:rsidRPr="00A66FA4" w:rsidRDefault="00605D8D" w:rsidP="00322641">
            <w:pPr>
              <w:pStyle w:val="ListNumbertable"/>
              <w:numPr>
                <w:ilvl w:val="0"/>
                <w:numId w:val="21"/>
              </w:numPr>
              <w:spacing w:beforeLines="40" w:before="96" w:afterLines="40" w:after="96"/>
              <w:ind w:left="644"/>
            </w:pPr>
            <w:r w:rsidRPr="00A66FA4">
              <w:t xml:space="preserve">have been assessed in accordance with the guidelines contained in the </w:t>
            </w:r>
            <w:r w:rsidRPr="00A66FA4">
              <w:rPr>
                <w:i/>
                <w:iCs/>
              </w:rPr>
              <w:t>Victorian Guide to Regulation</w:t>
            </w:r>
            <w:r w:rsidRPr="00A66FA4">
              <w:t xml:space="preserve">, and the results documented in the Regulatory Impact Statement prepared for these proposed regulations; </w:t>
            </w:r>
          </w:p>
          <w:p w:rsidR="00605D8D" w:rsidRPr="00A66FA4" w:rsidRDefault="00605D8D" w:rsidP="00A66FA4">
            <w:pPr>
              <w:pStyle w:val="ListNumbertable"/>
              <w:spacing w:beforeLines="40" w:before="96" w:afterLines="40" w:after="96"/>
            </w:pPr>
            <w:r w:rsidRPr="00A66FA4">
              <w:t>restricts competition; and</w:t>
            </w:r>
          </w:p>
          <w:p w:rsidR="00605D8D" w:rsidRPr="00A66FA4" w:rsidRDefault="00605D8D" w:rsidP="00A66FA4">
            <w:pPr>
              <w:pStyle w:val="ListNumbertable"/>
              <w:spacing w:beforeLines="40" w:before="96" w:afterLines="40" w:after="96"/>
            </w:pPr>
            <w:r w:rsidRPr="00A66FA4">
              <w:t>each restriction on competition has been assessed in accordance with the guidelines with the result that:</w:t>
            </w:r>
          </w:p>
          <w:p w:rsidR="00605D8D" w:rsidRPr="00A66FA4" w:rsidRDefault="00605D8D" w:rsidP="00A66FA4">
            <w:pPr>
              <w:pStyle w:val="TableBulletDash"/>
              <w:spacing w:beforeLines="40" w:before="96" w:afterLines="40" w:after="96"/>
              <w:ind w:left="871"/>
              <w:rPr>
                <w:sz w:val="18"/>
              </w:rPr>
            </w:pPr>
            <w:r w:rsidRPr="00A66FA4">
              <w:rPr>
                <w:sz w:val="18"/>
              </w:rPr>
              <w:t>the objectives of the legislation can only be achieved by restricting competition; and</w:t>
            </w:r>
          </w:p>
          <w:p w:rsidR="00605D8D" w:rsidRPr="00A66FA4" w:rsidRDefault="00605D8D" w:rsidP="00A66FA4">
            <w:pPr>
              <w:pStyle w:val="TableBulletDash"/>
              <w:spacing w:beforeLines="40" w:before="96" w:afterLines="40" w:after="96"/>
              <w:ind w:left="871"/>
              <w:rPr>
                <w:sz w:val="18"/>
              </w:rPr>
            </w:pPr>
            <w:proofErr w:type="gramStart"/>
            <w:r w:rsidRPr="00A66FA4">
              <w:rPr>
                <w:sz w:val="18"/>
              </w:rPr>
              <w:t>the</w:t>
            </w:r>
            <w:proofErr w:type="gramEnd"/>
            <w:r w:rsidRPr="00A66FA4">
              <w:rPr>
                <w:sz w:val="18"/>
              </w:rPr>
              <w:t xml:space="preserve"> benefits of the restriction to the community as a whole outweigh the costs.</w:t>
            </w:r>
          </w:p>
          <w:p w:rsidR="00A66FA4" w:rsidRPr="00A66FA4" w:rsidRDefault="00A66FA4" w:rsidP="00D72695">
            <w:pPr>
              <w:pStyle w:val="TableText"/>
              <w:rPr>
                <w:sz w:val="18"/>
              </w:rPr>
            </w:pPr>
          </w:p>
          <w:p w:rsidR="00605D8D" w:rsidRPr="00A66FA4" w:rsidRDefault="00605D8D" w:rsidP="00D72695">
            <w:pPr>
              <w:pStyle w:val="TableText"/>
              <w:rPr>
                <w:sz w:val="18"/>
              </w:rPr>
            </w:pPr>
            <w:r w:rsidRPr="00A66FA4">
              <w:rPr>
                <w:sz w:val="18"/>
              </w:rPr>
              <w:t>Dated:</w:t>
            </w:r>
          </w:p>
          <w:p w:rsidR="00605D8D" w:rsidRPr="00A66FA4" w:rsidRDefault="00605D8D" w:rsidP="00D72695">
            <w:pPr>
              <w:pStyle w:val="TableText"/>
              <w:rPr>
                <w:sz w:val="18"/>
              </w:rPr>
            </w:pPr>
            <w:r w:rsidRPr="00A66FA4">
              <w:rPr>
                <w:sz w:val="18"/>
              </w:rPr>
              <w:t>Signature of Minister</w:t>
            </w:r>
          </w:p>
          <w:p w:rsidR="00605D8D" w:rsidRDefault="00605D8D" w:rsidP="00D72695">
            <w:pPr>
              <w:pStyle w:val="TableText"/>
            </w:pPr>
            <w:r w:rsidRPr="00A66FA4">
              <w:rPr>
                <w:sz w:val="18"/>
              </w:rPr>
              <w:t>Title</w:t>
            </w:r>
          </w:p>
        </w:tc>
      </w:tr>
    </w:tbl>
    <w:p w:rsidR="00605D8D" w:rsidRDefault="00605D8D" w:rsidP="00605D8D">
      <w:pPr>
        <w:pStyle w:val="Spacer"/>
      </w:pPr>
    </w:p>
    <w:p w:rsidR="00605D8D" w:rsidRPr="00EE406F" w:rsidRDefault="00605D8D" w:rsidP="00A66FA4">
      <w:pPr>
        <w:pStyle w:val="Heading3NoNum"/>
        <w:rPr>
          <w:color w:val="auto"/>
          <w:sz w:val="22"/>
        </w:rPr>
      </w:pPr>
      <w:r w:rsidRPr="00EE406F">
        <w:rPr>
          <w:color w:val="auto"/>
          <w:sz w:val="22"/>
        </w:rPr>
        <w:t xml:space="preserve">Example of </w:t>
      </w:r>
      <w:r w:rsidR="00A66FA4" w:rsidRPr="00EE406F">
        <w:rPr>
          <w:color w:val="auto"/>
          <w:sz w:val="22"/>
        </w:rPr>
        <w:t xml:space="preserve">composite certificate </w:t>
      </w:r>
      <w:r w:rsidRPr="00EE406F">
        <w:rPr>
          <w:color w:val="auto"/>
          <w:sz w:val="22"/>
        </w:rPr>
        <w:t xml:space="preserve">under </w:t>
      </w:r>
      <w:r w:rsidR="00D13659" w:rsidRPr="00EE406F">
        <w:rPr>
          <w:color w:val="auto"/>
          <w:sz w:val="22"/>
        </w:rPr>
        <w:t>section </w:t>
      </w:r>
      <w:r w:rsidRPr="00EE406F">
        <w:rPr>
          <w:color w:val="auto"/>
          <w:sz w:val="22"/>
        </w:rPr>
        <w:t>12B (statutory rules) or 12K (legislative instruments</w:t>
      </w:r>
      <w:r w:rsidRPr="00EE406F">
        <w:rPr>
          <w:color w:val="auto"/>
          <w:sz w:val="22"/>
          <w:vertAlign w:val="superscript"/>
        </w:rPr>
        <w:footnoteReference w:customMarkFollows="1" w:id="30"/>
        <w:sym w:font="Symbol" w:char="0023"/>
      </w:r>
      <w:r w:rsidRPr="00EE406F">
        <w:rPr>
          <w:color w:val="auto"/>
          <w:sz w:val="22"/>
        </w:rPr>
        <w:t>)</w:t>
      </w:r>
    </w:p>
    <w:tbl>
      <w:tblPr>
        <w:tblW w:w="0" w:type="auto"/>
        <w:tblInd w:w="907" w:type="dxa"/>
        <w:tblBorders>
          <w:top w:val="single" w:sz="6" w:space="0" w:color="auto"/>
          <w:left w:val="single" w:sz="6" w:space="0" w:color="auto"/>
          <w:bottom w:val="single" w:sz="6" w:space="0" w:color="auto"/>
          <w:right w:val="single" w:sz="6" w:space="0" w:color="auto"/>
        </w:tblBorders>
        <w:tblCellMar>
          <w:left w:w="113" w:type="dxa"/>
          <w:right w:w="113" w:type="dxa"/>
        </w:tblCellMar>
        <w:tblLook w:val="01E0" w:firstRow="1" w:lastRow="1" w:firstColumn="1" w:lastColumn="1" w:noHBand="0" w:noVBand="0"/>
      </w:tblPr>
      <w:tblGrid>
        <w:gridCol w:w="8345"/>
      </w:tblGrid>
      <w:tr w:rsidR="00605D8D" w:rsidTr="00D72695">
        <w:trPr>
          <w:cantSplit/>
        </w:trPr>
        <w:tc>
          <w:tcPr>
            <w:tcW w:w="9558" w:type="dxa"/>
            <w:shd w:val="clear" w:color="auto" w:fill="auto"/>
          </w:tcPr>
          <w:p w:rsidR="00605D8D" w:rsidRPr="00A66FA4" w:rsidRDefault="00605D8D" w:rsidP="00A66FA4">
            <w:pPr>
              <w:pStyle w:val="TableTextbold"/>
              <w:jc w:val="center"/>
              <w:rPr>
                <w:i/>
              </w:rPr>
            </w:pPr>
            <w:r w:rsidRPr="00A66FA4">
              <w:rPr>
                <w:i/>
              </w:rPr>
              <w:t>Subordinate Legislation Act 1994</w:t>
            </w:r>
          </w:p>
          <w:p w:rsidR="00605D8D" w:rsidRPr="006970F5" w:rsidRDefault="00605D8D" w:rsidP="00A66FA4">
            <w:pPr>
              <w:pStyle w:val="TableTextbold"/>
              <w:jc w:val="center"/>
            </w:pPr>
            <w:r w:rsidRPr="006970F5">
              <w:t>CERTIFICATE OF CONSULTATION UNDER [INSERT EITHER: SECTION 6 or 12C</w:t>
            </w:r>
            <w:r w:rsidRPr="006970F5">
              <w:rPr>
                <w:vertAlign w:val="superscript"/>
              </w:rPr>
              <w:sym w:font="Symbol" w:char="002A"/>
            </w:r>
            <w:r w:rsidRPr="006970F5">
              <w:t>] and COMPLIANCE UNDER [INSERT EITHER: SECTION 10(4) or 12H(4)</w:t>
            </w:r>
            <w:r w:rsidRPr="006970F5">
              <w:rPr>
                <w:vertAlign w:val="superscript"/>
              </w:rPr>
              <w:sym w:font="Symbol" w:char="002A"/>
            </w:r>
            <w:r w:rsidRPr="006970F5">
              <w:t>]</w:t>
            </w:r>
          </w:p>
          <w:p w:rsidR="00605D8D" w:rsidRPr="006970F5" w:rsidRDefault="00605D8D" w:rsidP="00A66FA4">
            <w:pPr>
              <w:pStyle w:val="TableTextbold"/>
              <w:jc w:val="center"/>
            </w:pPr>
            <w:r w:rsidRPr="006970F5">
              <w:t>[Title of Regulations/Legislative Instrument]</w:t>
            </w:r>
          </w:p>
          <w:p w:rsidR="00A66FA4" w:rsidRPr="00A66FA4" w:rsidRDefault="00A66FA4" w:rsidP="00A66FA4">
            <w:pPr>
              <w:pStyle w:val="TableText"/>
              <w:spacing w:before="40" w:after="40"/>
              <w:rPr>
                <w:sz w:val="18"/>
              </w:rPr>
            </w:pPr>
          </w:p>
          <w:p w:rsidR="00605D8D" w:rsidRPr="00A66FA4" w:rsidRDefault="00605D8D" w:rsidP="00A66FA4">
            <w:pPr>
              <w:pStyle w:val="TableText"/>
              <w:spacing w:before="40" w:after="40"/>
              <w:rPr>
                <w:sz w:val="18"/>
              </w:rPr>
            </w:pPr>
            <w:r w:rsidRPr="00A66FA4">
              <w:rPr>
                <w:sz w:val="18"/>
              </w:rPr>
              <w:t>I, [Minister’s name], Minister for [Portfolio], and Minister for the administration of the [</w:t>
            </w:r>
            <w:r w:rsidRPr="00A66FA4">
              <w:rPr>
                <w:b/>
                <w:bCs/>
                <w:sz w:val="18"/>
              </w:rPr>
              <w:t>Title of Authorising Act and Year</w:t>
            </w:r>
            <w:r w:rsidRPr="00A66FA4">
              <w:rPr>
                <w:sz w:val="18"/>
              </w:rPr>
              <w:t xml:space="preserve">], certify under [insert either: </w:t>
            </w:r>
            <w:r w:rsidR="00D13659">
              <w:rPr>
                <w:sz w:val="18"/>
              </w:rPr>
              <w:t>section </w:t>
            </w:r>
            <w:r w:rsidRPr="00A66FA4">
              <w:rPr>
                <w:sz w:val="18"/>
              </w:rPr>
              <w:t>6 or 12C</w:t>
            </w:r>
            <w:r w:rsidRPr="00A66FA4">
              <w:rPr>
                <w:sz w:val="18"/>
                <w:szCs w:val="18"/>
                <w:vertAlign w:val="superscript"/>
              </w:rPr>
              <w:sym w:font="Symbol" w:char="002A"/>
            </w:r>
            <w:r w:rsidRPr="00A66FA4">
              <w:rPr>
                <w:sz w:val="18"/>
              </w:rPr>
              <w:t xml:space="preserve">] of the </w:t>
            </w:r>
            <w:r w:rsidRPr="00A66FA4">
              <w:rPr>
                <w:b/>
                <w:bCs/>
                <w:i/>
                <w:sz w:val="18"/>
              </w:rPr>
              <w:t>Subordinate Legislation Act 1994</w:t>
            </w:r>
            <w:r w:rsidRPr="00A66FA4">
              <w:rPr>
                <w:sz w:val="18"/>
              </w:rPr>
              <w:t xml:space="preserve"> that:</w:t>
            </w:r>
          </w:p>
          <w:p w:rsidR="00605D8D" w:rsidRPr="00A66FA4" w:rsidRDefault="00605D8D" w:rsidP="00322641">
            <w:pPr>
              <w:pStyle w:val="ListNumbertable"/>
              <w:numPr>
                <w:ilvl w:val="0"/>
                <w:numId w:val="22"/>
              </w:numPr>
              <w:spacing w:before="40" w:after="40"/>
              <w:ind w:left="644"/>
            </w:pPr>
            <w:r w:rsidRPr="00A66FA4">
              <w:t xml:space="preserve">there has been consultation in accordance with the Premier’s Guidelines made under the </w:t>
            </w:r>
            <w:r w:rsidRPr="00A66FA4">
              <w:rPr>
                <w:i/>
              </w:rPr>
              <w:t>Subordinate Legislation Act 1994</w:t>
            </w:r>
            <w:r w:rsidRPr="00A66FA4">
              <w:t>, and the matters to be dealt with under the proposed [Title of Regulations/Legislative Instrument] [do/does] not impinge upon or unduly affect the area of responsibility of any other Minister, and there is no overlapping or duplication of, or conflict with, the legislation or stated government policies administered by other agencies; and</w:t>
            </w:r>
          </w:p>
          <w:p w:rsidR="00605D8D" w:rsidRPr="00A66FA4" w:rsidRDefault="00605D8D" w:rsidP="00A66FA4">
            <w:pPr>
              <w:pStyle w:val="ListNumbertable"/>
              <w:spacing w:before="40" w:after="40"/>
            </w:pPr>
            <w:proofErr w:type="gramStart"/>
            <w:r w:rsidRPr="00A66FA4">
              <w:t>the</w:t>
            </w:r>
            <w:proofErr w:type="gramEnd"/>
            <w:r w:rsidRPr="00A66FA4">
              <w:t xml:space="preserve"> need for, and scope of the proposed [Title of Regulations/legislative instrument] have been considered and relevant sectors of the public have been consulted in accordance with the Premier’s Guidelines made under the </w:t>
            </w:r>
            <w:r w:rsidRPr="00A66FA4">
              <w:rPr>
                <w:i/>
              </w:rPr>
              <w:t xml:space="preserve">Subordinate Legislation Act 1994. </w:t>
            </w:r>
          </w:p>
          <w:p w:rsidR="00605D8D" w:rsidRPr="00A66FA4" w:rsidRDefault="00605D8D" w:rsidP="00A66FA4">
            <w:pPr>
              <w:pStyle w:val="TableText"/>
              <w:spacing w:before="40" w:after="40"/>
              <w:ind w:left="644"/>
              <w:rPr>
                <w:sz w:val="18"/>
              </w:rPr>
            </w:pPr>
            <w:r w:rsidRPr="00A66FA4">
              <w:rPr>
                <w:sz w:val="18"/>
              </w:rPr>
              <w:t>The parties who have been consulted are: [list parties]</w:t>
            </w:r>
          </w:p>
          <w:p w:rsidR="00605D8D" w:rsidRPr="00A66FA4" w:rsidRDefault="00605D8D" w:rsidP="00A66FA4">
            <w:pPr>
              <w:pStyle w:val="TableText"/>
              <w:spacing w:before="40" w:after="40"/>
              <w:rPr>
                <w:sz w:val="18"/>
              </w:rPr>
            </w:pPr>
            <w:r w:rsidRPr="00A66FA4">
              <w:rPr>
                <w:sz w:val="18"/>
              </w:rPr>
              <w:t xml:space="preserve">I also certify under [insert either: </w:t>
            </w:r>
            <w:r w:rsidR="00D13659">
              <w:rPr>
                <w:sz w:val="18"/>
              </w:rPr>
              <w:t>section </w:t>
            </w:r>
            <w:r w:rsidRPr="00A66FA4">
              <w:rPr>
                <w:sz w:val="18"/>
              </w:rPr>
              <w:t>10(4) or 12H(4)</w:t>
            </w:r>
            <w:r w:rsidRPr="00A66FA4">
              <w:rPr>
                <w:sz w:val="18"/>
                <w:szCs w:val="18"/>
                <w:vertAlign w:val="superscript"/>
              </w:rPr>
              <w:t xml:space="preserve"> </w:t>
            </w:r>
            <w:r w:rsidRPr="00A66FA4">
              <w:rPr>
                <w:sz w:val="18"/>
                <w:szCs w:val="18"/>
                <w:vertAlign w:val="superscript"/>
              </w:rPr>
              <w:sym w:font="Symbol" w:char="002A"/>
            </w:r>
            <w:r w:rsidRPr="00A66FA4">
              <w:rPr>
                <w:sz w:val="18"/>
              </w:rPr>
              <w:t xml:space="preserve">] of the </w:t>
            </w:r>
            <w:r w:rsidRPr="00A66FA4">
              <w:rPr>
                <w:b/>
                <w:bCs/>
                <w:i/>
                <w:sz w:val="18"/>
              </w:rPr>
              <w:t>Subordinate Legislation Act 1994</w:t>
            </w:r>
            <w:r w:rsidRPr="00A66FA4">
              <w:rPr>
                <w:sz w:val="18"/>
              </w:rPr>
              <w:t xml:space="preserve"> that:</w:t>
            </w:r>
          </w:p>
          <w:p w:rsidR="00605D8D" w:rsidRPr="00A66FA4" w:rsidRDefault="00605D8D" w:rsidP="00A66FA4">
            <w:pPr>
              <w:pStyle w:val="ListNumbertable"/>
              <w:spacing w:before="40" w:after="40"/>
            </w:pPr>
            <w:r w:rsidRPr="00A66FA4">
              <w:t xml:space="preserve">the requirements relating to Regulatory Impact Statements in the </w:t>
            </w:r>
            <w:r w:rsidRPr="00A66FA4">
              <w:rPr>
                <w:b/>
                <w:bCs/>
                <w:i/>
              </w:rPr>
              <w:t>Subordinate Legislation Act 1994</w:t>
            </w:r>
            <w:r w:rsidRPr="00A66FA4">
              <w:t xml:space="preserve"> and the guidelines have been complied with; and</w:t>
            </w:r>
          </w:p>
          <w:p w:rsidR="00605D8D" w:rsidRPr="00A66FA4" w:rsidRDefault="00605D8D" w:rsidP="00A66FA4">
            <w:pPr>
              <w:pStyle w:val="ListNumbertable"/>
              <w:spacing w:before="40" w:after="40"/>
            </w:pPr>
            <w:proofErr w:type="gramStart"/>
            <w:r w:rsidRPr="00A66FA4">
              <w:t>in</w:t>
            </w:r>
            <w:proofErr w:type="gramEnd"/>
            <w:r w:rsidRPr="00A66FA4">
              <w:t xml:space="preserve"> my opinion, the Regulatory Impact Statement prepared under the </w:t>
            </w:r>
            <w:r w:rsidRPr="00A66FA4">
              <w:rPr>
                <w:b/>
                <w:bCs/>
                <w:i/>
              </w:rPr>
              <w:t>Subordinate Legislation Act 1994</w:t>
            </w:r>
            <w:r w:rsidRPr="00A66FA4">
              <w:t xml:space="preserve"> adequately assesses the likely impact of the proposed Regulations.</w:t>
            </w:r>
          </w:p>
          <w:p w:rsidR="00A66FA4" w:rsidRDefault="00A66FA4" w:rsidP="00A66FA4">
            <w:pPr>
              <w:pStyle w:val="TableText"/>
              <w:rPr>
                <w:sz w:val="18"/>
              </w:rPr>
            </w:pPr>
          </w:p>
          <w:p w:rsidR="00605D8D" w:rsidRPr="00A66FA4" w:rsidRDefault="00605D8D" w:rsidP="00A66FA4">
            <w:pPr>
              <w:pStyle w:val="TableText"/>
              <w:rPr>
                <w:sz w:val="18"/>
              </w:rPr>
            </w:pPr>
            <w:r w:rsidRPr="00A66FA4">
              <w:rPr>
                <w:sz w:val="18"/>
              </w:rPr>
              <w:t>Dated:</w:t>
            </w:r>
          </w:p>
          <w:p w:rsidR="00605D8D" w:rsidRPr="00A66FA4" w:rsidRDefault="00605D8D" w:rsidP="00A66FA4">
            <w:pPr>
              <w:pStyle w:val="TableText"/>
              <w:rPr>
                <w:sz w:val="18"/>
              </w:rPr>
            </w:pPr>
            <w:r w:rsidRPr="00A66FA4">
              <w:rPr>
                <w:sz w:val="18"/>
              </w:rPr>
              <w:t>Signature of Minister</w:t>
            </w:r>
          </w:p>
          <w:p w:rsidR="00605D8D" w:rsidRPr="006970F5" w:rsidRDefault="00605D8D" w:rsidP="00A66FA4">
            <w:pPr>
              <w:pStyle w:val="TableText"/>
            </w:pPr>
            <w:r w:rsidRPr="00A66FA4">
              <w:rPr>
                <w:sz w:val="18"/>
              </w:rPr>
              <w:t>Title</w:t>
            </w:r>
          </w:p>
        </w:tc>
      </w:tr>
    </w:tbl>
    <w:p w:rsidR="00605D8D" w:rsidRDefault="00605D8D" w:rsidP="00605D8D">
      <w:pPr>
        <w:pStyle w:val="Spacer"/>
      </w:pPr>
    </w:p>
    <w:p w:rsidR="00605D8D" w:rsidRPr="00EE406F" w:rsidRDefault="00605D8D" w:rsidP="00605D8D">
      <w:pPr>
        <w:pStyle w:val="Heading3NoNum"/>
        <w:rPr>
          <w:sz w:val="22"/>
        </w:rPr>
      </w:pPr>
      <w:r>
        <w:rPr>
          <w:i/>
        </w:rPr>
        <w:br w:type="page"/>
      </w:r>
      <w:r w:rsidRPr="00EE406F">
        <w:rPr>
          <w:color w:val="auto"/>
          <w:sz w:val="22"/>
        </w:rPr>
        <w:t xml:space="preserve">Minister’s extension certificate – </w:t>
      </w:r>
      <w:r w:rsidR="00D13659" w:rsidRPr="00EE406F">
        <w:rPr>
          <w:color w:val="auto"/>
          <w:sz w:val="22"/>
        </w:rPr>
        <w:t>section </w:t>
      </w:r>
      <w:proofErr w:type="gramStart"/>
      <w:r w:rsidRPr="00EE406F">
        <w:rPr>
          <w:color w:val="auto"/>
          <w:sz w:val="22"/>
        </w:rPr>
        <w:t>5A(</w:t>
      </w:r>
      <w:proofErr w:type="gramEnd"/>
      <w:r w:rsidRPr="00EE406F">
        <w:rPr>
          <w:color w:val="auto"/>
          <w:sz w:val="22"/>
        </w:rPr>
        <w:t>1) (statutory rules)</w:t>
      </w:r>
    </w:p>
    <w:tbl>
      <w:tblPr>
        <w:tblW w:w="8658" w:type="dxa"/>
        <w:tblInd w:w="918" w:type="dxa"/>
        <w:tblBorders>
          <w:top w:val="single" w:sz="6" w:space="0" w:color="auto"/>
          <w:left w:val="single" w:sz="6" w:space="0" w:color="auto"/>
          <w:bottom w:val="single" w:sz="6" w:space="0" w:color="auto"/>
          <w:right w:val="single" w:sz="6" w:space="0" w:color="auto"/>
        </w:tblBorders>
        <w:shd w:val="clear" w:color="auto" w:fill="D9D9D9"/>
        <w:tblLook w:val="0000" w:firstRow="0" w:lastRow="0" w:firstColumn="0" w:lastColumn="0" w:noHBand="0" w:noVBand="0"/>
      </w:tblPr>
      <w:tblGrid>
        <w:gridCol w:w="8658"/>
      </w:tblGrid>
      <w:tr w:rsidR="00605D8D" w:rsidTr="00D72695">
        <w:tc>
          <w:tcPr>
            <w:tcW w:w="8658" w:type="dxa"/>
            <w:shd w:val="clear" w:color="auto" w:fill="auto"/>
          </w:tcPr>
          <w:p w:rsidR="00605D8D" w:rsidRPr="00A66FA4" w:rsidRDefault="00605D8D" w:rsidP="00A66FA4">
            <w:pPr>
              <w:pStyle w:val="TableTextbold"/>
              <w:jc w:val="center"/>
              <w:rPr>
                <w:i/>
                <w:lang w:val="en-US"/>
              </w:rPr>
            </w:pPr>
            <w:r w:rsidRPr="00A66FA4">
              <w:rPr>
                <w:i/>
                <w:lang w:val="en-US"/>
              </w:rPr>
              <w:t>Subordinate Legislation Act 1994</w:t>
            </w:r>
          </w:p>
          <w:p w:rsidR="00605D8D" w:rsidRDefault="00605D8D" w:rsidP="00A66FA4">
            <w:pPr>
              <w:pStyle w:val="TableTextbold"/>
              <w:jc w:val="center"/>
              <w:rPr>
                <w:lang w:val="en-US"/>
              </w:rPr>
            </w:pPr>
            <w:r>
              <w:rPr>
                <w:lang w:val="en-US"/>
              </w:rPr>
              <w:t>CERTIFICATE OF SPECIAL CIRCUMSTANCES TO EXTEND REGULATIONS</w:t>
            </w:r>
            <w:r w:rsidR="00A66FA4">
              <w:rPr>
                <w:lang w:val="en-US"/>
              </w:rPr>
              <w:t xml:space="preserve"> </w:t>
            </w:r>
            <w:r>
              <w:rPr>
                <w:lang w:val="en-US"/>
              </w:rPr>
              <w:t>UNDER SECTION 5A(1)</w:t>
            </w:r>
          </w:p>
          <w:p w:rsidR="00605D8D" w:rsidRDefault="00605D8D" w:rsidP="00A66FA4">
            <w:pPr>
              <w:pStyle w:val="TableTextbold"/>
              <w:jc w:val="center"/>
              <w:rPr>
                <w:lang w:val="en-US"/>
              </w:rPr>
            </w:pPr>
            <w:r>
              <w:rPr>
                <w:lang w:val="en-US"/>
              </w:rPr>
              <w:t>[Title of Regulations]</w:t>
            </w:r>
          </w:p>
          <w:p w:rsidR="00A66FA4" w:rsidRPr="00A66FA4" w:rsidRDefault="00A66FA4" w:rsidP="00A66FA4">
            <w:pPr>
              <w:pStyle w:val="TableText"/>
              <w:spacing w:before="40" w:after="40"/>
              <w:rPr>
                <w:sz w:val="18"/>
                <w:lang w:val="en-US"/>
              </w:rPr>
            </w:pPr>
          </w:p>
          <w:p w:rsidR="00605D8D" w:rsidRPr="00A66FA4" w:rsidRDefault="00605D8D" w:rsidP="00A66FA4">
            <w:pPr>
              <w:pStyle w:val="TableText"/>
              <w:spacing w:before="40" w:after="40"/>
              <w:rPr>
                <w:sz w:val="18"/>
                <w:lang w:val="en-US"/>
              </w:rPr>
            </w:pPr>
            <w:r w:rsidRPr="00A66FA4">
              <w:rPr>
                <w:sz w:val="18"/>
                <w:lang w:val="en-US"/>
              </w:rPr>
              <w:t>I, [Minister’s name], Minister for [Portfolio], and Minister responsible for administering the [</w:t>
            </w:r>
            <w:r w:rsidRPr="00A66FA4">
              <w:rPr>
                <w:b/>
                <w:bCs/>
                <w:sz w:val="18"/>
                <w:lang w:val="en-US"/>
              </w:rPr>
              <w:t xml:space="preserve">Title of </w:t>
            </w:r>
            <w:proofErr w:type="spellStart"/>
            <w:r w:rsidRPr="00A66FA4">
              <w:rPr>
                <w:b/>
                <w:bCs/>
                <w:sz w:val="18"/>
                <w:lang w:val="en-US"/>
              </w:rPr>
              <w:t>Authorising</w:t>
            </w:r>
            <w:proofErr w:type="spellEnd"/>
            <w:r w:rsidRPr="00A66FA4">
              <w:rPr>
                <w:b/>
                <w:bCs/>
                <w:sz w:val="18"/>
                <w:lang w:val="en-US"/>
              </w:rPr>
              <w:t xml:space="preserve"> Act and Year</w:t>
            </w:r>
            <w:r w:rsidRPr="00A66FA4">
              <w:rPr>
                <w:sz w:val="18"/>
                <w:lang w:val="en-US"/>
              </w:rPr>
              <w:t xml:space="preserve">], certify under </w:t>
            </w:r>
            <w:r w:rsidR="00D13659">
              <w:rPr>
                <w:sz w:val="18"/>
                <w:lang w:val="en-US"/>
              </w:rPr>
              <w:t>section </w:t>
            </w:r>
            <w:r w:rsidRPr="00A66FA4">
              <w:rPr>
                <w:sz w:val="18"/>
                <w:lang w:val="en-US"/>
              </w:rPr>
              <w:t xml:space="preserve">5A(1) of the </w:t>
            </w:r>
            <w:r w:rsidRPr="00A66FA4">
              <w:rPr>
                <w:b/>
                <w:bCs/>
                <w:i/>
                <w:sz w:val="18"/>
                <w:lang w:val="en-US"/>
              </w:rPr>
              <w:t>Subordinate Legislation Act 1994</w:t>
            </w:r>
            <w:r w:rsidRPr="00A66FA4">
              <w:rPr>
                <w:sz w:val="18"/>
                <w:lang w:val="en-US"/>
              </w:rPr>
              <w:t xml:space="preserve"> that, due to special circumstances, I am satisfied that there is insufficient time to enable compliance with Part 2 of the </w:t>
            </w:r>
            <w:r w:rsidRPr="00A66FA4">
              <w:rPr>
                <w:b/>
                <w:bCs/>
                <w:i/>
                <w:sz w:val="18"/>
                <w:lang w:val="en-US"/>
              </w:rPr>
              <w:t>Subordinate Legislation Act 1994</w:t>
            </w:r>
            <w:r w:rsidRPr="00A66FA4">
              <w:rPr>
                <w:sz w:val="18"/>
                <w:lang w:val="en-US"/>
              </w:rPr>
              <w:t xml:space="preserve"> in respect of proposed Regulations to replace [Title of Regulations due to Sunset] before those Regulations are to be revoked by virtue of </w:t>
            </w:r>
            <w:r w:rsidR="00D13659">
              <w:rPr>
                <w:sz w:val="18"/>
                <w:lang w:val="en-US"/>
              </w:rPr>
              <w:t>section </w:t>
            </w:r>
            <w:r w:rsidRPr="00A66FA4">
              <w:rPr>
                <w:sz w:val="18"/>
                <w:lang w:val="en-US"/>
              </w:rPr>
              <w:t>5(1) of that Act.</w:t>
            </w:r>
          </w:p>
          <w:p w:rsidR="00605D8D" w:rsidRPr="00A66FA4" w:rsidRDefault="00605D8D" w:rsidP="00A66FA4">
            <w:pPr>
              <w:pStyle w:val="TableText"/>
              <w:spacing w:before="40" w:after="40"/>
              <w:rPr>
                <w:sz w:val="18"/>
                <w:lang w:val="en-US"/>
              </w:rPr>
            </w:pPr>
            <w:r w:rsidRPr="00A66FA4">
              <w:rPr>
                <w:sz w:val="18"/>
                <w:lang w:val="en-US"/>
              </w:rPr>
              <w:t>[Insert details of the circumstances that justify the extension of the regulations which would otherwise sunset]</w:t>
            </w:r>
          </w:p>
          <w:p w:rsidR="00A66FA4" w:rsidRPr="00A66FA4" w:rsidRDefault="00A66FA4" w:rsidP="00A66FA4">
            <w:pPr>
              <w:pStyle w:val="TableText"/>
              <w:rPr>
                <w:sz w:val="18"/>
                <w:lang w:val="en-US"/>
              </w:rPr>
            </w:pPr>
          </w:p>
          <w:p w:rsidR="00605D8D" w:rsidRPr="00A66FA4" w:rsidRDefault="00605D8D" w:rsidP="00A66FA4">
            <w:pPr>
              <w:pStyle w:val="TableText"/>
              <w:rPr>
                <w:sz w:val="18"/>
                <w:lang w:val="en-US"/>
              </w:rPr>
            </w:pPr>
            <w:r w:rsidRPr="00A66FA4">
              <w:rPr>
                <w:sz w:val="18"/>
                <w:lang w:val="en-US"/>
              </w:rPr>
              <w:t>Dated:</w:t>
            </w:r>
          </w:p>
          <w:p w:rsidR="00605D8D" w:rsidRPr="00A66FA4" w:rsidRDefault="00605D8D" w:rsidP="00A66FA4">
            <w:pPr>
              <w:pStyle w:val="TableText"/>
              <w:rPr>
                <w:sz w:val="18"/>
                <w:lang w:val="en-US"/>
              </w:rPr>
            </w:pPr>
            <w:r w:rsidRPr="00A66FA4">
              <w:rPr>
                <w:sz w:val="18"/>
                <w:lang w:val="en-US"/>
              </w:rPr>
              <w:t>Signature of the Minister</w:t>
            </w:r>
          </w:p>
          <w:p w:rsidR="00605D8D" w:rsidRDefault="00605D8D" w:rsidP="00A66FA4">
            <w:pPr>
              <w:pStyle w:val="TableText"/>
              <w:rPr>
                <w:lang w:val="en-US"/>
              </w:rPr>
            </w:pPr>
            <w:r w:rsidRPr="00A66FA4">
              <w:rPr>
                <w:sz w:val="18"/>
                <w:lang w:val="en-US"/>
              </w:rPr>
              <w:t>Title</w:t>
            </w:r>
          </w:p>
        </w:tc>
      </w:tr>
    </w:tbl>
    <w:p w:rsidR="00605D8D" w:rsidRDefault="00605D8D" w:rsidP="00605D8D">
      <w:pPr>
        <w:pStyle w:val="Spacer"/>
      </w:pPr>
    </w:p>
    <w:p w:rsidR="00605D8D" w:rsidRPr="00EE406F" w:rsidRDefault="00605D8D" w:rsidP="00A66FA4">
      <w:pPr>
        <w:pStyle w:val="Heading3NoNum"/>
        <w:rPr>
          <w:color w:val="auto"/>
          <w:sz w:val="22"/>
        </w:rPr>
      </w:pPr>
      <w:r w:rsidRPr="00EE406F">
        <w:rPr>
          <w:color w:val="auto"/>
          <w:sz w:val="22"/>
        </w:rPr>
        <w:t xml:space="preserve">Premier’s extension certificate – </w:t>
      </w:r>
      <w:r w:rsidR="00D13659" w:rsidRPr="00EE406F">
        <w:rPr>
          <w:color w:val="auto"/>
          <w:sz w:val="22"/>
        </w:rPr>
        <w:t>section </w:t>
      </w:r>
      <w:proofErr w:type="gramStart"/>
      <w:r w:rsidRPr="00EE406F">
        <w:rPr>
          <w:color w:val="auto"/>
          <w:sz w:val="22"/>
        </w:rPr>
        <w:t>5A(</w:t>
      </w:r>
      <w:proofErr w:type="gramEnd"/>
      <w:r w:rsidRPr="00EE406F">
        <w:rPr>
          <w:color w:val="auto"/>
          <w:sz w:val="22"/>
        </w:rPr>
        <w:t>1)(3) (statutory rules)</w:t>
      </w:r>
    </w:p>
    <w:tbl>
      <w:tblPr>
        <w:tblW w:w="8658" w:type="dxa"/>
        <w:tblInd w:w="918" w:type="dxa"/>
        <w:tblBorders>
          <w:top w:val="single" w:sz="6" w:space="0" w:color="auto"/>
          <w:left w:val="single" w:sz="6" w:space="0" w:color="auto"/>
          <w:bottom w:val="single" w:sz="6" w:space="0" w:color="auto"/>
          <w:right w:val="single" w:sz="6" w:space="0" w:color="auto"/>
        </w:tblBorders>
        <w:shd w:val="clear" w:color="auto" w:fill="D9D9D9"/>
        <w:tblLook w:val="0000" w:firstRow="0" w:lastRow="0" w:firstColumn="0" w:lastColumn="0" w:noHBand="0" w:noVBand="0"/>
      </w:tblPr>
      <w:tblGrid>
        <w:gridCol w:w="8658"/>
      </w:tblGrid>
      <w:tr w:rsidR="00605D8D" w:rsidTr="00D72695">
        <w:tc>
          <w:tcPr>
            <w:tcW w:w="8658" w:type="dxa"/>
            <w:shd w:val="clear" w:color="auto" w:fill="auto"/>
          </w:tcPr>
          <w:p w:rsidR="00605D8D" w:rsidRPr="00A407C5" w:rsidRDefault="00605D8D" w:rsidP="00A407C5">
            <w:pPr>
              <w:pStyle w:val="TableTextbold"/>
              <w:jc w:val="center"/>
              <w:rPr>
                <w:i/>
                <w:lang w:val="en-US"/>
              </w:rPr>
            </w:pPr>
            <w:r w:rsidRPr="00A407C5">
              <w:rPr>
                <w:i/>
                <w:lang w:val="en-US"/>
              </w:rPr>
              <w:t>Subordinate Legislation Act 1994</w:t>
            </w:r>
          </w:p>
          <w:p w:rsidR="00605D8D" w:rsidRDefault="00605D8D" w:rsidP="00A407C5">
            <w:pPr>
              <w:pStyle w:val="TableTextbold"/>
              <w:jc w:val="center"/>
              <w:rPr>
                <w:lang w:val="en-US"/>
              </w:rPr>
            </w:pPr>
            <w:r>
              <w:rPr>
                <w:lang w:val="en-US"/>
              </w:rPr>
              <w:t>CERTIFICATE OF SPECIAL CIRCUMSTANCES TO EXTEND REGULATIONS</w:t>
            </w:r>
            <w:r>
              <w:rPr>
                <w:lang w:val="en-US"/>
              </w:rPr>
              <w:br/>
              <w:t>UNDER SECTION 5A(3)</w:t>
            </w:r>
          </w:p>
          <w:p w:rsidR="00605D8D" w:rsidRDefault="00605D8D" w:rsidP="00A407C5">
            <w:pPr>
              <w:pStyle w:val="TableTextbold"/>
              <w:jc w:val="center"/>
              <w:rPr>
                <w:lang w:val="en-US"/>
              </w:rPr>
            </w:pPr>
            <w:r>
              <w:rPr>
                <w:lang w:val="en-US"/>
              </w:rPr>
              <w:t>[Title of Regulations]</w:t>
            </w:r>
          </w:p>
          <w:p w:rsidR="00A407C5" w:rsidRPr="00A407C5" w:rsidRDefault="00A407C5" w:rsidP="00A407C5">
            <w:pPr>
              <w:pStyle w:val="TableText"/>
              <w:spacing w:before="40" w:after="40"/>
              <w:rPr>
                <w:sz w:val="18"/>
                <w:lang w:val="en-US"/>
              </w:rPr>
            </w:pPr>
          </w:p>
          <w:p w:rsidR="00605D8D" w:rsidRPr="00A407C5" w:rsidRDefault="00605D8D" w:rsidP="00A407C5">
            <w:pPr>
              <w:pStyle w:val="TableText"/>
              <w:spacing w:before="40" w:after="40"/>
              <w:rPr>
                <w:sz w:val="18"/>
                <w:lang w:val="en-US"/>
              </w:rPr>
            </w:pPr>
            <w:r w:rsidRPr="00A407C5">
              <w:rPr>
                <w:sz w:val="18"/>
                <w:lang w:val="en-US"/>
              </w:rPr>
              <w:t xml:space="preserve">I, [Premier’s name], Premier of Victoria, certify under </w:t>
            </w:r>
            <w:r w:rsidR="00D13659">
              <w:rPr>
                <w:sz w:val="18"/>
                <w:lang w:val="en-US"/>
              </w:rPr>
              <w:t>section </w:t>
            </w:r>
            <w:proofErr w:type="gramStart"/>
            <w:r w:rsidRPr="00A407C5">
              <w:rPr>
                <w:sz w:val="18"/>
                <w:lang w:val="en-US"/>
              </w:rPr>
              <w:t>5A(</w:t>
            </w:r>
            <w:proofErr w:type="gramEnd"/>
            <w:r w:rsidRPr="00A407C5">
              <w:rPr>
                <w:sz w:val="18"/>
                <w:lang w:val="en-US"/>
              </w:rPr>
              <w:t xml:space="preserve">3) of the </w:t>
            </w:r>
            <w:r w:rsidRPr="00A407C5">
              <w:rPr>
                <w:b/>
                <w:bCs/>
                <w:i/>
                <w:sz w:val="18"/>
                <w:lang w:val="en-US"/>
              </w:rPr>
              <w:t>Subordinate Legislation Act 1994</w:t>
            </w:r>
            <w:r w:rsidRPr="00A407C5">
              <w:rPr>
                <w:sz w:val="18"/>
                <w:lang w:val="en-US"/>
              </w:rPr>
              <w:t xml:space="preserve"> that I agree that the [Title of Regulations due to sunset], which would otherwise be revoked by </w:t>
            </w:r>
            <w:r w:rsidR="00D13659">
              <w:rPr>
                <w:sz w:val="18"/>
                <w:lang w:val="en-US"/>
              </w:rPr>
              <w:t>section </w:t>
            </w:r>
            <w:r w:rsidRPr="00A407C5">
              <w:rPr>
                <w:sz w:val="18"/>
                <w:lang w:val="en-US"/>
              </w:rPr>
              <w:t xml:space="preserve">5(1) of the Act on [specify date of revocation], should be extended for a period of [specify period no more than 12 months] from that date. </w:t>
            </w:r>
          </w:p>
          <w:p w:rsidR="00605D8D" w:rsidRPr="00A407C5" w:rsidRDefault="00605D8D" w:rsidP="00A407C5">
            <w:pPr>
              <w:pStyle w:val="TableText"/>
              <w:spacing w:before="40" w:after="40"/>
              <w:rPr>
                <w:sz w:val="18"/>
                <w:lang w:val="en-US"/>
              </w:rPr>
            </w:pPr>
          </w:p>
          <w:p w:rsidR="00605D8D" w:rsidRPr="00A407C5" w:rsidRDefault="00605D8D" w:rsidP="00A407C5">
            <w:pPr>
              <w:pStyle w:val="TableText"/>
              <w:rPr>
                <w:sz w:val="18"/>
                <w:lang w:val="en-US"/>
              </w:rPr>
            </w:pPr>
            <w:r w:rsidRPr="00A407C5">
              <w:rPr>
                <w:sz w:val="18"/>
                <w:lang w:val="en-US"/>
              </w:rPr>
              <w:t>Dated:</w:t>
            </w:r>
          </w:p>
          <w:p w:rsidR="00605D8D" w:rsidRPr="00A407C5" w:rsidRDefault="00605D8D" w:rsidP="00A407C5">
            <w:pPr>
              <w:pStyle w:val="TableText"/>
              <w:rPr>
                <w:sz w:val="18"/>
                <w:lang w:val="en-US"/>
              </w:rPr>
            </w:pPr>
            <w:r w:rsidRPr="00A407C5">
              <w:rPr>
                <w:sz w:val="18"/>
                <w:lang w:val="en-US"/>
              </w:rPr>
              <w:t>Signature of the Premier</w:t>
            </w:r>
          </w:p>
          <w:p w:rsidR="00605D8D" w:rsidRDefault="00605D8D" w:rsidP="00A407C5">
            <w:pPr>
              <w:pStyle w:val="TableText"/>
              <w:rPr>
                <w:lang w:val="en-US"/>
              </w:rPr>
            </w:pPr>
            <w:r w:rsidRPr="00A407C5">
              <w:rPr>
                <w:sz w:val="18"/>
                <w:lang w:val="en-US"/>
              </w:rPr>
              <w:t>Title</w:t>
            </w:r>
          </w:p>
        </w:tc>
      </w:tr>
    </w:tbl>
    <w:p w:rsidR="00605D8D" w:rsidRDefault="00605D8D" w:rsidP="00605D8D">
      <w:pPr>
        <w:pStyle w:val="Spacer"/>
      </w:pPr>
    </w:p>
    <w:p w:rsidR="00605D8D" w:rsidRPr="00EE406F" w:rsidRDefault="00605D8D" w:rsidP="00EF1B77">
      <w:pPr>
        <w:pStyle w:val="Heading2"/>
        <w:numPr>
          <w:ilvl w:val="0"/>
          <w:numId w:val="0"/>
        </w:numPr>
        <w:ind w:left="794"/>
        <w:rPr>
          <w:b/>
          <w:sz w:val="26"/>
          <w:szCs w:val="26"/>
        </w:rPr>
      </w:pPr>
      <w:bookmarkStart w:id="100" w:name="_Toc164499608"/>
      <w:bookmarkStart w:id="101" w:name="_Toc152149901"/>
      <w:bookmarkStart w:id="102" w:name="_Toc152149638"/>
      <w:bookmarkStart w:id="103" w:name="_Toc152149324"/>
      <w:r>
        <w:br w:type="page"/>
      </w:r>
      <w:bookmarkStart w:id="104" w:name="_Toc397608138"/>
      <w:r w:rsidRPr="00EE406F">
        <w:rPr>
          <w:b/>
          <w:color w:val="004EA8"/>
          <w:sz w:val="26"/>
          <w:szCs w:val="26"/>
        </w:rPr>
        <w:t>Rules or instruments which refer to other documents</w:t>
      </w:r>
      <w:bookmarkEnd w:id="104"/>
      <w:r w:rsidRPr="00EE406F">
        <w:rPr>
          <w:b/>
          <w:color w:val="004EA8"/>
          <w:sz w:val="26"/>
          <w:szCs w:val="26"/>
        </w:rPr>
        <w:t xml:space="preserve"> </w:t>
      </w:r>
      <w:bookmarkEnd w:id="100"/>
      <w:bookmarkEnd w:id="101"/>
      <w:bookmarkEnd w:id="102"/>
      <w:bookmarkEnd w:id="103"/>
    </w:p>
    <w:p w:rsidR="00605D8D" w:rsidRPr="00EE406F" w:rsidRDefault="00605D8D" w:rsidP="00605D8D">
      <w:pPr>
        <w:pStyle w:val="Heading3NoNum"/>
        <w:rPr>
          <w:color w:val="auto"/>
          <w:sz w:val="22"/>
        </w:rPr>
      </w:pPr>
      <w:r w:rsidRPr="00EE406F">
        <w:rPr>
          <w:color w:val="auto"/>
          <w:sz w:val="22"/>
        </w:rPr>
        <w:t>Publication and lodgement requirements</w:t>
      </w:r>
    </w:p>
    <w:p w:rsidR="00605D8D" w:rsidRPr="00EE406F" w:rsidRDefault="00605D8D" w:rsidP="00605D8D">
      <w:pPr>
        <w:spacing w:after="60"/>
        <w:rPr>
          <w:sz w:val="20"/>
          <w:szCs w:val="20"/>
        </w:rPr>
      </w:pPr>
      <w:r w:rsidRPr="00EE406F">
        <w:rPr>
          <w:sz w:val="20"/>
          <w:szCs w:val="20"/>
        </w:rPr>
        <w:t>Statutory rules and legislative instruments will sometimes incorporate extrinsic material by reference to an external document (</w:t>
      </w:r>
      <w:r w:rsidR="00D72695" w:rsidRPr="00EE406F">
        <w:rPr>
          <w:sz w:val="20"/>
          <w:szCs w:val="20"/>
        </w:rPr>
        <w:t>‘</w:t>
      </w:r>
      <w:r w:rsidRPr="00EE406F">
        <w:rPr>
          <w:sz w:val="20"/>
          <w:szCs w:val="20"/>
        </w:rPr>
        <w:t>incorporation by reference</w:t>
      </w:r>
      <w:r w:rsidR="00D72695" w:rsidRPr="00EE406F">
        <w:rPr>
          <w:sz w:val="20"/>
          <w:szCs w:val="20"/>
        </w:rPr>
        <w:t>’</w:t>
      </w:r>
      <w:r w:rsidRPr="00EE406F">
        <w:rPr>
          <w:sz w:val="20"/>
          <w:szCs w:val="20"/>
        </w:rPr>
        <w:t xml:space="preserve">). A specific power in the authorising Act is required to allow incorporation by reference. </w:t>
      </w:r>
    </w:p>
    <w:p w:rsidR="00605D8D" w:rsidRPr="00EE406F" w:rsidRDefault="00605D8D" w:rsidP="00605D8D">
      <w:pPr>
        <w:spacing w:after="60"/>
        <w:rPr>
          <w:sz w:val="20"/>
          <w:szCs w:val="20"/>
        </w:rPr>
      </w:pPr>
      <w:r w:rsidRPr="00EE406F">
        <w:rPr>
          <w:sz w:val="20"/>
          <w:szCs w:val="20"/>
        </w:rPr>
        <w:t xml:space="preserve">The requirements applying to material incorporated by reference into a statutory rule or legislative instrument are dealt with in </w:t>
      </w:r>
      <w:r w:rsidR="00D13659" w:rsidRPr="00EE406F">
        <w:rPr>
          <w:sz w:val="20"/>
          <w:szCs w:val="20"/>
        </w:rPr>
        <w:t>section </w:t>
      </w:r>
      <w:r w:rsidRPr="00EE406F">
        <w:rPr>
          <w:sz w:val="20"/>
          <w:szCs w:val="20"/>
        </w:rPr>
        <w:t xml:space="preserve">32(3) of the </w:t>
      </w:r>
      <w:r w:rsidRPr="00EE406F">
        <w:rPr>
          <w:i/>
          <w:sz w:val="20"/>
          <w:szCs w:val="20"/>
        </w:rPr>
        <w:t>Interpretation of Legislation Act 1984.</w:t>
      </w:r>
      <w:r w:rsidRPr="00EE406F">
        <w:rPr>
          <w:rStyle w:val="FootnoteReference"/>
          <w:sz w:val="20"/>
          <w:szCs w:val="20"/>
        </w:rPr>
        <w:footnoteReference w:id="31"/>
      </w:r>
      <w:r w:rsidRPr="00EE406F">
        <w:rPr>
          <w:i/>
          <w:sz w:val="20"/>
          <w:szCs w:val="20"/>
        </w:rPr>
        <w:t xml:space="preserve"> </w:t>
      </w:r>
      <w:r w:rsidRPr="00EE406F">
        <w:rPr>
          <w:sz w:val="20"/>
          <w:szCs w:val="20"/>
        </w:rPr>
        <w:t>The Act requires:</w:t>
      </w:r>
    </w:p>
    <w:p w:rsidR="00605D8D" w:rsidRPr="00EE406F" w:rsidRDefault="00605D8D" w:rsidP="00605D8D">
      <w:pPr>
        <w:pStyle w:val="Bullet1"/>
        <w:rPr>
          <w:sz w:val="20"/>
          <w:szCs w:val="20"/>
        </w:rPr>
      </w:pPr>
      <w:r w:rsidRPr="00EE406F">
        <w:rPr>
          <w:sz w:val="20"/>
          <w:szCs w:val="20"/>
        </w:rPr>
        <w:t>a copy of the incorporated material to be lodged with the Clerk of the Parliaments as soon as practicable after the statutory rule or legislative instrument is tabled;</w:t>
      </w:r>
    </w:p>
    <w:p w:rsidR="00605D8D" w:rsidRPr="00EE406F" w:rsidRDefault="00605D8D" w:rsidP="00605D8D">
      <w:pPr>
        <w:pStyle w:val="Bullet1"/>
        <w:rPr>
          <w:sz w:val="20"/>
          <w:szCs w:val="20"/>
        </w:rPr>
      </w:pPr>
      <w:r w:rsidRPr="00EE406F">
        <w:rPr>
          <w:sz w:val="20"/>
          <w:szCs w:val="20"/>
        </w:rPr>
        <w:t>publication of a notice in the Government Gazette outlining the documents which have been lodged with the Clerk of Parliament;</w:t>
      </w:r>
    </w:p>
    <w:p w:rsidR="00605D8D" w:rsidRPr="00EE406F" w:rsidRDefault="00605D8D" w:rsidP="00605D8D">
      <w:pPr>
        <w:pStyle w:val="Bullet1"/>
        <w:rPr>
          <w:sz w:val="20"/>
          <w:szCs w:val="20"/>
        </w:rPr>
      </w:pPr>
      <w:r w:rsidRPr="00EE406F">
        <w:rPr>
          <w:sz w:val="20"/>
          <w:szCs w:val="20"/>
        </w:rPr>
        <w:t>a copy of the Government Gazette notice to be laid before each House of the Parliament as soon as practicable after it is published; and</w:t>
      </w:r>
    </w:p>
    <w:p w:rsidR="00605D8D" w:rsidRPr="00EE406F" w:rsidRDefault="00605D8D" w:rsidP="00605D8D">
      <w:pPr>
        <w:pStyle w:val="Bullet1"/>
        <w:rPr>
          <w:sz w:val="20"/>
          <w:szCs w:val="20"/>
        </w:rPr>
      </w:pPr>
      <w:r w:rsidRPr="00EE406F">
        <w:rPr>
          <w:sz w:val="20"/>
          <w:szCs w:val="20"/>
        </w:rPr>
        <w:t>a copy of the incorporated material to be kept for inspection during normal office hours without charge at the principal office of the Department or body responsible for administering the subordinate legislation.</w:t>
      </w:r>
    </w:p>
    <w:p w:rsidR="00605D8D" w:rsidRPr="00EE406F" w:rsidRDefault="00605D8D" w:rsidP="00605D8D">
      <w:pPr>
        <w:rPr>
          <w:sz w:val="20"/>
          <w:szCs w:val="20"/>
        </w:rPr>
      </w:pPr>
      <w:r w:rsidRPr="00EE406F">
        <w:rPr>
          <w:sz w:val="20"/>
          <w:szCs w:val="20"/>
        </w:rPr>
        <w:t xml:space="preserve">These procedures are designed to guarantee the availability of any material that is incorporated into subordinate legislation by reference to ensure that the public may have access to the legislation with which they must comply. </w:t>
      </w:r>
    </w:p>
    <w:p w:rsidR="00605D8D" w:rsidRPr="00EE406F" w:rsidRDefault="00605D8D" w:rsidP="00605D8D">
      <w:pPr>
        <w:pStyle w:val="Heading3NoNum"/>
        <w:rPr>
          <w:color w:val="auto"/>
          <w:sz w:val="22"/>
        </w:rPr>
      </w:pPr>
      <w:r w:rsidRPr="00EE406F">
        <w:rPr>
          <w:color w:val="auto"/>
          <w:sz w:val="22"/>
        </w:rPr>
        <w:t>Specific considerations – incorporating material</w:t>
      </w:r>
    </w:p>
    <w:p w:rsidR="00605D8D" w:rsidRPr="00EE406F" w:rsidRDefault="00605D8D" w:rsidP="00605D8D">
      <w:pPr>
        <w:rPr>
          <w:sz w:val="20"/>
          <w:szCs w:val="20"/>
        </w:rPr>
      </w:pPr>
      <w:r w:rsidRPr="00EE406F">
        <w:rPr>
          <w:sz w:val="20"/>
          <w:szCs w:val="20"/>
        </w:rPr>
        <w:t>When incorporating pre</w:t>
      </w:r>
      <w:r w:rsidRPr="00EE406F">
        <w:rPr>
          <w:sz w:val="20"/>
          <w:szCs w:val="20"/>
        </w:rPr>
        <w:noBreakHyphen/>
        <w:t xml:space="preserve">existing standards in statutory rules, consideration needs to be given as to whether the reference to an Australian Standard should be a specific standard (e.g. AS 1234) or to a specific version of a standard by reference to its date (e.g. AS 1234, 2004). The former approach may result in significant changes to the effect of the statutory rule, with no automatic mechanism to review the changes to the costs and benefits of the statutory rule. The latter approach means that if a later amended version of a standard is to be adopted, it will require the amendment of the statutory rule and the undertaking of the RIS process. </w:t>
      </w:r>
    </w:p>
    <w:p w:rsidR="00605D8D" w:rsidRPr="00EE406F" w:rsidRDefault="00605D8D" w:rsidP="00605D8D">
      <w:pPr>
        <w:rPr>
          <w:sz w:val="20"/>
          <w:szCs w:val="20"/>
        </w:rPr>
      </w:pPr>
      <w:r w:rsidRPr="00EE406F">
        <w:rPr>
          <w:sz w:val="20"/>
          <w:szCs w:val="20"/>
        </w:rPr>
        <w:t xml:space="preserve">It also needs to be remembered that the incorporated material may not be a single document. For example, the drafting standard adopted by the </w:t>
      </w:r>
      <w:r w:rsidRPr="00EE406F">
        <w:rPr>
          <w:i/>
          <w:iCs/>
          <w:sz w:val="20"/>
          <w:szCs w:val="20"/>
        </w:rPr>
        <w:t>Standards Australia</w:t>
      </w:r>
      <w:r w:rsidRPr="00EE406F">
        <w:rPr>
          <w:sz w:val="20"/>
          <w:szCs w:val="20"/>
        </w:rPr>
        <w:t xml:space="preserve"> often means that these standards are not self</w:t>
      </w:r>
      <w:r w:rsidRPr="00EE406F">
        <w:rPr>
          <w:sz w:val="20"/>
          <w:szCs w:val="20"/>
        </w:rPr>
        <w:noBreakHyphen/>
        <w:t>contained, but adopt the provision of other standards. This can create a chain of material incorporated by reference, and it is important to ensure that all relevant material is published or lodged in accordance with the requirements set out above.</w:t>
      </w:r>
    </w:p>
    <w:p w:rsidR="00605D8D" w:rsidRPr="00EE406F" w:rsidRDefault="00605D8D" w:rsidP="00605D8D">
      <w:pPr>
        <w:rPr>
          <w:sz w:val="20"/>
          <w:szCs w:val="20"/>
        </w:rPr>
      </w:pPr>
      <w:r w:rsidRPr="00EE406F">
        <w:rPr>
          <w:sz w:val="20"/>
          <w:szCs w:val="20"/>
        </w:rPr>
        <w:t>In deciding whether to incorporate material by reference, agencies need to take care to balance the drafting convenience with ease of access to the incorporated material and understanding of it by those affected by it or required to comply with it. Agencies should reserve the use of incorporated detailed and extensive technical material to regulations concerning industries familiar with and using the material. The use of the material then has the benefit of removing duplication. In such cases, agencies should also consider whether performance standards are the more appropriate means of regulation.</w:t>
      </w:r>
    </w:p>
    <w:p w:rsidR="00605D8D" w:rsidRPr="00EE406F" w:rsidRDefault="00605D8D" w:rsidP="00605D8D">
      <w:pPr>
        <w:rPr>
          <w:sz w:val="20"/>
          <w:szCs w:val="20"/>
        </w:rPr>
      </w:pPr>
      <w:r w:rsidRPr="00EE406F">
        <w:rPr>
          <w:sz w:val="20"/>
          <w:szCs w:val="20"/>
        </w:rPr>
        <w:t xml:space="preserve">The Office of the Chief Parliamentary Counsel’s document, </w:t>
      </w:r>
      <w:r w:rsidRPr="00EE406F">
        <w:rPr>
          <w:i/>
          <w:sz w:val="20"/>
          <w:szCs w:val="20"/>
        </w:rPr>
        <w:t xml:space="preserve">Notes for guidance: The </w:t>
      </w:r>
      <w:r w:rsidRPr="00EE406F">
        <w:rPr>
          <w:sz w:val="20"/>
          <w:szCs w:val="20"/>
        </w:rPr>
        <w:t>preparation</w:t>
      </w:r>
      <w:r w:rsidRPr="00EE406F">
        <w:rPr>
          <w:i/>
          <w:sz w:val="20"/>
          <w:szCs w:val="20"/>
        </w:rPr>
        <w:t xml:space="preserve"> of statutory rules</w:t>
      </w:r>
      <w:r w:rsidRPr="00EE406F">
        <w:rPr>
          <w:sz w:val="20"/>
          <w:szCs w:val="20"/>
        </w:rPr>
        <w:t xml:space="preserve"> (</w:t>
      </w:r>
      <w:hyperlink r:id="rId26" w:history="1">
        <w:r w:rsidRPr="00EE406F">
          <w:rPr>
            <w:rStyle w:val="Hyperlink"/>
            <w:rFonts w:eastAsia="Times"/>
            <w:sz w:val="20"/>
            <w:szCs w:val="20"/>
          </w:rPr>
          <w:t>www.ocpc.vic.gov.au</w:t>
        </w:r>
      </w:hyperlink>
      <w:r w:rsidRPr="00EE406F">
        <w:rPr>
          <w:sz w:val="20"/>
          <w:szCs w:val="20"/>
        </w:rPr>
        <w:t>), contains further information about when it is appropriate to incorporate material by reference into subordinate legislation.</w:t>
      </w:r>
    </w:p>
    <w:p w:rsidR="00605D8D" w:rsidRPr="00EE406F" w:rsidRDefault="00605D8D" w:rsidP="00605D8D">
      <w:pPr>
        <w:pStyle w:val="Heading3NoNum"/>
        <w:rPr>
          <w:color w:val="auto"/>
          <w:sz w:val="22"/>
        </w:rPr>
      </w:pPr>
      <w:r w:rsidRPr="00EE406F">
        <w:rPr>
          <w:color w:val="auto"/>
          <w:sz w:val="22"/>
        </w:rPr>
        <w:t xml:space="preserve">Formatting of statutory rules which incorporate external material </w:t>
      </w:r>
    </w:p>
    <w:p w:rsidR="00605D8D" w:rsidRPr="00EE406F" w:rsidRDefault="00605D8D" w:rsidP="00605D8D">
      <w:pPr>
        <w:spacing w:after="60"/>
        <w:rPr>
          <w:sz w:val="20"/>
          <w:szCs w:val="20"/>
        </w:rPr>
      </w:pPr>
      <w:r w:rsidRPr="00EE406F">
        <w:rPr>
          <w:sz w:val="20"/>
          <w:szCs w:val="20"/>
        </w:rPr>
        <w:t>The Subordinate Legislation Regulations 2004 require statutory rules which incorporate material by reference to include a special footnote</w:t>
      </w:r>
      <w:r w:rsidRPr="00EE406F">
        <w:rPr>
          <w:rStyle w:val="FootnoteReference"/>
          <w:sz w:val="20"/>
          <w:szCs w:val="20"/>
        </w:rPr>
        <w:footnoteReference w:id="32"/>
      </w:r>
      <w:r w:rsidRPr="00EE406F">
        <w:rPr>
          <w:sz w:val="20"/>
          <w:szCs w:val="20"/>
        </w:rPr>
        <w:t>. The footnote must contain a table which:</w:t>
      </w:r>
    </w:p>
    <w:p w:rsidR="00605D8D" w:rsidRPr="00EE406F" w:rsidRDefault="00605D8D" w:rsidP="00605D8D">
      <w:pPr>
        <w:pStyle w:val="Bullet1"/>
        <w:rPr>
          <w:sz w:val="20"/>
          <w:szCs w:val="20"/>
        </w:rPr>
      </w:pPr>
      <w:r w:rsidRPr="00EE406F">
        <w:rPr>
          <w:sz w:val="20"/>
          <w:szCs w:val="20"/>
        </w:rPr>
        <w:t>specifies which document is being incorporated; and</w:t>
      </w:r>
    </w:p>
    <w:p w:rsidR="00605D8D" w:rsidRPr="00EE406F" w:rsidRDefault="00605D8D" w:rsidP="00605D8D">
      <w:pPr>
        <w:pStyle w:val="Bullet1"/>
        <w:rPr>
          <w:sz w:val="20"/>
          <w:szCs w:val="20"/>
        </w:rPr>
      </w:pPr>
      <w:proofErr w:type="gramStart"/>
      <w:r w:rsidRPr="00EE406F">
        <w:rPr>
          <w:sz w:val="20"/>
          <w:szCs w:val="20"/>
        </w:rPr>
        <w:t>indicates</w:t>
      </w:r>
      <w:proofErr w:type="gramEnd"/>
      <w:r w:rsidRPr="00EE406F">
        <w:rPr>
          <w:sz w:val="20"/>
          <w:szCs w:val="20"/>
        </w:rPr>
        <w:t xml:space="preserve"> the provision of the statutory rule to which the matter relates.</w:t>
      </w:r>
    </w:p>
    <w:p w:rsidR="00605D8D" w:rsidRPr="00EE406F" w:rsidRDefault="00605D8D" w:rsidP="00605D8D">
      <w:pPr>
        <w:rPr>
          <w:sz w:val="20"/>
          <w:szCs w:val="20"/>
        </w:rPr>
      </w:pPr>
      <w:r w:rsidRPr="00EE406F">
        <w:rPr>
          <w:sz w:val="20"/>
          <w:szCs w:val="20"/>
        </w:rPr>
        <w:t>The form of this table is presented below.</w:t>
      </w:r>
    </w:p>
    <w:tbl>
      <w:tblPr>
        <w:tblW w:w="0" w:type="auto"/>
        <w:tblInd w:w="835" w:type="dxa"/>
        <w:tblBorders>
          <w:top w:val="single" w:sz="2" w:space="0" w:color="auto"/>
          <w:bottom w:val="single" w:sz="2" w:space="0" w:color="auto"/>
          <w:insideH w:val="single" w:sz="2" w:space="0" w:color="auto"/>
        </w:tblBorders>
        <w:tblCellMar>
          <w:left w:w="43" w:type="dxa"/>
          <w:right w:w="43" w:type="dxa"/>
        </w:tblCellMar>
        <w:tblLook w:val="01E0" w:firstRow="1" w:lastRow="1" w:firstColumn="1" w:lastColumn="1" w:noHBand="0" w:noVBand="0"/>
      </w:tblPr>
      <w:tblGrid>
        <w:gridCol w:w="8277"/>
      </w:tblGrid>
      <w:tr w:rsidR="00605D8D" w:rsidRPr="00EE406F" w:rsidTr="00D72695">
        <w:trPr>
          <w:cantSplit/>
        </w:trPr>
        <w:tc>
          <w:tcPr>
            <w:tcW w:w="9558" w:type="dxa"/>
            <w:tcBorders>
              <w:top w:val="single" w:sz="4" w:space="0" w:color="auto"/>
              <w:left w:val="single" w:sz="4" w:space="0" w:color="auto"/>
              <w:bottom w:val="single" w:sz="4" w:space="0" w:color="auto"/>
              <w:right w:val="single" w:sz="4" w:space="0" w:color="auto"/>
            </w:tcBorders>
            <w:shd w:val="clear" w:color="auto" w:fill="auto"/>
          </w:tcPr>
          <w:p w:rsidR="00605D8D" w:rsidRPr="00EE406F" w:rsidRDefault="00605D8D" w:rsidP="00D92E1B">
            <w:pPr>
              <w:pStyle w:val="Caption"/>
              <w:ind w:left="0"/>
              <w:rPr>
                <w:sz w:val="20"/>
                <w:szCs w:val="20"/>
              </w:rPr>
            </w:pPr>
            <w:r w:rsidRPr="00EE406F">
              <w:rPr>
                <w:sz w:val="20"/>
                <w:szCs w:val="20"/>
              </w:rPr>
              <w:t>Table of Applied, Adopted or Incorporated Matter</w:t>
            </w:r>
          </w:p>
          <w:p w:rsidR="00605D8D" w:rsidRPr="00EE406F" w:rsidRDefault="00605D8D" w:rsidP="00D92E1B">
            <w:pPr>
              <w:pStyle w:val="TableText"/>
              <w:rPr>
                <w:szCs w:val="20"/>
              </w:rPr>
            </w:pPr>
            <w:r w:rsidRPr="00EE406F">
              <w:rPr>
                <w:szCs w:val="20"/>
              </w:rPr>
              <w:t xml:space="preserve">The following table of </w:t>
            </w:r>
            <w:proofErr w:type="gramStart"/>
            <w:r w:rsidRPr="00EE406F">
              <w:rPr>
                <w:szCs w:val="20"/>
              </w:rPr>
              <w:t>applied,</w:t>
            </w:r>
            <w:proofErr w:type="gramEnd"/>
            <w:r w:rsidRPr="00EE406F">
              <w:rPr>
                <w:szCs w:val="20"/>
              </w:rPr>
              <w:t xml:space="preserve"> adopted or incorporated matter is included in accordance with the requirements of regulation 5 of the Subordinate Legislation Regulations 2004.</w:t>
            </w:r>
          </w:p>
          <w:tbl>
            <w:tblPr>
              <w:tblW w:w="8255" w:type="dxa"/>
              <w:tblBorders>
                <w:top w:val="single" w:sz="2" w:space="0" w:color="auto"/>
                <w:bottom w:val="single" w:sz="2" w:space="0" w:color="auto"/>
                <w:insideH w:val="single" w:sz="2" w:space="0" w:color="auto"/>
              </w:tblBorders>
              <w:tblCellMar>
                <w:left w:w="43" w:type="dxa"/>
                <w:right w:w="43" w:type="dxa"/>
              </w:tblCellMar>
              <w:tblLook w:val="01E0" w:firstRow="1" w:lastRow="1" w:firstColumn="1" w:lastColumn="1" w:noHBand="0" w:noVBand="0"/>
            </w:tblPr>
            <w:tblGrid>
              <w:gridCol w:w="2430"/>
              <w:gridCol w:w="3150"/>
              <w:gridCol w:w="2675"/>
            </w:tblGrid>
            <w:tr w:rsidR="00605D8D" w:rsidRPr="00EE406F" w:rsidTr="00584FDB">
              <w:trPr>
                <w:cantSplit/>
                <w:tblHeader/>
              </w:trPr>
              <w:tc>
                <w:tcPr>
                  <w:tcW w:w="2430" w:type="dxa"/>
                  <w:shd w:val="clear" w:color="auto" w:fill="E6E6E6"/>
                </w:tcPr>
                <w:p w:rsidR="00605D8D" w:rsidRPr="00EE406F" w:rsidRDefault="00605D8D" w:rsidP="00D92E1B">
                  <w:pPr>
                    <w:pStyle w:val="TableHeader"/>
                    <w:rPr>
                      <w:sz w:val="20"/>
                      <w:szCs w:val="20"/>
                    </w:rPr>
                  </w:pPr>
                  <w:r w:rsidRPr="00EE406F">
                    <w:rPr>
                      <w:sz w:val="20"/>
                      <w:szCs w:val="20"/>
                    </w:rPr>
                    <w:t>Statutory rule provision</w:t>
                  </w:r>
                </w:p>
              </w:tc>
              <w:tc>
                <w:tcPr>
                  <w:tcW w:w="3150" w:type="dxa"/>
                  <w:shd w:val="clear" w:color="auto" w:fill="E6E6E6"/>
                </w:tcPr>
                <w:p w:rsidR="00605D8D" w:rsidRPr="00EE406F" w:rsidRDefault="00605D8D" w:rsidP="00D92E1B">
                  <w:pPr>
                    <w:pStyle w:val="TableHeader"/>
                    <w:rPr>
                      <w:sz w:val="20"/>
                      <w:szCs w:val="20"/>
                    </w:rPr>
                  </w:pPr>
                  <w:r w:rsidRPr="00EE406F">
                    <w:rPr>
                      <w:sz w:val="20"/>
                      <w:szCs w:val="20"/>
                    </w:rPr>
                    <w:t>Title of applied, adopted or incorporated document</w:t>
                  </w:r>
                </w:p>
              </w:tc>
              <w:tc>
                <w:tcPr>
                  <w:tcW w:w="2675" w:type="dxa"/>
                  <w:shd w:val="clear" w:color="auto" w:fill="E6E6E6"/>
                </w:tcPr>
                <w:p w:rsidR="00605D8D" w:rsidRPr="00EE406F" w:rsidRDefault="00605D8D" w:rsidP="00D92E1B">
                  <w:pPr>
                    <w:pStyle w:val="TableHeader"/>
                    <w:rPr>
                      <w:sz w:val="20"/>
                      <w:szCs w:val="20"/>
                    </w:rPr>
                  </w:pPr>
                  <w:r w:rsidRPr="00EE406F">
                    <w:rPr>
                      <w:sz w:val="20"/>
                      <w:szCs w:val="20"/>
                    </w:rPr>
                    <w:t>Matter in applied, adopted or incorporated document</w:t>
                  </w:r>
                </w:p>
              </w:tc>
            </w:tr>
            <w:tr w:rsidR="00605D8D" w:rsidRPr="00EE406F" w:rsidTr="00584FDB">
              <w:trPr>
                <w:cantSplit/>
              </w:trPr>
              <w:tc>
                <w:tcPr>
                  <w:tcW w:w="2430" w:type="dxa"/>
                  <w:tcBorders>
                    <w:bottom w:val="single" w:sz="6" w:space="0" w:color="auto"/>
                  </w:tcBorders>
                  <w:shd w:val="clear" w:color="auto" w:fill="auto"/>
                </w:tcPr>
                <w:p w:rsidR="00605D8D" w:rsidRPr="00EE406F" w:rsidRDefault="00605D8D" w:rsidP="00D92E1B">
                  <w:pPr>
                    <w:pStyle w:val="TableText"/>
                    <w:rPr>
                      <w:szCs w:val="20"/>
                    </w:rPr>
                  </w:pPr>
                  <w:r w:rsidRPr="00EE406F">
                    <w:rPr>
                      <w:szCs w:val="20"/>
                    </w:rPr>
                    <w:t xml:space="preserve">Insert the provision of the statutory rule which incorporates </w:t>
                  </w:r>
                  <w:proofErr w:type="spellStart"/>
                  <w:r w:rsidRPr="00EE406F">
                    <w:rPr>
                      <w:szCs w:val="20"/>
                    </w:rPr>
                    <w:t>etc</w:t>
                  </w:r>
                  <w:proofErr w:type="spellEnd"/>
                  <w:r w:rsidRPr="00EE406F">
                    <w:rPr>
                      <w:szCs w:val="20"/>
                    </w:rPr>
                    <w:t xml:space="preserve"> the matter (e.g. Regulation 5(6); Schedule 6, Item 13)</w:t>
                  </w:r>
                </w:p>
              </w:tc>
              <w:tc>
                <w:tcPr>
                  <w:tcW w:w="3150" w:type="dxa"/>
                  <w:tcBorders>
                    <w:bottom w:val="single" w:sz="6" w:space="0" w:color="auto"/>
                  </w:tcBorders>
                  <w:shd w:val="clear" w:color="auto" w:fill="auto"/>
                </w:tcPr>
                <w:p w:rsidR="00605D8D" w:rsidRPr="00EE406F" w:rsidRDefault="00605D8D" w:rsidP="00D92E1B">
                  <w:pPr>
                    <w:pStyle w:val="TableText"/>
                    <w:rPr>
                      <w:szCs w:val="20"/>
                    </w:rPr>
                  </w:pPr>
                  <w:r w:rsidRPr="00EE406F">
                    <w:rPr>
                      <w:szCs w:val="20"/>
                    </w:rPr>
                    <w:t xml:space="preserve">Insert full title of document incorporated </w:t>
                  </w:r>
                  <w:proofErr w:type="spellStart"/>
                  <w:r w:rsidRPr="00EE406F">
                    <w:rPr>
                      <w:szCs w:val="20"/>
                    </w:rPr>
                    <w:t>etc</w:t>
                  </w:r>
                  <w:proofErr w:type="spellEnd"/>
                  <w:r w:rsidRPr="00EE406F">
                    <w:rPr>
                      <w:szCs w:val="20"/>
                    </w:rPr>
                    <w:t>, together with reprint or edition number (if applicable) (e.g. Australian Standard AS1250</w:t>
                  </w:r>
                  <w:r w:rsidRPr="00EE406F">
                    <w:rPr>
                      <w:szCs w:val="20"/>
                    </w:rPr>
                    <w:noBreakHyphen/>
                    <w:t xml:space="preserve">1975, SSA Steel Structures Code, Greater Melbourne </w:t>
                  </w:r>
                  <w:proofErr w:type="spellStart"/>
                  <w:r w:rsidRPr="00EE406F">
                    <w:rPr>
                      <w:szCs w:val="20"/>
                    </w:rPr>
                    <w:t>Melway</w:t>
                  </w:r>
                  <w:proofErr w:type="spellEnd"/>
                  <w:r w:rsidRPr="00EE406F">
                    <w:rPr>
                      <w:szCs w:val="20"/>
                    </w:rPr>
                    <w:t xml:space="preserve"> Street Directory, edition 18, 1988)</w:t>
                  </w:r>
                </w:p>
              </w:tc>
              <w:tc>
                <w:tcPr>
                  <w:tcW w:w="2675" w:type="dxa"/>
                  <w:tcBorders>
                    <w:bottom w:val="single" w:sz="6" w:space="0" w:color="auto"/>
                  </w:tcBorders>
                  <w:shd w:val="clear" w:color="auto" w:fill="auto"/>
                </w:tcPr>
                <w:p w:rsidR="00605D8D" w:rsidRPr="00EE406F" w:rsidRDefault="00605D8D" w:rsidP="00D92E1B">
                  <w:pPr>
                    <w:pStyle w:val="TableText"/>
                    <w:rPr>
                      <w:szCs w:val="20"/>
                    </w:rPr>
                  </w:pPr>
                  <w:r w:rsidRPr="00EE406F">
                    <w:rPr>
                      <w:szCs w:val="20"/>
                    </w:rPr>
                    <w:t xml:space="preserve">Indicate whether the whole document is incorporated </w:t>
                  </w:r>
                  <w:proofErr w:type="spellStart"/>
                  <w:r w:rsidRPr="00EE406F">
                    <w:rPr>
                      <w:szCs w:val="20"/>
                    </w:rPr>
                    <w:t>etc</w:t>
                  </w:r>
                  <w:proofErr w:type="spellEnd"/>
                  <w:r w:rsidRPr="00EE406F">
                    <w:rPr>
                      <w:szCs w:val="20"/>
                    </w:rPr>
                    <w:t xml:space="preserve"> or if only part of a document is incorporated. Insert the appropriate page, </w:t>
                  </w:r>
                  <w:r w:rsidR="00D13659" w:rsidRPr="00EE406F">
                    <w:rPr>
                      <w:szCs w:val="20"/>
                    </w:rPr>
                    <w:t>section </w:t>
                  </w:r>
                  <w:r w:rsidRPr="00EE406F">
                    <w:rPr>
                      <w:szCs w:val="20"/>
                    </w:rPr>
                    <w:t>or item reference.</w:t>
                  </w:r>
                </w:p>
              </w:tc>
            </w:tr>
          </w:tbl>
          <w:p w:rsidR="00605D8D" w:rsidRPr="00EE406F" w:rsidRDefault="00605D8D" w:rsidP="00D72695">
            <w:pPr>
              <w:pStyle w:val="Spacer"/>
              <w:rPr>
                <w:color w:val="4C4C4C"/>
                <w:sz w:val="20"/>
                <w:szCs w:val="20"/>
              </w:rPr>
            </w:pPr>
            <w:r w:rsidRPr="00EE406F">
              <w:rPr>
                <w:color w:val="4C4C4C"/>
                <w:sz w:val="20"/>
                <w:szCs w:val="20"/>
              </w:rPr>
              <w:t xml:space="preserve"> </w:t>
            </w:r>
          </w:p>
        </w:tc>
      </w:tr>
    </w:tbl>
    <w:p w:rsidR="00605D8D" w:rsidRDefault="00605D8D" w:rsidP="00605D8D"/>
    <w:p w:rsidR="00D92E1B" w:rsidRDefault="00D92E1B" w:rsidP="00644151">
      <w:pPr>
        <w:ind w:left="0"/>
      </w:pPr>
    </w:p>
    <w:sectPr w:rsidR="00D92E1B" w:rsidSect="003E092F">
      <w:footerReference w:type="even" r:id="rId27"/>
      <w:footerReference w:type="default" r:id="rId28"/>
      <w:pgSz w:w="11906" w:h="16838" w:code="9"/>
      <w:pgMar w:top="1673" w:right="1440" w:bottom="1440" w:left="1440" w:header="709" w:footer="79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171" w:rsidRDefault="001B1171" w:rsidP="001C4C95">
      <w:pPr>
        <w:spacing w:before="0" w:after="0"/>
      </w:pPr>
      <w:r>
        <w:separator/>
      </w:r>
    </w:p>
  </w:endnote>
  <w:endnote w:type="continuationSeparator" w:id="0">
    <w:p w:rsidR="001B1171" w:rsidRDefault="001B1171" w:rsidP="001C4C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171" w:rsidRDefault="001B11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171" w:rsidRDefault="001B11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171" w:rsidRDefault="001B117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171" w:rsidRPr="005205DE" w:rsidRDefault="001B1171" w:rsidP="00A670AC">
    <w:pPr>
      <w:pStyle w:val="Footer"/>
      <w:tabs>
        <w:tab w:val="left" w:pos="7217"/>
      </w:tabs>
      <w:spacing w:before="120"/>
      <w:ind w:right="-607"/>
      <w:rPr>
        <w:color w:val="4F81BD" w:themeColor="accent1"/>
        <w:sz w:val="24"/>
        <w:szCs w:val="24"/>
      </w:rPr>
    </w:pPr>
  </w:p>
  <w:p w:rsidR="001B1171" w:rsidRDefault="001B1171" w:rsidP="00A670AC">
    <w:pPr>
      <w:pStyle w:val="Footer"/>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171" w:rsidRPr="005205DE" w:rsidRDefault="007351E8" w:rsidP="00A670AC">
    <w:pPr>
      <w:pStyle w:val="Footer"/>
      <w:tabs>
        <w:tab w:val="left" w:pos="7217"/>
      </w:tabs>
      <w:spacing w:before="120"/>
      <w:ind w:left="-488" w:right="-607"/>
      <w:rPr>
        <w:color w:val="4F81BD" w:themeColor="accent1"/>
        <w:sz w:val="24"/>
        <w:szCs w:val="24"/>
      </w:rPr>
    </w:pPr>
    <w:sdt>
      <w:sdtPr>
        <w:id w:val="1607931610"/>
        <w:docPartObj>
          <w:docPartGallery w:val="Page Numbers (Bottom of Page)"/>
          <w:docPartUnique/>
        </w:docPartObj>
      </w:sdtPr>
      <w:sdtEndPr>
        <w:rPr>
          <w:color w:val="4F81BD" w:themeColor="accent1"/>
          <w:sz w:val="24"/>
          <w:szCs w:val="24"/>
        </w:rPr>
      </w:sdtEndPr>
      <w:sdtContent>
        <w:r w:rsidR="001B1171" w:rsidRPr="00474763">
          <w:rPr>
            <w:noProof w:val="0"/>
            <w:color w:val="4F81BD" w:themeColor="accent1"/>
            <w:sz w:val="24"/>
            <w:szCs w:val="24"/>
          </w:rPr>
          <w:fldChar w:fldCharType="begin"/>
        </w:r>
        <w:r w:rsidR="001B1171" w:rsidRPr="00474763">
          <w:rPr>
            <w:color w:val="4F81BD" w:themeColor="accent1"/>
            <w:sz w:val="24"/>
            <w:szCs w:val="24"/>
          </w:rPr>
          <w:instrText xml:space="preserve"> PAGE   \* MERGEFORMAT </w:instrText>
        </w:r>
        <w:r w:rsidR="001B1171" w:rsidRPr="00474763">
          <w:rPr>
            <w:noProof w:val="0"/>
            <w:color w:val="4F81BD" w:themeColor="accent1"/>
            <w:sz w:val="24"/>
            <w:szCs w:val="24"/>
          </w:rPr>
          <w:fldChar w:fldCharType="separate"/>
        </w:r>
        <w:r>
          <w:rPr>
            <w:color w:val="4F81BD" w:themeColor="accent1"/>
            <w:sz w:val="24"/>
            <w:szCs w:val="24"/>
          </w:rPr>
          <w:t>54</w:t>
        </w:r>
        <w:r w:rsidR="001B1171" w:rsidRPr="00474763">
          <w:rPr>
            <w:color w:val="4F81BD" w:themeColor="accent1"/>
            <w:sz w:val="24"/>
            <w:szCs w:val="24"/>
          </w:rPr>
          <w:fldChar w:fldCharType="end"/>
        </w:r>
      </w:sdtContent>
    </w:sdt>
  </w:p>
  <w:p w:rsidR="001B1171" w:rsidRDefault="001B1171" w:rsidP="00A670AC">
    <w:pPr>
      <w:pStyle w:val="Footer"/>
    </w:pPr>
    <w:r>
      <w:t xml:space="preserve"> </w:t>
    </w:r>
    <w:r>
      <mc:AlternateContent>
        <mc:Choice Requires="wpg">
          <w:drawing>
            <wp:anchor distT="0" distB="0" distL="114300" distR="114300" simplePos="0" relativeHeight="251663360" behindDoc="0" locked="0" layoutInCell="1" allowOverlap="1" wp14:anchorId="01112268" wp14:editId="09619938">
              <wp:simplePos x="0" y="0"/>
              <wp:positionH relativeFrom="column">
                <wp:posOffset>-842645</wp:posOffset>
              </wp:positionH>
              <wp:positionV relativeFrom="page">
                <wp:posOffset>9810115</wp:posOffset>
              </wp:positionV>
              <wp:extent cx="786130" cy="749300"/>
              <wp:effectExtent l="0" t="0" r="0" b="0"/>
              <wp:wrapNone/>
              <wp:docPr id="12" name="Group 12"/>
              <wp:cNvGraphicFramePr/>
              <a:graphic xmlns:a="http://schemas.openxmlformats.org/drawingml/2006/main">
                <a:graphicData uri="http://schemas.microsoft.com/office/word/2010/wordprocessingGroup">
                  <wpg:wgp>
                    <wpg:cNvGrpSpPr/>
                    <wpg:grpSpPr>
                      <a:xfrm flipH="1">
                        <a:off x="0" y="0"/>
                        <a:ext cx="786130" cy="749300"/>
                        <a:chOff x="37620" y="54491"/>
                        <a:chExt cx="789430" cy="747713"/>
                      </a:xfrm>
                    </wpg:grpSpPr>
                    <wps:wsp>
                      <wps:cNvPr id="13" name="Rectangle 5"/>
                      <wps:cNvSpPr>
                        <a:spLocks noChangeArrowheads="1"/>
                      </wps:cNvSpPr>
                      <wps:spPr bwMode="auto">
                        <a:xfrm>
                          <a:off x="37620" y="426346"/>
                          <a:ext cx="395146" cy="375858"/>
                        </a:xfrm>
                        <a:prstGeom prst="rect">
                          <a:avLst/>
                        </a:prstGeom>
                        <a:solidFill>
                          <a:srgbClr val="3B5AA9"/>
                        </a:solidFill>
                        <a:ln w="9525">
                          <a:noFill/>
                          <a:miter lim="800000"/>
                          <a:headEnd/>
                          <a:tailEnd/>
                        </a:ln>
                      </wps:spPr>
                      <wps:bodyPr rot="0" vert="horz" wrap="square" lIns="91440" tIns="45720" rIns="91440" bIns="45720" anchor="t" anchorCtr="0" upright="1">
                        <a:noAutofit/>
                      </wps:bodyPr>
                    </wps:wsp>
                    <wps:wsp>
                      <wps:cNvPr id="14" name="Rectangle 7"/>
                      <wps:cNvSpPr>
                        <a:spLocks noChangeArrowheads="1"/>
                      </wps:cNvSpPr>
                      <wps:spPr bwMode="auto">
                        <a:xfrm>
                          <a:off x="431956" y="54491"/>
                          <a:ext cx="395094" cy="373754"/>
                        </a:xfrm>
                        <a:prstGeom prst="rect">
                          <a:avLst/>
                        </a:prstGeom>
                        <a:solidFill>
                          <a:srgbClr val="939A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2" o:spid="_x0000_s1026" style="position:absolute;margin-left:-66.35pt;margin-top:772.45pt;width:61.9pt;height:59pt;flip:x;z-index:251663360;mso-position-vertical-relative:page;mso-width-relative:margin;mso-height-relative:margin" coordorigin="376,544" coordsize="7894,7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">
              <v:rect id="Rectangle 5" o:spid="_x0000_s1027" style="position:absolute;left:376;top:4263;width:3951;height:3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Ha74A&#10;AADbAAAADwAAAGRycy9kb3ducmV2LnhtbERPy6rCMBDdX/AfwgjurokKItUoWhBcCOID3A7N2Fab&#10;SWmirX9vhAt3N4fznMWqs5V4UeNLxxpGQwWCOHOm5FzD5bz9nYHwAdlg5Zg0vMnDatn7WWBiXMtH&#10;ep1CLmII+wQ1FCHUiZQ+K8iiH7qaOHI311gMETa5NA22MdxWcqzUVFosOTYUWFNaUPY4Pa2Gw77u&#10;2rtKzdW3ijKf3kbpRmo96HfrOYhAXfgX/7l3Js6fwPeXeI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iYh2u+AAAA2wAAAA8AAAAAAAAAAAAAAAAAmAIAAGRycy9kb3ducmV2&#10;LnhtbFBLBQYAAAAABAAEAPUAAACDAwAAAAA=&#10;" fillcolor="#3b5aa9" stroked="f"/>
              <v:rect id="Rectangle 7" o:spid="_x0000_s1028" style="position:absolute;left:4319;top:544;width:3951;height:37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tVMcEA&#10;AADbAAAADwAAAGRycy9kb3ducmV2LnhtbERPTYvCMBC9C/6HMIIXWVNFl7VrFFEKelwVvc42Y1ts&#10;JrWJtf57syDsbR7vc+bL1pSiodoVlhWMhhEI4tTqgjMFx0Py8QXCeWSNpWVS8CQHy0W3M8dY2wf/&#10;ULP3mQgh7GJUkHtfxVK6NCeDbmgr4sBdbG3QB1hnUtf4COGmlOMo+pQGCw4NOVa0zim97u9GwXZz&#10;S9j/jg+nc9JEm930spsNGqX6vXb1DcJT6//Fb/dWh/kT+PslHC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VTHBAAAA2wAAAA8AAAAAAAAAAAAAAAAAmAIAAGRycy9kb3du&#10;cmV2LnhtbFBLBQYAAAAABAAEAPUAAACGAwAAAAA=&#10;" fillcolor="#939acd" stroked="f"/>
              <w10:wrap anchory="page"/>
            </v:group>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171" w:rsidRDefault="001B1171" w:rsidP="003E092F">
    <w:pPr>
      <w:pStyle w:val="Footer"/>
      <w:tabs>
        <w:tab w:val="left" w:pos="1455"/>
        <w:tab w:val="left" w:pos="7217"/>
        <w:tab w:val="right" w:pos="9542"/>
      </w:tabs>
      <w:spacing w:before="120"/>
      <w:ind w:right="-516"/>
      <w:rPr>
        <w:color w:val="4F81BD" w:themeColor="accent1"/>
        <w:sz w:val="24"/>
        <w:szCs w:val="24"/>
      </w:rPr>
    </w:pPr>
    <w:r>
      <mc:AlternateContent>
        <mc:Choice Requires="wpg">
          <w:drawing>
            <wp:anchor distT="0" distB="0" distL="114300" distR="114300" simplePos="0" relativeHeight="251659264" behindDoc="0" locked="0" layoutInCell="1" allowOverlap="1" wp14:anchorId="42CFE624" wp14:editId="3CBCBEAE">
              <wp:simplePos x="0" y="0"/>
              <wp:positionH relativeFrom="column">
                <wp:posOffset>5806440</wp:posOffset>
              </wp:positionH>
              <wp:positionV relativeFrom="page">
                <wp:posOffset>9753600</wp:posOffset>
              </wp:positionV>
              <wp:extent cx="786130" cy="749300"/>
              <wp:effectExtent l="0" t="0" r="0" b="0"/>
              <wp:wrapNone/>
              <wp:docPr id="681" name="Group 681"/>
              <wp:cNvGraphicFramePr/>
              <a:graphic xmlns:a="http://schemas.openxmlformats.org/drawingml/2006/main">
                <a:graphicData uri="http://schemas.microsoft.com/office/word/2010/wordprocessingGroup">
                  <wpg:wgp>
                    <wpg:cNvGrpSpPr/>
                    <wpg:grpSpPr>
                      <a:xfrm>
                        <a:off x="0" y="0"/>
                        <a:ext cx="786130" cy="749300"/>
                        <a:chOff x="37620" y="54491"/>
                        <a:chExt cx="789430" cy="747713"/>
                      </a:xfrm>
                    </wpg:grpSpPr>
                    <wps:wsp>
                      <wps:cNvPr id="682" name="Rectangle 5"/>
                      <wps:cNvSpPr>
                        <a:spLocks noChangeArrowheads="1"/>
                      </wps:cNvSpPr>
                      <wps:spPr bwMode="auto">
                        <a:xfrm>
                          <a:off x="37620" y="426346"/>
                          <a:ext cx="395146" cy="375858"/>
                        </a:xfrm>
                        <a:prstGeom prst="rect">
                          <a:avLst/>
                        </a:prstGeom>
                        <a:solidFill>
                          <a:srgbClr val="3B5AA9"/>
                        </a:solidFill>
                        <a:ln w="9525">
                          <a:noFill/>
                          <a:miter lim="800000"/>
                          <a:headEnd/>
                          <a:tailEnd/>
                        </a:ln>
                      </wps:spPr>
                      <wps:bodyPr rot="0" vert="horz" wrap="square" lIns="91440" tIns="45720" rIns="91440" bIns="45720" anchor="t" anchorCtr="0" upright="1">
                        <a:noAutofit/>
                      </wps:bodyPr>
                    </wps:wsp>
                    <wps:wsp>
                      <wps:cNvPr id="686" name="Rectangle 7"/>
                      <wps:cNvSpPr>
                        <a:spLocks noChangeArrowheads="1"/>
                      </wps:cNvSpPr>
                      <wps:spPr bwMode="auto">
                        <a:xfrm>
                          <a:off x="431956" y="54491"/>
                          <a:ext cx="395094" cy="373754"/>
                        </a:xfrm>
                        <a:prstGeom prst="rect">
                          <a:avLst/>
                        </a:prstGeom>
                        <a:solidFill>
                          <a:srgbClr val="939A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681" o:spid="_x0000_s1026" style="position:absolute;margin-left:457.2pt;margin-top:768pt;width:61.9pt;height:59pt;z-index:251659264;mso-position-vertical-relative:page;mso-width-relative:margin;mso-height-relative:margin" coordorigin="376,544" coordsize="7894,7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">
              <v:rect id="Rectangle 5" o:spid="_x0000_s1027" style="position:absolute;left:376;top:4263;width:3951;height:3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JX8IA&#10;AADcAAAADwAAAGRycy9kb3ducmV2LnhtbESPT4vCMBTE7wt+h/AEb2uiB5GuadGC4EEQ/8BeH82z&#10;rTYvpYm2fnsjLOxxmJnfMKtssI14UudrxxpmUwWCuHCm5lLD5bz9XoLwAdlg45g0vMhDlo6+VpgY&#10;1/ORnqdQighhn6CGKoQ2kdIXFVn0U9cSR+/qOoshyq6UpsM+wm0j50otpMWa40KFLeUVFffTw2o4&#10;7Nuhv6nc/PpeUeHz6yzfSK0n42H9AyLQEP7Df+2d0bBYzuFzJh4Bm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7glfwgAAANwAAAAPAAAAAAAAAAAAAAAAAJgCAABkcnMvZG93&#10;bnJldi54bWxQSwUGAAAAAAQABAD1AAAAhwMAAAAA&#10;" fillcolor="#3b5aa9" stroked="f"/>
              <v:rect id="Rectangle 7" o:spid="_x0000_s1028" style="position:absolute;left:4319;top:544;width:3951;height:37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SbmcQA&#10;AADcAAAADwAAAGRycy9kb3ducmV2LnhtbESPT4vCMBTE7wt+h/AEL8uarmBxq1FkpaBH/+Be3zbP&#10;tti81CbW+u2NIHgcZuY3zGzRmUq01LjSsoLvYQSCOLO65FzBYZ9+TUA4j6yxskwK7uRgMe99zDDR&#10;9sZbanc+FwHCLkEFhfd1IqXLCjLohrYmDt7JNgZ9kE0udYO3ADeVHEVRLA2WHBYKrOm3oOy8uxoF&#10;69UlZf8/2h//0jZabcanzc9nq9Sg3y2nIDx1/h1+tddaQTyJ4XkmHA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km5nEAAAA3AAAAA8AAAAAAAAAAAAAAAAAmAIAAGRycy9k&#10;b3ducmV2LnhtbFBLBQYAAAAABAAEAPUAAACJAwAAAAA=&#10;" fillcolor="#939acd" stroked="f"/>
              <w10:wrap anchory="page"/>
            </v:group>
          </w:pict>
        </mc:Fallback>
      </mc:AlternateContent>
    </w:r>
    <w:r>
      <w:tab/>
    </w:r>
    <w:r>
      <w:tab/>
    </w:r>
    <w:r>
      <w:tab/>
    </w:r>
    <w:r>
      <w:tab/>
    </w:r>
    <w:r w:rsidRPr="00E47914">
      <w:t xml:space="preserve"> </w:t>
    </w:r>
    <w:sdt>
      <w:sdtPr>
        <w:id w:val="2073921804"/>
        <w:docPartObj>
          <w:docPartGallery w:val="Page Numbers (Bottom of Page)"/>
          <w:docPartUnique/>
        </w:docPartObj>
      </w:sdtPr>
      <w:sdtEndPr>
        <w:rPr>
          <w:color w:val="4F81BD" w:themeColor="accent1"/>
          <w:sz w:val="24"/>
          <w:szCs w:val="24"/>
        </w:rPr>
      </w:sdtEndPr>
      <w:sdtContent>
        <w:r w:rsidRPr="00474763">
          <w:rPr>
            <w:noProof w:val="0"/>
            <w:color w:val="4F81BD" w:themeColor="accent1"/>
            <w:sz w:val="24"/>
            <w:szCs w:val="24"/>
          </w:rPr>
          <w:fldChar w:fldCharType="begin"/>
        </w:r>
        <w:r w:rsidRPr="00474763">
          <w:rPr>
            <w:color w:val="4F81BD" w:themeColor="accent1"/>
            <w:sz w:val="24"/>
            <w:szCs w:val="24"/>
          </w:rPr>
          <w:instrText xml:space="preserve"> PAGE   \* MERGEFORMAT </w:instrText>
        </w:r>
        <w:r w:rsidRPr="00474763">
          <w:rPr>
            <w:noProof w:val="0"/>
            <w:color w:val="4F81BD" w:themeColor="accent1"/>
            <w:sz w:val="24"/>
            <w:szCs w:val="24"/>
          </w:rPr>
          <w:fldChar w:fldCharType="separate"/>
        </w:r>
        <w:r w:rsidR="007351E8">
          <w:rPr>
            <w:color w:val="4F81BD" w:themeColor="accent1"/>
            <w:sz w:val="24"/>
            <w:szCs w:val="24"/>
          </w:rPr>
          <w:t>53</w:t>
        </w:r>
        <w:r w:rsidRPr="00474763">
          <w:rPr>
            <w:color w:val="4F81BD" w:themeColor="accent1"/>
            <w:sz w:val="24"/>
            <w:szCs w:val="24"/>
          </w:rPr>
          <w:fldChar w:fldCharType="end"/>
        </w:r>
      </w:sdtContent>
    </w:sdt>
  </w:p>
  <w:p w:rsidR="001B1171" w:rsidRPr="00576F9C" w:rsidRDefault="001B1171" w:rsidP="00576F9C">
    <w:pPr>
      <w:pStyle w:val="Footer"/>
      <w:tabs>
        <w:tab w:val="left" w:pos="7217"/>
      </w:tabs>
      <w:spacing w:line="120" w:lineRule="atLeast"/>
      <w:jc w:val="right"/>
      <w:rPr>
        <w:color w:val="4F81BD" w:themeColor="accent1"/>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171" w:rsidRDefault="001B1171" w:rsidP="001C4C95">
      <w:pPr>
        <w:spacing w:before="0" w:after="0"/>
      </w:pPr>
      <w:r>
        <w:separator/>
      </w:r>
    </w:p>
  </w:footnote>
  <w:footnote w:type="continuationSeparator" w:id="0">
    <w:p w:rsidR="001B1171" w:rsidRDefault="001B1171" w:rsidP="001C4C95">
      <w:pPr>
        <w:spacing w:before="0" w:after="0"/>
      </w:pPr>
      <w:r>
        <w:continuationSeparator/>
      </w:r>
    </w:p>
  </w:footnote>
  <w:footnote w:id="1">
    <w:p w:rsidR="001B1171" w:rsidRPr="006919FF" w:rsidRDefault="001B1171" w:rsidP="0044008A">
      <w:pPr>
        <w:pStyle w:val="FootnoteText"/>
        <w:rPr>
          <w:sz w:val="18"/>
          <w:szCs w:val="18"/>
        </w:rPr>
      </w:pPr>
      <w:r w:rsidRPr="006919FF">
        <w:rPr>
          <w:rStyle w:val="FootnoteReference"/>
          <w:sz w:val="18"/>
          <w:szCs w:val="18"/>
        </w:rPr>
        <w:footnoteRef/>
      </w:r>
      <w:r w:rsidRPr="006919FF">
        <w:rPr>
          <w:sz w:val="18"/>
          <w:szCs w:val="18"/>
        </w:rPr>
        <w:t xml:space="preserve"> Subordinate legislation cannot alter anything in the Act under which they are made, unless the Act expressly authorises a subordinate instrument to do so. However, in practice, this is a power that is seldom conferred and is not considered desirable.</w:t>
      </w:r>
    </w:p>
  </w:footnote>
  <w:footnote w:id="2">
    <w:p w:rsidR="001B1171" w:rsidRPr="0080086A" w:rsidRDefault="001B1171" w:rsidP="00605D8D">
      <w:pPr>
        <w:pStyle w:val="FootnoteText"/>
        <w:rPr>
          <w:sz w:val="18"/>
          <w:szCs w:val="18"/>
        </w:rPr>
      </w:pPr>
      <w:r w:rsidRPr="0080086A">
        <w:rPr>
          <w:rStyle w:val="FootnoteReference"/>
          <w:sz w:val="18"/>
          <w:szCs w:val="18"/>
        </w:rPr>
        <w:footnoteRef/>
      </w:r>
      <w:r w:rsidRPr="0080086A">
        <w:rPr>
          <w:sz w:val="18"/>
          <w:szCs w:val="18"/>
        </w:rPr>
        <w:t xml:space="preserve"> There are limited exemptions, as detailed in Section 1.5.2 of this toolkit.</w:t>
      </w:r>
    </w:p>
  </w:footnote>
  <w:footnote w:id="3">
    <w:p w:rsidR="001B1171" w:rsidRPr="0080086A" w:rsidRDefault="001B1171" w:rsidP="00605D8D">
      <w:pPr>
        <w:pStyle w:val="FootnoteText"/>
        <w:rPr>
          <w:sz w:val="18"/>
          <w:szCs w:val="18"/>
        </w:rPr>
      </w:pPr>
      <w:r w:rsidRPr="0080086A">
        <w:rPr>
          <w:rStyle w:val="FootnoteReference"/>
          <w:sz w:val="18"/>
          <w:szCs w:val="18"/>
        </w:rPr>
        <w:footnoteRef/>
      </w:r>
      <w:r w:rsidRPr="0080086A">
        <w:rPr>
          <w:sz w:val="18"/>
          <w:szCs w:val="18"/>
        </w:rPr>
        <w:t xml:space="preserve"> Where consultants are used to prepare or assist in the preparation of </w:t>
      </w:r>
      <w:proofErr w:type="gramStart"/>
      <w:r w:rsidRPr="0080086A">
        <w:rPr>
          <w:sz w:val="18"/>
          <w:szCs w:val="18"/>
        </w:rPr>
        <w:t>an</w:t>
      </w:r>
      <w:proofErr w:type="gramEnd"/>
      <w:r w:rsidRPr="0080086A">
        <w:rPr>
          <w:sz w:val="18"/>
          <w:szCs w:val="18"/>
        </w:rPr>
        <w:t xml:space="preserve"> LIAs or RISs, they should be engaged according to the policies concerning the engagement and management of consultants, issued by the Victorian Government Purchasing Board. </w:t>
      </w:r>
    </w:p>
  </w:footnote>
  <w:footnote w:id="4">
    <w:p w:rsidR="001B1171" w:rsidRPr="00A516C8" w:rsidRDefault="001B1171" w:rsidP="00560D9F">
      <w:pPr>
        <w:pStyle w:val="FootnoteText"/>
        <w:rPr>
          <w:sz w:val="18"/>
          <w:szCs w:val="18"/>
        </w:rPr>
      </w:pPr>
      <w:r w:rsidRPr="00A516C8">
        <w:rPr>
          <w:rStyle w:val="FootnoteReference"/>
          <w:sz w:val="18"/>
          <w:szCs w:val="18"/>
        </w:rPr>
        <w:footnoteRef/>
      </w:r>
      <w:r w:rsidRPr="00A516C8">
        <w:rPr>
          <w:sz w:val="18"/>
          <w:szCs w:val="18"/>
        </w:rPr>
        <w:t xml:space="preserve"> The SLA Guidelines state this indicative threshold may be reviewed from time to time.</w:t>
      </w:r>
    </w:p>
  </w:footnote>
  <w:footnote w:id="5">
    <w:p w:rsidR="001B1171" w:rsidRPr="00A516C8" w:rsidRDefault="001B1171" w:rsidP="00605D8D">
      <w:pPr>
        <w:pStyle w:val="FootnoteText"/>
        <w:rPr>
          <w:sz w:val="18"/>
          <w:szCs w:val="18"/>
        </w:rPr>
      </w:pPr>
      <w:r w:rsidRPr="00A516C8">
        <w:rPr>
          <w:rStyle w:val="FootnoteReference"/>
          <w:sz w:val="18"/>
          <w:szCs w:val="18"/>
        </w:rPr>
        <w:footnoteRef/>
      </w:r>
      <w:r w:rsidRPr="00A516C8">
        <w:rPr>
          <w:sz w:val="18"/>
          <w:szCs w:val="18"/>
        </w:rPr>
        <w:t xml:space="preserve"> Exposure drafts are sometimes used to seek feedback from stakeholders, test implementation, check any unanticipated impacts of the proposed legislation etc.</w:t>
      </w:r>
    </w:p>
  </w:footnote>
  <w:footnote w:id="6">
    <w:p w:rsidR="001B1171" w:rsidRDefault="001B1171" w:rsidP="00605D8D">
      <w:pPr>
        <w:pStyle w:val="FootnoteText"/>
      </w:pPr>
      <w:r w:rsidRPr="00A516C8">
        <w:rPr>
          <w:rStyle w:val="FootnoteReference"/>
          <w:sz w:val="18"/>
          <w:szCs w:val="18"/>
        </w:rPr>
        <w:footnoteRef/>
      </w:r>
      <w:r w:rsidRPr="00A516C8">
        <w:rPr>
          <w:sz w:val="18"/>
          <w:szCs w:val="18"/>
        </w:rPr>
        <w:t xml:space="preserve"> There may be advantages in undertaking a national impact assessment because the resources and expertise can be pooled with counterparts in other jurisdictions dealing with similar issues. More details about the COAG/national RIS process can be found on the Office of Best Practice Regulation website at</w:t>
      </w:r>
      <w:r>
        <w:rPr>
          <w:sz w:val="18"/>
          <w:szCs w:val="18"/>
        </w:rPr>
        <w:t xml:space="preserve"> </w:t>
      </w:r>
      <w:r w:rsidRPr="00D16A87">
        <w:rPr>
          <w:sz w:val="18"/>
          <w:szCs w:val="18"/>
        </w:rPr>
        <w:t>http://ris.dpmc.gov.au/</w:t>
      </w:r>
      <w:hyperlink w:history="1"/>
    </w:p>
  </w:footnote>
  <w:footnote w:id="7">
    <w:p w:rsidR="001B1171" w:rsidRPr="00A516C8" w:rsidRDefault="001B1171" w:rsidP="00605D8D">
      <w:pPr>
        <w:pStyle w:val="FootnoteText"/>
        <w:rPr>
          <w:sz w:val="18"/>
          <w:szCs w:val="18"/>
        </w:rPr>
      </w:pPr>
      <w:r w:rsidRPr="00A516C8">
        <w:rPr>
          <w:rStyle w:val="FootnoteReference"/>
          <w:sz w:val="18"/>
          <w:szCs w:val="18"/>
        </w:rPr>
        <w:footnoteRef/>
      </w:r>
      <w:r w:rsidRPr="00A516C8">
        <w:rPr>
          <w:sz w:val="18"/>
          <w:szCs w:val="18"/>
        </w:rPr>
        <w:t xml:space="preserve"> </w:t>
      </w:r>
      <w:r w:rsidRPr="00A516C8">
        <w:rPr>
          <w:sz w:val="18"/>
          <w:szCs w:val="18"/>
          <w:lang w:val="en-US"/>
        </w:rPr>
        <w:t>Section </w:t>
      </w:r>
      <w:r w:rsidRPr="00A516C8">
        <w:rPr>
          <w:sz w:val="18"/>
          <w:szCs w:val="18"/>
          <w:lang w:eastAsia="en-US"/>
        </w:rPr>
        <w:t>1.</w:t>
      </w:r>
      <w:r>
        <w:rPr>
          <w:sz w:val="18"/>
          <w:szCs w:val="18"/>
          <w:lang w:eastAsia="en-US"/>
        </w:rPr>
        <w:t>5</w:t>
      </w:r>
      <w:r w:rsidRPr="00A516C8">
        <w:rPr>
          <w:sz w:val="18"/>
          <w:szCs w:val="18"/>
          <w:lang w:val="en-US"/>
        </w:rPr>
        <w:t xml:space="preserve">.4 below discusses other reasons why consultation may be beneficial. </w:t>
      </w:r>
    </w:p>
  </w:footnote>
  <w:footnote w:id="8">
    <w:p w:rsidR="001B1171" w:rsidRDefault="001B1171" w:rsidP="00605D8D">
      <w:pPr>
        <w:pStyle w:val="FootnoteText"/>
      </w:pPr>
      <w:r>
        <w:rPr>
          <w:rStyle w:val="FootnoteReference"/>
        </w:rPr>
        <w:footnoteRef/>
      </w:r>
      <w:r>
        <w:t xml:space="preserve"> </w:t>
      </w:r>
      <w:r w:rsidRPr="005B680F">
        <w:rPr>
          <w:lang w:val="en-US"/>
        </w:rPr>
        <w:t>Attaching the</w:t>
      </w:r>
      <w:r>
        <w:rPr>
          <w:lang w:val="en-US"/>
        </w:rPr>
        <w:t xml:space="preserve"> LIA</w:t>
      </w:r>
      <w:r w:rsidRPr="005B680F">
        <w:rPr>
          <w:lang w:val="en-US"/>
        </w:rPr>
        <w:t xml:space="preserve"> at the earliest possible stage of the process is consistent with the role of</w:t>
      </w:r>
      <w:r>
        <w:rPr>
          <w:lang w:val="en-US"/>
        </w:rPr>
        <w:t xml:space="preserve"> LIA</w:t>
      </w:r>
      <w:r w:rsidRPr="005B680F">
        <w:rPr>
          <w:lang w:val="en-US"/>
        </w:rPr>
        <w:t>s in informing Cabinet decision</w:t>
      </w:r>
      <w:r>
        <w:rPr>
          <w:lang w:val="en-US"/>
        </w:rPr>
        <w:noBreakHyphen/>
      </w:r>
      <w:r w:rsidRPr="005B680F">
        <w:rPr>
          <w:lang w:val="en-US"/>
        </w:rPr>
        <w:t>making.</w:t>
      </w:r>
    </w:p>
  </w:footnote>
  <w:footnote w:id="9">
    <w:p w:rsidR="001B1171" w:rsidRPr="00A516C8" w:rsidRDefault="001B1171" w:rsidP="00605D8D">
      <w:pPr>
        <w:pStyle w:val="FootnoteText"/>
        <w:rPr>
          <w:sz w:val="18"/>
          <w:szCs w:val="18"/>
        </w:rPr>
      </w:pPr>
      <w:r w:rsidRPr="00A516C8">
        <w:rPr>
          <w:rStyle w:val="FootnoteReference"/>
          <w:sz w:val="18"/>
          <w:szCs w:val="18"/>
        </w:rPr>
        <w:footnoteRef/>
      </w:r>
      <w:r w:rsidRPr="00A516C8">
        <w:rPr>
          <w:sz w:val="18"/>
          <w:szCs w:val="18"/>
        </w:rPr>
        <w:t xml:space="preserve"> The analysis undertaken as part of the RIS process and consultation with relevant parties may demonstrate that a non</w:t>
      </w:r>
      <w:r w:rsidRPr="00A516C8">
        <w:rPr>
          <w:sz w:val="18"/>
          <w:szCs w:val="18"/>
        </w:rPr>
        <w:noBreakHyphen/>
        <w:t xml:space="preserve">regulatory response is the best solution to address the identified problem. If this is the case, the need to submit a RIS is clearly eliminated. </w:t>
      </w:r>
    </w:p>
  </w:footnote>
  <w:footnote w:id="10">
    <w:p w:rsidR="001B1171" w:rsidRPr="00A516C8" w:rsidRDefault="001B1171">
      <w:pPr>
        <w:pStyle w:val="FootnoteText"/>
        <w:rPr>
          <w:sz w:val="18"/>
          <w:szCs w:val="18"/>
        </w:rPr>
      </w:pPr>
      <w:r w:rsidRPr="00A516C8">
        <w:rPr>
          <w:rStyle w:val="FootnoteReference"/>
          <w:sz w:val="18"/>
          <w:szCs w:val="18"/>
        </w:rPr>
        <w:footnoteRef/>
      </w:r>
      <w:r w:rsidRPr="00A516C8">
        <w:rPr>
          <w:sz w:val="18"/>
          <w:szCs w:val="18"/>
        </w:rPr>
        <w:t xml:space="preserve"> The SLA was amended in 2010 to require the process for statutory rules to apply to a wider range of legislative instruments that were not previously subject to scrutiny. The effect of these amendments is to ensure that a fuller range of government</w:t>
      </w:r>
      <w:r w:rsidRPr="00A516C8">
        <w:rPr>
          <w:sz w:val="18"/>
          <w:szCs w:val="18"/>
        </w:rPr>
        <w:noBreakHyphen/>
        <w:t>imposed instruments that place a significant economic or social burden on the community are subject to rigorous analytical assessment and public scrutiny.</w:t>
      </w:r>
    </w:p>
  </w:footnote>
  <w:footnote w:id="11">
    <w:p w:rsidR="001B1171" w:rsidRPr="00A516C8" w:rsidRDefault="001B1171" w:rsidP="00303C4C">
      <w:pPr>
        <w:pStyle w:val="FootnoteText"/>
        <w:rPr>
          <w:sz w:val="18"/>
          <w:szCs w:val="18"/>
        </w:rPr>
      </w:pPr>
      <w:r w:rsidRPr="00A516C8">
        <w:rPr>
          <w:rStyle w:val="FootnoteReference"/>
          <w:sz w:val="18"/>
          <w:szCs w:val="18"/>
        </w:rPr>
        <w:footnoteRef/>
      </w:r>
      <w:r w:rsidRPr="00A516C8">
        <w:rPr>
          <w:sz w:val="18"/>
          <w:szCs w:val="18"/>
        </w:rPr>
        <w:t xml:space="preserve"> The </w:t>
      </w:r>
      <w:r w:rsidRPr="00A516C8">
        <w:rPr>
          <w:i/>
          <w:sz w:val="18"/>
          <w:szCs w:val="18"/>
        </w:rPr>
        <w:t xml:space="preserve">Subordinate Legislation Act 1994 </w:t>
      </w:r>
      <w:r w:rsidRPr="00A516C8">
        <w:rPr>
          <w:sz w:val="18"/>
          <w:szCs w:val="18"/>
        </w:rPr>
        <w:t>allows the creation of regulations exempting certain subordinate legislation from the operation of the Act. See</w:t>
      </w:r>
      <w:r w:rsidRPr="00A516C8">
        <w:rPr>
          <w:i/>
          <w:sz w:val="18"/>
          <w:szCs w:val="18"/>
        </w:rPr>
        <w:t xml:space="preserve"> </w:t>
      </w:r>
      <w:r w:rsidRPr="00A516C8">
        <w:rPr>
          <w:sz w:val="18"/>
          <w:szCs w:val="18"/>
        </w:rPr>
        <w:t>section 4 for statutory rules and section 4A for legislative instruments.</w:t>
      </w:r>
    </w:p>
  </w:footnote>
  <w:footnote w:id="12">
    <w:p w:rsidR="001B1171" w:rsidRDefault="001B1171" w:rsidP="00604E54">
      <w:pPr>
        <w:pStyle w:val="FootnoteText"/>
      </w:pPr>
      <w:r w:rsidRPr="00A516C8">
        <w:rPr>
          <w:rStyle w:val="FootnoteReference"/>
          <w:sz w:val="18"/>
          <w:szCs w:val="18"/>
        </w:rPr>
        <w:footnoteRef/>
      </w:r>
      <w:r w:rsidRPr="00A516C8">
        <w:rPr>
          <w:sz w:val="18"/>
          <w:szCs w:val="18"/>
        </w:rPr>
        <w:t xml:space="preserve"> These refer to ‘housekeeping’ changes that clarify or correct a provision, without changing procedural requirements (e.g. replacing an obsolete definition/reference, revising opening times for government offices or prescribing addresses for service).</w:t>
      </w:r>
    </w:p>
  </w:footnote>
  <w:footnote w:id="13">
    <w:p w:rsidR="001B1171" w:rsidRPr="00A516C8" w:rsidRDefault="001B1171" w:rsidP="00604E54">
      <w:pPr>
        <w:pStyle w:val="FootnoteText"/>
        <w:rPr>
          <w:sz w:val="18"/>
          <w:szCs w:val="18"/>
        </w:rPr>
      </w:pPr>
      <w:r w:rsidRPr="00A516C8">
        <w:rPr>
          <w:rStyle w:val="FootnoteReference"/>
          <w:sz w:val="18"/>
          <w:szCs w:val="18"/>
        </w:rPr>
        <w:footnoteRef/>
      </w:r>
      <w:r w:rsidRPr="00A516C8">
        <w:rPr>
          <w:sz w:val="18"/>
          <w:szCs w:val="18"/>
        </w:rPr>
        <w:t xml:space="preserve"> These refer to ‘housekeeping’ changes that clarify or correct a provision, without changing procedural requirements (e.g. replacing an obsolete definition/reference, revising opening times for government offices or prescribing addresses for service).</w:t>
      </w:r>
    </w:p>
  </w:footnote>
  <w:footnote w:id="14">
    <w:p w:rsidR="001B1171" w:rsidRPr="00A516C8" w:rsidRDefault="001B1171" w:rsidP="00605D8D">
      <w:pPr>
        <w:pStyle w:val="FootnoteText"/>
        <w:rPr>
          <w:sz w:val="18"/>
          <w:szCs w:val="18"/>
        </w:rPr>
      </w:pPr>
      <w:r w:rsidRPr="00A516C8">
        <w:rPr>
          <w:rStyle w:val="FootnoteReference"/>
          <w:sz w:val="18"/>
          <w:szCs w:val="18"/>
        </w:rPr>
        <w:footnoteRef/>
      </w:r>
      <w:r w:rsidRPr="00A516C8">
        <w:rPr>
          <w:sz w:val="18"/>
          <w:szCs w:val="18"/>
        </w:rPr>
        <w:t xml:space="preserve"> There may be advantages in undertaking a national impact assessment because the resources and expertise can be pooled with counterparts in other jurisdictions dealing with similar issues. More details about the COAG/national RIS process can be found on the Office of Best Practice Regulation website at </w:t>
      </w:r>
      <w:r w:rsidRPr="00C66CA0">
        <w:rPr>
          <w:sz w:val="18"/>
          <w:szCs w:val="18"/>
        </w:rPr>
        <w:t>http://ris.dpmc.gov.au/</w:t>
      </w:r>
      <w:r w:rsidRPr="00A516C8">
        <w:rPr>
          <w:sz w:val="18"/>
          <w:szCs w:val="18"/>
        </w:rPr>
        <w:t xml:space="preserve">. </w:t>
      </w:r>
    </w:p>
  </w:footnote>
  <w:footnote w:id="15">
    <w:p w:rsidR="001B1171" w:rsidRPr="00A516C8" w:rsidRDefault="001B1171" w:rsidP="00605D8D">
      <w:pPr>
        <w:pStyle w:val="FootnoteText"/>
        <w:rPr>
          <w:sz w:val="18"/>
          <w:szCs w:val="18"/>
        </w:rPr>
      </w:pPr>
      <w:r w:rsidRPr="00A516C8">
        <w:rPr>
          <w:rStyle w:val="FootnoteReference"/>
          <w:sz w:val="18"/>
          <w:szCs w:val="18"/>
        </w:rPr>
        <w:footnoteRef/>
      </w:r>
      <w:r w:rsidRPr="00A516C8">
        <w:rPr>
          <w:sz w:val="18"/>
          <w:szCs w:val="18"/>
        </w:rPr>
        <w:t xml:space="preserve"> Scrutiny of Acts and Regulations Committee, August 2012, </w:t>
      </w:r>
      <w:r w:rsidRPr="00A516C8">
        <w:rPr>
          <w:i/>
          <w:sz w:val="18"/>
          <w:szCs w:val="18"/>
        </w:rPr>
        <w:t>Annual Review 2011, Regulations 2011</w:t>
      </w:r>
      <w:r w:rsidRPr="00A516C8">
        <w:rPr>
          <w:sz w:val="18"/>
          <w:szCs w:val="18"/>
        </w:rPr>
        <w:t xml:space="preserve">, page 11. </w:t>
      </w:r>
    </w:p>
  </w:footnote>
  <w:footnote w:id="16">
    <w:p w:rsidR="001B1171" w:rsidRPr="00A516C8" w:rsidRDefault="001B1171" w:rsidP="00605D8D">
      <w:pPr>
        <w:pStyle w:val="FootnoteText"/>
        <w:rPr>
          <w:sz w:val="18"/>
          <w:szCs w:val="18"/>
        </w:rPr>
      </w:pPr>
      <w:r w:rsidRPr="00A516C8">
        <w:rPr>
          <w:rStyle w:val="FootnoteReference"/>
          <w:sz w:val="18"/>
          <w:szCs w:val="18"/>
        </w:rPr>
        <w:footnoteRef/>
      </w:r>
      <w:r w:rsidRPr="00A516C8">
        <w:rPr>
          <w:sz w:val="18"/>
          <w:szCs w:val="18"/>
        </w:rPr>
        <w:t xml:space="preserve"> The ‘final’ RIS is defined as the version that the relevant government department/agency considers to have addressed all the issues raised by the </w:t>
      </w:r>
      <w:r>
        <w:rPr>
          <w:sz w:val="18"/>
          <w:szCs w:val="18"/>
        </w:rPr>
        <w:t>Commissioner</w:t>
      </w:r>
      <w:r w:rsidRPr="00A516C8">
        <w:rPr>
          <w:sz w:val="18"/>
          <w:szCs w:val="18"/>
        </w:rPr>
        <w:t xml:space="preserve"> in its penultimate version, and where the drafting of the statutory rule has been settled by the Office of the Chief Parliamentary Counsel. </w:t>
      </w:r>
    </w:p>
  </w:footnote>
  <w:footnote w:id="17">
    <w:p w:rsidR="001B1171" w:rsidRPr="00644151" w:rsidRDefault="001B1171" w:rsidP="00605D8D">
      <w:pPr>
        <w:pStyle w:val="FootnoteText"/>
        <w:rPr>
          <w:sz w:val="18"/>
          <w:szCs w:val="18"/>
        </w:rPr>
      </w:pPr>
      <w:r w:rsidRPr="00644151">
        <w:rPr>
          <w:rStyle w:val="FootnoteReference"/>
          <w:sz w:val="18"/>
          <w:szCs w:val="18"/>
        </w:rPr>
        <w:footnoteRef/>
      </w:r>
      <w:r w:rsidRPr="00644151">
        <w:rPr>
          <w:sz w:val="18"/>
          <w:szCs w:val="18"/>
        </w:rPr>
        <w:t xml:space="preserve"> In addition to the considerations for the RIS process, departments and agencies may need to be allocate time for training and/or informing affected parties about how to comply with new regulations. The length of time to perform this task will clearly depend upon the complexity of the proposals, but could take several months. This is discussed further in the Victorian Guide to Regulation.</w:t>
      </w:r>
    </w:p>
  </w:footnote>
  <w:footnote w:id="18">
    <w:p w:rsidR="001B1171" w:rsidRDefault="001B1171">
      <w:pPr>
        <w:pStyle w:val="FootnoteText"/>
      </w:pPr>
      <w:r w:rsidRPr="00644151">
        <w:rPr>
          <w:rStyle w:val="FootnoteReference"/>
          <w:sz w:val="18"/>
          <w:szCs w:val="18"/>
        </w:rPr>
        <w:footnoteRef/>
      </w:r>
      <w:r w:rsidRPr="00644151">
        <w:rPr>
          <w:sz w:val="18"/>
          <w:szCs w:val="18"/>
        </w:rPr>
        <w:t xml:space="preserve"> For further information about the regulatory drafting process, please refer to the OCPC’s Notes for Guidance on the Preparation of Statutory Rules (available at www.legislation.vic.gov.au).</w:t>
      </w:r>
    </w:p>
  </w:footnote>
  <w:footnote w:id="19">
    <w:p w:rsidR="001B1171" w:rsidRPr="00644151" w:rsidRDefault="001B1171" w:rsidP="00605D8D">
      <w:pPr>
        <w:pStyle w:val="FootnoteText"/>
        <w:rPr>
          <w:sz w:val="18"/>
          <w:szCs w:val="18"/>
        </w:rPr>
      </w:pPr>
      <w:r w:rsidRPr="00644151">
        <w:rPr>
          <w:rStyle w:val="FootnoteReference"/>
          <w:sz w:val="18"/>
          <w:szCs w:val="18"/>
        </w:rPr>
        <w:footnoteRef/>
      </w:r>
      <w:r w:rsidRPr="00644151">
        <w:rPr>
          <w:sz w:val="18"/>
          <w:szCs w:val="18"/>
        </w:rPr>
        <w:t xml:space="preserve"> An example of an exemption is when statutory rules are being extended that would otherwise sunset under the </w:t>
      </w:r>
      <w:r w:rsidRPr="00644151">
        <w:rPr>
          <w:i/>
          <w:sz w:val="18"/>
          <w:szCs w:val="18"/>
        </w:rPr>
        <w:t>Subordinate Legislation Act 1994</w:t>
      </w:r>
      <w:r w:rsidRPr="00644151">
        <w:rPr>
          <w:sz w:val="18"/>
          <w:szCs w:val="18"/>
        </w:rPr>
        <w:t>.</w:t>
      </w:r>
    </w:p>
  </w:footnote>
  <w:footnote w:id="20">
    <w:p w:rsidR="001B1171" w:rsidRDefault="001B1171" w:rsidP="00605D8D">
      <w:pPr>
        <w:pStyle w:val="FootnoteText"/>
      </w:pPr>
      <w:r>
        <w:rPr>
          <w:rStyle w:val="FootnoteReference"/>
        </w:rPr>
        <w:footnoteRef/>
      </w:r>
      <w:r>
        <w:t xml:space="preserve"> Section 3 of the SLA contains a more detailed definition of the term ‘statutory rule’.</w:t>
      </w:r>
    </w:p>
  </w:footnote>
  <w:footnote w:id="21">
    <w:p w:rsidR="001B1171" w:rsidRPr="008B2D65" w:rsidRDefault="001B1171" w:rsidP="00605D8D">
      <w:pPr>
        <w:pStyle w:val="FootnoteText"/>
        <w:rPr>
          <w:sz w:val="18"/>
          <w:szCs w:val="18"/>
        </w:rPr>
      </w:pPr>
      <w:r w:rsidRPr="008B2D65">
        <w:rPr>
          <w:rStyle w:val="FootnoteReference"/>
          <w:sz w:val="18"/>
          <w:szCs w:val="18"/>
        </w:rPr>
        <w:footnoteRef/>
      </w:r>
      <w:r w:rsidRPr="008B2D65">
        <w:rPr>
          <w:sz w:val="18"/>
          <w:szCs w:val="18"/>
        </w:rPr>
        <w:t xml:space="preserve"> An example certificate is provided below. Depending on the nature of the exemption, a consultation certificate may not always be necessary. In such cases, it is good practice for the explanatory memorandum prepared for the statutory rule to clearly state that the consultation was not required in the circumstances. The Premier’s Guidelines issued under section 26 of the SLA provide more detail on consultation requirements.</w:t>
      </w:r>
    </w:p>
  </w:footnote>
  <w:footnote w:id="22">
    <w:p w:rsidR="001B1171" w:rsidRPr="008B2D65" w:rsidRDefault="001B1171" w:rsidP="00605D8D">
      <w:pPr>
        <w:pStyle w:val="FootnoteText"/>
        <w:rPr>
          <w:sz w:val="18"/>
          <w:szCs w:val="18"/>
        </w:rPr>
      </w:pPr>
      <w:r w:rsidRPr="008B2D65">
        <w:rPr>
          <w:rStyle w:val="FootnoteReference"/>
          <w:sz w:val="18"/>
          <w:szCs w:val="18"/>
        </w:rPr>
        <w:footnoteRef/>
      </w:r>
      <w:r w:rsidRPr="008B2D65">
        <w:rPr>
          <w:sz w:val="18"/>
          <w:szCs w:val="18"/>
        </w:rPr>
        <w:t xml:space="preserve"> The Department of Justice’s Infringements System Oversight Unit is the contact point for consultation on all infringement offence proposals. The Unit should be contacted as early on in the development of the proposal as possible. It should be contacted when new infringement offences are proposed, when higher infringement penalties for existing offences are being considered and when existing infringement offences are being reviewed or re</w:t>
      </w:r>
      <w:r w:rsidRPr="008B2D65">
        <w:rPr>
          <w:sz w:val="18"/>
          <w:szCs w:val="18"/>
        </w:rPr>
        <w:noBreakHyphen/>
        <w:t>made. Section 6A also provides for the situation where the Minister wishes to certify that the requirements of the guidelines have not been met but that the statutory rule should be made despite not meeting those requirements. It is expected that this option will be rarely exercised by Ministers. Any certification to this effect should be justified in detail by the Minister in the certificate.</w:t>
      </w:r>
    </w:p>
  </w:footnote>
  <w:footnote w:id="23">
    <w:p w:rsidR="001B1171" w:rsidRDefault="001B1171" w:rsidP="00605D8D">
      <w:pPr>
        <w:pStyle w:val="FootnoteText"/>
        <w:ind w:left="792"/>
      </w:pPr>
      <w:r>
        <w:rPr>
          <w:rStyle w:val="FootnoteReference"/>
        </w:rPr>
        <w:sym w:font="Symbol" w:char="0023"/>
      </w:r>
      <w:r>
        <w:t xml:space="preserve"> </w:t>
      </w:r>
      <w:proofErr w:type="gramStart"/>
      <w:r>
        <w:t>Applies as of 1 July 2011.</w:t>
      </w:r>
      <w:proofErr w:type="gramEnd"/>
    </w:p>
  </w:footnote>
  <w:footnote w:id="24">
    <w:p w:rsidR="001B1171" w:rsidRDefault="001B1171" w:rsidP="00605D8D">
      <w:pPr>
        <w:pStyle w:val="FootnoteText"/>
        <w:ind w:left="792"/>
      </w:pPr>
      <w:r>
        <w:rPr>
          <w:rStyle w:val="FootnoteReference"/>
        </w:rPr>
        <w:sym w:font="Symbol" w:char="002A"/>
      </w:r>
      <w:r>
        <w:t xml:space="preserve"> Note: this provision comes into effect on 1 July 2011.</w:t>
      </w:r>
    </w:p>
  </w:footnote>
  <w:footnote w:id="25">
    <w:p w:rsidR="001B1171" w:rsidRDefault="001B1171" w:rsidP="00605D8D">
      <w:pPr>
        <w:pStyle w:val="FootnoteText"/>
        <w:spacing w:before="40" w:after="40"/>
        <w:ind w:left="792"/>
      </w:pPr>
      <w:r>
        <w:rPr>
          <w:rStyle w:val="FootnoteReference"/>
        </w:rPr>
        <w:sym w:font="Symbol" w:char="0023"/>
      </w:r>
      <w:r>
        <w:t xml:space="preserve"> </w:t>
      </w:r>
      <w:proofErr w:type="gramStart"/>
      <w:r>
        <w:t>Applies as of 1 July 2011.</w:t>
      </w:r>
      <w:proofErr w:type="gramEnd"/>
    </w:p>
  </w:footnote>
  <w:footnote w:id="26">
    <w:p w:rsidR="001B1171" w:rsidRDefault="001B1171" w:rsidP="00605D8D">
      <w:pPr>
        <w:pStyle w:val="FootnoteText"/>
        <w:spacing w:before="40" w:after="40"/>
        <w:ind w:left="792"/>
      </w:pPr>
      <w:r>
        <w:rPr>
          <w:rStyle w:val="FootnoteReference"/>
        </w:rPr>
        <w:sym w:font="Symbol" w:char="002A"/>
      </w:r>
      <w:r>
        <w:t xml:space="preserve"> Note: this provision comes into effect on 1 July 2011.</w:t>
      </w:r>
    </w:p>
  </w:footnote>
  <w:footnote w:id="27">
    <w:p w:rsidR="001B1171" w:rsidRDefault="001B1171" w:rsidP="00584FDB">
      <w:pPr>
        <w:pStyle w:val="FootnoteText"/>
        <w:ind w:left="792"/>
      </w:pPr>
      <w:r>
        <w:rPr>
          <w:rStyle w:val="FootnoteReference"/>
        </w:rPr>
        <w:sym w:font="Symbol" w:char="0023"/>
      </w:r>
      <w:r>
        <w:t xml:space="preserve"> </w:t>
      </w:r>
      <w:proofErr w:type="gramStart"/>
      <w:r>
        <w:t>Applies as of 1 July 2011.</w:t>
      </w:r>
      <w:proofErr w:type="gramEnd"/>
    </w:p>
  </w:footnote>
  <w:footnote w:id="28">
    <w:p w:rsidR="001B1171" w:rsidRDefault="001B1171" w:rsidP="00584FDB">
      <w:pPr>
        <w:pStyle w:val="FootnoteText"/>
        <w:ind w:left="792"/>
      </w:pPr>
      <w:r>
        <w:rPr>
          <w:rStyle w:val="FootnoteReference"/>
        </w:rPr>
        <w:sym w:font="Symbol" w:char="002A"/>
      </w:r>
      <w:r>
        <w:t xml:space="preserve"> Note: this provision comes into effect on 1 July 2011.</w:t>
      </w:r>
    </w:p>
  </w:footnote>
  <w:footnote w:id="29">
    <w:p w:rsidR="001B1171" w:rsidRDefault="001B1171" w:rsidP="00605D8D">
      <w:pPr>
        <w:pStyle w:val="FootnoteText"/>
      </w:pPr>
      <w:r>
        <w:rPr>
          <w:rStyle w:val="FootnoteReference"/>
        </w:rPr>
        <w:sym w:font="Symbol" w:char="0023"/>
      </w:r>
      <w:r>
        <w:t xml:space="preserve"> </w:t>
      </w:r>
      <w:proofErr w:type="gramStart"/>
      <w:r>
        <w:t>Applies as of 1 July 2011.</w:t>
      </w:r>
      <w:proofErr w:type="gramEnd"/>
    </w:p>
  </w:footnote>
  <w:footnote w:id="30">
    <w:p w:rsidR="001B1171" w:rsidRDefault="001B1171" w:rsidP="00605D8D">
      <w:pPr>
        <w:pStyle w:val="FootnoteText"/>
        <w:spacing w:before="40" w:after="40"/>
        <w:ind w:left="792"/>
      </w:pPr>
      <w:r>
        <w:rPr>
          <w:rStyle w:val="FootnoteReference"/>
        </w:rPr>
        <w:sym w:font="Symbol" w:char="0023"/>
      </w:r>
      <w:r>
        <w:t xml:space="preserve"> </w:t>
      </w:r>
      <w:proofErr w:type="gramStart"/>
      <w:r>
        <w:t>Applies as of 1 July 2011.</w:t>
      </w:r>
      <w:proofErr w:type="gramEnd"/>
    </w:p>
    <w:p w:rsidR="001B1171" w:rsidRDefault="001B1171" w:rsidP="00605D8D">
      <w:pPr>
        <w:pStyle w:val="FootnoteText"/>
        <w:spacing w:before="40" w:after="40"/>
        <w:ind w:left="792"/>
      </w:pPr>
      <w:r>
        <w:t>* Note: this provision comes into effect on 1 July 2011.</w:t>
      </w:r>
    </w:p>
  </w:footnote>
  <w:footnote w:id="31">
    <w:p w:rsidR="001B1171" w:rsidRPr="00644151" w:rsidRDefault="001B1171" w:rsidP="00605D8D">
      <w:pPr>
        <w:pStyle w:val="FootnoteText"/>
        <w:rPr>
          <w:sz w:val="18"/>
          <w:szCs w:val="18"/>
        </w:rPr>
      </w:pPr>
      <w:r w:rsidRPr="00644151">
        <w:rPr>
          <w:rStyle w:val="FootnoteReference"/>
          <w:sz w:val="18"/>
          <w:szCs w:val="18"/>
        </w:rPr>
        <w:footnoteRef/>
      </w:r>
      <w:r w:rsidRPr="00644151">
        <w:rPr>
          <w:sz w:val="18"/>
          <w:szCs w:val="18"/>
        </w:rPr>
        <w:t xml:space="preserve"> Statutory rules and legislative instruments are generally subject to the requirements of the </w:t>
      </w:r>
      <w:r w:rsidRPr="00644151">
        <w:rPr>
          <w:i/>
          <w:sz w:val="18"/>
          <w:szCs w:val="18"/>
        </w:rPr>
        <w:t xml:space="preserve">Interpretation of Legislation Act 1984 </w:t>
      </w:r>
      <w:r w:rsidRPr="00644151">
        <w:rPr>
          <w:sz w:val="18"/>
          <w:szCs w:val="18"/>
        </w:rPr>
        <w:t>relating to subordinate instruments. See the definition of ‘subordinate instrument’ in section 38 of that Act.</w:t>
      </w:r>
    </w:p>
  </w:footnote>
  <w:footnote w:id="32">
    <w:p w:rsidR="001B1171" w:rsidRDefault="001B1171" w:rsidP="00605D8D">
      <w:pPr>
        <w:pStyle w:val="FootnoteText"/>
      </w:pPr>
      <w:r>
        <w:rPr>
          <w:rStyle w:val="FootnoteReference"/>
        </w:rPr>
        <w:footnoteRef/>
      </w:r>
      <w:r>
        <w:t xml:space="preserve">  See Regulation 5 of the Subordinate Legislation Regulations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171" w:rsidRDefault="001B11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171" w:rsidRDefault="001B1171" w:rsidP="00E8064C">
    <w:pPr>
      <w:pStyle w:val="Header"/>
      <w:tabs>
        <w:tab w:val="clear" w:pos="4320"/>
        <w:tab w:val="clear" w:pos="8640"/>
      </w:tabs>
      <w:ind w:right="-456"/>
      <w:jc w:val="right"/>
    </w:pPr>
    <w:r>
      <w:rPr>
        <w:noProof/>
      </w:rPr>
      <w:drawing>
        <wp:anchor distT="0" distB="0" distL="114300" distR="114300" simplePos="0" relativeHeight="251665408" behindDoc="1" locked="0" layoutInCell="1" allowOverlap="1" wp14:anchorId="09A53DD6" wp14:editId="23420214">
          <wp:simplePos x="0" y="0"/>
          <wp:positionH relativeFrom="column">
            <wp:posOffset>5196840</wp:posOffset>
          </wp:positionH>
          <wp:positionV relativeFrom="paragraph">
            <wp:posOffset>-176530</wp:posOffset>
          </wp:positionV>
          <wp:extent cx="944479" cy="788306"/>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479" cy="78830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171" w:rsidRDefault="001B11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19D0C67"/>
    <w:multiLevelType w:val="hybridMultilevel"/>
    <w:tmpl w:val="15CEF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1BC2819"/>
    <w:multiLevelType w:val="hybridMultilevel"/>
    <w:tmpl w:val="6D1414DE"/>
    <w:lvl w:ilvl="0" w:tplc="D69EE9EE">
      <w:start w:val="1"/>
      <w:numFmt w:val="lowerLetter"/>
      <w:pStyle w:val="ListNumbertable"/>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2330A9F"/>
    <w:multiLevelType w:val="hybridMultilevel"/>
    <w:tmpl w:val="3EE40872"/>
    <w:lvl w:ilvl="0" w:tplc="0C090001">
      <w:start w:val="1"/>
      <w:numFmt w:val="bullet"/>
      <w:lvlText w:val=""/>
      <w:lvlJc w:val="left"/>
      <w:pPr>
        <w:ind w:left="466" w:hanging="360"/>
      </w:pPr>
      <w:rPr>
        <w:rFonts w:ascii="Symbol" w:hAnsi="Symbol" w:hint="default"/>
      </w:rPr>
    </w:lvl>
    <w:lvl w:ilvl="1" w:tplc="0C090003">
      <w:start w:val="1"/>
      <w:numFmt w:val="bullet"/>
      <w:lvlText w:val="o"/>
      <w:lvlJc w:val="left"/>
      <w:pPr>
        <w:ind w:left="1186" w:hanging="360"/>
      </w:pPr>
      <w:rPr>
        <w:rFonts w:ascii="Courier New" w:hAnsi="Courier New" w:hint="default"/>
      </w:rPr>
    </w:lvl>
    <w:lvl w:ilvl="2" w:tplc="0C090005" w:tentative="1">
      <w:start w:val="1"/>
      <w:numFmt w:val="bullet"/>
      <w:lvlText w:val=""/>
      <w:lvlJc w:val="left"/>
      <w:pPr>
        <w:ind w:left="1906" w:hanging="360"/>
      </w:pPr>
      <w:rPr>
        <w:rFonts w:ascii="Wingdings" w:hAnsi="Wingdings" w:hint="default"/>
      </w:rPr>
    </w:lvl>
    <w:lvl w:ilvl="3" w:tplc="0C090001" w:tentative="1">
      <w:start w:val="1"/>
      <w:numFmt w:val="bullet"/>
      <w:lvlText w:val=""/>
      <w:lvlJc w:val="left"/>
      <w:pPr>
        <w:ind w:left="2626" w:hanging="360"/>
      </w:pPr>
      <w:rPr>
        <w:rFonts w:ascii="Symbol" w:hAnsi="Symbol" w:hint="default"/>
      </w:rPr>
    </w:lvl>
    <w:lvl w:ilvl="4" w:tplc="0C090003" w:tentative="1">
      <w:start w:val="1"/>
      <w:numFmt w:val="bullet"/>
      <w:lvlText w:val="o"/>
      <w:lvlJc w:val="left"/>
      <w:pPr>
        <w:ind w:left="3346" w:hanging="360"/>
      </w:pPr>
      <w:rPr>
        <w:rFonts w:ascii="Courier New" w:hAnsi="Courier New" w:hint="default"/>
      </w:rPr>
    </w:lvl>
    <w:lvl w:ilvl="5" w:tplc="0C090005" w:tentative="1">
      <w:start w:val="1"/>
      <w:numFmt w:val="bullet"/>
      <w:lvlText w:val=""/>
      <w:lvlJc w:val="left"/>
      <w:pPr>
        <w:ind w:left="4066" w:hanging="360"/>
      </w:pPr>
      <w:rPr>
        <w:rFonts w:ascii="Wingdings" w:hAnsi="Wingdings" w:hint="default"/>
      </w:rPr>
    </w:lvl>
    <w:lvl w:ilvl="6" w:tplc="0C090001" w:tentative="1">
      <w:start w:val="1"/>
      <w:numFmt w:val="bullet"/>
      <w:lvlText w:val=""/>
      <w:lvlJc w:val="left"/>
      <w:pPr>
        <w:ind w:left="4786" w:hanging="360"/>
      </w:pPr>
      <w:rPr>
        <w:rFonts w:ascii="Symbol" w:hAnsi="Symbol" w:hint="default"/>
      </w:rPr>
    </w:lvl>
    <w:lvl w:ilvl="7" w:tplc="0C090003" w:tentative="1">
      <w:start w:val="1"/>
      <w:numFmt w:val="bullet"/>
      <w:lvlText w:val="o"/>
      <w:lvlJc w:val="left"/>
      <w:pPr>
        <w:ind w:left="5506" w:hanging="360"/>
      </w:pPr>
      <w:rPr>
        <w:rFonts w:ascii="Courier New" w:hAnsi="Courier New" w:hint="default"/>
      </w:rPr>
    </w:lvl>
    <w:lvl w:ilvl="8" w:tplc="0C090005" w:tentative="1">
      <w:start w:val="1"/>
      <w:numFmt w:val="bullet"/>
      <w:lvlText w:val=""/>
      <w:lvlJc w:val="left"/>
      <w:pPr>
        <w:ind w:left="6226" w:hanging="360"/>
      </w:pPr>
      <w:rPr>
        <w:rFonts w:ascii="Wingdings" w:hAnsi="Wingdings" w:hint="default"/>
      </w:rPr>
    </w:lvl>
  </w:abstractNum>
  <w:abstractNum w:abstractNumId="6">
    <w:nsid w:val="0AC85590"/>
    <w:multiLevelType w:val="hybridMultilevel"/>
    <w:tmpl w:val="82569A52"/>
    <w:lvl w:ilvl="0" w:tplc="1FCAF072">
      <w:start w:val="1"/>
      <w:numFmt w:val="bullet"/>
      <w:lvlText w:val=""/>
      <w:lvlJc w:val="left"/>
      <w:pPr>
        <w:tabs>
          <w:tab w:val="num" w:pos="1080"/>
        </w:tabs>
        <w:ind w:left="1080" w:hanging="360"/>
      </w:pPr>
      <w:rPr>
        <w:rFonts w:ascii="Symbol" w:hAnsi="Symbol" w:hint="default"/>
        <w:color w:val="auto"/>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D441401"/>
    <w:multiLevelType w:val="multilevel"/>
    <w:tmpl w:val="7A6C046E"/>
    <w:lvl w:ilvl="0">
      <w:start w:val="1"/>
      <w:numFmt w:val="decimal"/>
      <w:lvlText w:val="%1."/>
      <w:lvlJc w:val="left"/>
      <w:pPr>
        <w:tabs>
          <w:tab w:val="num" w:pos="794"/>
        </w:tabs>
        <w:ind w:left="794" w:hanging="794"/>
      </w:pPr>
      <w:rPr>
        <w:rFonts w:ascii="Calibri" w:hAnsi="Calibri" w:hint="default"/>
        <w:b w:val="0"/>
        <w:i w:val="0"/>
        <w:color w:val="FFFFFF"/>
        <w:sz w:val="40"/>
        <w:szCs w:val="40"/>
      </w:rPr>
    </w:lvl>
    <w:lvl w:ilvl="1">
      <w:start w:val="1"/>
      <w:numFmt w:val="decimalZero"/>
      <w:pStyle w:val="Numbered"/>
      <w:lvlText w:val="%1.%2"/>
      <w:lvlJc w:val="left"/>
      <w:pPr>
        <w:tabs>
          <w:tab w:val="num" w:pos="1354"/>
        </w:tabs>
        <w:ind w:left="1354" w:hanging="562"/>
      </w:pPr>
      <w:rPr>
        <w:rFonts w:ascii="Calibri" w:hAnsi="Calibri" w:hint="default"/>
        <w:b w:val="0"/>
        <w:i w:val="0"/>
        <w:color w:val="auto"/>
      </w:rPr>
    </w:lvl>
    <w:lvl w:ilvl="2">
      <w:start w:val="1"/>
      <w:numFmt w:val="decimal"/>
      <w:lvlText w:val="%1.%2.%3"/>
      <w:lvlJc w:val="left"/>
      <w:pPr>
        <w:tabs>
          <w:tab w:val="num" w:pos="794"/>
        </w:tabs>
        <w:ind w:left="794" w:hanging="794"/>
      </w:pPr>
      <w:rPr>
        <w:rFonts w:ascii="Calibri" w:hAnsi="Calibri" w:hint="default"/>
        <w:b/>
        <w:i w:val="0"/>
        <w:color w:val="4D4D4D"/>
        <w:sz w:val="26"/>
      </w:rPr>
    </w:lvl>
    <w:lvl w:ilvl="3">
      <w:start w:val="1"/>
      <w:numFmt w:val="decimal"/>
      <w:suff w:val="nothing"/>
      <w:lvlText w:val=""/>
      <w:lvlJc w:val="left"/>
      <w:pPr>
        <w:ind w:left="794" w:firstLine="0"/>
      </w:pPr>
      <w:rPr>
        <w:rFonts w:ascii="Calibri" w:hAnsi="Calibri" w:hint="default"/>
        <w:b/>
        <w:i w:val="0"/>
        <w:color w:val="4D4D4D"/>
        <w:sz w:val="22"/>
      </w:rPr>
    </w:lvl>
    <w:lvl w:ilvl="4">
      <w:start w:val="1"/>
      <w:numFmt w:val="decimal"/>
      <w:suff w:val="nothing"/>
      <w:lvlText w:val=""/>
      <w:lvlJc w:val="left"/>
      <w:pPr>
        <w:ind w:left="794" w:firstLine="0"/>
      </w:pPr>
      <w:rPr>
        <w:rFonts w:ascii="Calibri" w:hAnsi="Calibri" w:hint="default"/>
        <w:b/>
        <w:i/>
        <w:color w:val="404040"/>
        <w:sz w:val="22"/>
      </w:rPr>
    </w:lvl>
    <w:lvl w:ilvl="5">
      <w:start w:val="1"/>
      <w:numFmt w:val="decimal"/>
      <w:suff w:val="nothing"/>
      <w:lvlText w:val=""/>
      <w:lvlJc w:val="left"/>
      <w:pPr>
        <w:ind w:left="794" w:firstLine="0"/>
      </w:pPr>
      <w:rPr>
        <w:rFonts w:ascii="Calibri" w:hAnsi="Calibri" w:hint="default"/>
        <w:b/>
        <w:i/>
        <w:color w:val="404040"/>
        <w:sz w:val="22"/>
      </w:rPr>
    </w:lvl>
    <w:lvl w:ilvl="6">
      <w:start w:val="1"/>
      <w:numFmt w:val="decimal"/>
      <w:suff w:val="nothing"/>
      <w:lvlText w:val=""/>
      <w:lvlJc w:val="left"/>
      <w:pPr>
        <w:ind w:left="794" w:firstLine="0"/>
      </w:pPr>
      <w:rPr>
        <w:rFonts w:ascii="Calibri" w:hAnsi="Calibri" w:hint="default"/>
        <w:b/>
        <w:i w:val="0"/>
        <w:color w:val="404040"/>
        <w:sz w:val="22"/>
      </w:rPr>
    </w:lvl>
    <w:lvl w:ilvl="7">
      <w:start w:val="1"/>
      <w:numFmt w:val="decimal"/>
      <w:suff w:val="nothing"/>
      <w:lvlText w:val=""/>
      <w:lvlJc w:val="left"/>
      <w:pPr>
        <w:ind w:left="794" w:firstLine="0"/>
      </w:pPr>
      <w:rPr>
        <w:rFonts w:ascii="Calibri" w:hAnsi="Calibri" w:hint="default"/>
        <w:b w:val="0"/>
        <w:i w:val="0"/>
        <w:color w:val="404040"/>
        <w:sz w:val="22"/>
      </w:rPr>
    </w:lvl>
    <w:lvl w:ilvl="8">
      <w:start w:val="1"/>
      <w:numFmt w:val="decimal"/>
      <w:suff w:val="nothing"/>
      <w:lvlText w:val=""/>
      <w:lvlJc w:val="left"/>
      <w:pPr>
        <w:ind w:left="794" w:firstLine="0"/>
      </w:pPr>
      <w:rPr>
        <w:rFonts w:ascii="Calibri" w:hAnsi="Calibri" w:hint="default"/>
        <w:b w:val="0"/>
        <w:i w:val="0"/>
        <w:color w:val="404040"/>
        <w:sz w:val="22"/>
      </w:rPr>
    </w:lvl>
  </w:abstractNum>
  <w:abstractNum w:abstractNumId="8">
    <w:nsid w:val="161C752B"/>
    <w:multiLevelType w:val="multilevel"/>
    <w:tmpl w:val="5D5E4A7C"/>
    <w:lvl w:ilvl="0">
      <w:start w:val="1"/>
      <w:numFmt w:val="decimal"/>
      <w:pStyle w:val="Heading1"/>
      <w:lvlText w:val="%1."/>
      <w:lvlJc w:val="left"/>
      <w:pPr>
        <w:tabs>
          <w:tab w:val="num" w:pos="794"/>
        </w:tabs>
        <w:ind w:left="794" w:hanging="794"/>
      </w:pPr>
      <w:rPr>
        <w:rFonts w:ascii="Calibri" w:hAnsi="Calibri" w:hint="default"/>
        <w:b/>
        <w:i w:val="0"/>
        <w:vanish w:val="0"/>
        <w:color w:val="87189D"/>
        <w:sz w:val="36"/>
        <w:szCs w:val="36"/>
      </w:rPr>
    </w:lvl>
    <w:lvl w:ilvl="1">
      <w:start w:val="1"/>
      <w:numFmt w:val="decimal"/>
      <w:pStyle w:val="Heading2"/>
      <w:lvlText w:val="%1.%2"/>
      <w:lvlJc w:val="left"/>
      <w:pPr>
        <w:tabs>
          <w:tab w:val="num" w:pos="794"/>
        </w:tabs>
        <w:ind w:left="794" w:hanging="794"/>
      </w:pPr>
      <w:rPr>
        <w:rFonts w:ascii="Calibri" w:hAnsi="Calibri" w:hint="default"/>
        <w:b/>
        <w:i w:val="0"/>
        <w:vanish w:val="0"/>
        <w:color w:val="004EA8"/>
        <w:sz w:val="26"/>
        <w:szCs w:val="26"/>
      </w:rPr>
    </w:lvl>
    <w:lvl w:ilvl="2">
      <w:start w:val="1"/>
      <w:numFmt w:val="decimal"/>
      <w:pStyle w:val="Heading3"/>
      <w:lvlText w:val="%1.%2.%3"/>
      <w:lvlJc w:val="left"/>
      <w:pPr>
        <w:tabs>
          <w:tab w:val="num" w:pos="1078"/>
        </w:tabs>
        <w:ind w:left="1078" w:hanging="794"/>
      </w:pPr>
      <w:rPr>
        <w:rFonts w:ascii="Calibri" w:hAnsi="Calibri" w:hint="default"/>
        <w:b w:val="0"/>
        <w:i w:val="0"/>
        <w:vanish w:val="0"/>
        <w:color w:val="004EA8"/>
        <w:sz w:val="26"/>
      </w:rPr>
    </w:lvl>
    <w:lvl w:ilvl="3">
      <w:start w:val="1"/>
      <w:numFmt w:val="decimal"/>
      <w:pStyle w:val="Heading4"/>
      <w:lvlText w:val="%1.%2.%3.%4"/>
      <w:lvlJc w:val="left"/>
      <w:pPr>
        <w:tabs>
          <w:tab w:val="num" w:pos="792"/>
        </w:tabs>
        <w:ind w:left="794" w:hanging="794"/>
      </w:pPr>
      <w:rPr>
        <w:rFonts w:ascii="Calibri" w:hAnsi="Calibri" w:hint="default"/>
        <w:b/>
        <w:i w:val="0"/>
        <w:vanish w:val="0"/>
        <w:color w:val="4D4D4D"/>
        <w:sz w:val="22"/>
      </w:rPr>
    </w:lvl>
    <w:lvl w:ilvl="4">
      <w:start w:val="1"/>
      <w:numFmt w:val="none"/>
      <w:pStyle w:val="Heading5"/>
      <w:suff w:val="nothing"/>
      <w:lvlText w:val="%5"/>
      <w:lvlJc w:val="left"/>
      <w:pPr>
        <w:ind w:left="794" w:firstLine="0"/>
      </w:pPr>
      <w:rPr>
        <w:rFonts w:ascii="Calibri" w:hAnsi="Calibri" w:hint="default"/>
        <w:b w:val="0"/>
        <w:i/>
        <w:vanish w:val="0"/>
        <w:color w:val="404040"/>
        <w:sz w:val="22"/>
      </w:rPr>
    </w:lvl>
    <w:lvl w:ilvl="5">
      <w:start w:val="1"/>
      <w:numFmt w:val="decimal"/>
      <w:pStyle w:val="Heading6"/>
      <w:suff w:val="nothing"/>
      <w:lvlText w:val=""/>
      <w:lvlJc w:val="left"/>
      <w:pPr>
        <w:ind w:left="794" w:firstLine="0"/>
      </w:pPr>
      <w:rPr>
        <w:rFonts w:ascii="Calibri" w:hAnsi="Calibri" w:hint="default"/>
        <w:b w:val="0"/>
        <w:i/>
        <w:vanish w:val="0"/>
        <w:color w:val="404040"/>
        <w:sz w:val="22"/>
      </w:rPr>
    </w:lvl>
    <w:lvl w:ilvl="6">
      <w:start w:val="1"/>
      <w:numFmt w:val="decimal"/>
      <w:pStyle w:val="Heading7"/>
      <w:suff w:val="nothing"/>
      <w:lvlText w:val=""/>
      <w:lvlJc w:val="left"/>
      <w:pPr>
        <w:ind w:left="794" w:firstLine="0"/>
      </w:pPr>
      <w:rPr>
        <w:rFonts w:ascii="Calibri" w:hAnsi="Calibri" w:hint="default"/>
        <w:b w:val="0"/>
        <w:i w:val="0"/>
        <w:vanish w:val="0"/>
        <w:color w:val="404040"/>
        <w:sz w:val="22"/>
      </w:rPr>
    </w:lvl>
    <w:lvl w:ilvl="7">
      <w:start w:val="1"/>
      <w:numFmt w:val="decimal"/>
      <w:pStyle w:val="Heading8"/>
      <w:suff w:val="nothing"/>
      <w:lvlText w:val=""/>
      <w:lvlJc w:val="left"/>
      <w:pPr>
        <w:ind w:left="794" w:firstLine="0"/>
      </w:pPr>
      <w:rPr>
        <w:rFonts w:ascii="Calibri" w:hAnsi="Calibri" w:hint="default"/>
        <w:b/>
        <w:i w:val="0"/>
        <w:vanish w:val="0"/>
        <w:color w:val="404040"/>
        <w:sz w:val="22"/>
      </w:rPr>
    </w:lvl>
    <w:lvl w:ilvl="8">
      <w:start w:val="1"/>
      <w:numFmt w:val="decimal"/>
      <w:pStyle w:val="Heading9"/>
      <w:suff w:val="nothing"/>
      <w:lvlText w:val=""/>
      <w:lvlJc w:val="left"/>
      <w:pPr>
        <w:ind w:left="794" w:firstLine="0"/>
      </w:pPr>
      <w:rPr>
        <w:rFonts w:ascii="Calibri" w:hAnsi="Calibri" w:hint="default"/>
        <w:b/>
        <w:i w:val="0"/>
        <w:vanish w:val="0"/>
        <w:color w:val="404040"/>
        <w:sz w:val="22"/>
      </w:rPr>
    </w:lvl>
  </w:abstractNum>
  <w:abstractNum w:abstractNumId="9">
    <w:nsid w:val="1C9F3F8E"/>
    <w:multiLevelType w:val="hybridMultilevel"/>
    <w:tmpl w:val="D15EB200"/>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0">
    <w:nsid w:val="1D6A1F9F"/>
    <w:multiLevelType w:val="hybridMultilevel"/>
    <w:tmpl w:val="06F8BDCC"/>
    <w:lvl w:ilvl="0" w:tplc="B2AE552A">
      <w:start w:val="1"/>
      <w:numFmt w:val="bullet"/>
      <w:pStyle w:val="Textbox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FCB7787"/>
    <w:multiLevelType w:val="multilevel"/>
    <w:tmpl w:val="929E3B5A"/>
    <w:lvl w:ilvl="0">
      <w:start w:val="1"/>
      <w:numFmt w:val="decimal"/>
      <w:pStyle w:val="ListNumber"/>
      <w:lvlText w:val="%1."/>
      <w:lvlJc w:val="left"/>
      <w:pPr>
        <w:tabs>
          <w:tab w:val="num" w:pos="1077"/>
        </w:tabs>
        <w:ind w:left="1077" w:hanging="283"/>
      </w:pPr>
      <w:rPr>
        <w:rFonts w:ascii="Calibri" w:hAnsi="Calibri" w:hint="default"/>
        <w:b w:val="0"/>
        <w:i w:val="0"/>
        <w:sz w:val="22"/>
      </w:rPr>
    </w:lvl>
    <w:lvl w:ilvl="1">
      <w:start w:val="1"/>
      <w:numFmt w:val="lowerLetter"/>
      <w:pStyle w:val="ListNumber2"/>
      <w:lvlText w:val="%2)"/>
      <w:lvlJc w:val="left"/>
      <w:pPr>
        <w:tabs>
          <w:tab w:val="num" w:pos="1361"/>
        </w:tabs>
        <w:ind w:left="1361" w:hanging="284"/>
      </w:pPr>
      <w:rPr>
        <w:rFonts w:ascii="Calibri" w:hAnsi="Calibri" w:hint="default"/>
        <w:b w:val="0"/>
        <w:i w:val="0"/>
        <w:sz w:val="22"/>
      </w:rPr>
    </w:lvl>
    <w:lvl w:ilvl="2">
      <w:start w:val="1"/>
      <w:numFmt w:val="lowerRoman"/>
      <w:pStyle w:val="ListNumber3"/>
      <w:lvlText w:val="%3."/>
      <w:lvlJc w:val="left"/>
      <w:pPr>
        <w:tabs>
          <w:tab w:val="num" w:pos="1644"/>
        </w:tabs>
        <w:ind w:left="1644" w:hanging="283"/>
      </w:pPr>
      <w:rPr>
        <w:rFonts w:ascii="Calibri" w:hAnsi="Calibri" w:hint="default"/>
        <w:b w:val="0"/>
        <w:i w:val="0"/>
        <w:sz w:val="22"/>
      </w:rPr>
    </w:lvl>
    <w:lvl w:ilvl="3">
      <w:start w:val="1"/>
      <w:numFmt w:val="decimal"/>
      <w:lvlText w:val="–"/>
      <w:lvlJc w:val="left"/>
      <w:pPr>
        <w:tabs>
          <w:tab w:val="num" w:pos="1928"/>
        </w:tabs>
        <w:ind w:left="1928" w:hanging="284"/>
      </w:pPr>
      <w:rPr>
        <w:rFonts w:ascii="Calibri" w:hAnsi="Calibri" w:hint="default"/>
        <w:b w:val="0"/>
        <w:i w:val="0"/>
        <w:sz w:val="22"/>
      </w:rPr>
    </w:lvl>
    <w:lvl w:ilvl="4">
      <w:start w:val="1"/>
      <w:numFmt w:val="decimal"/>
      <w:lvlText w:val="–"/>
      <w:lvlJc w:val="left"/>
      <w:pPr>
        <w:tabs>
          <w:tab w:val="num" w:pos="2211"/>
        </w:tabs>
        <w:ind w:left="2211" w:hanging="283"/>
      </w:pPr>
      <w:rPr>
        <w:rFonts w:ascii="Calibri" w:hAnsi="Calibri" w:hint="default"/>
        <w:b w:val="0"/>
        <w:i w:val="0"/>
        <w:sz w:val="22"/>
      </w:rPr>
    </w:lvl>
    <w:lvl w:ilvl="5">
      <w:start w:val="1"/>
      <w:numFmt w:val="decimal"/>
      <w:lvlText w:val="–"/>
      <w:lvlJc w:val="left"/>
      <w:pPr>
        <w:tabs>
          <w:tab w:val="num" w:pos="2495"/>
        </w:tabs>
        <w:ind w:left="2495" w:hanging="284"/>
      </w:pPr>
      <w:rPr>
        <w:rFonts w:ascii="Calibri" w:hAnsi="Calibri" w:hint="default"/>
        <w:b w:val="0"/>
        <w:i w:val="0"/>
        <w:sz w:val="22"/>
      </w:rPr>
    </w:lvl>
    <w:lvl w:ilvl="6">
      <w:start w:val="1"/>
      <w:numFmt w:val="decimal"/>
      <w:lvlText w:val="–"/>
      <w:lvlJc w:val="left"/>
      <w:pPr>
        <w:tabs>
          <w:tab w:val="num" w:pos="2778"/>
        </w:tabs>
        <w:ind w:left="2778" w:hanging="283"/>
      </w:pPr>
      <w:rPr>
        <w:rFonts w:ascii="Calibri" w:hAnsi="Calibri" w:hint="default"/>
        <w:b w:val="0"/>
        <w:i w:val="0"/>
        <w:sz w:val="22"/>
      </w:rPr>
    </w:lvl>
    <w:lvl w:ilvl="7">
      <w:start w:val="1"/>
      <w:numFmt w:val="decimal"/>
      <w:lvlText w:val="–"/>
      <w:lvlJc w:val="left"/>
      <w:pPr>
        <w:tabs>
          <w:tab w:val="num" w:pos="3062"/>
        </w:tabs>
        <w:ind w:left="3062" w:hanging="284"/>
      </w:pPr>
      <w:rPr>
        <w:rFonts w:ascii="Calibri" w:hAnsi="Calibri" w:hint="default"/>
        <w:b w:val="0"/>
        <w:i w:val="0"/>
        <w:sz w:val="22"/>
      </w:rPr>
    </w:lvl>
    <w:lvl w:ilvl="8">
      <w:start w:val="1"/>
      <w:numFmt w:val="decimal"/>
      <w:lvlText w:val="–"/>
      <w:lvlJc w:val="left"/>
      <w:pPr>
        <w:tabs>
          <w:tab w:val="num" w:pos="3345"/>
        </w:tabs>
        <w:ind w:left="3345" w:hanging="283"/>
      </w:pPr>
      <w:rPr>
        <w:rFonts w:ascii="Calibri" w:hAnsi="Calibri" w:hint="default"/>
        <w:b w:val="0"/>
        <w:i w:val="0"/>
        <w:sz w:val="22"/>
      </w:rPr>
    </w:lvl>
  </w:abstractNum>
  <w:abstractNum w:abstractNumId="12">
    <w:nsid w:val="23FF283D"/>
    <w:multiLevelType w:val="hybridMultilevel"/>
    <w:tmpl w:val="E7BEFDF6"/>
    <w:lvl w:ilvl="0" w:tplc="62E685BC">
      <w:start w:val="1"/>
      <w:numFmt w:val="decimal"/>
      <w:lvlText w:val="%1."/>
      <w:lvlJc w:val="left"/>
      <w:pPr>
        <w:ind w:left="1361" w:hanging="567"/>
      </w:pPr>
      <w:rPr>
        <w:rFonts w:hint="default"/>
      </w:rPr>
    </w:lvl>
    <w:lvl w:ilvl="1" w:tplc="0C090019">
      <w:start w:val="1"/>
      <w:numFmt w:val="lowerLetter"/>
      <w:lvlText w:val="%2."/>
      <w:lvlJc w:val="left"/>
      <w:pPr>
        <w:ind w:left="1874" w:hanging="360"/>
      </w:pPr>
    </w:lvl>
    <w:lvl w:ilvl="2" w:tplc="0C09001B" w:tentative="1">
      <w:start w:val="1"/>
      <w:numFmt w:val="lowerRoman"/>
      <w:lvlText w:val="%3."/>
      <w:lvlJc w:val="right"/>
      <w:pPr>
        <w:ind w:left="2594" w:hanging="180"/>
      </w:pPr>
    </w:lvl>
    <w:lvl w:ilvl="3" w:tplc="0C09000F" w:tentative="1">
      <w:start w:val="1"/>
      <w:numFmt w:val="decimal"/>
      <w:lvlText w:val="%4."/>
      <w:lvlJc w:val="left"/>
      <w:pPr>
        <w:ind w:left="3314" w:hanging="360"/>
      </w:pPr>
    </w:lvl>
    <w:lvl w:ilvl="4" w:tplc="0C090019" w:tentative="1">
      <w:start w:val="1"/>
      <w:numFmt w:val="lowerLetter"/>
      <w:lvlText w:val="%5."/>
      <w:lvlJc w:val="left"/>
      <w:pPr>
        <w:ind w:left="4034" w:hanging="360"/>
      </w:pPr>
    </w:lvl>
    <w:lvl w:ilvl="5" w:tplc="0C09001B" w:tentative="1">
      <w:start w:val="1"/>
      <w:numFmt w:val="lowerRoman"/>
      <w:lvlText w:val="%6."/>
      <w:lvlJc w:val="right"/>
      <w:pPr>
        <w:ind w:left="4754" w:hanging="180"/>
      </w:pPr>
    </w:lvl>
    <w:lvl w:ilvl="6" w:tplc="0C09000F" w:tentative="1">
      <w:start w:val="1"/>
      <w:numFmt w:val="decimal"/>
      <w:lvlText w:val="%7."/>
      <w:lvlJc w:val="left"/>
      <w:pPr>
        <w:ind w:left="5474" w:hanging="360"/>
      </w:pPr>
    </w:lvl>
    <w:lvl w:ilvl="7" w:tplc="0C090019" w:tentative="1">
      <w:start w:val="1"/>
      <w:numFmt w:val="lowerLetter"/>
      <w:lvlText w:val="%8."/>
      <w:lvlJc w:val="left"/>
      <w:pPr>
        <w:ind w:left="6194" w:hanging="360"/>
      </w:pPr>
    </w:lvl>
    <w:lvl w:ilvl="8" w:tplc="0C09001B" w:tentative="1">
      <w:start w:val="1"/>
      <w:numFmt w:val="lowerRoman"/>
      <w:lvlText w:val="%9."/>
      <w:lvlJc w:val="right"/>
      <w:pPr>
        <w:ind w:left="6914" w:hanging="180"/>
      </w:pPr>
    </w:lvl>
  </w:abstractNum>
  <w:abstractNum w:abstractNumId="13">
    <w:nsid w:val="24CE26AB"/>
    <w:multiLevelType w:val="multilevel"/>
    <w:tmpl w:val="21785FC0"/>
    <w:lvl w:ilvl="0">
      <w:start w:val="1"/>
      <w:numFmt w:val="lowerLetter"/>
      <w:pStyle w:val="BreakoutList1"/>
      <w:lvlText w:val="%1)"/>
      <w:lvlJc w:val="left"/>
      <w:pPr>
        <w:tabs>
          <w:tab w:val="num" w:pos="567"/>
        </w:tabs>
        <w:ind w:left="567" w:hanging="567"/>
      </w:pPr>
      <w:rPr>
        <w:rFonts w:ascii="Calibri" w:hAnsi="Calibri"/>
        <w:b w:val="0"/>
        <w:i w:val="0"/>
        <w:color w:val="auto"/>
        <w:sz w:val="20"/>
      </w:rPr>
    </w:lvl>
    <w:lvl w:ilvl="1">
      <w:start w:val="1"/>
      <w:numFmt w:val="decimal"/>
      <w:pStyle w:val="BreakoutList2"/>
      <w:lvlText w:val="%2"/>
      <w:lvlJc w:val="left"/>
      <w:pPr>
        <w:tabs>
          <w:tab w:val="num" w:pos="850"/>
        </w:tabs>
        <w:ind w:left="850" w:hanging="283"/>
      </w:pPr>
      <w:rPr>
        <w:rFonts w:ascii="Calibri" w:hAnsi="Calibri"/>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14">
    <w:nsid w:val="27785FCD"/>
    <w:multiLevelType w:val="multilevel"/>
    <w:tmpl w:val="CCE2B96A"/>
    <w:lvl w:ilvl="0">
      <w:start w:val="1"/>
      <w:numFmt w:val="decimal"/>
      <w:pStyle w:val="Attachment1"/>
      <w:lvlText w:val="Attachment %1."/>
      <w:lvlJc w:val="left"/>
      <w:pPr>
        <w:tabs>
          <w:tab w:val="num" w:pos="2268"/>
        </w:tabs>
        <w:ind w:left="2268" w:hanging="2268"/>
      </w:pPr>
      <w:rPr>
        <w:rFonts w:ascii="Calibri" w:hAnsi="Calibri" w:cs="Calibri" w:hint="default"/>
        <w:b/>
        <w:i w:val="0"/>
        <w:color w:val="87189D"/>
        <w:sz w:val="36"/>
        <w:szCs w:val="36"/>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5">
    <w:nsid w:val="2E2C0A6D"/>
    <w:multiLevelType w:val="multilevel"/>
    <w:tmpl w:val="74D452BA"/>
    <w:lvl w:ilvl="0">
      <w:start w:val="1"/>
      <w:numFmt w:val="upperLetter"/>
      <w:pStyle w:val="Heading1Appendix"/>
      <w:lvlText w:val="%1."/>
      <w:lvlJc w:val="left"/>
      <w:pPr>
        <w:tabs>
          <w:tab w:val="num" w:pos="794"/>
        </w:tabs>
        <w:ind w:left="794" w:hanging="794"/>
      </w:pPr>
      <w:rPr>
        <w:rFonts w:ascii="Calibri" w:hAnsi="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hint="default"/>
        <w:b w:val="0"/>
        <w:i w:val="0"/>
        <w:vanish w:val="0"/>
        <w:color w:val="4D4D4D"/>
        <w:sz w:val="40"/>
        <w:szCs w:val="40"/>
      </w:rPr>
    </w:lvl>
    <w:lvl w:ilvl="2">
      <w:start w:val="1"/>
      <w:numFmt w:val="decimal"/>
      <w:lvlText w:val="%1.%2.%3"/>
      <w:lvlJc w:val="left"/>
      <w:pPr>
        <w:tabs>
          <w:tab w:val="num" w:pos="794"/>
        </w:tabs>
        <w:ind w:left="794" w:hanging="794"/>
      </w:pPr>
      <w:rPr>
        <w:rFonts w:ascii="Calibri" w:hAnsi="Calibri" w:hint="default"/>
        <w:b/>
        <w:i w:val="0"/>
        <w:vanish w:val="0"/>
        <w:color w:val="4D4D4D"/>
        <w:sz w:val="26"/>
      </w:rPr>
    </w:lvl>
    <w:lvl w:ilvl="3">
      <w:start w:val="1"/>
      <w:numFmt w:val="decimal"/>
      <w:lvlText w:val="%1.%2.%3.%4"/>
      <w:lvlJc w:val="left"/>
      <w:pPr>
        <w:tabs>
          <w:tab w:val="num" w:pos="792"/>
        </w:tabs>
        <w:ind w:left="794" w:hanging="794"/>
      </w:pPr>
      <w:rPr>
        <w:rFonts w:ascii="Calibri" w:hAnsi="Calibri" w:hint="default"/>
        <w:b/>
        <w:i w:val="0"/>
        <w:vanish w:val="0"/>
        <w:color w:val="4D4D4D"/>
        <w:sz w:val="22"/>
      </w:rPr>
    </w:lvl>
    <w:lvl w:ilvl="4">
      <w:start w:val="1"/>
      <w:numFmt w:val="none"/>
      <w:suff w:val="nothing"/>
      <w:lvlText w:val="%5"/>
      <w:lvlJc w:val="left"/>
      <w:pPr>
        <w:ind w:left="794" w:firstLine="0"/>
      </w:pPr>
      <w:rPr>
        <w:rFonts w:ascii="Calibri" w:hAnsi="Calibri" w:hint="default"/>
        <w:b w:val="0"/>
        <w:i/>
        <w:vanish w:val="0"/>
        <w:color w:val="404040"/>
        <w:sz w:val="22"/>
      </w:rPr>
    </w:lvl>
    <w:lvl w:ilvl="5">
      <w:start w:val="1"/>
      <w:numFmt w:val="decimal"/>
      <w:suff w:val="nothing"/>
      <w:lvlText w:val=""/>
      <w:lvlJc w:val="left"/>
      <w:pPr>
        <w:ind w:left="794" w:firstLine="0"/>
      </w:pPr>
      <w:rPr>
        <w:rFonts w:ascii="Calibri" w:hAnsi="Calibri" w:hint="default"/>
        <w:b w:val="0"/>
        <w:i/>
        <w:vanish w:val="0"/>
        <w:color w:val="404040"/>
        <w:sz w:val="22"/>
      </w:rPr>
    </w:lvl>
    <w:lvl w:ilvl="6">
      <w:start w:val="1"/>
      <w:numFmt w:val="decimal"/>
      <w:suff w:val="nothing"/>
      <w:lvlText w:val=""/>
      <w:lvlJc w:val="left"/>
      <w:pPr>
        <w:ind w:left="794" w:firstLine="0"/>
      </w:pPr>
      <w:rPr>
        <w:rFonts w:ascii="Calibri" w:hAnsi="Calibri" w:hint="default"/>
        <w:b w:val="0"/>
        <w:i w:val="0"/>
        <w:vanish w:val="0"/>
        <w:color w:val="404040"/>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16">
    <w:nsid w:val="2EAE061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46D3A6A"/>
    <w:multiLevelType w:val="multilevel"/>
    <w:tmpl w:val="A214506C"/>
    <w:lvl w:ilvl="0">
      <w:start w:val="1"/>
      <w:numFmt w:val="bullet"/>
      <w:pStyle w:val="Bullet1"/>
      <w:lvlText w:val=""/>
      <w:lvlJc w:val="left"/>
      <w:pPr>
        <w:tabs>
          <w:tab w:val="num" w:pos="1077"/>
        </w:tabs>
        <w:ind w:left="1077" w:hanging="283"/>
      </w:pPr>
      <w:rPr>
        <w:rFonts w:ascii="Symbol" w:hAnsi="Symbol" w:hint="default"/>
        <w:b w:val="0"/>
        <w:i w:val="0"/>
        <w:vanish w:val="0"/>
        <w:color w:val="auto"/>
        <w:sz w:val="22"/>
      </w:rPr>
    </w:lvl>
    <w:lvl w:ilvl="1">
      <w:start w:val="1"/>
      <w:numFmt w:val="bullet"/>
      <w:pStyle w:val="Bullet2"/>
      <w:lvlText w:val="–"/>
      <w:lvlJc w:val="left"/>
      <w:pPr>
        <w:tabs>
          <w:tab w:val="num" w:pos="1361"/>
        </w:tabs>
        <w:ind w:left="1361" w:hanging="284"/>
      </w:pPr>
      <w:rPr>
        <w:rFonts w:ascii="Calibri" w:hAnsi="Calibri" w:hint="default"/>
        <w:b w:val="0"/>
        <w:i w:val="0"/>
        <w:vanish w:val="0"/>
        <w:color w:val="auto"/>
        <w:sz w:val="22"/>
      </w:rPr>
    </w:lvl>
    <w:lvl w:ilvl="2">
      <w:start w:val="1"/>
      <w:numFmt w:val="bullet"/>
      <w:pStyle w:val="Bullet3"/>
      <w:lvlText w:val=""/>
      <w:lvlJc w:val="left"/>
      <w:pPr>
        <w:tabs>
          <w:tab w:val="num" w:pos="1644"/>
        </w:tabs>
        <w:ind w:left="1644" w:hanging="283"/>
      </w:pPr>
      <w:rPr>
        <w:rFonts w:ascii="Symbol" w:hAnsi="Symbol" w:hint="default"/>
        <w:b w:val="0"/>
        <w:i w:val="0"/>
        <w:vanish w:val="0"/>
        <w:color w:val="auto"/>
        <w:sz w:val="22"/>
      </w:rPr>
    </w:lvl>
    <w:lvl w:ilvl="3">
      <w:start w:val="1"/>
      <w:numFmt w:val="bullet"/>
      <w:lvlText w:val=""/>
      <w:lvlJc w:val="left"/>
      <w:pPr>
        <w:tabs>
          <w:tab w:val="num" w:pos="1928"/>
        </w:tabs>
        <w:ind w:left="1928" w:hanging="284"/>
      </w:pPr>
      <w:rPr>
        <w:rFonts w:ascii="Symbol" w:hAnsi="Symbol"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8">
    <w:nsid w:val="491918E6"/>
    <w:multiLevelType w:val="hybridMultilevel"/>
    <w:tmpl w:val="E0907C68"/>
    <w:lvl w:ilvl="0" w:tplc="0C09000F">
      <w:start w:val="1"/>
      <w:numFmt w:val="decimal"/>
      <w:lvlText w:val="%1."/>
      <w:lvlJc w:val="left"/>
      <w:pPr>
        <w:ind w:left="1514" w:hanging="360"/>
      </w:p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9">
    <w:nsid w:val="49B975EA"/>
    <w:multiLevelType w:val="hybridMultilevel"/>
    <w:tmpl w:val="E65C0E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514B6B31"/>
    <w:multiLevelType w:val="hybridMultilevel"/>
    <w:tmpl w:val="E446E01C"/>
    <w:lvl w:ilvl="0" w:tplc="0C090001">
      <w:start w:val="1"/>
      <w:numFmt w:val="bullet"/>
      <w:lvlText w:val=""/>
      <w:lvlJc w:val="left"/>
      <w:pPr>
        <w:ind w:left="1154" w:hanging="360"/>
      </w:pPr>
      <w:rPr>
        <w:rFonts w:ascii="Symbol" w:hAnsi="Symbol" w:hint="default"/>
      </w:rPr>
    </w:lvl>
    <w:lvl w:ilvl="1" w:tplc="0C090003" w:tentative="1">
      <w:start w:val="1"/>
      <w:numFmt w:val="bullet"/>
      <w:lvlText w:val="o"/>
      <w:lvlJc w:val="left"/>
      <w:pPr>
        <w:ind w:left="1874" w:hanging="360"/>
      </w:pPr>
      <w:rPr>
        <w:rFonts w:ascii="Courier New" w:hAnsi="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22">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0B70B06"/>
    <w:multiLevelType w:val="hybridMultilevel"/>
    <w:tmpl w:val="186A0E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66551A1C"/>
    <w:multiLevelType w:val="multilevel"/>
    <w:tmpl w:val="8F9AA32A"/>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Bullet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5">
    <w:nsid w:val="707E57AA"/>
    <w:multiLevelType w:val="hybridMultilevel"/>
    <w:tmpl w:val="76181796"/>
    <w:lvl w:ilvl="0" w:tplc="3466A5BC">
      <w:start w:val="1"/>
      <w:numFmt w:val="decimal"/>
      <w:pStyle w:val="ListNumber4"/>
      <w:lvlText w:val="%1."/>
      <w:lvlJc w:val="left"/>
      <w:pPr>
        <w:ind w:left="1569" w:hanging="360"/>
      </w:pPr>
    </w:lvl>
    <w:lvl w:ilvl="1" w:tplc="0C090019" w:tentative="1">
      <w:start w:val="1"/>
      <w:numFmt w:val="lowerLetter"/>
      <w:lvlText w:val="%2."/>
      <w:lvlJc w:val="left"/>
      <w:pPr>
        <w:ind w:left="2289" w:hanging="360"/>
      </w:pPr>
    </w:lvl>
    <w:lvl w:ilvl="2" w:tplc="0C09001B" w:tentative="1">
      <w:start w:val="1"/>
      <w:numFmt w:val="lowerRoman"/>
      <w:lvlText w:val="%3."/>
      <w:lvlJc w:val="right"/>
      <w:pPr>
        <w:ind w:left="3009" w:hanging="180"/>
      </w:pPr>
    </w:lvl>
    <w:lvl w:ilvl="3" w:tplc="0C09000F" w:tentative="1">
      <w:start w:val="1"/>
      <w:numFmt w:val="decimal"/>
      <w:lvlText w:val="%4."/>
      <w:lvlJc w:val="left"/>
      <w:pPr>
        <w:ind w:left="3729" w:hanging="360"/>
      </w:pPr>
    </w:lvl>
    <w:lvl w:ilvl="4" w:tplc="0C090019" w:tentative="1">
      <w:start w:val="1"/>
      <w:numFmt w:val="lowerLetter"/>
      <w:lvlText w:val="%5."/>
      <w:lvlJc w:val="left"/>
      <w:pPr>
        <w:ind w:left="4449" w:hanging="360"/>
      </w:pPr>
    </w:lvl>
    <w:lvl w:ilvl="5" w:tplc="0C09001B" w:tentative="1">
      <w:start w:val="1"/>
      <w:numFmt w:val="lowerRoman"/>
      <w:lvlText w:val="%6."/>
      <w:lvlJc w:val="right"/>
      <w:pPr>
        <w:ind w:left="5169" w:hanging="180"/>
      </w:pPr>
    </w:lvl>
    <w:lvl w:ilvl="6" w:tplc="0C09000F" w:tentative="1">
      <w:start w:val="1"/>
      <w:numFmt w:val="decimal"/>
      <w:lvlText w:val="%7."/>
      <w:lvlJc w:val="left"/>
      <w:pPr>
        <w:ind w:left="5889" w:hanging="360"/>
      </w:pPr>
    </w:lvl>
    <w:lvl w:ilvl="7" w:tplc="0C090019" w:tentative="1">
      <w:start w:val="1"/>
      <w:numFmt w:val="lowerLetter"/>
      <w:lvlText w:val="%8."/>
      <w:lvlJc w:val="left"/>
      <w:pPr>
        <w:ind w:left="6609" w:hanging="360"/>
      </w:pPr>
    </w:lvl>
    <w:lvl w:ilvl="8" w:tplc="0C09001B" w:tentative="1">
      <w:start w:val="1"/>
      <w:numFmt w:val="lowerRoman"/>
      <w:lvlText w:val="%9."/>
      <w:lvlJc w:val="right"/>
      <w:pPr>
        <w:ind w:left="7329" w:hanging="180"/>
      </w:pPr>
    </w:lvl>
  </w:abstractNum>
  <w:abstractNum w:abstractNumId="26">
    <w:nsid w:val="70BF1AD5"/>
    <w:multiLevelType w:val="hybridMultilevel"/>
    <w:tmpl w:val="3C3E75DA"/>
    <w:lvl w:ilvl="0" w:tplc="B63A406E">
      <w:start w:val="1"/>
      <w:numFmt w:val="bullet"/>
      <w:pStyle w:val="Note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27">
    <w:nsid w:val="73722264"/>
    <w:multiLevelType w:val="hybridMultilevel"/>
    <w:tmpl w:val="3A462032"/>
    <w:lvl w:ilvl="0" w:tplc="0C09000F">
      <w:start w:val="1"/>
      <w:numFmt w:val="decimal"/>
      <w:lvlText w:val="%1."/>
      <w:lvlJc w:val="left"/>
      <w:pPr>
        <w:ind w:left="1154" w:hanging="360"/>
      </w:pPr>
    </w:lvl>
    <w:lvl w:ilvl="1" w:tplc="0C090019" w:tentative="1">
      <w:start w:val="1"/>
      <w:numFmt w:val="lowerLetter"/>
      <w:lvlText w:val="%2."/>
      <w:lvlJc w:val="left"/>
      <w:pPr>
        <w:ind w:left="1874" w:hanging="360"/>
      </w:pPr>
    </w:lvl>
    <w:lvl w:ilvl="2" w:tplc="0C09001B" w:tentative="1">
      <w:start w:val="1"/>
      <w:numFmt w:val="lowerRoman"/>
      <w:lvlText w:val="%3."/>
      <w:lvlJc w:val="right"/>
      <w:pPr>
        <w:ind w:left="2594" w:hanging="180"/>
      </w:pPr>
    </w:lvl>
    <w:lvl w:ilvl="3" w:tplc="0C09000F" w:tentative="1">
      <w:start w:val="1"/>
      <w:numFmt w:val="decimal"/>
      <w:lvlText w:val="%4."/>
      <w:lvlJc w:val="left"/>
      <w:pPr>
        <w:ind w:left="3314" w:hanging="360"/>
      </w:pPr>
    </w:lvl>
    <w:lvl w:ilvl="4" w:tplc="0C090019" w:tentative="1">
      <w:start w:val="1"/>
      <w:numFmt w:val="lowerLetter"/>
      <w:lvlText w:val="%5."/>
      <w:lvlJc w:val="left"/>
      <w:pPr>
        <w:ind w:left="4034" w:hanging="360"/>
      </w:pPr>
    </w:lvl>
    <w:lvl w:ilvl="5" w:tplc="0C09001B" w:tentative="1">
      <w:start w:val="1"/>
      <w:numFmt w:val="lowerRoman"/>
      <w:lvlText w:val="%6."/>
      <w:lvlJc w:val="right"/>
      <w:pPr>
        <w:ind w:left="4754" w:hanging="180"/>
      </w:pPr>
    </w:lvl>
    <w:lvl w:ilvl="6" w:tplc="0C09000F" w:tentative="1">
      <w:start w:val="1"/>
      <w:numFmt w:val="decimal"/>
      <w:lvlText w:val="%7."/>
      <w:lvlJc w:val="left"/>
      <w:pPr>
        <w:ind w:left="5474" w:hanging="360"/>
      </w:pPr>
    </w:lvl>
    <w:lvl w:ilvl="7" w:tplc="0C090019" w:tentative="1">
      <w:start w:val="1"/>
      <w:numFmt w:val="lowerLetter"/>
      <w:lvlText w:val="%8."/>
      <w:lvlJc w:val="left"/>
      <w:pPr>
        <w:ind w:left="6194" w:hanging="360"/>
      </w:pPr>
    </w:lvl>
    <w:lvl w:ilvl="8" w:tplc="0C09001B" w:tentative="1">
      <w:start w:val="1"/>
      <w:numFmt w:val="lowerRoman"/>
      <w:lvlText w:val="%9."/>
      <w:lvlJc w:val="right"/>
      <w:pPr>
        <w:ind w:left="6914" w:hanging="180"/>
      </w:pPr>
    </w:lvl>
  </w:abstractNum>
  <w:abstractNum w:abstractNumId="28">
    <w:nsid w:val="7BF82D5E"/>
    <w:multiLevelType w:val="hybridMultilevel"/>
    <w:tmpl w:val="57F260D4"/>
    <w:lvl w:ilvl="0" w:tplc="0C090001">
      <w:start w:val="1"/>
      <w:numFmt w:val="bullet"/>
      <w:lvlText w:val=""/>
      <w:lvlJc w:val="left"/>
      <w:pPr>
        <w:ind w:left="1154" w:hanging="360"/>
      </w:pPr>
      <w:rPr>
        <w:rFonts w:ascii="Symbol" w:hAnsi="Symbol"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num w:numId="1">
    <w:abstractNumId w:val="24"/>
  </w:num>
  <w:num w:numId="2">
    <w:abstractNumId w:val="13"/>
  </w:num>
  <w:num w:numId="3">
    <w:abstractNumId w:val="17"/>
  </w:num>
  <w:num w:numId="4">
    <w:abstractNumId w:val="16"/>
  </w:num>
  <w:num w:numId="5">
    <w:abstractNumId w:val="22"/>
  </w:num>
  <w:num w:numId="6">
    <w:abstractNumId w:val="20"/>
  </w:num>
  <w:num w:numId="7">
    <w:abstractNumId w:val="14"/>
  </w:num>
  <w:num w:numId="8">
    <w:abstractNumId w:val="8"/>
  </w:num>
  <w:num w:numId="9">
    <w:abstractNumId w:val="2"/>
  </w:num>
  <w:num w:numId="10">
    <w:abstractNumId w:val="1"/>
  </w:num>
  <w:num w:numId="11">
    <w:abstractNumId w:val="0"/>
  </w:num>
  <w:num w:numId="12">
    <w:abstractNumId w:val="10"/>
  </w:num>
  <w:num w:numId="13">
    <w:abstractNumId w:val="26"/>
  </w:num>
  <w:num w:numId="14">
    <w:abstractNumId w:val="15"/>
  </w:num>
  <w:num w:numId="15">
    <w:abstractNumId w:val="23"/>
  </w:num>
  <w:num w:numId="16">
    <w:abstractNumId w:val="11"/>
  </w:num>
  <w:num w:numId="17">
    <w:abstractNumId w:val="4"/>
  </w:num>
  <w:num w:numId="18">
    <w:abstractNumId w:val="4"/>
    <w:lvlOverride w:ilvl="0">
      <w:startOverride w:val="1"/>
    </w:lvlOverride>
  </w:num>
  <w:num w:numId="19">
    <w:abstractNumId w:val="19"/>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7"/>
  </w:num>
  <w:num w:numId="24">
    <w:abstractNumId w:val="25"/>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2"/>
  </w:num>
  <w:num w:numId="29">
    <w:abstractNumId w:val="27"/>
  </w:num>
  <w:num w:numId="30">
    <w:abstractNumId w:val="9"/>
  </w:num>
  <w:num w:numId="31">
    <w:abstractNumId w:val="21"/>
  </w:num>
  <w:num w:numId="32">
    <w:abstractNumId w:val="5"/>
  </w:num>
  <w:num w:numId="33">
    <w:abstractNumId w:val="6"/>
  </w:num>
  <w:num w:numId="34">
    <w:abstractNumId w:val="18"/>
  </w:num>
  <w:num w:numId="35">
    <w:abstractNumId w:val="12"/>
    <w:lvlOverride w:ilvl="0">
      <w:lvl w:ilvl="0" w:tplc="62E685BC">
        <w:start w:val="1"/>
        <w:numFmt w:val="decimal"/>
        <w:lvlText w:val="%1."/>
        <w:lvlJc w:val="left"/>
        <w:pPr>
          <w:ind w:left="1208" w:hanging="414"/>
        </w:pPr>
        <w:rPr>
          <w:rFonts w:hint="default"/>
        </w:rPr>
      </w:lvl>
    </w:lvlOverride>
    <w:lvlOverride w:ilvl="1">
      <w:lvl w:ilvl="1" w:tplc="0C090019" w:tentative="1">
        <w:start w:val="1"/>
        <w:numFmt w:val="lowerLetter"/>
        <w:lvlText w:val="%2."/>
        <w:lvlJc w:val="left"/>
        <w:pPr>
          <w:ind w:left="1077" w:hanging="360"/>
        </w:pPr>
      </w:lvl>
    </w:lvlOverride>
    <w:lvlOverride w:ilvl="2">
      <w:lvl w:ilvl="2" w:tplc="0C09001B" w:tentative="1">
        <w:start w:val="1"/>
        <w:numFmt w:val="lowerRoman"/>
        <w:lvlText w:val="%3."/>
        <w:lvlJc w:val="right"/>
        <w:pPr>
          <w:ind w:left="1797" w:hanging="180"/>
        </w:pPr>
      </w:lvl>
    </w:lvlOverride>
    <w:lvlOverride w:ilvl="3">
      <w:lvl w:ilvl="3" w:tplc="0C09000F" w:tentative="1">
        <w:start w:val="1"/>
        <w:numFmt w:val="decimal"/>
        <w:lvlText w:val="%4."/>
        <w:lvlJc w:val="left"/>
        <w:pPr>
          <w:ind w:left="2517" w:hanging="360"/>
        </w:pPr>
      </w:lvl>
    </w:lvlOverride>
    <w:lvlOverride w:ilvl="4">
      <w:lvl w:ilvl="4" w:tplc="0C090019" w:tentative="1">
        <w:start w:val="1"/>
        <w:numFmt w:val="lowerLetter"/>
        <w:lvlText w:val="%5."/>
        <w:lvlJc w:val="left"/>
        <w:pPr>
          <w:ind w:left="3237" w:hanging="360"/>
        </w:pPr>
      </w:lvl>
    </w:lvlOverride>
    <w:lvlOverride w:ilvl="5">
      <w:lvl w:ilvl="5" w:tplc="0C09001B" w:tentative="1">
        <w:start w:val="1"/>
        <w:numFmt w:val="lowerRoman"/>
        <w:lvlText w:val="%6."/>
        <w:lvlJc w:val="right"/>
        <w:pPr>
          <w:ind w:left="3957" w:hanging="180"/>
        </w:pPr>
      </w:lvl>
    </w:lvlOverride>
    <w:lvlOverride w:ilvl="6">
      <w:lvl w:ilvl="6" w:tplc="0C09000F" w:tentative="1">
        <w:start w:val="1"/>
        <w:numFmt w:val="decimal"/>
        <w:lvlText w:val="%7."/>
        <w:lvlJc w:val="left"/>
        <w:pPr>
          <w:ind w:left="4677" w:hanging="360"/>
        </w:pPr>
      </w:lvl>
    </w:lvlOverride>
    <w:lvlOverride w:ilvl="7">
      <w:lvl w:ilvl="7" w:tplc="0C090019" w:tentative="1">
        <w:start w:val="1"/>
        <w:numFmt w:val="lowerLetter"/>
        <w:lvlText w:val="%8."/>
        <w:lvlJc w:val="left"/>
        <w:pPr>
          <w:ind w:left="5397" w:hanging="360"/>
        </w:pPr>
      </w:lvl>
    </w:lvlOverride>
    <w:lvlOverride w:ilvl="8">
      <w:lvl w:ilvl="8" w:tplc="0C09001B" w:tentative="1">
        <w:start w:val="1"/>
        <w:numFmt w:val="lowerRoman"/>
        <w:lvlText w:val="%9."/>
        <w:lvlJc w:val="right"/>
        <w:pPr>
          <w:ind w:left="6117" w:hanging="180"/>
        </w:pPr>
      </w:lvl>
    </w:lvlOverride>
  </w:num>
  <w:num w:numId="36">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SortMethod w:val="0000"/>
  <w:documentProtection w:edit="readOnly" w:enforcement="1"/>
  <w:defaultTabStop w:val="720"/>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C95"/>
    <w:rsid w:val="00003525"/>
    <w:rsid w:val="00005E1B"/>
    <w:rsid w:val="00013CA1"/>
    <w:rsid w:val="00015B5A"/>
    <w:rsid w:val="000172D3"/>
    <w:rsid w:val="00025132"/>
    <w:rsid w:val="00025C88"/>
    <w:rsid w:val="00025F65"/>
    <w:rsid w:val="00030A92"/>
    <w:rsid w:val="00031891"/>
    <w:rsid w:val="000331C8"/>
    <w:rsid w:val="00036E3B"/>
    <w:rsid w:val="000452EA"/>
    <w:rsid w:val="000471EB"/>
    <w:rsid w:val="00047953"/>
    <w:rsid w:val="00051EC1"/>
    <w:rsid w:val="000547E5"/>
    <w:rsid w:val="00060158"/>
    <w:rsid w:val="000633FD"/>
    <w:rsid w:val="00064E9D"/>
    <w:rsid w:val="00071053"/>
    <w:rsid w:val="00073ADF"/>
    <w:rsid w:val="0007545E"/>
    <w:rsid w:val="00076B3C"/>
    <w:rsid w:val="000830A3"/>
    <w:rsid w:val="00084579"/>
    <w:rsid w:val="00086FCC"/>
    <w:rsid w:val="00091685"/>
    <w:rsid w:val="0009305F"/>
    <w:rsid w:val="000A53BF"/>
    <w:rsid w:val="000A57B1"/>
    <w:rsid w:val="000A73C4"/>
    <w:rsid w:val="000B2629"/>
    <w:rsid w:val="000B5B0D"/>
    <w:rsid w:val="000C3F1B"/>
    <w:rsid w:val="000D0C55"/>
    <w:rsid w:val="000D114A"/>
    <w:rsid w:val="000D657E"/>
    <w:rsid w:val="000E44D9"/>
    <w:rsid w:val="000F02C5"/>
    <w:rsid w:val="000F0989"/>
    <w:rsid w:val="000F4B94"/>
    <w:rsid w:val="000F6EB6"/>
    <w:rsid w:val="00100F29"/>
    <w:rsid w:val="00105423"/>
    <w:rsid w:val="00106AA6"/>
    <w:rsid w:val="001070B9"/>
    <w:rsid w:val="001110BA"/>
    <w:rsid w:val="00117A89"/>
    <w:rsid w:val="0012019C"/>
    <w:rsid w:val="001209BF"/>
    <w:rsid w:val="00121E8A"/>
    <w:rsid w:val="0012292D"/>
    <w:rsid w:val="00124216"/>
    <w:rsid w:val="00126D05"/>
    <w:rsid w:val="00130D69"/>
    <w:rsid w:val="00131087"/>
    <w:rsid w:val="00142564"/>
    <w:rsid w:val="00144525"/>
    <w:rsid w:val="001476D9"/>
    <w:rsid w:val="00152493"/>
    <w:rsid w:val="00153366"/>
    <w:rsid w:val="0016043C"/>
    <w:rsid w:val="00166553"/>
    <w:rsid w:val="001711A7"/>
    <w:rsid w:val="001735D6"/>
    <w:rsid w:val="00176E45"/>
    <w:rsid w:val="001774D3"/>
    <w:rsid w:val="00183FAE"/>
    <w:rsid w:val="00184098"/>
    <w:rsid w:val="00184C55"/>
    <w:rsid w:val="00186A1D"/>
    <w:rsid w:val="001873CF"/>
    <w:rsid w:val="0018749C"/>
    <w:rsid w:val="00191A5F"/>
    <w:rsid w:val="00192426"/>
    <w:rsid w:val="00195120"/>
    <w:rsid w:val="001B1171"/>
    <w:rsid w:val="001B1508"/>
    <w:rsid w:val="001B2F11"/>
    <w:rsid w:val="001C049C"/>
    <w:rsid w:val="001C4C95"/>
    <w:rsid w:val="001D22CC"/>
    <w:rsid w:val="001D3CE6"/>
    <w:rsid w:val="001D481A"/>
    <w:rsid w:val="001D587A"/>
    <w:rsid w:val="001D5A1B"/>
    <w:rsid w:val="001E07BE"/>
    <w:rsid w:val="001E4E55"/>
    <w:rsid w:val="001E7250"/>
    <w:rsid w:val="001F1823"/>
    <w:rsid w:val="001F3DF8"/>
    <w:rsid w:val="001F7AF0"/>
    <w:rsid w:val="002019C2"/>
    <w:rsid w:val="00202B93"/>
    <w:rsid w:val="00203190"/>
    <w:rsid w:val="00204006"/>
    <w:rsid w:val="00205F84"/>
    <w:rsid w:val="00211D7E"/>
    <w:rsid w:val="002134EE"/>
    <w:rsid w:val="002138EE"/>
    <w:rsid w:val="002141B9"/>
    <w:rsid w:val="00222257"/>
    <w:rsid w:val="00222C2F"/>
    <w:rsid w:val="00227BF5"/>
    <w:rsid w:val="00234970"/>
    <w:rsid w:val="0023499D"/>
    <w:rsid w:val="00240B39"/>
    <w:rsid w:val="002436EC"/>
    <w:rsid w:val="00243B87"/>
    <w:rsid w:val="002442A0"/>
    <w:rsid w:val="00247D5C"/>
    <w:rsid w:val="00250DF8"/>
    <w:rsid w:val="002537C2"/>
    <w:rsid w:val="002601F8"/>
    <w:rsid w:val="00264ECD"/>
    <w:rsid w:val="00264FFC"/>
    <w:rsid w:val="00265039"/>
    <w:rsid w:val="00265E12"/>
    <w:rsid w:val="00266A2A"/>
    <w:rsid w:val="0027601D"/>
    <w:rsid w:val="002760AB"/>
    <w:rsid w:val="00280D7E"/>
    <w:rsid w:val="002848D2"/>
    <w:rsid w:val="00284BB8"/>
    <w:rsid w:val="00290DE6"/>
    <w:rsid w:val="00291BEA"/>
    <w:rsid w:val="00296677"/>
    <w:rsid w:val="0029673D"/>
    <w:rsid w:val="00296969"/>
    <w:rsid w:val="002A2BE3"/>
    <w:rsid w:val="002A7C21"/>
    <w:rsid w:val="002B1187"/>
    <w:rsid w:val="002C096E"/>
    <w:rsid w:val="002C3B08"/>
    <w:rsid w:val="002C5062"/>
    <w:rsid w:val="002D1B8D"/>
    <w:rsid w:val="002D1DD5"/>
    <w:rsid w:val="002D5672"/>
    <w:rsid w:val="002D728C"/>
    <w:rsid w:val="002E1B3B"/>
    <w:rsid w:val="002E52EE"/>
    <w:rsid w:val="002E5FB2"/>
    <w:rsid w:val="002F1CFB"/>
    <w:rsid w:val="002F3678"/>
    <w:rsid w:val="002F58BB"/>
    <w:rsid w:val="002F68D4"/>
    <w:rsid w:val="002F7222"/>
    <w:rsid w:val="00303C4C"/>
    <w:rsid w:val="00303CB6"/>
    <w:rsid w:val="00316A1B"/>
    <w:rsid w:val="00321DAC"/>
    <w:rsid w:val="00322494"/>
    <w:rsid w:val="00322641"/>
    <w:rsid w:val="0032462C"/>
    <w:rsid w:val="00325E85"/>
    <w:rsid w:val="003307BF"/>
    <w:rsid w:val="00330F5E"/>
    <w:rsid w:val="003321AB"/>
    <w:rsid w:val="00335C9E"/>
    <w:rsid w:val="00347681"/>
    <w:rsid w:val="00354169"/>
    <w:rsid w:val="0036374D"/>
    <w:rsid w:val="0037335F"/>
    <w:rsid w:val="00377E40"/>
    <w:rsid w:val="0038073E"/>
    <w:rsid w:val="00383CF4"/>
    <w:rsid w:val="00391AB8"/>
    <w:rsid w:val="003940CC"/>
    <w:rsid w:val="003967C8"/>
    <w:rsid w:val="003970A1"/>
    <w:rsid w:val="003A173D"/>
    <w:rsid w:val="003A2F47"/>
    <w:rsid w:val="003A2FA1"/>
    <w:rsid w:val="003A40BA"/>
    <w:rsid w:val="003A4A12"/>
    <w:rsid w:val="003A7B76"/>
    <w:rsid w:val="003B0094"/>
    <w:rsid w:val="003B4094"/>
    <w:rsid w:val="003B55E4"/>
    <w:rsid w:val="003B6F90"/>
    <w:rsid w:val="003B7EF0"/>
    <w:rsid w:val="003C0083"/>
    <w:rsid w:val="003C2FF5"/>
    <w:rsid w:val="003C5A1D"/>
    <w:rsid w:val="003D57C4"/>
    <w:rsid w:val="003E0823"/>
    <w:rsid w:val="003E092F"/>
    <w:rsid w:val="003E26AF"/>
    <w:rsid w:val="003E2786"/>
    <w:rsid w:val="003E4849"/>
    <w:rsid w:val="003F485A"/>
    <w:rsid w:val="003F6316"/>
    <w:rsid w:val="003F65DB"/>
    <w:rsid w:val="003F775D"/>
    <w:rsid w:val="00403977"/>
    <w:rsid w:val="00407C17"/>
    <w:rsid w:val="00412A94"/>
    <w:rsid w:val="0041425C"/>
    <w:rsid w:val="0041538B"/>
    <w:rsid w:val="00415997"/>
    <w:rsid w:val="0041672B"/>
    <w:rsid w:val="0042335D"/>
    <w:rsid w:val="00424A1C"/>
    <w:rsid w:val="00434AC0"/>
    <w:rsid w:val="0043518E"/>
    <w:rsid w:val="0044008A"/>
    <w:rsid w:val="004434F4"/>
    <w:rsid w:val="00446AAE"/>
    <w:rsid w:val="00446ACB"/>
    <w:rsid w:val="0045341B"/>
    <w:rsid w:val="004537F9"/>
    <w:rsid w:val="004552EF"/>
    <w:rsid w:val="00460420"/>
    <w:rsid w:val="0046243A"/>
    <w:rsid w:val="00462C71"/>
    <w:rsid w:val="0047354D"/>
    <w:rsid w:val="00473AB5"/>
    <w:rsid w:val="00477E18"/>
    <w:rsid w:val="00482856"/>
    <w:rsid w:val="004926BE"/>
    <w:rsid w:val="004A1954"/>
    <w:rsid w:val="004A3BAC"/>
    <w:rsid w:val="004A6D6C"/>
    <w:rsid w:val="004B4363"/>
    <w:rsid w:val="004B724D"/>
    <w:rsid w:val="004C0B3C"/>
    <w:rsid w:val="004C4C6C"/>
    <w:rsid w:val="004C5D1E"/>
    <w:rsid w:val="004D3D80"/>
    <w:rsid w:val="004D6B11"/>
    <w:rsid w:val="004D73DC"/>
    <w:rsid w:val="004E21BF"/>
    <w:rsid w:val="004E2690"/>
    <w:rsid w:val="004E2F16"/>
    <w:rsid w:val="004E3C98"/>
    <w:rsid w:val="004E401C"/>
    <w:rsid w:val="004E7631"/>
    <w:rsid w:val="005017D1"/>
    <w:rsid w:val="005077E3"/>
    <w:rsid w:val="00511091"/>
    <w:rsid w:val="0051305C"/>
    <w:rsid w:val="00513E55"/>
    <w:rsid w:val="0051551C"/>
    <w:rsid w:val="00515D15"/>
    <w:rsid w:val="00517DD1"/>
    <w:rsid w:val="00520823"/>
    <w:rsid w:val="0052161E"/>
    <w:rsid w:val="00521AFC"/>
    <w:rsid w:val="00524451"/>
    <w:rsid w:val="00527F80"/>
    <w:rsid w:val="005305B0"/>
    <w:rsid w:val="00531210"/>
    <w:rsid w:val="00531D4F"/>
    <w:rsid w:val="005338E1"/>
    <w:rsid w:val="00534FA7"/>
    <w:rsid w:val="00540BDD"/>
    <w:rsid w:val="00545F3A"/>
    <w:rsid w:val="005534D8"/>
    <w:rsid w:val="00560D9F"/>
    <w:rsid w:val="0056352E"/>
    <w:rsid w:val="00566016"/>
    <w:rsid w:val="00567C30"/>
    <w:rsid w:val="00576F9C"/>
    <w:rsid w:val="00582CF8"/>
    <w:rsid w:val="005842CA"/>
    <w:rsid w:val="00584FDB"/>
    <w:rsid w:val="00585FE5"/>
    <w:rsid w:val="00586F04"/>
    <w:rsid w:val="00594E5D"/>
    <w:rsid w:val="005959C5"/>
    <w:rsid w:val="005B680F"/>
    <w:rsid w:val="005C086B"/>
    <w:rsid w:val="005C189F"/>
    <w:rsid w:val="005C595D"/>
    <w:rsid w:val="005C65FC"/>
    <w:rsid w:val="005D1219"/>
    <w:rsid w:val="005D18DA"/>
    <w:rsid w:val="005E28B5"/>
    <w:rsid w:val="005E44FD"/>
    <w:rsid w:val="005F69F2"/>
    <w:rsid w:val="00603686"/>
    <w:rsid w:val="00604E54"/>
    <w:rsid w:val="00605D8D"/>
    <w:rsid w:val="006065E6"/>
    <w:rsid w:val="00610820"/>
    <w:rsid w:val="00611188"/>
    <w:rsid w:val="006132D8"/>
    <w:rsid w:val="006147D1"/>
    <w:rsid w:val="00621C3F"/>
    <w:rsid w:val="00624C6B"/>
    <w:rsid w:val="00624D46"/>
    <w:rsid w:val="006270B3"/>
    <w:rsid w:val="00630181"/>
    <w:rsid w:val="00631AF2"/>
    <w:rsid w:val="0063487F"/>
    <w:rsid w:val="00635BB3"/>
    <w:rsid w:val="00644151"/>
    <w:rsid w:val="00647E6B"/>
    <w:rsid w:val="00662093"/>
    <w:rsid w:val="00662EFB"/>
    <w:rsid w:val="00663B7C"/>
    <w:rsid w:val="00663E4D"/>
    <w:rsid w:val="00670C77"/>
    <w:rsid w:val="00675EA6"/>
    <w:rsid w:val="00684B63"/>
    <w:rsid w:val="0068589F"/>
    <w:rsid w:val="00687DE5"/>
    <w:rsid w:val="006919FF"/>
    <w:rsid w:val="00691D46"/>
    <w:rsid w:val="00697441"/>
    <w:rsid w:val="006974C0"/>
    <w:rsid w:val="006A6195"/>
    <w:rsid w:val="006A6B12"/>
    <w:rsid w:val="006A73F4"/>
    <w:rsid w:val="006B1876"/>
    <w:rsid w:val="006B21E9"/>
    <w:rsid w:val="006B3376"/>
    <w:rsid w:val="006B3DFA"/>
    <w:rsid w:val="006C341A"/>
    <w:rsid w:val="006C7834"/>
    <w:rsid w:val="006E1B62"/>
    <w:rsid w:val="006E2606"/>
    <w:rsid w:val="006E7C8E"/>
    <w:rsid w:val="006F01BB"/>
    <w:rsid w:val="006F1ECB"/>
    <w:rsid w:val="006F3BF5"/>
    <w:rsid w:val="006F6393"/>
    <w:rsid w:val="006F74E0"/>
    <w:rsid w:val="00700C17"/>
    <w:rsid w:val="007064C2"/>
    <w:rsid w:val="00710411"/>
    <w:rsid w:val="0071101D"/>
    <w:rsid w:val="007125BA"/>
    <w:rsid w:val="00716D06"/>
    <w:rsid w:val="00721B18"/>
    <w:rsid w:val="00722699"/>
    <w:rsid w:val="00724127"/>
    <w:rsid w:val="007301F1"/>
    <w:rsid w:val="00730738"/>
    <w:rsid w:val="007351E8"/>
    <w:rsid w:val="007356F8"/>
    <w:rsid w:val="00736634"/>
    <w:rsid w:val="00741A34"/>
    <w:rsid w:val="00741F6F"/>
    <w:rsid w:val="00742043"/>
    <w:rsid w:val="00742CA6"/>
    <w:rsid w:val="00744434"/>
    <w:rsid w:val="00750B59"/>
    <w:rsid w:val="00751827"/>
    <w:rsid w:val="00754F06"/>
    <w:rsid w:val="00757936"/>
    <w:rsid w:val="00757B98"/>
    <w:rsid w:val="007645DA"/>
    <w:rsid w:val="007657F8"/>
    <w:rsid w:val="0077345D"/>
    <w:rsid w:val="0077512D"/>
    <w:rsid w:val="00775ED2"/>
    <w:rsid w:val="007763D5"/>
    <w:rsid w:val="00776F25"/>
    <w:rsid w:val="007833C6"/>
    <w:rsid w:val="007868BF"/>
    <w:rsid w:val="0078734C"/>
    <w:rsid w:val="007902C2"/>
    <w:rsid w:val="0079199B"/>
    <w:rsid w:val="00791DF5"/>
    <w:rsid w:val="007937B3"/>
    <w:rsid w:val="00793AA6"/>
    <w:rsid w:val="007943B1"/>
    <w:rsid w:val="007A4FCC"/>
    <w:rsid w:val="007B2228"/>
    <w:rsid w:val="007B5316"/>
    <w:rsid w:val="007C0106"/>
    <w:rsid w:val="007C0498"/>
    <w:rsid w:val="007C05FA"/>
    <w:rsid w:val="007C063B"/>
    <w:rsid w:val="007D101E"/>
    <w:rsid w:val="007D30D7"/>
    <w:rsid w:val="007D4C37"/>
    <w:rsid w:val="007D5606"/>
    <w:rsid w:val="007D70AF"/>
    <w:rsid w:val="007E0395"/>
    <w:rsid w:val="007E1F59"/>
    <w:rsid w:val="007E288F"/>
    <w:rsid w:val="007E5902"/>
    <w:rsid w:val="007E7480"/>
    <w:rsid w:val="007F0EFC"/>
    <w:rsid w:val="007F232D"/>
    <w:rsid w:val="007F3CEA"/>
    <w:rsid w:val="0080086A"/>
    <w:rsid w:val="00800C7B"/>
    <w:rsid w:val="0080384B"/>
    <w:rsid w:val="008051D2"/>
    <w:rsid w:val="008064F6"/>
    <w:rsid w:val="00806E6E"/>
    <w:rsid w:val="008079C6"/>
    <w:rsid w:val="00811FDD"/>
    <w:rsid w:val="00812245"/>
    <w:rsid w:val="00822516"/>
    <w:rsid w:val="00822D67"/>
    <w:rsid w:val="0082359F"/>
    <w:rsid w:val="00827445"/>
    <w:rsid w:val="00834109"/>
    <w:rsid w:val="008358B5"/>
    <w:rsid w:val="00835BF9"/>
    <w:rsid w:val="008419D2"/>
    <w:rsid w:val="00846982"/>
    <w:rsid w:val="0085206F"/>
    <w:rsid w:val="00857073"/>
    <w:rsid w:val="008604DE"/>
    <w:rsid w:val="00865111"/>
    <w:rsid w:val="0086620D"/>
    <w:rsid w:val="00867A65"/>
    <w:rsid w:val="008722AF"/>
    <w:rsid w:val="008740A3"/>
    <w:rsid w:val="00885855"/>
    <w:rsid w:val="00892509"/>
    <w:rsid w:val="00894533"/>
    <w:rsid w:val="008951BA"/>
    <w:rsid w:val="008973C3"/>
    <w:rsid w:val="00897F0D"/>
    <w:rsid w:val="008B0DE3"/>
    <w:rsid w:val="008B1A4B"/>
    <w:rsid w:val="008B2D65"/>
    <w:rsid w:val="008B5295"/>
    <w:rsid w:val="008B6331"/>
    <w:rsid w:val="008B6A1A"/>
    <w:rsid w:val="008C105D"/>
    <w:rsid w:val="008C4896"/>
    <w:rsid w:val="008D1B23"/>
    <w:rsid w:val="008D5E50"/>
    <w:rsid w:val="008E17BC"/>
    <w:rsid w:val="008E1CAC"/>
    <w:rsid w:val="008E2118"/>
    <w:rsid w:val="008E2D2C"/>
    <w:rsid w:val="008E3738"/>
    <w:rsid w:val="008E4213"/>
    <w:rsid w:val="008E5B87"/>
    <w:rsid w:val="008E6969"/>
    <w:rsid w:val="008E7193"/>
    <w:rsid w:val="008E7548"/>
    <w:rsid w:val="008F15C3"/>
    <w:rsid w:val="00900629"/>
    <w:rsid w:val="00903F2E"/>
    <w:rsid w:val="009076E2"/>
    <w:rsid w:val="00914A25"/>
    <w:rsid w:val="00922CCC"/>
    <w:rsid w:val="00926C0C"/>
    <w:rsid w:val="00931789"/>
    <w:rsid w:val="0093710E"/>
    <w:rsid w:val="009454DF"/>
    <w:rsid w:val="009457B2"/>
    <w:rsid w:val="00950AC4"/>
    <w:rsid w:val="00950ED0"/>
    <w:rsid w:val="009511FE"/>
    <w:rsid w:val="00952BE4"/>
    <w:rsid w:val="009550C2"/>
    <w:rsid w:val="00960D2F"/>
    <w:rsid w:val="00974067"/>
    <w:rsid w:val="0098096E"/>
    <w:rsid w:val="0098149C"/>
    <w:rsid w:val="00981748"/>
    <w:rsid w:val="00982294"/>
    <w:rsid w:val="00983714"/>
    <w:rsid w:val="0098656D"/>
    <w:rsid w:val="009951FA"/>
    <w:rsid w:val="00997B9A"/>
    <w:rsid w:val="009A04AD"/>
    <w:rsid w:val="009A1958"/>
    <w:rsid w:val="009A36CE"/>
    <w:rsid w:val="009A76E5"/>
    <w:rsid w:val="009B2974"/>
    <w:rsid w:val="009B4246"/>
    <w:rsid w:val="009B4292"/>
    <w:rsid w:val="009B5611"/>
    <w:rsid w:val="009B5620"/>
    <w:rsid w:val="009B5F68"/>
    <w:rsid w:val="009B7E16"/>
    <w:rsid w:val="009C015B"/>
    <w:rsid w:val="009C11B5"/>
    <w:rsid w:val="009C4355"/>
    <w:rsid w:val="009D14FE"/>
    <w:rsid w:val="009D289C"/>
    <w:rsid w:val="009D4676"/>
    <w:rsid w:val="009D794B"/>
    <w:rsid w:val="009F0181"/>
    <w:rsid w:val="009F04A4"/>
    <w:rsid w:val="009F40DE"/>
    <w:rsid w:val="00A01BD8"/>
    <w:rsid w:val="00A0462B"/>
    <w:rsid w:val="00A04EAA"/>
    <w:rsid w:val="00A163DF"/>
    <w:rsid w:val="00A17240"/>
    <w:rsid w:val="00A23F06"/>
    <w:rsid w:val="00A2440F"/>
    <w:rsid w:val="00A31C5B"/>
    <w:rsid w:val="00A31C62"/>
    <w:rsid w:val="00A33947"/>
    <w:rsid w:val="00A34E32"/>
    <w:rsid w:val="00A407C5"/>
    <w:rsid w:val="00A41821"/>
    <w:rsid w:val="00A47519"/>
    <w:rsid w:val="00A5037C"/>
    <w:rsid w:val="00A516C8"/>
    <w:rsid w:val="00A52685"/>
    <w:rsid w:val="00A56731"/>
    <w:rsid w:val="00A613D3"/>
    <w:rsid w:val="00A66FA4"/>
    <w:rsid w:val="00A670AC"/>
    <w:rsid w:val="00A67DFC"/>
    <w:rsid w:val="00A86FF8"/>
    <w:rsid w:val="00A904C9"/>
    <w:rsid w:val="00A92D61"/>
    <w:rsid w:val="00A94FA0"/>
    <w:rsid w:val="00A95348"/>
    <w:rsid w:val="00AA12EB"/>
    <w:rsid w:val="00AA321E"/>
    <w:rsid w:val="00AA40A7"/>
    <w:rsid w:val="00AA5BB2"/>
    <w:rsid w:val="00AA789B"/>
    <w:rsid w:val="00AA792C"/>
    <w:rsid w:val="00AB5C8E"/>
    <w:rsid w:val="00AC4F43"/>
    <w:rsid w:val="00AC5111"/>
    <w:rsid w:val="00AD2179"/>
    <w:rsid w:val="00AD5CE1"/>
    <w:rsid w:val="00AE0045"/>
    <w:rsid w:val="00AE5815"/>
    <w:rsid w:val="00AE74FE"/>
    <w:rsid w:val="00AF0CDC"/>
    <w:rsid w:val="00AF40A8"/>
    <w:rsid w:val="00AF78DD"/>
    <w:rsid w:val="00B01A7B"/>
    <w:rsid w:val="00B04B4E"/>
    <w:rsid w:val="00B052F1"/>
    <w:rsid w:val="00B05534"/>
    <w:rsid w:val="00B13A44"/>
    <w:rsid w:val="00B15859"/>
    <w:rsid w:val="00B16129"/>
    <w:rsid w:val="00B176CD"/>
    <w:rsid w:val="00B23DDF"/>
    <w:rsid w:val="00B26F98"/>
    <w:rsid w:val="00B31104"/>
    <w:rsid w:val="00B366D8"/>
    <w:rsid w:val="00B36AEE"/>
    <w:rsid w:val="00B4066F"/>
    <w:rsid w:val="00B40862"/>
    <w:rsid w:val="00B40E52"/>
    <w:rsid w:val="00B41D1D"/>
    <w:rsid w:val="00B43DA4"/>
    <w:rsid w:val="00B51646"/>
    <w:rsid w:val="00B51E9C"/>
    <w:rsid w:val="00B55850"/>
    <w:rsid w:val="00B55A41"/>
    <w:rsid w:val="00B63758"/>
    <w:rsid w:val="00B649B7"/>
    <w:rsid w:val="00B659A4"/>
    <w:rsid w:val="00B673FE"/>
    <w:rsid w:val="00B71908"/>
    <w:rsid w:val="00B73B69"/>
    <w:rsid w:val="00B75EF0"/>
    <w:rsid w:val="00B8172F"/>
    <w:rsid w:val="00B9716A"/>
    <w:rsid w:val="00B97CB0"/>
    <w:rsid w:val="00BA49E6"/>
    <w:rsid w:val="00BA524A"/>
    <w:rsid w:val="00BB3EF8"/>
    <w:rsid w:val="00BC1E66"/>
    <w:rsid w:val="00BC3B99"/>
    <w:rsid w:val="00BC5108"/>
    <w:rsid w:val="00BE2D3B"/>
    <w:rsid w:val="00BE672E"/>
    <w:rsid w:val="00BE73FC"/>
    <w:rsid w:val="00BF298D"/>
    <w:rsid w:val="00BF333F"/>
    <w:rsid w:val="00BF345E"/>
    <w:rsid w:val="00BF6980"/>
    <w:rsid w:val="00C0099F"/>
    <w:rsid w:val="00C02AD8"/>
    <w:rsid w:val="00C05AD3"/>
    <w:rsid w:val="00C06890"/>
    <w:rsid w:val="00C07E33"/>
    <w:rsid w:val="00C13A18"/>
    <w:rsid w:val="00C13DA8"/>
    <w:rsid w:val="00C16180"/>
    <w:rsid w:val="00C16EA9"/>
    <w:rsid w:val="00C2661C"/>
    <w:rsid w:val="00C27F79"/>
    <w:rsid w:val="00C357A0"/>
    <w:rsid w:val="00C3682F"/>
    <w:rsid w:val="00C4192E"/>
    <w:rsid w:val="00C42BAF"/>
    <w:rsid w:val="00C463C2"/>
    <w:rsid w:val="00C512F4"/>
    <w:rsid w:val="00C522CD"/>
    <w:rsid w:val="00C54615"/>
    <w:rsid w:val="00C5541E"/>
    <w:rsid w:val="00C57403"/>
    <w:rsid w:val="00C57AA0"/>
    <w:rsid w:val="00C60424"/>
    <w:rsid w:val="00C6393D"/>
    <w:rsid w:val="00C66CA0"/>
    <w:rsid w:val="00C81BB6"/>
    <w:rsid w:val="00C94D11"/>
    <w:rsid w:val="00C95627"/>
    <w:rsid w:val="00CA07EB"/>
    <w:rsid w:val="00CA47F0"/>
    <w:rsid w:val="00CA4FFC"/>
    <w:rsid w:val="00CA5091"/>
    <w:rsid w:val="00CA5FD8"/>
    <w:rsid w:val="00CB101E"/>
    <w:rsid w:val="00CB4C26"/>
    <w:rsid w:val="00CC275A"/>
    <w:rsid w:val="00CD3C52"/>
    <w:rsid w:val="00CE0D1A"/>
    <w:rsid w:val="00CE22A1"/>
    <w:rsid w:val="00CE2C34"/>
    <w:rsid w:val="00CE3224"/>
    <w:rsid w:val="00CE45F0"/>
    <w:rsid w:val="00CE5792"/>
    <w:rsid w:val="00CF1EED"/>
    <w:rsid w:val="00CF3FF2"/>
    <w:rsid w:val="00CF4B4A"/>
    <w:rsid w:val="00CF54F0"/>
    <w:rsid w:val="00D02225"/>
    <w:rsid w:val="00D03899"/>
    <w:rsid w:val="00D101F4"/>
    <w:rsid w:val="00D10A70"/>
    <w:rsid w:val="00D12E4D"/>
    <w:rsid w:val="00D132EE"/>
    <w:rsid w:val="00D13659"/>
    <w:rsid w:val="00D1418D"/>
    <w:rsid w:val="00D148ED"/>
    <w:rsid w:val="00D167D3"/>
    <w:rsid w:val="00D16A87"/>
    <w:rsid w:val="00D20370"/>
    <w:rsid w:val="00D22C3D"/>
    <w:rsid w:val="00D25A12"/>
    <w:rsid w:val="00D30043"/>
    <w:rsid w:val="00D41EC6"/>
    <w:rsid w:val="00D42D81"/>
    <w:rsid w:val="00D44266"/>
    <w:rsid w:val="00D66A32"/>
    <w:rsid w:val="00D70DA5"/>
    <w:rsid w:val="00D71A51"/>
    <w:rsid w:val="00D72695"/>
    <w:rsid w:val="00D73F26"/>
    <w:rsid w:val="00D80D26"/>
    <w:rsid w:val="00D91D5C"/>
    <w:rsid w:val="00D921E8"/>
    <w:rsid w:val="00D92E1B"/>
    <w:rsid w:val="00DC298F"/>
    <w:rsid w:val="00DC5102"/>
    <w:rsid w:val="00DC5709"/>
    <w:rsid w:val="00DC5BAF"/>
    <w:rsid w:val="00DC5FC7"/>
    <w:rsid w:val="00DC6B7B"/>
    <w:rsid w:val="00DC72D9"/>
    <w:rsid w:val="00DD5544"/>
    <w:rsid w:val="00DE040C"/>
    <w:rsid w:val="00DE22B9"/>
    <w:rsid w:val="00DE44AD"/>
    <w:rsid w:val="00DE4E32"/>
    <w:rsid w:val="00DF0F2F"/>
    <w:rsid w:val="00DF224F"/>
    <w:rsid w:val="00DF248E"/>
    <w:rsid w:val="00DF4C76"/>
    <w:rsid w:val="00DF5150"/>
    <w:rsid w:val="00DF70A2"/>
    <w:rsid w:val="00DF7E90"/>
    <w:rsid w:val="00E03D00"/>
    <w:rsid w:val="00E05745"/>
    <w:rsid w:val="00E23B2C"/>
    <w:rsid w:val="00E23C3E"/>
    <w:rsid w:val="00E24BD9"/>
    <w:rsid w:val="00E24D8D"/>
    <w:rsid w:val="00E279C0"/>
    <w:rsid w:val="00E3055F"/>
    <w:rsid w:val="00E31530"/>
    <w:rsid w:val="00E31815"/>
    <w:rsid w:val="00E33C3E"/>
    <w:rsid w:val="00E348D7"/>
    <w:rsid w:val="00E36DEA"/>
    <w:rsid w:val="00E443F4"/>
    <w:rsid w:val="00E47914"/>
    <w:rsid w:val="00E479B7"/>
    <w:rsid w:val="00E53876"/>
    <w:rsid w:val="00E57772"/>
    <w:rsid w:val="00E70C14"/>
    <w:rsid w:val="00E7191F"/>
    <w:rsid w:val="00E762F1"/>
    <w:rsid w:val="00E8064C"/>
    <w:rsid w:val="00E807BB"/>
    <w:rsid w:val="00E81185"/>
    <w:rsid w:val="00E9347D"/>
    <w:rsid w:val="00E9521B"/>
    <w:rsid w:val="00E96150"/>
    <w:rsid w:val="00EA009B"/>
    <w:rsid w:val="00EA1E8F"/>
    <w:rsid w:val="00EA26E0"/>
    <w:rsid w:val="00EA2C0E"/>
    <w:rsid w:val="00EA4349"/>
    <w:rsid w:val="00EA5AF3"/>
    <w:rsid w:val="00EB55CA"/>
    <w:rsid w:val="00EC3A73"/>
    <w:rsid w:val="00EC5A76"/>
    <w:rsid w:val="00EC6993"/>
    <w:rsid w:val="00EE2374"/>
    <w:rsid w:val="00EE2ADE"/>
    <w:rsid w:val="00EE406F"/>
    <w:rsid w:val="00EF17E5"/>
    <w:rsid w:val="00EF1B77"/>
    <w:rsid w:val="00EF1C4B"/>
    <w:rsid w:val="00EF3673"/>
    <w:rsid w:val="00EF720A"/>
    <w:rsid w:val="00EF7CE1"/>
    <w:rsid w:val="00F062F3"/>
    <w:rsid w:val="00F10C79"/>
    <w:rsid w:val="00F12C35"/>
    <w:rsid w:val="00F13988"/>
    <w:rsid w:val="00F13BE0"/>
    <w:rsid w:val="00F164B4"/>
    <w:rsid w:val="00F16B30"/>
    <w:rsid w:val="00F23942"/>
    <w:rsid w:val="00F250E1"/>
    <w:rsid w:val="00F34067"/>
    <w:rsid w:val="00F40E44"/>
    <w:rsid w:val="00F40E78"/>
    <w:rsid w:val="00F4260C"/>
    <w:rsid w:val="00F50C0F"/>
    <w:rsid w:val="00F51A41"/>
    <w:rsid w:val="00F56CCC"/>
    <w:rsid w:val="00F61F0A"/>
    <w:rsid w:val="00F75B2D"/>
    <w:rsid w:val="00F77C6A"/>
    <w:rsid w:val="00F829E2"/>
    <w:rsid w:val="00F86AC3"/>
    <w:rsid w:val="00F92731"/>
    <w:rsid w:val="00F92F38"/>
    <w:rsid w:val="00F93F4F"/>
    <w:rsid w:val="00FA39EE"/>
    <w:rsid w:val="00FA4588"/>
    <w:rsid w:val="00FA790E"/>
    <w:rsid w:val="00FB2895"/>
    <w:rsid w:val="00FB3A13"/>
    <w:rsid w:val="00FB6820"/>
    <w:rsid w:val="00FB7E76"/>
    <w:rsid w:val="00FC3C45"/>
    <w:rsid w:val="00FC60BC"/>
    <w:rsid w:val="00FC6390"/>
    <w:rsid w:val="00FD019C"/>
    <w:rsid w:val="00FD53D6"/>
    <w:rsid w:val="00FE5AAB"/>
    <w:rsid w:val="00FF72B6"/>
    <w:rsid w:val="00FF759A"/>
    <w:rsid w:val="00FF7C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3" w:unhideWhenUsed="0" w:qFormat="1"/>
    <w:lsdException w:name="heading 2" w:semiHidden="0" w:uiPriority="3" w:unhideWhenUsed="0" w:qFormat="1"/>
    <w:lsdException w:name="heading 3" w:semiHidden="0" w:uiPriority="3" w:unhideWhenUsed="0" w:qFormat="1"/>
    <w:lsdException w:name="heading 4" w:semiHidden="0" w:uiPriority="3" w:unhideWhenUsed="0"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uiPriority="49"/>
    <w:lsdException w:name="index 2" w:uiPriority="49"/>
    <w:lsdException w:name="index 3" w:uiPriority="49"/>
    <w:lsdException w:name="index 4" w:uiPriority="49"/>
    <w:lsdException w:name="index 5" w:uiPriority="49"/>
    <w:lsdException w:name="index 6" w:uiPriority="49"/>
    <w:lsdException w:name="index 7" w:uiPriority="49"/>
    <w:lsdException w:name="index 8" w:uiPriority="49"/>
    <w:lsdException w:name="index 9" w:uiPriority="49"/>
    <w:lsdException w:name="toc 1" w:uiPriority="39"/>
    <w:lsdException w:name="toc 2" w:uiPriority="39"/>
    <w:lsdException w:name="toc 3" w:uiPriority="39"/>
    <w:lsdException w:name="toc 4" w:uiPriority="39"/>
    <w:lsdException w:name="toc 5" w:uiPriority="39"/>
    <w:lsdException w:name="toc 6" w:uiPriority="49"/>
    <w:lsdException w:name="toc 7" w:uiPriority="49"/>
    <w:lsdException w:name="toc 8" w:uiPriority="49"/>
    <w:lsdException w:name="toc 9" w:uiPriority="49"/>
    <w:lsdException w:name="Normal Indent" w:uiPriority="0"/>
    <w:lsdException w:name="footnote text" w:semiHidden="0" w:uiPriority="49" w:unhideWhenUsed="0"/>
    <w:lsdException w:name="header" w:uiPriority="24"/>
    <w:lsdException w:name="index heading" w:uiPriority="49"/>
    <w:lsdException w:name="caption" w:uiPriority="0" w:qFormat="1"/>
    <w:lsdException w:name="envelope address" w:uiPriority="49"/>
    <w:lsdException w:name="envelope return" w:uiPriority="49"/>
    <w:lsdException w:name="footnote reference" w:uiPriority="49"/>
    <w:lsdException w:name="annotation reference" w:uiPriority="49"/>
    <w:lsdException w:name="line number" w:uiPriority="49"/>
    <w:lsdException w:name="page number" w:uiPriority="49"/>
    <w:lsdException w:name="endnote reference" w:uiPriority="49"/>
    <w:lsdException w:name="endnote text" w:uiPriority="49"/>
    <w:lsdException w:name="table of authorities" w:uiPriority="39"/>
    <w:lsdException w:name="macro" w:uiPriority="49"/>
    <w:lsdException w:name="toa heading" w:uiPriority="39"/>
    <w:lsdException w:name="List" w:uiPriority="49"/>
    <w:lsdException w:name="List Number" w:uiPriority="7" w:qFormat="1"/>
    <w:lsdException w:name="List 2" w:uiPriority="49"/>
    <w:lsdException w:name="List 3" w:uiPriority="49"/>
    <w:lsdException w:name="List 4" w:uiPriority="49"/>
    <w:lsdException w:name="List 5" w:uiPriority="49"/>
    <w:lsdException w:name="List Bullet 2" w:uiPriority="0"/>
    <w:lsdException w:name="List Bullet 4" w:uiPriority="49"/>
    <w:lsdException w:name="List Bullet 5" w:uiPriority="49"/>
    <w:lsdException w:name="List Number 2" w:uiPriority="7"/>
    <w:lsdException w:name="List Number 3" w:uiPriority="7"/>
    <w:lsdException w:name="List Number 4" w:uiPriority="49"/>
    <w:lsdException w:name="List Number 5" w:uiPriority="49"/>
    <w:lsdException w:name="Title" w:semiHidden="0" w:uiPriority="28" w:unhideWhenUsed="0" w:qFormat="1"/>
    <w:lsdException w:name="Closing" w:uiPriority="49"/>
    <w:lsdException w:name="Signature" w:uiPriority="49"/>
    <w:lsdException w:name="Default Paragraph Font" w:uiPriority="1"/>
    <w:lsdException w:name="Body Text" w:uiPriority="49"/>
    <w:lsdException w:name="Body Text Indent" w:uiPriority="49"/>
    <w:lsdException w:name="List Continue" w:uiPriority="8" w:qFormat="1"/>
    <w:lsdException w:name="List Continue 2" w:uiPriority="8"/>
    <w:lsdException w:name="List Continue 3" w:uiPriority="8"/>
    <w:lsdException w:name="List Continue 4" w:uiPriority="49"/>
    <w:lsdException w:name="List Continue 5" w:uiPriority="49"/>
    <w:lsdException w:name="Message Header" w:uiPriority="49"/>
    <w:lsdException w:name="Subtitle" w:semiHidden="0" w:uiPriority="29" w:unhideWhenUsed="0" w:qFormat="1"/>
    <w:lsdException w:name="Salutation" w:uiPriority="49"/>
    <w:lsdException w:name="Date" w:uiPriority="49"/>
    <w:lsdException w:name="Body Text First Indent" w:uiPriority="49"/>
    <w:lsdException w:name="Body Text First Indent 2" w:uiPriority="49"/>
    <w:lsdException w:name="Body Text 2" w:uiPriority="49"/>
    <w:lsdException w:name="Body Text 3" w:uiPriority="49"/>
    <w:lsdException w:name="Body Text Indent 2" w:uiPriority="49"/>
    <w:lsdException w:name="Body Text Indent 3" w:uiPriority="49"/>
    <w:lsdException w:name="Block Text" w:uiPriority="49"/>
    <w:lsdException w:name="Strong" w:semiHidden="0" w:uiPriority="22" w:unhideWhenUsed="0" w:qFormat="1"/>
    <w:lsdException w:name="Emphasis" w:semiHidden="0" w:uiPriority="20" w:unhideWhenUsed="0" w:qFormat="1"/>
    <w:lsdException w:name="Document Map" w:uiPriority="49"/>
    <w:lsdException w:name="Plain Text" w:uiPriority="49"/>
    <w:lsdException w:name="E-mail Signature" w:uiPriority="49"/>
    <w:lsdException w:name="HTML Address" w:uiPriority="49"/>
    <w:lsdException w:name="HTML Preformatted" w:uiPriority="49"/>
    <w:lsdException w:name="annotation subject" w:uiPriority="49"/>
    <w:lsdException w:name="Balloon Text" w:uiPriority="49"/>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uiPriority="29" w:unhideWhenUsed="0" w:qFormat="1"/>
    <w:lsdException w:name="Intense Quote" w:locked="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29" w:unhideWhenUsed="0" w:qFormat="1"/>
  </w:latentStyles>
  <w:style w:type="paragraph" w:default="1" w:styleId="Normal">
    <w:name w:val="Normal"/>
    <w:qFormat/>
    <w:rsid w:val="00280D7E"/>
    <w:pPr>
      <w:spacing w:before="100" w:after="100"/>
      <w:ind w:left="794"/>
    </w:pPr>
    <w:rPr>
      <w:rFonts w:eastAsia="Times New Roman" w:cs="Calibri"/>
    </w:rPr>
  </w:style>
  <w:style w:type="paragraph" w:styleId="Heading1">
    <w:name w:val="heading 1"/>
    <w:basedOn w:val="Normal"/>
    <w:next w:val="Normal"/>
    <w:link w:val="Heading1Char"/>
    <w:uiPriority w:val="3"/>
    <w:qFormat/>
    <w:rsid w:val="000A57B1"/>
    <w:pPr>
      <w:keepNext/>
      <w:keepLines/>
      <w:pageBreakBefore/>
      <w:numPr>
        <w:numId w:val="8"/>
      </w:numPr>
      <w:spacing w:before="0" w:after="1120" w:line="216" w:lineRule="auto"/>
      <w:outlineLvl w:val="0"/>
    </w:pPr>
    <w:rPr>
      <w:color w:val="404040"/>
      <w:sz w:val="40"/>
      <w:lang w:eastAsia="en-US"/>
    </w:rPr>
  </w:style>
  <w:style w:type="paragraph" w:styleId="Heading2">
    <w:name w:val="heading 2"/>
    <w:basedOn w:val="Heading1"/>
    <w:next w:val="Normal"/>
    <w:link w:val="Heading2Char"/>
    <w:uiPriority w:val="3"/>
    <w:qFormat/>
    <w:rsid w:val="000A57B1"/>
    <w:pPr>
      <w:pageBreakBefore w:val="0"/>
      <w:widowControl w:val="0"/>
      <w:numPr>
        <w:ilvl w:val="1"/>
      </w:numPr>
      <w:spacing w:before="280" w:after="120"/>
      <w:outlineLvl w:val="1"/>
    </w:pPr>
    <w:rPr>
      <w:color w:val="4D4D4D"/>
      <w:sz w:val="30"/>
    </w:rPr>
  </w:style>
  <w:style w:type="paragraph" w:styleId="Heading3">
    <w:name w:val="heading 3"/>
    <w:basedOn w:val="Heading2"/>
    <w:next w:val="Normal"/>
    <w:link w:val="Heading3Char"/>
    <w:uiPriority w:val="3"/>
    <w:qFormat/>
    <w:rsid w:val="000A57B1"/>
    <w:pPr>
      <w:numPr>
        <w:ilvl w:val="2"/>
      </w:numPr>
      <w:spacing w:before="200"/>
      <w:outlineLvl w:val="2"/>
    </w:pPr>
    <w:rPr>
      <w:b/>
      <w:sz w:val="26"/>
    </w:rPr>
  </w:style>
  <w:style w:type="paragraph" w:styleId="Heading4">
    <w:name w:val="heading 4"/>
    <w:basedOn w:val="Heading3"/>
    <w:next w:val="Normal"/>
    <w:link w:val="Heading4Char"/>
    <w:uiPriority w:val="3"/>
    <w:qFormat/>
    <w:rsid w:val="000A57B1"/>
    <w:pPr>
      <w:numPr>
        <w:ilvl w:val="3"/>
      </w:numPr>
      <w:spacing w:before="160" w:line="228" w:lineRule="auto"/>
      <w:outlineLvl w:val="3"/>
    </w:pPr>
    <w:rPr>
      <w:sz w:val="22"/>
    </w:rPr>
  </w:style>
  <w:style w:type="paragraph" w:styleId="Heading5">
    <w:name w:val="heading 5"/>
    <w:basedOn w:val="Heading4"/>
    <w:next w:val="Normal"/>
    <w:link w:val="Heading5Char"/>
    <w:uiPriority w:val="3"/>
    <w:qFormat/>
    <w:locked/>
    <w:rsid w:val="000A57B1"/>
    <w:pPr>
      <w:numPr>
        <w:ilvl w:val="4"/>
      </w:numPr>
      <w:outlineLvl w:val="4"/>
    </w:pPr>
    <w:rPr>
      <w:bCs/>
      <w:i/>
      <w:color w:val="404040"/>
    </w:rPr>
  </w:style>
  <w:style w:type="paragraph" w:styleId="Heading6">
    <w:name w:val="heading 6"/>
    <w:basedOn w:val="Heading5"/>
    <w:next w:val="Normal"/>
    <w:link w:val="Heading6Char"/>
    <w:uiPriority w:val="3"/>
    <w:semiHidden/>
    <w:qFormat/>
    <w:locked/>
    <w:rsid w:val="000A57B1"/>
    <w:pPr>
      <w:numPr>
        <w:ilvl w:val="5"/>
      </w:numPr>
      <w:outlineLvl w:val="5"/>
    </w:pPr>
    <w:rPr>
      <w:iCs/>
    </w:rPr>
  </w:style>
  <w:style w:type="paragraph" w:styleId="Heading7">
    <w:name w:val="heading 7"/>
    <w:basedOn w:val="Heading6"/>
    <w:next w:val="Normal"/>
    <w:link w:val="Heading7Char"/>
    <w:uiPriority w:val="3"/>
    <w:semiHidden/>
    <w:qFormat/>
    <w:locked/>
    <w:rsid w:val="000A57B1"/>
    <w:pPr>
      <w:numPr>
        <w:ilvl w:val="6"/>
      </w:numPr>
      <w:outlineLvl w:val="6"/>
    </w:pPr>
    <w:rPr>
      <w:i w:val="0"/>
    </w:rPr>
  </w:style>
  <w:style w:type="paragraph" w:styleId="Heading8">
    <w:name w:val="heading 8"/>
    <w:basedOn w:val="Heading7"/>
    <w:next w:val="Normal"/>
    <w:link w:val="Heading8Char"/>
    <w:uiPriority w:val="3"/>
    <w:semiHidden/>
    <w:qFormat/>
    <w:locked/>
    <w:rsid w:val="000A57B1"/>
    <w:pPr>
      <w:numPr>
        <w:ilvl w:val="7"/>
      </w:numPr>
      <w:outlineLvl w:val="7"/>
    </w:pPr>
    <w:rPr>
      <w:b w:val="0"/>
    </w:rPr>
  </w:style>
  <w:style w:type="paragraph" w:styleId="Heading9">
    <w:name w:val="heading 9"/>
    <w:basedOn w:val="Heading8"/>
    <w:next w:val="Normal"/>
    <w:link w:val="Heading9Char"/>
    <w:uiPriority w:val="3"/>
    <w:semiHidden/>
    <w:qFormat/>
    <w:locked/>
    <w:rsid w:val="000A57B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locked/>
    <w:rsid w:val="000A57B1"/>
    <w:rPr>
      <w:rFonts w:eastAsia="Times New Roman" w:cs="Calibri"/>
      <w:color w:val="404040"/>
      <w:sz w:val="40"/>
      <w:lang w:eastAsia="en-US"/>
    </w:rPr>
  </w:style>
  <w:style w:type="character" w:customStyle="1" w:styleId="Heading2Char">
    <w:name w:val="Heading 2 Char"/>
    <w:basedOn w:val="DefaultParagraphFont"/>
    <w:link w:val="Heading2"/>
    <w:uiPriority w:val="3"/>
    <w:locked/>
    <w:rsid w:val="000A57B1"/>
    <w:rPr>
      <w:rFonts w:eastAsia="Times New Roman" w:cs="Calibri"/>
      <w:color w:val="4D4D4D"/>
      <w:sz w:val="30"/>
      <w:lang w:eastAsia="en-US"/>
    </w:rPr>
  </w:style>
  <w:style w:type="character" w:customStyle="1" w:styleId="Heading3Char">
    <w:name w:val="Heading 3 Char"/>
    <w:basedOn w:val="DefaultParagraphFont"/>
    <w:link w:val="Heading3"/>
    <w:uiPriority w:val="3"/>
    <w:locked/>
    <w:rsid w:val="000A57B1"/>
    <w:rPr>
      <w:rFonts w:eastAsia="Times New Roman" w:cs="Calibri"/>
      <w:b/>
      <w:color w:val="4D4D4D"/>
      <w:sz w:val="26"/>
      <w:lang w:eastAsia="en-US"/>
    </w:rPr>
  </w:style>
  <w:style w:type="character" w:customStyle="1" w:styleId="Heading4Char">
    <w:name w:val="Heading 4 Char"/>
    <w:basedOn w:val="DefaultParagraphFont"/>
    <w:link w:val="Heading4"/>
    <w:uiPriority w:val="3"/>
    <w:locked/>
    <w:rsid w:val="000A57B1"/>
    <w:rPr>
      <w:rFonts w:eastAsia="Times New Roman" w:cs="Calibri"/>
      <w:b/>
      <w:color w:val="4D4D4D"/>
      <w:lang w:eastAsia="en-US"/>
    </w:rPr>
  </w:style>
  <w:style w:type="paragraph" w:styleId="Title">
    <w:name w:val="Title"/>
    <w:basedOn w:val="Normal"/>
    <w:link w:val="TitleChar"/>
    <w:uiPriority w:val="28"/>
    <w:qFormat/>
    <w:rsid w:val="000A57B1"/>
    <w:pPr>
      <w:spacing w:before="0" w:line="560" w:lineRule="exact"/>
      <w:ind w:left="0" w:right="3402"/>
    </w:pPr>
    <w:rPr>
      <w:b/>
      <w:color w:val="000000"/>
      <w:sz w:val="60"/>
    </w:rPr>
  </w:style>
  <w:style w:type="character" w:customStyle="1" w:styleId="TitleChar">
    <w:name w:val="Title Char"/>
    <w:basedOn w:val="DefaultParagraphFont"/>
    <w:link w:val="Title"/>
    <w:uiPriority w:val="28"/>
    <w:locked/>
    <w:rsid w:val="000A57B1"/>
    <w:rPr>
      <w:rFonts w:eastAsia="Times New Roman" w:cs="Calibri"/>
      <w:b/>
      <w:color w:val="000000"/>
      <w:sz w:val="60"/>
    </w:rPr>
  </w:style>
  <w:style w:type="paragraph" w:customStyle="1" w:styleId="NormalTight">
    <w:name w:val="Normal Tight"/>
    <w:basedOn w:val="Normal"/>
    <w:rsid w:val="000A57B1"/>
    <w:pPr>
      <w:spacing w:before="0" w:after="0"/>
    </w:pPr>
  </w:style>
  <w:style w:type="paragraph" w:styleId="Subtitle">
    <w:name w:val="Subtitle"/>
    <w:basedOn w:val="Normal"/>
    <w:link w:val="SubtitleChar"/>
    <w:uiPriority w:val="29"/>
    <w:qFormat/>
    <w:rsid w:val="000A57B1"/>
    <w:pPr>
      <w:spacing w:before="0" w:after="0" w:line="440" w:lineRule="exact"/>
      <w:ind w:left="0"/>
    </w:pPr>
    <w:rPr>
      <w:color w:val="000000"/>
      <w:sz w:val="40"/>
      <w:szCs w:val="24"/>
    </w:rPr>
  </w:style>
  <w:style w:type="character" w:customStyle="1" w:styleId="SubtitleChar">
    <w:name w:val="Subtitle Char"/>
    <w:basedOn w:val="DefaultParagraphFont"/>
    <w:link w:val="Subtitle"/>
    <w:uiPriority w:val="29"/>
    <w:locked/>
    <w:rsid w:val="000A57B1"/>
    <w:rPr>
      <w:rFonts w:eastAsia="Times New Roman" w:cs="Calibri"/>
      <w:color w:val="000000"/>
      <w:sz w:val="40"/>
      <w:szCs w:val="24"/>
    </w:rPr>
  </w:style>
  <w:style w:type="paragraph" w:customStyle="1" w:styleId="TertiaryTitle">
    <w:name w:val="Tertiary Title"/>
    <w:basedOn w:val="Normal"/>
    <w:rsid w:val="000A57B1"/>
    <w:pPr>
      <w:spacing w:before="0" w:after="0" w:line="440" w:lineRule="exact"/>
      <w:ind w:left="0"/>
    </w:pPr>
    <w:rPr>
      <w:color w:val="4D4D4D"/>
      <w:sz w:val="36"/>
      <w:szCs w:val="40"/>
      <w:lang w:eastAsia="en-US"/>
    </w:rPr>
  </w:style>
  <w:style w:type="paragraph" w:styleId="TOCHeading">
    <w:name w:val="TOC Heading"/>
    <w:uiPriority w:val="29"/>
    <w:qFormat/>
    <w:rsid w:val="000A57B1"/>
    <w:pPr>
      <w:keepNext/>
      <w:pageBreakBefore/>
      <w:spacing w:after="1200"/>
    </w:pPr>
    <w:rPr>
      <w:rFonts w:eastAsia="Times New Roman" w:cs="Calibri"/>
      <w:color w:val="4C4C4C"/>
      <w:sz w:val="40"/>
    </w:rPr>
  </w:style>
  <w:style w:type="paragraph" w:customStyle="1" w:styleId="Bullet1">
    <w:name w:val="Bullet 1"/>
    <w:basedOn w:val="Normal"/>
    <w:uiPriority w:val="11"/>
    <w:qFormat/>
    <w:rsid w:val="000A57B1"/>
    <w:pPr>
      <w:numPr>
        <w:numId w:val="3"/>
      </w:numPr>
      <w:spacing w:before="80" w:after="80"/>
    </w:pPr>
  </w:style>
  <w:style w:type="character" w:styleId="CommentReference">
    <w:name w:val="annotation reference"/>
    <w:uiPriority w:val="49"/>
    <w:semiHidden/>
    <w:rsid w:val="000A57B1"/>
    <w:rPr>
      <w:rFonts w:ascii="Calibri" w:hAnsi="Calibri"/>
      <w:sz w:val="16"/>
    </w:rPr>
  </w:style>
  <w:style w:type="paragraph" w:styleId="CommentText">
    <w:name w:val="annotation text"/>
    <w:basedOn w:val="Normal"/>
    <w:link w:val="CommentTextChar"/>
    <w:uiPriority w:val="99"/>
    <w:rsid w:val="000A57B1"/>
  </w:style>
  <w:style w:type="character" w:customStyle="1" w:styleId="CommentTextChar">
    <w:name w:val="Comment Text Char"/>
    <w:basedOn w:val="DefaultParagraphFont"/>
    <w:link w:val="CommentText"/>
    <w:uiPriority w:val="99"/>
    <w:locked/>
    <w:rsid w:val="000A57B1"/>
    <w:rPr>
      <w:rFonts w:eastAsia="Times New Roman" w:cs="Calibri"/>
    </w:rPr>
  </w:style>
  <w:style w:type="paragraph" w:styleId="Footer">
    <w:name w:val="footer"/>
    <w:link w:val="FooterChar"/>
    <w:uiPriority w:val="99"/>
    <w:rsid w:val="000A57B1"/>
    <w:pPr>
      <w:tabs>
        <w:tab w:val="right" w:pos="8220"/>
      </w:tabs>
    </w:pPr>
    <w:rPr>
      <w:rFonts w:eastAsia="Times New Roman" w:cs="Calibri"/>
      <w:noProof/>
      <w:color w:val="4C4C4C"/>
      <w:sz w:val="12"/>
    </w:rPr>
  </w:style>
  <w:style w:type="character" w:customStyle="1" w:styleId="FooterChar">
    <w:name w:val="Footer Char"/>
    <w:basedOn w:val="DefaultParagraphFont"/>
    <w:link w:val="Footer"/>
    <w:uiPriority w:val="99"/>
    <w:locked/>
    <w:rsid w:val="000A57B1"/>
    <w:rPr>
      <w:rFonts w:eastAsia="Times New Roman" w:cs="Calibri"/>
      <w:noProof/>
      <w:color w:val="4C4C4C"/>
      <w:sz w:val="12"/>
    </w:rPr>
  </w:style>
  <w:style w:type="character" w:styleId="PageNumber">
    <w:name w:val="page number"/>
    <w:uiPriority w:val="49"/>
    <w:semiHidden/>
    <w:rsid w:val="000A57B1"/>
    <w:rPr>
      <w:b/>
      <w:color w:val="4C4C4C"/>
      <w:sz w:val="28"/>
    </w:rPr>
  </w:style>
  <w:style w:type="paragraph" w:customStyle="1" w:styleId="TableBullet">
    <w:name w:val="Table Bullet"/>
    <w:basedOn w:val="TableText"/>
    <w:uiPriority w:val="10"/>
    <w:qFormat/>
    <w:rsid w:val="000A57B1"/>
    <w:pPr>
      <w:numPr>
        <w:numId w:val="1"/>
      </w:numPr>
      <w:spacing w:before="0" w:after="0"/>
    </w:pPr>
  </w:style>
  <w:style w:type="paragraph" w:customStyle="1" w:styleId="TableBulletDash">
    <w:name w:val="Table Bullet Dash"/>
    <w:basedOn w:val="Normal"/>
    <w:uiPriority w:val="10"/>
    <w:rsid w:val="000A57B1"/>
    <w:pPr>
      <w:numPr>
        <w:ilvl w:val="1"/>
        <w:numId w:val="1"/>
      </w:numPr>
      <w:spacing w:before="0" w:after="0"/>
    </w:pPr>
    <w:rPr>
      <w:sz w:val="20"/>
    </w:rPr>
  </w:style>
  <w:style w:type="paragraph" w:customStyle="1" w:styleId="Spacer">
    <w:name w:val="Spacer"/>
    <w:basedOn w:val="Normal"/>
    <w:uiPriority w:val="13"/>
    <w:unhideWhenUsed/>
    <w:qFormat/>
    <w:rsid w:val="000A57B1"/>
    <w:pPr>
      <w:spacing w:before="0" w:after="0" w:line="120" w:lineRule="atLeast"/>
      <w:ind w:left="0"/>
    </w:pPr>
    <w:rPr>
      <w:sz w:val="12"/>
    </w:rPr>
  </w:style>
  <w:style w:type="paragraph" w:customStyle="1" w:styleId="TableText">
    <w:name w:val="Table Text"/>
    <w:basedOn w:val="Normal"/>
    <w:qFormat/>
    <w:rsid w:val="000A57B1"/>
    <w:pPr>
      <w:spacing w:before="20" w:after="20"/>
      <w:ind w:left="0"/>
    </w:pPr>
    <w:rPr>
      <w:sz w:val="20"/>
    </w:rPr>
  </w:style>
  <w:style w:type="paragraph" w:customStyle="1" w:styleId="TableHeader">
    <w:name w:val="Table Header"/>
    <w:basedOn w:val="TableText"/>
    <w:uiPriority w:val="15"/>
    <w:qFormat/>
    <w:rsid w:val="000A57B1"/>
    <w:pPr>
      <w:keepNext/>
      <w:spacing w:before="40" w:after="40"/>
    </w:pPr>
    <w:rPr>
      <w:color w:val="333333"/>
      <w:sz w:val="24"/>
    </w:rPr>
  </w:style>
  <w:style w:type="paragraph" w:customStyle="1" w:styleId="CaptionTable">
    <w:name w:val="Caption Table"/>
    <w:basedOn w:val="Normal"/>
    <w:uiPriority w:val="14"/>
    <w:rsid w:val="000A57B1"/>
    <w:rPr>
      <w:b/>
    </w:rPr>
  </w:style>
  <w:style w:type="paragraph" w:customStyle="1" w:styleId="Bullet2">
    <w:name w:val="Bullet 2"/>
    <w:basedOn w:val="Bullet1"/>
    <w:uiPriority w:val="11"/>
    <w:rsid w:val="000A57B1"/>
    <w:pPr>
      <w:numPr>
        <w:ilvl w:val="1"/>
      </w:numPr>
    </w:pPr>
  </w:style>
  <w:style w:type="paragraph" w:customStyle="1" w:styleId="Bullet3">
    <w:name w:val="Bullet 3"/>
    <w:basedOn w:val="Bullet2"/>
    <w:uiPriority w:val="11"/>
    <w:rsid w:val="000A57B1"/>
    <w:pPr>
      <w:numPr>
        <w:ilvl w:val="2"/>
      </w:numPr>
    </w:pPr>
  </w:style>
  <w:style w:type="paragraph" w:customStyle="1" w:styleId="Heading1NoNum">
    <w:name w:val="Heading 1 NoNum"/>
    <w:basedOn w:val="Heading1"/>
    <w:next w:val="Normal"/>
    <w:uiPriority w:val="4"/>
    <w:qFormat/>
    <w:rsid w:val="000A57B1"/>
    <w:pPr>
      <w:numPr>
        <w:numId w:val="0"/>
      </w:numPr>
      <w:ind w:left="794"/>
    </w:pPr>
  </w:style>
  <w:style w:type="paragraph" w:customStyle="1" w:styleId="TableHeaderMinutes">
    <w:name w:val="Table Header Minutes"/>
    <w:basedOn w:val="TableHeader"/>
    <w:rsid w:val="000A57B1"/>
    <w:rPr>
      <w:b/>
      <w:bCs/>
      <w:color w:val="auto"/>
      <w:sz w:val="18"/>
      <w:szCs w:val="17"/>
    </w:rPr>
  </w:style>
  <w:style w:type="paragraph" w:styleId="BalloonText">
    <w:name w:val="Balloon Text"/>
    <w:basedOn w:val="Normal"/>
    <w:link w:val="BalloonTextChar"/>
    <w:uiPriority w:val="49"/>
    <w:semiHidden/>
    <w:rsid w:val="000A57B1"/>
    <w:rPr>
      <w:sz w:val="16"/>
      <w:szCs w:val="16"/>
    </w:rPr>
  </w:style>
  <w:style w:type="character" w:customStyle="1" w:styleId="BalloonTextChar">
    <w:name w:val="Balloon Text Char"/>
    <w:basedOn w:val="DefaultParagraphFont"/>
    <w:link w:val="BalloonText"/>
    <w:uiPriority w:val="49"/>
    <w:semiHidden/>
    <w:locked/>
    <w:rsid w:val="000A57B1"/>
    <w:rPr>
      <w:rFonts w:eastAsia="Times New Roman" w:cs="Calibri"/>
      <w:sz w:val="16"/>
      <w:szCs w:val="16"/>
    </w:rPr>
  </w:style>
  <w:style w:type="paragraph" w:styleId="BodyText">
    <w:name w:val="Body Text"/>
    <w:basedOn w:val="Normal"/>
    <w:link w:val="BodyTextChar"/>
    <w:uiPriority w:val="49"/>
    <w:semiHidden/>
    <w:rsid w:val="000A57B1"/>
  </w:style>
  <w:style w:type="character" w:customStyle="1" w:styleId="BodyTextChar">
    <w:name w:val="Body Text Char"/>
    <w:basedOn w:val="DefaultParagraphFont"/>
    <w:link w:val="BodyText"/>
    <w:uiPriority w:val="49"/>
    <w:semiHidden/>
    <w:locked/>
    <w:rsid w:val="000A57B1"/>
    <w:rPr>
      <w:rFonts w:eastAsia="Times New Roman" w:cs="Calibri"/>
    </w:rPr>
  </w:style>
  <w:style w:type="character" w:styleId="FootnoteReference">
    <w:name w:val="footnote reference"/>
    <w:uiPriority w:val="49"/>
    <w:rsid w:val="000A57B1"/>
    <w:rPr>
      <w:vertAlign w:val="superscript"/>
    </w:rPr>
  </w:style>
  <w:style w:type="paragraph" w:customStyle="1" w:styleId="NoteNormal">
    <w:name w:val="Note Normal"/>
    <w:basedOn w:val="Normal"/>
    <w:uiPriority w:val="49"/>
    <w:rsid w:val="000A57B1"/>
    <w:pPr>
      <w:keepNext/>
      <w:keepLines/>
      <w:spacing w:before="80"/>
    </w:pPr>
    <w:rPr>
      <w:color w:val="000000"/>
      <w:sz w:val="18"/>
      <w:lang w:eastAsia="en-US"/>
    </w:rPr>
  </w:style>
  <w:style w:type="paragraph" w:customStyle="1" w:styleId="Heading4NoNum">
    <w:name w:val="Heading 4 NoNum"/>
    <w:basedOn w:val="Heading4"/>
    <w:uiPriority w:val="4"/>
    <w:qFormat/>
    <w:rsid w:val="000A57B1"/>
    <w:pPr>
      <w:numPr>
        <w:ilvl w:val="0"/>
        <w:numId w:val="0"/>
      </w:numPr>
      <w:ind w:left="794"/>
    </w:pPr>
  </w:style>
  <w:style w:type="paragraph" w:customStyle="1" w:styleId="Heading2NoNum">
    <w:name w:val="Heading 2 NoNum"/>
    <w:basedOn w:val="Heading2"/>
    <w:next w:val="Normal"/>
    <w:qFormat/>
    <w:rsid w:val="000A57B1"/>
    <w:pPr>
      <w:numPr>
        <w:ilvl w:val="0"/>
        <w:numId w:val="0"/>
      </w:numPr>
      <w:ind w:left="794"/>
    </w:pPr>
  </w:style>
  <w:style w:type="paragraph" w:styleId="CommentSubject">
    <w:name w:val="annotation subject"/>
    <w:basedOn w:val="CommentText"/>
    <w:next w:val="CommentText"/>
    <w:link w:val="CommentSubjectChar"/>
    <w:uiPriority w:val="49"/>
    <w:semiHidden/>
    <w:rsid w:val="000A57B1"/>
    <w:rPr>
      <w:b/>
      <w:bCs/>
    </w:rPr>
  </w:style>
  <w:style w:type="character" w:customStyle="1" w:styleId="CommentSubjectChar">
    <w:name w:val="Comment Subject Char"/>
    <w:basedOn w:val="CommentTextChar"/>
    <w:link w:val="CommentSubject"/>
    <w:uiPriority w:val="49"/>
    <w:semiHidden/>
    <w:locked/>
    <w:rsid w:val="000A57B1"/>
    <w:rPr>
      <w:rFonts w:eastAsia="Times New Roman" w:cs="Calibri"/>
      <w:b/>
      <w:bCs/>
    </w:rPr>
  </w:style>
  <w:style w:type="paragraph" w:styleId="ListParagraph">
    <w:name w:val="List Paragraph"/>
    <w:basedOn w:val="Normal"/>
    <w:uiPriority w:val="34"/>
    <w:qFormat/>
    <w:rsid w:val="000A57B1"/>
    <w:pPr>
      <w:ind w:left="720"/>
      <w:contextualSpacing/>
    </w:pPr>
  </w:style>
  <w:style w:type="character" w:styleId="Hyperlink">
    <w:name w:val="Hyperlink"/>
    <w:uiPriority w:val="99"/>
    <w:rsid w:val="000A57B1"/>
    <w:rPr>
      <w:color w:val="404040"/>
      <w:u w:val="none"/>
    </w:rPr>
  </w:style>
  <w:style w:type="paragraph" w:styleId="ListNumber">
    <w:name w:val="List Number"/>
    <w:basedOn w:val="Normal"/>
    <w:uiPriority w:val="7"/>
    <w:qFormat/>
    <w:rsid w:val="000A57B1"/>
    <w:pPr>
      <w:numPr>
        <w:numId w:val="16"/>
      </w:numPr>
      <w:contextualSpacing/>
    </w:pPr>
  </w:style>
  <w:style w:type="paragraph" w:styleId="ListNumber2">
    <w:name w:val="List Number 2"/>
    <w:basedOn w:val="Normal"/>
    <w:uiPriority w:val="7"/>
    <w:rsid w:val="000A57B1"/>
    <w:pPr>
      <w:numPr>
        <w:ilvl w:val="1"/>
        <w:numId w:val="16"/>
      </w:numPr>
      <w:contextualSpacing/>
    </w:pPr>
  </w:style>
  <w:style w:type="paragraph" w:styleId="ListNumber3">
    <w:name w:val="List Number 3"/>
    <w:basedOn w:val="Normal"/>
    <w:uiPriority w:val="7"/>
    <w:rsid w:val="000A57B1"/>
    <w:pPr>
      <w:numPr>
        <w:ilvl w:val="2"/>
        <w:numId w:val="16"/>
      </w:numPr>
      <w:contextualSpacing/>
    </w:pPr>
  </w:style>
  <w:style w:type="paragraph" w:customStyle="1" w:styleId="Heading3NoNum">
    <w:name w:val="Heading 3 NoNum"/>
    <w:basedOn w:val="Heading3"/>
    <w:next w:val="Normal"/>
    <w:uiPriority w:val="4"/>
    <w:qFormat/>
    <w:rsid w:val="000A57B1"/>
    <w:pPr>
      <w:numPr>
        <w:ilvl w:val="0"/>
        <w:numId w:val="0"/>
      </w:numPr>
      <w:ind w:left="794"/>
    </w:pPr>
  </w:style>
  <w:style w:type="paragraph" w:styleId="TOC1">
    <w:name w:val="toc 1"/>
    <w:basedOn w:val="Normal"/>
    <w:next w:val="Normal"/>
    <w:autoRedefine/>
    <w:uiPriority w:val="39"/>
    <w:rsid w:val="000A57B1"/>
    <w:pPr>
      <w:tabs>
        <w:tab w:val="right" w:leader="dot" w:pos="9645"/>
      </w:tabs>
      <w:spacing w:before="240" w:line="216" w:lineRule="auto"/>
      <w:ind w:right="567" w:hanging="794"/>
    </w:pPr>
    <w:rPr>
      <w:noProof/>
      <w:color w:val="4C4C4C"/>
      <w:sz w:val="28"/>
      <w:szCs w:val="28"/>
    </w:rPr>
  </w:style>
  <w:style w:type="paragraph" w:styleId="TOC2">
    <w:name w:val="toc 2"/>
    <w:next w:val="Normal"/>
    <w:uiPriority w:val="39"/>
    <w:rsid w:val="00D1418D"/>
    <w:pPr>
      <w:tabs>
        <w:tab w:val="right" w:leader="dot" w:pos="9631"/>
      </w:tabs>
      <w:spacing w:before="20"/>
      <w:ind w:left="1248" w:right="567" w:hanging="454"/>
      <w:contextualSpacing/>
    </w:pPr>
    <w:rPr>
      <w:rFonts w:eastAsia="Times New Roman" w:cs="Calibri"/>
      <w:noProof/>
      <w:color w:val="000000"/>
    </w:rPr>
  </w:style>
  <w:style w:type="paragraph" w:styleId="TOC3">
    <w:name w:val="toc 3"/>
    <w:next w:val="Normal"/>
    <w:autoRedefine/>
    <w:uiPriority w:val="39"/>
    <w:rsid w:val="000A57B1"/>
    <w:pPr>
      <w:tabs>
        <w:tab w:val="right" w:leader="dot" w:pos="9631"/>
      </w:tabs>
      <w:ind w:left="1985" w:right="567" w:hanging="709"/>
    </w:pPr>
    <w:rPr>
      <w:rFonts w:eastAsia="Times New Roman" w:cs="Calibri"/>
      <w:noProof/>
    </w:rPr>
  </w:style>
  <w:style w:type="paragraph" w:styleId="Header">
    <w:name w:val="header"/>
    <w:basedOn w:val="Normal"/>
    <w:link w:val="HeaderChar"/>
    <w:uiPriority w:val="24"/>
    <w:rsid w:val="000A57B1"/>
    <w:pPr>
      <w:tabs>
        <w:tab w:val="center" w:pos="4320"/>
        <w:tab w:val="right" w:pos="8640"/>
      </w:tabs>
      <w:spacing w:before="0" w:after="0"/>
      <w:ind w:left="0" w:right="-567"/>
    </w:pPr>
    <w:rPr>
      <w:sz w:val="24"/>
    </w:rPr>
  </w:style>
  <w:style w:type="character" w:customStyle="1" w:styleId="HeaderChar">
    <w:name w:val="Header Char"/>
    <w:basedOn w:val="DefaultParagraphFont"/>
    <w:link w:val="Header"/>
    <w:uiPriority w:val="24"/>
    <w:locked/>
    <w:rsid w:val="000A57B1"/>
    <w:rPr>
      <w:rFonts w:eastAsia="Times New Roman" w:cs="Calibri"/>
      <w:sz w:val="24"/>
    </w:rPr>
  </w:style>
  <w:style w:type="paragraph" w:customStyle="1" w:styleId="Char">
    <w:name w:val="Char"/>
    <w:basedOn w:val="Normal"/>
    <w:uiPriority w:val="99"/>
    <w:semiHidden/>
    <w:rsid w:val="002C3B08"/>
    <w:pPr>
      <w:spacing w:after="0"/>
    </w:pPr>
    <w:rPr>
      <w:rFonts w:cs="Arial"/>
    </w:rPr>
  </w:style>
  <w:style w:type="paragraph" w:styleId="NormalWeb">
    <w:name w:val="Normal (Web)"/>
    <w:basedOn w:val="Normal"/>
    <w:uiPriority w:val="99"/>
    <w:semiHidden/>
    <w:rsid w:val="000A57B1"/>
    <w:rPr>
      <w:sz w:val="24"/>
      <w:szCs w:val="24"/>
    </w:rPr>
  </w:style>
  <w:style w:type="paragraph" w:styleId="Revision">
    <w:name w:val="Revision"/>
    <w:hidden/>
    <w:uiPriority w:val="99"/>
    <w:semiHidden/>
    <w:rsid w:val="005338E1"/>
    <w:rPr>
      <w:rFonts w:eastAsia="Times New Roman" w:cs="Calibri"/>
    </w:rPr>
  </w:style>
  <w:style w:type="table" w:styleId="TableGrid">
    <w:name w:val="Table Grid"/>
    <w:basedOn w:val="TableNormal"/>
    <w:locked/>
    <w:rsid w:val="000A57B1"/>
    <w:rPr>
      <w:rFonts w:eastAsia="Times New Roman"/>
      <w:sz w:val="20"/>
      <w:szCs w:val="20"/>
    </w:rPr>
    <w:tblPr>
      <w:tblStyleRowBandSize w:val="1"/>
      <w:tblStyleColBandSize w:val="1"/>
      <w:tblInd w:w="907" w:type="dxa"/>
      <w:tblBorders>
        <w:top w:val="single" w:sz="2" w:space="0" w:color="auto"/>
        <w:bottom w:val="single" w:sz="2" w:space="0" w:color="auto"/>
        <w:insideH w:val="single" w:sz="2" w:space="0" w:color="auto"/>
      </w:tblBorders>
      <w:tblCellMar>
        <w:left w:w="113" w:type="dxa"/>
        <w:right w:w="113"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4C4C4C"/>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firstCol">
      <w:rPr>
        <w:b w:val="0"/>
        <w:color w:val="auto"/>
      </w:rPr>
    </w:tblStylePr>
  </w:style>
  <w:style w:type="character" w:customStyle="1" w:styleId="Heading5Char">
    <w:name w:val="Heading 5 Char"/>
    <w:basedOn w:val="DefaultParagraphFont"/>
    <w:link w:val="Heading5"/>
    <w:uiPriority w:val="3"/>
    <w:rsid w:val="000A57B1"/>
    <w:rPr>
      <w:rFonts w:eastAsia="Times New Roman" w:cs="Calibri"/>
      <w:b/>
      <w:bCs/>
      <w:i/>
      <w:color w:val="404040"/>
      <w:lang w:eastAsia="en-US"/>
    </w:rPr>
  </w:style>
  <w:style w:type="character" w:customStyle="1" w:styleId="Heading6Char">
    <w:name w:val="Heading 6 Char"/>
    <w:basedOn w:val="DefaultParagraphFont"/>
    <w:link w:val="Heading6"/>
    <w:uiPriority w:val="3"/>
    <w:semiHidden/>
    <w:rsid w:val="000A57B1"/>
    <w:rPr>
      <w:rFonts w:eastAsia="Times New Roman" w:cs="Calibri"/>
      <w:b/>
      <w:bCs/>
      <w:i/>
      <w:iCs/>
      <w:color w:val="404040"/>
      <w:lang w:eastAsia="en-US"/>
    </w:rPr>
  </w:style>
  <w:style w:type="character" w:customStyle="1" w:styleId="Heading7Char">
    <w:name w:val="Heading 7 Char"/>
    <w:basedOn w:val="DefaultParagraphFont"/>
    <w:link w:val="Heading7"/>
    <w:uiPriority w:val="3"/>
    <w:semiHidden/>
    <w:rsid w:val="000A57B1"/>
    <w:rPr>
      <w:rFonts w:eastAsia="Times New Roman" w:cs="Calibri"/>
      <w:b/>
      <w:bCs/>
      <w:iCs/>
      <w:color w:val="404040"/>
      <w:lang w:eastAsia="en-US"/>
    </w:rPr>
  </w:style>
  <w:style w:type="character" w:customStyle="1" w:styleId="Heading8Char">
    <w:name w:val="Heading 8 Char"/>
    <w:basedOn w:val="DefaultParagraphFont"/>
    <w:link w:val="Heading8"/>
    <w:uiPriority w:val="3"/>
    <w:semiHidden/>
    <w:rsid w:val="000A57B1"/>
    <w:rPr>
      <w:rFonts w:eastAsia="Times New Roman" w:cs="Calibri"/>
      <w:bCs/>
      <w:iCs/>
      <w:color w:val="404040"/>
      <w:lang w:eastAsia="en-US"/>
    </w:rPr>
  </w:style>
  <w:style w:type="character" w:customStyle="1" w:styleId="Heading9Char">
    <w:name w:val="Heading 9 Char"/>
    <w:basedOn w:val="DefaultParagraphFont"/>
    <w:link w:val="Heading9"/>
    <w:uiPriority w:val="3"/>
    <w:semiHidden/>
    <w:rsid w:val="000A57B1"/>
    <w:rPr>
      <w:rFonts w:eastAsia="Times New Roman" w:cs="Calibri"/>
      <w:bCs/>
      <w:iCs/>
      <w:color w:val="404040"/>
      <w:lang w:eastAsia="en-US"/>
    </w:rPr>
  </w:style>
  <w:style w:type="paragraph" w:customStyle="1" w:styleId="BreakoutNormal">
    <w:name w:val="Breakout Normal"/>
    <w:basedOn w:val="Normal"/>
    <w:rsid w:val="000A57B1"/>
    <w:pPr>
      <w:ind w:left="0"/>
    </w:pPr>
    <w:rPr>
      <w:sz w:val="20"/>
    </w:rPr>
  </w:style>
  <w:style w:type="paragraph" w:customStyle="1" w:styleId="BreakoutList1">
    <w:name w:val="Breakout List 1"/>
    <w:basedOn w:val="BreakoutNormal"/>
    <w:rsid w:val="000A57B1"/>
    <w:pPr>
      <w:numPr>
        <w:numId w:val="2"/>
      </w:numPr>
    </w:pPr>
  </w:style>
  <w:style w:type="paragraph" w:customStyle="1" w:styleId="BreakoutList2">
    <w:name w:val="Breakout List 2"/>
    <w:basedOn w:val="BreakoutList1"/>
    <w:rsid w:val="000A57B1"/>
    <w:pPr>
      <w:numPr>
        <w:ilvl w:val="1"/>
      </w:numPr>
    </w:pPr>
  </w:style>
  <w:style w:type="paragraph" w:styleId="Caption">
    <w:name w:val="caption"/>
    <w:basedOn w:val="Normal"/>
    <w:next w:val="Normal"/>
    <w:qFormat/>
    <w:locked/>
    <w:rsid w:val="000A57B1"/>
    <w:pPr>
      <w:keepNext/>
      <w:keepLines/>
      <w:tabs>
        <w:tab w:val="left" w:pos="851"/>
      </w:tabs>
      <w:spacing w:before="60" w:after="60" w:line="228" w:lineRule="auto"/>
    </w:pPr>
    <w:rPr>
      <w:b/>
    </w:rPr>
  </w:style>
  <w:style w:type="numbering" w:styleId="111111">
    <w:name w:val="Outline List 2"/>
    <w:basedOn w:val="NoList"/>
    <w:uiPriority w:val="99"/>
    <w:semiHidden/>
    <w:unhideWhenUsed/>
    <w:locked/>
    <w:rsid w:val="000A57B1"/>
    <w:pPr>
      <w:numPr>
        <w:numId w:val="4"/>
      </w:numPr>
    </w:pPr>
  </w:style>
  <w:style w:type="numbering" w:styleId="1ai">
    <w:name w:val="Outline List 1"/>
    <w:basedOn w:val="NoList"/>
    <w:uiPriority w:val="99"/>
    <w:semiHidden/>
    <w:unhideWhenUsed/>
    <w:locked/>
    <w:rsid w:val="000A57B1"/>
    <w:pPr>
      <w:numPr>
        <w:numId w:val="5"/>
      </w:numPr>
    </w:pPr>
  </w:style>
  <w:style w:type="numbering" w:styleId="ArticleSection">
    <w:name w:val="Outline List 3"/>
    <w:basedOn w:val="NoList"/>
    <w:uiPriority w:val="99"/>
    <w:semiHidden/>
    <w:unhideWhenUsed/>
    <w:locked/>
    <w:rsid w:val="000A57B1"/>
    <w:pPr>
      <w:numPr>
        <w:numId w:val="6"/>
      </w:numPr>
    </w:pPr>
  </w:style>
  <w:style w:type="paragraph" w:customStyle="1" w:styleId="Attachment1">
    <w:name w:val="Attachment 1"/>
    <w:next w:val="Normal"/>
    <w:uiPriority w:val="19"/>
    <w:qFormat/>
    <w:rsid w:val="00584FDB"/>
    <w:pPr>
      <w:pageBreakBefore/>
      <w:numPr>
        <w:numId w:val="7"/>
      </w:numPr>
      <w:pBdr>
        <w:bottom w:val="single" w:sz="4" w:space="1" w:color="404040"/>
      </w:pBdr>
      <w:tabs>
        <w:tab w:val="clear" w:pos="2268"/>
        <w:tab w:val="num" w:pos="2880"/>
      </w:tabs>
      <w:spacing w:before="400" w:after="1200"/>
      <w:ind w:left="2880" w:hanging="2880"/>
    </w:pPr>
    <w:rPr>
      <w:rFonts w:eastAsia="Times New Roman" w:cs="Calibri"/>
      <w:color w:val="404040"/>
      <w:sz w:val="40"/>
      <w:lang w:eastAsia="en-US"/>
    </w:rPr>
  </w:style>
  <w:style w:type="paragraph" w:styleId="Bibliography">
    <w:name w:val="Bibliography"/>
    <w:basedOn w:val="Normal"/>
    <w:next w:val="Normal"/>
    <w:uiPriority w:val="37"/>
    <w:semiHidden/>
    <w:unhideWhenUsed/>
    <w:rsid w:val="000A57B1"/>
    <w:pPr>
      <w:spacing w:after="120"/>
    </w:pPr>
    <w:rPr>
      <w:i/>
      <w:sz w:val="18"/>
    </w:rPr>
  </w:style>
  <w:style w:type="paragraph" w:styleId="BlockText">
    <w:name w:val="Block Text"/>
    <w:basedOn w:val="Normal"/>
    <w:uiPriority w:val="49"/>
    <w:semiHidden/>
    <w:locked/>
    <w:rsid w:val="000A57B1"/>
    <w:pPr>
      <w:spacing w:after="120"/>
      <w:ind w:left="1440" w:right="1440"/>
    </w:pPr>
  </w:style>
  <w:style w:type="paragraph" w:styleId="BodyText2">
    <w:name w:val="Body Text 2"/>
    <w:basedOn w:val="Normal"/>
    <w:link w:val="BodyText2Char"/>
    <w:uiPriority w:val="49"/>
    <w:semiHidden/>
    <w:locked/>
    <w:rsid w:val="000A57B1"/>
    <w:pPr>
      <w:spacing w:after="120" w:line="480" w:lineRule="auto"/>
    </w:pPr>
  </w:style>
  <w:style w:type="character" w:customStyle="1" w:styleId="BodyText2Char">
    <w:name w:val="Body Text 2 Char"/>
    <w:basedOn w:val="DefaultParagraphFont"/>
    <w:link w:val="BodyText2"/>
    <w:uiPriority w:val="49"/>
    <w:semiHidden/>
    <w:rsid w:val="000A57B1"/>
    <w:rPr>
      <w:rFonts w:eastAsia="Times New Roman" w:cs="Calibri"/>
    </w:rPr>
  </w:style>
  <w:style w:type="paragraph" w:styleId="BodyText3">
    <w:name w:val="Body Text 3"/>
    <w:basedOn w:val="Normal"/>
    <w:link w:val="BodyText3Char"/>
    <w:uiPriority w:val="49"/>
    <w:semiHidden/>
    <w:locked/>
    <w:rsid w:val="000A57B1"/>
    <w:pPr>
      <w:spacing w:after="120"/>
    </w:pPr>
    <w:rPr>
      <w:sz w:val="16"/>
      <w:szCs w:val="16"/>
    </w:rPr>
  </w:style>
  <w:style w:type="character" w:customStyle="1" w:styleId="BodyText3Char">
    <w:name w:val="Body Text 3 Char"/>
    <w:basedOn w:val="DefaultParagraphFont"/>
    <w:link w:val="BodyText3"/>
    <w:uiPriority w:val="49"/>
    <w:semiHidden/>
    <w:rsid w:val="000A57B1"/>
    <w:rPr>
      <w:rFonts w:eastAsia="Times New Roman" w:cs="Calibri"/>
      <w:sz w:val="16"/>
      <w:szCs w:val="16"/>
    </w:rPr>
  </w:style>
  <w:style w:type="paragraph" w:styleId="BodyTextFirstIndent">
    <w:name w:val="Body Text First Indent"/>
    <w:basedOn w:val="BodyText"/>
    <w:link w:val="BodyTextFirstIndentChar"/>
    <w:uiPriority w:val="49"/>
    <w:semiHidden/>
    <w:locked/>
    <w:rsid w:val="000A57B1"/>
    <w:pPr>
      <w:spacing w:after="120"/>
      <w:ind w:firstLine="210"/>
    </w:pPr>
  </w:style>
  <w:style w:type="character" w:customStyle="1" w:styleId="BodyTextFirstIndentChar">
    <w:name w:val="Body Text First Indent Char"/>
    <w:basedOn w:val="BodyTextChar"/>
    <w:link w:val="BodyTextFirstIndent"/>
    <w:uiPriority w:val="49"/>
    <w:semiHidden/>
    <w:rsid w:val="000A57B1"/>
    <w:rPr>
      <w:rFonts w:eastAsia="Times New Roman" w:cs="Calibri"/>
    </w:rPr>
  </w:style>
  <w:style w:type="paragraph" w:styleId="BodyTextIndent">
    <w:name w:val="Body Text Indent"/>
    <w:basedOn w:val="Normal"/>
    <w:link w:val="BodyTextIndentChar"/>
    <w:uiPriority w:val="49"/>
    <w:semiHidden/>
    <w:locked/>
    <w:rsid w:val="000A57B1"/>
    <w:pPr>
      <w:spacing w:after="120"/>
      <w:ind w:left="283"/>
    </w:pPr>
  </w:style>
  <w:style w:type="character" w:customStyle="1" w:styleId="BodyTextIndentChar">
    <w:name w:val="Body Text Indent Char"/>
    <w:basedOn w:val="DefaultParagraphFont"/>
    <w:link w:val="BodyTextIndent"/>
    <w:uiPriority w:val="49"/>
    <w:semiHidden/>
    <w:rsid w:val="000A57B1"/>
    <w:rPr>
      <w:rFonts w:eastAsia="Times New Roman" w:cs="Calibri"/>
    </w:rPr>
  </w:style>
  <w:style w:type="paragraph" w:styleId="BodyTextFirstIndent2">
    <w:name w:val="Body Text First Indent 2"/>
    <w:basedOn w:val="BodyTextIndent"/>
    <w:link w:val="BodyTextFirstIndent2Char"/>
    <w:uiPriority w:val="49"/>
    <w:semiHidden/>
    <w:locked/>
    <w:rsid w:val="000A57B1"/>
    <w:pPr>
      <w:ind w:firstLine="210"/>
    </w:pPr>
  </w:style>
  <w:style w:type="character" w:customStyle="1" w:styleId="BodyTextFirstIndent2Char">
    <w:name w:val="Body Text First Indent 2 Char"/>
    <w:basedOn w:val="BodyTextIndentChar"/>
    <w:link w:val="BodyTextFirstIndent2"/>
    <w:uiPriority w:val="49"/>
    <w:semiHidden/>
    <w:rsid w:val="000A57B1"/>
    <w:rPr>
      <w:rFonts w:eastAsia="Times New Roman" w:cs="Calibri"/>
    </w:rPr>
  </w:style>
  <w:style w:type="paragraph" w:styleId="BodyTextIndent2">
    <w:name w:val="Body Text Indent 2"/>
    <w:basedOn w:val="Normal"/>
    <w:link w:val="BodyTextIndent2Char"/>
    <w:uiPriority w:val="49"/>
    <w:semiHidden/>
    <w:locked/>
    <w:rsid w:val="000A57B1"/>
    <w:pPr>
      <w:spacing w:after="120" w:line="480" w:lineRule="auto"/>
      <w:ind w:left="283"/>
    </w:pPr>
  </w:style>
  <w:style w:type="character" w:customStyle="1" w:styleId="BodyTextIndent2Char">
    <w:name w:val="Body Text Indent 2 Char"/>
    <w:basedOn w:val="DefaultParagraphFont"/>
    <w:link w:val="BodyTextIndent2"/>
    <w:uiPriority w:val="49"/>
    <w:semiHidden/>
    <w:rsid w:val="000A57B1"/>
    <w:rPr>
      <w:rFonts w:eastAsia="Times New Roman" w:cs="Calibri"/>
    </w:rPr>
  </w:style>
  <w:style w:type="paragraph" w:styleId="BodyTextIndent3">
    <w:name w:val="Body Text Indent 3"/>
    <w:basedOn w:val="Normal"/>
    <w:link w:val="BodyTextIndent3Char"/>
    <w:uiPriority w:val="49"/>
    <w:semiHidden/>
    <w:locked/>
    <w:rsid w:val="000A57B1"/>
    <w:pPr>
      <w:spacing w:after="120"/>
      <w:ind w:left="283"/>
    </w:pPr>
    <w:rPr>
      <w:sz w:val="16"/>
      <w:szCs w:val="16"/>
    </w:rPr>
  </w:style>
  <w:style w:type="character" w:customStyle="1" w:styleId="BodyTextIndent3Char">
    <w:name w:val="Body Text Indent 3 Char"/>
    <w:basedOn w:val="DefaultParagraphFont"/>
    <w:link w:val="BodyTextIndent3"/>
    <w:uiPriority w:val="49"/>
    <w:semiHidden/>
    <w:rsid w:val="000A57B1"/>
    <w:rPr>
      <w:rFonts w:eastAsia="Times New Roman" w:cs="Calibri"/>
      <w:sz w:val="16"/>
      <w:szCs w:val="16"/>
    </w:rPr>
  </w:style>
  <w:style w:type="character" w:styleId="BookTitle">
    <w:name w:val="Book Title"/>
    <w:uiPriority w:val="33"/>
    <w:qFormat/>
    <w:rsid w:val="000A57B1"/>
    <w:rPr>
      <w:rFonts w:ascii="Calibri" w:hAnsi="Calibri"/>
      <w:b/>
      <w:bCs/>
      <w:smallCaps/>
      <w:spacing w:val="5"/>
    </w:rPr>
  </w:style>
  <w:style w:type="paragraph" w:styleId="Closing">
    <w:name w:val="Closing"/>
    <w:basedOn w:val="Normal"/>
    <w:link w:val="ClosingChar"/>
    <w:uiPriority w:val="49"/>
    <w:semiHidden/>
    <w:locked/>
    <w:rsid w:val="000A57B1"/>
    <w:pPr>
      <w:ind w:left="4252"/>
    </w:pPr>
  </w:style>
  <w:style w:type="character" w:customStyle="1" w:styleId="ClosingChar">
    <w:name w:val="Closing Char"/>
    <w:basedOn w:val="DefaultParagraphFont"/>
    <w:link w:val="Closing"/>
    <w:uiPriority w:val="49"/>
    <w:semiHidden/>
    <w:rsid w:val="000A57B1"/>
    <w:rPr>
      <w:rFonts w:eastAsia="Times New Roman" w:cs="Calibri"/>
    </w:rPr>
  </w:style>
  <w:style w:type="table" w:styleId="ColorfulGrid">
    <w:name w:val="Colorful Grid"/>
    <w:basedOn w:val="TableNormal"/>
    <w:uiPriority w:val="73"/>
    <w:rsid w:val="000A57B1"/>
    <w:rPr>
      <w:rFonts w:ascii="Arial" w:eastAsia="Times New Roman" w:hAnsi="Arial"/>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0A57B1"/>
    <w:rPr>
      <w:rFonts w:ascii="Arial" w:eastAsia="Times New Roman" w:hAnsi="Arial"/>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0A57B1"/>
    <w:rPr>
      <w:rFonts w:ascii="Arial" w:eastAsia="Times New Roman" w:hAnsi="Arial"/>
      <w:color w:val="000000"/>
      <w:sz w:val="20"/>
      <w:szCs w:val="2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0A57B1"/>
    <w:rPr>
      <w:rFonts w:ascii="Arial" w:eastAsia="Times New Roman" w:hAnsi="Arial"/>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0A57B1"/>
    <w:rPr>
      <w:rFonts w:ascii="Arial" w:eastAsia="Times New Roman" w:hAnsi="Arial"/>
      <w:color w:val="000000"/>
      <w:sz w:val="20"/>
      <w:szCs w:val="2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0A57B1"/>
    <w:rPr>
      <w:rFonts w:ascii="Arial" w:eastAsia="Times New Roman" w:hAnsi="Arial"/>
      <w:color w:val="000000"/>
      <w:sz w:val="20"/>
      <w:szCs w:val="2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0A57B1"/>
    <w:rPr>
      <w:rFonts w:ascii="Arial" w:eastAsia="Times New Roman" w:hAnsi="Arial"/>
      <w:color w:val="000000"/>
      <w:sz w:val="20"/>
      <w:szCs w:val="2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Grid1">
    <w:name w:val="Colorful Grid1"/>
    <w:basedOn w:val="TableNormal"/>
    <w:semiHidden/>
    <w:rsid w:val="000A57B1"/>
    <w:rPr>
      <w:rFonts w:ascii="Arial" w:eastAsia="Times New Roman" w:hAnsi="Arial"/>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
    <w:name w:val="Colorful List"/>
    <w:basedOn w:val="TableNormal"/>
    <w:uiPriority w:val="72"/>
    <w:rsid w:val="000A57B1"/>
    <w:rPr>
      <w:rFonts w:ascii="Arial" w:eastAsia="Times New Roman" w:hAnsi="Arial"/>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0A57B1"/>
    <w:rPr>
      <w:rFonts w:ascii="Arial" w:eastAsia="Times New Roman" w:hAnsi="Arial"/>
      <w:color w:val="000000"/>
      <w:sz w:val="20"/>
      <w:szCs w:val="2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0A57B1"/>
    <w:rPr>
      <w:rFonts w:ascii="Arial" w:eastAsia="Times New Roman" w:hAnsi="Arial"/>
      <w:color w:val="000000"/>
      <w:sz w:val="20"/>
      <w:szCs w:val="2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0A57B1"/>
    <w:rPr>
      <w:rFonts w:ascii="Arial" w:eastAsia="Times New Roman" w:hAnsi="Arial"/>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0A57B1"/>
    <w:rPr>
      <w:rFonts w:ascii="Arial" w:eastAsia="Times New Roman" w:hAnsi="Arial"/>
      <w:color w:val="000000"/>
      <w:sz w:val="20"/>
      <w:szCs w:val="2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0A57B1"/>
    <w:rPr>
      <w:rFonts w:ascii="Arial" w:eastAsia="Times New Roman" w:hAnsi="Arial"/>
      <w:color w:val="000000"/>
      <w:sz w:val="20"/>
      <w:szCs w:val="2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0A57B1"/>
    <w:rPr>
      <w:rFonts w:ascii="Arial" w:eastAsia="Times New Roman" w:hAnsi="Arial"/>
      <w:color w:val="000000"/>
      <w:sz w:val="20"/>
      <w:szCs w:val="2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List1">
    <w:name w:val="Colorful List1"/>
    <w:basedOn w:val="TableNormal"/>
    <w:semiHidden/>
    <w:rsid w:val="000A57B1"/>
    <w:rPr>
      <w:rFonts w:ascii="Arial" w:eastAsia="Times New Roman" w:hAnsi="Arial"/>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Shading">
    <w:name w:val="Colorful Shading"/>
    <w:basedOn w:val="TableNormal"/>
    <w:uiPriority w:val="71"/>
    <w:rsid w:val="000A57B1"/>
    <w:rPr>
      <w:rFonts w:ascii="Arial" w:eastAsia="Times New Roman" w:hAnsi="Arial"/>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0A57B1"/>
    <w:rPr>
      <w:rFonts w:ascii="Arial" w:eastAsia="Times New Roman" w:hAnsi="Arial"/>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0A57B1"/>
    <w:rPr>
      <w:rFonts w:ascii="Arial" w:eastAsia="Times New Roman" w:hAnsi="Arial"/>
      <w:color w:val="000000"/>
      <w:sz w:val="20"/>
      <w:szCs w:val="2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0A57B1"/>
    <w:rPr>
      <w:rFonts w:ascii="Arial" w:eastAsia="Times New Roman" w:hAnsi="Arial"/>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0A57B1"/>
    <w:rPr>
      <w:rFonts w:ascii="Arial" w:eastAsia="Times New Roman" w:hAnsi="Arial"/>
      <w:color w:val="000000"/>
      <w:sz w:val="20"/>
      <w:szCs w:val="2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0A57B1"/>
    <w:rPr>
      <w:rFonts w:ascii="Arial" w:eastAsia="Times New Roman" w:hAnsi="Arial"/>
      <w:color w:val="000000"/>
      <w:sz w:val="20"/>
      <w:szCs w:val="2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0A57B1"/>
    <w:rPr>
      <w:rFonts w:ascii="Arial" w:eastAsia="Times New Roman" w:hAnsi="Arial"/>
      <w:color w:val="000000"/>
      <w:sz w:val="20"/>
      <w:szCs w:val="2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Shading1">
    <w:name w:val="Colorful Shading1"/>
    <w:basedOn w:val="TableNormal"/>
    <w:semiHidden/>
    <w:rsid w:val="000A57B1"/>
    <w:rPr>
      <w:rFonts w:ascii="Arial" w:eastAsia="Times New Roman" w:hAnsi="Arial"/>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
    <w:name w:val="Dark List"/>
    <w:basedOn w:val="TableNormal"/>
    <w:uiPriority w:val="70"/>
    <w:rsid w:val="000A57B1"/>
    <w:rPr>
      <w:rFonts w:ascii="Arial" w:eastAsia="Times New Roman" w:hAnsi="Arial"/>
      <w:color w:val="FFFFFF"/>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0A57B1"/>
    <w:rPr>
      <w:rFonts w:ascii="Arial" w:eastAsia="Times New Roman" w:hAnsi="Arial"/>
      <w:color w:val="FFFFFF"/>
      <w:sz w:val="20"/>
      <w:szCs w:val="20"/>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0A57B1"/>
    <w:rPr>
      <w:rFonts w:ascii="Arial" w:eastAsia="Times New Roman" w:hAnsi="Arial"/>
      <w:color w:val="FFFFFF"/>
      <w:sz w:val="20"/>
      <w:szCs w:val="20"/>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0A57B1"/>
    <w:rPr>
      <w:rFonts w:ascii="Arial" w:eastAsia="Times New Roman" w:hAnsi="Arial"/>
      <w:color w:val="FFFFFF"/>
      <w:sz w:val="20"/>
      <w:szCs w:val="20"/>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0A57B1"/>
    <w:rPr>
      <w:rFonts w:ascii="Arial" w:eastAsia="Times New Roman" w:hAnsi="Arial"/>
      <w:color w:val="FFFFFF"/>
      <w:sz w:val="20"/>
      <w:szCs w:val="20"/>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0A57B1"/>
    <w:rPr>
      <w:rFonts w:ascii="Arial" w:eastAsia="Times New Roman" w:hAnsi="Arial"/>
      <w:color w:val="FFFFFF"/>
      <w:sz w:val="20"/>
      <w:szCs w:val="20"/>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0A57B1"/>
    <w:rPr>
      <w:rFonts w:ascii="Arial" w:eastAsia="Times New Roman" w:hAnsi="Arial"/>
      <w:color w:val="FFFFFF"/>
      <w:sz w:val="2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DarkList1">
    <w:name w:val="Dark List1"/>
    <w:basedOn w:val="TableNormal"/>
    <w:semiHidden/>
    <w:rsid w:val="000A57B1"/>
    <w:rPr>
      <w:rFonts w:ascii="Arial" w:eastAsia="Times New Roman" w:hAnsi="Arial"/>
      <w:color w:val="FFFFFF"/>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Date">
    <w:name w:val="Date"/>
    <w:basedOn w:val="Normal"/>
    <w:next w:val="Normal"/>
    <w:link w:val="DateChar"/>
    <w:uiPriority w:val="49"/>
    <w:semiHidden/>
    <w:locked/>
    <w:rsid w:val="000A57B1"/>
    <w:pPr>
      <w:ind w:left="1411"/>
    </w:pPr>
  </w:style>
  <w:style w:type="character" w:customStyle="1" w:styleId="DateChar">
    <w:name w:val="Date Char"/>
    <w:basedOn w:val="DefaultParagraphFont"/>
    <w:link w:val="Date"/>
    <w:uiPriority w:val="49"/>
    <w:semiHidden/>
    <w:rsid w:val="000A57B1"/>
    <w:rPr>
      <w:rFonts w:eastAsia="Times New Roman" w:cs="Calibri"/>
    </w:rPr>
  </w:style>
  <w:style w:type="paragraph" w:styleId="DocumentMap">
    <w:name w:val="Document Map"/>
    <w:basedOn w:val="Normal"/>
    <w:link w:val="DocumentMapChar"/>
    <w:uiPriority w:val="49"/>
    <w:semiHidden/>
    <w:locked/>
    <w:rsid w:val="000A57B1"/>
    <w:pPr>
      <w:shd w:val="clear" w:color="auto" w:fill="000080"/>
    </w:pPr>
  </w:style>
  <w:style w:type="character" w:customStyle="1" w:styleId="DocumentMapChar">
    <w:name w:val="Document Map Char"/>
    <w:basedOn w:val="DefaultParagraphFont"/>
    <w:link w:val="DocumentMap"/>
    <w:uiPriority w:val="49"/>
    <w:semiHidden/>
    <w:rsid w:val="000A57B1"/>
    <w:rPr>
      <w:rFonts w:eastAsia="Times New Roman" w:cs="Calibri"/>
      <w:shd w:val="clear" w:color="auto" w:fill="000080"/>
    </w:rPr>
  </w:style>
  <w:style w:type="paragraph" w:styleId="E-mailSignature">
    <w:name w:val="E-mail Signature"/>
    <w:basedOn w:val="Normal"/>
    <w:link w:val="E-mailSignatureChar"/>
    <w:uiPriority w:val="49"/>
    <w:semiHidden/>
    <w:locked/>
    <w:rsid w:val="000A57B1"/>
  </w:style>
  <w:style w:type="character" w:customStyle="1" w:styleId="E-mailSignatureChar">
    <w:name w:val="E-mail Signature Char"/>
    <w:basedOn w:val="DefaultParagraphFont"/>
    <w:link w:val="E-mailSignature"/>
    <w:uiPriority w:val="49"/>
    <w:semiHidden/>
    <w:rsid w:val="000A57B1"/>
    <w:rPr>
      <w:rFonts w:eastAsia="Times New Roman" w:cs="Calibri"/>
    </w:rPr>
  </w:style>
  <w:style w:type="character" w:styleId="Emphasis">
    <w:name w:val="Emphasis"/>
    <w:uiPriority w:val="20"/>
    <w:qFormat/>
    <w:locked/>
    <w:rsid w:val="000A57B1"/>
    <w:rPr>
      <w:i/>
      <w:iCs/>
    </w:rPr>
  </w:style>
  <w:style w:type="character" w:styleId="EndnoteReference">
    <w:name w:val="endnote reference"/>
    <w:uiPriority w:val="49"/>
    <w:semiHidden/>
    <w:locked/>
    <w:rsid w:val="000A57B1"/>
    <w:rPr>
      <w:vertAlign w:val="superscript"/>
    </w:rPr>
  </w:style>
  <w:style w:type="paragraph" w:styleId="EndnoteText">
    <w:name w:val="endnote text"/>
    <w:basedOn w:val="Normal"/>
    <w:link w:val="EndnoteTextChar"/>
    <w:uiPriority w:val="49"/>
    <w:semiHidden/>
    <w:locked/>
    <w:rsid w:val="000A57B1"/>
  </w:style>
  <w:style w:type="character" w:customStyle="1" w:styleId="EndnoteTextChar">
    <w:name w:val="Endnote Text Char"/>
    <w:basedOn w:val="DefaultParagraphFont"/>
    <w:link w:val="EndnoteText"/>
    <w:uiPriority w:val="49"/>
    <w:semiHidden/>
    <w:rsid w:val="000A57B1"/>
    <w:rPr>
      <w:rFonts w:eastAsia="Times New Roman" w:cs="Calibri"/>
    </w:rPr>
  </w:style>
  <w:style w:type="paragraph" w:styleId="EnvelopeAddress">
    <w:name w:val="envelope address"/>
    <w:basedOn w:val="Normal"/>
    <w:uiPriority w:val="49"/>
    <w:semiHidden/>
    <w:locked/>
    <w:rsid w:val="000A57B1"/>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locked/>
    <w:rsid w:val="000A57B1"/>
  </w:style>
  <w:style w:type="paragraph" w:customStyle="1" w:styleId="FactSheetBullet1">
    <w:name w:val="Fact Sheet Bullet 1"/>
    <w:basedOn w:val="Normal"/>
    <w:semiHidden/>
    <w:rsid w:val="000A57B1"/>
    <w:pPr>
      <w:spacing w:after="60" w:line="220" w:lineRule="atLeast"/>
      <w:ind w:left="0"/>
      <w:contextualSpacing/>
    </w:pPr>
    <w:rPr>
      <w:sz w:val="18"/>
    </w:rPr>
  </w:style>
  <w:style w:type="paragraph" w:customStyle="1" w:styleId="FactSheetBullet2">
    <w:name w:val="Fact Sheet Bullet 2"/>
    <w:basedOn w:val="Normal"/>
    <w:semiHidden/>
    <w:rsid w:val="000A57B1"/>
    <w:pPr>
      <w:spacing w:before="80" w:after="60" w:line="220" w:lineRule="atLeast"/>
      <w:ind w:left="0"/>
      <w:contextualSpacing/>
    </w:pPr>
    <w:rPr>
      <w:sz w:val="18"/>
    </w:rPr>
  </w:style>
  <w:style w:type="paragraph" w:customStyle="1" w:styleId="FactSheetBullet3">
    <w:name w:val="Fact Sheet Bullet 3"/>
    <w:basedOn w:val="FactSheetBullet2"/>
    <w:semiHidden/>
    <w:rsid w:val="000A57B1"/>
  </w:style>
  <w:style w:type="character" w:styleId="FollowedHyperlink">
    <w:name w:val="FollowedHyperlink"/>
    <w:uiPriority w:val="99"/>
    <w:semiHidden/>
    <w:locked/>
    <w:rsid w:val="000A57B1"/>
    <w:rPr>
      <w:color w:val="800080"/>
      <w:u w:val="single"/>
    </w:rPr>
  </w:style>
  <w:style w:type="character" w:styleId="HTMLAcronym">
    <w:name w:val="HTML Acronym"/>
    <w:basedOn w:val="DefaultParagraphFont"/>
    <w:uiPriority w:val="99"/>
    <w:semiHidden/>
    <w:locked/>
    <w:rsid w:val="000A57B1"/>
  </w:style>
  <w:style w:type="paragraph" w:styleId="HTMLAddress">
    <w:name w:val="HTML Address"/>
    <w:basedOn w:val="Normal"/>
    <w:link w:val="HTMLAddressChar"/>
    <w:uiPriority w:val="49"/>
    <w:semiHidden/>
    <w:locked/>
    <w:rsid w:val="000A57B1"/>
    <w:rPr>
      <w:i/>
      <w:iCs/>
    </w:rPr>
  </w:style>
  <w:style w:type="character" w:customStyle="1" w:styleId="HTMLAddressChar">
    <w:name w:val="HTML Address Char"/>
    <w:basedOn w:val="DefaultParagraphFont"/>
    <w:link w:val="HTMLAddress"/>
    <w:uiPriority w:val="49"/>
    <w:semiHidden/>
    <w:rsid w:val="000A57B1"/>
    <w:rPr>
      <w:rFonts w:eastAsia="Times New Roman" w:cs="Calibri"/>
      <w:i/>
      <w:iCs/>
    </w:rPr>
  </w:style>
  <w:style w:type="character" w:styleId="HTMLCite">
    <w:name w:val="HTML Cite"/>
    <w:uiPriority w:val="99"/>
    <w:semiHidden/>
    <w:locked/>
    <w:rsid w:val="000A57B1"/>
    <w:rPr>
      <w:i/>
      <w:iCs/>
    </w:rPr>
  </w:style>
  <w:style w:type="character" w:styleId="HTMLCode">
    <w:name w:val="HTML Code"/>
    <w:uiPriority w:val="99"/>
    <w:semiHidden/>
    <w:locked/>
    <w:rsid w:val="000A57B1"/>
    <w:rPr>
      <w:sz w:val="20"/>
      <w:szCs w:val="20"/>
    </w:rPr>
  </w:style>
  <w:style w:type="character" w:styleId="HTMLDefinition">
    <w:name w:val="HTML Definition"/>
    <w:uiPriority w:val="99"/>
    <w:semiHidden/>
    <w:locked/>
    <w:rsid w:val="000A57B1"/>
    <w:rPr>
      <w:i/>
      <w:iCs/>
    </w:rPr>
  </w:style>
  <w:style w:type="character" w:styleId="HTMLKeyboard">
    <w:name w:val="HTML Keyboard"/>
    <w:uiPriority w:val="99"/>
    <w:semiHidden/>
    <w:locked/>
    <w:rsid w:val="000A57B1"/>
    <w:rPr>
      <w:sz w:val="20"/>
      <w:szCs w:val="20"/>
    </w:rPr>
  </w:style>
  <w:style w:type="paragraph" w:styleId="HTMLPreformatted">
    <w:name w:val="HTML Preformatted"/>
    <w:basedOn w:val="Normal"/>
    <w:link w:val="HTMLPreformattedChar"/>
    <w:uiPriority w:val="49"/>
    <w:semiHidden/>
    <w:locked/>
    <w:rsid w:val="000A57B1"/>
  </w:style>
  <w:style w:type="character" w:customStyle="1" w:styleId="HTMLPreformattedChar">
    <w:name w:val="HTML Preformatted Char"/>
    <w:basedOn w:val="DefaultParagraphFont"/>
    <w:link w:val="HTMLPreformatted"/>
    <w:uiPriority w:val="49"/>
    <w:semiHidden/>
    <w:rsid w:val="000A57B1"/>
    <w:rPr>
      <w:rFonts w:eastAsia="Times New Roman" w:cs="Calibri"/>
    </w:rPr>
  </w:style>
  <w:style w:type="character" w:styleId="HTMLSample">
    <w:name w:val="HTML Sample"/>
    <w:uiPriority w:val="99"/>
    <w:semiHidden/>
    <w:locked/>
    <w:rsid w:val="000A57B1"/>
    <w:rPr>
      <w:sz w:val="24"/>
      <w:szCs w:val="24"/>
    </w:rPr>
  </w:style>
  <w:style w:type="character" w:styleId="HTMLTypewriter">
    <w:name w:val="HTML Typewriter"/>
    <w:uiPriority w:val="99"/>
    <w:semiHidden/>
    <w:locked/>
    <w:rsid w:val="000A57B1"/>
    <w:rPr>
      <w:sz w:val="20"/>
      <w:szCs w:val="20"/>
    </w:rPr>
  </w:style>
  <w:style w:type="character" w:styleId="HTMLVariable">
    <w:name w:val="HTML Variable"/>
    <w:uiPriority w:val="99"/>
    <w:semiHidden/>
    <w:locked/>
    <w:rsid w:val="000A57B1"/>
    <w:rPr>
      <w:i/>
      <w:iCs/>
    </w:rPr>
  </w:style>
  <w:style w:type="paragraph" w:styleId="Index1">
    <w:name w:val="index 1"/>
    <w:basedOn w:val="Normal"/>
    <w:next w:val="Normal"/>
    <w:autoRedefine/>
    <w:uiPriority w:val="49"/>
    <w:semiHidden/>
    <w:locked/>
    <w:rsid w:val="000A57B1"/>
    <w:pPr>
      <w:ind w:left="200" w:hanging="200"/>
    </w:pPr>
  </w:style>
  <w:style w:type="paragraph" w:styleId="Index2">
    <w:name w:val="index 2"/>
    <w:basedOn w:val="Normal"/>
    <w:next w:val="Normal"/>
    <w:autoRedefine/>
    <w:uiPriority w:val="49"/>
    <w:semiHidden/>
    <w:locked/>
    <w:rsid w:val="000A57B1"/>
    <w:pPr>
      <w:ind w:left="400" w:hanging="200"/>
    </w:pPr>
  </w:style>
  <w:style w:type="paragraph" w:styleId="Index3">
    <w:name w:val="index 3"/>
    <w:basedOn w:val="Normal"/>
    <w:next w:val="Normal"/>
    <w:autoRedefine/>
    <w:uiPriority w:val="49"/>
    <w:semiHidden/>
    <w:locked/>
    <w:rsid w:val="000A57B1"/>
    <w:pPr>
      <w:ind w:left="600" w:hanging="200"/>
    </w:pPr>
  </w:style>
  <w:style w:type="paragraph" w:styleId="Index4">
    <w:name w:val="index 4"/>
    <w:basedOn w:val="Normal"/>
    <w:next w:val="Normal"/>
    <w:autoRedefine/>
    <w:uiPriority w:val="49"/>
    <w:semiHidden/>
    <w:locked/>
    <w:rsid w:val="000A57B1"/>
    <w:pPr>
      <w:ind w:left="800" w:hanging="200"/>
    </w:pPr>
  </w:style>
  <w:style w:type="paragraph" w:styleId="Index5">
    <w:name w:val="index 5"/>
    <w:basedOn w:val="Normal"/>
    <w:next w:val="Normal"/>
    <w:autoRedefine/>
    <w:uiPriority w:val="49"/>
    <w:semiHidden/>
    <w:locked/>
    <w:rsid w:val="000A57B1"/>
    <w:pPr>
      <w:ind w:left="1000" w:hanging="200"/>
    </w:pPr>
  </w:style>
  <w:style w:type="paragraph" w:styleId="Index6">
    <w:name w:val="index 6"/>
    <w:basedOn w:val="Normal"/>
    <w:next w:val="Normal"/>
    <w:autoRedefine/>
    <w:uiPriority w:val="49"/>
    <w:semiHidden/>
    <w:locked/>
    <w:rsid w:val="000A57B1"/>
    <w:pPr>
      <w:ind w:left="1200" w:hanging="200"/>
    </w:pPr>
  </w:style>
  <w:style w:type="paragraph" w:styleId="Index7">
    <w:name w:val="index 7"/>
    <w:basedOn w:val="Normal"/>
    <w:next w:val="Normal"/>
    <w:autoRedefine/>
    <w:uiPriority w:val="49"/>
    <w:semiHidden/>
    <w:locked/>
    <w:rsid w:val="000A57B1"/>
    <w:pPr>
      <w:ind w:left="1400" w:hanging="200"/>
    </w:pPr>
  </w:style>
  <w:style w:type="paragraph" w:styleId="Index8">
    <w:name w:val="index 8"/>
    <w:basedOn w:val="Normal"/>
    <w:next w:val="Normal"/>
    <w:autoRedefine/>
    <w:uiPriority w:val="49"/>
    <w:semiHidden/>
    <w:locked/>
    <w:rsid w:val="000A57B1"/>
    <w:pPr>
      <w:ind w:left="1600" w:hanging="200"/>
    </w:pPr>
  </w:style>
  <w:style w:type="paragraph" w:styleId="Index9">
    <w:name w:val="index 9"/>
    <w:basedOn w:val="Normal"/>
    <w:next w:val="Normal"/>
    <w:autoRedefine/>
    <w:uiPriority w:val="49"/>
    <w:semiHidden/>
    <w:locked/>
    <w:rsid w:val="000A57B1"/>
    <w:pPr>
      <w:ind w:left="1800" w:hanging="200"/>
    </w:pPr>
  </w:style>
  <w:style w:type="paragraph" w:styleId="IndexHeading">
    <w:name w:val="index heading"/>
    <w:basedOn w:val="Normal"/>
    <w:next w:val="Index1"/>
    <w:uiPriority w:val="49"/>
    <w:semiHidden/>
    <w:locked/>
    <w:rsid w:val="000A57B1"/>
    <w:rPr>
      <w:b/>
      <w:bCs/>
    </w:rPr>
  </w:style>
  <w:style w:type="character" w:styleId="IntenseEmphasis">
    <w:name w:val="Intense Emphasis"/>
    <w:uiPriority w:val="21"/>
    <w:qFormat/>
    <w:rsid w:val="000A57B1"/>
    <w:rPr>
      <w:b/>
      <w:bCs/>
      <w:i/>
      <w:iCs/>
      <w:color w:val="4F81BD"/>
    </w:rPr>
  </w:style>
  <w:style w:type="character" w:styleId="IntenseReference">
    <w:name w:val="Intense Reference"/>
    <w:uiPriority w:val="32"/>
    <w:qFormat/>
    <w:rsid w:val="000A57B1"/>
    <w:rPr>
      <w:b/>
      <w:bCs/>
      <w:smallCaps/>
      <w:color w:val="C0504D"/>
      <w:spacing w:val="5"/>
      <w:u w:val="single"/>
    </w:rPr>
  </w:style>
  <w:style w:type="table" w:styleId="LightGrid">
    <w:name w:val="Light Grid"/>
    <w:basedOn w:val="TableNormal"/>
    <w:uiPriority w:val="62"/>
    <w:rsid w:val="000A57B1"/>
    <w:rPr>
      <w:rFonts w:ascii="Arial" w:eastAsia="Times New Roman" w:hAnsi="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0A57B1"/>
    <w:rPr>
      <w:rFonts w:ascii="Arial" w:eastAsia="Times New Roman" w:hAnsi="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
    <w:name w:val="Light Grid - Accent 11"/>
    <w:basedOn w:val="TableNormal"/>
    <w:semiHidden/>
    <w:rsid w:val="000A57B1"/>
    <w:rPr>
      <w:rFonts w:ascii="Arial" w:eastAsia="Times New Roman" w:hAnsi="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0A57B1"/>
    <w:rPr>
      <w:rFonts w:ascii="Arial" w:eastAsia="Times New Roman" w:hAnsi="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0A57B1"/>
    <w:rPr>
      <w:rFonts w:ascii="Arial" w:eastAsia="Times New Roman" w:hAnsi="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0A57B1"/>
    <w:rPr>
      <w:rFonts w:ascii="Arial" w:eastAsia="Times New Roman" w:hAnsi="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0A57B1"/>
    <w:rPr>
      <w:rFonts w:ascii="Arial" w:eastAsia="Times New Roman" w:hAnsi="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0A57B1"/>
    <w:rPr>
      <w:rFonts w:ascii="Arial" w:eastAsia="Times New Roman" w:hAnsi="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1">
    <w:name w:val="Light Grid1"/>
    <w:basedOn w:val="TableNormal"/>
    <w:semiHidden/>
    <w:rsid w:val="000A57B1"/>
    <w:rPr>
      <w:rFonts w:ascii="Arial" w:eastAsia="Times New Roman" w:hAnsi="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
    <w:name w:val="Light List"/>
    <w:basedOn w:val="TableNormal"/>
    <w:uiPriority w:val="61"/>
    <w:rsid w:val="000A57B1"/>
    <w:rPr>
      <w:rFonts w:ascii="Arial" w:eastAsia="Times New Roman" w:hAnsi="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0A57B1"/>
    <w:rPr>
      <w:rFonts w:ascii="Arial" w:eastAsia="Times New Roman" w:hAnsi="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
    <w:name w:val="Light List - Accent 11"/>
    <w:basedOn w:val="TableNormal"/>
    <w:semiHidden/>
    <w:rsid w:val="000A57B1"/>
    <w:rPr>
      <w:rFonts w:ascii="Arial" w:eastAsia="Times New Roman" w:hAnsi="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0A57B1"/>
    <w:rPr>
      <w:rFonts w:ascii="Arial" w:eastAsia="Times New Roman" w:hAnsi="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0A57B1"/>
    <w:rPr>
      <w:rFonts w:ascii="Arial" w:eastAsia="Times New Roman" w:hAnsi="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0A57B1"/>
    <w:rPr>
      <w:rFonts w:ascii="Arial" w:eastAsia="Times New Roman" w:hAnsi="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0A57B1"/>
    <w:rPr>
      <w:rFonts w:ascii="Arial" w:eastAsia="Times New Roman" w:hAnsi="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0A57B1"/>
    <w:rPr>
      <w:rFonts w:ascii="Arial" w:eastAsia="Times New Roman" w:hAnsi="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1">
    <w:name w:val="Light List1"/>
    <w:basedOn w:val="TableNormal"/>
    <w:semiHidden/>
    <w:rsid w:val="000A57B1"/>
    <w:rPr>
      <w:rFonts w:ascii="Arial" w:eastAsia="Times New Roman" w:hAnsi="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60"/>
    <w:rsid w:val="000A57B1"/>
    <w:rPr>
      <w:rFonts w:ascii="Arial" w:eastAsia="Times New Roman" w:hAnsi="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0A57B1"/>
    <w:rPr>
      <w:rFonts w:ascii="Arial" w:eastAsia="Times New Roman" w:hAnsi="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
    <w:name w:val="Light Shading - Accent 11"/>
    <w:basedOn w:val="TableNormal"/>
    <w:semiHidden/>
    <w:rsid w:val="000A57B1"/>
    <w:rPr>
      <w:rFonts w:ascii="Arial" w:eastAsia="Times New Roman" w:hAnsi="Arial"/>
      <w:color w:val="376092"/>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styleId="LightShading-Accent2">
    <w:name w:val="Light Shading Accent 2"/>
    <w:basedOn w:val="TableNormal"/>
    <w:uiPriority w:val="60"/>
    <w:rsid w:val="000A57B1"/>
    <w:rPr>
      <w:rFonts w:ascii="Arial" w:eastAsia="Times New Roman" w:hAnsi="Arial"/>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0A57B1"/>
    <w:rPr>
      <w:rFonts w:ascii="Arial" w:eastAsia="Times New Roman" w:hAnsi="Arial"/>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A57B1"/>
    <w:rPr>
      <w:rFonts w:ascii="Arial" w:eastAsia="Times New Roman" w:hAnsi="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0A57B1"/>
    <w:rPr>
      <w:rFonts w:ascii="Arial" w:eastAsia="Times New Roman" w:hAnsi="Arial"/>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0A57B1"/>
    <w:rPr>
      <w:rFonts w:ascii="Arial" w:eastAsia="Times New Roman" w:hAnsi="Arial"/>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
    <w:name w:val="Light Shading1"/>
    <w:basedOn w:val="TableNormal"/>
    <w:semiHidden/>
    <w:rsid w:val="000A57B1"/>
    <w:rPr>
      <w:rFonts w:ascii="Arial" w:eastAsia="Times New Roman" w:hAnsi="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LineNumber">
    <w:name w:val="line number"/>
    <w:basedOn w:val="DefaultParagraphFont"/>
    <w:uiPriority w:val="49"/>
    <w:semiHidden/>
    <w:locked/>
    <w:rsid w:val="000A57B1"/>
  </w:style>
  <w:style w:type="paragraph" w:styleId="List">
    <w:name w:val="List"/>
    <w:basedOn w:val="Normal"/>
    <w:uiPriority w:val="49"/>
    <w:semiHidden/>
    <w:locked/>
    <w:rsid w:val="000A57B1"/>
    <w:pPr>
      <w:ind w:left="283" w:hanging="283"/>
    </w:pPr>
  </w:style>
  <w:style w:type="paragraph" w:styleId="List2">
    <w:name w:val="List 2"/>
    <w:basedOn w:val="Normal"/>
    <w:uiPriority w:val="49"/>
    <w:semiHidden/>
    <w:locked/>
    <w:rsid w:val="000A57B1"/>
    <w:pPr>
      <w:ind w:left="566" w:hanging="283"/>
    </w:pPr>
  </w:style>
  <w:style w:type="paragraph" w:styleId="List3">
    <w:name w:val="List 3"/>
    <w:basedOn w:val="Normal"/>
    <w:uiPriority w:val="49"/>
    <w:semiHidden/>
    <w:locked/>
    <w:rsid w:val="000A57B1"/>
    <w:pPr>
      <w:ind w:left="849" w:hanging="283"/>
    </w:pPr>
  </w:style>
  <w:style w:type="paragraph" w:styleId="List4">
    <w:name w:val="List 4"/>
    <w:basedOn w:val="Normal"/>
    <w:uiPriority w:val="49"/>
    <w:semiHidden/>
    <w:locked/>
    <w:rsid w:val="000A57B1"/>
    <w:pPr>
      <w:ind w:left="1132" w:hanging="283"/>
    </w:pPr>
  </w:style>
  <w:style w:type="paragraph" w:styleId="List5">
    <w:name w:val="List 5"/>
    <w:basedOn w:val="Normal"/>
    <w:uiPriority w:val="49"/>
    <w:semiHidden/>
    <w:locked/>
    <w:rsid w:val="000A57B1"/>
    <w:pPr>
      <w:ind w:left="1415" w:hanging="283"/>
    </w:pPr>
  </w:style>
  <w:style w:type="paragraph" w:styleId="ListBullet">
    <w:name w:val="List Bullet"/>
    <w:basedOn w:val="Normal"/>
    <w:uiPriority w:val="99"/>
    <w:semiHidden/>
    <w:unhideWhenUsed/>
    <w:locked/>
    <w:rsid w:val="000A57B1"/>
    <w:pPr>
      <w:numPr>
        <w:numId w:val="9"/>
      </w:numPr>
      <w:contextualSpacing/>
    </w:pPr>
  </w:style>
  <w:style w:type="paragraph" w:styleId="ListBullet2">
    <w:name w:val="List Bullet 2"/>
    <w:basedOn w:val="Normal"/>
    <w:semiHidden/>
    <w:locked/>
    <w:rsid w:val="000A57B1"/>
    <w:pPr>
      <w:numPr>
        <w:numId w:val="10"/>
      </w:numPr>
      <w:contextualSpacing/>
    </w:pPr>
  </w:style>
  <w:style w:type="paragraph" w:styleId="ListBullet3">
    <w:name w:val="List Bullet 3"/>
    <w:basedOn w:val="Normal"/>
    <w:uiPriority w:val="99"/>
    <w:semiHidden/>
    <w:locked/>
    <w:rsid w:val="000A57B1"/>
    <w:pPr>
      <w:numPr>
        <w:numId w:val="11"/>
      </w:numPr>
      <w:contextualSpacing/>
    </w:pPr>
  </w:style>
  <w:style w:type="paragraph" w:styleId="ListBullet4">
    <w:name w:val="List Bullet 4"/>
    <w:basedOn w:val="Normal"/>
    <w:uiPriority w:val="49"/>
    <w:semiHidden/>
    <w:locked/>
    <w:rsid w:val="000A57B1"/>
    <w:pPr>
      <w:tabs>
        <w:tab w:val="num" w:pos="1209"/>
      </w:tabs>
      <w:ind w:left="1209" w:hanging="360"/>
    </w:pPr>
  </w:style>
  <w:style w:type="paragraph" w:styleId="ListBullet5">
    <w:name w:val="List Bullet 5"/>
    <w:basedOn w:val="Normal"/>
    <w:uiPriority w:val="49"/>
    <w:semiHidden/>
    <w:locked/>
    <w:rsid w:val="000A57B1"/>
    <w:pPr>
      <w:tabs>
        <w:tab w:val="num" w:pos="1492"/>
      </w:tabs>
      <w:ind w:left="1492" w:hanging="360"/>
    </w:pPr>
  </w:style>
  <w:style w:type="paragraph" w:customStyle="1" w:styleId="ListBulletBold">
    <w:name w:val="List Bullet Bold"/>
    <w:basedOn w:val="Normal"/>
    <w:next w:val="Normal"/>
    <w:uiPriority w:val="49"/>
    <w:semiHidden/>
    <w:rsid w:val="000A57B1"/>
    <w:rPr>
      <w:b/>
    </w:rPr>
  </w:style>
  <w:style w:type="paragraph" w:styleId="ListContinue">
    <w:name w:val="List Continue"/>
    <w:basedOn w:val="Normal"/>
    <w:uiPriority w:val="8"/>
    <w:semiHidden/>
    <w:qFormat/>
    <w:locked/>
    <w:rsid w:val="000A57B1"/>
    <w:pPr>
      <w:spacing w:before="0" w:after="0"/>
      <w:ind w:left="1077"/>
    </w:pPr>
  </w:style>
  <w:style w:type="paragraph" w:styleId="ListContinue2">
    <w:name w:val="List Continue 2"/>
    <w:basedOn w:val="Normal"/>
    <w:uiPriority w:val="8"/>
    <w:semiHidden/>
    <w:locked/>
    <w:rsid w:val="000A57B1"/>
    <w:pPr>
      <w:spacing w:before="0" w:after="0"/>
      <w:ind w:left="1361"/>
    </w:pPr>
  </w:style>
  <w:style w:type="paragraph" w:styleId="ListContinue3">
    <w:name w:val="List Continue 3"/>
    <w:basedOn w:val="Normal"/>
    <w:uiPriority w:val="8"/>
    <w:semiHidden/>
    <w:locked/>
    <w:rsid w:val="000A57B1"/>
    <w:pPr>
      <w:spacing w:before="0" w:after="0"/>
      <w:ind w:left="1644"/>
    </w:pPr>
  </w:style>
  <w:style w:type="paragraph" w:styleId="ListContinue4">
    <w:name w:val="List Continue 4"/>
    <w:basedOn w:val="Normal"/>
    <w:uiPriority w:val="49"/>
    <w:semiHidden/>
    <w:locked/>
    <w:rsid w:val="000A57B1"/>
    <w:pPr>
      <w:spacing w:after="120"/>
      <w:ind w:left="1132"/>
    </w:pPr>
  </w:style>
  <w:style w:type="paragraph" w:styleId="ListContinue5">
    <w:name w:val="List Continue 5"/>
    <w:basedOn w:val="Normal"/>
    <w:uiPriority w:val="49"/>
    <w:semiHidden/>
    <w:locked/>
    <w:rsid w:val="000A57B1"/>
    <w:pPr>
      <w:spacing w:after="120"/>
      <w:ind w:left="1415"/>
    </w:pPr>
  </w:style>
  <w:style w:type="paragraph" w:styleId="ListNumber4">
    <w:name w:val="List Number 4"/>
    <w:basedOn w:val="Normal"/>
    <w:uiPriority w:val="49"/>
    <w:locked/>
    <w:rsid w:val="00280D7E"/>
    <w:pPr>
      <w:numPr>
        <w:numId w:val="24"/>
      </w:numPr>
      <w:ind w:left="1368" w:hanging="576"/>
    </w:pPr>
  </w:style>
  <w:style w:type="paragraph" w:styleId="ListNumber5">
    <w:name w:val="List Number 5"/>
    <w:basedOn w:val="Normal"/>
    <w:uiPriority w:val="49"/>
    <w:semiHidden/>
    <w:locked/>
    <w:rsid w:val="000A57B1"/>
    <w:pPr>
      <w:tabs>
        <w:tab w:val="num" w:pos="1492"/>
      </w:tabs>
      <w:ind w:left="1492" w:hanging="360"/>
    </w:pPr>
  </w:style>
  <w:style w:type="paragraph" w:styleId="MacroText">
    <w:name w:val="macro"/>
    <w:link w:val="MacroTextChar"/>
    <w:uiPriority w:val="49"/>
    <w:semiHidden/>
    <w:locked/>
    <w:rsid w:val="000A57B1"/>
    <w:rPr>
      <w:rFonts w:eastAsia="Times New Roman" w:cs="Calibri"/>
    </w:rPr>
  </w:style>
  <w:style w:type="character" w:customStyle="1" w:styleId="MacroTextChar">
    <w:name w:val="Macro Text Char"/>
    <w:basedOn w:val="DefaultParagraphFont"/>
    <w:link w:val="MacroText"/>
    <w:uiPriority w:val="49"/>
    <w:semiHidden/>
    <w:rsid w:val="000A57B1"/>
    <w:rPr>
      <w:rFonts w:eastAsia="Times New Roman" w:cs="Calibri"/>
    </w:rPr>
  </w:style>
  <w:style w:type="table" w:styleId="MediumGrid1">
    <w:name w:val="Medium Grid 1"/>
    <w:basedOn w:val="TableNormal"/>
    <w:uiPriority w:val="67"/>
    <w:rsid w:val="000A57B1"/>
    <w:rPr>
      <w:rFonts w:ascii="Arial" w:eastAsia="Times New Roman" w:hAnsi="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0A57B1"/>
    <w:rPr>
      <w:rFonts w:ascii="Arial" w:eastAsia="Times New Roman" w:hAnsi="Arial"/>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0A57B1"/>
    <w:rPr>
      <w:rFonts w:ascii="Arial" w:eastAsia="Times New Roman" w:hAnsi="Arial"/>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0A57B1"/>
    <w:rPr>
      <w:rFonts w:ascii="Arial" w:eastAsia="Times New Roman" w:hAnsi="Arial"/>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0A57B1"/>
    <w:rPr>
      <w:rFonts w:ascii="Arial" w:eastAsia="Times New Roman" w:hAnsi="Arial"/>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0A57B1"/>
    <w:rPr>
      <w:rFonts w:ascii="Arial" w:eastAsia="Times New Roman" w:hAnsi="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0A57B1"/>
    <w:rPr>
      <w:rFonts w:ascii="Arial" w:eastAsia="Times New Roman" w:hAnsi="Arial"/>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1">
    <w:name w:val="Medium Grid 11"/>
    <w:basedOn w:val="TableNormal"/>
    <w:semiHidden/>
    <w:rsid w:val="000A57B1"/>
    <w:rPr>
      <w:rFonts w:ascii="Arial" w:eastAsia="Times New Roman" w:hAnsi="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68"/>
    <w:rsid w:val="000A57B1"/>
    <w:rPr>
      <w:rFonts w:ascii="Cambria" w:eastAsia="Times New Roman" w:hAnsi="Cambria"/>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0A57B1"/>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0A57B1"/>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0A57B1"/>
    <w:rPr>
      <w:rFonts w:ascii="Cambria" w:eastAsia="Times New Roman" w:hAnsi="Cambria"/>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0A57B1"/>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0A57B1"/>
    <w:rPr>
      <w:rFonts w:ascii="Cambria" w:eastAsia="Times New Roman" w:hAnsi="Cambria"/>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0A57B1"/>
    <w:rPr>
      <w:rFonts w:ascii="Cambria" w:eastAsia="Times New Roman" w:hAnsi="Cambria"/>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21">
    <w:name w:val="Medium Grid 21"/>
    <w:basedOn w:val="TableNormal"/>
    <w:semiHidden/>
    <w:rsid w:val="000A57B1"/>
    <w:rPr>
      <w:rFonts w:ascii="Cambria" w:eastAsia="Times New Roman" w:hAnsi="Cambria"/>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
    <w:name w:val="Medium Grid 3"/>
    <w:basedOn w:val="TableNormal"/>
    <w:uiPriority w:val="69"/>
    <w:rsid w:val="000A57B1"/>
    <w:rPr>
      <w:rFonts w:ascii="Arial" w:eastAsia="Times New Roman" w:hAnsi="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0A57B1"/>
    <w:rPr>
      <w:rFonts w:ascii="Arial" w:eastAsia="Times New Roman" w:hAnsi="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0A57B1"/>
    <w:rPr>
      <w:rFonts w:ascii="Arial" w:eastAsia="Times New Roman" w:hAnsi="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0A57B1"/>
    <w:rPr>
      <w:rFonts w:ascii="Arial" w:eastAsia="Times New Roman" w:hAnsi="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0A57B1"/>
    <w:rPr>
      <w:rFonts w:ascii="Arial" w:eastAsia="Times New Roman" w:hAnsi="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0A57B1"/>
    <w:rPr>
      <w:rFonts w:ascii="Arial" w:eastAsia="Times New Roman" w:hAnsi="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A57B1"/>
    <w:rPr>
      <w:rFonts w:ascii="Arial" w:eastAsia="Times New Roman" w:hAnsi="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31">
    <w:name w:val="Medium Grid 31"/>
    <w:basedOn w:val="TableNormal"/>
    <w:semiHidden/>
    <w:rsid w:val="000A57B1"/>
    <w:rPr>
      <w:rFonts w:ascii="Arial" w:eastAsia="Times New Roman" w:hAnsi="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
    <w:name w:val="Medium List 1"/>
    <w:basedOn w:val="TableNormal"/>
    <w:uiPriority w:val="65"/>
    <w:rsid w:val="000A57B1"/>
    <w:rPr>
      <w:rFonts w:ascii="Arial" w:eastAsia="Times New Roman" w:hAnsi="Arial"/>
      <w:color w:val="000000"/>
      <w:sz w:val="20"/>
      <w:szCs w:val="2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0A57B1"/>
    <w:rPr>
      <w:rFonts w:ascii="Arial" w:eastAsia="Times New Roman" w:hAnsi="Arial"/>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11">
    <w:name w:val="Medium List 1 - Accent 11"/>
    <w:basedOn w:val="TableNormal"/>
    <w:semiHidden/>
    <w:rsid w:val="000A57B1"/>
    <w:rPr>
      <w:rFonts w:ascii="Arial" w:eastAsia="Times New Roman" w:hAnsi="Arial"/>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rsid w:val="000A57B1"/>
    <w:rPr>
      <w:rFonts w:ascii="Arial" w:eastAsia="Times New Roman" w:hAnsi="Arial"/>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0A57B1"/>
    <w:rPr>
      <w:rFonts w:ascii="Arial" w:eastAsia="Times New Roman" w:hAnsi="Arial"/>
      <w:color w:val="000000"/>
      <w:sz w:val="20"/>
      <w:szCs w:val="2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0A57B1"/>
    <w:rPr>
      <w:rFonts w:ascii="Arial" w:eastAsia="Times New Roman" w:hAnsi="Arial"/>
      <w:color w:val="000000"/>
      <w:sz w:val="20"/>
      <w:szCs w:val="2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0A57B1"/>
    <w:rPr>
      <w:rFonts w:ascii="Arial" w:eastAsia="Times New Roman" w:hAnsi="Arial"/>
      <w:color w:val="000000"/>
      <w:sz w:val="20"/>
      <w:szCs w:val="2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0A57B1"/>
    <w:rPr>
      <w:rFonts w:ascii="Arial" w:eastAsia="Times New Roman" w:hAnsi="Arial"/>
      <w:color w:val="000000"/>
      <w:sz w:val="20"/>
      <w:szCs w:val="2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11">
    <w:name w:val="Medium List 11"/>
    <w:basedOn w:val="TableNormal"/>
    <w:semiHidden/>
    <w:rsid w:val="000A57B1"/>
    <w:rPr>
      <w:rFonts w:ascii="Arial" w:eastAsia="Times New Roman" w:hAnsi="Arial"/>
      <w:color w:val="000000"/>
      <w:sz w:val="20"/>
      <w:szCs w:val="2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2">
    <w:name w:val="Medium List 2"/>
    <w:basedOn w:val="TableNormal"/>
    <w:uiPriority w:val="66"/>
    <w:rsid w:val="000A57B1"/>
    <w:rPr>
      <w:rFonts w:ascii="Cambria" w:eastAsia="Times New Roman" w:hAnsi="Cambria"/>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0A57B1"/>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0A57B1"/>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0A57B1"/>
    <w:rPr>
      <w:rFonts w:ascii="Cambria" w:eastAsia="Times New Roman" w:hAnsi="Cambria"/>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0A57B1"/>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0A57B1"/>
    <w:rPr>
      <w:rFonts w:ascii="Cambria" w:eastAsia="Times New Roman" w:hAnsi="Cambria"/>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0A57B1"/>
    <w:rPr>
      <w:rFonts w:ascii="Cambria" w:eastAsia="Times New Roman" w:hAnsi="Cambria"/>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List21">
    <w:name w:val="Medium List 21"/>
    <w:basedOn w:val="TableNormal"/>
    <w:semiHidden/>
    <w:rsid w:val="000A57B1"/>
    <w:rPr>
      <w:rFonts w:ascii="Cambria" w:eastAsia="Times New Roman" w:hAnsi="Cambria"/>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0A57B1"/>
    <w:rPr>
      <w:rFonts w:ascii="Arial" w:eastAsia="Times New Roman" w:hAnsi="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A57B1"/>
    <w:rPr>
      <w:rFonts w:ascii="Arial" w:eastAsia="Times New Roman" w:hAnsi="Arial"/>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semiHidden/>
    <w:rsid w:val="000A57B1"/>
    <w:rPr>
      <w:rFonts w:ascii="Arial" w:eastAsia="Times New Roman" w:hAnsi="Arial"/>
      <w:sz w:val="20"/>
      <w:szCs w:val="20"/>
    </w:rPr>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A57B1"/>
    <w:rPr>
      <w:rFonts w:ascii="Arial" w:eastAsia="Times New Roman" w:hAnsi="Arial"/>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A57B1"/>
    <w:rPr>
      <w:rFonts w:ascii="Arial" w:eastAsia="Times New Roman" w:hAnsi="Arial"/>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A57B1"/>
    <w:rPr>
      <w:rFonts w:ascii="Arial" w:eastAsia="Times New Roman" w:hAnsi="Arial"/>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A57B1"/>
    <w:rPr>
      <w:rFonts w:ascii="Arial" w:eastAsia="Times New Roman" w:hAnsi="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A57B1"/>
    <w:rPr>
      <w:rFonts w:ascii="Arial" w:eastAsia="Times New Roman" w:hAnsi="Arial"/>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1">
    <w:name w:val="Medium Shading 11"/>
    <w:basedOn w:val="TableNormal"/>
    <w:semiHidden/>
    <w:rsid w:val="000A57B1"/>
    <w:rPr>
      <w:rFonts w:ascii="Arial" w:eastAsia="Times New Roman" w:hAnsi="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2">
    <w:name w:val="Medium Shading 2"/>
    <w:basedOn w:val="TableNormal"/>
    <w:uiPriority w:val="64"/>
    <w:rsid w:val="000A57B1"/>
    <w:rPr>
      <w:rFonts w:ascii="Arial" w:eastAsia="Times New Roman"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A57B1"/>
    <w:rPr>
      <w:rFonts w:ascii="Arial" w:eastAsia="Times New Roman"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semiHidden/>
    <w:rsid w:val="000A57B1"/>
    <w:rPr>
      <w:rFonts w:ascii="Arial" w:eastAsia="Times New Roman"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A57B1"/>
    <w:rPr>
      <w:rFonts w:ascii="Arial" w:eastAsia="Times New Roman"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A57B1"/>
    <w:rPr>
      <w:rFonts w:ascii="Arial" w:eastAsia="Times New Roman"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A57B1"/>
    <w:rPr>
      <w:rFonts w:ascii="Arial" w:eastAsia="Times New Roman"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A57B1"/>
    <w:rPr>
      <w:rFonts w:ascii="Arial" w:eastAsia="Times New Roman"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A57B1"/>
    <w:rPr>
      <w:rFonts w:ascii="Arial" w:eastAsia="Times New Roman"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semiHidden/>
    <w:rsid w:val="000A57B1"/>
    <w:rPr>
      <w:rFonts w:ascii="Arial" w:eastAsia="Times New Roman"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49"/>
    <w:semiHidden/>
    <w:locked/>
    <w:rsid w:val="000A57B1"/>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MessageHeaderChar">
    <w:name w:val="Message Header Char"/>
    <w:basedOn w:val="DefaultParagraphFont"/>
    <w:link w:val="MessageHeader"/>
    <w:uiPriority w:val="49"/>
    <w:semiHidden/>
    <w:rsid w:val="000A57B1"/>
    <w:rPr>
      <w:rFonts w:eastAsia="Times New Roman" w:cs="Calibri"/>
      <w:sz w:val="24"/>
      <w:szCs w:val="24"/>
      <w:shd w:val="pct20" w:color="auto" w:fill="auto"/>
    </w:rPr>
  </w:style>
  <w:style w:type="paragraph" w:styleId="NormalIndent">
    <w:name w:val="Normal Indent"/>
    <w:basedOn w:val="Normal"/>
    <w:locked/>
    <w:rsid w:val="000A57B1"/>
    <w:pPr>
      <w:spacing w:line="240" w:lineRule="exact"/>
      <w:ind w:left="1077" w:right="284"/>
    </w:pPr>
  </w:style>
  <w:style w:type="paragraph" w:customStyle="1" w:styleId="NormalIndentItalics">
    <w:name w:val="Normal Indent Italics"/>
    <w:basedOn w:val="NormalIndent"/>
    <w:uiPriority w:val="13"/>
    <w:qFormat/>
    <w:rsid w:val="000A57B1"/>
    <w:rPr>
      <w:i/>
    </w:rPr>
  </w:style>
  <w:style w:type="paragraph" w:customStyle="1" w:styleId="Pictwide">
    <w:name w:val="Pict wide"/>
    <w:basedOn w:val="Normal"/>
    <w:next w:val="Normal"/>
    <w:uiPriority w:val="13"/>
    <w:semiHidden/>
    <w:qFormat/>
    <w:rsid w:val="000A57B1"/>
    <w:pPr>
      <w:widowControl w:val="0"/>
      <w:spacing w:before="160" w:after="320"/>
    </w:pPr>
    <w:rPr>
      <w:sz w:val="24"/>
    </w:rPr>
  </w:style>
  <w:style w:type="character" w:styleId="PlaceholderText">
    <w:name w:val="Placeholder Text"/>
    <w:uiPriority w:val="99"/>
    <w:semiHidden/>
    <w:rsid w:val="000A57B1"/>
    <w:rPr>
      <w:color w:val="808080"/>
    </w:rPr>
  </w:style>
  <w:style w:type="paragraph" w:styleId="PlainText">
    <w:name w:val="Plain Text"/>
    <w:basedOn w:val="Normal"/>
    <w:link w:val="PlainTextChar"/>
    <w:uiPriority w:val="49"/>
    <w:semiHidden/>
    <w:locked/>
    <w:rsid w:val="000A57B1"/>
  </w:style>
  <w:style w:type="character" w:customStyle="1" w:styleId="PlainTextChar">
    <w:name w:val="Plain Text Char"/>
    <w:basedOn w:val="DefaultParagraphFont"/>
    <w:link w:val="PlainText"/>
    <w:uiPriority w:val="49"/>
    <w:semiHidden/>
    <w:rsid w:val="000A57B1"/>
    <w:rPr>
      <w:rFonts w:eastAsia="Times New Roman" w:cs="Calibri"/>
    </w:rPr>
  </w:style>
  <w:style w:type="paragraph" w:customStyle="1" w:styleId="Quotation">
    <w:name w:val="Quotation"/>
    <w:basedOn w:val="Normal"/>
    <w:next w:val="Normal"/>
    <w:uiPriority w:val="49"/>
    <w:semiHidden/>
    <w:rsid w:val="000A57B1"/>
    <w:pPr>
      <w:keepLines/>
      <w:spacing w:before="40"/>
      <w:jc w:val="center"/>
    </w:pPr>
    <w:rPr>
      <w:i/>
      <w:iCs/>
      <w:color w:val="003399"/>
      <w:sz w:val="18"/>
      <w:lang w:eastAsia="en-US"/>
    </w:rPr>
  </w:style>
  <w:style w:type="paragraph" w:customStyle="1" w:styleId="QuoteName">
    <w:name w:val="Quote Name"/>
    <w:basedOn w:val="Normal"/>
    <w:uiPriority w:val="49"/>
    <w:semiHidden/>
    <w:rsid w:val="000A57B1"/>
    <w:pPr>
      <w:spacing w:after="0"/>
      <w:ind w:left="902" w:right="822"/>
      <w:jc w:val="right"/>
    </w:pPr>
    <w:rPr>
      <w:caps/>
      <w:color w:val="800000"/>
      <w:sz w:val="16"/>
    </w:rPr>
  </w:style>
  <w:style w:type="paragraph" w:styleId="Salutation">
    <w:name w:val="Salutation"/>
    <w:basedOn w:val="Normal"/>
    <w:next w:val="Normal"/>
    <w:link w:val="SalutationChar"/>
    <w:uiPriority w:val="49"/>
    <w:semiHidden/>
    <w:locked/>
    <w:rsid w:val="000A57B1"/>
  </w:style>
  <w:style w:type="character" w:customStyle="1" w:styleId="SalutationChar">
    <w:name w:val="Salutation Char"/>
    <w:basedOn w:val="DefaultParagraphFont"/>
    <w:link w:val="Salutation"/>
    <w:uiPriority w:val="49"/>
    <w:semiHidden/>
    <w:rsid w:val="000A57B1"/>
    <w:rPr>
      <w:rFonts w:eastAsia="Times New Roman" w:cs="Calibri"/>
    </w:rPr>
  </w:style>
  <w:style w:type="paragraph" w:styleId="Signature">
    <w:name w:val="Signature"/>
    <w:basedOn w:val="Normal"/>
    <w:link w:val="SignatureChar"/>
    <w:uiPriority w:val="49"/>
    <w:semiHidden/>
    <w:locked/>
    <w:rsid w:val="000A57B1"/>
    <w:pPr>
      <w:ind w:left="4252"/>
    </w:pPr>
  </w:style>
  <w:style w:type="character" w:customStyle="1" w:styleId="SignatureChar">
    <w:name w:val="Signature Char"/>
    <w:basedOn w:val="DefaultParagraphFont"/>
    <w:link w:val="Signature"/>
    <w:uiPriority w:val="49"/>
    <w:semiHidden/>
    <w:rsid w:val="000A57B1"/>
    <w:rPr>
      <w:rFonts w:eastAsia="Times New Roman" w:cs="Calibri"/>
    </w:rPr>
  </w:style>
  <w:style w:type="character" w:styleId="Strong">
    <w:name w:val="Strong"/>
    <w:uiPriority w:val="22"/>
    <w:qFormat/>
    <w:locked/>
    <w:rsid w:val="000A57B1"/>
    <w:rPr>
      <w:b/>
      <w:bCs/>
    </w:rPr>
  </w:style>
  <w:style w:type="character" w:styleId="SubtleEmphasis">
    <w:name w:val="Subtle Emphasis"/>
    <w:uiPriority w:val="19"/>
    <w:qFormat/>
    <w:rsid w:val="000A57B1"/>
    <w:rPr>
      <w:i/>
      <w:iCs/>
      <w:color w:val="808080"/>
    </w:rPr>
  </w:style>
  <w:style w:type="character" w:styleId="SubtleReference">
    <w:name w:val="Subtle Reference"/>
    <w:uiPriority w:val="31"/>
    <w:qFormat/>
    <w:rsid w:val="000A57B1"/>
    <w:rPr>
      <w:smallCaps/>
      <w:color w:val="C0504D"/>
      <w:u w:val="single"/>
    </w:rPr>
  </w:style>
  <w:style w:type="table" w:styleId="Table3Deffects1">
    <w:name w:val="Table 3D effects 1"/>
    <w:basedOn w:val="TableNormal"/>
    <w:uiPriority w:val="99"/>
    <w:semiHidden/>
    <w:unhideWhenUsed/>
    <w:locked/>
    <w:rsid w:val="000A57B1"/>
    <w:pPr>
      <w:spacing w:before="80" w:after="80" w:line="240" w:lineRule="atLeast"/>
      <w:ind w:left="794"/>
    </w:pPr>
    <w:rPr>
      <w:rFonts w:ascii="Arial" w:eastAsia="Times New Roman" w:hAnsi="Arial"/>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Grid"/>
    <w:uiPriority w:val="99"/>
    <w:semiHidden/>
    <w:unhideWhenUsed/>
    <w:locked/>
    <w:rsid w:val="000A57B1"/>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color w:val="4C4C4C"/>
      </w:rPr>
      <w:tblPr/>
      <w:tcPr>
        <w:tcBorders>
          <w:top w:val="nil"/>
          <w:left w:val="nil"/>
          <w:bottom w:val="nil"/>
          <w:right w:val="single" w:sz="6" w:space="0" w:color="000000"/>
          <w:insideH w:val="nil"/>
          <w:insideV w:val="nil"/>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0A57B1"/>
    <w:pPr>
      <w:spacing w:before="80" w:after="80" w:line="240" w:lineRule="atLeast"/>
      <w:ind w:left="794"/>
    </w:pPr>
    <w:rPr>
      <w:rFonts w:ascii="Arial" w:eastAsia="Times New Roman" w:hAnsi="Arial"/>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0A57B1"/>
    <w:pPr>
      <w:spacing w:before="80" w:after="80" w:line="240" w:lineRule="atLeast"/>
      <w:ind w:left="794"/>
    </w:pPr>
    <w:rPr>
      <w:rFonts w:ascii="Arial" w:eastAsia="Times New Roman" w:hAnsi="Arial"/>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0A57B1"/>
    <w:pPr>
      <w:spacing w:before="80" w:after="80" w:line="240" w:lineRule="atLeast"/>
      <w:ind w:left="794"/>
    </w:pPr>
    <w:rPr>
      <w:rFonts w:ascii="Arial" w:eastAsia="Times New Roman" w:hAnsi="Arial"/>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0A57B1"/>
    <w:pPr>
      <w:spacing w:before="80" w:after="80" w:line="240" w:lineRule="atLeast"/>
      <w:ind w:left="794"/>
    </w:pPr>
    <w:rPr>
      <w:rFonts w:ascii="Arial" w:eastAsia="Times New Roman" w:hAnsi="Arial"/>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0A57B1"/>
    <w:pPr>
      <w:spacing w:before="80" w:after="80" w:line="240" w:lineRule="atLeast"/>
      <w:ind w:left="794"/>
    </w:pPr>
    <w:rPr>
      <w:rFonts w:ascii="Arial" w:eastAsia="Times New Roman" w:hAnsi="Arial"/>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Grid"/>
    <w:uiPriority w:val="99"/>
    <w:locked/>
    <w:rsid w:val="000A57B1"/>
    <w:pPr>
      <w:spacing w:before="100" w:after="100"/>
      <w:ind w:left="794"/>
    </w:pPr>
    <w:tblPr>
      <w:tblBorders>
        <w:top w:val="single" w:sz="2" w:space="0" w:color="000000"/>
        <w:bottom w:val="single" w:sz="2" w:space="0" w:color="000000"/>
        <w:insideH w:val="single" w:sz="2" w:space="0" w:color="000000"/>
      </w:tblBorders>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lastRow">
      <w:rPr>
        <w:i w:val="0"/>
        <w:iCs/>
      </w:rPr>
      <w:tblPr/>
      <w:tcPr>
        <w:tcBorders>
          <w:tl2br w:val="none" w:sz="0" w:space="0" w:color="auto"/>
          <w:tr2bl w:val="none" w:sz="0" w:space="0" w:color="auto"/>
        </w:tcBorders>
      </w:tcPr>
    </w:tblStylePr>
    <w:tblStylePr w:type="firstCol">
      <w:rPr>
        <w:b/>
        <w:color w:val="auto"/>
      </w:rPr>
      <w:tblPr/>
      <w:tcPr>
        <w:shd w:val="clear" w:color="auto" w:fill="E6E6E6"/>
      </w:tcPr>
    </w:tblStylePr>
    <w:tblStylePr w:type="lastCol">
      <w:rPr>
        <w:i w:val="0"/>
        <w:iCs/>
      </w:rPr>
      <w:tblPr/>
      <w:tcPr>
        <w:tcBorders>
          <w:tl2br w:val="none" w:sz="0" w:space="0" w:color="auto"/>
          <w:tr2bl w:val="none" w:sz="0" w:space="0" w:color="auto"/>
        </w:tcBorders>
      </w:tcPr>
    </w:tblStylePr>
    <w:tblStylePr w:type="nwCell">
      <w:rPr>
        <w:b/>
      </w:rPr>
    </w:tblStylePr>
  </w:style>
  <w:style w:type="table" w:styleId="TableGrid2">
    <w:name w:val="Table Grid 2"/>
    <w:basedOn w:val="TableGrid"/>
    <w:uiPriority w:val="99"/>
    <w:unhideWhenUsed/>
    <w:locked/>
    <w:rsid w:val="000A57B1"/>
    <w:pPr>
      <w:spacing w:after="120" w:line="280" w:lineRule="atLeast"/>
    </w:pPr>
    <w:tblPr>
      <w:tblBorders>
        <w:top w:val="single" w:sz="4" w:space="0" w:color="auto"/>
        <w:bottom w:val="single" w:sz="4" w:space="0" w:color="auto"/>
        <w:insideH w:val="single" w:sz="4" w:space="0" w:color="auto"/>
      </w:tblBorders>
      <w:tblCellMar>
        <w:left w:w="57" w:type="dxa"/>
        <w:right w:w="57" w:type="dxa"/>
      </w:tblCellMa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bCs/>
        <w:i w:val="0"/>
        <w:caps w:val="0"/>
        <w:smallCaps w:val="0"/>
        <w:strike w:val="0"/>
        <w:dstrike w:val="0"/>
        <w:vanish w:val="0"/>
        <w:color w:val="4C4C4C"/>
        <w:sz w:val="24"/>
        <w:u w:val="none"/>
        <w:vertAlign w:val="baseline"/>
      </w:rPr>
      <w:tblPr/>
      <w:tcPr>
        <w:tcBorders>
          <w:top w:val="single" w:sz="4" w:space="0" w:color="auto"/>
          <w:left w:val="nil"/>
          <w:bottom w:val="nil"/>
          <w:right w:val="nil"/>
          <w:insideH w:val="nil"/>
          <w:insideV w:val="nil"/>
          <w:tl2br w:val="nil"/>
          <w:tr2bl w:val="nil"/>
        </w:tcBorders>
        <w:shd w:val="clear" w:color="auto" w:fill="D9D9D9"/>
      </w:tcPr>
    </w:tblStylePr>
    <w:tblStylePr w:type="lastRow">
      <w:rPr>
        <w:b w:val="0"/>
        <w:bCs/>
      </w:rPr>
      <w:tblPr/>
      <w:tcPr>
        <w:tcBorders>
          <w:top w:val="single" w:sz="4" w:space="0" w:color="auto"/>
          <w:left w:val="nil"/>
          <w:bottom w:val="single" w:sz="4" w:space="0" w:color="auto"/>
          <w:right w:val="nil"/>
          <w:insideH w:val="single" w:sz="4" w:space="0" w:color="C0C0C0"/>
          <w:insideV w:val="nil"/>
          <w:tl2br w:val="nil"/>
          <w:tr2bl w:val="nil"/>
        </w:tcBorders>
        <w:shd w:val="clear" w:color="auto" w:fill="auto"/>
      </w:tcPr>
    </w:tblStylePr>
    <w:tblStylePr w:type="firstCol">
      <w:rPr>
        <w:b/>
        <w:bCs/>
        <w:caps w:val="0"/>
        <w:color w:val="auto"/>
      </w:rPr>
      <w:tblPr/>
      <w:tcPr>
        <w:tcBorders>
          <w:top w:val="single" w:sz="4" w:space="0" w:color="C0C0C0"/>
          <w:left w:val="single" w:sz="4" w:space="0" w:color="C0C0C0"/>
          <w:bottom w:val="single" w:sz="4" w:space="0" w:color="C0C0C0"/>
          <w:right w:val="nil"/>
        </w:tcBorders>
        <w:shd w:val="clear" w:color="auto" w:fill="E6E6E6"/>
      </w:tcPr>
    </w:tblStylePr>
    <w:tblStylePr w:type="lastCol">
      <w:rPr>
        <w:b w:val="0"/>
        <w:bCs/>
      </w:rPr>
      <w:tblPr/>
      <w:tcPr>
        <w:tcBorders>
          <w:tl2br w:val="none" w:sz="0" w:space="0" w:color="auto"/>
          <w:tr2bl w:val="none" w:sz="0" w:space="0" w:color="auto"/>
        </w:tcBorders>
      </w:tcPr>
    </w:tblStylePr>
    <w:tblStylePr w:type="swCell">
      <w:rPr>
        <w:b/>
        <w:color w:val="auto"/>
      </w:rPr>
      <w:tblPr/>
      <w:tcPr>
        <w:tcBorders>
          <w:top w:val="single" w:sz="6" w:space="0" w:color="auto"/>
          <w:left w:val="single" w:sz="6" w:space="0" w:color="BFBFBF"/>
          <w:bottom w:val="single" w:sz="6" w:space="0" w:color="auto"/>
          <w:right w:val="single" w:sz="6" w:space="0" w:color="BFBFBF"/>
          <w:insideH w:val="nil"/>
          <w:insideV w:val="nil"/>
          <w:tl2br w:val="nil"/>
          <w:tr2bl w:val="nil"/>
        </w:tcBorders>
        <w:shd w:val="clear" w:color="auto" w:fill="E6E6E6"/>
      </w:tcPr>
    </w:tblStylePr>
  </w:style>
  <w:style w:type="table" w:styleId="TableGrid3">
    <w:name w:val="Table Grid 3"/>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0A57B1"/>
    <w:pPr>
      <w:spacing w:before="80" w:after="80" w:line="240" w:lineRule="atLeast"/>
      <w:ind w:left="794"/>
    </w:pPr>
    <w:rPr>
      <w:rFonts w:ascii="Arial" w:eastAsia="Times New Roman" w:hAnsi="Arial"/>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39"/>
    <w:semiHidden/>
    <w:locked/>
    <w:rsid w:val="000A57B1"/>
    <w:pPr>
      <w:tabs>
        <w:tab w:val="right" w:pos="9072"/>
      </w:tabs>
      <w:ind w:left="200" w:hanging="200"/>
    </w:pPr>
  </w:style>
  <w:style w:type="paragraph" w:styleId="TableofFigures">
    <w:name w:val="table of figures"/>
    <w:basedOn w:val="TOCHeading"/>
    <w:next w:val="Normal"/>
    <w:uiPriority w:val="99"/>
    <w:semiHidden/>
    <w:unhideWhenUsed/>
    <w:locked/>
    <w:rsid w:val="000A57B1"/>
    <w:pPr>
      <w:spacing w:after="0"/>
    </w:pPr>
  </w:style>
  <w:style w:type="table" w:styleId="TableProfessional">
    <w:name w:val="Table Professional"/>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semiHidden/>
    <w:locked/>
    <w:rsid w:val="000A57B1"/>
    <w:pPr>
      <w:spacing w:before="120"/>
    </w:pPr>
    <w:rPr>
      <w:b/>
      <w:bCs/>
      <w:sz w:val="24"/>
      <w:szCs w:val="24"/>
    </w:rPr>
  </w:style>
  <w:style w:type="paragraph" w:styleId="TOC4">
    <w:name w:val="toc 4"/>
    <w:basedOn w:val="Normal"/>
    <w:next w:val="Normal"/>
    <w:autoRedefine/>
    <w:uiPriority w:val="39"/>
    <w:semiHidden/>
    <w:locked/>
    <w:rsid w:val="000A57B1"/>
    <w:pPr>
      <w:tabs>
        <w:tab w:val="right" w:leader="dot" w:pos="9639"/>
      </w:tabs>
      <w:spacing w:before="0" w:after="0"/>
      <w:ind w:left="1985" w:right="567" w:hanging="567"/>
    </w:pPr>
    <w:rPr>
      <w:color w:val="4C4C4C"/>
      <w:sz w:val="18"/>
    </w:rPr>
  </w:style>
  <w:style w:type="paragraph" w:styleId="TOC5">
    <w:name w:val="toc 5"/>
    <w:basedOn w:val="TOC3"/>
    <w:next w:val="Normal"/>
    <w:autoRedefine/>
    <w:uiPriority w:val="39"/>
    <w:semiHidden/>
    <w:locked/>
    <w:rsid w:val="000A57B1"/>
    <w:pPr>
      <w:ind w:left="1589" w:right="505" w:hanging="1589"/>
    </w:pPr>
    <w:rPr>
      <w:b/>
      <w:color w:val="333333"/>
    </w:rPr>
  </w:style>
  <w:style w:type="paragraph" w:styleId="TOC6">
    <w:name w:val="toc 6"/>
    <w:basedOn w:val="Normal"/>
    <w:next w:val="Normal"/>
    <w:autoRedefine/>
    <w:uiPriority w:val="49"/>
    <w:semiHidden/>
    <w:locked/>
    <w:rsid w:val="000A57B1"/>
    <w:pPr>
      <w:spacing w:before="40" w:after="20"/>
      <w:ind w:left="1418" w:hanging="1418"/>
    </w:pPr>
    <w:rPr>
      <w:b/>
      <w:sz w:val="16"/>
    </w:rPr>
  </w:style>
  <w:style w:type="paragraph" w:styleId="TOC7">
    <w:name w:val="toc 7"/>
    <w:basedOn w:val="Normal"/>
    <w:next w:val="Normal"/>
    <w:autoRedefine/>
    <w:uiPriority w:val="49"/>
    <w:semiHidden/>
    <w:locked/>
    <w:rsid w:val="000A57B1"/>
    <w:pPr>
      <w:ind w:left="1440"/>
    </w:pPr>
  </w:style>
  <w:style w:type="paragraph" w:styleId="TOC8">
    <w:name w:val="toc 8"/>
    <w:basedOn w:val="Normal"/>
    <w:next w:val="Normal"/>
    <w:autoRedefine/>
    <w:uiPriority w:val="49"/>
    <w:semiHidden/>
    <w:locked/>
    <w:rsid w:val="000A57B1"/>
    <w:pPr>
      <w:ind w:left="1680"/>
    </w:pPr>
  </w:style>
  <w:style w:type="paragraph" w:styleId="TOC9">
    <w:name w:val="toc 9"/>
    <w:basedOn w:val="Normal"/>
    <w:next w:val="Normal"/>
    <w:autoRedefine/>
    <w:uiPriority w:val="49"/>
    <w:semiHidden/>
    <w:locked/>
    <w:rsid w:val="000A57B1"/>
    <w:pPr>
      <w:ind w:left="2835" w:right="2835"/>
    </w:pPr>
  </w:style>
  <w:style w:type="paragraph" w:customStyle="1" w:styleId="Textbox">
    <w:name w:val="Text box"/>
    <w:basedOn w:val="Normal"/>
    <w:qFormat/>
    <w:rsid w:val="00FD019C"/>
    <w:pPr>
      <w:spacing w:before="60" w:after="0"/>
      <w:ind w:left="0"/>
      <w:jc w:val="center"/>
    </w:pPr>
    <w:rPr>
      <w:color w:val="000000" w:themeColor="text1"/>
      <w:sz w:val="16"/>
      <w:szCs w:val="18"/>
    </w:rPr>
  </w:style>
  <w:style w:type="paragraph" w:customStyle="1" w:styleId="Textboxbullet">
    <w:name w:val="Text box bullet"/>
    <w:basedOn w:val="Textbox"/>
    <w:qFormat/>
    <w:rsid w:val="00FD019C"/>
    <w:pPr>
      <w:numPr>
        <w:numId w:val="12"/>
      </w:numPr>
      <w:ind w:left="274" w:hanging="274"/>
      <w:jc w:val="left"/>
    </w:pPr>
  </w:style>
  <w:style w:type="paragraph" w:customStyle="1" w:styleId="TableTextbold">
    <w:name w:val="Table Text bold"/>
    <w:basedOn w:val="TableText"/>
    <w:qFormat/>
    <w:rsid w:val="00015B5A"/>
    <w:rPr>
      <w:b/>
    </w:rPr>
  </w:style>
  <w:style w:type="paragraph" w:styleId="FootnoteText">
    <w:name w:val="footnote text"/>
    <w:aliases w:val="Footnote Text1,Footnote Text Char Char Char Char Char Char1,Footnote Text Char Char Char Char Char,Footnote Text Char Char Char Char Char Char Char,Footnote Text Char Char Char Char"/>
    <w:basedOn w:val="Normal"/>
    <w:link w:val="FootnoteTextChar"/>
    <w:uiPriority w:val="49"/>
    <w:locked/>
    <w:rsid w:val="00513E55"/>
    <w:pPr>
      <w:spacing w:before="0" w:after="0"/>
    </w:pPr>
    <w:rPr>
      <w:sz w:val="20"/>
      <w:szCs w:val="20"/>
    </w:rPr>
  </w:style>
  <w:style w:type="character" w:customStyle="1" w:styleId="FootnoteTextChar">
    <w:name w:val="Footnote Text Char"/>
    <w:aliases w:val="Footnote Text1 Char,Footnote Text Char Char Char Char Char Char1 Char,Footnote Text Char Char Char Char Char Char,Footnote Text Char Char Char Char Char Char Char Char,Footnote Text Char Char Char Char Char1"/>
    <w:basedOn w:val="DefaultParagraphFont"/>
    <w:link w:val="FootnoteText"/>
    <w:uiPriority w:val="49"/>
    <w:rsid w:val="00513E55"/>
    <w:rPr>
      <w:rFonts w:eastAsia="Times New Roman" w:cs="Calibri"/>
      <w:sz w:val="20"/>
      <w:szCs w:val="20"/>
    </w:rPr>
  </w:style>
  <w:style w:type="paragraph" w:customStyle="1" w:styleId="Notebullet">
    <w:name w:val="Note bullet"/>
    <w:basedOn w:val="NoteNormal"/>
    <w:qFormat/>
    <w:rsid w:val="00284BB8"/>
    <w:pPr>
      <w:keepNext w:val="0"/>
      <w:numPr>
        <w:numId w:val="13"/>
      </w:numPr>
      <w:ind w:left="1154"/>
    </w:pPr>
  </w:style>
  <w:style w:type="paragraph" w:customStyle="1" w:styleId="Heading1Appendix">
    <w:name w:val="Heading 1 Appendix"/>
    <w:basedOn w:val="Normal"/>
    <w:rsid w:val="00243B87"/>
    <w:pPr>
      <w:numPr>
        <w:numId w:val="14"/>
      </w:numPr>
      <w:spacing w:before="0" w:after="1120"/>
    </w:pPr>
    <w:rPr>
      <w:color w:val="404040"/>
      <w:sz w:val="40"/>
      <w:szCs w:val="40"/>
      <w:lang w:eastAsia="en-US"/>
    </w:rPr>
  </w:style>
  <w:style w:type="paragraph" w:customStyle="1" w:styleId="Dash">
    <w:name w:val="Dash"/>
    <w:basedOn w:val="Normal"/>
    <w:rsid w:val="00605D8D"/>
  </w:style>
  <w:style w:type="paragraph" w:customStyle="1" w:styleId="ListNumbertable">
    <w:name w:val="List Number table"/>
    <w:basedOn w:val="TableText"/>
    <w:qFormat/>
    <w:rsid w:val="004D6B11"/>
    <w:pPr>
      <w:numPr>
        <w:numId w:val="17"/>
      </w:numPr>
      <w:ind w:left="644"/>
    </w:pPr>
    <w:rPr>
      <w:sz w:val="18"/>
    </w:rPr>
  </w:style>
  <w:style w:type="paragraph" w:customStyle="1" w:styleId="Numbered">
    <w:name w:val="Numbered"/>
    <w:basedOn w:val="Normal"/>
    <w:rsid w:val="00280D7E"/>
    <w:pPr>
      <w:numPr>
        <w:ilvl w:val="1"/>
        <w:numId w:val="23"/>
      </w:numPr>
    </w:pPr>
    <w:rPr>
      <w:lang w:val="en-US"/>
    </w:rPr>
  </w:style>
  <w:style w:type="paragraph" w:customStyle="1" w:styleId="Heading1a">
    <w:name w:val="Heading 1a"/>
    <w:basedOn w:val="Heading1"/>
    <w:rsid w:val="00A52685"/>
    <w:pPr>
      <w:numPr>
        <w:numId w:val="0"/>
      </w:numPr>
      <w:ind w:left="720"/>
    </w:pPr>
    <w:rPr>
      <w:lang w:val="en-US"/>
    </w:rPr>
  </w:style>
  <w:style w:type="paragraph" w:customStyle="1" w:styleId="Heading2Division">
    <w:name w:val="Heading 2 Division"/>
    <w:basedOn w:val="Normal"/>
    <w:rsid w:val="00A52685"/>
    <w:pPr>
      <w:keepNext/>
      <w:keepLines/>
      <w:widowControl w:val="0"/>
      <w:tabs>
        <w:tab w:val="left" w:pos="2057"/>
      </w:tabs>
      <w:spacing w:before="280" w:after="120" w:line="216" w:lineRule="auto"/>
      <w:outlineLvl w:val="1"/>
    </w:pPr>
    <w:rPr>
      <w:color w:val="4D4D4D"/>
      <w:sz w:val="3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3" w:unhideWhenUsed="0" w:qFormat="1"/>
    <w:lsdException w:name="heading 2" w:semiHidden="0" w:uiPriority="3" w:unhideWhenUsed="0" w:qFormat="1"/>
    <w:lsdException w:name="heading 3" w:semiHidden="0" w:uiPriority="3" w:unhideWhenUsed="0" w:qFormat="1"/>
    <w:lsdException w:name="heading 4" w:semiHidden="0" w:uiPriority="3" w:unhideWhenUsed="0"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uiPriority="49"/>
    <w:lsdException w:name="index 2" w:uiPriority="49"/>
    <w:lsdException w:name="index 3" w:uiPriority="49"/>
    <w:lsdException w:name="index 4" w:uiPriority="49"/>
    <w:lsdException w:name="index 5" w:uiPriority="49"/>
    <w:lsdException w:name="index 6" w:uiPriority="49"/>
    <w:lsdException w:name="index 7" w:uiPriority="49"/>
    <w:lsdException w:name="index 8" w:uiPriority="49"/>
    <w:lsdException w:name="index 9" w:uiPriority="49"/>
    <w:lsdException w:name="toc 1" w:uiPriority="39"/>
    <w:lsdException w:name="toc 2" w:uiPriority="39"/>
    <w:lsdException w:name="toc 3" w:uiPriority="39"/>
    <w:lsdException w:name="toc 4" w:uiPriority="39"/>
    <w:lsdException w:name="toc 5" w:uiPriority="39"/>
    <w:lsdException w:name="toc 6" w:uiPriority="49"/>
    <w:lsdException w:name="toc 7" w:uiPriority="49"/>
    <w:lsdException w:name="toc 8" w:uiPriority="49"/>
    <w:lsdException w:name="toc 9" w:uiPriority="49"/>
    <w:lsdException w:name="Normal Indent" w:uiPriority="0"/>
    <w:lsdException w:name="footnote text" w:semiHidden="0" w:uiPriority="49" w:unhideWhenUsed="0"/>
    <w:lsdException w:name="header" w:uiPriority="24"/>
    <w:lsdException w:name="index heading" w:uiPriority="49"/>
    <w:lsdException w:name="caption" w:uiPriority="0" w:qFormat="1"/>
    <w:lsdException w:name="envelope address" w:uiPriority="49"/>
    <w:lsdException w:name="envelope return" w:uiPriority="49"/>
    <w:lsdException w:name="footnote reference" w:uiPriority="49"/>
    <w:lsdException w:name="annotation reference" w:uiPriority="49"/>
    <w:lsdException w:name="line number" w:uiPriority="49"/>
    <w:lsdException w:name="page number" w:uiPriority="49"/>
    <w:lsdException w:name="endnote reference" w:uiPriority="49"/>
    <w:lsdException w:name="endnote text" w:uiPriority="49"/>
    <w:lsdException w:name="table of authorities" w:uiPriority="39"/>
    <w:lsdException w:name="macro" w:uiPriority="49"/>
    <w:lsdException w:name="toa heading" w:uiPriority="39"/>
    <w:lsdException w:name="List" w:uiPriority="49"/>
    <w:lsdException w:name="List Number" w:uiPriority="7" w:qFormat="1"/>
    <w:lsdException w:name="List 2" w:uiPriority="49"/>
    <w:lsdException w:name="List 3" w:uiPriority="49"/>
    <w:lsdException w:name="List 4" w:uiPriority="49"/>
    <w:lsdException w:name="List 5" w:uiPriority="49"/>
    <w:lsdException w:name="List Bullet 2" w:uiPriority="0"/>
    <w:lsdException w:name="List Bullet 4" w:uiPriority="49"/>
    <w:lsdException w:name="List Bullet 5" w:uiPriority="49"/>
    <w:lsdException w:name="List Number 2" w:uiPriority="7"/>
    <w:lsdException w:name="List Number 3" w:uiPriority="7"/>
    <w:lsdException w:name="List Number 4" w:uiPriority="49"/>
    <w:lsdException w:name="List Number 5" w:uiPriority="49"/>
    <w:lsdException w:name="Title" w:semiHidden="0" w:uiPriority="28" w:unhideWhenUsed="0" w:qFormat="1"/>
    <w:lsdException w:name="Closing" w:uiPriority="49"/>
    <w:lsdException w:name="Signature" w:uiPriority="49"/>
    <w:lsdException w:name="Default Paragraph Font" w:uiPriority="1"/>
    <w:lsdException w:name="Body Text" w:uiPriority="49"/>
    <w:lsdException w:name="Body Text Indent" w:uiPriority="49"/>
    <w:lsdException w:name="List Continue" w:uiPriority="8" w:qFormat="1"/>
    <w:lsdException w:name="List Continue 2" w:uiPriority="8"/>
    <w:lsdException w:name="List Continue 3" w:uiPriority="8"/>
    <w:lsdException w:name="List Continue 4" w:uiPriority="49"/>
    <w:lsdException w:name="List Continue 5" w:uiPriority="49"/>
    <w:lsdException w:name="Message Header" w:uiPriority="49"/>
    <w:lsdException w:name="Subtitle" w:semiHidden="0" w:uiPriority="29" w:unhideWhenUsed="0" w:qFormat="1"/>
    <w:lsdException w:name="Salutation" w:uiPriority="49"/>
    <w:lsdException w:name="Date" w:uiPriority="49"/>
    <w:lsdException w:name="Body Text First Indent" w:uiPriority="49"/>
    <w:lsdException w:name="Body Text First Indent 2" w:uiPriority="49"/>
    <w:lsdException w:name="Body Text 2" w:uiPriority="49"/>
    <w:lsdException w:name="Body Text 3" w:uiPriority="49"/>
    <w:lsdException w:name="Body Text Indent 2" w:uiPriority="49"/>
    <w:lsdException w:name="Body Text Indent 3" w:uiPriority="49"/>
    <w:lsdException w:name="Block Text" w:uiPriority="49"/>
    <w:lsdException w:name="Strong" w:semiHidden="0" w:uiPriority="22" w:unhideWhenUsed="0" w:qFormat="1"/>
    <w:lsdException w:name="Emphasis" w:semiHidden="0" w:uiPriority="20" w:unhideWhenUsed="0" w:qFormat="1"/>
    <w:lsdException w:name="Document Map" w:uiPriority="49"/>
    <w:lsdException w:name="Plain Text" w:uiPriority="49"/>
    <w:lsdException w:name="E-mail Signature" w:uiPriority="49"/>
    <w:lsdException w:name="HTML Address" w:uiPriority="49"/>
    <w:lsdException w:name="HTML Preformatted" w:uiPriority="49"/>
    <w:lsdException w:name="annotation subject" w:uiPriority="49"/>
    <w:lsdException w:name="Balloon Text" w:uiPriority="49"/>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uiPriority="29" w:unhideWhenUsed="0" w:qFormat="1"/>
    <w:lsdException w:name="Intense Quote" w:locked="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29" w:unhideWhenUsed="0" w:qFormat="1"/>
  </w:latentStyles>
  <w:style w:type="paragraph" w:default="1" w:styleId="Normal">
    <w:name w:val="Normal"/>
    <w:qFormat/>
    <w:rsid w:val="00280D7E"/>
    <w:pPr>
      <w:spacing w:before="100" w:after="100"/>
      <w:ind w:left="794"/>
    </w:pPr>
    <w:rPr>
      <w:rFonts w:eastAsia="Times New Roman" w:cs="Calibri"/>
    </w:rPr>
  </w:style>
  <w:style w:type="paragraph" w:styleId="Heading1">
    <w:name w:val="heading 1"/>
    <w:basedOn w:val="Normal"/>
    <w:next w:val="Normal"/>
    <w:link w:val="Heading1Char"/>
    <w:uiPriority w:val="3"/>
    <w:qFormat/>
    <w:rsid w:val="000A57B1"/>
    <w:pPr>
      <w:keepNext/>
      <w:keepLines/>
      <w:pageBreakBefore/>
      <w:numPr>
        <w:numId w:val="8"/>
      </w:numPr>
      <w:spacing w:before="0" w:after="1120" w:line="216" w:lineRule="auto"/>
      <w:outlineLvl w:val="0"/>
    </w:pPr>
    <w:rPr>
      <w:color w:val="404040"/>
      <w:sz w:val="40"/>
      <w:lang w:eastAsia="en-US"/>
    </w:rPr>
  </w:style>
  <w:style w:type="paragraph" w:styleId="Heading2">
    <w:name w:val="heading 2"/>
    <w:basedOn w:val="Heading1"/>
    <w:next w:val="Normal"/>
    <w:link w:val="Heading2Char"/>
    <w:uiPriority w:val="3"/>
    <w:qFormat/>
    <w:rsid w:val="000A57B1"/>
    <w:pPr>
      <w:pageBreakBefore w:val="0"/>
      <w:widowControl w:val="0"/>
      <w:numPr>
        <w:ilvl w:val="1"/>
      </w:numPr>
      <w:spacing w:before="280" w:after="120"/>
      <w:outlineLvl w:val="1"/>
    </w:pPr>
    <w:rPr>
      <w:color w:val="4D4D4D"/>
      <w:sz w:val="30"/>
    </w:rPr>
  </w:style>
  <w:style w:type="paragraph" w:styleId="Heading3">
    <w:name w:val="heading 3"/>
    <w:basedOn w:val="Heading2"/>
    <w:next w:val="Normal"/>
    <w:link w:val="Heading3Char"/>
    <w:uiPriority w:val="3"/>
    <w:qFormat/>
    <w:rsid w:val="000A57B1"/>
    <w:pPr>
      <w:numPr>
        <w:ilvl w:val="2"/>
      </w:numPr>
      <w:spacing w:before="200"/>
      <w:outlineLvl w:val="2"/>
    </w:pPr>
    <w:rPr>
      <w:b/>
      <w:sz w:val="26"/>
    </w:rPr>
  </w:style>
  <w:style w:type="paragraph" w:styleId="Heading4">
    <w:name w:val="heading 4"/>
    <w:basedOn w:val="Heading3"/>
    <w:next w:val="Normal"/>
    <w:link w:val="Heading4Char"/>
    <w:uiPriority w:val="3"/>
    <w:qFormat/>
    <w:rsid w:val="000A57B1"/>
    <w:pPr>
      <w:numPr>
        <w:ilvl w:val="3"/>
      </w:numPr>
      <w:spacing w:before="160" w:line="228" w:lineRule="auto"/>
      <w:outlineLvl w:val="3"/>
    </w:pPr>
    <w:rPr>
      <w:sz w:val="22"/>
    </w:rPr>
  </w:style>
  <w:style w:type="paragraph" w:styleId="Heading5">
    <w:name w:val="heading 5"/>
    <w:basedOn w:val="Heading4"/>
    <w:next w:val="Normal"/>
    <w:link w:val="Heading5Char"/>
    <w:uiPriority w:val="3"/>
    <w:qFormat/>
    <w:locked/>
    <w:rsid w:val="000A57B1"/>
    <w:pPr>
      <w:numPr>
        <w:ilvl w:val="4"/>
      </w:numPr>
      <w:outlineLvl w:val="4"/>
    </w:pPr>
    <w:rPr>
      <w:bCs/>
      <w:i/>
      <w:color w:val="404040"/>
    </w:rPr>
  </w:style>
  <w:style w:type="paragraph" w:styleId="Heading6">
    <w:name w:val="heading 6"/>
    <w:basedOn w:val="Heading5"/>
    <w:next w:val="Normal"/>
    <w:link w:val="Heading6Char"/>
    <w:uiPriority w:val="3"/>
    <w:semiHidden/>
    <w:qFormat/>
    <w:locked/>
    <w:rsid w:val="000A57B1"/>
    <w:pPr>
      <w:numPr>
        <w:ilvl w:val="5"/>
      </w:numPr>
      <w:outlineLvl w:val="5"/>
    </w:pPr>
    <w:rPr>
      <w:iCs/>
    </w:rPr>
  </w:style>
  <w:style w:type="paragraph" w:styleId="Heading7">
    <w:name w:val="heading 7"/>
    <w:basedOn w:val="Heading6"/>
    <w:next w:val="Normal"/>
    <w:link w:val="Heading7Char"/>
    <w:uiPriority w:val="3"/>
    <w:semiHidden/>
    <w:qFormat/>
    <w:locked/>
    <w:rsid w:val="000A57B1"/>
    <w:pPr>
      <w:numPr>
        <w:ilvl w:val="6"/>
      </w:numPr>
      <w:outlineLvl w:val="6"/>
    </w:pPr>
    <w:rPr>
      <w:i w:val="0"/>
    </w:rPr>
  </w:style>
  <w:style w:type="paragraph" w:styleId="Heading8">
    <w:name w:val="heading 8"/>
    <w:basedOn w:val="Heading7"/>
    <w:next w:val="Normal"/>
    <w:link w:val="Heading8Char"/>
    <w:uiPriority w:val="3"/>
    <w:semiHidden/>
    <w:qFormat/>
    <w:locked/>
    <w:rsid w:val="000A57B1"/>
    <w:pPr>
      <w:numPr>
        <w:ilvl w:val="7"/>
      </w:numPr>
      <w:outlineLvl w:val="7"/>
    </w:pPr>
    <w:rPr>
      <w:b w:val="0"/>
    </w:rPr>
  </w:style>
  <w:style w:type="paragraph" w:styleId="Heading9">
    <w:name w:val="heading 9"/>
    <w:basedOn w:val="Heading8"/>
    <w:next w:val="Normal"/>
    <w:link w:val="Heading9Char"/>
    <w:uiPriority w:val="3"/>
    <w:semiHidden/>
    <w:qFormat/>
    <w:locked/>
    <w:rsid w:val="000A57B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locked/>
    <w:rsid w:val="000A57B1"/>
    <w:rPr>
      <w:rFonts w:eastAsia="Times New Roman" w:cs="Calibri"/>
      <w:color w:val="404040"/>
      <w:sz w:val="40"/>
      <w:lang w:eastAsia="en-US"/>
    </w:rPr>
  </w:style>
  <w:style w:type="character" w:customStyle="1" w:styleId="Heading2Char">
    <w:name w:val="Heading 2 Char"/>
    <w:basedOn w:val="DefaultParagraphFont"/>
    <w:link w:val="Heading2"/>
    <w:uiPriority w:val="3"/>
    <w:locked/>
    <w:rsid w:val="000A57B1"/>
    <w:rPr>
      <w:rFonts w:eastAsia="Times New Roman" w:cs="Calibri"/>
      <w:color w:val="4D4D4D"/>
      <w:sz w:val="30"/>
      <w:lang w:eastAsia="en-US"/>
    </w:rPr>
  </w:style>
  <w:style w:type="character" w:customStyle="1" w:styleId="Heading3Char">
    <w:name w:val="Heading 3 Char"/>
    <w:basedOn w:val="DefaultParagraphFont"/>
    <w:link w:val="Heading3"/>
    <w:uiPriority w:val="3"/>
    <w:locked/>
    <w:rsid w:val="000A57B1"/>
    <w:rPr>
      <w:rFonts w:eastAsia="Times New Roman" w:cs="Calibri"/>
      <w:b/>
      <w:color w:val="4D4D4D"/>
      <w:sz w:val="26"/>
      <w:lang w:eastAsia="en-US"/>
    </w:rPr>
  </w:style>
  <w:style w:type="character" w:customStyle="1" w:styleId="Heading4Char">
    <w:name w:val="Heading 4 Char"/>
    <w:basedOn w:val="DefaultParagraphFont"/>
    <w:link w:val="Heading4"/>
    <w:uiPriority w:val="3"/>
    <w:locked/>
    <w:rsid w:val="000A57B1"/>
    <w:rPr>
      <w:rFonts w:eastAsia="Times New Roman" w:cs="Calibri"/>
      <w:b/>
      <w:color w:val="4D4D4D"/>
      <w:lang w:eastAsia="en-US"/>
    </w:rPr>
  </w:style>
  <w:style w:type="paragraph" w:styleId="Title">
    <w:name w:val="Title"/>
    <w:basedOn w:val="Normal"/>
    <w:link w:val="TitleChar"/>
    <w:uiPriority w:val="28"/>
    <w:qFormat/>
    <w:rsid w:val="000A57B1"/>
    <w:pPr>
      <w:spacing w:before="0" w:line="560" w:lineRule="exact"/>
      <w:ind w:left="0" w:right="3402"/>
    </w:pPr>
    <w:rPr>
      <w:b/>
      <w:color w:val="000000"/>
      <w:sz w:val="60"/>
    </w:rPr>
  </w:style>
  <w:style w:type="character" w:customStyle="1" w:styleId="TitleChar">
    <w:name w:val="Title Char"/>
    <w:basedOn w:val="DefaultParagraphFont"/>
    <w:link w:val="Title"/>
    <w:uiPriority w:val="28"/>
    <w:locked/>
    <w:rsid w:val="000A57B1"/>
    <w:rPr>
      <w:rFonts w:eastAsia="Times New Roman" w:cs="Calibri"/>
      <w:b/>
      <w:color w:val="000000"/>
      <w:sz w:val="60"/>
    </w:rPr>
  </w:style>
  <w:style w:type="paragraph" w:customStyle="1" w:styleId="NormalTight">
    <w:name w:val="Normal Tight"/>
    <w:basedOn w:val="Normal"/>
    <w:rsid w:val="000A57B1"/>
    <w:pPr>
      <w:spacing w:before="0" w:after="0"/>
    </w:pPr>
  </w:style>
  <w:style w:type="paragraph" w:styleId="Subtitle">
    <w:name w:val="Subtitle"/>
    <w:basedOn w:val="Normal"/>
    <w:link w:val="SubtitleChar"/>
    <w:uiPriority w:val="29"/>
    <w:qFormat/>
    <w:rsid w:val="000A57B1"/>
    <w:pPr>
      <w:spacing w:before="0" w:after="0" w:line="440" w:lineRule="exact"/>
      <w:ind w:left="0"/>
    </w:pPr>
    <w:rPr>
      <w:color w:val="000000"/>
      <w:sz w:val="40"/>
      <w:szCs w:val="24"/>
    </w:rPr>
  </w:style>
  <w:style w:type="character" w:customStyle="1" w:styleId="SubtitleChar">
    <w:name w:val="Subtitle Char"/>
    <w:basedOn w:val="DefaultParagraphFont"/>
    <w:link w:val="Subtitle"/>
    <w:uiPriority w:val="29"/>
    <w:locked/>
    <w:rsid w:val="000A57B1"/>
    <w:rPr>
      <w:rFonts w:eastAsia="Times New Roman" w:cs="Calibri"/>
      <w:color w:val="000000"/>
      <w:sz w:val="40"/>
      <w:szCs w:val="24"/>
    </w:rPr>
  </w:style>
  <w:style w:type="paragraph" w:customStyle="1" w:styleId="TertiaryTitle">
    <w:name w:val="Tertiary Title"/>
    <w:basedOn w:val="Normal"/>
    <w:rsid w:val="000A57B1"/>
    <w:pPr>
      <w:spacing w:before="0" w:after="0" w:line="440" w:lineRule="exact"/>
      <w:ind w:left="0"/>
    </w:pPr>
    <w:rPr>
      <w:color w:val="4D4D4D"/>
      <w:sz w:val="36"/>
      <w:szCs w:val="40"/>
      <w:lang w:eastAsia="en-US"/>
    </w:rPr>
  </w:style>
  <w:style w:type="paragraph" w:styleId="TOCHeading">
    <w:name w:val="TOC Heading"/>
    <w:uiPriority w:val="29"/>
    <w:qFormat/>
    <w:rsid w:val="000A57B1"/>
    <w:pPr>
      <w:keepNext/>
      <w:pageBreakBefore/>
      <w:spacing w:after="1200"/>
    </w:pPr>
    <w:rPr>
      <w:rFonts w:eastAsia="Times New Roman" w:cs="Calibri"/>
      <w:color w:val="4C4C4C"/>
      <w:sz w:val="40"/>
    </w:rPr>
  </w:style>
  <w:style w:type="paragraph" w:customStyle="1" w:styleId="Bullet1">
    <w:name w:val="Bullet 1"/>
    <w:basedOn w:val="Normal"/>
    <w:uiPriority w:val="11"/>
    <w:qFormat/>
    <w:rsid w:val="000A57B1"/>
    <w:pPr>
      <w:numPr>
        <w:numId w:val="3"/>
      </w:numPr>
      <w:spacing w:before="80" w:after="80"/>
    </w:pPr>
  </w:style>
  <w:style w:type="character" w:styleId="CommentReference">
    <w:name w:val="annotation reference"/>
    <w:uiPriority w:val="49"/>
    <w:semiHidden/>
    <w:rsid w:val="000A57B1"/>
    <w:rPr>
      <w:rFonts w:ascii="Calibri" w:hAnsi="Calibri"/>
      <w:sz w:val="16"/>
    </w:rPr>
  </w:style>
  <w:style w:type="paragraph" w:styleId="CommentText">
    <w:name w:val="annotation text"/>
    <w:basedOn w:val="Normal"/>
    <w:link w:val="CommentTextChar"/>
    <w:uiPriority w:val="99"/>
    <w:rsid w:val="000A57B1"/>
  </w:style>
  <w:style w:type="character" w:customStyle="1" w:styleId="CommentTextChar">
    <w:name w:val="Comment Text Char"/>
    <w:basedOn w:val="DefaultParagraphFont"/>
    <w:link w:val="CommentText"/>
    <w:uiPriority w:val="99"/>
    <w:locked/>
    <w:rsid w:val="000A57B1"/>
    <w:rPr>
      <w:rFonts w:eastAsia="Times New Roman" w:cs="Calibri"/>
    </w:rPr>
  </w:style>
  <w:style w:type="paragraph" w:styleId="Footer">
    <w:name w:val="footer"/>
    <w:link w:val="FooterChar"/>
    <w:uiPriority w:val="99"/>
    <w:rsid w:val="000A57B1"/>
    <w:pPr>
      <w:tabs>
        <w:tab w:val="right" w:pos="8220"/>
      </w:tabs>
    </w:pPr>
    <w:rPr>
      <w:rFonts w:eastAsia="Times New Roman" w:cs="Calibri"/>
      <w:noProof/>
      <w:color w:val="4C4C4C"/>
      <w:sz w:val="12"/>
    </w:rPr>
  </w:style>
  <w:style w:type="character" w:customStyle="1" w:styleId="FooterChar">
    <w:name w:val="Footer Char"/>
    <w:basedOn w:val="DefaultParagraphFont"/>
    <w:link w:val="Footer"/>
    <w:uiPriority w:val="99"/>
    <w:locked/>
    <w:rsid w:val="000A57B1"/>
    <w:rPr>
      <w:rFonts w:eastAsia="Times New Roman" w:cs="Calibri"/>
      <w:noProof/>
      <w:color w:val="4C4C4C"/>
      <w:sz w:val="12"/>
    </w:rPr>
  </w:style>
  <w:style w:type="character" w:styleId="PageNumber">
    <w:name w:val="page number"/>
    <w:uiPriority w:val="49"/>
    <w:semiHidden/>
    <w:rsid w:val="000A57B1"/>
    <w:rPr>
      <w:b/>
      <w:color w:val="4C4C4C"/>
      <w:sz w:val="28"/>
    </w:rPr>
  </w:style>
  <w:style w:type="paragraph" w:customStyle="1" w:styleId="TableBullet">
    <w:name w:val="Table Bullet"/>
    <w:basedOn w:val="TableText"/>
    <w:uiPriority w:val="10"/>
    <w:qFormat/>
    <w:rsid w:val="000A57B1"/>
    <w:pPr>
      <w:numPr>
        <w:numId w:val="1"/>
      </w:numPr>
      <w:spacing w:before="0" w:after="0"/>
    </w:pPr>
  </w:style>
  <w:style w:type="paragraph" w:customStyle="1" w:styleId="TableBulletDash">
    <w:name w:val="Table Bullet Dash"/>
    <w:basedOn w:val="Normal"/>
    <w:uiPriority w:val="10"/>
    <w:rsid w:val="000A57B1"/>
    <w:pPr>
      <w:numPr>
        <w:ilvl w:val="1"/>
        <w:numId w:val="1"/>
      </w:numPr>
      <w:spacing w:before="0" w:after="0"/>
    </w:pPr>
    <w:rPr>
      <w:sz w:val="20"/>
    </w:rPr>
  </w:style>
  <w:style w:type="paragraph" w:customStyle="1" w:styleId="Spacer">
    <w:name w:val="Spacer"/>
    <w:basedOn w:val="Normal"/>
    <w:uiPriority w:val="13"/>
    <w:unhideWhenUsed/>
    <w:qFormat/>
    <w:rsid w:val="000A57B1"/>
    <w:pPr>
      <w:spacing w:before="0" w:after="0" w:line="120" w:lineRule="atLeast"/>
      <w:ind w:left="0"/>
    </w:pPr>
    <w:rPr>
      <w:sz w:val="12"/>
    </w:rPr>
  </w:style>
  <w:style w:type="paragraph" w:customStyle="1" w:styleId="TableText">
    <w:name w:val="Table Text"/>
    <w:basedOn w:val="Normal"/>
    <w:qFormat/>
    <w:rsid w:val="000A57B1"/>
    <w:pPr>
      <w:spacing w:before="20" w:after="20"/>
      <w:ind w:left="0"/>
    </w:pPr>
    <w:rPr>
      <w:sz w:val="20"/>
    </w:rPr>
  </w:style>
  <w:style w:type="paragraph" w:customStyle="1" w:styleId="TableHeader">
    <w:name w:val="Table Header"/>
    <w:basedOn w:val="TableText"/>
    <w:uiPriority w:val="15"/>
    <w:qFormat/>
    <w:rsid w:val="000A57B1"/>
    <w:pPr>
      <w:keepNext/>
      <w:spacing w:before="40" w:after="40"/>
    </w:pPr>
    <w:rPr>
      <w:color w:val="333333"/>
      <w:sz w:val="24"/>
    </w:rPr>
  </w:style>
  <w:style w:type="paragraph" w:customStyle="1" w:styleId="CaptionTable">
    <w:name w:val="Caption Table"/>
    <w:basedOn w:val="Normal"/>
    <w:uiPriority w:val="14"/>
    <w:rsid w:val="000A57B1"/>
    <w:rPr>
      <w:b/>
    </w:rPr>
  </w:style>
  <w:style w:type="paragraph" w:customStyle="1" w:styleId="Bullet2">
    <w:name w:val="Bullet 2"/>
    <w:basedOn w:val="Bullet1"/>
    <w:uiPriority w:val="11"/>
    <w:rsid w:val="000A57B1"/>
    <w:pPr>
      <w:numPr>
        <w:ilvl w:val="1"/>
      </w:numPr>
    </w:pPr>
  </w:style>
  <w:style w:type="paragraph" w:customStyle="1" w:styleId="Bullet3">
    <w:name w:val="Bullet 3"/>
    <w:basedOn w:val="Bullet2"/>
    <w:uiPriority w:val="11"/>
    <w:rsid w:val="000A57B1"/>
    <w:pPr>
      <w:numPr>
        <w:ilvl w:val="2"/>
      </w:numPr>
    </w:pPr>
  </w:style>
  <w:style w:type="paragraph" w:customStyle="1" w:styleId="Heading1NoNum">
    <w:name w:val="Heading 1 NoNum"/>
    <w:basedOn w:val="Heading1"/>
    <w:next w:val="Normal"/>
    <w:uiPriority w:val="4"/>
    <w:qFormat/>
    <w:rsid w:val="000A57B1"/>
    <w:pPr>
      <w:numPr>
        <w:numId w:val="0"/>
      </w:numPr>
      <w:ind w:left="794"/>
    </w:pPr>
  </w:style>
  <w:style w:type="paragraph" w:customStyle="1" w:styleId="TableHeaderMinutes">
    <w:name w:val="Table Header Minutes"/>
    <w:basedOn w:val="TableHeader"/>
    <w:rsid w:val="000A57B1"/>
    <w:rPr>
      <w:b/>
      <w:bCs/>
      <w:color w:val="auto"/>
      <w:sz w:val="18"/>
      <w:szCs w:val="17"/>
    </w:rPr>
  </w:style>
  <w:style w:type="paragraph" w:styleId="BalloonText">
    <w:name w:val="Balloon Text"/>
    <w:basedOn w:val="Normal"/>
    <w:link w:val="BalloonTextChar"/>
    <w:uiPriority w:val="49"/>
    <w:semiHidden/>
    <w:rsid w:val="000A57B1"/>
    <w:rPr>
      <w:sz w:val="16"/>
      <w:szCs w:val="16"/>
    </w:rPr>
  </w:style>
  <w:style w:type="character" w:customStyle="1" w:styleId="BalloonTextChar">
    <w:name w:val="Balloon Text Char"/>
    <w:basedOn w:val="DefaultParagraphFont"/>
    <w:link w:val="BalloonText"/>
    <w:uiPriority w:val="49"/>
    <w:semiHidden/>
    <w:locked/>
    <w:rsid w:val="000A57B1"/>
    <w:rPr>
      <w:rFonts w:eastAsia="Times New Roman" w:cs="Calibri"/>
      <w:sz w:val="16"/>
      <w:szCs w:val="16"/>
    </w:rPr>
  </w:style>
  <w:style w:type="paragraph" w:styleId="BodyText">
    <w:name w:val="Body Text"/>
    <w:basedOn w:val="Normal"/>
    <w:link w:val="BodyTextChar"/>
    <w:uiPriority w:val="49"/>
    <w:semiHidden/>
    <w:rsid w:val="000A57B1"/>
  </w:style>
  <w:style w:type="character" w:customStyle="1" w:styleId="BodyTextChar">
    <w:name w:val="Body Text Char"/>
    <w:basedOn w:val="DefaultParagraphFont"/>
    <w:link w:val="BodyText"/>
    <w:uiPriority w:val="49"/>
    <w:semiHidden/>
    <w:locked/>
    <w:rsid w:val="000A57B1"/>
    <w:rPr>
      <w:rFonts w:eastAsia="Times New Roman" w:cs="Calibri"/>
    </w:rPr>
  </w:style>
  <w:style w:type="character" w:styleId="FootnoteReference">
    <w:name w:val="footnote reference"/>
    <w:uiPriority w:val="49"/>
    <w:rsid w:val="000A57B1"/>
    <w:rPr>
      <w:vertAlign w:val="superscript"/>
    </w:rPr>
  </w:style>
  <w:style w:type="paragraph" w:customStyle="1" w:styleId="NoteNormal">
    <w:name w:val="Note Normal"/>
    <w:basedOn w:val="Normal"/>
    <w:uiPriority w:val="49"/>
    <w:rsid w:val="000A57B1"/>
    <w:pPr>
      <w:keepNext/>
      <w:keepLines/>
      <w:spacing w:before="80"/>
    </w:pPr>
    <w:rPr>
      <w:color w:val="000000"/>
      <w:sz w:val="18"/>
      <w:lang w:eastAsia="en-US"/>
    </w:rPr>
  </w:style>
  <w:style w:type="paragraph" w:customStyle="1" w:styleId="Heading4NoNum">
    <w:name w:val="Heading 4 NoNum"/>
    <w:basedOn w:val="Heading4"/>
    <w:uiPriority w:val="4"/>
    <w:qFormat/>
    <w:rsid w:val="000A57B1"/>
    <w:pPr>
      <w:numPr>
        <w:ilvl w:val="0"/>
        <w:numId w:val="0"/>
      </w:numPr>
      <w:ind w:left="794"/>
    </w:pPr>
  </w:style>
  <w:style w:type="paragraph" w:customStyle="1" w:styleId="Heading2NoNum">
    <w:name w:val="Heading 2 NoNum"/>
    <w:basedOn w:val="Heading2"/>
    <w:next w:val="Normal"/>
    <w:qFormat/>
    <w:rsid w:val="000A57B1"/>
    <w:pPr>
      <w:numPr>
        <w:ilvl w:val="0"/>
        <w:numId w:val="0"/>
      </w:numPr>
      <w:ind w:left="794"/>
    </w:pPr>
  </w:style>
  <w:style w:type="paragraph" w:styleId="CommentSubject">
    <w:name w:val="annotation subject"/>
    <w:basedOn w:val="CommentText"/>
    <w:next w:val="CommentText"/>
    <w:link w:val="CommentSubjectChar"/>
    <w:uiPriority w:val="49"/>
    <w:semiHidden/>
    <w:rsid w:val="000A57B1"/>
    <w:rPr>
      <w:b/>
      <w:bCs/>
    </w:rPr>
  </w:style>
  <w:style w:type="character" w:customStyle="1" w:styleId="CommentSubjectChar">
    <w:name w:val="Comment Subject Char"/>
    <w:basedOn w:val="CommentTextChar"/>
    <w:link w:val="CommentSubject"/>
    <w:uiPriority w:val="49"/>
    <w:semiHidden/>
    <w:locked/>
    <w:rsid w:val="000A57B1"/>
    <w:rPr>
      <w:rFonts w:eastAsia="Times New Roman" w:cs="Calibri"/>
      <w:b/>
      <w:bCs/>
    </w:rPr>
  </w:style>
  <w:style w:type="paragraph" w:styleId="ListParagraph">
    <w:name w:val="List Paragraph"/>
    <w:basedOn w:val="Normal"/>
    <w:uiPriority w:val="34"/>
    <w:qFormat/>
    <w:rsid w:val="000A57B1"/>
    <w:pPr>
      <w:ind w:left="720"/>
      <w:contextualSpacing/>
    </w:pPr>
  </w:style>
  <w:style w:type="character" w:styleId="Hyperlink">
    <w:name w:val="Hyperlink"/>
    <w:uiPriority w:val="99"/>
    <w:rsid w:val="000A57B1"/>
    <w:rPr>
      <w:color w:val="404040"/>
      <w:u w:val="none"/>
    </w:rPr>
  </w:style>
  <w:style w:type="paragraph" w:styleId="ListNumber">
    <w:name w:val="List Number"/>
    <w:basedOn w:val="Normal"/>
    <w:uiPriority w:val="7"/>
    <w:qFormat/>
    <w:rsid w:val="000A57B1"/>
    <w:pPr>
      <w:numPr>
        <w:numId w:val="16"/>
      </w:numPr>
      <w:contextualSpacing/>
    </w:pPr>
  </w:style>
  <w:style w:type="paragraph" w:styleId="ListNumber2">
    <w:name w:val="List Number 2"/>
    <w:basedOn w:val="Normal"/>
    <w:uiPriority w:val="7"/>
    <w:rsid w:val="000A57B1"/>
    <w:pPr>
      <w:numPr>
        <w:ilvl w:val="1"/>
        <w:numId w:val="16"/>
      </w:numPr>
      <w:contextualSpacing/>
    </w:pPr>
  </w:style>
  <w:style w:type="paragraph" w:styleId="ListNumber3">
    <w:name w:val="List Number 3"/>
    <w:basedOn w:val="Normal"/>
    <w:uiPriority w:val="7"/>
    <w:rsid w:val="000A57B1"/>
    <w:pPr>
      <w:numPr>
        <w:ilvl w:val="2"/>
        <w:numId w:val="16"/>
      </w:numPr>
      <w:contextualSpacing/>
    </w:pPr>
  </w:style>
  <w:style w:type="paragraph" w:customStyle="1" w:styleId="Heading3NoNum">
    <w:name w:val="Heading 3 NoNum"/>
    <w:basedOn w:val="Heading3"/>
    <w:next w:val="Normal"/>
    <w:uiPriority w:val="4"/>
    <w:qFormat/>
    <w:rsid w:val="000A57B1"/>
    <w:pPr>
      <w:numPr>
        <w:ilvl w:val="0"/>
        <w:numId w:val="0"/>
      </w:numPr>
      <w:ind w:left="794"/>
    </w:pPr>
  </w:style>
  <w:style w:type="paragraph" w:styleId="TOC1">
    <w:name w:val="toc 1"/>
    <w:basedOn w:val="Normal"/>
    <w:next w:val="Normal"/>
    <w:autoRedefine/>
    <w:uiPriority w:val="39"/>
    <w:rsid w:val="000A57B1"/>
    <w:pPr>
      <w:tabs>
        <w:tab w:val="right" w:leader="dot" w:pos="9645"/>
      </w:tabs>
      <w:spacing w:before="240" w:line="216" w:lineRule="auto"/>
      <w:ind w:right="567" w:hanging="794"/>
    </w:pPr>
    <w:rPr>
      <w:noProof/>
      <w:color w:val="4C4C4C"/>
      <w:sz w:val="28"/>
      <w:szCs w:val="28"/>
    </w:rPr>
  </w:style>
  <w:style w:type="paragraph" w:styleId="TOC2">
    <w:name w:val="toc 2"/>
    <w:next w:val="Normal"/>
    <w:uiPriority w:val="39"/>
    <w:rsid w:val="00D1418D"/>
    <w:pPr>
      <w:tabs>
        <w:tab w:val="right" w:leader="dot" w:pos="9631"/>
      </w:tabs>
      <w:spacing w:before="20"/>
      <w:ind w:left="1248" w:right="567" w:hanging="454"/>
      <w:contextualSpacing/>
    </w:pPr>
    <w:rPr>
      <w:rFonts w:eastAsia="Times New Roman" w:cs="Calibri"/>
      <w:noProof/>
      <w:color w:val="000000"/>
    </w:rPr>
  </w:style>
  <w:style w:type="paragraph" w:styleId="TOC3">
    <w:name w:val="toc 3"/>
    <w:next w:val="Normal"/>
    <w:autoRedefine/>
    <w:uiPriority w:val="39"/>
    <w:rsid w:val="000A57B1"/>
    <w:pPr>
      <w:tabs>
        <w:tab w:val="right" w:leader="dot" w:pos="9631"/>
      </w:tabs>
      <w:ind w:left="1985" w:right="567" w:hanging="709"/>
    </w:pPr>
    <w:rPr>
      <w:rFonts w:eastAsia="Times New Roman" w:cs="Calibri"/>
      <w:noProof/>
    </w:rPr>
  </w:style>
  <w:style w:type="paragraph" w:styleId="Header">
    <w:name w:val="header"/>
    <w:basedOn w:val="Normal"/>
    <w:link w:val="HeaderChar"/>
    <w:uiPriority w:val="24"/>
    <w:rsid w:val="000A57B1"/>
    <w:pPr>
      <w:tabs>
        <w:tab w:val="center" w:pos="4320"/>
        <w:tab w:val="right" w:pos="8640"/>
      </w:tabs>
      <w:spacing w:before="0" w:after="0"/>
      <w:ind w:left="0" w:right="-567"/>
    </w:pPr>
    <w:rPr>
      <w:sz w:val="24"/>
    </w:rPr>
  </w:style>
  <w:style w:type="character" w:customStyle="1" w:styleId="HeaderChar">
    <w:name w:val="Header Char"/>
    <w:basedOn w:val="DefaultParagraphFont"/>
    <w:link w:val="Header"/>
    <w:uiPriority w:val="24"/>
    <w:locked/>
    <w:rsid w:val="000A57B1"/>
    <w:rPr>
      <w:rFonts w:eastAsia="Times New Roman" w:cs="Calibri"/>
      <w:sz w:val="24"/>
    </w:rPr>
  </w:style>
  <w:style w:type="paragraph" w:customStyle="1" w:styleId="Char">
    <w:name w:val="Char"/>
    <w:basedOn w:val="Normal"/>
    <w:uiPriority w:val="99"/>
    <w:semiHidden/>
    <w:rsid w:val="002C3B08"/>
    <w:pPr>
      <w:spacing w:after="0"/>
    </w:pPr>
    <w:rPr>
      <w:rFonts w:cs="Arial"/>
    </w:rPr>
  </w:style>
  <w:style w:type="paragraph" w:styleId="NormalWeb">
    <w:name w:val="Normal (Web)"/>
    <w:basedOn w:val="Normal"/>
    <w:uiPriority w:val="99"/>
    <w:semiHidden/>
    <w:rsid w:val="000A57B1"/>
    <w:rPr>
      <w:sz w:val="24"/>
      <w:szCs w:val="24"/>
    </w:rPr>
  </w:style>
  <w:style w:type="paragraph" w:styleId="Revision">
    <w:name w:val="Revision"/>
    <w:hidden/>
    <w:uiPriority w:val="99"/>
    <w:semiHidden/>
    <w:rsid w:val="005338E1"/>
    <w:rPr>
      <w:rFonts w:eastAsia="Times New Roman" w:cs="Calibri"/>
    </w:rPr>
  </w:style>
  <w:style w:type="table" w:styleId="TableGrid">
    <w:name w:val="Table Grid"/>
    <w:basedOn w:val="TableNormal"/>
    <w:locked/>
    <w:rsid w:val="000A57B1"/>
    <w:rPr>
      <w:rFonts w:eastAsia="Times New Roman"/>
      <w:sz w:val="20"/>
      <w:szCs w:val="20"/>
    </w:rPr>
    <w:tblPr>
      <w:tblStyleRowBandSize w:val="1"/>
      <w:tblStyleColBandSize w:val="1"/>
      <w:tblInd w:w="907" w:type="dxa"/>
      <w:tblBorders>
        <w:top w:val="single" w:sz="2" w:space="0" w:color="auto"/>
        <w:bottom w:val="single" w:sz="2" w:space="0" w:color="auto"/>
        <w:insideH w:val="single" w:sz="2" w:space="0" w:color="auto"/>
      </w:tblBorders>
      <w:tblCellMar>
        <w:left w:w="113" w:type="dxa"/>
        <w:right w:w="113"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4C4C4C"/>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firstCol">
      <w:rPr>
        <w:b w:val="0"/>
        <w:color w:val="auto"/>
      </w:rPr>
    </w:tblStylePr>
  </w:style>
  <w:style w:type="character" w:customStyle="1" w:styleId="Heading5Char">
    <w:name w:val="Heading 5 Char"/>
    <w:basedOn w:val="DefaultParagraphFont"/>
    <w:link w:val="Heading5"/>
    <w:uiPriority w:val="3"/>
    <w:rsid w:val="000A57B1"/>
    <w:rPr>
      <w:rFonts w:eastAsia="Times New Roman" w:cs="Calibri"/>
      <w:b/>
      <w:bCs/>
      <w:i/>
      <w:color w:val="404040"/>
      <w:lang w:eastAsia="en-US"/>
    </w:rPr>
  </w:style>
  <w:style w:type="character" w:customStyle="1" w:styleId="Heading6Char">
    <w:name w:val="Heading 6 Char"/>
    <w:basedOn w:val="DefaultParagraphFont"/>
    <w:link w:val="Heading6"/>
    <w:uiPriority w:val="3"/>
    <w:semiHidden/>
    <w:rsid w:val="000A57B1"/>
    <w:rPr>
      <w:rFonts w:eastAsia="Times New Roman" w:cs="Calibri"/>
      <w:b/>
      <w:bCs/>
      <w:i/>
      <w:iCs/>
      <w:color w:val="404040"/>
      <w:lang w:eastAsia="en-US"/>
    </w:rPr>
  </w:style>
  <w:style w:type="character" w:customStyle="1" w:styleId="Heading7Char">
    <w:name w:val="Heading 7 Char"/>
    <w:basedOn w:val="DefaultParagraphFont"/>
    <w:link w:val="Heading7"/>
    <w:uiPriority w:val="3"/>
    <w:semiHidden/>
    <w:rsid w:val="000A57B1"/>
    <w:rPr>
      <w:rFonts w:eastAsia="Times New Roman" w:cs="Calibri"/>
      <w:b/>
      <w:bCs/>
      <w:iCs/>
      <w:color w:val="404040"/>
      <w:lang w:eastAsia="en-US"/>
    </w:rPr>
  </w:style>
  <w:style w:type="character" w:customStyle="1" w:styleId="Heading8Char">
    <w:name w:val="Heading 8 Char"/>
    <w:basedOn w:val="DefaultParagraphFont"/>
    <w:link w:val="Heading8"/>
    <w:uiPriority w:val="3"/>
    <w:semiHidden/>
    <w:rsid w:val="000A57B1"/>
    <w:rPr>
      <w:rFonts w:eastAsia="Times New Roman" w:cs="Calibri"/>
      <w:bCs/>
      <w:iCs/>
      <w:color w:val="404040"/>
      <w:lang w:eastAsia="en-US"/>
    </w:rPr>
  </w:style>
  <w:style w:type="character" w:customStyle="1" w:styleId="Heading9Char">
    <w:name w:val="Heading 9 Char"/>
    <w:basedOn w:val="DefaultParagraphFont"/>
    <w:link w:val="Heading9"/>
    <w:uiPriority w:val="3"/>
    <w:semiHidden/>
    <w:rsid w:val="000A57B1"/>
    <w:rPr>
      <w:rFonts w:eastAsia="Times New Roman" w:cs="Calibri"/>
      <w:bCs/>
      <w:iCs/>
      <w:color w:val="404040"/>
      <w:lang w:eastAsia="en-US"/>
    </w:rPr>
  </w:style>
  <w:style w:type="paragraph" w:customStyle="1" w:styleId="BreakoutNormal">
    <w:name w:val="Breakout Normal"/>
    <w:basedOn w:val="Normal"/>
    <w:rsid w:val="000A57B1"/>
    <w:pPr>
      <w:ind w:left="0"/>
    </w:pPr>
    <w:rPr>
      <w:sz w:val="20"/>
    </w:rPr>
  </w:style>
  <w:style w:type="paragraph" w:customStyle="1" w:styleId="BreakoutList1">
    <w:name w:val="Breakout List 1"/>
    <w:basedOn w:val="BreakoutNormal"/>
    <w:rsid w:val="000A57B1"/>
    <w:pPr>
      <w:numPr>
        <w:numId w:val="2"/>
      </w:numPr>
    </w:pPr>
  </w:style>
  <w:style w:type="paragraph" w:customStyle="1" w:styleId="BreakoutList2">
    <w:name w:val="Breakout List 2"/>
    <w:basedOn w:val="BreakoutList1"/>
    <w:rsid w:val="000A57B1"/>
    <w:pPr>
      <w:numPr>
        <w:ilvl w:val="1"/>
      </w:numPr>
    </w:pPr>
  </w:style>
  <w:style w:type="paragraph" w:styleId="Caption">
    <w:name w:val="caption"/>
    <w:basedOn w:val="Normal"/>
    <w:next w:val="Normal"/>
    <w:qFormat/>
    <w:locked/>
    <w:rsid w:val="000A57B1"/>
    <w:pPr>
      <w:keepNext/>
      <w:keepLines/>
      <w:tabs>
        <w:tab w:val="left" w:pos="851"/>
      </w:tabs>
      <w:spacing w:before="60" w:after="60" w:line="228" w:lineRule="auto"/>
    </w:pPr>
    <w:rPr>
      <w:b/>
    </w:rPr>
  </w:style>
  <w:style w:type="numbering" w:styleId="111111">
    <w:name w:val="Outline List 2"/>
    <w:basedOn w:val="NoList"/>
    <w:uiPriority w:val="99"/>
    <w:semiHidden/>
    <w:unhideWhenUsed/>
    <w:locked/>
    <w:rsid w:val="000A57B1"/>
    <w:pPr>
      <w:numPr>
        <w:numId w:val="4"/>
      </w:numPr>
    </w:pPr>
  </w:style>
  <w:style w:type="numbering" w:styleId="1ai">
    <w:name w:val="Outline List 1"/>
    <w:basedOn w:val="NoList"/>
    <w:uiPriority w:val="99"/>
    <w:semiHidden/>
    <w:unhideWhenUsed/>
    <w:locked/>
    <w:rsid w:val="000A57B1"/>
    <w:pPr>
      <w:numPr>
        <w:numId w:val="5"/>
      </w:numPr>
    </w:pPr>
  </w:style>
  <w:style w:type="numbering" w:styleId="ArticleSection">
    <w:name w:val="Outline List 3"/>
    <w:basedOn w:val="NoList"/>
    <w:uiPriority w:val="99"/>
    <w:semiHidden/>
    <w:unhideWhenUsed/>
    <w:locked/>
    <w:rsid w:val="000A57B1"/>
    <w:pPr>
      <w:numPr>
        <w:numId w:val="6"/>
      </w:numPr>
    </w:pPr>
  </w:style>
  <w:style w:type="paragraph" w:customStyle="1" w:styleId="Attachment1">
    <w:name w:val="Attachment 1"/>
    <w:next w:val="Normal"/>
    <w:uiPriority w:val="19"/>
    <w:qFormat/>
    <w:rsid w:val="00584FDB"/>
    <w:pPr>
      <w:pageBreakBefore/>
      <w:numPr>
        <w:numId w:val="7"/>
      </w:numPr>
      <w:pBdr>
        <w:bottom w:val="single" w:sz="4" w:space="1" w:color="404040"/>
      </w:pBdr>
      <w:tabs>
        <w:tab w:val="clear" w:pos="2268"/>
        <w:tab w:val="num" w:pos="2880"/>
      </w:tabs>
      <w:spacing w:before="400" w:after="1200"/>
      <w:ind w:left="2880" w:hanging="2880"/>
    </w:pPr>
    <w:rPr>
      <w:rFonts w:eastAsia="Times New Roman" w:cs="Calibri"/>
      <w:color w:val="404040"/>
      <w:sz w:val="40"/>
      <w:lang w:eastAsia="en-US"/>
    </w:rPr>
  </w:style>
  <w:style w:type="paragraph" w:styleId="Bibliography">
    <w:name w:val="Bibliography"/>
    <w:basedOn w:val="Normal"/>
    <w:next w:val="Normal"/>
    <w:uiPriority w:val="37"/>
    <w:semiHidden/>
    <w:unhideWhenUsed/>
    <w:rsid w:val="000A57B1"/>
    <w:pPr>
      <w:spacing w:after="120"/>
    </w:pPr>
    <w:rPr>
      <w:i/>
      <w:sz w:val="18"/>
    </w:rPr>
  </w:style>
  <w:style w:type="paragraph" w:styleId="BlockText">
    <w:name w:val="Block Text"/>
    <w:basedOn w:val="Normal"/>
    <w:uiPriority w:val="49"/>
    <w:semiHidden/>
    <w:locked/>
    <w:rsid w:val="000A57B1"/>
    <w:pPr>
      <w:spacing w:after="120"/>
      <w:ind w:left="1440" w:right="1440"/>
    </w:pPr>
  </w:style>
  <w:style w:type="paragraph" w:styleId="BodyText2">
    <w:name w:val="Body Text 2"/>
    <w:basedOn w:val="Normal"/>
    <w:link w:val="BodyText2Char"/>
    <w:uiPriority w:val="49"/>
    <w:semiHidden/>
    <w:locked/>
    <w:rsid w:val="000A57B1"/>
    <w:pPr>
      <w:spacing w:after="120" w:line="480" w:lineRule="auto"/>
    </w:pPr>
  </w:style>
  <w:style w:type="character" w:customStyle="1" w:styleId="BodyText2Char">
    <w:name w:val="Body Text 2 Char"/>
    <w:basedOn w:val="DefaultParagraphFont"/>
    <w:link w:val="BodyText2"/>
    <w:uiPriority w:val="49"/>
    <w:semiHidden/>
    <w:rsid w:val="000A57B1"/>
    <w:rPr>
      <w:rFonts w:eastAsia="Times New Roman" w:cs="Calibri"/>
    </w:rPr>
  </w:style>
  <w:style w:type="paragraph" w:styleId="BodyText3">
    <w:name w:val="Body Text 3"/>
    <w:basedOn w:val="Normal"/>
    <w:link w:val="BodyText3Char"/>
    <w:uiPriority w:val="49"/>
    <w:semiHidden/>
    <w:locked/>
    <w:rsid w:val="000A57B1"/>
    <w:pPr>
      <w:spacing w:after="120"/>
    </w:pPr>
    <w:rPr>
      <w:sz w:val="16"/>
      <w:szCs w:val="16"/>
    </w:rPr>
  </w:style>
  <w:style w:type="character" w:customStyle="1" w:styleId="BodyText3Char">
    <w:name w:val="Body Text 3 Char"/>
    <w:basedOn w:val="DefaultParagraphFont"/>
    <w:link w:val="BodyText3"/>
    <w:uiPriority w:val="49"/>
    <w:semiHidden/>
    <w:rsid w:val="000A57B1"/>
    <w:rPr>
      <w:rFonts w:eastAsia="Times New Roman" w:cs="Calibri"/>
      <w:sz w:val="16"/>
      <w:szCs w:val="16"/>
    </w:rPr>
  </w:style>
  <w:style w:type="paragraph" w:styleId="BodyTextFirstIndent">
    <w:name w:val="Body Text First Indent"/>
    <w:basedOn w:val="BodyText"/>
    <w:link w:val="BodyTextFirstIndentChar"/>
    <w:uiPriority w:val="49"/>
    <w:semiHidden/>
    <w:locked/>
    <w:rsid w:val="000A57B1"/>
    <w:pPr>
      <w:spacing w:after="120"/>
      <w:ind w:firstLine="210"/>
    </w:pPr>
  </w:style>
  <w:style w:type="character" w:customStyle="1" w:styleId="BodyTextFirstIndentChar">
    <w:name w:val="Body Text First Indent Char"/>
    <w:basedOn w:val="BodyTextChar"/>
    <w:link w:val="BodyTextFirstIndent"/>
    <w:uiPriority w:val="49"/>
    <w:semiHidden/>
    <w:rsid w:val="000A57B1"/>
    <w:rPr>
      <w:rFonts w:eastAsia="Times New Roman" w:cs="Calibri"/>
    </w:rPr>
  </w:style>
  <w:style w:type="paragraph" w:styleId="BodyTextIndent">
    <w:name w:val="Body Text Indent"/>
    <w:basedOn w:val="Normal"/>
    <w:link w:val="BodyTextIndentChar"/>
    <w:uiPriority w:val="49"/>
    <w:semiHidden/>
    <w:locked/>
    <w:rsid w:val="000A57B1"/>
    <w:pPr>
      <w:spacing w:after="120"/>
      <w:ind w:left="283"/>
    </w:pPr>
  </w:style>
  <w:style w:type="character" w:customStyle="1" w:styleId="BodyTextIndentChar">
    <w:name w:val="Body Text Indent Char"/>
    <w:basedOn w:val="DefaultParagraphFont"/>
    <w:link w:val="BodyTextIndent"/>
    <w:uiPriority w:val="49"/>
    <w:semiHidden/>
    <w:rsid w:val="000A57B1"/>
    <w:rPr>
      <w:rFonts w:eastAsia="Times New Roman" w:cs="Calibri"/>
    </w:rPr>
  </w:style>
  <w:style w:type="paragraph" w:styleId="BodyTextFirstIndent2">
    <w:name w:val="Body Text First Indent 2"/>
    <w:basedOn w:val="BodyTextIndent"/>
    <w:link w:val="BodyTextFirstIndent2Char"/>
    <w:uiPriority w:val="49"/>
    <w:semiHidden/>
    <w:locked/>
    <w:rsid w:val="000A57B1"/>
    <w:pPr>
      <w:ind w:firstLine="210"/>
    </w:pPr>
  </w:style>
  <w:style w:type="character" w:customStyle="1" w:styleId="BodyTextFirstIndent2Char">
    <w:name w:val="Body Text First Indent 2 Char"/>
    <w:basedOn w:val="BodyTextIndentChar"/>
    <w:link w:val="BodyTextFirstIndent2"/>
    <w:uiPriority w:val="49"/>
    <w:semiHidden/>
    <w:rsid w:val="000A57B1"/>
    <w:rPr>
      <w:rFonts w:eastAsia="Times New Roman" w:cs="Calibri"/>
    </w:rPr>
  </w:style>
  <w:style w:type="paragraph" w:styleId="BodyTextIndent2">
    <w:name w:val="Body Text Indent 2"/>
    <w:basedOn w:val="Normal"/>
    <w:link w:val="BodyTextIndent2Char"/>
    <w:uiPriority w:val="49"/>
    <w:semiHidden/>
    <w:locked/>
    <w:rsid w:val="000A57B1"/>
    <w:pPr>
      <w:spacing w:after="120" w:line="480" w:lineRule="auto"/>
      <w:ind w:left="283"/>
    </w:pPr>
  </w:style>
  <w:style w:type="character" w:customStyle="1" w:styleId="BodyTextIndent2Char">
    <w:name w:val="Body Text Indent 2 Char"/>
    <w:basedOn w:val="DefaultParagraphFont"/>
    <w:link w:val="BodyTextIndent2"/>
    <w:uiPriority w:val="49"/>
    <w:semiHidden/>
    <w:rsid w:val="000A57B1"/>
    <w:rPr>
      <w:rFonts w:eastAsia="Times New Roman" w:cs="Calibri"/>
    </w:rPr>
  </w:style>
  <w:style w:type="paragraph" w:styleId="BodyTextIndent3">
    <w:name w:val="Body Text Indent 3"/>
    <w:basedOn w:val="Normal"/>
    <w:link w:val="BodyTextIndent3Char"/>
    <w:uiPriority w:val="49"/>
    <w:semiHidden/>
    <w:locked/>
    <w:rsid w:val="000A57B1"/>
    <w:pPr>
      <w:spacing w:after="120"/>
      <w:ind w:left="283"/>
    </w:pPr>
    <w:rPr>
      <w:sz w:val="16"/>
      <w:szCs w:val="16"/>
    </w:rPr>
  </w:style>
  <w:style w:type="character" w:customStyle="1" w:styleId="BodyTextIndent3Char">
    <w:name w:val="Body Text Indent 3 Char"/>
    <w:basedOn w:val="DefaultParagraphFont"/>
    <w:link w:val="BodyTextIndent3"/>
    <w:uiPriority w:val="49"/>
    <w:semiHidden/>
    <w:rsid w:val="000A57B1"/>
    <w:rPr>
      <w:rFonts w:eastAsia="Times New Roman" w:cs="Calibri"/>
      <w:sz w:val="16"/>
      <w:szCs w:val="16"/>
    </w:rPr>
  </w:style>
  <w:style w:type="character" w:styleId="BookTitle">
    <w:name w:val="Book Title"/>
    <w:uiPriority w:val="33"/>
    <w:qFormat/>
    <w:rsid w:val="000A57B1"/>
    <w:rPr>
      <w:rFonts w:ascii="Calibri" w:hAnsi="Calibri"/>
      <w:b/>
      <w:bCs/>
      <w:smallCaps/>
      <w:spacing w:val="5"/>
    </w:rPr>
  </w:style>
  <w:style w:type="paragraph" w:styleId="Closing">
    <w:name w:val="Closing"/>
    <w:basedOn w:val="Normal"/>
    <w:link w:val="ClosingChar"/>
    <w:uiPriority w:val="49"/>
    <w:semiHidden/>
    <w:locked/>
    <w:rsid w:val="000A57B1"/>
    <w:pPr>
      <w:ind w:left="4252"/>
    </w:pPr>
  </w:style>
  <w:style w:type="character" w:customStyle="1" w:styleId="ClosingChar">
    <w:name w:val="Closing Char"/>
    <w:basedOn w:val="DefaultParagraphFont"/>
    <w:link w:val="Closing"/>
    <w:uiPriority w:val="49"/>
    <w:semiHidden/>
    <w:rsid w:val="000A57B1"/>
    <w:rPr>
      <w:rFonts w:eastAsia="Times New Roman" w:cs="Calibri"/>
    </w:rPr>
  </w:style>
  <w:style w:type="table" w:styleId="ColorfulGrid">
    <w:name w:val="Colorful Grid"/>
    <w:basedOn w:val="TableNormal"/>
    <w:uiPriority w:val="73"/>
    <w:rsid w:val="000A57B1"/>
    <w:rPr>
      <w:rFonts w:ascii="Arial" w:eastAsia="Times New Roman" w:hAnsi="Arial"/>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0A57B1"/>
    <w:rPr>
      <w:rFonts w:ascii="Arial" w:eastAsia="Times New Roman" w:hAnsi="Arial"/>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0A57B1"/>
    <w:rPr>
      <w:rFonts w:ascii="Arial" w:eastAsia="Times New Roman" w:hAnsi="Arial"/>
      <w:color w:val="000000"/>
      <w:sz w:val="20"/>
      <w:szCs w:val="2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0A57B1"/>
    <w:rPr>
      <w:rFonts w:ascii="Arial" w:eastAsia="Times New Roman" w:hAnsi="Arial"/>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0A57B1"/>
    <w:rPr>
      <w:rFonts w:ascii="Arial" w:eastAsia="Times New Roman" w:hAnsi="Arial"/>
      <w:color w:val="000000"/>
      <w:sz w:val="20"/>
      <w:szCs w:val="2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0A57B1"/>
    <w:rPr>
      <w:rFonts w:ascii="Arial" w:eastAsia="Times New Roman" w:hAnsi="Arial"/>
      <w:color w:val="000000"/>
      <w:sz w:val="20"/>
      <w:szCs w:val="2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0A57B1"/>
    <w:rPr>
      <w:rFonts w:ascii="Arial" w:eastAsia="Times New Roman" w:hAnsi="Arial"/>
      <w:color w:val="000000"/>
      <w:sz w:val="20"/>
      <w:szCs w:val="2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Grid1">
    <w:name w:val="Colorful Grid1"/>
    <w:basedOn w:val="TableNormal"/>
    <w:semiHidden/>
    <w:rsid w:val="000A57B1"/>
    <w:rPr>
      <w:rFonts w:ascii="Arial" w:eastAsia="Times New Roman" w:hAnsi="Arial"/>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
    <w:name w:val="Colorful List"/>
    <w:basedOn w:val="TableNormal"/>
    <w:uiPriority w:val="72"/>
    <w:rsid w:val="000A57B1"/>
    <w:rPr>
      <w:rFonts w:ascii="Arial" w:eastAsia="Times New Roman" w:hAnsi="Arial"/>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0A57B1"/>
    <w:rPr>
      <w:rFonts w:ascii="Arial" w:eastAsia="Times New Roman" w:hAnsi="Arial"/>
      <w:color w:val="000000"/>
      <w:sz w:val="20"/>
      <w:szCs w:val="2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0A57B1"/>
    <w:rPr>
      <w:rFonts w:ascii="Arial" w:eastAsia="Times New Roman" w:hAnsi="Arial"/>
      <w:color w:val="000000"/>
      <w:sz w:val="20"/>
      <w:szCs w:val="2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0A57B1"/>
    <w:rPr>
      <w:rFonts w:ascii="Arial" w:eastAsia="Times New Roman" w:hAnsi="Arial"/>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0A57B1"/>
    <w:rPr>
      <w:rFonts w:ascii="Arial" w:eastAsia="Times New Roman" w:hAnsi="Arial"/>
      <w:color w:val="000000"/>
      <w:sz w:val="20"/>
      <w:szCs w:val="2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0A57B1"/>
    <w:rPr>
      <w:rFonts w:ascii="Arial" w:eastAsia="Times New Roman" w:hAnsi="Arial"/>
      <w:color w:val="000000"/>
      <w:sz w:val="20"/>
      <w:szCs w:val="2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0A57B1"/>
    <w:rPr>
      <w:rFonts w:ascii="Arial" w:eastAsia="Times New Roman" w:hAnsi="Arial"/>
      <w:color w:val="000000"/>
      <w:sz w:val="20"/>
      <w:szCs w:val="2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List1">
    <w:name w:val="Colorful List1"/>
    <w:basedOn w:val="TableNormal"/>
    <w:semiHidden/>
    <w:rsid w:val="000A57B1"/>
    <w:rPr>
      <w:rFonts w:ascii="Arial" w:eastAsia="Times New Roman" w:hAnsi="Arial"/>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Shading">
    <w:name w:val="Colorful Shading"/>
    <w:basedOn w:val="TableNormal"/>
    <w:uiPriority w:val="71"/>
    <w:rsid w:val="000A57B1"/>
    <w:rPr>
      <w:rFonts w:ascii="Arial" w:eastAsia="Times New Roman" w:hAnsi="Arial"/>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0A57B1"/>
    <w:rPr>
      <w:rFonts w:ascii="Arial" w:eastAsia="Times New Roman" w:hAnsi="Arial"/>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0A57B1"/>
    <w:rPr>
      <w:rFonts w:ascii="Arial" w:eastAsia="Times New Roman" w:hAnsi="Arial"/>
      <w:color w:val="000000"/>
      <w:sz w:val="20"/>
      <w:szCs w:val="2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0A57B1"/>
    <w:rPr>
      <w:rFonts w:ascii="Arial" w:eastAsia="Times New Roman" w:hAnsi="Arial"/>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0A57B1"/>
    <w:rPr>
      <w:rFonts w:ascii="Arial" w:eastAsia="Times New Roman" w:hAnsi="Arial"/>
      <w:color w:val="000000"/>
      <w:sz w:val="20"/>
      <w:szCs w:val="2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0A57B1"/>
    <w:rPr>
      <w:rFonts w:ascii="Arial" w:eastAsia="Times New Roman" w:hAnsi="Arial"/>
      <w:color w:val="000000"/>
      <w:sz w:val="20"/>
      <w:szCs w:val="2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0A57B1"/>
    <w:rPr>
      <w:rFonts w:ascii="Arial" w:eastAsia="Times New Roman" w:hAnsi="Arial"/>
      <w:color w:val="000000"/>
      <w:sz w:val="20"/>
      <w:szCs w:val="2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Shading1">
    <w:name w:val="Colorful Shading1"/>
    <w:basedOn w:val="TableNormal"/>
    <w:semiHidden/>
    <w:rsid w:val="000A57B1"/>
    <w:rPr>
      <w:rFonts w:ascii="Arial" w:eastAsia="Times New Roman" w:hAnsi="Arial"/>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
    <w:name w:val="Dark List"/>
    <w:basedOn w:val="TableNormal"/>
    <w:uiPriority w:val="70"/>
    <w:rsid w:val="000A57B1"/>
    <w:rPr>
      <w:rFonts w:ascii="Arial" w:eastAsia="Times New Roman" w:hAnsi="Arial"/>
      <w:color w:val="FFFFFF"/>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0A57B1"/>
    <w:rPr>
      <w:rFonts w:ascii="Arial" w:eastAsia="Times New Roman" w:hAnsi="Arial"/>
      <w:color w:val="FFFFFF"/>
      <w:sz w:val="20"/>
      <w:szCs w:val="20"/>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0A57B1"/>
    <w:rPr>
      <w:rFonts w:ascii="Arial" w:eastAsia="Times New Roman" w:hAnsi="Arial"/>
      <w:color w:val="FFFFFF"/>
      <w:sz w:val="20"/>
      <w:szCs w:val="20"/>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0A57B1"/>
    <w:rPr>
      <w:rFonts w:ascii="Arial" w:eastAsia="Times New Roman" w:hAnsi="Arial"/>
      <w:color w:val="FFFFFF"/>
      <w:sz w:val="20"/>
      <w:szCs w:val="20"/>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0A57B1"/>
    <w:rPr>
      <w:rFonts w:ascii="Arial" w:eastAsia="Times New Roman" w:hAnsi="Arial"/>
      <w:color w:val="FFFFFF"/>
      <w:sz w:val="20"/>
      <w:szCs w:val="20"/>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0A57B1"/>
    <w:rPr>
      <w:rFonts w:ascii="Arial" w:eastAsia="Times New Roman" w:hAnsi="Arial"/>
      <w:color w:val="FFFFFF"/>
      <w:sz w:val="20"/>
      <w:szCs w:val="20"/>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0A57B1"/>
    <w:rPr>
      <w:rFonts w:ascii="Arial" w:eastAsia="Times New Roman" w:hAnsi="Arial"/>
      <w:color w:val="FFFFFF"/>
      <w:sz w:val="2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DarkList1">
    <w:name w:val="Dark List1"/>
    <w:basedOn w:val="TableNormal"/>
    <w:semiHidden/>
    <w:rsid w:val="000A57B1"/>
    <w:rPr>
      <w:rFonts w:ascii="Arial" w:eastAsia="Times New Roman" w:hAnsi="Arial"/>
      <w:color w:val="FFFFFF"/>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Date">
    <w:name w:val="Date"/>
    <w:basedOn w:val="Normal"/>
    <w:next w:val="Normal"/>
    <w:link w:val="DateChar"/>
    <w:uiPriority w:val="49"/>
    <w:semiHidden/>
    <w:locked/>
    <w:rsid w:val="000A57B1"/>
    <w:pPr>
      <w:ind w:left="1411"/>
    </w:pPr>
  </w:style>
  <w:style w:type="character" w:customStyle="1" w:styleId="DateChar">
    <w:name w:val="Date Char"/>
    <w:basedOn w:val="DefaultParagraphFont"/>
    <w:link w:val="Date"/>
    <w:uiPriority w:val="49"/>
    <w:semiHidden/>
    <w:rsid w:val="000A57B1"/>
    <w:rPr>
      <w:rFonts w:eastAsia="Times New Roman" w:cs="Calibri"/>
    </w:rPr>
  </w:style>
  <w:style w:type="paragraph" w:styleId="DocumentMap">
    <w:name w:val="Document Map"/>
    <w:basedOn w:val="Normal"/>
    <w:link w:val="DocumentMapChar"/>
    <w:uiPriority w:val="49"/>
    <w:semiHidden/>
    <w:locked/>
    <w:rsid w:val="000A57B1"/>
    <w:pPr>
      <w:shd w:val="clear" w:color="auto" w:fill="000080"/>
    </w:pPr>
  </w:style>
  <w:style w:type="character" w:customStyle="1" w:styleId="DocumentMapChar">
    <w:name w:val="Document Map Char"/>
    <w:basedOn w:val="DefaultParagraphFont"/>
    <w:link w:val="DocumentMap"/>
    <w:uiPriority w:val="49"/>
    <w:semiHidden/>
    <w:rsid w:val="000A57B1"/>
    <w:rPr>
      <w:rFonts w:eastAsia="Times New Roman" w:cs="Calibri"/>
      <w:shd w:val="clear" w:color="auto" w:fill="000080"/>
    </w:rPr>
  </w:style>
  <w:style w:type="paragraph" w:styleId="E-mailSignature">
    <w:name w:val="E-mail Signature"/>
    <w:basedOn w:val="Normal"/>
    <w:link w:val="E-mailSignatureChar"/>
    <w:uiPriority w:val="49"/>
    <w:semiHidden/>
    <w:locked/>
    <w:rsid w:val="000A57B1"/>
  </w:style>
  <w:style w:type="character" w:customStyle="1" w:styleId="E-mailSignatureChar">
    <w:name w:val="E-mail Signature Char"/>
    <w:basedOn w:val="DefaultParagraphFont"/>
    <w:link w:val="E-mailSignature"/>
    <w:uiPriority w:val="49"/>
    <w:semiHidden/>
    <w:rsid w:val="000A57B1"/>
    <w:rPr>
      <w:rFonts w:eastAsia="Times New Roman" w:cs="Calibri"/>
    </w:rPr>
  </w:style>
  <w:style w:type="character" w:styleId="Emphasis">
    <w:name w:val="Emphasis"/>
    <w:uiPriority w:val="20"/>
    <w:qFormat/>
    <w:locked/>
    <w:rsid w:val="000A57B1"/>
    <w:rPr>
      <w:i/>
      <w:iCs/>
    </w:rPr>
  </w:style>
  <w:style w:type="character" w:styleId="EndnoteReference">
    <w:name w:val="endnote reference"/>
    <w:uiPriority w:val="49"/>
    <w:semiHidden/>
    <w:locked/>
    <w:rsid w:val="000A57B1"/>
    <w:rPr>
      <w:vertAlign w:val="superscript"/>
    </w:rPr>
  </w:style>
  <w:style w:type="paragraph" w:styleId="EndnoteText">
    <w:name w:val="endnote text"/>
    <w:basedOn w:val="Normal"/>
    <w:link w:val="EndnoteTextChar"/>
    <w:uiPriority w:val="49"/>
    <w:semiHidden/>
    <w:locked/>
    <w:rsid w:val="000A57B1"/>
  </w:style>
  <w:style w:type="character" w:customStyle="1" w:styleId="EndnoteTextChar">
    <w:name w:val="Endnote Text Char"/>
    <w:basedOn w:val="DefaultParagraphFont"/>
    <w:link w:val="EndnoteText"/>
    <w:uiPriority w:val="49"/>
    <w:semiHidden/>
    <w:rsid w:val="000A57B1"/>
    <w:rPr>
      <w:rFonts w:eastAsia="Times New Roman" w:cs="Calibri"/>
    </w:rPr>
  </w:style>
  <w:style w:type="paragraph" w:styleId="EnvelopeAddress">
    <w:name w:val="envelope address"/>
    <w:basedOn w:val="Normal"/>
    <w:uiPriority w:val="49"/>
    <w:semiHidden/>
    <w:locked/>
    <w:rsid w:val="000A57B1"/>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locked/>
    <w:rsid w:val="000A57B1"/>
  </w:style>
  <w:style w:type="paragraph" w:customStyle="1" w:styleId="FactSheetBullet1">
    <w:name w:val="Fact Sheet Bullet 1"/>
    <w:basedOn w:val="Normal"/>
    <w:semiHidden/>
    <w:rsid w:val="000A57B1"/>
    <w:pPr>
      <w:spacing w:after="60" w:line="220" w:lineRule="atLeast"/>
      <w:ind w:left="0"/>
      <w:contextualSpacing/>
    </w:pPr>
    <w:rPr>
      <w:sz w:val="18"/>
    </w:rPr>
  </w:style>
  <w:style w:type="paragraph" w:customStyle="1" w:styleId="FactSheetBullet2">
    <w:name w:val="Fact Sheet Bullet 2"/>
    <w:basedOn w:val="Normal"/>
    <w:semiHidden/>
    <w:rsid w:val="000A57B1"/>
    <w:pPr>
      <w:spacing w:before="80" w:after="60" w:line="220" w:lineRule="atLeast"/>
      <w:ind w:left="0"/>
      <w:contextualSpacing/>
    </w:pPr>
    <w:rPr>
      <w:sz w:val="18"/>
    </w:rPr>
  </w:style>
  <w:style w:type="paragraph" w:customStyle="1" w:styleId="FactSheetBullet3">
    <w:name w:val="Fact Sheet Bullet 3"/>
    <w:basedOn w:val="FactSheetBullet2"/>
    <w:semiHidden/>
    <w:rsid w:val="000A57B1"/>
  </w:style>
  <w:style w:type="character" w:styleId="FollowedHyperlink">
    <w:name w:val="FollowedHyperlink"/>
    <w:uiPriority w:val="99"/>
    <w:semiHidden/>
    <w:locked/>
    <w:rsid w:val="000A57B1"/>
    <w:rPr>
      <w:color w:val="800080"/>
      <w:u w:val="single"/>
    </w:rPr>
  </w:style>
  <w:style w:type="character" w:styleId="HTMLAcronym">
    <w:name w:val="HTML Acronym"/>
    <w:basedOn w:val="DefaultParagraphFont"/>
    <w:uiPriority w:val="99"/>
    <w:semiHidden/>
    <w:locked/>
    <w:rsid w:val="000A57B1"/>
  </w:style>
  <w:style w:type="paragraph" w:styleId="HTMLAddress">
    <w:name w:val="HTML Address"/>
    <w:basedOn w:val="Normal"/>
    <w:link w:val="HTMLAddressChar"/>
    <w:uiPriority w:val="49"/>
    <w:semiHidden/>
    <w:locked/>
    <w:rsid w:val="000A57B1"/>
    <w:rPr>
      <w:i/>
      <w:iCs/>
    </w:rPr>
  </w:style>
  <w:style w:type="character" w:customStyle="1" w:styleId="HTMLAddressChar">
    <w:name w:val="HTML Address Char"/>
    <w:basedOn w:val="DefaultParagraphFont"/>
    <w:link w:val="HTMLAddress"/>
    <w:uiPriority w:val="49"/>
    <w:semiHidden/>
    <w:rsid w:val="000A57B1"/>
    <w:rPr>
      <w:rFonts w:eastAsia="Times New Roman" w:cs="Calibri"/>
      <w:i/>
      <w:iCs/>
    </w:rPr>
  </w:style>
  <w:style w:type="character" w:styleId="HTMLCite">
    <w:name w:val="HTML Cite"/>
    <w:uiPriority w:val="99"/>
    <w:semiHidden/>
    <w:locked/>
    <w:rsid w:val="000A57B1"/>
    <w:rPr>
      <w:i/>
      <w:iCs/>
    </w:rPr>
  </w:style>
  <w:style w:type="character" w:styleId="HTMLCode">
    <w:name w:val="HTML Code"/>
    <w:uiPriority w:val="99"/>
    <w:semiHidden/>
    <w:locked/>
    <w:rsid w:val="000A57B1"/>
    <w:rPr>
      <w:sz w:val="20"/>
      <w:szCs w:val="20"/>
    </w:rPr>
  </w:style>
  <w:style w:type="character" w:styleId="HTMLDefinition">
    <w:name w:val="HTML Definition"/>
    <w:uiPriority w:val="99"/>
    <w:semiHidden/>
    <w:locked/>
    <w:rsid w:val="000A57B1"/>
    <w:rPr>
      <w:i/>
      <w:iCs/>
    </w:rPr>
  </w:style>
  <w:style w:type="character" w:styleId="HTMLKeyboard">
    <w:name w:val="HTML Keyboard"/>
    <w:uiPriority w:val="99"/>
    <w:semiHidden/>
    <w:locked/>
    <w:rsid w:val="000A57B1"/>
    <w:rPr>
      <w:sz w:val="20"/>
      <w:szCs w:val="20"/>
    </w:rPr>
  </w:style>
  <w:style w:type="paragraph" w:styleId="HTMLPreformatted">
    <w:name w:val="HTML Preformatted"/>
    <w:basedOn w:val="Normal"/>
    <w:link w:val="HTMLPreformattedChar"/>
    <w:uiPriority w:val="49"/>
    <w:semiHidden/>
    <w:locked/>
    <w:rsid w:val="000A57B1"/>
  </w:style>
  <w:style w:type="character" w:customStyle="1" w:styleId="HTMLPreformattedChar">
    <w:name w:val="HTML Preformatted Char"/>
    <w:basedOn w:val="DefaultParagraphFont"/>
    <w:link w:val="HTMLPreformatted"/>
    <w:uiPriority w:val="49"/>
    <w:semiHidden/>
    <w:rsid w:val="000A57B1"/>
    <w:rPr>
      <w:rFonts w:eastAsia="Times New Roman" w:cs="Calibri"/>
    </w:rPr>
  </w:style>
  <w:style w:type="character" w:styleId="HTMLSample">
    <w:name w:val="HTML Sample"/>
    <w:uiPriority w:val="99"/>
    <w:semiHidden/>
    <w:locked/>
    <w:rsid w:val="000A57B1"/>
    <w:rPr>
      <w:sz w:val="24"/>
      <w:szCs w:val="24"/>
    </w:rPr>
  </w:style>
  <w:style w:type="character" w:styleId="HTMLTypewriter">
    <w:name w:val="HTML Typewriter"/>
    <w:uiPriority w:val="99"/>
    <w:semiHidden/>
    <w:locked/>
    <w:rsid w:val="000A57B1"/>
    <w:rPr>
      <w:sz w:val="20"/>
      <w:szCs w:val="20"/>
    </w:rPr>
  </w:style>
  <w:style w:type="character" w:styleId="HTMLVariable">
    <w:name w:val="HTML Variable"/>
    <w:uiPriority w:val="99"/>
    <w:semiHidden/>
    <w:locked/>
    <w:rsid w:val="000A57B1"/>
    <w:rPr>
      <w:i/>
      <w:iCs/>
    </w:rPr>
  </w:style>
  <w:style w:type="paragraph" w:styleId="Index1">
    <w:name w:val="index 1"/>
    <w:basedOn w:val="Normal"/>
    <w:next w:val="Normal"/>
    <w:autoRedefine/>
    <w:uiPriority w:val="49"/>
    <w:semiHidden/>
    <w:locked/>
    <w:rsid w:val="000A57B1"/>
    <w:pPr>
      <w:ind w:left="200" w:hanging="200"/>
    </w:pPr>
  </w:style>
  <w:style w:type="paragraph" w:styleId="Index2">
    <w:name w:val="index 2"/>
    <w:basedOn w:val="Normal"/>
    <w:next w:val="Normal"/>
    <w:autoRedefine/>
    <w:uiPriority w:val="49"/>
    <w:semiHidden/>
    <w:locked/>
    <w:rsid w:val="000A57B1"/>
    <w:pPr>
      <w:ind w:left="400" w:hanging="200"/>
    </w:pPr>
  </w:style>
  <w:style w:type="paragraph" w:styleId="Index3">
    <w:name w:val="index 3"/>
    <w:basedOn w:val="Normal"/>
    <w:next w:val="Normal"/>
    <w:autoRedefine/>
    <w:uiPriority w:val="49"/>
    <w:semiHidden/>
    <w:locked/>
    <w:rsid w:val="000A57B1"/>
    <w:pPr>
      <w:ind w:left="600" w:hanging="200"/>
    </w:pPr>
  </w:style>
  <w:style w:type="paragraph" w:styleId="Index4">
    <w:name w:val="index 4"/>
    <w:basedOn w:val="Normal"/>
    <w:next w:val="Normal"/>
    <w:autoRedefine/>
    <w:uiPriority w:val="49"/>
    <w:semiHidden/>
    <w:locked/>
    <w:rsid w:val="000A57B1"/>
    <w:pPr>
      <w:ind w:left="800" w:hanging="200"/>
    </w:pPr>
  </w:style>
  <w:style w:type="paragraph" w:styleId="Index5">
    <w:name w:val="index 5"/>
    <w:basedOn w:val="Normal"/>
    <w:next w:val="Normal"/>
    <w:autoRedefine/>
    <w:uiPriority w:val="49"/>
    <w:semiHidden/>
    <w:locked/>
    <w:rsid w:val="000A57B1"/>
    <w:pPr>
      <w:ind w:left="1000" w:hanging="200"/>
    </w:pPr>
  </w:style>
  <w:style w:type="paragraph" w:styleId="Index6">
    <w:name w:val="index 6"/>
    <w:basedOn w:val="Normal"/>
    <w:next w:val="Normal"/>
    <w:autoRedefine/>
    <w:uiPriority w:val="49"/>
    <w:semiHidden/>
    <w:locked/>
    <w:rsid w:val="000A57B1"/>
    <w:pPr>
      <w:ind w:left="1200" w:hanging="200"/>
    </w:pPr>
  </w:style>
  <w:style w:type="paragraph" w:styleId="Index7">
    <w:name w:val="index 7"/>
    <w:basedOn w:val="Normal"/>
    <w:next w:val="Normal"/>
    <w:autoRedefine/>
    <w:uiPriority w:val="49"/>
    <w:semiHidden/>
    <w:locked/>
    <w:rsid w:val="000A57B1"/>
    <w:pPr>
      <w:ind w:left="1400" w:hanging="200"/>
    </w:pPr>
  </w:style>
  <w:style w:type="paragraph" w:styleId="Index8">
    <w:name w:val="index 8"/>
    <w:basedOn w:val="Normal"/>
    <w:next w:val="Normal"/>
    <w:autoRedefine/>
    <w:uiPriority w:val="49"/>
    <w:semiHidden/>
    <w:locked/>
    <w:rsid w:val="000A57B1"/>
    <w:pPr>
      <w:ind w:left="1600" w:hanging="200"/>
    </w:pPr>
  </w:style>
  <w:style w:type="paragraph" w:styleId="Index9">
    <w:name w:val="index 9"/>
    <w:basedOn w:val="Normal"/>
    <w:next w:val="Normal"/>
    <w:autoRedefine/>
    <w:uiPriority w:val="49"/>
    <w:semiHidden/>
    <w:locked/>
    <w:rsid w:val="000A57B1"/>
    <w:pPr>
      <w:ind w:left="1800" w:hanging="200"/>
    </w:pPr>
  </w:style>
  <w:style w:type="paragraph" w:styleId="IndexHeading">
    <w:name w:val="index heading"/>
    <w:basedOn w:val="Normal"/>
    <w:next w:val="Index1"/>
    <w:uiPriority w:val="49"/>
    <w:semiHidden/>
    <w:locked/>
    <w:rsid w:val="000A57B1"/>
    <w:rPr>
      <w:b/>
      <w:bCs/>
    </w:rPr>
  </w:style>
  <w:style w:type="character" w:styleId="IntenseEmphasis">
    <w:name w:val="Intense Emphasis"/>
    <w:uiPriority w:val="21"/>
    <w:qFormat/>
    <w:rsid w:val="000A57B1"/>
    <w:rPr>
      <w:b/>
      <w:bCs/>
      <w:i/>
      <w:iCs/>
      <w:color w:val="4F81BD"/>
    </w:rPr>
  </w:style>
  <w:style w:type="character" w:styleId="IntenseReference">
    <w:name w:val="Intense Reference"/>
    <w:uiPriority w:val="32"/>
    <w:qFormat/>
    <w:rsid w:val="000A57B1"/>
    <w:rPr>
      <w:b/>
      <w:bCs/>
      <w:smallCaps/>
      <w:color w:val="C0504D"/>
      <w:spacing w:val="5"/>
      <w:u w:val="single"/>
    </w:rPr>
  </w:style>
  <w:style w:type="table" w:styleId="LightGrid">
    <w:name w:val="Light Grid"/>
    <w:basedOn w:val="TableNormal"/>
    <w:uiPriority w:val="62"/>
    <w:rsid w:val="000A57B1"/>
    <w:rPr>
      <w:rFonts w:ascii="Arial" w:eastAsia="Times New Roman" w:hAnsi="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0A57B1"/>
    <w:rPr>
      <w:rFonts w:ascii="Arial" w:eastAsia="Times New Roman" w:hAnsi="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
    <w:name w:val="Light Grid - Accent 11"/>
    <w:basedOn w:val="TableNormal"/>
    <w:semiHidden/>
    <w:rsid w:val="000A57B1"/>
    <w:rPr>
      <w:rFonts w:ascii="Arial" w:eastAsia="Times New Roman" w:hAnsi="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0A57B1"/>
    <w:rPr>
      <w:rFonts w:ascii="Arial" w:eastAsia="Times New Roman" w:hAnsi="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0A57B1"/>
    <w:rPr>
      <w:rFonts w:ascii="Arial" w:eastAsia="Times New Roman" w:hAnsi="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0A57B1"/>
    <w:rPr>
      <w:rFonts w:ascii="Arial" w:eastAsia="Times New Roman" w:hAnsi="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0A57B1"/>
    <w:rPr>
      <w:rFonts w:ascii="Arial" w:eastAsia="Times New Roman" w:hAnsi="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0A57B1"/>
    <w:rPr>
      <w:rFonts w:ascii="Arial" w:eastAsia="Times New Roman" w:hAnsi="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1">
    <w:name w:val="Light Grid1"/>
    <w:basedOn w:val="TableNormal"/>
    <w:semiHidden/>
    <w:rsid w:val="000A57B1"/>
    <w:rPr>
      <w:rFonts w:ascii="Arial" w:eastAsia="Times New Roman" w:hAnsi="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
    <w:name w:val="Light List"/>
    <w:basedOn w:val="TableNormal"/>
    <w:uiPriority w:val="61"/>
    <w:rsid w:val="000A57B1"/>
    <w:rPr>
      <w:rFonts w:ascii="Arial" w:eastAsia="Times New Roman" w:hAnsi="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0A57B1"/>
    <w:rPr>
      <w:rFonts w:ascii="Arial" w:eastAsia="Times New Roman" w:hAnsi="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
    <w:name w:val="Light List - Accent 11"/>
    <w:basedOn w:val="TableNormal"/>
    <w:semiHidden/>
    <w:rsid w:val="000A57B1"/>
    <w:rPr>
      <w:rFonts w:ascii="Arial" w:eastAsia="Times New Roman" w:hAnsi="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0A57B1"/>
    <w:rPr>
      <w:rFonts w:ascii="Arial" w:eastAsia="Times New Roman" w:hAnsi="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0A57B1"/>
    <w:rPr>
      <w:rFonts w:ascii="Arial" w:eastAsia="Times New Roman" w:hAnsi="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0A57B1"/>
    <w:rPr>
      <w:rFonts w:ascii="Arial" w:eastAsia="Times New Roman" w:hAnsi="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0A57B1"/>
    <w:rPr>
      <w:rFonts w:ascii="Arial" w:eastAsia="Times New Roman" w:hAnsi="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0A57B1"/>
    <w:rPr>
      <w:rFonts w:ascii="Arial" w:eastAsia="Times New Roman" w:hAnsi="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1">
    <w:name w:val="Light List1"/>
    <w:basedOn w:val="TableNormal"/>
    <w:semiHidden/>
    <w:rsid w:val="000A57B1"/>
    <w:rPr>
      <w:rFonts w:ascii="Arial" w:eastAsia="Times New Roman" w:hAnsi="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60"/>
    <w:rsid w:val="000A57B1"/>
    <w:rPr>
      <w:rFonts w:ascii="Arial" w:eastAsia="Times New Roman" w:hAnsi="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0A57B1"/>
    <w:rPr>
      <w:rFonts w:ascii="Arial" w:eastAsia="Times New Roman" w:hAnsi="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
    <w:name w:val="Light Shading - Accent 11"/>
    <w:basedOn w:val="TableNormal"/>
    <w:semiHidden/>
    <w:rsid w:val="000A57B1"/>
    <w:rPr>
      <w:rFonts w:ascii="Arial" w:eastAsia="Times New Roman" w:hAnsi="Arial"/>
      <w:color w:val="376092"/>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styleId="LightShading-Accent2">
    <w:name w:val="Light Shading Accent 2"/>
    <w:basedOn w:val="TableNormal"/>
    <w:uiPriority w:val="60"/>
    <w:rsid w:val="000A57B1"/>
    <w:rPr>
      <w:rFonts w:ascii="Arial" w:eastAsia="Times New Roman" w:hAnsi="Arial"/>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0A57B1"/>
    <w:rPr>
      <w:rFonts w:ascii="Arial" w:eastAsia="Times New Roman" w:hAnsi="Arial"/>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A57B1"/>
    <w:rPr>
      <w:rFonts w:ascii="Arial" w:eastAsia="Times New Roman" w:hAnsi="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0A57B1"/>
    <w:rPr>
      <w:rFonts w:ascii="Arial" w:eastAsia="Times New Roman" w:hAnsi="Arial"/>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0A57B1"/>
    <w:rPr>
      <w:rFonts w:ascii="Arial" w:eastAsia="Times New Roman" w:hAnsi="Arial"/>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
    <w:name w:val="Light Shading1"/>
    <w:basedOn w:val="TableNormal"/>
    <w:semiHidden/>
    <w:rsid w:val="000A57B1"/>
    <w:rPr>
      <w:rFonts w:ascii="Arial" w:eastAsia="Times New Roman" w:hAnsi="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LineNumber">
    <w:name w:val="line number"/>
    <w:basedOn w:val="DefaultParagraphFont"/>
    <w:uiPriority w:val="49"/>
    <w:semiHidden/>
    <w:locked/>
    <w:rsid w:val="000A57B1"/>
  </w:style>
  <w:style w:type="paragraph" w:styleId="List">
    <w:name w:val="List"/>
    <w:basedOn w:val="Normal"/>
    <w:uiPriority w:val="49"/>
    <w:semiHidden/>
    <w:locked/>
    <w:rsid w:val="000A57B1"/>
    <w:pPr>
      <w:ind w:left="283" w:hanging="283"/>
    </w:pPr>
  </w:style>
  <w:style w:type="paragraph" w:styleId="List2">
    <w:name w:val="List 2"/>
    <w:basedOn w:val="Normal"/>
    <w:uiPriority w:val="49"/>
    <w:semiHidden/>
    <w:locked/>
    <w:rsid w:val="000A57B1"/>
    <w:pPr>
      <w:ind w:left="566" w:hanging="283"/>
    </w:pPr>
  </w:style>
  <w:style w:type="paragraph" w:styleId="List3">
    <w:name w:val="List 3"/>
    <w:basedOn w:val="Normal"/>
    <w:uiPriority w:val="49"/>
    <w:semiHidden/>
    <w:locked/>
    <w:rsid w:val="000A57B1"/>
    <w:pPr>
      <w:ind w:left="849" w:hanging="283"/>
    </w:pPr>
  </w:style>
  <w:style w:type="paragraph" w:styleId="List4">
    <w:name w:val="List 4"/>
    <w:basedOn w:val="Normal"/>
    <w:uiPriority w:val="49"/>
    <w:semiHidden/>
    <w:locked/>
    <w:rsid w:val="000A57B1"/>
    <w:pPr>
      <w:ind w:left="1132" w:hanging="283"/>
    </w:pPr>
  </w:style>
  <w:style w:type="paragraph" w:styleId="List5">
    <w:name w:val="List 5"/>
    <w:basedOn w:val="Normal"/>
    <w:uiPriority w:val="49"/>
    <w:semiHidden/>
    <w:locked/>
    <w:rsid w:val="000A57B1"/>
    <w:pPr>
      <w:ind w:left="1415" w:hanging="283"/>
    </w:pPr>
  </w:style>
  <w:style w:type="paragraph" w:styleId="ListBullet">
    <w:name w:val="List Bullet"/>
    <w:basedOn w:val="Normal"/>
    <w:uiPriority w:val="99"/>
    <w:semiHidden/>
    <w:unhideWhenUsed/>
    <w:locked/>
    <w:rsid w:val="000A57B1"/>
    <w:pPr>
      <w:numPr>
        <w:numId w:val="9"/>
      </w:numPr>
      <w:contextualSpacing/>
    </w:pPr>
  </w:style>
  <w:style w:type="paragraph" w:styleId="ListBullet2">
    <w:name w:val="List Bullet 2"/>
    <w:basedOn w:val="Normal"/>
    <w:semiHidden/>
    <w:locked/>
    <w:rsid w:val="000A57B1"/>
    <w:pPr>
      <w:numPr>
        <w:numId w:val="10"/>
      </w:numPr>
      <w:contextualSpacing/>
    </w:pPr>
  </w:style>
  <w:style w:type="paragraph" w:styleId="ListBullet3">
    <w:name w:val="List Bullet 3"/>
    <w:basedOn w:val="Normal"/>
    <w:uiPriority w:val="99"/>
    <w:semiHidden/>
    <w:locked/>
    <w:rsid w:val="000A57B1"/>
    <w:pPr>
      <w:numPr>
        <w:numId w:val="11"/>
      </w:numPr>
      <w:contextualSpacing/>
    </w:pPr>
  </w:style>
  <w:style w:type="paragraph" w:styleId="ListBullet4">
    <w:name w:val="List Bullet 4"/>
    <w:basedOn w:val="Normal"/>
    <w:uiPriority w:val="49"/>
    <w:semiHidden/>
    <w:locked/>
    <w:rsid w:val="000A57B1"/>
    <w:pPr>
      <w:tabs>
        <w:tab w:val="num" w:pos="1209"/>
      </w:tabs>
      <w:ind w:left="1209" w:hanging="360"/>
    </w:pPr>
  </w:style>
  <w:style w:type="paragraph" w:styleId="ListBullet5">
    <w:name w:val="List Bullet 5"/>
    <w:basedOn w:val="Normal"/>
    <w:uiPriority w:val="49"/>
    <w:semiHidden/>
    <w:locked/>
    <w:rsid w:val="000A57B1"/>
    <w:pPr>
      <w:tabs>
        <w:tab w:val="num" w:pos="1492"/>
      </w:tabs>
      <w:ind w:left="1492" w:hanging="360"/>
    </w:pPr>
  </w:style>
  <w:style w:type="paragraph" w:customStyle="1" w:styleId="ListBulletBold">
    <w:name w:val="List Bullet Bold"/>
    <w:basedOn w:val="Normal"/>
    <w:next w:val="Normal"/>
    <w:uiPriority w:val="49"/>
    <w:semiHidden/>
    <w:rsid w:val="000A57B1"/>
    <w:rPr>
      <w:b/>
    </w:rPr>
  </w:style>
  <w:style w:type="paragraph" w:styleId="ListContinue">
    <w:name w:val="List Continue"/>
    <w:basedOn w:val="Normal"/>
    <w:uiPriority w:val="8"/>
    <w:semiHidden/>
    <w:qFormat/>
    <w:locked/>
    <w:rsid w:val="000A57B1"/>
    <w:pPr>
      <w:spacing w:before="0" w:after="0"/>
      <w:ind w:left="1077"/>
    </w:pPr>
  </w:style>
  <w:style w:type="paragraph" w:styleId="ListContinue2">
    <w:name w:val="List Continue 2"/>
    <w:basedOn w:val="Normal"/>
    <w:uiPriority w:val="8"/>
    <w:semiHidden/>
    <w:locked/>
    <w:rsid w:val="000A57B1"/>
    <w:pPr>
      <w:spacing w:before="0" w:after="0"/>
      <w:ind w:left="1361"/>
    </w:pPr>
  </w:style>
  <w:style w:type="paragraph" w:styleId="ListContinue3">
    <w:name w:val="List Continue 3"/>
    <w:basedOn w:val="Normal"/>
    <w:uiPriority w:val="8"/>
    <w:semiHidden/>
    <w:locked/>
    <w:rsid w:val="000A57B1"/>
    <w:pPr>
      <w:spacing w:before="0" w:after="0"/>
      <w:ind w:left="1644"/>
    </w:pPr>
  </w:style>
  <w:style w:type="paragraph" w:styleId="ListContinue4">
    <w:name w:val="List Continue 4"/>
    <w:basedOn w:val="Normal"/>
    <w:uiPriority w:val="49"/>
    <w:semiHidden/>
    <w:locked/>
    <w:rsid w:val="000A57B1"/>
    <w:pPr>
      <w:spacing w:after="120"/>
      <w:ind w:left="1132"/>
    </w:pPr>
  </w:style>
  <w:style w:type="paragraph" w:styleId="ListContinue5">
    <w:name w:val="List Continue 5"/>
    <w:basedOn w:val="Normal"/>
    <w:uiPriority w:val="49"/>
    <w:semiHidden/>
    <w:locked/>
    <w:rsid w:val="000A57B1"/>
    <w:pPr>
      <w:spacing w:after="120"/>
      <w:ind w:left="1415"/>
    </w:pPr>
  </w:style>
  <w:style w:type="paragraph" w:styleId="ListNumber4">
    <w:name w:val="List Number 4"/>
    <w:basedOn w:val="Normal"/>
    <w:uiPriority w:val="49"/>
    <w:locked/>
    <w:rsid w:val="00280D7E"/>
    <w:pPr>
      <w:numPr>
        <w:numId w:val="24"/>
      </w:numPr>
      <w:ind w:left="1368" w:hanging="576"/>
    </w:pPr>
  </w:style>
  <w:style w:type="paragraph" w:styleId="ListNumber5">
    <w:name w:val="List Number 5"/>
    <w:basedOn w:val="Normal"/>
    <w:uiPriority w:val="49"/>
    <w:semiHidden/>
    <w:locked/>
    <w:rsid w:val="000A57B1"/>
    <w:pPr>
      <w:tabs>
        <w:tab w:val="num" w:pos="1492"/>
      </w:tabs>
      <w:ind w:left="1492" w:hanging="360"/>
    </w:pPr>
  </w:style>
  <w:style w:type="paragraph" w:styleId="MacroText">
    <w:name w:val="macro"/>
    <w:link w:val="MacroTextChar"/>
    <w:uiPriority w:val="49"/>
    <w:semiHidden/>
    <w:locked/>
    <w:rsid w:val="000A57B1"/>
    <w:rPr>
      <w:rFonts w:eastAsia="Times New Roman" w:cs="Calibri"/>
    </w:rPr>
  </w:style>
  <w:style w:type="character" w:customStyle="1" w:styleId="MacroTextChar">
    <w:name w:val="Macro Text Char"/>
    <w:basedOn w:val="DefaultParagraphFont"/>
    <w:link w:val="MacroText"/>
    <w:uiPriority w:val="49"/>
    <w:semiHidden/>
    <w:rsid w:val="000A57B1"/>
    <w:rPr>
      <w:rFonts w:eastAsia="Times New Roman" w:cs="Calibri"/>
    </w:rPr>
  </w:style>
  <w:style w:type="table" w:styleId="MediumGrid1">
    <w:name w:val="Medium Grid 1"/>
    <w:basedOn w:val="TableNormal"/>
    <w:uiPriority w:val="67"/>
    <w:rsid w:val="000A57B1"/>
    <w:rPr>
      <w:rFonts w:ascii="Arial" w:eastAsia="Times New Roman" w:hAnsi="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0A57B1"/>
    <w:rPr>
      <w:rFonts w:ascii="Arial" w:eastAsia="Times New Roman" w:hAnsi="Arial"/>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0A57B1"/>
    <w:rPr>
      <w:rFonts w:ascii="Arial" w:eastAsia="Times New Roman" w:hAnsi="Arial"/>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0A57B1"/>
    <w:rPr>
      <w:rFonts w:ascii="Arial" w:eastAsia="Times New Roman" w:hAnsi="Arial"/>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0A57B1"/>
    <w:rPr>
      <w:rFonts w:ascii="Arial" w:eastAsia="Times New Roman" w:hAnsi="Arial"/>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0A57B1"/>
    <w:rPr>
      <w:rFonts w:ascii="Arial" w:eastAsia="Times New Roman" w:hAnsi="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0A57B1"/>
    <w:rPr>
      <w:rFonts w:ascii="Arial" w:eastAsia="Times New Roman" w:hAnsi="Arial"/>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1">
    <w:name w:val="Medium Grid 11"/>
    <w:basedOn w:val="TableNormal"/>
    <w:semiHidden/>
    <w:rsid w:val="000A57B1"/>
    <w:rPr>
      <w:rFonts w:ascii="Arial" w:eastAsia="Times New Roman" w:hAnsi="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68"/>
    <w:rsid w:val="000A57B1"/>
    <w:rPr>
      <w:rFonts w:ascii="Cambria" w:eastAsia="Times New Roman" w:hAnsi="Cambria"/>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0A57B1"/>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0A57B1"/>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0A57B1"/>
    <w:rPr>
      <w:rFonts w:ascii="Cambria" w:eastAsia="Times New Roman" w:hAnsi="Cambria"/>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0A57B1"/>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0A57B1"/>
    <w:rPr>
      <w:rFonts w:ascii="Cambria" w:eastAsia="Times New Roman" w:hAnsi="Cambria"/>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0A57B1"/>
    <w:rPr>
      <w:rFonts w:ascii="Cambria" w:eastAsia="Times New Roman" w:hAnsi="Cambria"/>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21">
    <w:name w:val="Medium Grid 21"/>
    <w:basedOn w:val="TableNormal"/>
    <w:semiHidden/>
    <w:rsid w:val="000A57B1"/>
    <w:rPr>
      <w:rFonts w:ascii="Cambria" w:eastAsia="Times New Roman" w:hAnsi="Cambria"/>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
    <w:name w:val="Medium Grid 3"/>
    <w:basedOn w:val="TableNormal"/>
    <w:uiPriority w:val="69"/>
    <w:rsid w:val="000A57B1"/>
    <w:rPr>
      <w:rFonts w:ascii="Arial" w:eastAsia="Times New Roman" w:hAnsi="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0A57B1"/>
    <w:rPr>
      <w:rFonts w:ascii="Arial" w:eastAsia="Times New Roman" w:hAnsi="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0A57B1"/>
    <w:rPr>
      <w:rFonts w:ascii="Arial" w:eastAsia="Times New Roman" w:hAnsi="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0A57B1"/>
    <w:rPr>
      <w:rFonts w:ascii="Arial" w:eastAsia="Times New Roman" w:hAnsi="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0A57B1"/>
    <w:rPr>
      <w:rFonts w:ascii="Arial" w:eastAsia="Times New Roman" w:hAnsi="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0A57B1"/>
    <w:rPr>
      <w:rFonts w:ascii="Arial" w:eastAsia="Times New Roman" w:hAnsi="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A57B1"/>
    <w:rPr>
      <w:rFonts w:ascii="Arial" w:eastAsia="Times New Roman" w:hAnsi="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31">
    <w:name w:val="Medium Grid 31"/>
    <w:basedOn w:val="TableNormal"/>
    <w:semiHidden/>
    <w:rsid w:val="000A57B1"/>
    <w:rPr>
      <w:rFonts w:ascii="Arial" w:eastAsia="Times New Roman" w:hAnsi="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
    <w:name w:val="Medium List 1"/>
    <w:basedOn w:val="TableNormal"/>
    <w:uiPriority w:val="65"/>
    <w:rsid w:val="000A57B1"/>
    <w:rPr>
      <w:rFonts w:ascii="Arial" w:eastAsia="Times New Roman" w:hAnsi="Arial"/>
      <w:color w:val="000000"/>
      <w:sz w:val="20"/>
      <w:szCs w:val="2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0A57B1"/>
    <w:rPr>
      <w:rFonts w:ascii="Arial" w:eastAsia="Times New Roman" w:hAnsi="Arial"/>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11">
    <w:name w:val="Medium List 1 - Accent 11"/>
    <w:basedOn w:val="TableNormal"/>
    <w:semiHidden/>
    <w:rsid w:val="000A57B1"/>
    <w:rPr>
      <w:rFonts w:ascii="Arial" w:eastAsia="Times New Roman" w:hAnsi="Arial"/>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rsid w:val="000A57B1"/>
    <w:rPr>
      <w:rFonts w:ascii="Arial" w:eastAsia="Times New Roman" w:hAnsi="Arial"/>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0A57B1"/>
    <w:rPr>
      <w:rFonts w:ascii="Arial" w:eastAsia="Times New Roman" w:hAnsi="Arial"/>
      <w:color w:val="000000"/>
      <w:sz w:val="20"/>
      <w:szCs w:val="2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0A57B1"/>
    <w:rPr>
      <w:rFonts w:ascii="Arial" w:eastAsia="Times New Roman" w:hAnsi="Arial"/>
      <w:color w:val="000000"/>
      <w:sz w:val="20"/>
      <w:szCs w:val="2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0A57B1"/>
    <w:rPr>
      <w:rFonts w:ascii="Arial" w:eastAsia="Times New Roman" w:hAnsi="Arial"/>
      <w:color w:val="000000"/>
      <w:sz w:val="20"/>
      <w:szCs w:val="2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0A57B1"/>
    <w:rPr>
      <w:rFonts w:ascii="Arial" w:eastAsia="Times New Roman" w:hAnsi="Arial"/>
      <w:color w:val="000000"/>
      <w:sz w:val="20"/>
      <w:szCs w:val="2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11">
    <w:name w:val="Medium List 11"/>
    <w:basedOn w:val="TableNormal"/>
    <w:semiHidden/>
    <w:rsid w:val="000A57B1"/>
    <w:rPr>
      <w:rFonts w:ascii="Arial" w:eastAsia="Times New Roman" w:hAnsi="Arial"/>
      <w:color w:val="000000"/>
      <w:sz w:val="20"/>
      <w:szCs w:val="2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2">
    <w:name w:val="Medium List 2"/>
    <w:basedOn w:val="TableNormal"/>
    <w:uiPriority w:val="66"/>
    <w:rsid w:val="000A57B1"/>
    <w:rPr>
      <w:rFonts w:ascii="Cambria" w:eastAsia="Times New Roman" w:hAnsi="Cambria"/>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0A57B1"/>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0A57B1"/>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0A57B1"/>
    <w:rPr>
      <w:rFonts w:ascii="Cambria" w:eastAsia="Times New Roman" w:hAnsi="Cambria"/>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0A57B1"/>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0A57B1"/>
    <w:rPr>
      <w:rFonts w:ascii="Cambria" w:eastAsia="Times New Roman" w:hAnsi="Cambria"/>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0A57B1"/>
    <w:rPr>
      <w:rFonts w:ascii="Cambria" w:eastAsia="Times New Roman" w:hAnsi="Cambria"/>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List21">
    <w:name w:val="Medium List 21"/>
    <w:basedOn w:val="TableNormal"/>
    <w:semiHidden/>
    <w:rsid w:val="000A57B1"/>
    <w:rPr>
      <w:rFonts w:ascii="Cambria" w:eastAsia="Times New Roman" w:hAnsi="Cambria"/>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0A57B1"/>
    <w:rPr>
      <w:rFonts w:ascii="Arial" w:eastAsia="Times New Roman" w:hAnsi="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A57B1"/>
    <w:rPr>
      <w:rFonts w:ascii="Arial" w:eastAsia="Times New Roman" w:hAnsi="Arial"/>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semiHidden/>
    <w:rsid w:val="000A57B1"/>
    <w:rPr>
      <w:rFonts w:ascii="Arial" w:eastAsia="Times New Roman" w:hAnsi="Arial"/>
      <w:sz w:val="20"/>
      <w:szCs w:val="20"/>
    </w:rPr>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A57B1"/>
    <w:rPr>
      <w:rFonts w:ascii="Arial" w:eastAsia="Times New Roman" w:hAnsi="Arial"/>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A57B1"/>
    <w:rPr>
      <w:rFonts w:ascii="Arial" w:eastAsia="Times New Roman" w:hAnsi="Arial"/>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A57B1"/>
    <w:rPr>
      <w:rFonts w:ascii="Arial" w:eastAsia="Times New Roman" w:hAnsi="Arial"/>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A57B1"/>
    <w:rPr>
      <w:rFonts w:ascii="Arial" w:eastAsia="Times New Roman" w:hAnsi="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A57B1"/>
    <w:rPr>
      <w:rFonts w:ascii="Arial" w:eastAsia="Times New Roman" w:hAnsi="Arial"/>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1">
    <w:name w:val="Medium Shading 11"/>
    <w:basedOn w:val="TableNormal"/>
    <w:semiHidden/>
    <w:rsid w:val="000A57B1"/>
    <w:rPr>
      <w:rFonts w:ascii="Arial" w:eastAsia="Times New Roman" w:hAnsi="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2">
    <w:name w:val="Medium Shading 2"/>
    <w:basedOn w:val="TableNormal"/>
    <w:uiPriority w:val="64"/>
    <w:rsid w:val="000A57B1"/>
    <w:rPr>
      <w:rFonts w:ascii="Arial" w:eastAsia="Times New Roman"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A57B1"/>
    <w:rPr>
      <w:rFonts w:ascii="Arial" w:eastAsia="Times New Roman"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semiHidden/>
    <w:rsid w:val="000A57B1"/>
    <w:rPr>
      <w:rFonts w:ascii="Arial" w:eastAsia="Times New Roman"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A57B1"/>
    <w:rPr>
      <w:rFonts w:ascii="Arial" w:eastAsia="Times New Roman"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A57B1"/>
    <w:rPr>
      <w:rFonts w:ascii="Arial" w:eastAsia="Times New Roman"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A57B1"/>
    <w:rPr>
      <w:rFonts w:ascii="Arial" w:eastAsia="Times New Roman"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A57B1"/>
    <w:rPr>
      <w:rFonts w:ascii="Arial" w:eastAsia="Times New Roman"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A57B1"/>
    <w:rPr>
      <w:rFonts w:ascii="Arial" w:eastAsia="Times New Roman"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semiHidden/>
    <w:rsid w:val="000A57B1"/>
    <w:rPr>
      <w:rFonts w:ascii="Arial" w:eastAsia="Times New Roman"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49"/>
    <w:semiHidden/>
    <w:locked/>
    <w:rsid w:val="000A57B1"/>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MessageHeaderChar">
    <w:name w:val="Message Header Char"/>
    <w:basedOn w:val="DefaultParagraphFont"/>
    <w:link w:val="MessageHeader"/>
    <w:uiPriority w:val="49"/>
    <w:semiHidden/>
    <w:rsid w:val="000A57B1"/>
    <w:rPr>
      <w:rFonts w:eastAsia="Times New Roman" w:cs="Calibri"/>
      <w:sz w:val="24"/>
      <w:szCs w:val="24"/>
      <w:shd w:val="pct20" w:color="auto" w:fill="auto"/>
    </w:rPr>
  </w:style>
  <w:style w:type="paragraph" w:styleId="NormalIndent">
    <w:name w:val="Normal Indent"/>
    <w:basedOn w:val="Normal"/>
    <w:locked/>
    <w:rsid w:val="000A57B1"/>
    <w:pPr>
      <w:spacing w:line="240" w:lineRule="exact"/>
      <w:ind w:left="1077" w:right="284"/>
    </w:pPr>
  </w:style>
  <w:style w:type="paragraph" w:customStyle="1" w:styleId="NormalIndentItalics">
    <w:name w:val="Normal Indent Italics"/>
    <w:basedOn w:val="NormalIndent"/>
    <w:uiPriority w:val="13"/>
    <w:qFormat/>
    <w:rsid w:val="000A57B1"/>
    <w:rPr>
      <w:i/>
    </w:rPr>
  </w:style>
  <w:style w:type="paragraph" w:customStyle="1" w:styleId="Pictwide">
    <w:name w:val="Pict wide"/>
    <w:basedOn w:val="Normal"/>
    <w:next w:val="Normal"/>
    <w:uiPriority w:val="13"/>
    <w:semiHidden/>
    <w:qFormat/>
    <w:rsid w:val="000A57B1"/>
    <w:pPr>
      <w:widowControl w:val="0"/>
      <w:spacing w:before="160" w:after="320"/>
    </w:pPr>
    <w:rPr>
      <w:sz w:val="24"/>
    </w:rPr>
  </w:style>
  <w:style w:type="character" w:styleId="PlaceholderText">
    <w:name w:val="Placeholder Text"/>
    <w:uiPriority w:val="99"/>
    <w:semiHidden/>
    <w:rsid w:val="000A57B1"/>
    <w:rPr>
      <w:color w:val="808080"/>
    </w:rPr>
  </w:style>
  <w:style w:type="paragraph" w:styleId="PlainText">
    <w:name w:val="Plain Text"/>
    <w:basedOn w:val="Normal"/>
    <w:link w:val="PlainTextChar"/>
    <w:uiPriority w:val="49"/>
    <w:semiHidden/>
    <w:locked/>
    <w:rsid w:val="000A57B1"/>
  </w:style>
  <w:style w:type="character" w:customStyle="1" w:styleId="PlainTextChar">
    <w:name w:val="Plain Text Char"/>
    <w:basedOn w:val="DefaultParagraphFont"/>
    <w:link w:val="PlainText"/>
    <w:uiPriority w:val="49"/>
    <w:semiHidden/>
    <w:rsid w:val="000A57B1"/>
    <w:rPr>
      <w:rFonts w:eastAsia="Times New Roman" w:cs="Calibri"/>
    </w:rPr>
  </w:style>
  <w:style w:type="paragraph" w:customStyle="1" w:styleId="Quotation">
    <w:name w:val="Quotation"/>
    <w:basedOn w:val="Normal"/>
    <w:next w:val="Normal"/>
    <w:uiPriority w:val="49"/>
    <w:semiHidden/>
    <w:rsid w:val="000A57B1"/>
    <w:pPr>
      <w:keepLines/>
      <w:spacing w:before="40"/>
      <w:jc w:val="center"/>
    </w:pPr>
    <w:rPr>
      <w:i/>
      <w:iCs/>
      <w:color w:val="003399"/>
      <w:sz w:val="18"/>
      <w:lang w:eastAsia="en-US"/>
    </w:rPr>
  </w:style>
  <w:style w:type="paragraph" w:customStyle="1" w:styleId="QuoteName">
    <w:name w:val="Quote Name"/>
    <w:basedOn w:val="Normal"/>
    <w:uiPriority w:val="49"/>
    <w:semiHidden/>
    <w:rsid w:val="000A57B1"/>
    <w:pPr>
      <w:spacing w:after="0"/>
      <w:ind w:left="902" w:right="822"/>
      <w:jc w:val="right"/>
    </w:pPr>
    <w:rPr>
      <w:caps/>
      <w:color w:val="800000"/>
      <w:sz w:val="16"/>
    </w:rPr>
  </w:style>
  <w:style w:type="paragraph" w:styleId="Salutation">
    <w:name w:val="Salutation"/>
    <w:basedOn w:val="Normal"/>
    <w:next w:val="Normal"/>
    <w:link w:val="SalutationChar"/>
    <w:uiPriority w:val="49"/>
    <w:semiHidden/>
    <w:locked/>
    <w:rsid w:val="000A57B1"/>
  </w:style>
  <w:style w:type="character" w:customStyle="1" w:styleId="SalutationChar">
    <w:name w:val="Salutation Char"/>
    <w:basedOn w:val="DefaultParagraphFont"/>
    <w:link w:val="Salutation"/>
    <w:uiPriority w:val="49"/>
    <w:semiHidden/>
    <w:rsid w:val="000A57B1"/>
    <w:rPr>
      <w:rFonts w:eastAsia="Times New Roman" w:cs="Calibri"/>
    </w:rPr>
  </w:style>
  <w:style w:type="paragraph" w:styleId="Signature">
    <w:name w:val="Signature"/>
    <w:basedOn w:val="Normal"/>
    <w:link w:val="SignatureChar"/>
    <w:uiPriority w:val="49"/>
    <w:semiHidden/>
    <w:locked/>
    <w:rsid w:val="000A57B1"/>
    <w:pPr>
      <w:ind w:left="4252"/>
    </w:pPr>
  </w:style>
  <w:style w:type="character" w:customStyle="1" w:styleId="SignatureChar">
    <w:name w:val="Signature Char"/>
    <w:basedOn w:val="DefaultParagraphFont"/>
    <w:link w:val="Signature"/>
    <w:uiPriority w:val="49"/>
    <w:semiHidden/>
    <w:rsid w:val="000A57B1"/>
    <w:rPr>
      <w:rFonts w:eastAsia="Times New Roman" w:cs="Calibri"/>
    </w:rPr>
  </w:style>
  <w:style w:type="character" w:styleId="Strong">
    <w:name w:val="Strong"/>
    <w:uiPriority w:val="22"/>
    <w:qFormat/>
    <w:locked/>
    <w:rsid w:val="000A57B1"/>
    <w:rPr>
      <w:b/>
      <w:bCs/>
    </w:rPr>
  </w:style>
  <w:style w:type="character" w:styleId="SubtleEmphasis">
    <w:name w:val="Subtle Emphasis"/>
    <w:uiPriority w:val="19"/>
    <w:qFormat/>
    <w:rsid w:val="000A57B1"/>
    <w:rPr>
      <w:i/>
      <w:iCs/>
      <w:color w:val="808080"/>
    </w:rPr>
  </w:style>
  <w:style w:type="character" w:styleId="SubtleReference">
    <w:name w:val="Subtle Reference"/>
    <w:uiPriority w:val="31"/>
    <w:qFormat/>
    <w:rsid w:val="000A57B1"/>
    <w:rPr>
      <w:smallCaps/>
      <w:color w:val="C0504D"/>
      <w:u w:val="single"/>
    </w:rPr>
  </w:style>
  <w:style w:type="table" w:styleId="Table3Deffects1">
    <w:name w:val="Table 3D effects 1"/>
    <w:basedOn w:val="TableNormal"/>
    <w:uiPriority w:val="99"/>
    <w:semiHidden/>
    <w:unhideWhenUsed/>
    <w:locked/>
    <w:rsid w:val="000A57B1"/>
    <w:pPr>
      <w:spacing w:before="80" w:after="80" w:line="240" w:lineRule="atLeast"/>
      <w:ind w:left="794"/>
    </w:pPr>
    <w:rPr>
      <w:rFonts w:ascii="Arial" w:eastAsia="Times New Roman" w:hAnsi="Arial"/>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Grid"/>
    <w:uiPriority w:val="99"/>
    <w:semiHidden/>
    <w:unhideWhenUsed/>
    <w:locked/>
    <w:rsid w:val="000A57B1"/>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color w:val="4C4C4C"/>
      </w:rPr>
      <w:tblPr/>
      <w:tcPr>
        <w:tcBorders>
          <w:top w:val="nil"/>
          <w:left w:val="nil"/>
          <w:bottom w:val="nil"/>
          <w:right w:val="single" w:sz="6" w:space="0" w:color="000000"/>
          <w:insideH w:val="nil"/>
          <w:insideV w:val="nil"/>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0A57B1"/>
    <w:pPr>
      <w:spacing w:before="80" w:after="80" w:line="240" w:lineRule="atLeast"/>
      <w:ind w:left="794"/>
    </w:pPr>
    <w:rPr>
      <w:rFonts w:ascii="Arial" w:eastAsia="Times New Roman" w:hAnsi="Arial"/>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0A57B1"/>
    <w:pPr>
      <w:spacing w:before="80" w:after="80" w:line="240" w:lineRule="atLeast"/>
      <w:ind w:left="794"/>
    </w:pPr>
    <w:rPr>
      <w:rFonts w:ascii="Arial" w:eastAsia="Times New Roman" w:hAnsi="Arial"/>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0A57B1"/>
    <w:pPr>
      <w:spacing w:before="80" w:after="80" w:line="240" w:lineRule="atLeast"/>
      <w:ind w:left="794"/>
    </w:pPr>
    <w:rPr>
      <w:rFonts w:ascii="Arial" w:eastAsia="Times New Roman" w:hAnsi="Arial"/>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0A57B1"/>
    <w:pPr>
      <w:spacing w:before="80" w:after="80" w:line="240" w:lineRule="atLeast"/>
      <w:ind w:left="794"/>
    </w:pPr>
    <w:rPr>
      <w:rFonts w:ascii="Arial" w:eastAsia="Times New Roman" w:hAnsi="Arial"/>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0A57B1"/>
    <w:pPr>
      <w:spacing w:before="80" w:after="80" w:line="240" w:lineRule="atLeast"/>
      <w:ind w:left="794"/>
    </w:pPr>
    <w:rPr>
      <w:rFonts w:ascii="Arial" w:eastAsia="Times New Roman" w:hAnsi="Arial"/>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Grid"/>
    <w:uiPriority w:val="99"/>
    <w:locked/>
    <w:rsid w:val="000A57B1"/>
    <w:pPr>
      <w:spacing w:before="100" w:after="100"/>
      <w:ind w:left="794"/>
    </w:pPr>
    <w:tblPr>
      <w:tblBorders>
        <w:top w:val="single" w:sz="2" w:space="0" w:color="000000"/>
        <w:bottom w:val="single" w:sz="2" w:space="0" w:color="000000"/>
        <w:insideH w:val="single" w:sz="2" w:space="0" w:color="000000"/>
      </w:tblBorders>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lastRow">
      <w:rPr>
        <w:i w:val="0"/>
        <w:iCs/>
      </w:rPr>
      <w:tblPr/>
      <w:tcPr>
        <w:tcBorders>
          <w:tl2br w:val="none" w:sz="0" w:space="0" w:color="auto"/>
          <w:tr2bl w:val="none" w:sz="0" w:space="0" w:color="auto"/>
        </w:tcBorders>
      </w:tcPr>
    </w:tblStylePr>
    <w:tblStylePr w:type="firstCol">
      <w:rPr>
        <w:b/>
        <w:color w:val="auto"/>
      </w:rPr>
      <w:tblPr/>
      <w:tcPr>
        <w:shd w:val="clear" w:color="auto" w:fill="E6E6E6"/>
      </w:tcPr>
    </w:tblStylePr>
    <w:tblStylePr w:type="lastCol">
      <w:rPr>
        <w:i w:val="0"/>
        <w:iCs/>
      </w:rPr>
      <w:tblPr/>
      <w:tcPr>
        <w:tcBorders>
          <w:tl2br w:val="none" w:sz="0" w:space="0" w:color="auto"/>
          <w:tr2bl w:val="none" w:sz="0" w:space="0" w:color="auto"/>
        </w:tcBorders>
      </w:tcPr>
    </w:tblStylePr>
    <w:tblStylePr w:type="nwCell">
      <w:rPr>
        <w:b/>
      </w:rPr>
    </w:tblStylePr>
  </w:style>
  <w:style w:type="table" w:styleId="TableGrid2">
    <w:name w:val="Table Grid 2"/>
    <w:basedOn w:val="TableGrid"/>
    <w:uiPriority w:val="99"/>
    <w:unhideWhenUsed/>
    <w:locked/>
    <w:rsid w:val="000A57B1"/>
    <w:pPr>
      <w:spacing w:after="120" w:line="280" w:lineRule="atLeast"/>
    </w:pPr>
    <w:tblPr>
      <w:tblBorders>
        <w:top w:val="single" w:sz="4" w:space="0" w:color="auto"/>
        <w:bottom w:val="single" w:sz="4" w:space="0" w:color="auto"/>
        <w:insideH w:val="single" w:sz="4" w:space="0" w:color="auto"/>
      </w:tblBorders>
      <w:tblCellMar>
        <w:left w:w="57" w:type="dxa"/>
        <w:right w:w="57" w:type="dxa"/>
      </w:tblCellMa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bCs/>
        <w:i w:val="0"/>
        <w:caps w:val="0"/>
        <w:smallCaps w:val="0"/>
        <w:strike w:val="0"/>
        <w:dstrike w:val="0"/>
        <w:vanish w:val="0"/>
        <w:color w:val="4C4C4C"/>
        <w:sz w:val="24"/>
        <w:u w:val="none"/>
        <w:vertAlign w:val="baseline"/>
      </w:rPr>
      <w:tblPr/>
      <w:tcPr>
        <w:tcBorders>
          <w:top w:val="single" w:sz="4" w:space="0" w:color="auto"/>
          <w:left w:val="nil"/>
          <w:bottom w:val="nil"/>
          <w:right w:val="nil"/>
          <w:insideH w:val="nil"/>
          <w:insideV w:val="nil"/>
          <w:tl2br w:val="nil"/>
          <w:tr2bl w:val="nil"/>
        </w:tcBorders>
        <w:shd w:val="clear" w:color="auto" w:fill="D9D9D9"/>
      </w:tcPr>
    </w:tblStylePr>
    <w:tblStylePr w:type="lastRow">
      <w:rPr>
        <w:b w:val="0"/>
        <w:bCs/>
      </w:rPr>
      <w:tblPr/>
      <w:tcPr>
        <w:tcBorders>
          <w:top w:val="single" w:sz="4" w:space="0" w:color="auto"/>
          <w:left w:val="nil"/>
          <w:bottom w:val="single" w:sz="4" w:space="0" w:color="auto"/>
          <w:right w:val="nil"/>
          <w:insideH w:val="single" w:sz="4" w:space="0" w:color="C0C0C0"/>
          <w:insideV w:val="nil"/>
          <w:tl2br w:val="nil"/>
          <w:tr2bl w:val="nil"/>
        </w:tcBorders>
        <w:shd w:val="clear" w:color="auto" w:fill="auto"/>
      </w:tcPr>
    </w:tblStylePr>
    <w:tblStylePr w:type="firstCol">
      <w:rPr>
        <w:b/>
        <w:bCs/>
        <w:caps w:val="0"/>
        <w:color w:val="auto"/>
      </w:rPr>
      <w:tblPr/>
      <w:tcPr>
        <w:tcBorders>
          <w:top w:val="single" w:sz="4" w:space="0" w:color="C0C0C0"/>
          <w:left w:val="single" w:sz="4" w:space="0" w:color="C0C0C0"/>
          <w:bottom w:val="single" w:sz="4" w:space="0" w:color="C0C0C0"/>
          <w:right w:val="nil"/>
        </w:tcBorders>
        <w:shd w:val="clear" w:color="auto" w:fill="E6E6E6"/>
      </w:tcPr>
    </w:tblStylePr>
    <w:tblStylePr w:type="lastCol">
      <w:rPr>
        <w:b w:val="0"/>
        <w:bCs/>
      </w:rPr>
      <w:tblPr/>
      <w:tcPr>
        <w:tcBorders>
          <w:tl2br w:val="none" w:sz="0" w:space="0" w:color="auto"/>
          <w:tr2bl w:val="none" w:sz="0" w:space="0" w:color="auto"/>
        </w:tcBorders>
      </w:tcPr>
    </w:tblStylePr>
    <w:tblStylePr w:type="swCell">
      <w:rPr>
        <w:b/>
        <w:color w:val="auto"/>
      </w:rPr>
      <w:tblPr/>
      <w:tcPr>
        <w:tcBorders>
          <w:top w:val="single" w:sz="6" w:space="0" w:color="auto"/>
          <w:left w:val="single" w:sz="6" w:space="0" w:color="BFBFBF"/>
          <w:bottom w:val="single" w:sz="6" w:space="0" w:color="auto"/>
          <w:right w:val="single" w:sz="6" w:space="0" w:color="BFBFBF"/>
          <w:insideH w:val="nil"/>
          <w:insideV w:val="nil"/>
          <w:tl2br w:val="nil"/>
          <w:tr2bl w:val="nil"/>
        </w:tcBorders>
        <w:shd w:val="clear" w:color="auto" w:fill="E6E6E6"/>
      </w:tcPr>
    </w:tblStylePr>
  </w:style>
  <w:style w:type="table" w:styleId="TableGrid3">
    <w:name w:val="Table Grid 3"/>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0A57B1"/>
    <w:pPr>
      <w:spacing w:before="80" w:after="80" w:line="240" w:lineRule="atLeast"/>
      <w:ind w:left="794"/>
    </w:pPr>
    <w:rPr>
      <w:rFonts w:ascii="Arial" w:eastAsia="Times New Roman" w:hAnsi="Arial"/>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39"/>
    <w:semiHidden/>
    <w:locked/>
    <w:rsid w:val="000A57B1"/>
    <w:pPr>
      <w:tabs>
        <w:tab w:val="right" w:pos="9072"/>
      </w:tabs>
      <w:ind w:left="200" w:hanging="200"/>
    </w:pPr>
  </w:style>
  <w:style w:type="paragraph" w:styleId="TableofFigures">
    <w:name w:val="table of figures"/>
    <w:basedOn w:val="TOCHeading"/>
    <w:next w:val="Normal"/>
    <w:uiPriority w:val="99"/>
    <w:semiHidden/>
    <w:unhideWhenUsed/>
    <w:locked/>
    <w:rsid w:val="000A57B1"/>
    <w:pPr>
      <w:spacing w:after="0"/>
    </w:pPr>
  </w:style>
  <w:style w:type="table" w:styleId="TableProfessional">
    <w:name w:val="Table Professional"/>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0A57B1"/>
    <w:pPr>
      <w:spacing w:before="80" w:after="80" w:line="240" w:lineRule="atLeast"/>
      <w:ind w:left="794"/>
    </w:pPr>
    <w:rPr>
      <w:rFonts w:ascii="Arial" w:eastAsia="Times New Roman" w:hAnsi="Arial"/>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semiHidden/>
    <w:locked/>
    <w:rsid w:val="000A57B1"/>
    <w:pPr>
      <w:spacing w:before="120"/>
    </w:pPr>
    <w:rPr>
      <w:b/>
      <w:bCs/>
      <w:sz w:val="24"/>
      <w:szCs w:val="24"/>
    </w:rPr>
  </w:style>
  <w:style w:type="paragraph" w:styleId="TOC4">
    <w:name w:val="toc 4"/>
    <w:basedOn w:val="Normal"/>
    <w:next w:val="Normal"/>
    <w:autoRedefine/>
    <w:uiPriority w:val="39"/>
    <w:semiHidden/>
    <w:locked/>
    <w:rsid w:val="000A57B1"/>
    <w:pPr>
      <w:tabs>
        <w:tab w:val="right" w:leader="dot" w:pos="9639"/>
      </w:tabs>
      <w:spacing w:before="0" w:after="0"/>
      <w:ind w:left="1985" w:right="567" w:hanging="567"/>
    </w:pPr>
    <w:rPr>
      <w:color w:val="4C4C4C"/>
      <w:sz w:val="18"/>
    </w:rPr>
  </w:style>
  <w:style w:type="paragraph" w:styleId="TOC5">
    <w:name w:val="toc 5"/>
    <w:basedOn w:val="TOC3"/>
    <w:next w:val="Normal"/>
    <w:autoRedefine/>
    <w:uiPriority w:val="39"/>
    <w:semiHidden/>
    <w:locked/>
    <w:rsid w:val="000A57B1"/>
    <w:pPr>
      <w:ind w:left="1589" w:right="505" w:hanging="1589"/>
    </w:pPr>
    <w:rPr>
      <w:b/>
      <w:color w:val="333333"/>
    </w:rPr>
  </w:style>
  <w:style w:type="paragraph" w:styleId="TOC6">
    <w:name w:val="toc 6"/>
    <w:basedOn w:val="Normal"/>
    <w:next w:val="Normal"/>
    <w:autoRedefine/>
    <w:uiPriority w:val="49"/>
    <w:semiHidden/>
    <w:locked/>
    <w:rsid w:val="000A57B1"/>
    <w:pPr>
      <w:spacing w:before="40" w:after="20"/>
      <w:ind w:left="1418" w:hanging="1418"/>
    </w:pPr>
    <w:rPr>
      <w:b/>
      <w:sz w:val="16"/>
    </w:rPr>
  </w:style>
  <w:style w:type="paragraph" w:styleId="TOC7">
    <w:name w:val="toc 7"/>
    <w:basedOn w:val="Normal"/>
    <w:next w:val="Normal"/>
    <w:autoRedefine/>
    <w:uiPriority w:val="49"/>
    <w:semiHidden/>
    <w:locked/>
    <w:rsid w:val="000A57B1"/>
    <w:pPr>
      <w:ind w:left="1440"/>
    </w:pPr>
  </w:style>
  <w:style w:type="paragraph" w:styleId="TOC8">
    <w:name w:val="toc 8"/>
    <w:basedOn w:val="Normal"/>
    <w:next w:val="Normal"/>
    <w:autoRedefine/>
    <w:uiPriority w:val="49"/>
    <w:semiHidden/>
    <w:locked/>
    <w:rsid w:val="000A57B1"/>
    <w:pPr>
      <w:ind w:left="1680"/>
    </w:pPr>
  </w:style>
  <w:style w:type="paragraph" w:styleId="TOC9">
    <w:name w:val="toc 9"/>
    <w:basedOn w:val="Normal"/>
    <w:next w:val="Normal"/>
    <w:autoRedefine/>
    <w:uiPriority w:val="49"/>
    <w:semiHidden/>
    <w:locked/>
    <w:rsid w:val="000A57B1"/>
    <w:pPr>
      <w:ind w:left="2835" w:right="2835"/>
    </w:pPr>
  </w:style>
  <w:style w:type="paragraph" w:customStyle="1" w:styleId="Textbox">
    <w:name w:val="Text box"/>
    <w:basedOn w:val="Normal"/>
    <w:qFormat/>
    <w:rsid w:val="00FD019C"/>
    <w:pPr>
      <w:spacing w:before="60" w:after="0"/>
      <w:ind w:left="0"/>
      <w:jc w:val="center"/>
    </w:pPr>
    <w:rPr>
      <w:color w:val="000000" w:themeColor="text1"/>
      <w:sz w:val="16"/>
      <w:szCs w:val="18"/>
    </w:rPr>
  </w:style>
  <w:style w:type="paragraph" w:customStyle="1" w:styleId="Textboxbullet">
    <w:name w:val="Text box bullet"/>
    <w:basedOn w:val="Textbox"/>
    <w:qFormat/>
    <w:rsid w:val="00FD019C"/>
    <w:pPr>
      <w:numPr>
        <w:numId w:val="12"/>
      </w:numPr>
      <w:ind w:left="274" w:hanging="274"/>
      <w:jc w:val="left"/>
    </w:pPr>
  </w:style>
  <w:style w:type="paragraph" w:customStyle="1" w:styleId="TableTextbold">
    <w:name w:val="Table Text bold"/>
    <w:basedOn w:val="TableText"/>
    <w:qFormat/>
    <w:rsid w:val="00015B5A"/>
    <w:rPr>
      <w:b/>
    </w:rPr>
  </w:style>
  <w:style w:type="paragraph" w:styleId="FootnoteText">
    <w:name w:val="footnote text"/>
    <w:aliases w:val="Footnote Text1,Footnote Text Char Char Char Char Char Char1,Footnote Text Char Char Char Char Char,Footnote Text Char Char Char Char Char Char Char,Footnote Text Char Char Char Char"/>
    <w:basedOn w:val="Normal"/>
    <w:link w:val="FootnoteTextChar"/>
    <w:uiPriority w:val="49"/>
    <w:locked/>
    <w:rsid w:val="00513E55"/>
    <w:pPr>
      <w:spacing w:before="0" w:after="0"/>
    </w:pPr>
    <w:rPr>
      <w:sz w:val="20"/>
      <w:szCs w:val="20"/>
    </w:rPr>
  </w:style>
  <w:style w:type="character" w:customStyle="1" w:styleId="FootnoteTextChar">
    <w:name w:val="Footnote Text Char"/>
    <w:aliases w:val="Footnote Text1 Char,Footnote Text Char Char Char Char Char Char1 Char,Footnote Text Char Char Char Char Char Char,Footnote Text Char Char Char Char Char Char Char Char,Footnote Text Char Char Char Char Char1"/>
    <w:basedOn w:val="DefaultParagraphFont"/>
    <w:link w:val="FootnoteText"/>
    <w:uiPriority w:val="49"/>
    <w:rsid w:val="00513E55"/>
    <w:rPr>
      <w:rFonts w:eastAsia="Times New Roman" w:cs="Calibri"/>
      <w:sz w:val="20"/>
      <w:szCs w:val="20"/>
    </w:rPr>
  </w:style>
  <w:style w:type="paragraph" w:customStyle="1" w:styleId="Notebullet">
    <w:name w:val="Note bullet"/>
    <w:basedOn w:val="NoteNormal"/>
    <w:qFormat/>
    <w:rsid w:val="00284BB8"/>
    <w:pPr>
      <w:keepNext w:val="0"/>
      <w:numPr>
        <w:numId w:val="13"/>
      </w:numPr>
      <w:ind w:left="1154"/>
    </w:pPr>
  </w:style>
  <w:style w:type="paragraph" w:customStyle="1" w:styleId="Heading1Appendix">
    <w:name w:val="Heading 1 Appendix"/>
    <w:basedOn w:val="Normal"/>
    <w:rsid w:val="00243B87"/>
    <w:pPr>
      <w:numPr>
        <w:numId w:val="14"/>
      </w:numPr>
      <w:spacing w:before="0" w:after="1120"/>
    </w:pPr>
    <w:rPr>
      <w:color w:val="404040"/>
      <w:sz w:val="40"/>
      <w:szCs w:val="40"/>
      <w:lang w:eastAsia="en-US"/>
    </w:rPr>
  </w:style>
  <w:style w:type="paragraph" w:customStyle="1" w:styleId="Dash">
    <w:name w:val="Dash"/>
    <w:basedOn w:val="Normal"/>
    <w:rsid w:val="00605D8D"/>
  </w:style>
  <w:style w:type="paragraph" w:customStyle="1" w:styleId="ListNumbertable">
    <w:name w:val="List Number table"/>
    <w:basedOn w:val="TableText"/>
    <w:qFormat/>
    <w:rsid w:val="004D6B11"/>
    <w:pPr>
      <w:numPr>
        <w:numId w:val="17"/>
      </w:numPr>
      <w:ind w:left="644"/>
    </w:pPr>
    <w:rPr>
      <w:sz w:val="18"/>
    </w:rPr>
  </w:style>
  <w:style w:type="paragraph" w:customStyle="1" w:styleId="Numbered">
    <w:name w:val="Numbered"/>
    <w:basedOn w:val="Normal"/>
    <w:rsid w:val="00280D7E"/>
    <w:pPr>
      <w:numPr>
        <w:ilvl w:val="1"/>
        <w:numId w:val="23"/>
      </w:numPr>
    </w:pPr>
    <w:rPr>
      <w:lang w:val="en-US"/>
    </w:rPr>
  </w:style>
  <w:style w:type="paragraph" w:customStyle="1" w:styleId="Heading1a">
    <w:name w:val="Heading 1a"/>
    <w:basedOn w:val="Heading1"/>
    <w:rsid w:val="00A52685"/>
    <w:pPr>
      <w:numPr>
        <w:numId w:val="0"/>
      </w:numPr>
      <w:ind w:left="720"/>
    </w:pPr>
    <w:rPr>
      <w:lang w:val="en-US"/>
    </w:rPr>
  </w:style>
  <w:style w:type="paragraph" w:customStyle="1" w:styleId="Heading2Division">
    <w:name w:val="Heading 2 Division"/>
    <w:basedOn w:val="Normal"/>
    <w:rsid w:val="00A52685"/>
    <w:pPr>
      <w:keepNext/>
      <w:keepLines/>
      <w:widowControl w:val="0"/>
      <w:tabs>
        <w:tab w:val="left" w:pos="2057"/>
      </w:tabs>
      <w:spacing w:before="280" w:after="120" w:line="216" w:lineRule="auto"/>
      <w:outlineLvl w:val="1"/>
    </w:pPr>
    <w:rPr>
      <w:color w:val="4D4D4D"/>
      <w:sz w:val="3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emf"/><Relationship Id="rId26" Type="http://schemas.openxmlformats.org/officeDocument/2006/relationships/hyperlink" Target="http://www.ocpc.vic.gov.au/" TargetMode="Externa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package" Target="embeddings/Microsoft_Word_Document1.docx"/><Relationship Id="rId25" Type="http://schemas.openxmlformats.org/officeDocument/2006/relationships/hyperlink" Target="http://www.ocpc.vic.gov.au/"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5.emf"/><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package" Target="embeddings/Microsoft_Word_Document2.docx"/><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dtf.vic.gov.au" TargetMode="External"/><Relationship Id="rId27" Type="http://schemas.openxmlformats.org/officeDocument/2006/relationships/footer" Target="footer5.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9AD8E-E0CF-462A-B011-B98244848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22061</Words>
  <Characters>122907</Characters>
  <Application>Microsoft Office Word</Application>
  <DocSecurity>8</DocSecurity>
  <Lines>1024</Lines>
  <Paragraphs>289</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144679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rzg</dc:creator>
  <cp:lastModifiedBy>Lisa Clayworth</cp:lastModifiedBy>
  <cp:revision>3</cp:revision>
  <cp:lastPrinted>2016-11-09T22:26:00Z</cp:lastPrinted>
  <dcterms:created xsi:type="dcterms:W3CDTF">2016-11-13T22:06:00Z</dcterms:created>
  <dcterms:modified xsi:type="dcterms:W3CDTF">2016-11-13T22:07:00Z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734ea70d-bfdc-4ab2-800f-3f571dbf4a1a</vt:lpwstr>
  </property>
  <property fmtid="{D5CDD505-2E9C-101B-9397-08002B2CF9AE}" pid="3" name="PSPFClassification">
    <vt:lpwstr>Do Not Mark</vt:lpwstr>
  </property>
</Properties>
</file>